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关于做好2021年全国职业院校技能大赛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福建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赛区防疫工作的相关要求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2021年全国职业院校技能大赛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（高职组）关务技能、虚拟现实（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VR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）设计与制作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个赛项将于6月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21日-22日、6月22日-26日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福建省厦门市和福州市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举办，为统筹做好2021年全国职业院校技能大赛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</w:t>
      </w:r>
      <w:r>
        <w:rPr>
          <w:rFonts w:hint="eastAsia" w:ascii="仿宋_GB2312" w:hAnsi="仿宋_GB2312" w:eastAsia="仿宋_GB2312" w:cs="仿宋_GB2312"/>
          <w:sz w:val="32"/>
          <w:szCs w:val="32"/>
        </w:rPr>
        <w:t>赛区比赛期间的疫情防控工作，切实保障比赛安全、有序、顺利开展，根据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</w:t>
      </w:r>
      <w:r>
        <w:rPr>
          <w:rFonts w:hint="eastAsia" w:ascii="仿宋_GB2312" w:hAnsi="仿宋_GB2312" w:eastAsia="仿宋_GB2312" w:cs="仿宋_GB2312"/>
          <w:sz w:val="32"/>
          <w:szCs w:val="32"/>
        </w:rPr>
        <w:t>省及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福州</w:t>
      </w:r>
      <w:r>
        <w:rPr>
          <w:rFonts w:hint="eastAsia" w:ascii="仿宋_GB2312" w:hAnsi="仿宋_GB2312" w:eastAsia="仿宋_GB2312" w:cs="仿宋_GB2312"/>
          <w:sz w:val="32"/>
          <w:szCs w:val="32"/>
        </w:rPr>
        <w:t>市、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厦门</w:t>
      </w:r>
      <w:r>
        <w:rPr>
          <w:rFonts w:hint="eastAsia" w:ascii="仿宋_GB2312" w:hAnsi="仿宋_GB2312" w:eastAsia="仿宋_GB2312" w:cs="仿宋_GB2312"/>
          <w:sz w:val="32"/>
          <w:szCs w:val="32"/>
        </w:rPr>
        <w:t>市对新冠肺炎疫情常态化防控工作的相关要求，对防疫工作布置如下，并将根据疫情防控形势和属地防控要求进行动态调整。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一、疫情防控总体要求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按照“预防为主、安全第一、科学施策、快速响应”的原则，“谁派出、谁监管、谁负责”的要求，落实疫情防控责任，加强组织领导，坚持依法依规、联防联控、动态调整，确保各个赛项安全顺利举行。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二、职责分工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赛项承办校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各承办院校重视赛前准备工作，根据疫情形势和各设区市疫情防控相关政策要求，成立赛项防疫工作组，科学制定防控方案，周密安排参赛人员报到，有序推进大赛准备工作。院校主要负责人任工作组组长，配组员若干。院校防疫工作小组各成员各负其责，严格按照当地防控要求，落实各项防控举措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2.落实联防机制，承办院校要主动落实当地卫生健康部门的指导帮助，加强与疾控机构、就近定点医疗机构、社区卫生服务机构的沟通协调，形成学校与医疗机构、疾控机构联防机制和监测预警与快速反应机制。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3.提前做好消毒剂、口罩、手套、非接触式温度计等防疫物资储备，配备足够的盥洗设施。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赛场、配套场地和住宿地点、开闭幕式等相关场所应在大赛举行前严格做好通风消毒工作，并配备相关疫情防控物资。赛场、住宿酒店设置临时隔离场所，临时隔离场所设于相对独立区域，与赛场、住宿区不在同一楼栋或同一楼层，尽可能保持间隔距离，避免人流交叉。临时隔离场所内配备必要的个人防护用品、洗手卫生设施、消毒药械，产生的垃圾按照医疗废物处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  <w:t>(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二）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大赛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人员要求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所有参与大赛人员（以下简称“大赛人员”）：专家、裁判员、监督员、仲裁员、技术支持人员及与会领导、工作人员、列席人员、志愿者、观摩人员、住地服务人员和司乘人员等均纳入大赛人员健康管理。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存在以下情形的人员，不得参赛：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（1）确诊病例、疑似病例、无症状感染者和尚在隔离观察期的密切接触者；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（2）14 天内有发生本土疫情地区或境外旅居史的；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（3）近 14 天有发热、咳嗽等症状未痊愈的，未排除传染病及身体不适者；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（4）居住社区 21 天内发生疫情的；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（5）14 天内有国内发生本土疫情的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和有扩散风险的毗邻地区旅居史和接触史的。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对故意隐瞒行程、隐瞒病情、压制症状、瞒报漏报健康情况的须追究相应责任。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2.核酸检测及人员健康筛查登记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（1）人员组织：本次大赛活动要求全员进行核酸检测。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大赛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均需携带48小时内核酸检</w:t>
      </w:r>
      <w:r>
        <w:rPr>
          <w:rFonts w:hint="eastAsia" w:ascii="仿宋_GB2312" w:hAnsi="仿宋_GB2312" w:eastAsia="仿宋_GB2312" w:cs="仿宋_GB2312"/>
          <w:sz w:val="32"/>
          <w:szCs w:val="32"/>
        </w:rPr>
        <w:t>测阴性证明报到，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报到时必须出示“福建八闽健康码”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“通信大数据行程卡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（附件1），提交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2021年全国职业院校技能大赛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</w:t>
      </w:r>
      <w:r>
        <w:rPr>
          <w:rFonts w:hint="eastAsia" w:ascii="仿宋_GB2312" w:hAnsi="仿宋_GB2312" w:eastAsia="仿宋_GB2312" w:cs="仿宋_GB2312"/>
          <w:sz w:val="32"/>
          <w:szCs w:val="32"/>
        </w:rPr>
        <w:t>赛区参赛人员健康信息申报表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（附件2）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，绿码者方可参加大赛和大赛组织工作。由工作人员收齐交给赛务组，报到材料齐全者发放参赛证件，凭证入校。特殊原因没有在当地进行核酸检测的，提前一天到承办地采样点进行核酸检测。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（2）采样与检测：由承办地指定医院进行采样、检测和结果告知工作。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做好旅途防护，落实各参赛队责任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参赛队领队为疫情防控第一责任人，并确定一名疫情防控联络员，统筹负责协调全队人员参赛期间疫情防控宣传教育、日常健康监测、异常情况的报告和处置协调。疫情防控联络员提前准备好参赛人员（含领队及指导教师等）相关防疫资料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各参赛人员旅途中要随身携带足量防护用品。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各参赛院校加强参赛人员统一管理，精简随行人员，除领队、选手和指导教师外，减少其他随行工作人员数量，确保参赛选手安全抵离。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二、大赛期间防控措施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（一）赛场要求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1.环境消毒管理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制定并严格落实清洁消毒制度，对通道、桌椅、门把手、卫生间、楼梯、设备等进行彻底清洁，明确张贴完成标识。比赛前完成系统测试和清洁消毒工作，增加对场所的通风换气频次。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2.设置隔离赛场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靠进出、入口，采光和通风条件良好，备有空调或电风扇等降温设施，如需使用空调，则应为分体式空调，设立醒目的“隔离”标识，门前有“闲人免进”等提醒标识，避免其他人员误入隔离场所。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3.防疫用品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需要配备数量充足的口罩（一次性使用医用口罩或医用外科口罩）、一次性手套、水银体温计、手持式体温检测仪、呕吐包、洗手液、速干手消毒剂、含氯消毒剂。防疫用品应单独存放，避免安全隐患。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（二）住宿要求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人员和工作人员实行赛场、酒店“两点一线”管理。根据参赛回执分配好住宿房间，参赛人员除参加大赛活动外，原则上不外出。进入酒店实行“亮码+测温”，体温正常且绿码者方可进入。每个房间放置一次性医用口罩、免洗手消毒液、酒精消毒片（巾）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（三） 就餐要求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人员和工作人员应分批次在指定地点（酒店或学校食堂）实行分餐制，督促酒店和学校食堂加强餐厅和食品加工制作区环境清洁消毒，严格餐饮具消毒，落实食品安全措施。学校食堂设立大赛专用就餐区域，完成隔离座位准备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（四）交通工具防护管理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日接送的车辆、司乘人员固定，所有人员全程戴好口罩，尽量开窗通风，实行实名登记乘车。车辆配备免洗消毒液。每日开展一次预防性消毒。严格控制乘坐率，按规定乘车，并在车厢后部预留两排座位供途中应急使用。上车需要分散乘坐，不得聚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租用的车辆应进行每日清洁和消毒，做到“一趟一消毒”、“一趟一通风”。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（五）健康监测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bookmarkStart w:id="0" w:name="_Hlk69986747"/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参加大赛人员合理做好个人防护。在大赛期间每日主动向酒店分组联系人报告健康状况。比赛日每天，参赛人员离开酒店上车前，酒店分组联系人负责在驻地酒店提前做好“测温+查证”工作，体温正常且人证一致者常方可参赛。人员在住宿登记、集体乘车、进入赛场时均需测温。</w:t>
      </w:r>
      <w:bookmarkEnd w:id="0"/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（六）通风与消毒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赛场和酒店应加强日常通风消毒每天开窗通风3次以上，每次30分钟以上，保持空气流通，尤其是电梯间、电梯按钮、自动扶梯扶手、卫生间、公共休息区等重点部位的消毒工作。厢式电梯的地面、侧壁应当保持清洁，每日消毒 2 次。电梯按钮、自动扶梯扶手等经常接触部位每日消毒应当不少于 3 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三、应急疫情处置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参赛及工作人员出现乏力、咳嗽、呼吸困难等不适症状或检测发现体温≥37.3℃的，立即启动应急预案，开展医学排查、流行病学调查、采样检测、疫情处置等工作。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酒店发现健康异常人员，迅速转送至临时隔离场所，立即报告驻点服务人员，由在场相关工作人员，为其佩戴一次性医用口罩（已经佩戴的确认佩戴规范），并用玻璃水银体温计复测体温，两次复测时间间隔10分钟，复测体温仍≥37.3℃或仍感不适，立即报告防疫联络人，防疫联络人报告疫情领导小组和属地疾控负责人，共同做出合理性意见。若异常人员不能排除新冠的，应启动应急处置，拨打120，联系定点医院，安排就医排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（二）接站、乘车时发现异常人员，立即将异常人员带离集体活动区域。</w:t>
      </w:r>
      <w:bookmarkStart w:id="1" w:name="_Hlk70328204"/>
      <w:r>
        <w:rPr>
          <w:rFonts w:hint="eastAsia" w:ascii="仿宋_GB2312" w:hAnsi="仿宋_GB2312" w:eastAsia="仿宋_GB2312" w:cs="仿宋_GB2312"/>
          <w:sz w:val="32"/>
          <w:szCs w:val="32"/>
        </w:rPr>
        <w:t>由在场相关工作人员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用玻璃水银体温计复测体温两次，两次复测时间间隔10分钟，复测体温仍≥37.3℃或仍感不适的，报疫情联络负责人，由疫情联络负人安排备用车辆将发热者就近送至医院就诊，大赛志愿者做好防护陪同。医院明确诊断后让异常人员直接返回的，持医院证明可正常参赛；医院要求异常人员进行核酸检测后返回的，异常人员应在酒店单人单间隔离，等待核酸检测结果。持核酸检测阴性报告</w:t>
      </w:r>
      <w:bookmarkStart w:id="2" w:name="_Hlk70328165"/>
      <w:r>
        <w:rPr>
          <w:rFonts w:hint="eastAsia" w:ascii="仿宋_GB2312" w:hAnsi="仿宋_GB2312" w:eastAsia="仿宋_GB2312" w:cs="仿宋_GB2312"/>
          <w:sz w:val="32"/>
          <w:szCs w:val="32"/>
        </w:rPr>
        <w:t>（电子版、纸制版）</w:t>
      </w:r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且体温正常可正常参赛。医院初步判断为疑似病例的，异常人员所在学校、同车人员均应在住地酒店单人单间隔离观查，等待属地疾控中心下一步处置意见。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（三）比赛过程中发现异常人员</w:t>
      </w:r>
      <w:bookmarkStart w:id="3" w:name="_Hlk70326292"/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带离选手或工作人员至隔离考场，组织医务人员对其用玻璃水银体温计复测体温两次，两次复测时间间隔10分钟，复测体温仍≥37.3℃或伴有干咳、呼吸困难等症状的，经医务人员现场核实、诊断并决定是否终止其比赛并带离考场，视情况报告当地疾控部门并按要求进行处置。 </w:t>
      </w:r>
    </w:p>
    <w:bookmarkEnd w:id="3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赛项执委会应根据新冠肺炎疫情动态变化，按照属地卫生防疫部门要求调整相应的防控措施，并及时通过各种渠道通知所有参赛团队与相关人员。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福建八闽健康码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通信大数据行程卡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598" w:leftChars="304" w:right="0" w:rightChars="0" w:hanging="960" w:hanging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2021年全国职业院校技能大赛福建赛区大赛人员健康信息申报表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16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2021年全国职业院校技能大赛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赛区执委会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2021年5月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附件1 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  <w:lang w:eastAsia="zh-CN"/>
        </w:rPr>
        <w:t>福建八闽健康码</w:t>
      </w:r>
      <w:r>
        <w:rPr>
          <w:rFonts w:hint="eastAsia" w:ascii="仿宋" w:hAnsi="仿宋" w:eastAsia="仿宋"/>
          <w:b/>
          <w:bCs/>
          <w:sz w:val="44"/>
          <w:szCs w:val="44"/>
        </w:rPr>
        <w:t>、</w:t>
      </w:r>
      <w:r>
        <w:rPr>
          <w:rFonts w:hint="eastAsia" w:ascii="仿宋" w:hAnsi="仿宋" w:eastAsia="仿宋"/>
          <w:b/>
          <w:bCs/>
          <w:sz w:val="44"/>
          <w:szCs w:val="44"/>
          <w:lang w:eastAsia="zh-CN"/>
        </w:rPr>
        <w:t>通信大数据行程卡</w:t>
      </w:r>
    </w:p>
    <w:p>
      <w:pPr>
        <w:ind w:firstLine="525" w:firstLineChars="250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3477895</wp:posOffset>
            </wp:positionH>
            <wp:positionV relativeFrom="paragraph">
              <wp:posOffset>183515</wp:posOffset>
            </wp:positionV>
            <wp:extent cx="1924685" cy="2014855"/>
            <wp:effectExtent l="0" t="0" r="10795" b="12065"/>
            <wp:wrapSquare wrapText="bothSides"/>
            <wp:docPr id="6" name="图片 6" descr="e8c59c9a02d631fcc6808b9fd26dd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8c59c9a02d631fcc6808b9fd26ddc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2256155</wp:posOffset>
            </wp:positionV>
            <wp:extent cx="1938655" cy="3155315"/>
            <wp:effectExtent l="0" t="0" r="12065" b="14605"/>
            <wp:wrapSquare wrapText="bothSides"/>
            <wp:docPr id="5" name="图片 5" descr="5d17e0601149998f2e6e718170211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d17e0601149998f2e6e718170211d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2423160" cy="5624195"/>
            <wp:effectExtent l="0" t="0" r="0" b="1460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5624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</w:t>
      </w:r>
    </w:p>
    <w:p>
      <w:pPr>
        <w:ind w:firstLine="525" w:firstLineChars="250"/>
      </w:pPr>
    </w:p>
    <w:p>
      <w:pPr>
        <w:ind w:left="1124" w:hanging="1124" w:hangingChars="350"/>
        <w:rPr>
          <w:rFonts w:hint="eastAsia" w:ascii="仿宋" w:hAnsi="仿宋" w:eastAsia="仿宋"/>
          <w:b/>
          <w:sz w:val="32"/>
          <w:szCs w:val="32"/>
        </w:rPr>
      </w:pPr>
    </w:p>
    <w:p>
      <w:pPr>
        <w:ind w:left="1124" w:hanging="1124" w:hangingChars="350"/>
        <w:rPr>
          <w:rFonts w:hint="eastAsia" w:ascii="仿宋" w:hAnsi="仿宋" w:eastAsia="仿宋"/>
          <w:b/>
          <w:sz w:val="32"/>
          <w:szCs w:val="32"/>
        </w:rPr>
      </w:pPr>
    </w:p>
    <w:p>
      <w:pPr>
        <w:ind w:left="1124" w:hanging="1124" w:hangingChars="350"/>
        <w:rPr>
          <w:rFonts w:hint="eastAsia" w:ascii="仿宋" w:hAnsi="仿宋" w:eastAsia="仿宋"/>
          <w:b/>
          <w:sz w:val="32"/>
          <w:szCs w:val="32"/>
        </w:rPr>
      </w:pPr>
    </w:p>
    <w:p>
      <w:pPr>
        <w:ind w:left="1124" w:hanging="1124" w:hangingChars="350"/>
        <w:rPr>
          <w:rFonts w:hint="eastAsia" w:ascii="仿宋" w:hAnsi="仿宋" w:eastAsia="仿宋"/>
          <w:b/>
          <w:sz w:val="32"/>
          <w:szCs w:val="32"/>
        </w:rPr>
      </w:pPr>
    </w:p>
    <w:p>
      <w:pPr>
        <w:ind w:left="1124" w:hanging="1124" w:hangingChars="350"/>
        <w:rPr>
          <w:rFonts w:hint="eastAsia" w:ascii="仿宋" w:hAnsi="仿宋" w:eastAsia="仿宋"/>
          <w:b/>
          <w:sz w:val="32"/>
          <w:szCs w:val="32"/>
        </w:rPr>
      </w:pPr>
      <w:bookmarkStart w:id="4" w:name="_GoBack"/>
      <w:bookmarkEnd w:id="4"/>
    </w:p>
    <w:p>
      <w:pPr>
        <w:ind w:left="1124" w:hanging="1120" w:hangingChars="35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附件2 </w:t>
      </w:r>
      <w:r>
        <w:rPr>
          <w:rFonts w:hint="eastAsia" w:ascii="仿宋" w:hAnsi="仿宋" w:eastAsia="仿宋"/>
          <w:b/>
          <w:sz w:val="32"/>
          <w:szCs w:val="32"/>
        </w:rPr>
        <w:t xml:space="preserve"> </w:t>
      </w: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2021年全国职业院校技能大赛</w:t>
      </w:r>
      <w:r>
        <w:rPr>
          <w:rFonts w:hint="eastAsia" w:ascii="仿宋" w:hAnsi="仿宋" w:eastAsia="仿宋"/>
          <w:b/>
          <w:bCs/>
          <w:sz w:val="44"/>
          <w:szCs w:val="44"/>
          <w:lang w:eastAsia="zh-CN"/>
        </w:rPr>
        <w:t>福建</w:t>
      </w:r>
      <w:r>
        <w:rPr>
          <w:rFonts w:hint="eastAsia" w:ascii="仿宋" w:hAnsi="仿宋" w:eastAsia="仿宋"/>
          <w:b/>
          <w:bCs/>
          <w:sz w:val="44"/>
          <w:szCs w:val="44"/>
        </w:rPr>
        <w:t>赛区</w:t>
      </w: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大赛人员健康信息申报表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pStyle w:val="12"/>
        <w:tabs>
          <w:tab w:val="left" w:leader="underscore" w:pos="3072"/>
          <w:tab w:val="left" w:pos="3600"/>
          <w:tab w:val="left" w:leader="underscore" w:pos="6110"/>
          <w:tab w:val="left" w:pos="7387"/>
        </w:tabs>
        <w:spacing w:line="360" w:lineRule="auto"/>
        <w:jc w:val="left"/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i/>
          <w:iCs/>
          <w:color w:val="000000" w:themeColor="text1"/>
          <w14:textFill>
            <w14:solidFill>
              <w14:schemeClr w14:val="tx1"/>
            </w14:solidFill>
          </w14:textFill>
        </w:rPr>
        <w:t>姓名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（签名）：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身份证号码：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院校：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_________</w:t>
      </w:r>
    </w:p>
    <w:tbl>
      <w:tblPr>
        <w:tblStyle w:val="8"/>
        <w:tblW w:w="90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2"/>
        <w:gridCol w:w="955"/>
        <w:gridCol w:w="802"/>
        <w:gridCol w:w="2298"/>
        <w:gridCol w:w="1254"/>
        <w:gridCol w:w="2002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54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5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95" w:firstLineChars="5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3100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健康信息</w:t>
            </w:r>
          </w:p>
        </w:tc>
        <w:tc>
          <w:tcPr>
            <w:tcW w:w="3256" w:type="dxa"/>
            <w:gridSpan w:val="2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13"/>
              <w:spacing w:line="360" w:lineRule="auto"/>
              <w:ind w:firstLine="0"/>
              <w:jc w:val="center"/>
              <w:rPr>
                <w:color w:val="000000" w:themeColor="text1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行程记录</w:t>
            </w:r>
            <w:r>
              <w:rPr>
                <w:rFonts w:hint="eastAsia"/>
                <w:color w:val="000000" w:themeColor="text1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8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13"/>
              <w:spacing w:line="360" w:lineRule="auto"/>
              <w:ind w:firstLine="0"/>
              <w:jc w:val="center"/>
              <w:rPr>
                <w:color w:val="000000" w:themeColor="text1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14天内是否接触过疑似或确诊病例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W w:w="54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0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6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13"/>
              <w:spacing w:line="36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是否去过疫情高中风险及重点地区</w:t>
            </w:r>
          </w:p>
        </w:tc>
        <w:tc>
          <w:tcPr>
            <w:tcW w:w="11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5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18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口正常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口异常；具体情况：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口是；具体地点：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5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18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口正常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口异常；具体情况：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口是；具体地点：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5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18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口正常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口异常；具体情况：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口是；具体地点：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5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18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口正常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口异常；具体情况：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口是；具体地点：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5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18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口正常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口异常；具体情况：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18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口是；具体地点：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5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18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口正常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口异常；具体情况：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18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口是；具体地点：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5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18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口正常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口异常；具体情况：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18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口是；具体地点：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5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18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口正常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口异常；具体情况：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口是；具体地点：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5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18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口正常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口异常；具体情况：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口是；具体地点：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5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18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6月</w:t>
            </w:r>
            <w:r>
              <w:rPr>
                <w:rFonts w:hint="eastAsia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口正常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口异常：具体情况：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口是；具体地点：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5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18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口正常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口异常；具体情况：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18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口是；具体地点：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5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18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口正常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口异常；具体情况：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口是；具体地点：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5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180"/>
              <w:jc w:val="left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口正常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口异常；具体情况：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口是；具体地点：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5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18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口正常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口异常；具体情况：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口是；具体地点：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60" w:lineRule="auto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口是□否</w:t>
            </w:r>
          </w:p>
        </w:tc>
      </w:tr>
    </w:tbl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left="0" w:leftChars="0" w:right="0" w:rightChars="0" w:firstLine="0"/>
        <w:textAlignment w:val="auto"/>
        <w:outlineLvl w:val="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注</w:t>
      </w:r>
      <w:r>
        <w:rPr>
          <w:color w:val="000000" w:themeColor="text1"/>
          <w:sz w:val="24"/>
          <w:szCs w:val="24"/>
          <w:lang w:val="zh-CN" w:eastAsia="zh-CN" w:bidi="zh-CN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zh-CN" w:eastAsia="zh-CN" w:bidi="zh-CN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大赛人员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须认真、如实申报健康状况、中高风险地区旅居史等情况。出现发热、干 咳、咽痛、呼吸急促、恶心呕吐、腹泻、嗅（味）觉减退以及结膜红肿、皮疹 等可疑症状，或确诊急性结核病、诺如病毒感染、结膜炎、流感等传染性疾病 及其他异常的须如实填写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asciiTheme="minorEastAsia" w:hAnsiTheme="minor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大赛人员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应自行打印、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在报到14天前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填写本申报表，并在接受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大赛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前检查时向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赛场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工作人员提供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644" w:bottom="1440" w:left="1701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鏂规灏忔爣瀹嬬畝浣?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æ–¹æ­£å°æ ‡å®‹ç®€ä½“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浠垮畫_GB2312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ä»¿å®‹_GB2312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仿宋" w:hAnsi="仿宋" w:eastAsia="仿宋" w:cs="仿宋"/>
        <w:sz w:val="28"/>
        <w:szCs w:val="28"/>
      </w:rPr>
    </w:pPr>
    <w:r>
      <w:rPr>
        <w:rFonts w:hint="eastAsia" w:ascii="仿宋" w:hAnsi="仿宋" w:eastAsia="仿宋" w:cs="仿宋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d w:val="1507870576"/>
                          </w:sdtPr>
                          <w:sdtEndP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center"/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d w:val="1507870576"/>
                    </w:sdtPr>
                    <w:sdtEndP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center"/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hint="eastAsia" w:ascii="仿宋" w:hAnsi="仿宋" w:eastAsia="仿宋" w:cs="仿宋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0A"/>
    <w:rsid w:val="00303D0F"/>
    <w:rsid w:val="003108DA"/>
    <w:rsid w:val="003314B5"/>
    <w:rsid w:val="00336209"/>
    <w:rsid w:val="004F56BD"/>
    <w:rsid w:val="007330FC"/>
    <w:rsid w:val="008147EC"/>
    <w:rsid w:val="00B10DFD"/>
    <w:rsid w:val="00BE750A"/>
    <w:rsid w:val="00C475C6"/>
    <w:rsid w:val="028D41C1"/>
    <w:rsid w:val="0A377370"/>
    <w:rsid w:val="105A7805"/>
    <w:rsid w:val="118A6BA3"/>
    <w:rsid w:val="1D4D46A4"/>
    <w:rsid w:val="23326130"/>
    <w:rsid w:val="28097D6E"/>
    <w:rsid w:val="2C754F45"/>
    <w:rsid w:val="6DA45E03"/>
    <w:rsid w:val="77E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ind w:left="131"/>
    </w:pPr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9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标题 Char"/>
    <w:basedOn w:val="7"/>
    <w:link w:val="6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Table caption|1"/>
    <w:basedOn w:val="1"/>
    <w:qFormat/>
    <w:uiPriority w:val="0"/>
    <w:pPr>
      <w:autoSpaceDE/>
      <w:autoSpaceDN/>
      <w:spacing w:line="451" w:lineRule="exact"/>
      <w:jc w:val="both"/>
    </w:pPr>
    <w:rPr>
      <w:color w:val="141B31"/>
      <w:kern w:val="2"/>
      <w:sz w:val="20"/>
      <w:szCs w:val="20"/>
      <w:lang w:val="zh-TW" w:eastAsia="zh-TW" w:bidi="zh-TW"/>
    </w:rPr>
  </w:style>
  <w:style w:type="paragraph" w:customStyle="1" w:styleId="13">
    <w:name w:val="Other|1"/>
    <w:basedOn w:val="1"/>
    <w:qFormat/>
    <w:uiPriority w:val="0"/>
    <w:pPr>
      <w:autoSpaceDE/>
      <w:autoSpaceDN/>
      <w:spacing w:line="422" w:lineRule="auto"/>
      <w:ind w:firstLine="400"/>
      <w:jc w:val="both"/>
    </w:pPr>
    <w:rPr>
      <w:kern w:val="2"/>
      <w:sz w:val="28"/>
      <w:szCs w:val="28"/>
      <w:lang w:val="zh-TW" w:eastAsia="zh-TW" w:bidi="zh-TW"/>
    </w:rPr>
  </w:style>
  <w:style w:type="paragraph" w:customStyle="1" w:styleId="14">
    <w:name w:val="Body text|2"/>
    <w:basedOn w:val="1"/>
    <w:qFormat/>
    <w:uiPriority w:val="0"/>
    <w:pPr>
      <w:autoSpaceDE/>
      <w:autoSpaceDN/>
      <w:spacing w:after="40" w:line="320" w:lineRule="exact"/>
      <w:ind w:left="1300" w:hanging="720"/>
      <w:jc w:val="both"/>
    </w:pPr>
    <w:rPr>
      <w:kern w:val="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309</Words>
  <Characters>1766</Characters>
  <Lines>14</Lines>
  <Paragraphs>4</Paragraphs>
  <TotalTime>3</TotalTime>
  <ScaleCrop>false</ScaleCrop>
  <LinksUpToDate>false</LinksUpToDate>
  <CharactersWithSpaces>2071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2021-05-27T07:15:00Z</dcterms:created>
  <dc:creator>詹丹辉</dc:creator>
  <cp:lastModifiedBy>黄颖</cp:lastModifiedBy>
  <dcterms:modified xsi:type="dcterms:W3CDTF">2021-06-03T08:34:34Z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