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600"/>
        <w:jc w:val="center"/>
        <w:rPr>
          <w:rFonts w:ascii="方正小标宋_GBK" w:cs="方正小标宋_GBK" w:eastAsia="方正小标宋_GBK" w:hAnsi="方正小标宋_GBK"/>
          <w:sz w:val="36"/>
          <w:szCs w:val="36"/>
        </w:rPr>
      </w:pPr>
      <w:r>
        <w:rPr>
          <w:rFonts w:ascii="方正小标宋_GBK" w:cs="方正小标宋_GBK" w:eastAsia="方正小标宋_GBK" w:hAnsi="方正小标宋_GBK" w:hint="eastAsia"/>
          <w:sz w:val="36"/>
          <w:szCs w:val="36"/>
        </w:rPr>
        <w:t>关于召开2021年全国职业院校技能大赛高职组“中药传统技能”赛项说明会的通知</w:t>
      </w:r>
    </w:p>
    <w:p>
      <w:pPr>
        <w:pStyle w:val="style0"/>
        <w:jc w:val="center"/>
        <w:rPr>
          <w:rFonts w:ascii="宋体" w:hAnsi="宋体"/>
          <w:b/>
          <w:kern w:val="40"/>
          <w:sz w:val="36"/>
          <w:szCs w:val="36"/>
        </w:rPr>
      </w:pPr>
    </w:p>
    <w:p>
      <w:pPr>
        <w:pStyle w:val="style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各省、自治区、直辖市教育厅（教委），新疆生产建设兵团教育局，有关单位：</w:t>
      </w:r>
    </w:p>
    <w:p>
      <w:pPr>
        <w:pStyle w:val="style0"/>
        <w:ind w:firstLine="600" w:firstLineChars="2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按照2021年全国职业院校技能大赛工作统一安排，为确保高职组“中药传统技能”赛项顺利进行，经研究决定于2021年</w:t>
      </w:r>
      <w:r>
        <w:rPr>
          <w:rFonts w:ascii="Calibri" w:cs="Calibri" w:eastAsia="仿宋_GB2312" w:hAnsi="Calibri"/>
          <w:sz w:val="30"/>
          <w:szCs w:val="30"/>
        </w:rPr>
        <w:t>6</w:t>
      </w:r>
      <w:r>
        <w:rPr>
          <w:rFonts w:ascii="仿宋_GB2312" w:eastAsia="仿宋_GB2312" w:hAnsi="Calibri" w:hint="eastAsia"/>
          <w:sz w:val="30"/>
          <w:szCs w:val="30"/>
        </w:rPr>
        <w:t>月</w:t>
      </w:r>
      <w:r>
        <w:rPr>
          <w:rFonts w:ascii="Calibri" w:cs="Calibri" w:eastAsia="仿宋_GB2312" w:hAnsi="Calibri"/>
          <w:sz w:val="30"/>
          <w:szCs w:val="30"/>
        </w:rPr>
        <w:t>4</w:t>
      </w:r>
      <w:r>
        <w:rPr>
          <w:rFonts w:ascii="仿宋_GB2312" w:eastAsia="仿宋_GB2312" w:hAnsi="Calibri" w:hint="eastAsia"/>
          <w:sz w:val="30"/>
          <w:szCs w:val="30"/>
        </w:rPr>
        <w:t>日召开赛项说明会。现将有关事项通知如下：</w:t>
      </w:r>
    </w:p>
    <w:p>
      <w:pPr>
        <w:pStyle w:val="style94"/>
        <w:widowControl/>
        <w:ind w:left="601"/>
        <w:rPr>
          <w:rFonts w:ascii="仿宋_GB2312" w:cs="仿宋_GB2312" w:eastAsia="仿宋_GB2312" w:hAnsi="仿宋_GB2312"/>
          <w:b/>
          <w:bCs/>
          <w:kern w:val="2"/>
          <w:sz w:val="30"/>
          <w:szCs w:val="30"/>
        </w:rPr>
      </w:pPr>
      <w:r>
        <w:rPr>
          <w:rFonts w:ascii="仿宋_GB2312" w:cs="仿宋_GB2312" w:eastAsia="仿宋_GB2312" w:hAnsi="仿宋_GB2312" w:hint="eastAsia"/>
          <w:b/>
          <w:bCs/>
          <w:kern w:val="2"/>
          <w:sz w:val="30"/>
          <w:szCs w:val="30"/>
        </w:rPr>
        <w:t>一、会议时间</w:t>
      </w:r>
    </w:p>
    <w:p>
      <w:pPr>
        <w:pStyle w:val="style0"/>
        <w:ind w:firstLine="560" w:firstLineChars="200"/>
        <w:rPr>
          <w:rFonts w:ascii="仿宋_GB2312" w:cs="仿宋_GB2312" w:eastAsia="仿宋_GB2312" w:hAnsi="仿宋_GB2312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年6月3日13:00--6月4日12:00报到；6月4日14:00-18:00开会。</w:t>
      </w:r>
    </w:p>
    <w:p>
      <w:pPr>
        <w:pStyle w:val="style94"/>
        <w:widowControl/>
        <w:ind w:left="601"/>
        <w:rPr>
          <w:rFonts w:ascii="仿宋_GB2312" w:cs="仿宋_GB2312" w:eastAsia="仿宋_GB2312" w:hAnsi="仿宋_GB2312"/>
          <w:b/>
          <w:bCs/>
          <w:kern w:val="2"/>
          <w:sz w:val="30"/>
          <w:szCs w:val="30"/>
        </w:rPr>
      </w:pPr>
      <w:r>
        <w:rPr>
          <w:rFonts w:ascii="仿宋_GB2312" w:cs="仿宋_GB2312" w:eastAsia="仿宋_GB2312" w:hAnsi="仿宋_GB2312" w:hint="eastAsia"/>
          <w:b/>
          <w:bCs/>
          <w:kern w:val="2"/>
          <w:sz w:val="30"/>
          <w:szCs w:val="30"/>
        </w:rPr>
        <w:t>二、会议内容</w:t>
      </w:r>
    </w:p>
    <w:p>
      <w:pPr>
        <w:pStyle w:val="style94"/>
        <w:widowControl/>
        <w:rPr>
          <w:rFonts w:ascii="仿宋_GB2312" w:cs="仿宋_GB2312" w:eastAsia="仿宋_GB2312" w:hAnsi="仿宋_GB2312"/>
          <w:kern w:val="2"/>
          <w:sz w:val="30"/>
          <w:szCs w:val="30"/>
        </w:rPr>
      </w:pPr>
      <w:r>
        <w:rPr>
          <w:rFonts w:ascii="仿宋_GB2312" w:cs="仿宋_GB2312" w:eastAsia="仿宋_GB2312" w:hAnsi="仿宋_GB2312"/>
          <w:kern w:val="2"/>
          <w:sz w:val="30"/>
          <w:szCs w:val="30"/>
        </w:rPr>
        <w:tab/>
      </w:r>
      <w:r>
        <w:rPr>
          <w:rFonts w:ascii="仿宋_GB2312" w:cs="仿宋_GB2312" w:eastAsia="仿宋_GB2312" w:hAnsi="仿宋_GB2312"/>
          <w:kern w:val="2"/>
          <w:sz w:val="30"/>
          <w:szCs w:val="30"/>
        </w:rPr>
        <w:t xml:space="preserve"> </w:t>
      </w:r>
      <w:r>
        <w:rPr>
          <w:rFonts w:ascii="仿宋_GB2312" w:cs="仿宋_GB2312" w:eastAsia="仿宋_GB2312" w:hAnsi="仿宋_GB2312" w:hint="eastAsia"/>
          <w:kern w:val="2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对20</w:t>
      </w:r>
      <w:r>
        <w:rPr>
          <w:rFonts w:ascii="仿宋_GB2312" w:eastAsia="仿宋_GB2312"/>
          <w:sz w:val="30"/>
          <w:szCs w:val="30"/>
        </w:rPr>
        <w:t>21</w:t>
      </w:r>
      <w:r>
        <w:rPr>
          <w:rFonts w:ascii="仿宋_GB2312" w:eastAsia="仿宋_GB2312" w:hint="eastAsia"/>
          <w:sz w:val="30"/>
          <w:szCs w:val="30"/>
        </w:rPr>
        <w:t>年中药传统技能赛项（高职组）技术规程进行说明。</w:t>
      </w:r>
    </w:p>
    <w:p>
      <w:pPr>
        <w:pStyle w:val="style94"/>
        <w:widowControl/>
        <w:ind w:left="601"/>
        <w:rPr>
          <w:rFonts w:ascii="仿宋_GB2312" w:cs="仿宋_GB2312" w:eastAsia="仿宋_GB2312" w:hAnsi="仿宋_GB2312"/>
          <w:kern w:val="2"/>
          <w:sz w:val="30"/>
          <w:szCs w:val="30"/>
        </w:rPr>
      </w:pPr>
      <w:r>
        <w:rPr>
          <w:rFonts w:ascii="仿宋_GB2312" w:cs="仿宋_GB2312" w:eastAsia="仿宋_GB2312" w:hAnsi="仿宋_GB2312" w:hint="eastAsia"/>
          <w:kern w:val="2"/>
          <w:sz w:val="30"/>
          <w:szCs w:val="30"/>
        </w:rPr>
        <w:t>2.</w:t>
      </w:r>
      <w:r>
        <w:rPr>
          <w:rFonts w:ascii="仿宋_GB2312" w:eastAsia="仿宋_GB2312" w:hint="eastAsia"/>
          <w:sz w:val="28"/>
          <w:szCs w:val="28"/>
        </w:rPr>
        <w:t>赛事答疑。</w:t>
      </w:r>
    </w:p>
    <w:p>
      <w:pPr>
        <w:pStyle w:val="style94"/>
        <w:widowControl/>
        <w:ind w:left="60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28"/>
          <w:szCs w:val="28"/>
        </w:rPr>
        <w:t>疫情防控注意事项。</w:t>
      </w:r>
    </w:p>
    <w:p>
      <w:pPr>
        <w:pStyle w:val="style94"/>
        <w:widowControl/>
        <w:ind w:left="60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ascii="仿宋_GB2312" w:eastAsia="仿宋_GB2312" w:hint="eastAsia"/>
          <w:sz w:val="28"/>
          <w:szCs w:val="28"/>
        </w:rPr>
        <w:t>实地查看各比赛项目场地与设备。</w:t>
      </w:r>
    </w:p>
    <w:p>
      <w:pPr>
        <w:pStyle w:val="style94"/>
        <w:widowControl/>
        <w:ind w:left="601"/>
        <w:rPr>
          <w:rFonts w:ascii="仿宋_GB2312" w:cs="仿宋_GB2312" w:eastAsia="仿宋_GB2312" w:hAnsi="仿宋_GB2312"/>
          <w:b/>
          <w:bCs/>
          <w:kern w:val="2"/>
          <w:sz w:val="30"/>
          <w:szCs w:val="30"/>
        </w:rPr>
      </w:pPr>
      <w:r>
        <w:rPr>
          <w:rFonts w:ascii="仿宋_GB2312" w:cs="仿宋_GB2312" w:eastAsia="仿宋_GB2312" w:hAnsi="仿宋_GB2312" w:hint="eastAsia"/>
          <w:b/>
          <w:bCs/>
          <w:kern w:val="2"/>
          <w:sz w:val="30"/>
          <w:szCs w:val="30"/>
        </w:rPr>
        <w:t>三、会议地点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1．会议地点：重庆三峡医药高等专科学校（重庆市万州区五桥百安坝天星路3</w:t>
      </w:r>
      <w:r>
        <w:rPr>
          <w:rFonts w:ascii="仿宋_GB2312" w:eastAsia="仿宋_GB2312"/>
          <w:sz w:val="28"/>
          <w:szCs w:val="28"/>
        </w:rPr>
        <w:t>66</w:t>
      </w:r>
      <w:r>
        <w:rPr>
          <w:rFonts w:ascii="仿宋_GB2312" w:eastAsia="仿宋_GB2312" w:hint="eastAsia"/>
          <w:sz w:val="28"/>
          <w:szCs w:val="28"/>
        </w:rPr>
        <w:t xml:space="preserve">号）。 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报到地点：兰欧酒店（重庆万州观音岩店），地址：重庆市万州区沙龙路三段135号，前台电话：023-61013333。</w:t>
      </w:r>
    </w:p>
    <w:p>
      <w:pPr>
        <w:pStyle w:val="style0"/>
        <w:ind w:firstLine="600" w:firstLineChars="200"/>
        <w:rPr>
          <w:rFonts w:ascii="仿宋_GB2312" w:cs="仿宋_GB2312" w:eastAsia="仿宋_GB2312" w:hAnsi="仿宋_GB2312"/>
          <w:b/>
          <w:bCs/>
          <w:sz w:val="30"/>
          <w:szCs w:val="30"/>
        </w:rPr>
      </w:pPr>
      <w:r>
        <w:rPr>
          <w:rFonts w:ascii="仿宋_GB2312" w:cs="仿宋_GB2312" w:eastAsia="仿宋_GB2312" w:hAnsi="仿宋_GB2312" w:hint="eastAsia"/>
          <w:b/>
          <w:bCs/>
          <w:sz w:val="30"/>
          <w:szCs w:val="30"/>
        </w:rPr>
        <w:t>四、参会人员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1.各省、自治区、直辖市、新疆生产建设兵团等地区参加2</w:t>
      </w:r>
      <w:r>
        <w:rPr>
          <w:rFonts w:ascii="仿宋_GB2312" w:eastAsia="仿宋_GB2312"/>
          <w:sz w:val="28"/>
          <w:szCs w:val="28"/>
        </w:rPr>
        <w:t>021</w:t>
      </w:r>
      <w:r>
        <w:rPr>
          <w:rFonts w:ascii="仿宋_GB2312" w:eastAsia="仿宋_GB2312" w:hint="eastAsia"/>
          <w:sz w:val="28"/>
          <w:szCs w:val="28"/>
        </w:rPr>
        <w:t>年全国职业院校技能大赛（高职组）“中药传统技能”赛项的参赛队指导老师（因疫情防控的原因，每个参赛队限1名指导老师参会）。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2.赛项执委会、专家组成员代表。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赛项承办校代表。</w:t>
      </w:r>
    </w:p>
    <w:p>
      <w:pPr>
        <w:pStyle w:val="style0"/>
        <w:ind w:firstLine="560" w:firstLineChars="200"/>
        <w:rPr>
          <w:rFonts w:ascii="仿宋_GB2312" w:cs="仿宋_GB2312" w:eastAsia="仿宋_GB2312" w:hAnsi="仿宋_GB2312"/>
          <w:b/>
          <w:bCs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赛项合作企业代表。</w:t>
      </w:r>
    </w:p>
    <w:p>
      <w:pPr>
        <w:pStyle w:val="style94"/>
        <w:widowControl/>
        <w:ind w:left="601"/>
        <w:rPr>
          <w:rFonts w:ascii="仿宋_GB2312" w:cs="仿宋_GB2312" w:eastAsia="仿宋_GB2312" w:hAnsi="仿宋_GB2312"/>
          <w:b/>
          <w:bCs/>
          <w:kern w:val="2"/>
          <w:sz w:val="30"/>
          <w:szCs w:val="30"/>
        </w:rPr>
      </w:pPr>
      <w:r>
        <w:rPr>
          <w:rFonts w:ascii="仿宋_GB2312" w:cs="仿宋_GB2312" w:eastAsia="仿宋_GB2312" w:hAnsi="仿宋_GB2312" w:hint="eastAsia"/>
          <w:b/>
          <w:bCs/>
          <w:kern w:val="2"/>
          <w:sz w:val="30"/>
          <w:szCs w:val="30"/>
        </w:rPr>
        <w:t>五、其他事项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1.会议不统一安排接站，参会代表自行前往报到地点。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2.会议不收取培训费或其他费用，参会人员食宿统一安排，费用自理。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3.请各省（区、市）务必于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Calibri" w:cs="Calibri" w:eastAsia="仿宋_GB2312" w:hAnsi="Calibri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日前将报名回执</w:t>
      </w:r>
      <w:r>
        <w:rPr>
          <w:rFonts w:ascii="仿宋_GB2312" w:eastAsia="仿宋_GB2312" w:hint="default"/>
          <w:sz w:val="28"/>
          <w:szCs w:val="28"/>
          <w:lang w:val="en-US"/>
        </w:rPr>
        <w:t>(</w:t>
      </w:r>
      <w:r>
        <w:rPr>
          <w:rFonts w:ascii="仿宋_GB2312" w:eastAsia="仿宋_GB2312" w:hint="eastAsia"/>
          <w:sz w:val="28"/>
          <w:szCs w:val="28"/>
          <w:lang w:val="en-US" w:eastAsia="zh-CN"/>
        </w:rPr>
        <w:t>附件</w:t>
      </w:r>
      <w:r>
        <w:rPr>
          <w:rFonts w:ascii="仿宋_GB2312" w:eastAsia="仿宋_GB2312" w:hint="default"/>
          <w:sz w:val="28"/>
          <w:szCs w:val="28"/>
          <w:lang w:val="en-US" w:eastAsia="zh-CN"/>
        </w:rPr>
        <w:t>1)</w:t>
      </w:r>
      <w:r>
        <w:rPr>
          <w:rFonts w:ascii="仿宋_GB2312" w:eastAsia="仿宋_GB2312" w:hint="eastAsia"/>
          <w:sz w:val="28"/>
          <w:szCs w:val="28"/>
        </w:rPr>
        <w:t>发送至会务组，邮箱：</w:t>
      </w:r>
      <w:r>
        <w:rPr/>
        <w:fldChar w:fldCharType="begin"/>
      </w:r>
      <w:r>
        <w:instrText xml:space="preserve"> HYPERLINK "mailto:wangxlq2005@163.com；" </w:instrText>
      </w:r>
      <w:r>
        <w:rPr/>
        <w:fldChar w:fldCharType="separate"/>
      </w:r>
      <w:r>
        <w:rPr>
          <w:rStyle w:val="style85"/>
          <w:rFonts w:ascii="仿宋_GB2312" w:eastAsia="仿宋_GB2312" w:hint="eastAsia"/>
          <w:sz w:val="28"/>
          <w:szCs w:val="28"/>
        </w:rPr>
        <w:t>wangxlq2005@163.com；</w:t>
      </w:r>
      <w:r>
        <w:rPr/>
        <w:fldChar w:fldCharType="end"/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4.联系人：王立青（13132338899）</w:t>
      </w:r>
    </w:p>
    <w:p>
      <w:pPr>
        <w:pStyle w:val="style0"/>
        <w:widowControl/>
        <w:shd w:val="clear" w:color="auto" w:fill="ffffff"/>
        <w:spacing w:lineRule="atLeast" w:line="480"/>
        <w:ind w:firstLine="1960" w:firstLineChars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刘真言（13068394731）</w:t>
      </w:r>
    </w:p>
    <w:p>
      <w:pPr>
        <w:pStyle w:val="style94"/>
        <w:widowControl/>
        <w:ind w:left="601"/>
        <w:rPr>
          <w:rFonts w:ascii="仿宋_GB2312" w:eastAsia="仿宋_GB2312" w:hAnsi="Times New Roman"/>
          <w:kern w:val="2"/>
          <w:sz w:val="28"/>
          <w:szCs w:val="28"/>
        </w:rPr>
      </w:pPr>
      <w:r>
        <w:rPr>
          <w:rFonts w:ascii="Calibri" w:cs="Calibri" w:eastAsia="仿宋_GB2312" w:hAnsi="Calibri"/>
          <w:sz w:val="28"/>
          <w:szCs w:val="28"/>
        </w:rPr>
        <w:t xml:space="preserve">   </w:t>
      </w:r>
      <w:r>
        <w:rPr>
          <w:rFonts w:ascii="仿宋_GB2312" w:eastAsia="仿宋_GB2312" w:hAnsi="Arial Narrow" w:hint="eastAsia"/>
          <w:sz w:val="30"/>
          <w:szCs w:val="30"/>
        </w:rPr>
        <w:t>2021年全国职业院校技能</w:t>
      </w:r>
      <w:r>
        <w:rPr>
          <w:rFonts w:ascii="仿宋_GB2312" w:eastAsia="仿宋_GB2312" w:hAnsi="Times New Roman" w:hint="eastAsia"/>
          <w:kern w:val="2"/>
          <w:sz w:val="28"/>
          <w:szCs w:val="28"/>
        </w:rPr>
        <w:t>大赛中药传统技能赛项执委会</w:t>
      </w:r>
    </w:p>
    <w:p>
      <w:pPr>
        <w:pStyle w:val="style0"/>
        <w:widowControl/>
        <w:spacing w:lineRule="exact" w:line="560"/>
        <w:ind w:left="3914" w:leftChars="1597" w:right="-874" w:rightChars="-416" w:hanging="560" w:hangingChars="20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cs="Times New Roman" w:eastAsia="仿宋_GB2312" w:hAnsi="Times New Roman" w:hint="eastAsia"/>
          <w:sz w:val="28"/>
          <w:szCs w:val="28"/>
        </w:rPr>
        <w:t>（重庆三峡医药高等专科学校代章）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cs="Times New Roman" w:eastAsia="仿宋_GB2312" w:hAnsi="Times New Roman"/>
          <w:sz w:val="28"/>
          <w:szCs w:val="28"/>
        </w:rPr>
        <w:t xml:space="preserve">                                 </w:t>
      </w:r>
      <w:r>
        <w:rPr>
          <w:rFonts w:ascii="仿宋_GB2312" w:cs="Times New Roman" w:eastAsia="仿宋_GB2312" w:hAnsi="Times New Roman" w:hint="eastAsia"/>
          <w:sz w:val="28"/>
          <w:szCs w:val="28"/>
        </w:rPr>
        <w:t>2021年5月24日</w:t>
      </w:r>
    </w:p>
    <w:p>
      <w:pPr>
        <w:pStyle w:val="style0"/>
        <w:spacing w:lineRule="exact" w:line="60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 </w:t>
      </w:r>
    </w:p>
    <w:p>
      <w:pPr>
        <w:pStyle w:val="style0"/>
        <w:spacing w:lineRule="exact" w:line="600"/>
        <w:ind w:firstLine="420" w:firstLineChars="200"/>
        <w:rPr>
          <w:rFonts w:ascii="黑体" w:eastAsia="黑体" w:hAnsi="黑体"/>
          <w:szCs w:val="32"/>
        </w:rPr>
        <w:sectPr>
          <w:footerReference w:type="default" r:id="rId2"/>
          <w:pgSz w:w="11906" w:h="16838" w:orient="portrait"/>
          <w:pgMar w:top="1440" w:right="1800" w:bottom="1440" w:left="1800" w:header="851" w:footer="992" w:gutter="0"/>
          <w:cols w:space="425"/>
          <w:docGrid w:type="lines" w:linePitch="312"/>
        </w:sectPr>
      </w:pPr>
    </w:p>
    <w:p>
      <w:pPr>
        <w:pStyle w:val="style0"/>
        <w:spacing w:lineRule="exact" w:line="600"/>
        <w:ind w:firstLine="600" w:firstLineChars="2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附件1：</w:t>
      </w:r>
    </w:p>
    <w:p>
      <w:pPr>
        <w:pStyle w:val="style0"/>
        <w:spacing w:lineRule="exact" w:line="600"/>
        <w:ind w:firstLine="720" w:firstLineChars="20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bCs/>
          <w:sz w:val="36"/>
          <w:szCs w:val="36"/>
        </w:rPr>
        <w:t>20</w:t>
      </w:r>
      <w:r>
        <w:rPr>
          <w:rFonts w:ascii="方正小标宋简体" w:eastAsia="方正小标宋简体" w:hAnsi="黑体"/>
          <w:bCs/>
          <w:sz w:val="36"/>
          <w:szCs w:val="36"/>
        </w:rPr>
        <w:t>21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年全国职业院校技能大赛（高职组）中药传统技能赛项说明会</w:t>
      </w:r>
      <w:r>
        <w:rPr>
          <w:rFonts w:ascii="方正小标宋简体" w:eastAsia="方正小标宋简体" w:hAnsi="黑体" w:hint="eastAsia"/>
          <w:sz w:val="36"/>
          <w:szCs w:val="36"/>
        </w:rPr>
        <w:t>回执</w:t>
      </w:r>
    </w:p>
    <w:tbl>
      <w:tblPr>
        <w:tblStyle w:val="style154"/>
        <w:tblW w:w="5000" w:type="pct"/>
        <w:jc w:val="center"/>
        <w:tblLook w:val="04A0" w:firstRow="1" w:lastRow="0" w:firstColumn="1" w:lastColumn="0" w:noHBand="0" w:noVBand="1"/>
      </w:tblPr>
      <w:tblGrid>
        <w:gridCol w:w="970"/>
        <w:gridCol w:w="2245"/>
        <w:gridCol w:w="1055"/>
        <w:gridCol w:w="1052"/>
        <w:gridCol w:w="1505"/>
        <w:gridCol w:w="1505"/>
        <w:gridCol w:w="1355"/>
        <w:gridCol w:w="1355"/>
        <w:gridCol w:w="1355"/>
        <w:gridCol w:w="1777"/>
      </w:tblGrid>
      <w:tr>
        <w:trPr>
          <w:jc w:val="center"/>
        </w:trPr>
        <w:tc>
          <w:tcPr>
            <w:tcW w:w="342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省份</w:t>
            </w:r>
          </w:p>
        </w:tc>
        <w:tc>
          <w:tcPr>
            <w:tcW w:w="792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72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371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hint="eastAsia"/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到达时间</w:t>
            </w: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返程时间</w:t>
            </w:r>
          </w:p>
        </w:tc>
        <w:tc>
          <w:tcPr>
            <w:tcW w:w="627" w:type="pc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住宿要求</w:t>
            </w:r>
          </w:p>
          <w:p>
            <w:pPr>
              <w:pStyle w:val="style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□单住□合住</w:t>
            </w:r>
          </w:p>
        </w:tc>
      </w:tr>
      <w:tr>
        <w:tblPrEx/>
        <w:trPr>
          <w:jc w:val="center"/>
        </w:trPr>
        <w:tc>
          <w:tcPr>
            <w:tcW w:w="34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9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627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34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9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627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34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9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627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34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9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627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34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9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627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34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9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627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34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9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627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34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9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627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>
          <w:jc w:val="center"/>
        </w:trPr>
        <w:tc>
          <w:tcPr>
            <w:tcW w:w="34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9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2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37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31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78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627" w:type="pct"/>
            <w:tcBorders/>
            <w:vAlign w:val="center"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</w:tbl>
    <w:p>
      <w:pPr>
        <w:pStyle w:val="style0"/>
        <w:widowControl/>
        <w:jc w:val="left"/>
        <w:rPr>
          <w:rFonts w:ascii="黑体" w:cs="宋体" w:eastAsia="黑体" w:hAnsi="黑体"/>
          <w:color w:val="000000"/>
          <w:kern w:val="0"/>
          <w:sz w:val="30"/>
          <w:szCs w:val="30"/>
        </w:rPr>
      </w:pPr>
      <w:r>
        <w:rPr>
          <w:rFonts w:ascii="黑体" w:cs="宋体" w:eastAsia="黑体" w:hAnsi="黑体"/>
          <w:color w:val="000000"/>
          <w:kern w:val="0"/>
          <w:sz w:val="30"/>
          <w:szCs w:val="30"/>
        </w:rPr>
        <w:br w:type="page"/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黑体" w:cs="宋体" w:eastAsia="黑体" w:hAnsi="黑体"/>
          <w:color w:val="000000"/>
          <w:kern w:val="0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>
      <w:pPr>
        <w:pStyle w:val="style0"/>
        <w:widowControl/>
        <w:shd w:val="clear" w:color="auto" w:fill="ffffff"/>
        <w:spacing w:lineRule="atLeast" w:line="480"/>
        <w:rPr>
          <w:rFonts w:ascii="黑体" w:cs="宋体" w:eastAsia="黑体" w:hAnsi="黑体"/>
          <w:color w:val="000000"/>
          <w:kern w:val="0"/>
          <w:sz w:val="30"/>
          <w:szCs w:val="30"/>
        </w:rPr>
      </w:pPr>
      <w:r>
        <w:rPr>
          <w:rFonts w:ascii="黑体" w:cs="宋体" w:eastAsia="黑体" w:hAnsi="黑体" w:hint="eastAsia"/>
          <w:color w:val="000000"/>
          <w:kern w:val="0"/>
          <w:sz w:val="30"/>
          <w:szCs w:val="30"/>
        </w:rPr>
        <w:t>附件2：</w:t>
      </w:r>
    </w:p>
    <w:p>
      <w:pPr>
        <w:pStyle w:val="style0"/>
        <w:widowControl/>
        <w:shd w:val="clear" w:color="auto" w:fill="ffffff"/>
        <w:spacing w:lineRule="atLeast" w:line="480"/>
        <w:jc w:val="center"/>
        <w:rPr>
          <w:rFonts w:ascii="方正小标宋简体" w:cs="宋体" w:eastAsia="方正小标宋简体" w:hAnsi="黑体"/>
          <w:color w:val="000000"/>
          <w:kern w:val="0"/>
          <w:sz w:val="30"/>
          <w:szCs w:val="30"/>
        </w:rPr>
      </w:pPr>
      <w:r>
        <w:rPr>
          <w:rFonts w:ascii="方正小标宋简体" w:cs="宋体" w:eastAsia="方正小标宋简体" w:hAnsi="黑体" w:hint="eastAsia"/>
          <w:color w:val="000000"/>
          <w:kern w:val="0"/>
          <w:sz w:val="30"/>
          <w:szCs w:val="30"/>
        </w:rPr>
        <w:t>会议报到酒店乘车路线</w:t>
      </w:r>
    </w:p>
    <w:p>
      <w:pPr>
        <w:pStyle w:val="style0"/>
        <w:widowControl/>
        <w:shd w:val="clear" w:color="auto" w:fill="ffffff"/>
        <w:spacing w:lineRule="atLeast" w:line="480"/>
        <w:jc w:val="center"/>
        <w:rPr>
          <w:rFonts w:ascii="仿宋" w:cs="宋体" w:eastAsia="仿宋" w:hAnsi="仿宋"/>
          <w:color w:val="000000"/>
          <w:kern w:val="0"/>
          <w:sz w:val="30"/>
          <w:szCs w:val="30"/>
        </w:rPr>
      </w:pP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1.高铁万州北站——</w:t>
      </w:r>
      <w:r>
        <w:rPr>
          <w:rFonts w:ascii="仿宋_GB2312" w:eastAsia="仿宋_GB2312" w:hint="eastAsia"/>
          <w:sz w:val="28"/>
          <w:szCs w:val="28"/>
        </w:rPr>
        <w:t>兰欧</w:t>
      </w:r>
      <w:r>
        <w:rPr>
          <w:rFonts w:ascii="仿宋_GB2312" w:eastAsia="仿宋_GB2312" w:hint="eastAsia"/>
          <w:sz w:val="28"/>
          <w:szCs w:val="28"/>
        </w:rPr>
        <w:t>宾馆。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全程约</w:t>
      </w:r>
      <w:r>
        <w:rPr>
          <w:rFonts w:ascii="仿宋_GB2312" w:eastAsia="仿宋_GB2312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公里，打车约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0分钟，费用约</w:t>
      </w:r>
      <w:r>
        <w:rPr>
          <w:rFonts w:ascii="仿宋_GB2312" w:eastAsia="仿宋_GB2312"/>
          <w:sz w:val="28"/>
          <w:szCs w:val="28"/>
        </w:rPr>
        <w:t>50</w:t>
      </w:r>
      <w:r>
        <w:rPr>
          <w:rFonts w:ascii="仿宋_GB2312" w:eastAsia="仿宋_GB2312" w:hint="eastAsia"/>
          <w:sz w:val="28"/>
          <w:szCs w:val="28"/>
        </w:rPr>
        <w:t>元。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公共交通路线：乘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路公交车（</w:t>
      </w:r>
      <w:r>
        <w:rPr>
          <w:rFonts w:ascii="仿宋_GB2312" w:eastAsia="仿宋_GB2312" w:hint="eastAsia"/>
          <w:sz w:val="28"/>
          <w:szCs w:val="28"/>
        </w:rPr>
        <w:t>双河口</w:t>
      </w:r>
      <w:r>
        <w:rPr>
          <w:rFonts w:ascii="仿宋_GB2312" w:eastAsia="仿宋_GB2312" w:hint="eastAsia"/>
          <w:sz w:val="28"/>
          <w:szCs w:val="28"/>
        </w:rPr>
        <w:t>方向），到</w:t>
      </w:r>
      <w:r>
        <w:rPr>
          <w:rFonts w:ascii="仿宋_GB2312" w:eastAsia="仿宋_GB2312" w:hint="eastAsia"/>
          <w:sz w:val="28"/>
          <w:szCs w:val="28"/>
        </w:rPr>
        <w:t>观音岩</w:t>
      </w:r>
      <w:r>
        <w:rPr>
          <w:rFonts w:ascii="仿宋_GB2312" w:eastAsia="仿宋_GB2312" w:hint="eastAsia"/>
          <w:sz w:val="28"/>
          <w:szCs w:val="28"/>
        </w:rPr>
        <w:t>站下车，步行约</w:t>
      </w:r>
      <w:r>
        <w:rPr>
          <w:rFonts w:ascii="仿宋_GB2312" w:eastAsia="仿宋_GB2312"/>
          <w:sz w:val="28"/>
          <w:szCs w:val="28"/>
        </w:rPr>
        <w:t>150</w:t>
      </w:r>
      <w:r>
        <w:rPr>
          <w:rFonts w:ascii="仿宋_GB2312" w:eastAsia="仿宋_GB2312" w:hint="eastAsia"/>
          <w:sz w:val="28"/>
          <w:szCs w:val="28"/>
        </w:rPr>
        <w:t>米即到，全程约需</w:t>
      </w:r>
      <w:r>
        <w:rPr>
          <w:rFonts w:ascii="仿宋_GB2312" w:eastAsia="仿宋_GB2312"/>
          <w:sz w:val="28"/>
          <w:szCs w:val="28"/>
        </w:rPr>
        <w:t>66</w:t>
      </w:r>
      <w:r>
        <w:rPr>
          <w:rFonts w:ascii="仿宋_GB2312" w:eastAsia="仿宋_GB2312" w:hint="eastAsia"/>
          <w:sz w:val="28"/>
          <w:szCs w:val="28"/>
        </w:rPr>
        <w:t>分钟</w:t>
      </w:r>
      <w:r>
        <w:rPr>
          <w:rFonts w:ascii="仿宋_GB2312" w:eastAsia="仿宋_GB2312" w:hint="eastAsia"/>
          <w:sz w:val="28"/>
          <w:szCs w:val="28"/>
        </w:rPr>
        <w:t>，费用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元/人。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2.万州火车站——</w:t>
      </w:r>
      <w:r>
        <w:rPr>
          <w:rFonts w:ascii="仿宋_GB2312" w:eastAsia="仿宋_GB2312" w:hint="eastAsia"/>
          <w:sz w:val="28"/>
          <w:szCs w:val="28"/>
        </w:rPr>
        <w:t>兰欧宾馆</w:t>
      </w:r>
      <w:r>
        <w:rPr>
          <w:rFonts w:ascii="仿宋_GB2312" w:eastAsia="仿宋_GB2312" w:hint="eastAsia"/>
          <w:sz w:val="28"/>
          <w:szCs w:val="28"/>
        </w:rPr>
        <w:t>。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全程约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公里，打车约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分钟，费用约</w:t>
      </w:r>
      <w:r>
        <w:rPr>
          <w:rFonts w:ascii="仿宋_GB2312" w:eastAsia="仿宋_GB2312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元。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公共交通路线：乘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路公交车（</w:t>
      </w:r>
      <w:r>
        <w:rPr>
          <w:rFonts w:ascii="仿宋_GB2312" w:eastAsia="仿宋_GB2312" w:hint="eastAsia"/>
          <w:sz w:val="28"/>
          <w:szCs w:val="28"/>
        </w:rPr>
        <w:t>江南新区</w:t>
      </w:r>
      <w:r>
        <w:rPr>
          <w:rFonts w:ascii="仿宋_GB2312" w:eastAsia="仿宋_GB2312" w:hint="eastAsia"/>
          <w:sz w:val="28"/>
          <w:szCs w:val="28"/>
        </w:rPr>
        <w:t>方向）</w:t>
      </w:r>
      <w:r>
        <w:rPr>
          <w:rFonts w:ascii="仿宋_GB2312" w:eastAsia="仿宋_GB2312" w:hint="eastAsia"/>
          <w:sz w:val="28"/>
          <w:szCs w:val="28"/>
        </w:rPr>
        <w:t>或1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路公交车（高铁北站方向）</w:t>
      </w:r>
      <w:r>
        <w:rPr>
          <w:rFonts w:ascii="仿宋_GB2312" w:eastAsia="仿宋_GB2312" w:hint="eastAsia"/>
          <w:sz w:val="28"/>
          <w:szCs w:val="28"/>
        </w:rPr>
        <w:t>，到</w:t>
      </w:r>
      <w:r>
        <w:rPr>
          <w:rFonts w:ascii="仿宋_GB2312" w:eastAsia="仿宋_GB2312" w:hint="eastAsia"/>
          <w:sz w:val="28"/>
          <w:szCs w:val="28"/>
        </w:rPr>
        <w:t>观音岩</w:t>
      </w:r>
      <w:r>
        <w:rPr>
          <w:rFonts w:ascii="仿宋_GB2312" w:eastAsia="仿宋_GB2312" w:hint="eastAsia"/>
          <w:sz w:val="28"/>
          <w:szCs w:val="28"/>
        </w:rPr>
        <w:t>站下车，步行约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米即到，全程约需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ascii="仿宋_GB2312" w:eastAsia="仿宋_GB2312" w:hint="eastAsia"/>
          <w:sz w:val="28"/>
          <w:szCs w:val="28"/>
        </w:rPr>
        <w:t>分钟，费用2元/人。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3.万州五桥机场——</w:t>
      </w:r>
      <w:r>
        <w:rPr>
          <w:rFonts w:ascii="仿宋_GB2312" w:eastAsia="仿宋_GB2312" w:hint="eastAsia"/>
          <w:sz w:val="28"/>
          <w:szCs w:val="28"/>
        </w:rPr>
        <w:t>兰欧宾馆</w:t>
      </w:r>
      <w:r>
        <w:rPr>
          <w:rFonts w:ascii="仿宋_GB2312" w:eastAsia="仿宋_GB2312" w:hint="eastAsia"/>
          <w:sz w:val="28"/>
          <w:szCs w:val="28"/>
        </w:rPr>
        <w:t>。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全程约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公里，打车约</w:t>
      </w:r>
      <w:r>
        <w:rPr>
          <w:rFonts w:ascii="仿宋_GB2312" w:eastAsia="仿宋_GB2312"/>
          <w:sz w:val="28"/>
          <w:szCs w:val="28"/>
        </w:rPr>
        <w:t>27</w:t>
      </w:r>
      <w:r>
        <w:rPr>
          <w:rFonts w:ascii="仿宋_GB2312" w:eastAsia="仿宋_GB2312" w:hint="eastAsia"/>
          <w:sz w:val="28"/>
          <w:szCs w:val="28"/>
        </w:rPr>
        <w:t>分钟，费用约</w:t>
      </w:r>
      <w:r>
        <w:rPr>
          <w:rFonts w:ascii="仿宋_GB2312" w:eastAsia="仿宋_GB2312"/>
          <w:sz w:val="28"/>
          <w:szCs w:val="28"/>
        </w:rPr>
        <w:t>50</w:t>
      </w:r>
      <w:r>
        <w:rPr>
          <w:rFonts w:ascii="仿宋_GB2312" w:eastAsia="仿宋_GB2312" w:hint="eastAsia"/>
          <w:sz w:val="28"/>
          <w:szCs w:val="28"/>
        </w:rPr>
        <w:t>元。</w:t>
      </w:r>
    </w:p>
    <w:p>
      <w:pPr>
        <w:pStyle w:val="style0"/>
        <w:widowControl/>
        <w:shd w:val="clear" w:color="auto" w:fill="ffffff"/>
        <w:spacing w:lineRule="atLeast" w:line="480"/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公共交通路线：乘机场大巴（机场—南站，汽车南站方向），到汽车南站下车，同站换乘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路公交车（</w:t>
      </w:r>
      <w:r>
        <w:rPr>
          <w:rFonts w:ascii="仿宋_GB2312" w:eastAsia="仿宋_GB2312" w:hint="eastAsia"/>
          <w:sz w:val="28"/>
          <w:szCs w:val="28"/>
        </w:rPr>
        <w:t>金狮剧院</w:t>
      </w:r>
      <w:r>
        <w:rPr>
          <w:rFonts w:ascii="仿宋_GB2312" w:eastAsia="仿宋_GB2312" w:hint="eastAsia"/>
          <w:sz w:val="28"/>
          <w:szCs w:val="28"/>
        </w:rPr>
        <w:t>方向），到</w:t>
      </w:r>
      <w:r>
        <w:rPr>
          <w:rFonts w:ascii="仿宋_GB2312" w:eastAsia="仿宋_GB2312" w:hint="eastAsia"/>
          <w:sz w:val="28"/>
          <w:szCs w:val="28"/>
        </w:rPr>
        <w:t>观音岩</w:t>
      </w:r>
      <w:r>
        <w:rPr>
          <w:rFonts w:ascii="仿宋_GB2312" w:eastAsia="仿宋_GB2312" w:hint="eastAsia"/>
          <w:sz w:val="28"/>
          <w:szCs w:val="28"/>
        </w:rPr>
        <w:t>站下车，步行约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米即到，全程约需</w:t>
      </w:r>
      <w:r>
        <w:rPr>
          <w:rFonts w:ascii="仿宋_GB2312" w:eastAsia="仿宋_GB2312"/>
          <w:sz w:val="28"/>
          <w:szCs w:val="28"/>
        </w:rPr>
        <w:t>69</w:t>
      </w:r>
      <w:r>
        <w:rPr>
          <w:rFonts w:ascii="仿宋_GB2312" w:eastAsia="仿宋_GB2312" w:hint="eastAsia"/>
          <w:sz w:val="28"/>
          <w:szCs w:val="28"/>
        </w:rPr>
        <w:t>分钟，费用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元/人。</w:t>
      </w:r>
    </w:p>
    <w:p>
      <w:pPr>
        <w:pStyle w:val="style0"/>
        <w:widowControl/>
        <w:shd w:val="clear" w:color="auto" w:fill="ffffff"/>
        <w:spacing w:lineRule="atLeast" w:line="480"/>
        <w:rPr>
          <w:rFonts w:ascii="仿宋_GB2312" w:eastAsia="仿宋_GB2312"/>
          <w:sz w:val="28"/>
          <w:szCs w:val="28"/>
        </w:rPr>
      </w:pPr>
    </w:p>
    <w:p>
      <w:pPr>
        <w:pStyle w:val="style0"/>
        <w:widowControl/>
        <w:shd w:val="clear" w:color="auto" w:fill="ffffff"/>
        <w:spacing w:lineRule="atLeast" w:line="480"/>
        <w:rPr>
          <w:rFonts w:ascii="仿宋_GB2312" w:eastAsia="仿宋_GB2312"/>
          <w:sz w:val="28"/>
          <w:szCs w:val="28"/>
        </w:rPr>
      </w:pPr>
    </w:p>
    <w:p>
      <w:pPr>
        <w:pStyle w:val="style0"/>
        <w:widowControl/>
        <w:shd w:val="clear" w:color="auto" w:fill="ffffff"/>
        <w:spacing w:lineRule="atLeast" w:line="480"/>
        <w:rPr>
          <w:rFonts w:ascii="仿宋_GB2312" w:eastAsia="仿宋_GB2312"/>
          <w:sz w:val="28"/>
          <w:szCs w:val="28"/>
        </w:rPr>
      </w:pPr>
    </w:p>
    <w:p>
      <w:pPr>
        <w:pStyle w:val="style0"/>
        <w:widowControl/>
        <w:shd w:val="clear" w:color="auto" w:fill="ffffff"/>
        <w:spacing w:lineRule="atLeast" w:line="480"/>
        <w:rPr>
          <w:rFonts w:ascii="仿宋_GB2312" w:eastAsia="仿宋_GB2312"/>
          <w:sz w:val="28"/>
          <w:szCs w:val="28"/>
        </w:rPr>
      </w:pPr>
    </w:p>
    <w:p>
      <w:pPr>
        <w:pStyle w:val="style0"/>
        <w:widowControl/>
        <w:shd w:val="clear" w:color="auto" w:fill="ffffff"/>
        <w:spacing w:lineRule="atLeast" w:line="480"/>
        <w:rPr>
          <w:rFonts w:ascii="仿宋_GB2312" w:eastAsia="仿宋_GB2312"/>
          <w:sz w:val="28"/>
          <w:szCs w:val="28"/>
        </w:rPr>
      </w:pPr>
    </w:p>
    <w:p>
      <w:pPr>
        <w:pStyle w:val="style0"/>
        <w:widowControl/>
        <w:shd w:val="clear" w:color="auto" w:fill="ffffff"/>
        <w:spacing w:lineRule="atLeast" w: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.交通图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noProof/>
          <w:kern w:val="0"/>
          <w:sz w:val="24"/>
          <w:szCs w:val="24"/>
        </w:rPr>
        <w:drawing>
          <wp:inline distL="0" distT="0" distB="0" distR="0">
            <wp:extent cx="5278120" cy="4036695"/>
            <wp:effectExtent l="0" t="0" r="0" b="1905"/>
            <wp:docPr id="1026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8120" cy="403669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jc w:val="left"/>
        <w:rPr/>
      </w:pPr>
    </w:p>
    <w:sectPr>
      <w:pgSz w:w="11906" w:h="16838" w:orient="portrait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character" w:customStyle="1" w:styleId="style4097">
    <w:name w:val="批注框文本 字符"/>
    <w:basedOn w:val="style65"/>
    <w:next w:val="style4097"/>
    <w:link w:val="style153"/>
    <w:qFormat/>
    <w:uiPriority w:val="99"/>
    <w:rPr>
      <w:sz w:val="18"/>
      <w:szCs w:val="18"/>
    </w:rPr>
  </w:style>
  <w:style w:type="character" w:customStyle="1" w:styleId="style4098">
    <w:name w:val="页眉 字符"/>
    <w:basedOn w:val="style65"/>
    <w:next w:val="style4098"/>
    <w:link w:val="style31"/>
    <w:qFormat/>
    <w:uiPriority w:val="99"/>
    <w:rPr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qFormat/>
    <w:uiPriority w:val="99"/>
    <w:rPr>
      <w:sz w:val="18"/>
      <w:szCs w:val="18"/>
    </w:rPr>
  </w:style>
  <w:style w:type="paragraph" w:styleId="style94">
    <w:name w:val="Normal (Web)"/>
    <w:next w:val="style94"/>
    <w:qFormat/>
    <w:pPr>
      <w:widowControl w:val="false"/>
    </w:pPr>
    <w:rPr>
      <w:rFonts w:ascii="Calibri" w:eastAsia="宋体" w:hAnsi="Calibri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image" Target="media/image1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Words>1000</Words>
  <Pages>5</Pages>
  <Characters>1146</Characters>
  <Application>WPS Office</Application>
  <DocSecurity>0</DocSecurity>
  <Paragraphs>168</Paragraphs>
  <ScaleCrop>false</ScaleCrop>
  <LinksUpToDate>false</LinksUpToDate>
  <CharactersWithSpaces>1189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2019-04-16T02:15:00Z</dcterms:created>
  <dc:creator>lenovo</dc:creator>
  <lastModifiedBy>MI 8</lastModifiedBy>
  <lastPrinted>2018-04-08T00:55:00Z</lastPrinted>
  <dcterms:modified xsi:type="dcterms:W3CDTF">2021-05-25T12:13:48Z</dcterms:modified>
  <revision>109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07585089EC43467A8CB21294E0B18A67</vt:lpwstr>
  </property>
</Properties>
</file>