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</w:pPr>
      <w:r>
        <w:rPr>
          <w:rFonts w:hint="eastAsia" w:ascii="黑体" w:hAnsi="黑体" w:eastAsia="黑体" w:cs="黑体"/>
          <w:sz w:val="32"/>
          <w:szCs w:val="32"/>
        </w:rPr>
        <w:t>职业院校技能大赛信息统计表</w:t>
      </w:r>
    </w:p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一、各校竞赛制度建设情况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（包括管理、赛项设立、选拔等）</w:t>
      </w:r>
    </w:p>
    <w:tbl>
      <w:tblPr>
        <w:tblStyle w:val="4"/>
        <w:tblW w:w="87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187"/>
        <w:gridCol w:w="2065"/>
        <w:gridCol w:w="30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省份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学校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制度建设年份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制度名称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（附承办赛项制度文本）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二、承办国赛、省级赛事媒体报道典型案例</w:t>
      </w:r>
      <w:r>
        <w:rPr>
          <w:rFonts w:hint="eastAsia" w:ascii="仿宋_GB2312" w:eastAsia="仿宋_GB2312"/>
          <w:sz w:val="32"/>
          <w:szCs w:val="32"/>
        </w:rPr>
        <w:t>（附原图、媒体名称时间及视频资料）</w:t>
      </w: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b/>
          <w:bCs/>
          <w:sz w:val="32"/>
          <w:szCs w:val="32"/>
        </w:rPr>
        <w:t>、竞赛助推职业教育改革典型案例</w:t>
      </w:r>
      <w:r>
        <w:rPr>
          <w:rFonts w:hint="eastAsia" w:ascii="仿宋_GB2312" w:eastAsia="仿宋_GB2312"/>
          <w:sz w:val="32"/>
          <w:szCs w:val="32"/>
        </w:rPr>
        <w:t>（1-2个案例，附照片原图）</w:t>
      </w: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b/>
          <w:bCs/>
          <w:sz w:val="32"/>
          <w:szCs w:val="32"/>
        </w:rPr>
        <w:t>、赛项同期活动方案与总结</w:t>
      </w:r>
      <w:r>
        <w:rPr>
          <w:rFonts w:hint="eastAsia" w:ascii="仿宋_GB2312" w:eastAsia="仿宋_GB2312"/>
          <w:sz w:val="32"/>
          <w:szCs w:val="32"/>
        </w:rPr>
        <w:t>（图文）</w:t>
      </w: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b/>
          <w:bCs/>
          <w:sz w:val="32"/>
          <w:szCs w:val="32"/>
        </w:rPr>
        <w:t>、国（境）外参赛、观摩典型案例</w:t>
      </w: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/>
          <w:b/>
          <w:bCs/>
          <w:sz w:val="32"/>
          <w:szCs w:val="32"/>
        </w:rPr>
        <w:t>、承办赛项东西部院校、师生交流情况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before="156" w:beforeLines="50" w:after="156" w:afterLines="50" w:line="360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大赛促进校企合作、产教融合典型案例</w:t>
      </w:r>
    </w:p>
    <w:p>
      <w:pPr>
        <w:pStyle w:val="2"/>
        <w:spacing w:after="0" w:line="600" w:lineRule="exact"/>
        <w:ind w:left="0" w:leftChars="0"/>
        <w:rPr>
          <w:rFonts w:ascii="黑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30"/>
          <w:szCs w:val="30"/>
        </w:rPr>
        <w:t>一、基本情况</w:t>
      </w:r>
    </w:p>
    <w:tbl>
      <w:tblPr>
        <w:tblStyle w:val="4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6" w:hRule="atLeast"/>
          <w:jc w:val="center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概述校企合作双方的基本情况和合作背景，合作目标与具体内容等。</w:t>
            </w: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pStyle w:val="2"/>
        <w:spacing w:after="0"/>
        <w:ind w:left="0" w:leftChars="0"/>
        <w:rPr>
          <w:rFonts w:ascii="仿宋_GB2312" w:hAnsi="宋体" w:eastAsia="仿宋_GB2312"/>
          <w:b/>
          <w:sz w:val="30"/>
          <w:szCs w:val="30"/>
        </w:rPr>
      </w:pPr>
    </w:p>
    <w:p>
      <w:pPr>
        <w:pStyle w:val="2"/>
        <w:spacing w:after="0"/>
        <w:ind w:left="0" w:leftChars="0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二、具体做法</w:t>
      </w:r>
    </w:p>
    <w:tbl>
      <w:tblPr>
        <w:tblStyle w:val="4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1" w:hRule="atLeast"/>
          <w:jc w:val="center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阐述校企合作模式、运行机制、共享机制、队伍建设、保障体系等方面所</w:t>
            </w:r>
            <w:r>
              <w:rPr>
                <w:rFonts w:ascii="楷体_GB2312" w:eastAsia="楷体_GB2312"/>
                <w:b/>
                <w:sz w:val="24"/>
              </w:rPr>
              <w:t>做的</w:t>
            </w:r>
            <w:r>
              <w:rPr>
                <w:rFonts w:hint="eastAsia" w:ascii="楷体_GB2312" w:eastAsia="楷体_GB2312"/>
                <w:b/>
                <w:sz w:val="24"/>
              </w:rPr>
              <w:t>主要</w:t>
            </w:r>
            <w:r>
              <w:rPr>
                <w:rFonts w:ascii="楷体_GB2312" w:eastAsia="楷体_GB2312"/>
                <w:b/>
                <w:sz w:val="24"/>
              </w:rPr>
              <w:t>工作和</w:t>
            </w:r>
            <w:r>
              <w:rPr>
                <w:rFonts w:hint="eastAsia" w:ascii="楷体_GB2312" w:eastAsia="楷体_GB2312"/>
                <w:b/>
                <w:sz w:val="24"/>
              </w:rPr>
              <w:t>具体</w:t>
            </w:r>
            <w:r>
              <w:rPr>
                <w:rFonts w:ascii="楷体_GB2312" w:eastAsia="楷体_GB2312"/>
                <w:b/>
                <w:sz w:val="24"/>
              </w:rPr>
              <w:t>做法</w:t>
            </w:r>
            <w:r>
              <w:rPr>
                <w:rFonts w:hint="eastAsia" w:ascii="楷体_GB2312" w:eastAsia="楷体_GB2312"/>
                <w:b/>
                <w:sz w:val="24"/>
              </w:rPr>
              <w:t>。</w:t>
            </w: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pStyle w:val="2"/>
        <w:spacing w:after="0"/>
        <w:ind w:left="0" w:leftChars="0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三、成效与</w:t>
      </w:r>
      <w:r>
        <w:rPr>
          <w:rFonts w:ascii="仿宋_GB2312" w:hAnsi="宋体" w:eastAsia="仿宋_GB2312"/>
          <w:b/>
          <w:sz w:val="30"/>
          <w:szCs w:val="30"/>
        </w:rPr>
        <w:t>特色</w:t>
      </w:r>
    </w:p>
    <w:tbl>
      <w:tblPr>
        <w:tblStyle w:val="4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1" w:hRule="atLeast"/>
          <w:jc w:val="center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从校企合作的育人成效、促进职业教育发展、</w:t>
            </w:r>
            <w:r>
              <w:rPr>
                <w:rFonts w:ascii="楷体_GB2312" w:eastAsia="楷体_GB2312"/>
                <w:b/>
                <w:sz w:val="24"/>
              </w:rPr>
              <w:t>促进企业和地方产业发展</w:t>
            </w:r>
            <w:r>
              <w:rPr>
                <w:rFonts w:hint="eastAsia" w:ascii="楷体_GB2312" w:eastAsia="楷体_GB2312"/>
                <w:b/>
                <w:sz w:val="24"/>
              </w:rPr>
              <w:t>、促进技术服务能力提升、突出成果与特色创新、社会影响等方面阐述。</w:t>
            </w: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要求：案例字数3000左右字，配图片3-5张（原图），重要资料（清晰视频等）和文件等可作为附件。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职业院校技能大赛助推师资建设典型案例</w:t>
      </w:r>
    </w:p>
    <w:p>
      <w:pPr>
        <w:jc w:val="center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（正文仿宋GB_2312三号字，附原图照片）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788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788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超人陶</cp:lastModifiedBy>
  <dcterms:modified xsi:type="dcterms:W3CDTF">2019-12-02T08:51:27Z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