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Times New Roman" w:hAnsi="Times New Roman" w:eastAsia="黑体"/>
          <w:b/>
          <w:sz w:val="36"/>
          <w:szCs w:val="36"/>
        </w:rPr>
      </w:pPr>
      <w:bookmarkStart w:id="1" w:name="_GoBack"/>
      <w:bookmarkEnd w:id="1"/>
    </w:p>
    <w:p>
      <w:pPr>
        <w:snapToGrid w:val="0"/>
        <w:spacing w:line="540" w:lineRule="exact"/>
        <w:jc w:val="center"/>
        <w:rPr>
          <w:rFonts w:ascii="Times New Roman" w:hAnsi="Times New Roman" w:eastAsia="黑体"/>
          <w:b/>
          <w:sz w:val="36"/>
          <w:szCs w:val="36"/>
        </w:rPr>
      </w:pPr>
      <w:r>
        <w:rPr>
          <w:rFonts w:ascii="Times New Roman" w:hAnsi="Times New Roman" w:eastAsia="黑体"/>
          <w:b/>
          <w:sz w:val="36"/>
          <w:szCs w:val="36"/>
        </w:rPr>
        <w:t>2019年全国职业院校技能大赛</w:t>
      </w:r>
    </w:p>
    <w:p>
      <w:pPr>
        <w:snapToGrid w:val="0"/>
        <w:spacing w:line="540" w:lineRule="exact"/>
        <w:jc w:val="center"/>
        <w:rPr>
          <w:rFonts w:ascii="黑体" w:hAnsi="黑体" w:eastAsia="黑体" w:cs="Times New Roman"/>
          <w:b/>
          <w:bCs/>
          <w:sz w:val="36"/>
          <w:szCs w:val="36"/>
        </w:rPr>
      </w:pPr>
      <w:r>
        <w:rPr>
          <w:rFonts w:ascii="Times New Roman" w:hAnsi="Times New Roman" w:eastAsia="黑体"/>
          <w:b/>
          <w:sz w:val="36"/>
          <w:szCs w:val="36"/>
        </w:rPr>
        <w:t>赛项规程</w:t>
      </w:r>
    </w:p>
    <w:p>
      <w:pPr>
        <w:snapToGrid w:val="0"/>
        <w:spacing w:line="560" w:lineRule="atLeast"/>
        <w:ind w:firstLine="551" w:firstLineChars="196"/>
        <w:outlineLvl w:val="0"/>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一、赛项名称</w:t>
      </w:r>
    </w:p>
    <w:p>
      <w:pPr>
        <w:pStyle w:val="73"/>
        <w:spacing w:line="560" w:lineRule="atLeast"/>
        <w:rPr>
          <w:rFonts w:cs="Times New Roman"/>
        </w:rPr>
      </w:pPr>
      <w:r>
        <w:rPr>
          <w:rFonts w:hint="eastAsia"/>
        </w:rPr>
        <w:t>赛项编号：</w:t>
      </w:r>
      <w:r>
        <w:t>GZ-</w:t>
      </w:r>
      <w:r>
        <w:rPr>
          <w:rFonts w:hint="eastAsia"/>
        </w:rPr>
        <w:t>2019033</w:t>
      </w:r>
    </w:p>
    <w:p>
      <w:pPr>
        <w:pStyle w:val="73"/>
        <w:spacing w:line="560" w:lineRule="atLeast"/>
        <w:rPr>
          <w:rFonts w:cs="Times New Roman"/>
        </w:rPr>
      </w:pPr>
      <w:r>
        <w:rPr>
          <w:rFonts w:hint="eastAsia"/>
        </w:rPr>
        <w:t>赛项名称：</w:t>
      </w:r>
      <w:r>
        <w:t>4G</w:t>
      </w:r>
      <w:r>
        <w:rPr>
          <w:rFonts w:hint="eastAsia"/>
        </w:rPr>
        <w:t>全网建设技术</w:t>
      </w:r>
    </w:p>
    <w:p>
      <w:pPr>
        <w:pStyle w:val="73"/>
        <w:spacing w:line="560" w:lineRule="atLeast"/>
      </w:pPr>
      <w:r>
        <w:rPr>
          <w:rFonts w:hint="eastAsia"/>
        </w:rPr>
        <w:t>英文名称：</w:t>
      </w:r>
      <w:r>
        <w:t>4G Network Construction Technology</w:t>
      </w:r>
    </w:p>
    <w:p>
      <w:pPr>
        <w:pStyle w:val="73"/>
        <w:spacing w:line="560" w:lineRule="atLeast"/>
        <w:rPr>
          <w:rFonts w:cs="Times New Roman"/>
        </w:rPr>
      </w:pPr>
      <w:r>
        <w:rPr>
          <w:rFonts w:hint="eastAsia"/>
        </w:rPr>
        <w:t>赛项组别：高职组</w:t>
      </w:r>
    </w:p>
    <w:p>
      <w:pPr>
        <w:pStyle w:val="73"/>
        <w:spacing w:line="560" w:lineRule="atLeast"/>
        <w:rPr>
          <w:rFonts w:cs="Times New Roman"/>
        </w:rPr>
      </w:pPr>
      <w:r>
        <w:rPr>
          <w:rFonts w:hint="eastAsia"/>
        </w:rPr>
        <w:t>赛项归属：电子信息大类</w:t>
      </w:r>
    </w:p>
    <w:p>
      <w:pPr>
        <w:numPr>
          <w:ilvl w:val="0"/>
          <w:numId w:val="5"/>
        </w:numPr>
        <w:snapToGrid w:val="0"/>
        <w:spacing w:line="560" w:lineRule="atLeast"/>
        <w:ind w:firstLine="551" w:firstLineChars="196"/>
        <w:outlineLvl w:val="0"/>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竞赛目的</w:t>
      </w:r>
    </w:p>
    <w:p>
      <w:pPr>
        <w:pStyle w:val="73"/>
        <w:spacing w:line="560" w:lineRule="atLeast"/>
      </w:pPr>
      <w:r>
        <w:rPr>
          <w:rFonts w:hint="eastAsia"/>
        </w:rPr>
        <w:t>4G、Pre5G及NB-IoT网络的普遍商用和大规模建设仍急需大量移动通信高技能人才，为适应ICT产业快速发展及现代通信技术的趋势，响应国务院对于职业教育改革的期望，引领通信及网络类职业教育教学改革，促进通信网络技术及产业前沿技术在职业教育中的教学应用，引导高职教育通信及网络相关专业课程优化，深化校企合作，推进产教融合人才培养模式改革，促进高职相应专业学生实训实习与就业，结合我国移动通信行业发展规划和发展趋势设计并开展“4G全网建设技术”竞赛项目。</w:t>
      </w:r>
    </w:p>
    <w:p>
      <w:pPr>
        <w:pStyle w:val="73"/>
        <w:spacing w:line="560" w:lineRule="atLeast"/>
      </w:pPr>
      <w:r>
        <w:rPr>
          <w:rFonts w:hint="eastAsia"/>
        </w:rPr>
        <w:t>本赛项以行业对人才需求为本，以移动通信新兴技术为突破点，以新时期4G、Pre5G、NB-IoT及部分5G岗位技能需求设计竞赛内容，以移动通信全网产业的人才需求为模型，涉及岗位技能包含规划设计、网络部署、运行维护、网络优化等四个方向，将教学资源转化的工作贯穿于赛项设计、实施的过程之中。本赛项紧密结合我国移动通信产业发展规划及现代通信技术的发展方向，顺应ICT（信息通信技术）快速发展的趋势，通过吸引通信产业链上下游知名厂商参与，以推进工学结合、产教融合。</w:t>
      </w:r>
    </w:p>
    <w:p>
      <w:pPr>
        <w:numPr>
          <w:ilvl w:val="0"/>
          <w:numId w:val="5"/>
        </w:numPr>
        <w:snapToGrid w:val="0"/>
        <w:spacing w:line="560" w:lineRule="atLeast"/>
        <w:ind w:firstLine="551" w:firstLineChars="196"/>
        <w:outlineLvl w:val="0"/>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竞赛内容</w:t>
      </w:r>
    </w:p>
    <w:p>
      <w:pPr>
        <w:pStyle w:val="73"/>
        <w:spacing w:line="560" w:lineRule="atLeast"/>
        <w:rPr>
          <w:rFonts w:cs="Times New Roman"/>
        </w:rPr>
      </w:pPr>
      <w:r>
        <w:rPr>
          <w:rFonts w:hint="eastAsia"/>
        </w:rPr>
        <w:t>（一）竞赛内容</w:t>
      </w:r>
    </w:p>
    <w:p>
      <w:pPr>
        <w:pStyle w:val="73"/>
        <w:spacing w:line="560" w:lineRule="atLeast"/>
        <w:rPr>
          <w:rFonts w:cs="Times New Roman"/>
        </w:rPr>
      </w:pPr>
      <w:r>
        <w:rPr>
          <w:rFonts w:hint="eastAsia"/>
        </w:rPr>
        <w:t>竞赛涵盖4G LTE、Pre5G与NB-IoT全网端到端的拓扑规划、网络规划、设备配置、数据配置以及业务调试等实际工作流程。赛项内容包含4G&amp;Pre5G和NB-IoT两大模块，两大模块分值各占50%，竞赛具体内容及成绩比例如下：</w:t>
      </w:r>
    </w:p>
    <w:p>
      <w:pPr>
        <w:pStyle w:val="73"/>
        <w:numPr>
          <w:ilvl w:val="0"/>
          <w:numId w:val="6"/>
        </w:numPr>
        <w:spacing w:line="560" w:lineRule="atLeast"/>
        <w:ind w:left="845" w:firstLineChars="0"/>
        <w:rPr>
          <w:rFonts w:cs="Times New Roman"/>
        </w:rPr>
      </w:pPr>
      <w:r>
        <w:t>4G</w:t>
      </w:r>
      <w:r>
        <w:rPr>
          <w:rFonts w:hint="eastAsia"/>
        </w:rPr>
        <w:t>&amp;Pre5G网络部署与优化（20%）</w:t>
      </w:r>
    </w:p>
    <w:p>
      <w:pPr>
        <w:pStyle w:val="73"/>
        <w:spacing w:line="560" w:lineRule="atLeast"/>
      </w:pPr>
      <w:r>
        <w:rPr>
          <w:rFonts w:hint="eastAsia"/>
        </w:rPr>
        <w:t>两名参赛选手分别操作一台电脑，根据任务书要求，协同完成</w:t>
      </w:r>
      <w:r>
        <w:t>4G</w:t>
      </w:r>
      <w:r>
        <w:rPr>
          <w:rFonts w:hint="eastAsia"/>
        </w:rPr>
        <w:t>&amp;Pre5G无线接入网、核心网及承载网部分的容量计算、设备部署、数据配置完善。选手按照要求完成该操作，进行业务验证，并且按任务书要求在答题纸上填写。</w:t>
      </w:r>
    </w:p>
    <w:p>
      <w:pPr>
        <w:pStyle w:val="73"/>
        <w:numPr>
          <w:ilvl w:val="0"/>
          <w:numId w:val="6"/>
        </w:numPr>
        <w:spacing w:line="560" w:lineRule="atLeast"/>
        <w:ind w:left="845" w:firstLineChars="0"/>
      </w:pPr>
      <w:r>
        <w:t>4G</w:t>
      </w:r>
      <w:r>
        <w:rPr>
          <w:rFonts w:hint="eastAsia"/>
        </w:rPr>
        <w:t>&amp;Pre5G网络故障排除（30%）</w:t>
      </w:r>
    </w:p>
    <w:p>
      <w:pPr>
        <w:pStyle w:val="73"/>
        <w:spacing w:line="560" w:lineRule="atLeast"/>
      </w:pPr>
      <w:r>
        <w:rPr>
          <w:rFonts w:hint="eastAsia"/>
        </w:rPr>
        <w:t>两名参赛选手分别操作一台电脑，基于已经导入故障数据的</w:t>
      </w:r>
      <w:r>
        <w:t>4G</w:t>
      </w:r>
      <w:r>
        <w:rPr>
          <w:rFonts w:hint="eastAsia"/>
        </w:rPr>
        <w:t>&amp;Pre5G全网竞技模块，根据任务书描述，结合故障现象，分析故障原因，协同完成无线接入网、核心网及承载网部分的故障排除工作。选手按照要求完成该操作，进行业务验证，并且按要求将答案在比赛软件平台上保存且按任务书要求在答题纸上填写。</w:t>
      </w:r>
    </w:p>
    <w:p>
      <w:pPr>
        <w:pStyle w:val="73"/>
        <w:numPr>
          <w:ilvl w:val="0"/>
          <w:numId w:val="6"/>
        </w:numPr>
        <w:spacing w:line="560" w:lineRule="atLeast"/>
        <w:ind w:left="845" w:firstLineChars="0"/>
        <w:rPr>
          <w:rFonts w:cs="Times New Roman"/>
        </w:rPr>
      </w:pPr>
      <w:r>
        <w:rPr>
          <w:rFonts w:hint="eastAsia"/>
        </w:rPr>
        <w:t>NB-IoT网络规划与业务调试（30%）</w:t>
      </w:r>
    </w:p>
    <w:p>
      <w:pPr>
        <w:pStyle w:val="73"/>
        <w:spacing w:line="560" w:lineRule="atLeast"/>
      </w:pPr>
      <w:r>
        <w:rPr>
          <w:rFonts w:hint="eastAsia"/>
        </w:rPr>
        <w:t>两名参赛选手分别操作一台电脑，根据任务书要求，协同完成NB-IoT无线接入网、核心网及承载网部分的网络规划、设备部署、数据配置完善。选手按照要求完成该操作，进行业务验证与物联网终端应用管理，并且按任务书要求在答题纸上填写。</w:t>
      </w:r>
    </w:p>
    <w:p>
      <w:pPr>
        <w:pStyle w:val="73"/>
        <w:numPr>
          <w:ilvl w:val="0"/>
          <w:numId w:val="6"/>
        </w:numPr>
        <w:spacing w:line="560" w:lineRule="atLeast"/>
        <w:ind w:left="845" w:firstLineChars="0"/>
      </w:pPr>
      <w:r>
        <w:rPr>
          <w:rFonts w:hint="eastAsia"/>
        </w:rPr>
        <w:t>NB-IoT网络故障排除（20%）</w:t>
      </w:r>
    </w:p>
    <w:p>
      <w:pPr>
        <w:pStyle w:val="73"/>
        <w:spacing w:line="560" w:lineRule="atLeast"/>
        <w:rPr>
          <w:rFonts w:ascii="Arial Narrow" w:hAnsi="Arial Narrow" w:cs="Arial"/>
          <w:sz w:val="30"/>
          <w:szCs w:val="30"/>
        </w:rPr>
      </w:pPr>
      <w:r>
        <w:rPr>
          <w:rFonts w:hint="eastAsia"/>
        </w:rPr>
        <w:t>两名参赛选手分别操作一台电脑，基于已经导入故障数据的NB-IoT全网竞技模块，根据任务书描述，结合故障现象，分析故障原因，协同完成NB-IoT无线接入网、核心网及承载网部分的故障排除工作。选手按照要求完成该操作，进行业务验证，并且按要求将答案在比赛软件平台上保存且按任务书要求在答题纸上填写。</w:t>
      </w:r>
    </w:p>
    <w:p>
      <w:pPr>
        <w:pStyle w:val="73"/>
        <w:spacing w:line="560" w:lineRule="atLeast"/>
        <w:rPr>
          <w:rFonts w:cs="Times New Roman"/>
        </w:rPr>
      </w:pPr>
      <w:r>
        <w:rPr>
          <w:rFonts w:hint="eastAsia"/>
        </w:rPr>
        <w:t>（二）竞赛时间</w:t>
      </w:r>
    </w:p>
    <w:p>
      <w:pPr>
        <w:pStyle w:val="73"/>
        <w:spacing w:line="560" w:lineRule="atLeast"/>
        <w:rPr>
          <w:rFonts w:cs="Times New Roman"/>
        </w:rPr>
      </w:pPr>
      <w:r>
        <w:rPr>
          <w:rFonts w:hint="eastAsia"/>
        </w:rPr>
        <w:t>比赛时间为</w:t>
      </w:r>
      <w:r>
        <w:t>8:00-12:00</w:t>
      </w:r>
      <w:r>
        <w:rPr>
          <w:rFonts w:hint="eastAsia"/>
        </w:rPr>
        <w:t>，共计</w:t>
      </w:r>
      <w:r>
        <w:t>240</w:t>
      </w:r>
      <w:r>
        <w:rPr>
          <w:rFonts w:hint="eastAsia"/>
        </w:rPr>
        <w:t>分钟，竞赛任务的时间分配由各参赛队自行安排，各参赛队伍须在规定时间内独立完成比赛任务。</w:t>
      </w:r>
    </w:p>
    <w:p>
      <w:pPr>
        <w:snapToGrid w:val="0"/>
        <w:spacing w:line="560" w:lineRule="atLeast"/>
        <w:ind w:firstLine="551" w:firstLineChars="196"/>
        <w:outlineLvl w:val="0"/>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四、竞赛方式</w:t>
      </w:r>
    </w:p>
    <w:p>
      <w:pPr>
        <w:pStyle w:val="73"/>
        <w:spacing w:line="560" w:lineRule="atLeast"/>
        <w:rPr>
          <w:rFonts w:cs="Times New Roman"/>
        </w:rPr>
      </w:pPr>
      <w:r>
        <w:rPr>
          <w:rFonts w:hint="eastAsia"/>
        </w:rPr>
        <w:t>（一）竞赛以团队方式进行，不计选手个人成绩，统计参赛队的总成绩进行排序。</w:t>
      </w:r>
    </w:p>
    <w:p>
      <w:pPr>
        <w:pStyle w:val="73"/>
        <w:spacing w:line="560" w:lineRule="atLeast"/>
        <w:rPr>
          <w:rFonts w:cs="Times New Roman"/>
        </w:rPr>
      </w:pPr>
      <w:r>
        <w:rPr>
          <w:rFonts w:hint="eastAsia"/>
        </w:rPr>
        <w:t>（二）参赛队伍组成</w:t>
      </w:r>
    </w:p>
    <w:p>
      <w:pPr>
        <w:pStyle w:val="73"/>
        <w:spacing w:line="560" w:lineRule="atLeast"/>
        <w:rPr>
          <w:rStyle w:val="63"/>
          <w:rFonts w:cs="Times New Roman"/>
          <w:sz w:val="28"/>
          <w:szCs w:val="28"/>
        </w:rPr>
      </w:pPr>
      <w:r>
        <w:rPr>
          <w:rStyle w:val="63"/>
          <w:rFonts w:hint="eastAsia"/>
          <w:sz w:val="28"/>
          <w:szCs w:val="28"/>
        </w:rPr>
        <w:t>每支参赛队由</w:t>
      </w:r>
      <w:r>
        <w:rPr>
          <w:rStyle w:val="63"/>
          <w:sz w:val="28"/>
          <w:szCs w:val="28"/>
        </w:rPr>
        <w:t>2</w:t>
      </w:r>
      <w:r>
        <w:rPr>
          <w:rStyle w:val="63"/>
          <w:rFonts w:hint="eastAsia"/>
          <w:sz w:val="28"/>
          <w:szCs w:val="28"/>
        </w:rPr>
        <w:t>名比赛选手组成，</w:t>
      </w:r>
      <w:r>
        <w:rPr>
          <w:rStyle w:val="63"/>
          <w:sz w:val="28"/>
          <w:szCs w:val="28"/>
        </w:rPr>
        <w:t>2</w:t>
      </w:r>
      <w:r>
        <w:rPr>
          <w:rStyle w:val="63"/>
          <w:rFonts w:hint="eastAsia"/>
          <w:sz w:val="28"/>
          <w:szCs w:val="28"/>
        </w:rPr>
        <w:t>名选手须为同校在籍学生，其中队长</w:t>
      </w:r>
      <w:r>
        <w:rPr>
          <w:rStyle w:val="63"/>
          <w:sz w:val="28"/>
          <w:szCs w:val="28"/>
        </w:rPr>
        <w:t>1</w:t>
      </w:r>
      <w:r>
        <w:rPr>
          <w:rStyle w:val="63"/>
          <w:rFonts w:hint="eastAsia"/>
          <w:sz w:val="28"/>
          <w:szCs w:val="28"/>
        </w:rPr>
        <w:t>名，性别及年级不限。每队可配</w:t>
      </w:r>
      <w:r>
        <w:rPr>
          <w:rStyle w:val="63"/>
          <w:sz w:val="28"/>
          <w:szCs w:val="28"/>
        </w:rPr>
        <w:t>2</w:t>
      </w:r>
      <w:r>
        <w:rPr>
          <w:rStyle w:val="63"/>
          <w:rFonts w:hint="eastAsia"/>
          <w:sz w:val="28"/>
          <w:szCs w:val="28"/>
        </w:rPr>
        <w:t>名指导教师。</w:t>
      </w:r>
    </w:p>
    <w:p>
      <w:pPr>
        <w:pStyle w:val="73"/>
        <w:spacing w:line="560" w:lineRule="atLeast"/>
        <w:rPr>
          <w:rFonts w:cs="Times New Roman"/>
        </w:rPr>
      </w:pPr>
      <w:r>
        <w:rPr>
          <w:rFonts w:hint="eastAsia"/>
        </w:rPr>
        <w:t>（三）竞赛方式</w:t>
      </w:r>
    </w:p>
    <w:p>
      <w:pPr>
        <w:pStyle w:val="73"/>
        <w:spacing w:line="560" w:lineRule="atLeast"/>
      </w:pPr>
      <w:r>
        <w:rPr>
          <w:rFonts w:hint="eastAsia"/>
        </w:rPr>
        <w:t>试题及任务书一次性下发，比赛结束后同一时间提交所有比赛结果。</w:t>
      </w:r>
    </w:p>
    <w:p>
      <w:pPr>
        <w:pStyle w:val="73"/>
        <w:spacing w:line="560" w:lineRule="atLeast"/>
        <w:rPr>
          <w:rFonts w:cs="Times New Roman"/>
        </w:rPr>
      </w:pPr>
      <w:r>
        <w:rPr>
          <w:rFonts w:hint="eastAsia"/>
        </w:rPr>
        <w:t>（四）</w:t>
      </w:r>
      <w:r>
        <w:t>201</w:t>
      </w:r>
      <w:r>
        <w:rPr>
          <w:rFonts w:hint="eastAsia"/>
        </w:rPr>
        <w:t>9年本赛项暂不具备境外队伍参赛的条件，但本着开放办赛的精神，拟邀请境外队伍到场观摩，为以后条件成熟时邀请境外参赛队参赛做好准备。</w:t>
      </w:r>
    </w:p>
    <w:p>
      <w:pPr>
        <w:snapToGrid w:val="0"/>
        <w:spacing w:line="560" w:lineRule="atLeast"/>
        <w:ind w:firstLine="551" w:firstLineChars="196"/>
        <w:outlineLvl w:val="0"/>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五、竞赛流程</w:t>
      </w:r>
    </w:p>
    <w:p>
      <w:pPr>
        <w:pStyle w:val="73"/>
        <w:spacing w:line="560" w:lineRule="atLeast"/>
      </w:pPr>
      <w:r>
        <w:rPr>
          <w:rFonts w:hint="eastAsia"/>
        </w:rPr>
        <w:t>竞赛流程及主要日程安排如下表所示。详细的日程安排及时间地点等信息以赛前报到时发放的竞赛指南为准。</w:t>
      </w:r>
    </w:p>
    <w:p>
      <w:pPr>
        <w:pStyle w:val="73"/>
        <w:spacing w:line="560" w:lineRule="atLeast"/>
      </w:pPr>
    </w:p>
    <w:p>
      <w:pPr>
        <w:pStyle w:val="73"/>
        <w:spacing w:line="560" w:lineRule="atLeast"/>
      </w:pPr>
    </w:p>
    <w:p>
      <w:pPr>
        <w:pStyle w:val="73"/>
        <w:spacing w:line="560" w:lineRule="atLeast"/>
      </w:pPr>
    </w:p>
    <w:p>
      <w:pPr>
        <w:pStyle w:val="73"/>
        <w:spacing w:line="560" w:lineRule="atLeast"/>
        <w:ind w:firstLine="0" w:firstLineChars="0"/>
        <w:jc w:val="center"/>
        <w:rPr>
          <w:b/>
          <w:bCs/>
        </w:rPr>
      </w:pPr>
      <w:r>
        <w:rPr>
          <w:rFonts w:hint="eastAsia"/>
          <w:b/>
          <w:bCs/>
          <w:sz w:val="24"/>
          <w:szCs w:val="24"/>
        </w:rPr>
        <w:t>表1 竞赛流程</w:t>
      </w:r>
    </w:p>
    <w:tbl>
      <w:tblPr>
        <w:tblStyle w:val="16"/>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615"/>
        <w:gridCol w:w="2516"/>
        <w:gridCol w:w="2523"/>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67" w:type="dxa"/>
            <w:vAlign w:val="center"/>
          </w:tcPr>
          <w:p>
            <w:pPr>
              <w:jc w:val="center"/>
              <w:rPr>
                <w:rFonts w:ascii="仿宋_GB2312" w:hAnsi="仿宋" w:cs="Times New Roman"/>
                <w:b/>
                <w:sz w:val="24"/>
                <w:szCs w:val="24"/>
              </w:rPr>
            </w:pPr>
            <w:r>
              <w:rPr>
                <w:rFonts w:hint="eastAsia" w:ascii="仿宋_GB2312" w:hAnsi="仿宋" w:cs="Times New Roman"/>
                <w:b/>
                <w:sz w:val="24"/>
                <w:szCs w:val="24"/>
              </w:rPr>
              <w:t>日期</w:t>
            </w:r>
          </w:p>
        </w:tc>
        <w:tc>
          <w:tcPr>
            <w:tcW w:w="1615" w:type="dxa"/>
            <w:vAlign w:val="center"/>
          </w:tcPr>
          <w:p>
            <w:pPr>
              <w:jc w:val="center"/>
              <w:rPr>
                <w:rFonts w:ascii="仿宋_GB2312" w:hAnsi="仿宋" w:cs="Times New Roman"/>
                <w:b/>
                <w:sz w:val="24"/>
                <w:szCs w:val="24"/>
              </w:rPr>
            </w:pPr>
            <w:r>
              <w:rPr>
                <w:rFonts w:hint="eastAsia" w:ascii="仿宋_GB2312" w:hAnsi="仿宋" w:cs="Times New Roman"/>
                <w:b/>
                <w:sz w:val="24"/>
                <w:szCs w:val="24"/>
              </w:rPr>
              <w:t>时间</w:t>
            </w:r>
          </w:p>
        </w:tc>
        <w:tc>
          <w:tcPr>
            <w:tcW w:w="2516" w:type="dxa"/>
            <w:vAlign w:val="center"/>
          </w:tcPr>
          <w:p>
            <w:pPr>
              <w:jc w:val="center"/>
              <w:rPr>
                <w:rFonts w:ascii="仿宋_GB2312" w:hAnsi="仿宋" w:cs="Times New Roman"/>
                <w:b/>
                <w:sz w:val="24"/>
                <w:szCs w:val="24"/>
              </w:rPr>
            </w:pPr>
            <w:r>
              <w:rPr>
                <w:rFonts w:hint="eastAsia" w:ascii="仿宋_GB2312" w:hAnsi="仿宋" w:cs="Times New Roman"/>
                <w:b/>
                <w:sz w:val="24"/>
                <w:szCs w:val="24"/>
              </w:rPr>
              <w:t>事项</w:t>
            </w:r>
          </w:p>
        </w:tc>
        <w:tc>
          <w:tcPr>
            <w:tcW w:w="2523" w:type="dxa"/>
            <w:vAlign w:val="center"/>
          </w:tcPr>
          <w:p>
            <w:pPr>
              <w:jc w:val="center"/>
              <w:rPr>
                <w:rFonts w:ascii="仿宋_GB2312" w:hAnsi="仿宋" w:cs="Times New Roman"/>
                <w:b/>
                <w:sz w:val="24"/>
                <w:szCs w:val="24"/>
              </w:rPr>
            </w:pPr>
            <w:r>
              <w:rPr>
                <w:rFonts w:hint="eastAsia" w:ascii="仿宋_GB2312" w:hAnsi="仿宋" w:cs="Times New Roman"/>
                <w:b/>
                <w:sz w:val="24"/>
                <w:szCs w:val="24"/>
              </w:rPr>
              <w:t>参加人员</w:t>
            </w:r>
          </w:p>
        </w:tc>
        <w:tc>
          <w:tcPr>
            <w:tcW w:w="1446" w:type="dxa"/>
            <w:vAlign w:val="center"/>
          </w:tcPr>
          <w:p>
            <w:pPr>
              <w:jc w:val="center"/>
              <w:rPr>
                <w:rFonts w:ascii="仿宋_GB2312" w:hAnsi="仿宋" w:cs="Times New Roman"/>
                <w:b/>
                <w:sz w:val="24"/>
                <w:szCs w:val="24"/>
              </w:rPr>
            </w:pPr>
            <w:r>
              <w:rPr>
                <w:rFonts w:hint="eastAsia" w:ascii="仿宋_GB2312" w:hAnsi="仿宋" w:cs="Times New Roman"/>
                <w:b/>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竞赛前</w:t>
            </w:r>
            <w:r>
              <w:rPr>
                <w:rFonts w:ascii="仿宋_GB2312" w:hAnsi="宋体" w:cs="Times New Roman"/>
                <w:sz w:val="24"/>
                <w:szCs w:val="24"/>
                <w:shd w:val="clear" w:color="auto" w:fill="FFFFFF"/>
              </w:rPr>
              <w:t>2</w:t>
            </w:r>
            <w:r>
              <w:rPr>
                <w:rFonts w:hint="eastAsia" w:ascii="仿宋_GB2312" w:hAnsi="宋体" w:cs="Times New Roman"/>
                <w:sz w:val="24"/>
                <w:szCs w:val="24"/>
                <w:shd w:val="clear" w:color="auto" w:fill="FFFFFF"/>
              </w:rPr>
              <w:t>日</w:t>
            </w:r>
          </w:p>
        </w:tc>
        <w:tc>
          <w:tcPr>
            <w:tcW w:w="1615" w:type="dxa"/>
            <w:vAlign w:val="center"/>
          </w:tcPr>
          <w:p>
            <w:pPr>
              <w:shd w:val="solid" w:color="FFFFFF" w:fill="auto"/>
              <w:autoSpaceDN w:val="0"/>
              <w:jc w:val="center"/>
              <w:rPr>
                <w:rFonts w:ascii="仿宋_GB2312" w:hAnsi="宋体" w:cs="Times New Roman"/>
                <w:sz w:val="24"/>
                <w:szCs w:val="24"/>
                <w:shd w:val="clear" w:color="auto" w:fill="FFFFFF"/>
              </w:rPr>
            </w:pPr>
            <w:r>
              <w:rPr>
                <w:rFonts w:ascii="仿宋_GB2312" w:hAnsi="宋体" w:cs="Times New Roman"/>
                <w:sz w:val="24"/>
                <w:szCs w:val="24"/>
                <w:shd w:val="clear" w:color="auto" w:fill="FFFFFF"/>
              </w:rPr>
              <w:t>20:00</w:t>
            </w:r>
            <w:r>
              <w:rPr>
                <w:rFonts w:hint="eastAsia" w:ascii="仿宋_GB2312" w:hAnsi="宋体" w:cs="Times New Roman"/>
                <w:sz w:val="24"/>
                <w:szCs w:val="24"/>
                <w:shd w:val="clear" w:color="auto" w:fill="FFFFFF"/>
              </w:rPr>
              <w:t>前</w:t>
            </w:r>
          </w:p>
        </w:tc>
        <w:tc>
          <w:tcPr>
            <w:tcW w:w="251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参赛队、裁判、仲裁、监督报到</w:t>
            </w:r>
          </w:p>
        </w:tc>
        <w:tc>
          <w:tcPr>
            <w:tcW w:w="2523"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工作人员</w:t>
            </w:r>
          </w:p>
        </w:tc>
        <w:tc>
          <w:tcPr>
            <w:tcW w:w="1446" w:type="dxa"/>
            <w:vAlign w:val="center"/>
          </w:tcPr>
          <w:p>
            <w:pPr>
              <w:jc w:val="center"/>
              <w:rPr>
                <w:rFonts w:ascii="仿宋_GB2312" w:hAnsi="仿宋" w:cs="Times New Roman"/>
                <w:sz w:val="24"/>
                <w:szCs w:val="24"/>
              </w:rPr>
            </w:pPr>
            <w:r>
              <w:rPr>
                <w:rFonts w:hint="eastAsia" w:ascii="仿宋_GB2312" w:hAnsi="宋体" w:cs="Times New Roman"/>
                <w:sz w:val="24"/>
                <w:szCs w:val="24"/>
                <w:shd w:val="clear" w:color="auto" w:fill="FFFFFF"/>
                <w:lang w:val="zh-CN"/>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restart"/>
            <w:vAlign w:val="center"/>
          </w:tcPr>
          <w:p>
            <w:pPr>
              <w:jc w:val="center"/>
              <w:rPr>
                <w:rFonts w:ascii="仿宋_GB2312" w:hAnsi="宋体" w:cs="Times New Roman"/>
                <w:sz w:val="24"/>
                <w:szCs w:val="24"/>
                <w:shd w:val="clear" w:color="auto" w:fill="FFFFFF"/>
                <w:lang w:val="zh-CN"/>
              </w:rPr>
            </w:pPr>
            <w:r>
              <w:rPr>
                <w:rFonts w:hint="eastAsia" w:ascii="仿宋_GB2312" w:hAnsi="仿宋" w:cs="Times New Roman"/>
                <w:sz w:val="24"/>
                <w:szCs w:val="24"/>
              </w:rPr>
              <w:t>竞赛前</w:t>
            </w:r>
            <w:r>
              <w:rPr>
                <w:rFonts w:ascii="仿宋_GB2312" w:hAnsi="仿宋" w:cs="Times New Roman"/>
                <w:sz w:val="24"/>
                <w:szCs w:val="24"/>
              </w:rPr>
              <w:t>1</w:t>
            </w:r>
            <w:r>
              <w:rPr>
                <w:rFonts w:hint="eastAsia" w:ascii="仿宋_GB2312" w:hAnsi="仿宋" w:cs="Times New Roman"/>
                <w:sz w:val="24"/>
                <w:szCs w:val="24"/>
              </w:rPr>
              <w:t>日</w:t>
            </w:r>
          </w:p>
        </w:tc>
        <w:tc>
          <w:tcPr>
            <w:tcW w:w="1615" w:type="dxa"/>
            <w:vAlign w:val="center"/>
          </w:tcPr>
          <w:p>
            <w:pPr>
              <w:shd w:val="solid" w:color="FFFFFF" w:fill="auto"/>
              <w:autoSpaceDN w:val="0"/>
              <w:jc w:val="center"/>
              <w:rPr>
                <w:rFonts w:ascii="仿宋_GB2312" w:hAnsi="宋体" w:cs="Times New Roman"/>
                <w:sz w:val="24"/>
                <w:szCs w:val="24"/>
                <w:shd w:val="clear" w:color="auto" w:fill="FFFFFF"/>
              </w:rPr>
            </w:pPr>
            <w:r>
              <w:rPr>
                <w:rFonts w:ascii="仿宋_GB2312" w:hAnsi="宋体" w:cs="Times New Roman"/>
                <w:sz w:val="24"/>
                <w:szCs w:val="24"/>
                <w:shd w:val="clear" w:color="auto" w:fill="FFFFFF"/>
              </w:rPr>
              <w:t>09:00-14:</w:t>
            </w:r>
            <w:r>
              <w:rPr>
                <w:rFonts w:hint="eastAsia" w:ascii="仿宋_GB2312" w:hAnsi="宋体" w:cs="Times New Roman"/>
                <w:sz w:val="24"/>
                <w:szCs w:val="24"/>
                <w:shd w:val="clear" w:color="auto" w:fill="FFFFFF"/>
              </w:rPr>
              <w:t>0</w:t>
            </w:r>
            <w:r>
              <w:rPr>
                <w:rFonts w:ascii="仿宋_GB2312" w:hAnsi="宋体" w:cs="Times New Roman"/>
                <w:sz w:val="24"/>
                <w:szCs w:val="24"/>
                <w:shd w:val="clear" w:color="auto" w:fill="FFFFFF"/>
              </w:rPr>
              <w:t>0</w:t>
            </w:r>
          </w:p>
        </w:tc>
        <w:tc>
          <w:tcPr>
            <w:tcW w:w="251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参赛队报到，安排住宿，领取资料</w:t>
            </w:r>
          </w:p>
        </w:tc>
        <w:tc>
          <w:tcPr>
            <w:tcW w:w="2523"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工作人员、参赛队</w:t>
            </w:r>
          </w:p>
        </w:tc>
        <w:tc>
          <w:tcPr>
            <w:tcW w:w="144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jc w:val="center"/>
              <w:rPr>
                <w:rFonts w:ascii="仿宋_GB2312" w:hAnsi="仿宋" w:cs="Times New Roman"/>
                <w:sz w:val="24"/>
                <w:szCs w:val="24"/>
              </w:rPr>
            </w:pPr>
          </w:p>
        </w:tc>
        <w:tc>
          <w:tcPr>
            <w:tcW w:w="1615" w:type="dxa"/>
            <w:vAlign w:val="center"/>
          </w:tcPr>
          <w:p>
            <w:pPr>
              <w:shd w:val="solid" w:color="FFFFFF" w:fill="auto"/>
              <w:autoSpaceDN w:val="0"/>
              <w:jc w:val="center"/>
              <w:rPr>
                <w:rFonts w:ascii="仿宋_GB2312" w:hAnsi="宋体" w:cs="Times New Roman"/>
                <w:sz w:val="24"/>
                <w:szCs w:val="24"/>
                <w:shd w:val="clear" w:color="auto" w:fill="FFFFFF"/>
              </w:rPr>
            </w:pPr>
            <w:r>
              <w:rPr>
                <w:rFonts w:ascii="仿宋_GB2312" w:hAnsi="宋体" w:cs="Times New Roman"/>
                <w:sz w:val="24"/>
                <w:szCs w:val="24"/>
                <w:shd w:val="clear" w:color="auto" w:fill="FFFFFF"/>
              </w:rPr>
              <w:t>09:00-12:00</w:t>
            </w:r>
          </w:p>
        </w:tc>
        <w:tc>
          <w:tcPr>
            <w:tcW w:w="251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裁判培训及工作会议</w:t>
            </w:r>
          </w:p>
        </w:tc>
        <w:tc>
          <w:tcPr>
            <w:tcW w:w="2523"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裁判长、裁判员、监督组、专家组</w:t>
            </w:r>
          </w:p>
        </w:tc>
        <w:tc>
          <w:tcPr>
            <w:tcW w:w="144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jc w:val="center"/>
              <w:rPr>
                <w:rFonts w:ascii="仿宋_GB2312" w:hAnsi="仿宋" w:cs="Times New Roman"/>
                <w:sz w:val="24"/>
                <w:szCs w:val="24"/>
              </w:rPr>
            </w:pPr>
          </w:p>
        </w:tc>
        <w:tc>
          <w:tcPr>
            <w:tcW w:w="1615"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14:30-16:00</w:t>
            </w:r>
          </w:p>
        </w:tc>
        <w:tc>
          <w:tcPr>
            <w:tcW w:w="251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赛项开赛式</w:t>
            </w:r>
          </w:p>
        </w:tc>
        <w:tc>
          <w:tcPr>
            <w:tcW w:w="2523"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所有人员</w:t>
            </w:r>
          </w:p>
        </w:tc>
        <w:tc>
          <w:tcPr>
            <w:tcW w:w="144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礼堂/大会议室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jc w:val="center"/>
              <w:rPr>
                <w:rFonts w:ascii="仿宋_GB2312" w:hAnsi="仿宋" w:cs="Times New Roman"/>
                <w:sz w:val="24"/>
                <w:szCs w:val="24"/>
              </w:rPr>
            </w:pPr>
          </w:p>
        </w:tc>
        <w:tc>
          <w:tcPr>
            <w:tcW w:w="1615" w:type="dxa"/>
            <w:vAlign w:val="center"/>
          </w:tcPr>
          <w:p>
            <w:pPr>
              <w:shd w:val="solid" w:color="FFFFFF" w:fill="auto"/>
              <w:autoSpaceDN w:val="0"/>
              <w:jc w:val="center"/>
              <w:rPr>
                <w:rFonts w:ascii="仿宋_GB2312" w:hAnsi="宋体" w:cs="Times New Roman"/>
                <w:sz w:val="24"/>
                <w:szCs w:val="24"/>
                <w:shd w:val="clear" w:color="auto" w:fill="FFFFFF"/>
              </w:rPr>
            </w:pPr>
            <w:r>
              <w:rPr>
                <w:rFonts w:ascii="仿宋_GB2312" w:hAnsi="宋体" w:cs="Times New Roman"/>
                <w:sz w:val="24"/>
                <w:szCs w:val="24"/>
                <w:shd w:val="clear" w:color="auto" w:fill="FFFFFF"/>
              </w:rPr>
              <w:t>1</w:t>
            </w:r>
            <w:r>
              <w:rPr>
                <w:rFonts w:hint="eastAsia" w:ascii="仿宋_GB2312" w:hAnsi="宋体" w:cs="Times New Roman"/>
                <w:sz w:val="24"/>
                <w:szCs w:val="24"/>
                <w:shd w:val="clear" w:color="auto" w:fill="FFFFFF"/>
              </w:rPr>
              <w:t>6</w:t>
            </w:r>
            <w:r>
              <w:rPr>
                <w:rFonts w:ascii="仿宋_GB2312" w:hAnsi="宋体" w:cs="Times New Roman"/>
                <w:sz w:val="24"/>
                <w:szCs w:val="24"/>
                <w:shd w:val="clear" w:color="auto" w:fill="FFFFFF"/>
              </w:rPr>
              <w:t>:00-1</w:t>
            </w:r>
            <w:r>
              <w:rPr>
                <w:rFonts w:hint="eastAsia" w:ascii="仿宋_GB2312" w:hAnsi="宋体" w:cs="Times New Roman"/>
                <w:sz w:val="24"/>
                <w:szCs w:val="24"/>
                <w:shd w:val="clear" w:color="auto" w:fill="FFFFFF"/>
              </w:rPr>
              <w:t>6</w:t>
            </w:r>
            <w:r>
              <w:rPr>
                <w:rFonts w:ascii="仿宋_GB2312" w:hAnsi="宋体" w:cs="Times New Roman"/>
                <w:sz w:val="24"/>
                <w:szCs w:val="24"/>
                <w:shd w:val="clear" w:color="auto" w:fill="FFFFFF"/>
              </w:rPr>
              <w:t>:</w:t>
            </w:r>
            <w:r>
              <w:rPr>
                <w:rFonts w:hint="eastAsia" w:ascii="仿宋_GB2312" w:hAnsi="宋体" w:cs="Times New Roman"/>
                <w:sz w:val="24"/>
                <w:szCs w:val="24"/>
                <w:shd w:val="clear" w:color="auto" w:fill="FFFFFF"/>
              </w:rPr>
              <w:t>3</w:t>
            </w:r>
            <w:r>
              <w:rPr>
                <w:rFonts w:ascii="仿宋_GB2312" w:hAnsi="宋体" w:cs="Times New Roman"/>
                <w:sz w:val="24"/>
                <w:szCs w:val="24"/>
                <w:shd w:val="clear" w:color="auto" w:fill="FFFFFF"/>
              </w:rPr>
              <w:t>0</w:t>
            </w:r>
          </w:p>
        </w:tc>
        <w:tc>
          <w:tcPr>
            <w:tcW w:w="251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领队会</w:t>
            </w:r>
          </w:p>
        </w:tc>
        <w:tc>
          <w:tcPr>
            <w:tcW w:w="2523"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各参赛队领队、裁判长</w:t>
            </w:r>
          </w:p>
        </w:tc>
        <w:tc>
          <w:tcPr>
            <w:tcW w:w="144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jc w:val="center"/>
              <w:rPr>
                <w:rFonts w:ascii="仿宋_GB2312" w:hAnsi="仿宋" w:cs="Times New Roman"/>
                <w:sz w:val="24"/>
                <w:szCs w:val="24"/>
              </w:rPr>
            </w:pPr>
          </w:p>
        </w:tc>
        <w:tc>
          <w:tcPr>
            <w:tcW w:w="1615" w:type="dxa"/>
            <w:vAlign w:val="center"/>
          </w:tcPr>
          <w:p>
            <w:pPr>
              <w:shd w:val="solid" w:color="FFFFFF" w:fill="auto"/>
              <w:autoSpaceDN w:val="0"/>
              <w:jc w:val="center"/>
              <w:rPr>
                <w:rFonts w:ascii="仿宋_GB2312" w:hAnsi="宋体" w:cs="Times New Roman"/>
                <w:sz w:val="24"/>
                <w:szCs w:val="24"/>
                <w:shd w:val="clear" w:color="auto" w:fill="FFFFFF"/>
              </w:rPr>
            </w:pPr>
            <w:r>
              <w:rPr>
                <w:rFonts w:ascii="仿宋_GB2312" w:hAnsi="宋体" w:cs="Times New Roman"/>
                <w:sz w:val="24"/>
                <w:szCs w:val="24"/>
                <w:shd w:val="clear" w:color="auto" w:fill="FFFFFF"/>
              </w:rPr>
              <w:t>1</w:t>
            </w:r>
            <w:r>
              <w:rPr>
                <w:rFonts w:hint="eastAsia" w:ascii="仿宋_GB2312" w:hAnsi="宋体" w:cs="Times New Roman"/>
                <w:sz w:val="24"/>
                <w:szCs w:val="24"/>
                <w:shd w:val="clear" w:color="auto" w:fill="FFFFFF"/>
              </w:rPr>
              <w:t>6</w:t>
            </w:r>
            <w:r>
              <w:rPr>
                <w:rFonts w:ascii="仿宋_GB2312" w:hAnsi="宋体" w:cs="Times New Roman"/>
                <w:sz w:val="24"/>
                <w:szCs w:val="24"/>
                <w:shd w:val="clear" w:color="auto" w:fill="FFFFFF"/>
              </w:rPr>
              <w:t>:</w:t>
            </w:r>
            <w:r>
              <w:rPr>
                <w:rFonts w:hint="eastAsia" w:ascii="仿宋_GB2312" w:hAnsi="宋体" w:cs="Times New Roman"/>
                <w:sz w:val="24"/>
                <w:szCs w:val="24"/>
                <w:shd w:val="clear" w:color="auto" w:fill="FFFFFF"/>
              </w:rPr>
              <w:t>3</w:t>
            </w:r>
            <w:r>
              <w:rPr>
                <w:rFonts w:ascii="仿宋_GB2312" w:hAnsi="宋体" w:cs="Times New Roman"/>
                <w:sz w:val="24"/>
                <w:szCs w:val="24"/>
                <w:shd w:val="clear" w:color="auto" w:fill="FFFFFF"/>
              </w:rPr>
              <w:t>0-1</w:t>
            </w:r>
            <w:r>
              <w:rPr>
                <w:rFonts w:hint="eastAsia" w:ascii="仿宋_GB2312" w:hAnsi="宋体" w:cs="Times New Roman"/>
                <w:sz w:val="24"/>
                <w:szCs w:val="24"/>
                <w:shd w:val="clear" w:color="auto" w:fill="FFFFFF"/>
              </w:rPr>
              <w:t>8</w:t>
            </w:r>
            <w:r>
              <w:rPr>
                <w:rFonts w:ascii="仿宋_GB2312" w:hAnsi="宋体" w:cs="Times New Roman"/>
                <w:sz w:val="24"/>
                <w:szCs w:val="24"/>
                <w:shd w:val="clear" w:color="auto" w:fill="FFFFFF"/>
              </w:rPr>
              <w:t>:00</w:t>
            </w:r>
          </w:p>
        </w:tc>
        <w:tc>
          <w:tcPr>
            <w:tcW w:w="251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熟悉赛场</w:t>
            </w:r>
          </w:p>
        </w:tc>
        <w:tc>
          <w:tcPr>
            <w:tcW w:w="2523"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各参赛队</w:t>
            </w:r>
          </w:p>
        </w:tc>
        <w:tc>
          <w:tcPr>
            <w:tcW w:w="144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jc w:val="center"/>
              <w:rPr>
                <w:rFonts w:ascii="仿宋_GB2312" w:hAnsi="仿宋" w:cs="Times New Roman"/>
                <w:sz w:val="24"/>
                <w:szCs w:val="24"/>
              </w:rPr>
            </w:pPr>
          </w:p>
        </w:tc>
        <w:tc>
          <w:tcPr>
            <w:tcW w:w="1615" w:type="dxa"/>
            <w:vAlign w:val="center"/>
          </w:tcPr>
          <w:p>
            <w:pPr>
              <w:shd w:val="solid" w:color="FFFFFF" w:fill="auto"/>
              <w:autoSpaceDN w:val="0"/>
              <w:jc w:val="center"/>
              <w:rPr>
                <w:rFonts w:ascii="仿宋_GB2312" w:hAnsi="宋体" w:cs="Times New Roman"/>
                <w:sz w:val="24"/>
                <w:szCs w:val="24"/>
                <w:shd w:val="clear" w:color="auto" w:fill="FFFFFF"/>
              </w:rPr>
            </w:pPr>
            <w:r>
              <w:rPr>
                <w:rFonts w:ascii="仿宋_GB2312" w:hAnsi="宋体" w:cs="Times New Roman"/>
                <w:sz w:val="24"/>
                <w:szCs w:val="24"/>
                <w:shd w:val="clear" w:color="auto" w:fill="FFFFFF"/>
              </w:rPr>
              <w:t>1</w:t>
            </w:r>
            <w:r>
              <w:rPr>
                <w:rFonts w:hint="eastAsia" w:ascii="仿宋_GB2312" w:hAnsi="宋体" w:cs="Times New Roman"/>
                <w:sz w:val="24"/>
                <w:szCs w:val="24"/>
                <w:shd w:val="clear" w:color="auto" w:fill="FFFFFF"/>
              </w:rPr>
              <w:t>8</w:t>
            </w:r>
            <w:r>
              <w:rPr>
                <w:rFonts w:ascii="仿宋_GB2312" w:hAnsi="宋体" w:cs="Times New Roman"/>
                <w:sz w:val="24"/>
                <w:szCs w:val="24"/>
                <w:shd w:val="clear" w:color="auto" w:fill="FFFFFF"/>
              </w:rPr>
              <w:t>:</w:t>
            </w:r>
            <w:r>
              <w:rPr>
                <w:rFonts w:hint="eastAsia" w:ascii="仿宋_GB2312" w:hAnsi="宋体" w:cs="Times New Roman"/>
                <w:sz w:val="24"/>
                <w:szCs w:val="24"/>
                <w:shd w:val="clear" w:color="auto" w:fill="FFFFFF"/>
              </w:rPr>
              <w:t>0</w:t>
            </w:r>
            <w:r>
              <w:rPr>
                <w:rFonts w:ascii="仿宋_GB2312" w:hAnsi="宋体" w:cs="Times New Roman"/>
                <w:sz w:val="24"/>
                <w:szCs w:val="24"/>
                <w:shd w:val="clear" w:color="auto" w:fill="FFFFFF"/>
              </w:rPr>
              <w:t>0</w:t>
            </w:r>
          </w:p>
        </w:tc>
        <w:tc>
          <w:tcPr>
            <w:tcW w:w="251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检查封闭赛场</w:t>
            </w:r>
          </w:p>
        </w:tc>
        <w:tc>
          <w:tcPr>
            <w:tcW w:w="2523"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裁判长、监督组</w:t>
            </w:r>
          </w:p>
        </w:tc>
        <w:tc>
          <w:tcPr>
            <w:tcW w:w="144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restart"/>
            <w:vAlign w:val="center"/>
          </w:tcPr>
          <w:p>
            <w:pPr>
              <w:jc w:val="center"/>
              <w:rPr>
                <w:rFonts w:ascii="仿宋_GB2312" w:hAnsi="仿宋" w:cs="Times New Roman"/>
                <w:sz w:val="24"/>
                <w:szCs w:val="24"/>
              </w:rPr>
            </w:pPr>
            <w:r>
              <w:rPr>
                <w:rFonts w:hint="eastAsia" w:ascii="仿宋_GB2312" w:hAnsi="仿宋" w:cs="Times New Roman"/>
                <w:sz w:val="24"/>
                <w:szCs w:val="24"/>
              </w:rPr>
              <w:t>竞赛</w:t>
            </w:r>
          </w:p>
          <w:p>
            <w:pPr>
              <w:jc w:val="center"/>
              <w:rPr>
                <w:rFonts w:ascii="仿宋_GB2312" w:hAnsi="仿宋" w:cs="Times New Roman"/>
                <w:sz w:val="24"/>
                <w:szCs w:val="24"/>
              </w:rPr>
            </w:pPr>
            <w:r>
              <w:rPr>
                <w:rFonts w:hint="eastAsia" w:ascii="仿宋_GB2312" w:hAnsi="仿宋" w:cs="Times New Roman"/>
                <w:sz w:val="24"/>
                <w:szCs w:val="24"/>
              </w:rPr>
              <w:t>当天</w:t>
            </w:r>
          </w:p>
        </w:tc>
        <w:tc>
          <w:tcPr>
            <w:tcW w:w="1615" w:type="dxa"/>
            <w:vAlign w:val="center"/>
          </w:tcPr>
          <w:p>
            <w:pPr>
              <w:shd w:val="solid" w:color="FFFFFF" w:fill="auto"/>
              <w:autoSpaceDN w:val="0"/>
              <w:jc w:val="center"/>
              <w:rPr>
                <w:rFonts w:ascii="仿宋_GB2312" w:hAnsi="宋体" w:cs="Times New Roman"/>
                <w:sz w:val="24"/>
                <w:szCs w:val="24"/>
                <w:shd w:val="clear" w:color="auto" w:fill="FFFFFF"/>
              </w:rPr>
            </w:pPr>
            <w:r>
              <w:rPr>
                <w:rFonts w:ascii="仿宋_GB2312" w:hAnsi="宋体" w:cs="Times New Roman"/>
                <w:sz w:val="24"/>
                <w:szCs w:val="24"/>
                <w:shd w:val="clear" w:color="auto" w:fill="FFFFFF"/>
              </w:rPr>
              <w:t>0</w:t>
            </w:r>
            <w:r>
              <w:rPr>
                <w:rFonts w:hint="eastAsia" w:ascii="仿宋_GB2312" w:hAnsi="宋体" w:cs="Times New Roman"/>
                <w:sz w:val="24"/>
                <w:szCs w:val="24"/>
                <w:shd w:val="clear" w:color="auto" w:fill="FFFFFF"/>
              </w:rPr>
              <w:t>7</w:t>
            </w:r>
            <w:r>
              <w:rPr>
                <w:rFonts w:ascii="仿宋_GB2312" w:hAnsi="宋体" w:cs="Times New Roman"/>
                <w:sz w:val="24"/>
                <w:szCs w:val="24"/>
                <w:shd w:val="clear" w:color="auto" w:fill="FFFFFF"/>
              </w:rPr>
              <w:t>:</w:t>
            </w:r>
            <w:r>
              <w:rPr>
                <w:rFonts w:hint="eastAsia" w:ascii="仿宋_GB2312" w:hAnsi="宋体" w:cs="Times New Roman"/>
                <w:sz w:val="24"/>
                <w:szCs w:val="24"/>
                <w:shd w:val="clear" w:color="auto" w:fill="FFFFFF"/>
              </w:rPr>
              <w:t>1</w:t>
            </w:r>
            <w:r>
              <w:rPr>
                <w:rFonts w:ascii="仿宋_GB2312" w:hAnsi="宋体" w:cs="Times New Roman"/>
                <w:sz w:val="24"/>
                <w:szCs w:val="24"/>
                <w:shd w:val="clear" w:color="auto" w:fill="FFFFFF"/>
              </w:rPr>
              <w:t>0-0</w:t>
            </w:r>
            <w:r>
              <w:rPr>
                <w:rFonts w:hint="eastAsia" w:ascii="仿宋_GB2312" w:hAnsi="宋体" w:cs="Times New Roman"/>
                <w:sz w:val="24"/>
                <w:szCs w:val="24"/>
                <w:shd w:val="clear" w:color="auto" w:fill="FFFFFF"/>
              </w:rPr>
              <w:t>7</w:t>
            </w:r>
            <w:r>
              <w:rPr>
                <w:rFonts w:ascii="仿宋_GB2312" w:hAnsi="宋体" w:cs="Times New Roman"/>
                <w:sz w:val="24"/>
                <w:szCs w:val="24"/>
                <w:shd w:val="clear" w:color="auto" w:fill="FFFFFF"/>
              </w:rPr>
              <w:t>:</w:t>
            </w:r>
            <w:r>
              <w:rPr>
                <w:rFonts w:hint="eastAsia" w:ascii="仿宋_GB2312" w:hAnsi="宋体" w:cs="Times New Roman"/>
                <w:sz w:val="24"/>
                <w:szCs w:val="24"/>
                <w:shd w:val="clear" w:color="auto" w:fill="FFFFFF"/>
              </w:rPr>
              <w:t>25</w:t>
            </w:r>
          </w:p>
        </w:tc>
        <w:tc>
          <w:tcPr>
            <w:tcW w:w="251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选手检录</w:t>
            </w:r>
          </w:p>
        </w:tc>
        <w:tc>
          <w:tcPr>
            <w:tcW w:w="2523"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参赛选手、检录工作人员</w:t>
            </w:r>
          </w:p>
        </w:tc>
        <w:tc>
          <w:tcPr>
            <w:tcW w:w="144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jc w:val="center"/>
              <w:rPr>
                <w:rFonts w:ascii="仿宋_GB2312" w:hAnsi="仿宋" w:cs="Times New Roman"/>
                <w:sz w:val="24"/>
                <w:szCs w:val="24"/>
              </w:rPr>
            </w:pPr>
          </w:p>
        </w:tc>
        <w:tc>
          <w:tcPr>
            <w:tcW w:w="1615" w:type="dxa"/>
            <w:vAlign w:val="center"/>
          </w:tcPr>
          <w:p>
            <w:pPr>
              <w:shd w:val="solid" w:color="FFFFFF" w:fill="auto"/>
              <w:autoSpaceDN w:val="0"/>
              <w:jc w:val="center"/>
              <w:rPr>
                <w:rFonts w:ascii="仿宋_GB2312" w:hAnsi="宋体" w:cs="Times New Roman"/>
                <w:sz w:val="24"/>
                <w:szCs w:val="24"/>
                <w:shd w:val="clear" w:color="auto" w:fill="FFFFFF"/>
              </w:rPr>
            </w:pPr>
            <w:r>
              <w:rPr>
                <w:rFonts w:ascii="仿宋_GB2312" w:hAnsi="宋体" w:cs="Times New Roman"/>
                <w:sz w:val="24"/>
                <w:szCs w:val="24"/>
                <w:shd w:val="clear" w:color="auto" w:fill="FFFFFF"/>
              </w:rPr>
              <w:t>0</w:t>
            </w:r>
            <w:r>
              <w:rPr>
                <w:rFonts w:hint="eastAsia" w:ascii="仿宋_GB2312" w:hAnsi="宋体" w:cs="Times New Roman"/>
                <w:sz w:val="24"/>
                <w:szCs w:val="24"/>
                <w:shd w:val="clear" w:color="auto" w:fill="FFFFFF"/>
              </w:rPr>
              <w:t>7</w:t>
            </w:r>
            <w:r>
              <w:rPr>
                <w:rFonts w:ascii="仿宋_GB2312" w:hAnsi="宋体" w:cs="Times New Roman"/>
                <w:sz w:val="24"/>
                <w:szCs w:val="24"/>
                <w:shd w:val="clear" w:color="auto" w:fill="FFFFFF"/>
              </w:rPr>
              <w:t>:</w:t>
            </w:r>
            <w:r>
              <w:rPr>
                <w:rFonts w:hint="eastAsia" w:ascii="仿宋_GB2312" w:hAnsi="宋体" w:cs="Times New Roman"/>
                <w:sz w:val="24"/>
                <w:szCs w:val="24"/>
                <w:shd w:val="clear" w:color="auto" w:fill="FFFFFF"/>
              </w:rPr>
              <w:t>25</w:t>
            </w:r>
            <w:r>
              <w:rPr>
                <w:rFonts w:ascii="仿宋_GB2312" w:hAnsi="宋体" w:cs="Times New Roman"/>
                <w:sz w:val="24"/>
                <w:szCs w:val="24"/>
                <w:shd w:val="clear" w:color="auto" w:fill="FFFFFF"/>
              </w:rPr>
              <w:t>-0</w:t>
            </w:r>
            <w:r>
              <w:rPr>
                <w:rFonts w:hint="eastAsia" w:ascii="仿宋_GB2312" w:hAnsi="宋体" w:cs="Times New Roman"/>
                <w:sz w:val="24"/>
                <w:szCs w:val="24"/>
                <w:shd w:val="clear" w:color="auto" w:fill="FFFFFF"/>
              </w:rPr>
              <w:t>7</w:t>
            </w:r>
            <w:r>
              <w:rPr>
                <w:rFonts w:ascii="仿宋_GB2312" w:hAnsi="宋体" w:cs="Times New Roman"/>
                <w:sz w:val="24"/>
                <w:szCs w:val="24"/>
                <w:shd w:val="clear" w:color="auto" w:fill="FFFFFF"/>
              </w:rPr>
              <w:t>:</w:t>
            </w:r>
            <w:r>
              <w:rPr>
                <w:rFonts w:hint="eastAsia" w:ascii="仿宋_GB2312" w:hAnsi="宋体" w:cs="Times New Roman"/>
                <w:sz w:val="24"/>
                <w:szCs w:val="24"/>
                <w:shd w:val="clear" w:color="auto" w:fill="FFFFFF"/>
              </w:rPr>
              <w:t>4</w:t>
            </w:r>
            <w:r>
              <w:rPr>
                <w:rFonts w:ascii="仿宋_GB2312" w:hAnsi="宋体" w:cs="Times New Roman"/>
                <w:sz w:val="24"/>
                <w:szCs w:val="24"/>
                <w:shd w:val="clear" w:color="auto" w:fill="FFFFFF"/>
              </w:rPr>
              <w:t>0</w:t>
            </w:r>
          </w:p>
        </w:tc>
        <w:tc>
          <w:tcPr>
            <w:tcW w:w="251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抽签加密</w:t>
            </w:r>
          </w:p>
        </w:tc>
        <w:tc>
          <w:tcPr>
            <w:tcW w:w="2523"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参赛选手、一次加密及二次加密裁判、监督</w:t>
            </w:r>
          </w:p>
        </w:tc>
        <w:tc>
          <w:tcPr>
            <w:tcW w:w="144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jc w:val="center"/>
              <w:rPr>
                <w:rFonts w:ascii="仿宋_GB2312" w:hAnsi="仿宋" w:cs="Times New Roman"/>
                <w:sz w:val="24"/>
                <w:szCs w:val="24"/>
              </w:rPr>
            </w:pPr>
          </w:p>
        </w:tc>
        <w:tc>
          <w:tcPr>
            <w:tcW w:w="1615" w:type="dxa"/>
            <w:vAlign w:val="center"/>
          </w:tcPr>
          <w:p>
            <w:pPr>
              <w:shd w:val="solid" w:color="FFFFFF" w:fill="auto"/>
              <w:autoSpaceDN w:val="0"/>
              <w:jc w:val="center"/>
              <w:rPr>
                <w:rFonts w:ascii="仿宋_GB2312" w:hAnsi="宋体" w:cs="Times New Roman"/>
                <w:sz w:val="24"/>
                <w:szCs w:val="24"/>
                <w:shd w:val="clear" w:color="auto" w:fill="FFFFFF"/>
              </w:rPr>
            </w:pPr>
            <w:r>
              <w:rPr>
                <w:rFonts w:ascii="仿宋_GB2312" w:hAnsi="宋体" w:cs="Times New Roman"/>
                <w:sz w:val="24"/>
                <w:szCs w:val="24"/>
                <w:shd w:val="clear" w:color="auto" w:fill="FFFFFF"/>
              </w:rPr>
              <w:t>0</w:t>
            </w:r>
            <w:r>
              <w:rPr>
                <w:rFonts w:hint="eastAsia" w:ascii="仿宋_GB2312" w:hAnsi="宋体" w:cs="Times New Roman"/>
                <w:sz w:val="24"/>
                <w:szCs w:val="24"/>
                <w:shd w:val="clear" w:color="auto" w:fill="FFFFFF"/>
              </w:rPr>
              <w:t>7</w:t>
            </w:r>
            <w:r>
              <w:rPr>
                <w:rFonts w:ascii="仿宋_GB2312" w:hAnsi="宋体" w:cs="Times New Roman"/>
                <w:sz w:val="24"/>
                <w:szCs w:val="24"/>
                <w:shd w:val="clear" w:color="auto" w:fill="FFFFFF"/>
              </w:rPr>
              <w:t>:</w:t>
            </w:r>
            <w:r>
              <w:rPr>
                <w:rFonts w:hint="eastAsia" w:ascii="仿宋_GB2312" w:hAnsi="宋体" w:cs="Times New Roman"/>
                <w:sz w:val="24"/>
                <w:szCs w:val="24"/>
                <w:shd w:val="clear" w:color="auto" w:fill="FFFFFF"/>
              </w:rPr>
              <w:t>4</w:t>
            </w:r>
            <w:r>
              <w:rPr>
                <w:rFonts w:ascii="仿宋_GB2312" w:hAnsi="宋体" w:cs="Times New Roman"/>
                <w:sz w:val="24"/>
                <w:szCs w:val="24"/>
                <w:shd w:val="clear" w:color="auto" w:fill="FFFFFF"/>
              </w:rPr>
              <w:t>0-0</w:t>
            </w:r>
            <w:r>
              <w:rPr>
                <w:rFonts w:hint="eastAsia" w:ascii="仿宋_GB2312" w:hAnsi="宋体" w:cs="Times New Roman"/>
                <w:sz w:val="24"/>
                <w:szCs w:val="24"/>
                <w:shd w:val="clear" w:color="auto" w:fill="FFFFFF"/>
              </w:rPr>
              <w:t>8</w:t>
            </w:r>
            <w:r>
              <w:rPr>
                <w:rFonts w:ascii="仿宋_GB2312" w:hAnsi="宋体" w:cs="Times New Roman"/>
                <w:sz w:val="24"/>
                <w:szCs w:val="24"/>
                <w:shd w:val="clear" w:color="auto" w:fill="FFFFFF"/>
              </w:rPr>
              <w:t>:</w:t>
            </w:r>
            <w:r>
              <w:rPr>
                <w:rFonts w:hint="eastAsia" w:ascii="仿宋_GB2312" w:hAnsi="宋体" w:cs="Times New Roman"/>
                <w:sz w:val="24"/>
                <w:szCs w:val="24"/>
                <w:shd w:val="clear" w:color="auto" w:fill="FFFFFF"/>
              </w:rPr>
              <w:t>0</w:t>
            </w:r>
            <w:r>
              <w:rPr>
                <w:rFonts w:ascii="仿宋_GB2312" w:hAnsi="宋体" w:cs="Times New Roman"/>
                <w:sz w:val="24"/>
                <w:szCs w:val="24"/>
                <w:shd w:val="clear" w:color="auto" w:fill="FFFFFF"/>
              </w:rPr>
              <w:t>0</w:t>
            </w:r>
          </w:p>
        </w:tc>
        <w:tc>
          <w:tcPr>
            <w:tcW w:w="2516" w:type="dxa"/>
            <w:vAlign w:val="center"/>
          </w:tcPr>
          <w:p>
            <w:pPr>
              <w:jc w:val="center"/>
              <w:rPr>
                <w:rFonts w:ascii="仿宋_GB2312" w:hAnsi="仿宋" w:cs="Times New Roman"/>
                <w:sz w:val="24"/>
                <w:szCs w:val="24"/>
              </w:rPr>
            </w:pPr>
            <w:r>
              <w:rPr>
                <w:rFonts w:hint="eastAsia" w:ascii="仿宋_GB2312" w:hAnsi="宋体" w:cs="Times New Roman"/>
                <w:sz w:val="24"/>
                <w:szCs w:val="24"/>
                <w:shd w:val="clear" w:color="auto" w:fill="FFFFFF"/>
                <w:lang w:val="zh-CN"/>
              </w:rPr>
              <w:t>比赛选手就位，</w:t>
            </w:r>
            <w:r>
              <w:rPr>
                <w:rFonts w:hint="eastAsia" w:ascii="仿宋_GB2312" w:hAnsi="宋体" w:cs="Times New Roman"/>
                <w:sz w:val="24"/>
                <w:szCs w:val="24"/>
                <w:shd w:val="clear" w:color="auto" w:fill="FFFFFF"/>
              </w:rPr>
              <w:t>并领取比赛任务；</w:t>
            </w:r>
            <w:r>
              <w:rPr>
                <w:rFonts w:hint="eastAsia" w:ascii="仿宋_GB2312" w:hAnsi="宋体" w:cs="Times New Roman"/>
                <w:sz w:val="24"/>
                <w:szCs w:val="24"/>
                <w:shd w:val="clear" w:color="auto" w:fill="FFFFFF"/>
                <w:lang w:val="zh-CN"/>
              </w:rPr>
              <w:t>裁判员宣读竞赛须知</w:t>
            </w:r>
          </w:p>
        </w:tc>
        <w:tc>
          <w:tcPr>
            <w:tcW w:w="2523" w:type="dxa"/>
            <w:vAlign w:val="center"/>
          </w:tcPr>
          <w:p>
            <w:pPr>
              <w:shd w:val="solid" w:color="FFFFFF" w:fill="auto"/>
              <w:autoSpaceDN w:val="0"/>
              <w:jc w:val="center"/>
              <w:rPr>
                <w:rFonts w:ascii="仿宋_GB2312" w:hAnsi="仿宋" w:cs="Times New Roman"/>
                <w:sz w:val="24"/>
                <w:szCs w:val="24"/>
              </w:rPr>
            </w:pPr>
            <w:r>
              <w:rPr>
                <w:rFonts w:hint="eastAsia" w:ascii="仿宋_GB2312" w:hAnsi="宋体" w:cs="Times New Roman"/>
                <w:sz w:val="24"/>
                <w:szCs w:val="24"/>
                <w:shd w:val="clear" w:color="auto" w:fill="FFFFFF"/>
              </w:rPr>
              <w:t>参赛选手、裁判、监督、</w:t>
            </w:r>
            <w:r>
              <w:rPr>
                <w:rFonts w:cs="Times New Roman"/>
                <w:sz w:val="24"/>
                <w:szCs w:val="24"/>
                <w:shd w:val="clear" w:color="auto" w:fill="FFFFFF"/>
              </w:rPr>
              <w:t>仲裁</w:t>
            </w:r>
          </w:p>
        </w:tc>
        <w:tc>
          <w:tcPr>
            <w:tcW w:w="1446" w:type="dxa"/>
            <w:vAlign w:val="center"/>
          </w:tcPr>
          <w:p>
            <w:pPr>
              <w:jc w:val="center"/>
              <w:rPr>
                <w:rFonts w:ascii="仿宋_GB2312" w:hAnsi="仿宋" w:cs="Times New Roman"/>
                <w:sz w:val="24"/>
                <w:szCs w:val="24"/>
              </w:rPr>
            </w:pPr>
            <w:r>
              <w:rPr>
                <w:rFonts w:hint="eastAsia" w:ascii="仿宋_GB2312" w:hAnsi="宋体" w:cs="Times New Roman"/>
                <w:sz w:val="24"/>
                <w:szCs w:val="24"/>
                <w:shd w:val="clear" w:color="auto" w:fill="FFFFFF"/>
                <w:lang w:val="zh-CN"/>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jc w:val="center"/>
              <w:rPr>
                <w:rFonts w:ascii="仿宋_GB2312" w:hAnsi="仿宋" w:cs="Times New Roman"/>
                <w:sz w:val="24"/>
                <w:szCs w:val="24"/>
              </w:rPr>
            </w:pPr>
          </w:p>
        </w:tc>
        <w:tc>
          <w:tcPr>
            <w:tcW w:w="1615" w:type="dxa"/>
            <w:vAlign w:val="center"/>
          </w:tcPr>
          <w:p>
            <w:pPr>
              <w:jc w:val="center"/>
              <w:rPr>
                <w:rFonts w:ascii="仿宋_GB2312" w:hAnsi="仿宋" w:cs="Times New Roman"/>
                <w:sz w:val="24"/>
                <w:szCs w:val="24"/>
              </w:rPr>
            </w:pPr>
            <w:r>
              <w:rPr>
                <w:rFonts w:ascii="仿宋_GB2312" w:hAnsi="宋体" w:cs="Times New Roman"/>
                <w:sz w:val="24"/>
                <w:szCs w:val="24"/>
                <w:shd w:val="clear" w:color="auto" w:fill="FFFFFF"/>
                <w:lang w:val="zh-CN"/>
              </w:rPr>
              <w:t>0</w:t>
            </w:r>
            <w:r>
              <w:rPr>
                <w:rFonts w:hint="eastAsia" w:ascii="仿宋_GB2312" w:hAnsi="宋体" w:cs="Times New Roman"/>
                <w:sz w:val="24"/>
                <w:szCs w:val="24"/>
                <w:shd w:val="clear" w:color="auto" w:fill="FFFFFF"/>
              </w:rPr>
              <w:t>8</w:t>
            </w:r>
            <w:r>
              <w:rPr>
                <w:rFonts w:ascii="仿宋_GB2312" w:hAnsi="宋体" w:cs="Times New Roman"/>
                <w:sz w:val="24"/>
                <w:szCs w:val="24"/>
                <w:shd w:val="clear" w:color="auto" w:fill="FFFFFF"/>
                <w:lang w:val="zh-CN"/>
              </w:rPr>
              <w:t>:</w:t>
            </w:r>
            <w:r>
              <w:rPr>
                <w:rFonts w:hint="eastAsia" w:ascii="仿宋_GB2312" w:hAnsi="宋体" w:cs="Times New Roman"/>
                <w:sz w:val="24"/>
                <w:szCs w:val="24"/>
                <w:shd w:val="clear" w:color="auto" w:fill="FFFFFF"/>
                <w:lang w:val="zh-CN"/>
              </w:rPr>
              <w:t>0</w:t>
            </w:r>
            <w:r>
              <w:rPr>
                <w:rFonts w:ascii="仿宋_GB2312" w:hAnsi="宋体" w:cs="Times New Roman"/>
                <w:sz w:val="24"/>
                <w:szCs w:val="24"/>
                <w:shd w:val="clear" w:color="auto" w:fill="FFFFFF"/>
                <w:lang w:val="zh-CN"/>
              </w:rPr>
              <w:t>0-</w:t>
            </w:r>
            <w:r>
              <w:rPr>
                <w:rFonts w:hint="eastAsia" w:ascii="仿宋_GB2312" w:hAnsi="宋体" w:cs="Times New Roman"/>
                <w:sz w:val="24"/>
                <w:szCs w:val="24"/>
                <w:shd w:val="clear" w:color="auto" w:fill="FFFFFF"/>
                <w:lang w:val="zh-CN"/>
              </w:rPr>
              <w:t>1</w:t>
            </w:r>
            <w:r>
              <w:rPr>
                <w:rFonts w:hint="eastAsia" w:ascii="仿宋_GB2312" w:hAnsi="宋体" w:cs="Times New Roman"/>
                <w:sz w:val="24"/>
                <w:szCs w:val="24"/>
                <w:shd w:val="clear" w:color="auto" w:fill="FFFFFF"/>
              </w:rPr>
              <w:t>2</w:t>
            </w:r>
            <w:r>
              <w:rPr>
                <w:rFonts w:ascii="仿宋_GB2312" w:hAnsi="宋体" w:cs="Times New Roman"/>
                <w:sz w:val="24"/>
                <w:szCs w:val="24"/>
                <w:shd w:val="clear" w:color="auto" w:fill="FFFFFF"/>
                <w:lang w:val="zh-CN"/>
              </w:rPr>
              <w:t>:</w:t>
            </w:r>
            <w:r>
              <w:rPr>
                <w:rFonts w:hint="eastAsia" w:ascii="仿宋_GB2312" w:hAnsi="宋体" w:cs="Times New Roman"/>
                <w:sz w:val="24"/>
                <w:szCs w:val="24"/>
                <w:shd w:val="clear" w:color="auto" w:fill="FFFFFF"/>
                <w:lang w:val="zh-CN"/>
              </w:rPr>
              <w:t>0</w:t>
            </w:r>
            <w:r>
              <w:rPr>
                <w:rFonts w:ascii="仿宋_GB2312" w:hAnsi="宋体" w:cs="Times New Roman"/>
                <w:sz w:val="24"/>
                <w:szCs w:val="24"/>
                <w:shd w:val="clear" w:color="auto" w:fill="FFFFFF"/>
                <w:lang w:val="zh-CN"/>
              </w:rPr>
              <w:t>0</w:t>
            </w:r>
          </w:p>
        </w:tc>
        <w:tc>
          <w:tcPr>
            <w:tcW w:w="251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选手竞赛</w:t>
            </w:r>
          </w:p>
        </w:tc>
        <w:tc>
          <w:tcPr>
            <w:tcW w:w="2523"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参赛选手、裁判、专家、仲裁、监督</w:t>
            </w:r>
          </w:p>
        </w:tc>
        <w:tc>
          <w:tcPr>
            <w:tcW w:w="144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jc w:val="center"/>
              <w:rPr>
                <w:rFonts w:ascii="仿宋_GB2312" w:hAnsi="仿宋" w:cs="Times New Roman"/>
                <w:sz w:val="24"/>
                <w:szCs w:val="24"/>
              </w:rPr>
            </w:pPr>
          </w:p>
        </w:tc>
        <w:tc>
          <w:tcPr>
            <w:tcW w:w="1615" w:type="dxa"/>
            <w:vAlign w:val="center"/>
          </w:tcPr>
          <w:p>
            <w:pPr>
              <w:jc w:val="center"/>
              <w:rPr>
                <w:rFonts w:ascii="仿宋_GB2312" w:hAnsi="宋体" w:cs="Times New Roman"/>
                <w:sz w:val="24"/>
                <w:szCs w:val="24"/>
                <w:shd w:val="clear" w:color="auto" w:fill="FFFFFF"/>
              </w:rPr>
            </w:pPr>
            <w:r>
              <w:rPr>
                <w:rFonts w:ascii="仿宋_GB2312" w:hAnsi="宋体" w:cs="Times New Roman"/>
                <w:sz w:val="24"/>
                <w:szCs w:val="24"/>
                <w:shd w:val="clear" w:color="auto" w:fill="FFFFFF"/>
                <w:lang w:val="zh-CN"/>
              </w:rPr>
              <w:t>0</w:t>
            </w:r>
            <w:r>
              <w:rPr>
                <w:rFonts w:hint="eastAsia" w:ascii="仿宋_GB2312" w:hAnsi="宋体" w:cs="Times New Roman"/>
                <w:sz w:val="24"/>
                <w:szCs w:val="24"/>
                <w:shd w:val="clear" w:color="auto" w:fill="FFFFFF"/>
              </w:rPr>
              <w:t>9</w:t>
            </w:r>
            <w:r>
              <w:rPr>
                <w:rFonts w:ascii="仿宋_GB2312" w:hAnsi="宋体" w:cs="Times New Roman"/>
                <w:sz w:val="24"/>
                <w:szCs w:val="24"/>
                <w:shd w:val="clear" w:color="auto" w:fill="FFFFFF"/>
                <w:lang w:val="zh-CN"/>
              </w:rPr>
              <w:t>:</w:t>
            </w:r>
            <w:r>
              <w:rPr>
                <w:rFonts w:hint="eastAsia" w:ascii="仿宋_GB2312" w:hAnsi="宋体" w:cs="Times New Roman"/>
                <w:sz w:val="24"/>
                <w:szCs w:val="24"/>
                <w:shd w:val="clear" w:color="auto" w:fill="FFFFFF"/>
                <w:lang w:val="zh-CN"/>
              </w:rPr>
              <w:t>0</w:t>
            </w:r>
            <w:r>
              <w:rPr>
                <w:rFonts w:ascii="仿宋_GB2312" w:hAnsi="宋体" w:cs="Times New Roman"/>
                <w:sz w:val="24"/>
                <w:szCs w:val="24"/>
                <w:shd w:val="clear" w:color="auto" w:fill="FFFFFF"/>
                <w:lang w:val="zh-CN"/>
              </w:rPr>
              <w:t>0-</w:t>
            </w:r>
            <w:r>
              <w:rPr>
                <w:rFonts w:hint="eastAsia" w:ascii="仿宋_GB2312" w:hAnsi="宋体" w:cs="Times New Roman"/>
                <w:sz w:val="24"/>
                <w:szCs w:val="24"/>
                <w:shd w:val="clear" w:color="auto" w:fill="FFFFFF"/>
                <w:lang w:val="zh-CN"/>
              </w:rPr>
              <w:t>1</w:t>
            </w:r>
            <w:r>
              <w:rPr>
                <w:rFonts w:hint="eastAsia" w:ascii="仿宋_GB2312" w:hAnsi="宋体" w:cs="Times New Roman"/>
                <w:sz w:val="24"/>
                <w:szCs w:val="24"/>
                <w:shd w:val="clear" w:color="auto" w:fill="FFFFFF"/>
              </w:rPr>
              <w:t>0</w:t>
            </w:r>
            <w:r>
              <w:rPr>
                <w:rFonts w:ascii="仿宋_GB2312" w:hAnsi="宋体" w:cs="Times New Roman"/>
                <w:sz w:val="24"/>
                <w:szCs w:val="24"/>
                <w:shd w:val="clear" w:color="auto" w:fill="FFFFFF"/>
                <w:lang w:val="zh-CN"/>
              </w:rPr>
              <w:t>:</w:t>
            </w:r>
            <w:r>
              <w:rPr>
                <w:rFonts w:hint="eastAsia" w:ascii="仿宋_GB2312" w:hAnsi="宋体" w:cs="Times New Roman"/>
                <w:sz w:val="24"/>
                <w:szCs w:val="24"/>
                <w:shd w:val="clear" w:color="auto" w:fill="FFFFFF"/>
                <w:lang w:val="zh-CN"/>
              </w:rPr>
              <w:t>0</w:t>
            </w:r>
            <w:r>
              <w:rPr>
                <w:rFonts w:ascii="仿宋_GB2312" w:hAnsi="宋体" w:cs="Times New Roman"/>
                <w:sz w:val="24"/>
                <w:szCs w:val="24"/>
                <w:shd w:val="clear" w:color="auto" w:fill="FFFFFF"/>
                <w:lang w:val="zh-CN"/>
              </w:rPr>
              <w:t>0</w:t>
            </w:r>
          </w:p>
        </w:tc>
        <w:tc>
          <w:tcPr>
            <w:tcW w:w="251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竞赛观摩</w:t>
            </w:r>
          </w:p>
        </w:tc>
        <w:tc>
          <w:tcPr>
            <w:tcW w:w="2523"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参赛队领队、指导老师、媒体观众等受邀观摩人员</w:t>
            </w:r>
          </w:p>
        </w:tc>
        <w:tc>
          <w:tcPr>
            <w:tcW w:w="144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观摩区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jc w:val="center"/>
              <w:rPr>
                <w:rFonts w:ascii="仿宋_GB2312" w:hAnsi="仿宋" w:cs="Times New Roman"/>
                <w:sz w:val="24"/>
                <w:szCs w:val="24"/>
              </w:rPr>
            </w:pPr>
          </w:p>
        </w:tc>
        <w:tc>
          <w:tcPr>
            <w:tcW w:w="1615" w:type="dxa"/>
            <w:vAlign w:val="center"/>
          </w:tcPr>
          <w:p>
            <w:pPr>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12:00-14:00</w:t>
            </w:r>
          </w:p>
        </w:tc>
        <w:tc>
          <w:tcPr>
            <w:tcW w:w="251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申诉及仲裁</w:t>
            </w:r>
          </w:p>
        </w:tc>
        <w:tc>
          <w:tcPr>
            <w:tcW w:w="2523"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（异议）参赛选手、仲裁、监督</w:t>
            </w:r>
          </w:p>
        </w:tc>
        <w:tc>
          <w:tcPr>
            <w:tcW w:w="144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jc w:val="center"/>
              <w:rPr>
                <w:rFonts w:ascii="仿宋_GB2312" w:hAnsi="仿宋" w:cs="Times New Roman"/>
                <w:sz w:val="24"/>
                <w:szCs w:val="24"/>
              </w:rPr>
            </w:pPr>
          </w:p>
        </w:tc>
        <w:tc>
          <w:tcPr>
            <w:tcW w:w="1615" w:type="dxa"/>
            <w:vAlign w:val="center"/>
          </w:tcPr>
          <w:p>
            <w:pPr>
              <w:jc w:val="center"/>
              <w:rPr>
                <w:rFonts w:ascii="仿宋_GB2312" w:hAnsi="宋体" w:cs="Times New Roman"/>
                <w:sz w:val="24"/>
                <w:szCs w:val="24"/>
                <w:shd w:val="clear" w:color="auto" w:fill="FFFFFF"/>
              </w:rPr>
            </w:pPr>
            <w:r>
              <w:rPr>
                <w:rFonts w:ascii="仿宋_GB2312" w:hAnsi="宋体" w:cs="Times New Roman"/>
                <w:sz w:val="24"/>
                <w:szCs w:val="24"/>
                <w:shd w:val="clear" w:color="auto" w:fill="FFFFFF"/>
                <w:lang w:val="zh-CN"/>
              </w:rPr>
              <w:t>1</w:t>
            </w:r>
            <w:r>
              <w:rPr>
                <w:rFonts w:hint="eastAsia" w:ascii="仿宋_GB2312" w:hAnsi="宋体" w:cs="Times New Roman"/>
                <w:sz w:val="24"/>
                <w:szCs w:val="24"/>
                <w:shd w:val="clear" w:color="auto" w:fill="FFFFFF"/>
              </w:rPr>
              <w:t>2</w:t>
            </w:r>
            <w:r>
              <w:rPr>
                <w:rFonts w:ascii="仿宋_GB2312" w:hAnsi="宋体" w:cs="Times New Roman"/>
                <w:sz w:val="24"/>
                <w:szCs w:val="24"/>
                <w:shd w:val="clear" w:color="auto" w:fill="FFFFFF"/>
                <w:lang w:val="zh-CN"/>
              </w:rPr>
              <w:t>:</w:t>
            </w:r>
            <w:r>
              <w:rPr>
                <w:rFonts w:hint="eastAsia" w:ascii="仿宋_GB2312" w:hAnsi="宋体" w:cs="Times New Roman"/>
                <w:sz w:val="24"/>
                <w:szCs w:val="24"/>
                <w:shd w:val="clear" w:color="auto" w:fill="FFFFFF"/>
              </w:rPr>
              <w:t>15</w:t>
            </w:r>
            <w:r>
              <w:rPr>
                <w:rFonts w:ascii="仿宋_GB2312" w:hAnsi="宋体" w:cs="Times New Roman"/>
                <w:sz w:val="24"/>
                <w:szCs w:val="24"/>
                <w:shd w:val="clear" w:color="auto" w:fill="FFFFFF"/>
                <w:lang w:val="zh-CN"/>
              </w:rPr>
              <w:t>-</w:t>
            </w:r>
            <w:r>
              <w:rPr>
                <w:rFonts w:hint="eastAsia" w:ascii="仿宋_GB2312" w:hAnsi="宋体" w:cs="Times New Roman"/>
                <w:sz w:val="24"/>
                <w:szCs w:val="24"/>
                <w:shd w:val="clear" w:color="auto" w:fill="FFFFFF"/>
              </w:rPr>
              <w:t>18:00</w:t>
            </w:r>
          </w:p>
        </w:tc>
        <w:tc>
          <w:tcPr>
            <w:tcW w:w="2516" w:type="dxa"/>
            <w:vAlign w:val="center"/>
          </w:tcPr>
          <w:p>
            <w:pPr>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裁判评分、抽检复核</w:t>
            </w:r>
            <w:r>
              <w:rPr>
                <w:rFonts w:ascii="仿宋_GB2312" w:hAnsi="宋体" w:cs="Times New Roman"/>
                <w:sz w:val="24"/>
                <w:szCs w:val="24"/>
                <w:shd w:val="clear" w:color="auto" w:fill="FFFFFF"/>
              </w:rPr>
              <w:t>、解密</w:t>
            </w:r>
          </w:p>
        </w:tc>
        <w:tc>
          <w:tcPr>
            <w:tcW w:w="2523"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相关</w:t>
            </w:r>
            <w:r>
              <w:rPr>
                <w:rFonts w:ascii="仿宋_GB2312" w:hAnsi="宋体" w:cs="Times New Roman"/>
                <w:sz w:val="24"/>
                <w:szCs w:val="24"/>
                <w:shd w:val="clear" w:color="auto" w:fill="FFFFFF"/>
              </w:rPr>
              <w:t>人员</w:t>
            </w:r>
          </w:p>
        </w:tc>
        <w:tc>
          <w:tcPr>
            <w:tcW w:w="1446"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jc w:val="center"/>
              <w:rPr>
                <w:rFonts w:ascii="仿宋_GB2312" w:hAnsi="仿宋" w:cs="Times New Roman"/>
                <w:sz w:val="24"/>
                <w:szCs w:val="24"/>
              </w:rPr>
            </w:pPr>
          </w:p>
        </w:tc>
        <w:tc>
          <w:tcPr>
            <w:tcW w:w="1615" w:type="dxa"/>
            <w:vAlign w:val="center"/>
          </w:tcPr>
          <w:p>
            <w:pPr>
              <w:jc w:val="center"/>
              <w:rPr>
                <w:rFonts w:ascii="仿宋_GB2312" w:hAnsi="宋体" w:cs="Times New Roman"/>
                <w:sz w:val="24"/>
                <w:szCs w:val="24"/>
                <w:shd w:val="clear" w:color="auto" w:fill="FFFFFF"/>
                <w:lang w:val="zh-CN"/>
              </w:rPr>
            </w:pPr>
            <w:r>
              <w:rPr>
                <w:rFonts w:hint="eastAsia" w:ascii="仿宋_GB2312" w:hAnsi="宋体" w:cs="Times New Roman"/>
                <w:sz w:val="24"/>
                <w:szCs w:val="24"/>
                <w:shd w:val="clear" w:color="auto" w:fill="FFFFFF"/>
              </w:rPr>
              <w:t>18</w:t>
            </w:r>
            <w:r>
              <w:rPr>
                <w:rFonts w:hint="eastAsia" w:ascii="仿宋_GB2312" w:hAnsi="宋体" w:cs="Times New Roman"/>
                <w:sz w:val="24"/>
                <w:szCs w:val="24"/>
                <w:shd w:val="clear" w:color="auto" w:fill="FFFFFF"/>
                <w:lang w:val="zh-CN"/>
              </w:rPr>
              <w:t>:</w:t>
            </w:r>
            <w:r>
              <w:rPr>
                <w:rFonts w:ascii="仿宋_GB2312" w:hAnsi="宋体" w:cs="Times New Roman"/>
                <w:sz w:val="24"/>
                <w:szCs w:val="24"/>
                <w:shd w:val="clear" w:color="auto" w:fill="FFFFFF"/>
                <w:lang w:val="zh-CN"/>
              </w:rPr>
              <w:t>00-20</w:t>
            </w:r>
            <w:r>
              <w:rPr>
                <w:rFonts w:hint="eastAsia" w:ascii="仿宋_GB2312" w:hAnsi="宋体" w:cs="Times New Roman"/>
                <w:sz w:val="24"/>
                <w:szCs w:val="24"/>
                <w:shd w:val="clear" w:color="auto" w:fill="FFFFFF"/>
                <w:lang w:val="zh-CN"/>
              </w:rPr>
              <w:t>：00</w:t>
            </w:r>
          </w:p>
        </w:tc>
        <w:tc>
          <w:tcPr>
            <w:tcW w:w="2516" w:type="dxa"/>
            <w:vAlign w:val="center"/>
          </w:tcPr>
          <w:p>
            <w:pPr>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公布成绩</w:t>
            </w:r>
          </w:p>
        </w:tc>
        <w:tc>
          <w:tcPr>
            <w:tcW w:w="2523" w:type="dxa"/>
            <w:vAlign w:val="center"/>
          </w:tcPr>
          <w:p>
            <w:pPr>
              <w:shd w:val="solid" w:color="FFFFFF" w:fill="auto"/>
              <w:autoSpaceDN w:val="0"/>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各参赛队、裁判、专家、监督、仲裁等</w:t>
            </w:r>
          </w:p>
        </w:tc>
        <w:tc>
          <w:tcPr>
            <w:tcW w:w="1446" w:type="dxa"/>
            <w:vAlign w:val="center"/>
          </w:tcPr>
          <w:p>
            <w:pPr>
              <w:shd w:val="solid" w:color="FFFFFF" w:fill="auto"/>
              <w:autoSpaceDN w:val="0"/>
              <w:jc w:val="center"/>
              <w:rPr>
                <w:rFonts w:ascii="仿宋_GB2312" w:hAnsi="宋体" w:cs="Times New Roman"/>
                <w:sz w:val="24"/>
                <w:szCs w:val="24"/>
                <w:shd w:val="clear" w:color="auto" w:fill="FFFFFF"/>
              </w:rPr>
            </w:pPr>
            <w:r>
              <w:rPr>
                <w:sz w:val="24"/>
                <w:szCs w:val="24"/>
                <w:shd w:val="clear" w:color="auto" w:fill="FFFFFF"/>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restart"/>
            <w:vAlign w:val="center"/>
          </w:tcPr>
          <w:p>
            <w:pPr>
              <w:jc w:val="center"/>
              <w:rPr>
                <w:rFonts w:ascii="仿宋_GB2312" w:hAnsi="仿宋" w:cs="Times New Roman"/>
                <w:sz w:val="24"/>
                <w:szCs w:val="24"/>
              </w:rPr>
            </w:pPr>
            <w:r>
              <w:rPr>
                <w:rFonts w:hint="eastAsia" w:ascii="仿宋_GB2312" w:hAnsi="仿宋" w:cs="Times New Roman"/>
                <w:sz w:val="24"/>
                <w:szCs w:val="24"/>
              </w:rPr>
              <w:t>竞赛次日</w:t>
            </w:r>
          </w:p>
        </w:tc>
        <w:tc>
          <w:tcPr>
            <w:tcW w:w="1615" w:type="dxa"/>
            <w:vAlign w:val="center"/>
          </w:tcPr>
          <w:p>
            <w:pPr>
              <w:jc w:val="center"/>
              <w:rPr>
                <w:rFonts w:ascii="仿宋_GB2312" w:hAnsi="仿宋" w:cs="Times New Roman"/>
                <w:sz w:val="24"/>
                <w:szCs w:val="24"/>
              </w:rPr>
            </w:pPr>
            <w:r>
              <w:rPr>
                <w:rFonts w:ascii="仿宋_GB2312" w:hAnsi="仿宋" w:cs="Times New Roman"/>
                <w:sz w:val="24"/>
                <w:szCs w:val="24"/>
              </w:rPr>
              <w:t>9:</w:t>
            </w:r>
            <w:r>
              <w:rPr>
                <w:rFonts w:hint="eastAsia" w:ascii="仿宋_GB2312" w:hAnsi="仿宋" w:cs="Times New Roman"/>
                <w:sz w:val="24"/>
                <w:szCs w:val="24"/>
              </w:rPr>
              <w:t>0</w:t>
            </w:r>
            <w:r>
              <w:rPr>
                <w:rFonts w:ascii="仿宋_GB2312" w:hAnsi="仿宋" w:cs="Times New Roman"/>
                <w:sz w:val="24"/>
                <w:szCs w:val="24"/>
              </w:rPr>
              <w:t>0</w:t>
            </w:r>
            <w:r>
              <w:rPr>
                <w:rFonts w:hint="eastAsia" w:ascii="仿宋_GB2312" w:hAnsi="仿宋" w:cs="Times New Roman"/>
                <w:sz w:val="24"/>
                <w:szCs w:val="24"/>
              </w:rPr>
              <w:t>-10:00</w:t>
            </w:r>
          </w:p>
        </w:tc>
        <w:tc>
          <w:tcPr>
            <w:tcW w:w="2516" w:type="dxa"/>
            <w:vAlign w:val="center"/>
          </w:tcPr>
          <w:p>
            <w:pPr>
              <w:jc w:val="center"/>
              <w:rPr>
                <w:rFonts w:ascii="仿宋_GB2312" w:hAnsi="仿宋" w:cs="Times New Roman"/>
                <w:sz w:val="24"/>
                <w:szCs w:val="24"/>
              </w:rPr>
            </w:pPr>
            <w:r>
              <w:rPr>
                <w:rFonts w:hint="eastAsia" w:ascii="仿宋_GB2312" w:hAnsi="仿宋" w:cs="Times New Roman"/>
                <w:sz w:val="24"/>
                <w:szCs w:val="24"/>
              </w:rPr>
              <w:t>赛项闭赛式</w:t>
            </w:r>
          </w:p>
        </w:tc>
        <w:tc>
          <w:tcPr>
            <w:tcW w:w="2523" w:type="dxa"/>
            <w:vAlign w:val="center"/>
          </w:tcPr>
          <w:p>
            <w:pPr>
              <w:jc w:val="center"/>
              <w:rPr>
                <w:rFonts w:ascii="仿宋_GB2312" w:hAnsi="宋体" w:cs="Times New Roman"/>
                <w:sz w:val="24"/>
                <w:szCs w:val="24"/>
                <w:shd w:val="clear" w:color="auto" w:fill="FFFFFF"/>
                <w:lang w:val="zh-CN"/>
              </w:rPr>
            </w:pPr>
            <w:r>
              <w:rPr>
                <w:rFonts w:hint="eastAsia" w:ascii="仿宋_GB2312" w:hAnsi="宋体" w:cs="Times New Roman"/>
                <w:sz w:val="24"/>
                <w:szCs w:val="24"/>
                <w:shd w:val="clear" w:color="auto" w:fill="FFFFFF"/>
              </w:rPr>
              <w:t>所有人员</w:t>
            </w:r>
          </w:p>
        </w:tc>
        <w:tc>
          <w:tcPr>
            <w:tcW w:w="1446" w:type="dxa"/>
            <w:vAlign w:val="center"/>
          </w:tcPr>
          <w:p>
            <w:pPr>
              <w:jc w:val="center"/>
              <w:rPr>
                <w:rFonts w:cs="Times New Roman"/>
                <w:sz w:val="24"/>
                <w:szCs w:val="24"/>
                <w:lang w:val="zh-CN"/>
              </w:rPr>
            </w:pPr>
            <w:r>
              <w:rPr>
                <w:rFonts w:hint="eastAsia" w:ascii="仿宋_GB2312" w:hAnsi="宋体" w:cs="Times New Roman"/>
                <w:sz w:val="24"/>
                <w:szCs w:val="24"/>
                <w:shd w:val="clear" w:color="auto" w:fill="FFFFFF"/>
              </w:rPr>
              <w:t>礼堂/大会议室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jc w:val="center"/>
              <w:rPr>
                <w:rFonts w:ascii="仿宋_GB2312" w:hAnsi="仿宋" w:cs="Times New Roman"/>
                <w:sz w:val="24"/>
                <w:szCs w:val="24"/>
              </w:rPr>
            </w:pPr>
          </w:p>
        </w:tc>
        <w:tc>
          <w:tcPr>
            <w:tcW w:w="1615" w:type="dxa"/>
            <w:vAlign w:val="center"/>
          </w:tcPr>
          <w:p>
            <w:pPr>
              <w:jc w:val="center"/>
              <w:rPr>
                <w:rFonts w:ascii="仿宋_GB2312" w:hAnsi="仿宋" w:cs="Times New Roman"/>
                <w:sz w:val="24"/>
                <w:szCs w:val="24"/>
              </w:rPr>
            </w:pPr>
            <w:r>
              <w:rPr>
                <w:rFonts w:hint="eastAsia" w:ascii="仿宋_GB2312" w:hAnsi="仿宋" w:cs="Times New Roman"/>
                <w:sz w:val="24"/>
                <w:szCs w:val="24"/>
              </w:rPr>
              <w:t>10:00-15:00</w:t>
            </w:r>
          </w:p>
        </w:tc>
        <w:tc>
          <w:tcPr>
            <w:tcW w:w="2516" w:type="dxa"/>
            <w:vAlign w:val="center"/>
          </w:tcPr>
          <w:p>
            <w:pPr>
              <w:jc w:val="center"/>
              <w:rPr>
                <w:rFonts w:ascii="仿宋_GB2312" w:hAnsi="仿宋" w:cs="Times New Roman"/>
                <w:sz w:val="24"/>
                <w:szCs w:val="24"/>
              </w:rPr>
            </w:pPr>
            <w:r>
              <w:rPr>
                <w:rFonts w:hint="eastAsia" w:ascii="仿宋_GB2312" w:hAnsi="仿宋" w:cs="Times New Roman"/>
                <w:sz w:val="24"/>
                <w:szCs w:val="24"/>
              </w:rPr>
              <w:t>送站疏散</w:t>
            </w:r>
          </w:p>
        </w:tc>
        <w:tc>
          <w:tcPr>
            <w:tcW w:w="2523" w:type="dxa"/>
            <w:vAlign w:val="center"/>
          </w:tcPr>
          <w:p>
            <w:pPr>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所有人员</w:t>
            </w:r>
          </w:p>
        </w:tc>
        <w:tc>
          <w:tcPr>
            <w:tcW w:w="1446" w:type="dxa"/>
            <w:vAlign w:val="center"/>
          </w:tcPr>
          <w:p>
            <w:pPr>
              <w:jc w:val="center"/>
              <w:rPr>
                <w:rFonts w:ascii="仿宋_GB2312" w:hAnsi="宋体" w:cs="Times New Roman"/>
                <w:sz w:val="24"/>
                <w:szCs w:val="24"/>
                <w:shd w:val="clear" w:color="auto" w:fill="FFFFFF"/>
              </w:rPr>
            </w:pPr>
            <w:r>
              <w:rPr>
                <w:rFonts w:hint="eastAsia" w:ascii="仿宋_GB2312" w:hAnsi="宋体" w:cs="Times New Roman"/>
                <w:sz w:val="24"/>
                <w:szCs w:val="24"/>
                <w:shd w:val="clear" w:color="auto" w:fill="FFFFFF"/>
              </w:rPr>
              <w:t>-</w:t>
            </w:r>
          </w:p>
        </w:tc>
      </w:tr>
    </w:tbl>
    <w:p>
      <w:pPr>
        <w:pStyle w:val="73"/>
        <w:spacing w:line="560" w:lineRule="atLeast"/>
      </w:pPr>
      <w:r>
        <w:rPr>
          <w:rFonts w:hint="eastAsia"/>
        </w:rPr>
        <w:t>赛项竞赛流程图如下页图所示：</w:t>
      </w:r>
    </w:p>
    <w:p>
      <w:pPr>
        <w:snapToGrid w:val="0"/>
        <w:spacing w:line="560" w:lineRule="exact"/>
        <w:ind w:firstLine="411" w:firstLineChars="196"/>
        <w:jc w:val="left"/>
        <w:outlineLvl w:val="0"/>
        <w:rPr>
          <w:rFonts w:ascii="仿宋_GB2312" w:hAnsi="宋体" w:eastAsia="仿宋_GB2312" w:cs="Times New Roman"/>
          <w:b/>
          <w:bCs/>
          <w:kern w:val="0"/>
          <w:sz w:val="28"/>
          <w:szCs w:val="28"/>
        </w:rPr>
      </w:pPr>
      <w:r>
        <w:drawing>
          <wp:anchor distT="0" distB="0" distL="114300" distR="114300" simplePos="0" relativeHeight="251658240" behindDoc="0" locked="0" layoutInCell="1" allowOverlap="1">
            <wp:simplePos x="0" y="0"/>
            <wp:positionH relativeFrom="column">
              <wp:posOffset>10795</wp:posOffset>
            </wp:positionH>
            <wp:positionV relativeFrom="paragraph">
              <wp:posOffset>123825</wp:posOffset>
            </wp:positionV>
            <wp:extent cx="5756275" cy="526097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756275" cy="5260975"/>
                    </a:xfrm>
                    <a:prstGeom prst="rect">
                      <a:avLst/>
                    </a:prstGeom>
                    <a:noFill/>
                    <a:ln>
                      <a:noFill/>
                    </a:ln>
                  </pic:spPr>
                </pic:pic>
              </a:graphicData>
            </a:graphic>
          </wp:anchor>
        </w:drawing>
      </w:r>
      <w:r>
        <w:rPr>
          <w:rFonts w:hint="eastAsia" w:ascii="仿宋_GB2312" w:hAnsi="宋体" w:eastAsia="仿宋_GB2312" w:cs="仿宋_GB2312"/>
          <w:b/>
          <w:bCs/>
          <w:kern w:val="0"/>
          <w:sz w:val="28"/>
          <w:szCs w:val="28"/>
        </w:rPr>
        <w:t>六、竞赛赛卷</w:t>
      </w:r>
    </w:p>
    <w:p>
      <w:pPr>
        <w:pStyle w:val="73"/>
        <w:rPr>
          <w:rFonts w:cs="Times New Roman"/>
        </w:rPr>
      </w:pPr>
      <w:r>
        <w:rPr>
          <w:rFonts w:hint="eastAsia"/>
        </w:rPr>
        <w:t>（一）本赛项的所有试题均为客观题，不设主观题。</w:t>
      </w:r>
    </w:p>
    <w:p>
      <w:pPr>
        <w:pStyle w:val="73"/>
      </w:pPr>
      <w:r>
        <w:rPr>
          <w:rFonts w:hint="eastAsia"/>
        </w:rPr>
        <w:t>（二）在赛前一个月通过全国职业院校技能大赛网络信息发布平台（</w:t>
      </w:r>
      <w:r>
        <w:fldChar w:fldCharType="begin"/>
      </w:r>
      <w:r>
        <w:instrText xml:space="preserve"> HYPERLINK "http://www.chinaskills.org）公布10" </w:instrText>
      </w:r>
      <w:r>
        <w:fldChar w:fldCharType="separate"/>
      </w:r>
      <w:r>
        <w:t>www.chinaskills.org</w:t>
      </w:r>
      <w:r>
        <w:rPr>
          <w:rFonts w:hint="eastAsia"/>
        </w:rPr>
        <w:t>）公布不少于10</w:t>
      </w:r>
      <w:r>
        <w:rPr>
          <w:rFonts w:hint="eastAsia"/>
        </w:rPr>
        <w:fldChar w:fldCharType="end"/>
      </w:r>
      <w:r>
        <w:rPr>
          <w:rFonts w:hint="eastAsia"/>
        </w:rPr>
        <w:t>套赛题的赛题库。</w:t>
      </w:r>
    </w:p>
    <w:p>
      <w:pPr>
        <w:pStyle w:val="73"/>
        <w:rPr>
          <w:rFonts w:cs="Times New Roman"/>
        </w:rPr>
      </w:pPr>
      <w:r>
        <w:rPr>
          <w:rFonts w:hint="eastAsia"/>
        </w:rPr>
        <w:t>（三）在赛前举行赛前说明会，对竞赛题型、结构、考点、评分、注意事项等进行说明和答疑。</w:t>
      </w:r>
    </w:p>
    <w:p>
      <w:pPr>
        <w:pStyle w:val="73"/>
      </w:pPr>
      <w:r>
        <w:rPr>
          <w:rFonts w:hint="eastAsia"/>
        </w:rPr>
        <w:t>（四）技能大赛的命题工作由赛项执委会指定的命题专家组负责。正式赛题属于非公开部分，将建立试题库，制定</w:t>
      </w:r>
      <w:r>
        <w:t>10</w:t>
      </w:r>
      <w:r>
        <w:rPr>
          <w:rFonts w:hint="eastAsia"/>
        </w:rPr>
        <w:t>套赛题，各套赛题重复率不超过</w:t>
      </w:r>
      <w:r>
        <w:t>50%</w:t>
      </w:r>
      <w:r>
        <w:rPr>
          <w:rFonts w:hint="eastAsia"/>
        </w:rPr>
        <w:t>。竞赛试卷于比赛前三天，经试题库随机排序后，在现场监督人员监督下由裁判长指定相关人员抽取。</w:t>
      </w:r>
    </w:p>
    <w:p>
      <w:pPr>
        <w:pStyle w:val="73"/>
      </w:pPr>
      <w:r>
        <w:rPr>
          <w:rFonts w:hint="eastAsia"/>
        </w:rPr>
        <w:t>（五）技能大赛的试题共包括四部分：4G&amp;Pre5G网络部署与优化(20分)、4G&amp;Pre5G网络故障排除（30分）、NB-IoT网络规划与业务调试（30分）、NB-IoT网络故障排除（20分）。</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（六）</w:t>
      </w:r>
      <w:r>
        <w:rPr>
          <w:rFonts w:ascii="Times New Roman" w:hAnsi="Times New Roman" w:eastAsia="仿宋_GB2312"/>
          <w:sz w:val="28"/>
          <w:szCs w:val="28"/>
        </w:rPr>
        <w:t>赛项比赛结束后一周内，正式赛卷（包括评分标准）通过大赛网络信息发布平台（www.chinaskills-jsw.org）公布。</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（七）竞赛样题详见附件</w:t>
      </w:r>
    </w:p>
    <w:p>
      <w:pPr>
        <w:widowControl/>
        <w:jc w:val="center"/>
        <w:rPr>
          <w:rFonts w:ascii="仿宋_GB2312" w:hAnsi="仿宋_GB2312" w:eastAsia="仿宋_GB2312"/>
          <w:sz w:val="28"/>
        </w:rPr>
      </w:pPr>
    </w:p>
    <w:p>
      <w:pPr>
        <w:widowControl/>
        <w:jc w:val="center"/>
        <w:rPr>
          <w:rFonts w:cs="Times New Roman"/>
        </w:rPr>
      </w:pPr>
      <w:r>
        <w:rPr>
          <w:rFonts w:ascii="仿宋_GB2312" w:hAnsi="宋体" w:eastAsia="仿宋_GB2312" w:cs="Times New Roman"/>
          <w:kern w:val="0"/>
          <w:sz w:val="28"/>
          <w:szCs w:val="28"/>
        </w:rPr>
        <w:br w:type="page"/>
      </w:r>
    </w:p>
    <w:p>
      <w:pPr>
        <w:snapToGrid w:val="0"/>
        <w:spacing w:line="560" w:lineRule="exact"/>
        <w:ind w:firstLine="551" w:firstLineChars="196"/>
        <w:jc w:val="left"/>
        <w:outlineLvl w:val="0"/>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七、竞赛规则</w:t>
      </w:r>
    </w:p>
    <w:p>
      <w:pPr>
        <w:pStyle w:val="73"/>
      </w:pPr>
      <w:r>
        <w:rPr>
          <w:rFonts w:hint="eastAsia"/>
        </w:rPr>
        <w:t>（一）报名资格</w:t>
      </w:r>
    </w:p>
    <w:p>
      <w:pPr>
        <w:pStyle w:val="73"/>
        <w:rPr>
          <w:rFonts w:cs="Times New Roman"/>
        </w:rPr>
      </w:pPr>
      <w:r>
        <w:t>1.</w:t>
      </w:r>
      <w:r>
        <w:rPr>
          <w:rFonts w:hint="eastAsia"/>
        </w:rPr>
        <w:t>报名资格</w:t>
      </w:r>
    </w:p>
    <w:p>
      <w:pPr>
        <w:adjustRightInd w:val="0"/>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参赛选手须为</w:t>
      </w:r>
      <w:r>
        <w:rPr>
          <w:rFonts w:hint="eastAsia" w:ascii="Times New Roman" w:hAnsi="Times New Roman" w:eastAsia="仿宋_GB2312"/>
          <w:sz w:val="28"/>
          <w:szCs w:val="28"/>
        </w:rPr>
        <w:t>2</w:t>
      </w:r>
      <w:r>
        <w:rPr>
          <w:rFonts w:ascii="Times New Roman" w:hAnsi="Times New Roman" w:eastAsia="仿宋_GB2312"/>
          <w:sz w:val="28"/>
          <w:szCs w:val="28"/>
        </w:rPr>
        <w:t>名普通高等学校全日制在籍专科学生。本科院校中高职类全日制在籍学生可报名参加高职组比赛。五年制高职学生报名参赛的，四、五年级学生参加高职组比赛。高职组参赛选手年龄须不超过25周岁（当年），年龄计算的截止时间以2019年5月1日为准。凡在往届全国职业院校技能大赛中获一等奖的选手，不能再参加同一项目同一组别的比赛。</w:t>
      </w:r>
    </w:p>
    <w:p>
      <w:pPr>
        <w:pStyle w:val="73"/>
        <w:rPr>
          <w:rFonts w:cs="Times New Roman"/>
        </w:rPr>
      </w:pPr>
      <w:r>
        <w:t>2.</w:t>
      </w:r>
      <w:r>
        <w:rPr>
          <w:rFonts w:hint="eastAsia"/>
        </w:rPr>
        <w:t>组队要求</w:t>
      </w:r>
    </w:p>
    <w:p>
      <w:pPr>
        <w:pStyle w:val="73"/>
      </w:pPr>
      <w:r>
        <w:rPr>
          <w:rFonts w:hint="eastAsia"/>
        </w:rPr>
        <w:t>各省、自治区、直辖市、新疆生产建设兵团可组队参赛，不接受计划单列市组队参赛。不得跨校组队，同一学校报名参赛队不超过</w:t>
      </w:r>
      <w:r>
        <w:t>1</w:t>
      </w:r>
      <w:r>
        <w:rPr>
          <w:rFonts w:hint="eastAsia"/>
        </w:rPr>
        <w:t>支。指导教师须为本校专兼职教师，每队限报 2 名指导教师，指导教师负责参赛选手的报名、训练指导、服务，比赛期间参赛选手的日常管理等。</w:t>
      </w:r>
    </w:p>
    <w:p>
      <w:pPr>
        <w:pStyle w:val="73"/>
      </w:pPr>
      <w:r>
        <w:rPr>
          <w:rFonts w:hint="eastAsia"/>
        </w:rPr>
        <w:t>3.人员变更</w:t>
      </w:r>
    </w:p>
    <w:p>
      <w:pPr>
        <w:pStyle w:val="73"/>
      </w:pPr>
      <w:r>
        <w:rPr>
          <w:rFonts w:hint="eastAsia"/>
        </w:rPr>
        <w:t>参赛选手和指导教师报名获得确认后不得随意更换。如比赛前参赛选手和指导教师因故无法参赛，须由省级教育行政部门于参与赛项开赛 10 个工作日之前出具书面说明，经大赛执委会办公室核实后予以更换。</w:t>
      </w:r>
    </w:p>
    <w:p>
      <w:pPr>
        <w:pStyle w:val="73"/>
        <w:rPr>
          <w:color w:val="C00000"/>
        </w:rPr>
      </w:pPr>
      <w:r>
        <w:rPr>
          <w:rFonts w:hint="eastAsia" w:ascii="Times New Roman" w:hAnsi="Times New Roman"/>
          <w:lang w:val="zh-CN"/>
        </w:rPr>
        <w:t>竞赛开始后，参赛队不得更换参赛选手，允许队员缺席竞赛。</w:t>
      </w:r>
    </w:p>
    <w:p>
      <w:pPr>
        <w:pStyle w:val="73"/>
        <w:rPr>
          <w:rFonts w:cs="Times New Roman"/>
        </w:rPr>
      </w:pPr>
      <w:r>
        <w:rPr>
          <w:rFonts w:hint="eastAsia"/>
        </w:rPr>
        <w:t>（二）熟悉场地</w:t>
      </w:r>
    </w:p>
    <w:p>
      <w:pPr>
        <w:pStyle w:val="73"/>
        <w:rPr>
          <w:rFonts w:cs="Times New Roman"/>
        </w:rPr>
      </w:pPr>
      <w:r>
        <w:t>1.</w:t>
      </w:r>
      <w:r>
        <w:rPr>
          <w:rFonts w:hint="eastAsia"/>
        </w:rPr>
        <w:t>执委会安排各参赛队统一有序的熟悉场地，熟悉场地时限定在观摩区活动，不允许进入比赛区。</w:t>
      </w:r>
    </w:p>
    <w:p>
      <w:pPr>
        <w:pStyle w:val="73"/>
        <w:rPr>
          <w:rFonts w:cs="Times New Roman"/>
        </w:rPr>
      </w:pPr>
      <w:r>
        <w:t>2.</w:t>
      </w:r>
      <w:r>
        <w:rPr>
          <w:rFonts w:hint="eastAsia"/>
        </w:rPr>
        <w:t>熟悉场地时严禁与现场工作人员进行交流，不发表没有根据以及有损大赛整体形象的言论。</w:t>
      </w:r>
    </w:p>
    <w:p>
      <w:pPr>
        <w:pStyle w:val="73"/>
        <w:rPr>
          <w:rFonts w:cs="Times New Roman"/>
        </w:rPr>
      </w:pPr>
      <w:r>
        <w:t>3.</w:t>
      </w:r>
      <w:r>
        <w:rPr>
          <w:rFonts w:hint="eastAsia"/>
        </w:rPr>
        <w:t>熟悉场地时严格遵守大赛各种制度，严禁拥挤、喧哗，以免发生意外事故。</w:t>
      </w:r>
    </w:p>
    <w:p>
      <w:pPr>
        <w:pStyle w:val="73"/>
        <w:rPr>
          <w:rFonts w:cs="Times New Roman"/>
        </w:rPr>
      </w:pPr>
      <w:r>
        <w:rPr>
          <w:rFonts w:hint="eastAsia"/>
        </w:rPr>
        <w:t>（三）赛场要求</w:t>
      </w:r>
    </w:p>
    <w:p>
      <w:pPr>
        <w:pStyle w:val="73"/>
        <w:rPr>
          <w:rFonts w:cs="Times New Roman"/>
        </w:rPr>
      </w:pPr>
      <w:r>
        <w:t>1.</w:t>
      </w:r>
      <w:r>
        <w:rPr>
          <w:rFonts w:hint="eastAsia"/>
        </w:rPr>
        <w:t>参赛选手应在比赛开始时间前</w:t>
      </w:r>
      <w:r>
        <w:t>1</w:t>
      </w:r>
      <w:r>
        <w:rPr>
          <w:rFonts w:hint="eastAsia"/>
        </w:rPr>
        <w:t>小时到达指定地点，接受检录入场，接受工作人员对选手身份、资格和有关证件的检查。竞赛计时开始后，选手未到，视为自动放弃。</w:t>
      </w:r>
    </w:p>
    <w:p>
      <w:pPr>
        <w:pStyle w:val="73"/>
        <w:rPr>
          <w:rFonts w:cs="Times New Roman"/>
        </w:rPr>
      </w:pPr>
      <w:r>
        <w:t>2.</w:t>
      </w:r>
      <w:r>
        <w:rPr>
          <w:rFonts w:hint="eastAsia"/>
        </w:rPr>
        <w:t>赛位由抽签确定，不得擅自变更、调整。</w:t>
      </w:r>
    </w:p>
    <w:p>
      <w:pPr>
        <w:pStyle w:val="73"/>
        <w:rPr>
          <w:rFonts w:cs="Times New Roman"/>
        </w:rPr>
      </w:pPr>
      <w:r>
        <w:t>3.</w:t>
      </w:r>
      <w:r>
        <w:rPr>
          <w:rFonts w:hint="eastAsia"/>
        </w:rPr>
        <w:t>比赛使用的相关设备及软件由组委会提供，参赛队不得携带和使用自带设备及软件。</w:t>
      </w:r>
    </w:p>
    <w:p>
      <w:pPr>
        <w:pStyle w:val="73"/>
        <w:rPr>
          <w:rFonts w:cs="Times New Roman"/>
        </w:rPr>
      </w:pPr>
      <w:r>
        <w:t>4.</w:t>
      </w:r>
      <w:r>
        <w:rPr>
          <w:rFonts w:hint="eastAsia"/>
        </w:rPr>
        <w:t>参赛队员要求统一服装（组委会提供）进入比赛场地，自行决定选手分工、工作程序，利用现场提供的所有条件完成竞赛任务。</w:t>
      </w:r>
    </w:p>
    <w:p>
      <w:pPr>
        <w:pStyle w:val="73"/>
        <w:rPr>
          <w:rFonts w:cs="Times New Roman"/>
        </w:rPr>
      </w:pPr>
      <w:r>
        <w:t>5.</w:t>
      </w:r>
      <w:r>
        <w:rPr>
          <w:rFonts w:hint="eastAsia"/>
        </w:rPr>
        <w:t>竞赛过程中，食品和饮水由赛场统一提供，选手在竞赛过程中不得擅自离开赛场，如有特殊情况，须经裁判人员同意。选手休息、饮水、上洗手间等统一计在竞赛时间内。竞赛计时以赛场设置的时钟为准。</w:t>
      </w:r>
    </w:p>
    <w:p>
      <w:pPr>
        <w:pStyle w:val="73"/>
        <w:rPr>
          <w:rFonts w:cs="Times New Roman"/>
        </w:rPr>
      </w:pPr>
      <w:r>
        <w:t>6.</w:t>
      </w:r>
      <w:r>
        <w:rPr>
          <w:rFonts w:hint="eastAsia"/>
        </w:rPr>
        <w:t>使用文明用语，尊重裁判和其他选手。不得辱骂裁判和赛场工作人员，不得打架斗殴。</w:t>
      </w:r>
    </w:p>
    <w:p>
      <w:pPr>
        <w:pStyle w:val="73"/>
        <w:rPr>
          <w:rFonts w:cs="Times New Roman"/>
        </w:rPr>
      </w:pPr>
      <w:r>
        <w:t>7.</w:t>
      </w:r>
      <w:r>
        <w:rPr>
          <w:rFonts w:hint="eastAsia"/>
        </w:rPr>
        <w:t>参赛选手要严格遵守竞赛现场规则，如发现有冒名顶替等舞弊行为者，将取消竞赛资格。</w:t>
      </w:r>
    </w:p>
    <w:p>
      <w:pPr>
        <w:pStyle w:val="73"/>
        <w:rPr>
          <w:rFonts w:cs="Times New Roman"/>
        </w:rPr>
      </w:pPr>
      <w:r>
        <w:t>8.</w:t>
      </w:r>
      <w:r>
        <w:rPr>
          <w:rFonts w:hint="eastAsia"/>
        </w:rPr>
        <w:t>为保障公平、公正，竞赛现场实施网络安全管制，防止场内外信息交互。各参赛队不得将手机等通信工具带入竞赛场地，否则按作弊处理。</w:t>
      </w:r>
    </w:p>
    <w:p>
      <w:pPr>
        <w:pStyle w:val="73"/>
        <w:rPr>
          <w:rFonts w:cs="Times New Roman"/>
        </w:rPr>
      </w:pPr>
      <w:r>
        <w:t>9.</w:t>
      </w:r>
      <w:r>
        <w:rPr>
          <w:rFonts w:hint="eastAsia"/>
        </w:rPr>
        <w:t>任何人不得以任何方式暗示、指导、帮助、影响参赛选手。对造成后果的，视情节轻重酌情扣除参赛选手成绩直至取消竞赛资格。</w:t>
      </w:r>
    </w:p>
    <w:p>
      <w:pPr>
        <w:pStyle w:val="73"/>
        <w:rPr>
          <w:rFonts w:cs="Times New Roman"/>
        </w:rPr>
      </w:pPr>
      <w:r>
        <w:t>10.</w:t>
      </w:r>
      <w:r>
        <w:rPr>
          <w:rFonts w:hint="eastAsia"/>
        </w:rPr>
        <w:t>比赛过程中，除参赛选手、裁判员、现场工作人员和经批准的人员外，其他人员一律不得进入比赛现场。对不听劝阻、无理取闹者追究责任，并通报批评。</w:t>
      </w:r>
    </w:p>
    <w:p>
      <w:pPr>
        <w:pStyle w:val="73"/>
        <w:rPr>
          <w:rFonts w:cs="Times New Roman"/>
        </w:rPr>
      </w:pPr>
      <w:r>
        <w:t>11.</w:t>
      </w:r>
      <w:r>
        <w:rPr>
          <w:rFonts w:hint="eastAsia"/>
        </w:rPr>
        <w:t>遇突发情况应先举手示意，并与裁判人员协商，按裁判人员的意见办理。</w:t>
      </w:r>
    </w:p>
    <w:p>
      <w:pPr>
        <w:pStyle w:val="73"/>
        <w:rPr>
          <w:rFonts w:cs="Times New Roman"/>
        </w:rPr>
      </w:pPr>
      <w:r>
        <w:t>12.</w:t>
      </w:r>
      <w:r>
        <w:rPr>
          <w:rFonts w:hint="eastAsia"/>
        </w:rPr>
        <w:t>比赛过程中，选手须严格遵守安全操作规程，并接受裁判员的监督和警示，以确保人身及设备安全。选手因个人误操作造成人身安全事故和设备故障时，裁判长有权中止该队比赛；如非选手个人原因出现设备故障而无法比赛，由裁判长视具体情况做出裁决。</w:t>
      </w:r>
    </w:p>
    <w:p>
      <w:pPr>
        <w:pStyle w:val="73"/>
        <w:rPr>
          <w:rFonts w:cs="Times New Roman"/>
        </w:rPr>
      </w:pPr>
      <w:r>
        <w:t>13.</w:t>
      </w:r>
      <w:r>
        <w:rPr>
          <w:rFonts w:hint="eastAsia"/>
        </w:rPr>
        <w:t>选手必须按照任务书及相关程序要求，提交竞赛结果与相关文档，严禁在竞赛结果上做任何与竞赛无关的标记，并配合裁判做好赛场情况记录，与裁判一起签字确认，裁判要求签名时不得拒绝。</w:t>
      </w:r>
    </w:p>
    <w:p>
      <w:pPr>
        <w:pStyle w:val="73"/>
        <w:rPr>
          <w:rFonts w:cs="Times New Roman"/>
          <w:color w:val="C00000"/>
        </w:rPr>
      </w:pPr>
      <w:r>
        <w:t>14.</w:t>
      </w:r>
      <w:r>
        <w:rPr>
          <w:rFonts w:hint="eastAsia"/>
        </w:rPr>
        <w:t>各参赛队对不符合大赛和赛项规程规定的仪器、设备、计算机软硬件、竞赛使用工具、用品，竞赛执裁、赛场管理，以及工作人员的不规范行为等，应该按规定流程向赛项仲裁组提出申诉。申诉主体为参赛队领队，不得对裁判等工作人员采取过激行为。</w:t>
      </w:r>
    </w:p>
    <w:p>
      <w:pPr>
        <w:pStyle w:val="73"/>
        <w:rPr>
          <w:rFonts w:cs="Times New Roman"/>
        </w:rPr>
      </w:pPr>
      <w:r>
        <w:t>15.</w:t>
      </w:r>
      <w:r>
        <w:rPr>
          <w:rFonts w:hint="eastAsia"/>
        </w:rPr>
        <w:t>如参赛队欲提前结束竞赛，应举手向裁判员示意，按裁判及工作人员指示等候。比赛结束后，参赛队经裁判员同意后方可离开。</w:t>
      </w:r>
    </w:p>
    <w:p>
      <w:pPr>
        <w:pStyle w:val="73"/>
      </w:pPr>
      <w:r>
        <w:rPr>
          <w:rFonts w:hint="eastAsia"/>
        </w:rPr>
        <w:t>（四）成绩管理</w:t>
      </w:r>
    </w:p>
    <w:p>
      <w:pPr>
        <w:pStyle w:val="73"/>
      </w:pPr>
      <w:r>
        <w:rPr>
          <w:rFonts w:hint="eastAsia"/>
        </w:rPr>
        <w:t>1.比赛结束后，评分裁判方可入场进行成绩评判。竞赛成绩经复核无误后</w:t>
      </w:r>
      <w:r>
        <w:t>，由记分员</w:t>
      </w:r>
      <w:r>
        <w:rPr>
          <w:rFonts w:hint="eastAsia"/>
        </w:rPr>
        <w:t>将</w:t>
      </w:r>
      <w:r>
        <w:t>解密后的</w:t>
      </w:r>
      <w:r>
        <w:rPr>
          <w:rFonts w:hint="eastAsia"/>
        </w:rPr>
        <w:t>各</w:t>
      </w:r>
      <w:r>
        <w:t>参赛队伍成绩</w:t>
      </w:r>
      <w:r>
        <w:rPr>
          <w:rFonts w:hint="eastAsia"/>
        </w:rPr>
        <w:t>汇总成比赛成绩，经裁判长、监督组签字后，在指定地点，以纸质形式向全体参赛队进行公布。</w:t>
      </w:r>
      <w:r>
        <w:t>公布</w:t>
      </w:r>
      <w:r>
        <w:rPr>
          <w:rFonts w:hint="eastAsia"/>
        </w:rPr>
        <w:t>2小时</w:t>
      </w:r>
      <w:r>
        <w:t>无异议后，</w:t>
      </w:r>
      <w:r>
        <w:rPr>
          <w:rFonts w:hint="eastAsia"/>
        </w:rPr>
        <w:t>将</w:t>
      </w:r>
      <w:r>
        <w:t>赛项总成绩</w:t>
      </w:r>
      <w:r>
        <w:rPr>
          <w:rFonts w:hint="eastAsia"/>
        </w:rPr>
        <w:t>的</w:t>
      </w:r>
      <w:r>
        <w:t>最终结果录入</w:t>
      </w:r>
      <w:r>
        <w:rPr>
          <w:rFonts w:hint="eastAsia"/>
        </w:rPr>
        <w:t>赛务管理</w:t>
      </w:r>
      <w:r>
        <w:t>系统</w:t>
      </w:r>
      <w:r>
        <w:rPr>
          <w:rFonts w:hint="eastAsia"/>
        </w:rPr>
        <w:t>，</w:t>
      </w:r>
      <w:r>
        <w:t>经裁判长、</w:t>
      </w:r>
      <w:r>
        <w:rPr>
          <w:rFonts w:hint="eastAsia"/>
        </w:rPr>
        <w:t>监督组长</w:t>
      </w:r>
      <w:r>
        <w:t>和仲裁长</w:t>
      </w:r>
      <w:r>
        <w:rPr>
          <w:rFonts w:hint="eastAsia"/>
        </w:rPr>
        <w:t>在</w:t>
      </w:r>
      <w:r>
        <w:t>系统导出成绩单上</w:t>
      </w:r>
      <w:r>
        <w:rPr>
          <w:rFonts w:hint="eastAsia"/>
        </w:rPr>
        <w:t>审核</w:t>
      </w:r>
      <w:r>
        <w:t>签字后，</w:t>
      </w:r>
      <w:r>
        <w:rPr>
          <w:rFonts w:hint="eastAsia"/>
        </w:rPr>
        <w:t>在闭赛式上宣布并</w:t>
      </w:r>
      <w:r>
        <w:t>颁发证书</w:t>
      </w:r>
      <w:r>
        <w:rPr>
          <w:rFonts w:hint="eastAsia"/>
        </w:rPr>
        <w:t>。</w:t>
      </w:r>
    </w:p>
    <w:p>
      <w:pPr>
        <w:pStyle w:val="73"/>
      </w:pPr>
      <w:r>
        <w:rPr>
          <w:rFonts w:hint="eastAsia"/>
        </w:rPr>
        <w:t>2.本赛项各参赛队最终成绩由承办单位信息员录入赛务管理系统。承办单位信息员对成绩数据审核后，将赛务系统中录入的成绩导出打印，经赛项裁判长审核无误后签字。承办单位信息员将裁判长确认的电子版赛项成绩信息上传赛务管理系统，同时将裁判长签字的纸质打印成绩单报送大赛执委会。</w:t>
      </w:r>
    </w:p>
    <w:p>
      <w:pPr>
        <w:pStyle w:val="73"/>
      </w:pPr>
      <w:r>
        <w:rPr>
          <w:rFonts w:hint="eastAsia"/>
        </w:rPr>
        <w:t>3.赛项每个比赛环节裁判判分的原始材料和最终成绩等结果性材料经监督组人员和裁判长签字后装袋密封留档，并由赛项承办院校封存，委派专人妥善保管。</w:t>
      </w:r>
    </w:p>
    <w:p>
      <w:pPr>
        <w:snapToGrid w:val="0"/>
        <w:spacing w:line="560" w:lineRule="exact"/>
        <w:ind w:firstLine="551" w:firstLineChars="196"/>
        <w:jc w:val="left"/>
        <w:outlineLvl w:val="0"/>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八、竞赛环境</w:t>
      </w:r>
    </w:p>
    <w:p>
      <w:pPr>
        <w:pStyle w:val="73"/>
        <w:rPr>
          <w:rFonts w:cs="Times New Roman"/>
        </w:rPr>
      </w:pPr>
      <w:r>
        <w:rPr>
          <w:rFonts w:hint="eastAsia"/>
        </w:rPr>
        <w:t>竞赛场地包括四个区域：参赛选手竞赛区域、展示平台区域、裁判区域以及后台监控中心区域。</w:t>
      </w:r>
    </w:p>
    <w:p>
      <w:pPr>
        <w:pStyle w:val="73"/>
        <w:rPr>
          <w:rFonts w:cs="Times New Roman"/>
        </w:rPr>
      </w:pPr>
      <w:r>
        <w:t>1.</w:t>
      </w:r>
      <w:r>
        <w:rPr>
          <w:rFonts w:hint="eastAsia"/>
        </w:rPr>
        <w:t>参赛选手竞赛区域</w:t>
      </w:r>
    </w:p>
    <w:p>
      <w:pPr>
        <w:pStyle w:val="73"/>
        <w:rPr>
          <w:rFonts w:cs="Times New Roman"/>
        </w:rPr>
      </w:pPr>
      <w:r>
        <w:rPr>
          <w:rFonts w:hint="eastAsia"/>
        </w:rPr>
        <w:t>在指定赛场设置赛位，每个赛位提供</w:t>
      </w:r>
      <w:r>
        <w:t>2</w:t>
      </w:r>
      <w:r>
        <w:rPr>
          <w:rFonts w:hint="eastAsia"/>
        </w:rPr>
        <w:t>台电脑及相应软件供选手使用，赛位大小满足</w:t>
      </w:r>
      <w:r>
        <w:t>2</w:t>
      </w:r>
      <w:r>
        <w:rPr>
          <w:rFonts w:hint="eastAsia"/>
        </w:rPr>
        <w:t>人同时操作电脑的需求，每组赛位占用面积应不小于4㎡。竞赛区域电脑在比赛过程中将采用全程录屏，以备调用查询。具体软硬件需求标准由组委会统一制定。</w:t>
      </w:r>
    </w:p>
    <w:p>
      <w:pPr>
        <w:pStyle w:val="73"/>
        <w:rPr>
          <w:rFonts w:cs="Times New Roman"/>
        </w:rPr>
      </w:pPr>
      <w:r>
        <w:t>2.</w:t>
      </w:r>
      <w:r>
        <w:rPr>
          <w:rFonts w:hint="eastAsia"/>
        </w:rPr>
        <w:t>展示平台区域</w:t>
      </w:r>
    </w:p>
    <w:p>
      <w:pPr>
        <w:pStyle w:val="73"/>
        <w:rPr>
          <w:rFonts w:cs="Times New Roman"/>
        </w:rPr>
      </w:pPr>
      <w:r>
        <w:rPr>
          <w:rFonts w:hint="eastAsia"/>
        </w:rPr>
        <w:t>与比赛场地分开的隔离地带，活动对象为媒体、观众及指导老师等，需配备大屏幕、监控设施及计时装置。大赛当天可通过大屏幕展示赛场竞赛效果，既满足场内外信息联动，又可起到公众监督的作用，体现大赛“公正、公开、公平”的竞赛原则。</w:t>
      </w:r>
    </w:p>
    <w:p>
      <w:pPr>
        <w:pStyle w:val="73"/>
        <w:rPr>
          <w:rFonts w:cs="Times New Roman"/>
        </w:rPr>
      </w:pPr>
      <w:r>
        <w:t>3.</w:t>
      </w:r>
      <w:r>
        <w:rPr>
          <w:rFonts w:hint="eastAsia"/>
        </w:rPr>
        <w:t>裁判区域</w:t>
      </w:r>
    </w:p>
    <w:p>
      <w:pPr>
        <w:pStyle w:val="73"/>
        <w:rPr>
          <w:rFonts w:cs="Times New Roman"/>
        </w:rPr>
      </w:pPr>
      <w:r>
        <w:rPr>
          <w:rFonts w:hint="eastAsia"/>
        </w:rPr>
        <w:t>指定的裁判工作场地。场地空间满足工作需要，配备必要辅助设备。</w:t>
      </w:r>
    </w:p>
    <w:p>
      <w:pPr>
        <w:pStyle w:val="73"/>
        <w:rPr>
          <w:rFonts w:cs="Times New Roman"/>
        </w:rPr>
      </w:pPr>
      <w:r>
        <w:t>4.</w:t>
      </w:r>
      <w:r>
        <w:rPr>
          <w:rFonts w:hint="eastAsia"/>
        </w:rPr>
        <w:t>后台监控中心区域</w:t>
      </w:r>
    </w:p>
    <w:p>
      <w:pPr>
        <w:pStyle w:val="73"/>
      </w:pPr>
      <w:r>
        <w:rPr>
          <w:rFonts w:hint="eastAsia"/>
        </w:rPr>
        <w:t>监控整个比赛的区域。具体软硬件需求由组委会统一制定。</w:t>
      </w:r>
    </w:p>
    <w:p>
      <w:pPr>
        <w:snapToGrid w:val="0"/>
        <w:spacing w:line="560" w:lineRule="exact"/>
        <w:ind w:firstLine="562" w:firstLineChars="200"/>
        <w:jc w:val="left"/>
        <w:outlineLvl w:val="0"/>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九、技术规范</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（一）通信行业标准</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1.无线通信系统室内覆盖工程设计规范  YD/T 5120－2005</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2.综合布线系统工程设计规范 GB50311-2007</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3.移动通信直放站工程设计规范  YD/T 5115－2005</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4.无线通信系统室内覆盖工程验收规范  YD/T 5160-2007</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（二）职业资格标准</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1.电信机务员国家职业标准（职业编码3-03-03-01）</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2.网络设备调试员国家职业标准（职业编码6-08-04-16）</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3.通信网络管理员国家职业标准（职业编码3-03-03-06）</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4.用户通信终端维修员国家职业标准（职业编码3-03-03-04）</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（三）相关知识与技能</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1.移动通信基本概念及原理。</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2.LTE、Pre5G与NB-IoT关键技术、协议规范。</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 LTE、Pre5G与NB-IoT设备基础知识、设备配置操作、工程规范。</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 LTE、Pre5G与NB-IoT仿真系统操作能力。</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 LTE、Pre5G与NB-IoT网络系统各种线缆的认知与应用。</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 LTE、Pre5G与NB-IoT网络优化原理、技术规范。</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（四）基础技术及要求</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 LTE、Pre5G与NB-IoT无线接入网设备调试技术、系统组网技术、网络优化技术。</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 LTE、Pre5G与NB-IoT无线接入网设备常见故障的分析和排查技术。</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3.承载网设备调试技术、系统组网技术。</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4.承载网设备常见故障的分析和排查技术。</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 EPC核心网设备调试技术、系统组网技术。</w:t>
      </w:r>
    </w:p>
    <w:p>
      <w:pPr>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 EPC核心网设备常见故障的分析和排查技术。</w:t>
      </w:r>
    </w:p>
    <w:p>
      <w:pPr>
        <w:pStyle w:val="73"/>
      </w:pPr>
      <w:r>
        <w:rPr>
          <w:rFonts w:hint="eastAsia"/>
        </w:rPr>
        <w:t>7. LTE、Pre5G与NB-IoT工程规范和文档编写。</w:t>
      </w:r>
    </w:p>
    <w:p>
      <w:pPr>
        <w:snapToGrid w:val="0"/>
        <w:spacing w:line="560" w:lineRule="exact"/>
        <w:ind w:firstLine="551" w:firstLineChars="196"/>
        <w:jc w:val="left"/>
        <w:outlineLvl w:val="0"/>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十、技术平台</w:t>
      </w:r>
    </w:p>
    <w:p>
      <w:pPr>
        <w:pStyle w:val="73"/>
        <w:rPr>
          <w:rFonts w:cs="Times New Roman"/>
        </w:rPr>
      </w:pPr>
      <w:r>
        <w:rPr>
          <w:rFonts w:hint="eastAsia"/>
        </w:rPr>
        <w:t xml:space="preserve">北京华晟经世信息技术有限公司为大赛提供IUV全网仿真竞技系统作为竞赛平台，包括IUV </w:t>
      </w:r>
      <w:r>
        <w:t>4G</w:t>
      </w:r>
      <w:r>
        <w:rPr>
          <w:rFonts w:hint="eastAsia"/>
        </w:rPr>
        <w:t>&amp;Pre5G及IUV NB-IoT两个模块。该系统通过虚拟实现</w:t>
      </w:r>
      <w:r>
        <w:t>4G</w:t>
      </w:r>
      <w:r>
        <w:rPr>
          <w:rFonts w:hint="eastAsia"/>
        </w:rPr>
        <w:t>&amp;Pre5G以及NB-IoT无线网络、承载网以及核心网设备的调试与维护，可以完成无线接入网、承载网以及核心网的网络规划与设备线缆连接，各模块数据配置以及全网业务对接、优化和演示等功能。</w:t>
      </w:r>
    </w:p>
    <w:p>
      <w:pPr>
        <w:spacing w:line="320" w:lineRule="exact"/>
        <w:jc w:val="center"/>
        <w:rPr>
          <w:rFonts w:ascii="仿宋_GB2312" w:hAnsi="仿宋" w:eastAsia="仿宋_GB2312" w:cs="Times New Roman"/>
          <w:kern w:val="0"/>
        </w:rPr>
      </w:pPr>
    </w:p>
    <w:p>
      <w:pPr>
        <w:spacing w:line="320" w:lineRule="exact"/>
        <w:jc w:val="center"/>
        <w:rPr>
          <w:rFonts w:ascii="仿宋_GB2312" w:hAnsi="仿宋" w:eastAsia="仿宋_GB2312" w:cs="仿宋_GB2312"/>
          <w:b/>
          <w:kern w:val="0"/>
          <w:sz w:val="24"/>
          <w:szCs w:val="24"/>
        </w:rPr>
      </w:pPr>
      <w:r>
        <w:rPr>
          <w:rFonts w:hint="eastAsia" w:ascii="仿宋_GB2312" w:hAnsi="仿宋" w:eastAsia="仿宋_GB2312" w:cs="仿宋_GB2312"/>
          <w:b/>
          <w:kern w:val="0"/>
          <w:sz w:val="24"/>
          <w:szCs w:val="24"/>
        </w:rPr>
        <w:t>表2  IUV 4G&amp;Pre5G及IUV NB-IoT全网竞技系统配置清单</w:t>
      </w:r>
    </w:p>
    <w:tbl>
      <w:tblPr>
        <w:tblStyle w:val="1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972"/>
        <w:gridCol w:w="5649"/>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6" w:type="dxa"/>
          </w:tcPr>
          <w:p>
            <w:pPr>
              <w:spacing w:line="560" w:lineRule="exact"/>
              <w:jc w:val="center"/>
              <w:rPr>
                <w:rFonts w:ascii="仿宋" w:hAnsi="仿宋" w:eastAsia="仿宋"/>
                <w:b/>
                <w:sz w:val="24"/>
                <w:szCs w:val="24"/>
              </w:rPr>
            </w:pPr>
            <w:r>
              <w:rPr>
                <w:rFonts w:ascii="仿宋" w:hAnsi="仿宋" w:eastAsia="仿宋"/>
                <w:b/>
                <w:sz w:val="24"/>
                <w:szCs w:val="24"/>
              </w:rPr>
              <w:t>序号</w:t>
            </w:r>
          </w:p>
        </w:tc>
        <w:tc>
          <w:tcPr>
            <w:tcW w:w="1972" w:type="dxa"/>
          </w:tcPr>
          <w:p>
            <w:pPr>
              <w:spacing w:line="560" w:lineRule="exact"/>
              <w:jc w:val="center"/>
              <w:rPr>
                <w:rFonts w:ascii="仿宋" w:hAnsi="仿宋" w:eastAsia="仿宋"/>
                <w:b/>
                <w:sz w:val="24"/>
                <w:szCs w:val="24"/>
              </w:rPr>
            </w:pPr>
            <w:r>
              <w:rPr>
                <w:rFonts w:ascii="仿宋" w:hAnsi="仿宋" w:eastAsia="仿宋"/>
                <w:b/>
                <w:sz w:val="24"/>
                <w:szCs w:val="24"/>
              </w:rPr>
              <w:t>设备及软件名称</w:t>
            </w:r>
          </w:p>
        </w:tc>
        <w:tc>
          <w:tcPr>
            <w:tcW w:w="5649" w:type="dxa"/>
          </w:tcPr>
          <w:p>
            <w:pPr>
              <w:spacing w:line="560" w:lineRule="exact"/>
              <w:jc w:val="center"/>
              <w:rPr>
                <w:rFonts w:ascii="仿宋" w:hAnsi="仿宋" w:eastAsia="仿宋"/>
                <w:b/>
                <w:sz w:val="24"/>
                <w:szCs w:val="24"/>
              </w:rPr>
            </w:pPr>
            <w:r>
              <w:rPr>
                <w:rFonts w:ascii="仿宋" w:hAnsi="仿宋" w:eastAsia="仿宋"/>
                <w:b/>
                <w:sz w:val="24"/>
                <w:szCs w:val="24"/>
              </w:rPr>
              <w:t>规格及要求</w:t>
            </w:r>
          </w:p>
        </w:tc>
        <w:tc>
          <w:tcPr>
            <w:tcW w:w="949" w:type="dxa"/>
          </w:tcPr>
          <w:p>
            <w:pPr>
              <w:spacing w:line="560" w:lineRule="exact"/>
              <w:jc w:val="center"/>
              <w:rPr>
                <w:rFonts w:ascii="仿宋" w:hAnsi="仿宋" w:eastAsia="仿宋"/>
                <w:b/>
                <w:sz w:val="24"/>
                <w:szCs w:val="24"/>
              </w:rPr>
            </w:pPr>
            <w:r>
              <w:rPr>
                <w:rFonts w:ascii="仿宋" w:hAnsi="仿宋" w:eastAsia="仿宋"/>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spacing w:line="560" w:lineRule="exact"/>
              <w:jc w:val="center"/>
              <w:rPr>
                <w:rFonts w:ascii="仿宋" w:hAnsi="仿宋" w:eastAsia="仿宋"/>
                <w:sz w:val="24"/>
                <w:szCs w:val="24"/>
              </w:rPr>
            </w:pPr>
            <w:r>
              <w:rPr>
                <w:rFonts w:ascii="仿宋" w:hAnsi="仿宋" w:eastAsia="仿宋"/>
                <w:sz w:val="24"/>
                <w:szCs w:val="24"/>
              </w:rPr>
              <w:t>1</w:t>
            </w:r>
          </w:p>
        </w:tc>
        <w:tc>
          <w:tcPr>
            <w:tcW w:w="1972"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 xml:space="preserve">IUV </w:t>
            </w:r>
            <w:r>
              <w:rPr>
                <w:rFonts w:ascii="仿宋" w:hAnsi="仿宋" w:eastAsia="仿宋"/>
                <w:sz w:val="24"/>
                <w:szCs w:val="24"/>
              </w:rPr>
              <w:t>4G</w:t>
            </w:r>
            <w:r>
              <w:rPr>
                <w:rFonts w:hint="eastAsia" w:ascii="仿宋" w:hAnsi="仿宋" w:eastAsia="仿宋"/>
                <w:sz w:val="24"/>
                <w:szCs w:val="24"/>
              </w:rPr>
              <w:t>&amp;Pre5G</w:t>
            </w:r>
            <w:r>
              <w:rPr>
                <w:rFonts w:ascii="仿宋" w:hAnsi="仿宋" w:eastAsia="仿宋"/>
                <w:sz w:val="24"/>
                <w:szCs w:val="24"/>
              </w:rPr>
              <w:t>全网竞技</w:t>
            </w:r>
            <w:r>
              <w:rPr>
                <w:rFonts w:hint="eastAsia" w:ascii="仿宋" w:hAnsi="仿宋" w:eastAsia="仿宋"/>
                <w:sz w:val="24"/>
                <w:szCs w:val="24"/>
              </w:rPr>
              <w:t>模块</w:t>
            </w:r>
          </w:p>
        </w:tc>
        <w:tc>
          <w:tcPr>
            <w:tcW w:w="5649" w:type="dxa"/>
          </w:tcPr>
          <w:p>
            <w:pPr>
              <w:spacing w:line="560" w:lineRule="exact"/>
              <w:rPr>
                <w:rFonts w:ascii="仿宋" w:hAnsi="仿宋" w:eastAsia="仿宋"/>
                <w:sz w:val="24"/>
                <w:szCs w:val="24"/>
              </w:rPr>
            </w:pPr>
            <w:r>
              <w:rPr>
                <w:rFonts w:ascii="仿宋" w:hAnsi="仿宋" w:eastAsia="仿宋"/>
                <w:sz w:val="24"/>
                <w:szCs w:val="24"/>
              </w:rPr>
              <w:t>1.竞技平台包含4G</w:t>
            </w:r>
            <w:r>
              <w:rPr>
                <w:rFonts w:hint="eastAsia" w:ascii="仿宋" w:hAnsi="仿宋" w:eastAsia="仿宋"/>
                <w:sz w:val="24"/>
                <w:szCs w:val="24"/>
              </w:rPr>
              <w:t>&amp;Pre5G</w:t>
            </w:r>
            <w:r>
              <w:rPr>
                <w:rFonts w:ascii="仿宋" w:hAnsi="仿宋" w:eastAsia="仿宋"/>
                <w:sz w:val="24"/>
                <w:szCs w:val="24"/>
              </w:rPr>
              <w:t>无线网络，4G</w:t>
            </w:r>
            <w:r>
              <w:rPr>
                <w:rFonts w:hint="eastAsia" w:ascii="仿宋" w:hAnsi="仿宋" w:eastAsia="仿宋"/>
                <w:sz w:val="24"/>
                <w:szCs w:val="24"/>
              </w:rPr>
              <w:t>&amp;Pre5G</w:t>
            </w:r>
            <w:r>
              <w:rPr>
                <w:rFonts w:ascii="仿宋" w:hAnsi="仿宋" w:eastAsia="仿宋"/>
                <w:sz w:val="24"/>
                <w:szCs w:val="24"/>
              </w:rPr>
              <w:t xml:space="preserve"> EPC核心网络，数据通信网络及光传输网络全网。包括终端、BBU、RRU、MME、SGW、PGW、HSS、OTN、PTN、路由器、交换机等</w:t>
            </w:r>
            <w:r>
              <w:rPr>
                <w:rFonts w:hint="eastAsia" w:ascii="仿宋" w:hAnsi="仿宋" w:eastAsia="仿宋"/>
                <w:sz w:val="24"/>
                <w:szCs w:val="24"/>
              </w:rPr>
              <w:t>4G&amp;Pre5G</w:t>
            </w:r>
            <w:r>
              <w:rPr>
                <w:rFonts w:ascii="仿宋" w:hAnsi="仿宋" w:eastAsia="仿宋"/>
                <w:sz w:val="24"/>
                <w:szCs w:val="24"/>
              </w:rPr>
              <w:t>网络相关设备。</w:t>
            </w:r>
          </w:p>
          <w:p>
            <w:pPr>
              <w:spacing w:line="560" w:lineRule="exact"/>
              <w:rPr>
                <w:rFonts w:ascii="仿宋" w:hAnsi="仿宋" w:eastAsia="仿宋"/>
                <w:sz w:val="24"/>
                <w:szCs w:val="24"/>
              </w:rPr>
            </w:pPr>
            <w:r>
              <w:rPr>
                <w:rFonts w:ascii="仿宋" w:hAnsi="仿宋" w:eastAsia="仿宋"/>
                <w:sz w:val="24"/>
                <w:szCs w:val="24"/>
              </w:rPr>
              <w:t>2.竞技平台支持运营级网络规模，</w:t>
            </w:r>
            <w:r>
              <w:rPr>
                <w:rFonts w:hint="eastAsia" w:ascii="仿宋" w:hAnsi="仿宋" w:eastAsia="仿宋"/>
                <w:sz w:val="24"/>
                <w:szCs w:val="24"/>
              </w:rPr>
              <w:t>至少</w:t>
            </w:r>
            <w:r>
              <w:rPr>
                <w:rFonts w:ascii="仿宋" w:hAnsi="仿宋" w:eastAsia="仿宋"/>
                <w:sz w:val="24"/>
                <w:szCs w:val="24"/>
              </w:rPr>
              <w:t>支持3个城市组网，</w:t>
            </w:r>
            <w:r>
              <w:rPr>
                <w:rFonts w:hint="eastAsia" w:ascii="仿宋" w:hAnsi="仿宋" w:eastAsia="仿宋"/>
                <w:sz w:val="24"/>
                <w:szCs w:val="24"/>
              </w:rPr>
              <w:t>至少</w:t>
            </w:r>
            <w:r>
              <w:rPr>
                <w:rFonts w:ascii="仿宋" w:hAnsi="仿宋" w:eastAsia="仿宋"/>
                <w:sz w:val="24"/>
                <w:szCs w:val="24"/>
              </w:rPr>
              <w:t>支持17个机房</w:t>
            </w:r>
            <w:r>
              <w:rPr>
                <w:rFonts w:hint="eastAsia" w:ascii="仿宋" w:hAnsi="仿宋" w:eastAsia="仿宋"/>
                <w:sz w:val="24"/>
                <w:szCs w:val="24"/>
              </w:rPr>
              <w:t>设备</w:t>
            </w:r>
            <w:r>
              <w:rPr>
                <w:rFonts w:ascii="仿宋" w:hAnsi="仿宋" w:eastAsia="仿宋"/>
                <w:sz w:val="24"/>
                <w:szCs w:val="24"/>
              </w:rPr>
              <w:t>部署，</w:t>
            </w:r>
            <w:r>
              <w:rPr>
                <w:rFonts w:hint="eastAsia" w:ascii="仿宋" w:hAnsi="仿宋" w:eastAsia="仿宋"/>
                <w:sz w:val="24"/>
                <w:szCs w:val="24"/>
              </w:rPr>
              <w:t>机房类型包括站点机房、汇聚机房、中心机房、核心网机房、省骨干网机房。</w:t>
            </w:r>
            <w:r>
              <w:rPr>
                <w:rFonts w:ascii="仿宋" w:hAnsi="仿宋" w:eastAsia="仿宋"/>
                <w:sz w:val="24"/>
                <w:szCs w:val="24"/>
              </w:rPr>
              <w:t xml:space="preserve">  </w:t>
            </w:r>
          </w:p>
          <w:p>
            <w:pPr>
              <w:spacing w:line="560" w:lineRule="exact"/>
              <w:rPr>
                <w:rFonts w:ascii="仿宋" w:hAnsi="仿宋" w:eastAsia="仿宋"/>
                <w:sz w:val="24"/>
                <w:szCs w:val="24"/>
              </w:rPr>
            </w:pPr>
            <w:r>
              <w:rPr>
                <w:rFonts w:ascii="仿宋" w:hAnsi="仿宋" w:eastAsia="仿宋"/>
                <w:sz w:val="24"/>
                <w:szCs w:val="24"/>
              </w:rPr>
              <w:t>3.支持拓扑规划、容量规划、设备配置与线缆连接、数据配置功能。</w:t>
            </w:r>
          </w:p>
          <w:p>
            <w:pPr>
              <w:spacing w:line="560" w:lineRule="exact"/>
              <w:rPr>
                <w:rFonts w:ascii="仿宋" w:hAnsi="仿宋" w:eastAsia="仿宋"/>
                <w:sz w:val="24"/>
                <w:szCs w:val="24"/>
              </w:rPr>
            </w:pPr>
            <w:r>
              <w:rPr>
                <w:rFonts w:ascii="仿宋" w:hAnsi="仿宋" w:eastAsia="仿宋"/>
                <w:sz w:val="24"/>
                <w:szCs w:val="24"/>
              </w:rPr>
              <w:t>4.支持手机上网、漫游、切换、上下行速率测试等业务验证。</w:t>
            </w:r>
          </w:p>
          <w:p>
            <w:pPr>
              <w:spacing w:line="560" w:lineRule="exact"/>
              <w:rPr>
                <w:rFonts w:ascii="仿宋" w:hAnsi="仿宋" w:eastAsia="仿宋"/>
                <w:sz w:val="24"/>
                <w:szCs w:val="24"/>
              </w:rPr>
            </w:pPr>
            <w:r>
              <w:rPr>
                <w:rFonts w:ascii="仿宋" w:hAnsi="仿宋" w:eastAsia="仿宋"/>
                <w:sz w:val="24"/>
                <w:szCs w:val="24"/>
              </w:rPr>
              <w:t>5.支持告警、PING、TRACE、光路检测、状态查询、业务观察等常用调试及故障处理工具。</w:t>
            </w:r>
          </w:p>
        </w:tc>
        <w:tc>
          <w:tcPr>
            <w:tcW w:w="949" w:type="dxa"/>
            <w:vAlign w:val="center"/>
          </w:tcPr>
          <w:p>
            <w:pPr>
              <w:spacing w:line="560" w:lineRule="exact"/>
              <w:jc w:val="center"/>
              <w:rPr>
                <w:rFonts w:ascii="仿宋" w:hAnsi="仿宋" w:eastAsia="仿宋"/>
                <w:sz w:val="24"/>
                <w:szCs w:val="24"/>
              </w:rPr>
            </w:pPr>
            <w:r>
              <w:rPr>
                <w:rFonts w:ascii="仿宋" w:hAnsi="仿宋" w:eastAsia="仿宋"/>
                <w:sz w:val="24"/>
                <w:szCs w:val="24"/>
              </w:rPr>
              <w:t>每参赛队2套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spacing w:line="560" w:lineRule="exact"/>
              <w:jc w:val="center"/>
              <w:rPr>
                <w:rFonts w:ascii="仿宋" w:hAnsi="仿宋" w:eastAsia="仿宋"/>
                <w:sz w:val="24"/>
                <w:szCs w:val="24"/>
              </w:rPr>
            </w:pPr>
            <w:r>
              <w:rPr>
                <w:rFonts w:ascii="仿宋" w:hAnsi="仿宋" w:eastAsia="仿宋"/>
                <w:sz w:val="24"/>
                <w:szCs w:val="24"/>
              </w:rPr>
              <w:t>2</w:t>
            </w:r>
          </w:p>
        </w:tc>
        <w:tc>
          <w:tcPr>
            <w:tcW w:w="1972"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IUV NB-IoT</w:t>
            </w:r>
            <w:r>
              <w:rPr>
                <w:rFonts w:ascii="仿宋" w:hAnsi="仿宋" w:eastAsia="仿宋"/>
                <w:sz w:val="24"/>
                <w:szCs w:val="24"/>
              </w:rPr>
              <w:t>全网竞技</w:t>
            </w:r>
            <w:r>
              <w:rPr>
                <w:rFonts w:hint="eastAsia" w:ascii="仿宋" w:hAnsi="仿宋" w:eastAsia="仿宋"/>
                <w:sz w:val="24"/>
                <w:szCs w:val="24"/>
              </w:rPr>
              <w:t>模块</w:t>
            </w:r>
          </w:p>
        </w:tc>
        <w:tc>
          <w:tcPr>
            <w:tcW w:w="5649" w:type="dxa"/>
          </w:tcPr>
          <w:p>
            <w:pPr>
              <w:spacing w:line="560" w:lineRule="exact"/>
              <w:rPr>
                <w:rFonts w:ascii="仿宋" w:hAnsi="仿宋" w:eastAsia="仿宋"/>
                <w:sz w:val="24"/>
                <w:szCs w:val="24"/>
              </w:rPr>
            </w:pPr>
            <w:r>
              <w:rPr>
                <w:rFonts w:ascii="仿宋" w:hAnsi="仿宋" w:eastAsia="仿宋"/>
                <w:sz w:val="24"/>
                <w:szCs w:val="24"/>
              </w:rPr>
              <w:t>1.竞技平台包含</w:t>
            </w:r>
            <w:r>
              <w:rPr>
                <w:rFonts w:hint="eastAsia" w:ascii="仿宋" w:hAnsi="仿宋" w:eastAsia="仿宋"/>
                <w:sz w:val="24"/>
                <w:szCs w:val="24"/>
              </w:rPr>
              <w:t>NB-IoT</w:t>
            </w:r>
            <w:r>
              <w:rPr>
                <w:rFonts w:ascii="仿宋" w:hAnsi="仿宋" w:eastAsia="仿宋"/>
                <w:sz w:val="24"/>
                <w:szCs w:val="24"/>
              </w:rPr>
              <w:t>无线网络</w:t>
            </w:r>
            <w:r>
              <w:rPr>
                <w:rFonts w:hint="eastAsia" w:ascii="仿宋" w:hAnsi="仿宋" w:eastAsia="仿宋"/>
                <w:sz w:val="24"/>
                <w:szCs w:val="24"/>
              </w:rPr>
              <w:t>、</w:t>
            </w:r>
            <w:r>
              <w:rPr>
                <w:rFonts w:ascii="仿宋" w:hAnsi="仿宋" w:eastAsia="仿宋"/>
                <w:sz w:val="24"/>
                <w:szCs w:val="24"/>
              </w:rPr>
              <w:t>EPC核心网络</w:t>
            </w:r>
            <w:r>
              <w:rPr>
                <w:rFonts w:hint="eastAsia" w:ascii="仿宋" w:hAnsi="仿宋" w:eastAsia="仿宋"/>
                <w:sz w:val="24"/>
                <w:szCs w:val="24"/>
              </w:rPr>
              <w:t>、</w:t>
            </w:r>
            <w:r>
              <w:rPr>
                <w:rFonts w:ascii="仿宋" w:hAnsi="仿宋" w:eastAsia="仿宋"/>
                <w:sz w:val="24"/>
                <w:szCs w:val="24"/>
              </w:rPr>
              <w:t>数据通信网络及光传输网络全网。包括终端、BBU、RRU、MME、SGW、PGW、HSS、OTN、PTN、路由器、交换机等</w:t>
            </w:r>
            <w:r>
              <w:rPr>
                <w:rFonts w:hint="eastAsia" w:ascii="仿宋" w:hAnsi="仿宋" w:eastAsia="仿宋"/>
                <w:sz w:val="24"/>
                <w:szCs w:val="24"/>
              </w:rPr>
              <w:t>NB-IoT</w:t>
            </w:r>
            <w:r>
              <w:rPr>
                <w:rFonts w:ascii="仿宋" w:hAnsi="仿宋" w:eastAsia="仿宋"/>
                <w:sz w:val="24"/>
                <w:szCs w:val="24"/>
              </w:rPr>
              <w:t>网络相关设备。</w:t>
            </w:r>
          </w:p>
          <w:p>
            <w:pPr>
              <w:spacing w:line="560" w:lineRule="exact"/>
              <w:rPr>
                <w:rFonts w:ascii="仿宋" w:hAnsi="仿宋" w:eastAsia="仿宋"/>
                <w:sz w:val="24"/>
                <w:szCs w:val="24"/>
              </w:rPr>
            </w:pPr>
            <w:r>
              <w:rPr>
                <w:rFonts w:ascii="仿宋" w:hAnsi="仿宋" w:eastAsia="仿宋"/>
                <w:sz w:val="24"/>
                <w:szCs w:val="24"/>
              </w:rPr>
              <w:t>2.竞技平台支持运营级网络规模，</w:t>
            </w:r>
            <w:r>
              <w:rPr>
                <w:rFonts w:hint="eastAsia" w:ascii="仿宋" w:hAnsi="仿宋" w:eastAsia="仿宋"/>
                <w:sz w:val="24"/>
                <w:szCs w:val="24"/>
              </w:rPr>
              <w:t>为某市全市组网模型</w:t>
            </w:r>
            <w:r>
              <w:rPr>
                <w:rFonts w:ascii="仿宋" w:hAnsi="仿宋" w:eastAsia="仿宋"/>
                <w:sz w:val="24"/>
                <w:szCs w:val="24"/>
              </w:rPr>
              <w:t xml:space="preserve"> </w:t>
            </w:r>
          </w:p>
          <w:p>
            <w:pPr>
              <w:spacing w:line="560" w:lineRule="exact"/>
              <w:rPr>
                <w:rFonts w:ascii="仿宋" w:hAnsi="仿宋" w:eastAsia="仿宋"/>
                <w:sz w:val="24"/>
                <w:szCs w:val="24"/>
              </w:rPr>
            </w:pPr>
            <w:r>
              <w:rPr>
                <w:rFonts w:ascii="仿宋" w:hAnsi="仿宋" w:eastAsia="仿宋"/>
                <w:sz w:val="24"/>
                <w:szCs w:val="24"/>
              </w:rPr>
              <w:t>3.支持拓扑规划、</w:t>
            </w:r>
            <w:r>
              <w:rPr>
                <w:rFonts w:hint="eastAsia" w:ascii="仿宋" w:hAnsi="仿宋" w:eastAsia="仿宋"/>
                <w:sz w:val="24"/>
                <w:szCs w:val="24"/>
              </w:rPr>
              <w:t>覆盖规划、</w:t>
            </w:r>
            <w:r>
              <w:rPr>
                <w:rFonts w:ascii="仿宋" w:hAnsi="仿宋" w:eastAsia="仿宋"/>
                <w:sz w:val="24"/>
                <w:szCs w:val="24"/>
              </w:rPr>
              <w:t>容量规划、设备配置与线缆连接、数据配置功能。</w:t>
            </w:r>
          </w:p>
          <w:p>
            <w:pPr>
              <w:spacing w:line="560" w:lineRule="exact"/>
              <w:rPr>
                <w:rFonts w:ascii="仿宋" w:hAnsi="仿宋" w:eastAsia="仿宋"/>
                <w:sz w:val="24"/>
                <w:szCs w:val="24"/>
              </w:rPr>
            </w:pPr>
            <w:r>
              <w:rPr>
                <w:rFonts w:ascii="仿宋" w:hAnsi="仿宋" w:eastAsia="仿宋"/>
                <w:sz w:val="24"/>
                <w:szCs w:val="24"/>
              </w:rPr>
              <w:t>4.支持</w:t>
            </w:r>
            <w:r>
              <w:rPr>
                <w:rFonts w:hint="eastAsia" w:ascii="仿宋" w:hAnsi="仿宋" w:eastAsia="仿宋"/>
                <w:sz w:val="24"/>
                <w:szCs w:val="24"/>
              </w:rPr>
              <w:t>多种蜂窝物联网典型应用，至少包含智能门锁、智能水电表等业务测试。</w:t>
            </w:r>
          </w:p>
          <w:p>
            <w:pPr>
              <w:pStyle w:val="39"/>
              <w:spacing w:line="560" w:lineRule="exact"/>
              <w:ind w:firstLine="0" w:firstLineChars="0"/>
              <w:rPr>
                <w:rFonts w:ascii="仿宋" w:hAnsi="仿宋" w:eastAsia="仿宋"/>
                <w:sz w:val="24"/>
                <w:szCs w:val="24"/>
              </w:rPr>
            </w:pPr>
            <w:r>
              <w:rPr>
                <w:rFonts w:ascii="仿宋" w:hAnsi="仿宋" w:eastAsia="仿宋"/>
                <w:sz w:val="24"/>
                <w:szCs w:val="24"/>
              </w:rPr>
              <w:t>5.支持告警、PING、TRACE、光路检测、状态查询、业务观察等常用调试及故障处理工具。</w:t>
            </w:r>
          </w:p>
        </w:tc>
        <w:tc>
          <w:tcPr>
            <w:tcW w:w="949" w:type="dxa"/>
            <w:vAlign w:val="center"/>
          </w:tcPr>
          <w:p>
            <w:pPr>
              <w:spacing w:line="560" w:lineRule="exact"/>
              <w:jc w:val="center"/>
              <w:rPr>
                <w:rFonts w:ascii="仿宋" w:hAnsi="仿宋" w:eastAsia="仿宋"/>
                <w:sz w:val="24"/>
                <w:szCs w:val="24"/>
              </w:rPr>
            </w:pPr>
            <w:r>
              <w:rPr>
                <w:rFonts w:ascii="仿宋" w:hAnsi="仿宋" w:eastAsia="仿宋"/>
                <w:sz w:val="24"/>
                <w:szCs w:val="24"/>
              </w:rPr>
              <w:t>每参赛队</w:t>
            </w:r>
            <w:r>
              <w:rPr>
                <w:rFonts w:hint="eastAsia" w:ascii="仿宋" w:hAnsi="仿宋" w:eastAsia="仿宋"/>
                <w:sz w:val="24"/>
                <w:szCs w:val="24"/>
              </w:rPr>
              <w:t>2</w:t>
            </w:r>
            <w:r>
              <w:rPr>
                <w:rFonts w:ascii="仿宋" w:hAnsi="仿宋" w:eastAsia="仿宋"/>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3</w:t>
            </w:r>
          </w:p>
        </w:tc>
        <w:tc>
          <w:tcPr>
            <w:tcW w:w="1972"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后台服务器</w:t>
            </w:r>
          </w:p>
        </w:tc>
        <w:tc>
          <w:tcPr>
            <w:tcW w:w="5649" w:type="dxa"/>
          </w:tcPr>
          <w:p>
            <w:pPr>
              <w:spacing w:line="560" w:lineRule="exact"/>
              <w:rPr>
                <w:rFonts w:ascii="仿宋" w:hAnsi="仿宋" w:eastAsia="仿宋"/>
                <w:sz w:val="24"/>
                <w:szCs w:val="24"/>
              </w:rPr>
            </w:pPr>
            <w:r>
              <w:rPr>
                <w:rFonts w:hint="eastAsia" w:ascii="仿宋" w:hAnsi="仿宋" w:eastAsia="仿宋"/>
                <w:sz w:val="24"/>
                <w:szCs w:val="24"/>
              </w:rPr>
              <w:t>CPU：Xeon E3-1230 V6，硬盘：1TB，内存：8G，主频：3300MHz，低负载智能降频 ：1600MHz，最大Turbo频率：3700MHz（单核心3700Mhz），安装</w:t>
            </w:r>
            <w:r>
              <w:rPr>
                <w:rFonts w:ascii="仿宋" w:hAnsi="仿宋" w:eastAsia="仿宋"/>
                <w:sz w:val="24"/>
                <w:szCs w:val="24"/>
              </w:rPr>
              <w:t>4G</w:t>
            </w:r>
            <w:r>
              <w:rPr>
                <w:rFonts w:hint="eastAsia" w:ascii="仿宋" w:hAnsi="仿宋" w:eastAsia="仿宋"/>
                <w:sz w:val="24"/>
                <w:szCs w:val="24"/>
              </w:rPr>
              <w:t>&amp;Pre5G</w:t>
            </w:r>
            <w:r>
              <w:rPr>
                <w:rFonts w:ascii="仿宋" w:hAnsi="仿宋" w:eastAsia="仿宋"/>
                <w:sz w:val="24"/>
                <w:szCs w:val="24"/>
              </w:rPr>
              <w:t>全网竞技系统</w:t>
            </w:r>
            <w:r>
              <w:rPr>
                <w:rFonts w:hint="eastAsia" w:ascii="仿宋" w:hAnsi="仿宋" w:eastAsia="仿宋"/>
                <w:sz w:val="24"/>
                <w:szCs w:val="24"/>
              </w:rPr>
              <w:t>和NB-IoT</w:t>
            </w:r>
            <w:r>
              <w:rPr>
                <w:rFonts w:ascii="仿宋" w:hAnsi="仿宋" w:eastAsia="仿宋"/>
                <w:sz w:val="24"/>
                <w:szCs w:val="24"/>
              </w:rPr>
              <w:t>全网竞技系统。</w:t>
            </w:r>
          </w:p>
        </w:tc>
        <w:tc>
          <w:tcPr>
            <w:tcW w:w="949" w:type="dxa"/>
            <w:vAlign w:val="center"/>
          </w:tcPr>
          <w:p>
            <w:pPr>
              <w:spacing w:line="560" w:lineRule="exact"/>
              <w:jc w:val="cente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4</w:t>
            </w:r>
          </w:p>
        </w:tc>
        <w:tc>
          <w:tcPr>
            <w:tcW w:w="1972" w:type="dxa"/>
            <w:vAlign w:val="center"/>
          </w:tcPr>
          <w:p>
            <w:pPr>
              <w:spacing w:line="560" w:lineRule="exact"/>
              <w:jc w:val="center"/>
              <w:rPr>
                <w:rFonts w:ascii="仿宋" w:hAnsi="仿宋" w:eastAsia="仿宋"/>
                <w:sz w:val="24"/>
                <w:szCs w:val="24"/>
              </w:rPr>
            </w:pPr>
            <w:r>
              <w:rPr>
                <w:rFonts w:ascii="仿宋" w:hAnsi="仿宋" w:eastAsia="仿宋"/>
                <w:sz w:val="24"/>
                <w:szCs w:val="24"/>
              </w:rPr>
              <w:t>台式电脑</w:t>
            </w:r>
          </w:p>
        </w:tc>
        <w:tc>
          <w:tcPr>
            <w:tcW w:w="5649" w:type="dxa"/>
          </w:tcPr>
          <w:p>
            <w:pPr>
              <w:spacing w:line="560" w:lineRule="exact"/>
              <w:rPr>
                <w:rFonts w:ascii="仿宋" w:hAnsi="仿宋" w:eastAsia="仿宋"/>
                <w:sz w:val="24"/>
                <w:szCs w:val="24"/>
              </w:rPr>
            </w:pPr>
            <w:r>
              <w:rPr>
                <w:rFonts w:ascii="仿宋" w:hAnsi="仿宋" w:eastAsia="仿宋"/>
                <w:sz w:val="24"/>
                <w:szCs w:val="24"/>
              </w:rPr>
              <w:t>普通台式电脑，windows 7中文操作系统，预装截屏软件、录屏软件，屏幕分辨率不得低于</w:t>
            </w:r>
            <w:r>
              <w:rPr>
                <w:rFonts w:hint="eastAsia" w:ascii="仿宋" w:hAnsi="仿宋" w:eastAsia="仿宋"/>
                <w:sz w:val="24"/>
                <w:szCs w:val="24"/>
              </w:rPr>
              <w:t>1440*900</w:t>
            </w:r>
            <w:r>
              <w:rPr>
                <w:rFonts w:ascii="仿宋" w:hAnsi="仿宋" w:eastAsia="仿宋"/>
                <w:sz w:val="24"/>
                <w:szCs w:val="24"/>
              </w:rPr>
              <w:t>。</w:t>
            </w:r>
          </w:p>
        </w:tc>
        <w:tc>
          <w:tcPr>
            <w:tcW w:w="949" w:type="dxa"/>
          </w:tcPr>
          <w:p>
            <w:pPr>
              <w:spacing w:line="560" w:lineRule="exact"/>
              <w:rPr>
                <w:rFonts w:ascii="仿宋" w:hAnsi="仿宋" w:eastAsia="仿宋"/>
                <w:sz w:val="24"/>
                <w:szCs w:val="24"/>
              </w:rPr>
            </w:pPr>
            <w:r>
              <w:rPr>
                <w:rFonts w:ascii="仿宋" w:hAnsi="仿宋" w:eastAsia="仿宋"/>
                <w:sz w:val="24"/>
                <w:szCs w:val="24"/>
              </w:rPr>
              <w:t>每参赛队2台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5</w:t>
            </w:r>
          </w:p>
        </w:tc>
        <w:tc>
          <w:tcPr>
            <w:tcW w:w="1972" w:type="dxa"/>
            <w:vAlign w:val="center"/>
          </w:tcPr>
          <w:p>
            <w:pPr>
              <w:spacing w:line="560" w:lineRule="exact"/>
              <w:jc w:val="center"/>
              <w:rPr>
                <w:rFonts w:ascii="仿宋" w:hAnsi="仿宋" w:eastAsia="仿宋"/>
                <w:sz w:val="24"/>
                <w:szCs w:val="24"/>
              </w:rPr>
            </w:pPr>
            <w:r>
              <w:rPr>
                <w:rFonts w:ascii="仿宋" w:hAnsi="仿宋" w:eastAsia="仿宋"/>
                <w:sz w:val="24"/>
                <w:szCs w:val="24"/>
              </w:rPr>
              <w:t>考试U盘</w:t>
            </w:r>
          </w:p>
        </w:tc>
        <w:tc>
          <w:tcPr>
            <w:tcW w:w="5649" w:type="dxa"/>
          </w:tcPr>
          <w:p>
            <w:pPr>
              <w:spacing w:line="560" w:lineRule="exact"/>
              <w:rPr>
                <w:rFonts w:ascii="仿宋" w:hAnsi="仿宋" w:eastAsia="仿宋"/>
                <w:sz w:val="24"/>
                <w:szCs w:val="24"/>
              </w:rPr>
            </w:pPr>
            <w:r>
              <w:rPr>
                <w:rFonts w:ascii="仿宋" w:hAnsi="仿宋" w:eastAsia="仿宋"/>
                <w:sz w:val="24"/>
                <w:szCs w:val="24"/>
              </w:rPr>
              <w:t>用于竞赛结果备份保存，容量不低于4个GB</w:t>
            </w:r>
          </w:p>
        </w:tc>
        <w:tc>
          <w:tcPr>
            <w:tcW w:w="949" w:type="dxa"/>
          </w:tcPr>
          <w:p>
            <w:pPr>
              <w:spacing w:line="560" w:lineRule="exact"/>
              <w:rPr>
                <w:rFonts w:ascii="仿宋" w:hAnsi="仿宋" w:eastAsia="仿宋"/>
                <w:sz w:val="24"/>
                <w:szCs w:val="24"/>
              </w:rPr>
            </w:pPr>
            <w:r>
              <w:rPr>
                <w:rFonts w:ascii="仿宋" w:hAnsi="仿宋" w:eastAsia="仿宋"/>
                <w:sz w:val="24"/>
                <w:szCs w:val="24"/>
              </w:rPr>
              <w:t>每参赛队1个</w:t>
            </w:r>
          </w:p>
        </w:tc>
      </w:tr>
    </w:tbl>
    <w:p>
      <w:pPr>
        <w:spacing w:line="320" w:lineRule="exact"/>
        <w:rPr>
          <w:rFonts w:ascii="仿宋_GB2312" w:hAnsi="仿宋" w:eastAsia="仿宋_GB2312" w:cs="仿宋_GB2312"/>
          <w:bCs/>
          <w:kern w:val="0"/>
          <w:sz w:val="24"/>
          <w:szCs w:val="24"/>
        </w:rPr>
      </w:pPr>
    </w:p>
    <w:p>
      <w:pPr>
        <w:spacing w:line="320" w:lineRule="exact"/>
        <w:jc w:val="center"/>
        <w:rPr>
          <w:rFonts w:ascii="仿宋_GB2312" w:hAnsi="仿宋" w:eastAsia="仿宋_GB2312" w:cs="仿宋_GB2312"/>
          <w:b/>
          <w:kern w:val="0"/>
          <w:sz w:val="24"/>
          <w:szCs w:val="24"/>
        </w:rPr>
      </w:pPr>
      <w:r>
        <w:rPr>
          <w:rFonts w:hint="eastAsia" w:ascii="仿宋_GB2312" w:hAnsi="仿宋" w:eastAsia="仿宋_GB2312" w:cs="仿宋_GB2312"/>
          <w:b/>
          <w:kern w:val="0"/>
          <w:sz w:val="24"/>
          <w:szCs w:val="24"/>
        </w:rPr>
        <w:t>表3  IUV-4G&amp;Pre5G全网竞技系统/NB-IoT全网竞技系统运行环境要求</w:t>
      </w:r>
    </w:p>
    <w:tbl>
      <w:tblPr>
        <w:tblStyle w:val="16"/>
        <w:tblW w:w="7138" w:type="dxa"/>
        <w:jc w:val="center"/>
        <w:tblInd w:w="0" w:type="dxa"/>
        <w:tblLayout w:type="fixed"/>
        <w:tblCellMar>
          <w:top w:w="0" w:type="dxa"/>
          <w:left w:w="108" w:type="dxa"/>
          <w:bottom w:w="0" w:type="dxa"/>
          <w:right w:w="108" w:type="dxa"/>
        </w:tblCellMar>
      </w:tblPr>
      <w:tblGrid>
        <w:gridCol w:w="927"/>
        <w:gridCol w:w="1275"/>
        <w:gridCol w:w="4936"/>
      </w:tblGrid>
      <w:tr>
        <w:tblPrEx>
          <w:tblLayout w:type="fixed"/>
          <w:tblCellMar>
            <w:top w:w="0" w:type="dxa"/>
            <w:left w:w="108" w:type="dxa"/>
            <w:bottom w:w="0" w:type="dxa"/>
            <w:right w:w="108" w:type="dxa"/>
          </w:tblCellMar>
        </w:tblPrEx>
        <w:trPr>
          <w:trHeight w:val="285" w:hRule="atLeast"/>
          <w:jc w:val="center"/>
        </w:trPr>
        <w:tc>
          <w:tcPr>
            <w:tcW w:w="927" w:type="dxa"/>
            <w:tcBorders>
              <w:top w:val="single" w:color="000000" w:sz="8" w:space="0"/>
              <w:left w:val="single" w:color="000000" w:sz="8" w:space="0"/>
              <w:bottom w:val="single" w:color="auto" w:sz="8" w:space="0"/>
              <w:right w:val="single" w:color="000000" w:sz="8" w:space="0"/>
            </w:tcBorders>
            <w:shd w:val="clear" w:color="000000" w:fill="auto"/>
            <w:vAlign w:val="center"/>
          </w:tcPr>
          <w:p>
            <w:pPr>
              <w:widowControl/>
              <w:jc w:val="center"/>
              <w:rPr>
                <w:rFonts w:ascii="仿宋_GB2312" w:hAnsi="宋体" w:eastAsia="仿宋_GB2312" w:cs="Times New Roman"/>
                <w:b/>
                <w:bCs/>
                <w:kern w:val="0"/>
                <w:sz w:val="24"/>
                <w:szCs w:val="24"/>
              </w:rPr>
            </w:pPr>
            <w:r>
              <w:rPr>
                <w:rFonts w:hint="eastAsia" w:ascii="仿宋_GB2312" w:hAnsi="宋体" w:eastAsia="仿宋_GB2312" w:cs="仿宋_GB2312"/>
                <w:b/>
                <w:bCs/>
                <w:kern w:val="0"/>
                <w:sz w:val="24"/>
                <w:szCs w:val="24"/>
              </w:rPr>
              <w:t>序号</w:t>
            </w:r>
          </w:p>
        </w:tc>
        <w:tc>
          <w:tcPr>
            <w:tcW w:w="1275" w:type="dxa"/>
            <w:tcBorders>
              <w:top w:val="single" w:color="000000" w:sz="8" w:space="0"/>
              <w:left w:val="nil"/>
              <w:bottom w:val="single" w:color="000000" w:sz="8" w:space="0"/>
              <w:right w:val="single" w:color="000000" w:sz="8" w:space="0"/>
            </w:tcBorders>
            <w:shd w:val="clear" w:color="000000" w:fill="auto"/>
            <w:vAlign w:val="center"/>
          </w:tcPr>
          <w:p>
            <w:pPr>
              <w:widowControl/>
              <w:jc w:val="center"/>
              <w:rPr>
                <w:rFonts w:ascii="仿宋_GB2312" w:hAnsi="宋体" w:eastAsia="仿宋_GB2312" w:cs="Times New Roman"/>
                <w:b/>
                <w:bCs/>
                <w:kern w:val="0"/>
                <w:sz w:val="24"/>
                <w:szCs w:val="24"/>
              </w:rPr>
            </w:pPr>
            <w:r>
              <w:rPr>
                <w:rFonts w:hint="eastAsia" w:ascii="仿宋_GB2312" w:hAnsi="宋体" w:eastAsia="仿宋_GB2312" w:cs="仿宋_GB2312"/>
                <w:b/>
                <w:bCs/>
                <w:kern w:val="0"/>
                <w:sz w:val="24"/>
                <w:szCs w:val="24"/>
              </w:rPr>
              <w:t>内容</w:t>
            </w:r>
          </w:p>
        </w:tc>
        <w:tc>
          <w:tcPr>
            <w:tcW w:w="4936" w:type="dxa"/>
            <w:tcBorders>
              <w:top w:val="single" w:color="000000" w:sz="8" w:space="0"/>
              <w:left w:val="nil"/>
              <w:bottom w:val="single" w:color="000000" w:sz="8" w:space="0"/>
              <w:right w:val="single" w:color="000000" w:sz="8" w:space="0"/>
            </w:tcBorders>
            <w:shd w:val="clear" w:color="000000" w:fill="auto"/>
            <w:vAlign w:val="center"/>
          </w:tcPr>
          <w:p>
            <w:pPr>
              <w:widowControl/>
              <w:jc w:val="center"/>
              <w:rPr>
                <w:rFonts w:ascii="仿宋_GB2312" w:hAnsi="宋体" w:eastAsia="仿宋_GB2312" w:cs="Times New Roman"/>
                <w:b/>
                <w:bCs/>
                <w:kern w:val="0"/>
                <w:sz w:val="24"/>
                <w:szCs w:val="24"/>
              </w:rPr>
            </w:pPr>
            <w:r>
              <w:rPr>
                <w:rFonts w:hint="eastAsia" w:ascii="仿宋_GB2312" w:hAnsi="宋体" w:eastAsia="仿宋_GB2312" w:cs="仿宋_GB2312"/>
                <w:b/>
                <w:bCs/>
                <w:kern w:val="0"/>
                <w:sz w:val="24"/>
                <w:szCs w:val="24"/>
              </w:rPr>
              <w:t>要求</w:t>
            </w:r>
          </w:p>
        </w:tc>
      </w:tr>
      <w:tr>
        <w:tblPrEx>
          <w:tblLayout w:type="fixed"/>
          <w:tblCellMar>
            <w:top w:w="0" w:type="dxa"/>
            <w:left w:w="108" w:type="dxa"/>
            <w:bottom w:w="0" w:type="dxa"/>
            <w:right w:w="108" w:type="dxa"/>
          </w:tblCellMar>
        </w:tblPrEx>
        <w:trPr>
          <w:trHeight w:val="480" w:hRule="atLeast"/>
          <w:jc w:val="center"/>
        </w:trPr>
        <w:tc>
          <w:tcPr>
            <w:tcW w:w="927" w:type="dxa"/>
            <w:tcBorders>
              <w:top w:val="single" w:color="auto" w:sz="8" w:space="0"/>
              <w:left w:val="single" w:color="000000" w:sz="8" w:space="0"/>
              <w:bottom w:val="single" w:color="000000" w:sz="8" w:space="0"/>
              <w:right w:val="single" w:color="000000" w:sz="8" w:space="0"/>
            </w:tcBorders>
            <w:vAlign w:val="center"/>
          </w:tcPr>
          <w:p>
            <w:pPr>
              <w:widowControl/>
              <w:jc w:val="center"/>
              <w:rPr>
                <w:rFonts w:ascii="仿宋_GB2312" w:hAnsi="Arial" w:eastAsia="仿宋_GB2312" w:cs="Times New Roman"/>
                <w:kern w:val="0"/>
                <w:sz w:val="24"/>
                <w:szCs w:val="24"/>
              </w:rPr>
            </w:pPr>
            <w:r>
              <w:rPr>
                <w:rFonts w:ascii="仿宋_GB2312" w:hAnsi="Arial" w:eastAsia="仿宋_GB2312" w:cs="仿宋_GB2312"/>
                <w:kern w:val="0"/>
                <w:sz w:val="24"/>
                <w:szCs w:val="24"/>
              </w:rPr>
              <w:t>1</w:t>
            </w:r>
          </w:p>
        </w:tc>
        <w:tc>
          <w:tcPr>
            <w:tcW w:w="1275" w:type="dxa"/>
            <w:tcBorders>
              <w:top w:val="nil"/>
              <w:left w:val="nil"/>
              <w:bottom w:val="single" w:color="000000" w:sz="8" w:space="0"/>
              <w:right w:val="single" w:color="000000" w:sz="8" w:space="0"/>
            </w:tcBorders>
            <w:vAlign w:val="center"/>
          </w:tcPr>
          <w:p>
            <w:pPr>
              <w:widowControl/>
              <w:jc w:val="left"/>
              <w:rPr>
                <w:rFonts w:ascii="仿宋_GB2312" w:hAnsi="Arial" w:eastAsia="仿宋_GB2312" w:cs="Times New Roman"/>
                <w:kern w:val="0"/>
                <w:sz w:val="24"/>
                <w:szCs w:val="24"/>
              </w:rPr>
            </w:pPr>
            <w:r>
              <w:rPr>
                <w:rFonts w:hint="eastAsia" w:ascii="仿宋_GB2312" w:hAnsi="Arial" w:eastAsia="仿宋_GB2312" w:cs="仿宋_GB2312"/>
                <w:kern w:val="0"/>
                <w:sz w:val="24"/>
                <w:szCs w:val="24"/>
              </w:rPr>
              <w:t>客户端</w:t>
            </w:r>
          </w:p>
        </w:tc>
        <w:tc>
          <w:tcPr>
            <w:tcW w:w="4936" w:type="dxa"/>
            <w:tcBorders>
              <w:top w:val="nil"/>
              <w:left w:val="nil"/>
              <w:bottom w:val="single" w:color="000000" w:sz="8" w:space="0"/>
              <w:right w:val="single" w:color="000000" w:sz="8" w:space="0"/>
            </w:tcBorders>
            <w:vAlign w:val="center"/>
          </w:tcPr>
          <w:p>
            <w:pPr>
              <w:widowControl/>
              <w:jc w:val="left"/>
              <w:rPr>
                <w:rFonts w:ascii="仿宋_GB2312" w:hAnsi="Arial" w:eastAsia="仿宋_GB2312" w:cs="仿宋_GB2312"/>
                <w:kern w:val="0"/>
                <w:sz w:val="24"/>
                <w:szCs w:val="24"/>
              </w:rPr>
            </w:pPr>
            <w:r>
              <w:rPr>
                <w:rFonts w:ascii="仿宋_GB2312" w:hAnsi="Arial" w:eastAsia="仿宋_GB2312" w:cs="仿宋_GB2312"/>
                <w:kern w:val="0"/>
                <w:sz w:val="24"/>
                <w:szCs w:val="24"/>
              </w:rPr>
              <w:t>CPU</w:t>
            </w:r>
            <w:r>
              <w:rPr>
                <w:rFonts w:hint="eastAsia" w:ascii="仿宋_GB2312" w:hAnsi="Arial" w:eastAsia="仿宋_GB2312" w:cs="仿宋_GB2312"/>
                <w:kern w:val="0"/>
                <w:sz w:val="24"/>
                <w:szCs w:val="24"/>
              </w:rPr>
              <w:t>：</w:t>
            </w:r>
            <w:r>
              <w:rPr>
                <w:rFonts w:ascii="仿宋_GB2312" w:hAnsi="Arial" w:eastAsia="仿宋_GB2312" w:cs="仿宋_GB2312"/>
                <w:kern w:val="0"/>
                <w:sz w:val="24"/>
                <w:szCs w:val="24"/>
              </w:rPr>
              <w:t>Intel i3</w:t>
            </w:r>
            <w:r>
              <w:rPr>
                <w:rFonts w:hint="eastAsia" w:ascii="仿宋_GB2312" w:hAnsi="Arial" w:eastAsia="仿宋_GB2312" w:cs="仿宋_GB2312"/>
                <w:kern w:val="0"/>
                <w:sz w:val="24"/>
                <w:szCs w:val="24"/>
              </w:rPr>
              <w:t>及以上，推荐</w:t>
            </w:r>
            <w:r>
              <w:rPr>
                <w:rFonts w:ascii="仿宋_GB2312" w:hAnsi="Arial" w:eastAsia="仿宋_GB2312" w:cs="仿宋_GB2312"/>
                <w:kern w:val="0"/>
                <w:sz w:val="24"/>
                <w:szCs w:val="24"/>
              </w:rPr>
              <w:t>i5</w:t>
            </w:r>
            <w:r>
              <w:rPr>
                <w:rFonts w:ascii="仿宋_GB2312" w:hAnsi="Arial" w:eastAsia="仿宋_GB2312" w:cs="Times New Roman"/>
                <w:kern w:val="0"/>
                <w:sz w:val="24"/>
                <w:szCs w:val="24"/>
              </w:rPr>
              <w:t> </w:t>
            </w:r>
            <w:r>
              <w:rPr>
                <w:rFonts w:ascii="仿宋_GB2312" w:hAnsi="Arial" w:eastAsia="仿宋_GB2312" w:cs="Times New Roman"/>
                <w:kern w:val="0"/>
                <w:sz w:val="24"/>
                <w:szCs w:val="24"/>
              </w:rPr>
              <w:br w:type="textWrapping"/>
            </w:r>
            <w:r>
              <w:rPr>
                <w:rFonts w:hint="eastAsia" w:ascii="仿宋_GB2312" w:hAnsi="Arial" w:eastAsia="仿宋_GB2312" w:cs="仿宋_GB2312"/>
                <w:kern w:val="0"/>
                <w:sz w:val="24"/>
                <w:szCs w:val="24"/>
              </w:rPr>
              <w:t>内存：</w:t>
            </w:r>
            <w:r>
              <w:rPr>
                <w:rFonts w:ascii="仿宋_GB2312" w:hAnsi="Arial" w:eastAsia="仿宋_GB2312" w:cs="仿宋_GB2312"/>
                <w:kern w:val="0"/>
                <w:sz w:val="24"/>
                <w:szCs w:val="24"/>
              </w:rPr>
              <w:t>4GB</w:t>
            </w:r>
            <w:r>
              <w:rPr>
                <w:rFonts w:hint="eastAsia" w:ascii="仿宋_GB2312" w:hAnsi="Arial" w:eastAsia="仿宋_GB2312" w:cs="仿宋_GB2312"/>
                <w:kern w:val="0"/>
                <w:sz w:val="24"/>
                <w:szCs w:val="24"/>
              </w:rPr>
              <w:t>及以上</w:t>
            </w:r>
            <w:r>
              <w:rPr>
                <w:rFonts w:ascii="仿宋_GB2312" w:hAnsi="Arial" w:eastAsia="仿宋_GB2312" w:cs="Times New Roman"/>
                <w:kern w:val="0"/>
                <w:sz w:val="24"/>
                <w:szCs w:val="24"/>
              </w:rPr>
              <w:t> </w:t>
            </w:r>
            <w:r>
              <w:rPr>
                <w:rFonts w:ascii="仿宋_GB2312" w:hAnsi="Arial" w:eastAsia="仿宋_GB2312" w:cs="Times New Roman"/>
                <w:kern w:val="0"/>
                <w:sz w:val="24"/>
                <w:szCs w:val="24"/>
              </w:rPr>
              <w:br w:type="textWrapping"/>
            </w:r>
            <w:r>
              <w:rPr>
                <w:rFonts w:hint="eastAsia" w:ascii="仿宋_GB2312" w:hAnsi="Arial" w:eastAsia="仿宋_GB2312" w:cs="仿宋_GB2312"/>
                <w:kern w:val="0"/>
                <w:sz w:val="24"/>
                <w:szCs w:val="24"/>
              </w:rPr>
              <w:t>硬盘：余量空间</w:t>
            </w:r>
            <w:r>
              <w:rPr>
                <w:rFonts w:ascii="仿宋_GB2312" w:hAnsi="Arial" w:eastAsia="仿宋_GB2312" w:cs="仿宋_GB2312"/>
                <w:kern w:val="0"/>
                <w:sz w:val="24"/>
                <w:szCs w:val="24"/>
              </w:rPr>
              <w:t>1GB</w:t>
            </w:r>
            <w:r>
              <w:rPr>
                <w:rFonts w:hint="eastAsia" w:ascii="仿宋_GB2312" w:hAnsi="Arial" w:eastAsia="仿宋_GB2312" w:cs="仿宋_GB2312"/>
                <w:kern w:val="0"/>
                <w:sz w:val="24"/>
                <w:szCs w:val="24"/>
              </w:rPr>
              <w:t>及以上</w:t>
            </w:r>
            <w:r>
              <w:rPr>
                <w:rFonts w:ascii="仿宋_GB2312" w:hAnsi="Arial" w:eastAsia="仿宋_GB2312" w:cs="Times New Roman"/>
                <w:kern w:val="0"/>
                <w:sz w:val="24"/>
                <w:szCs w:val="24"/>
              </w:rPr>
              <w:t> </w:t>
            </w:r>
            <w:r>
              <w:rPr>
                <w:rFonts w:ascii="仿宋_GB2312" w:hAnsi="Arial" w:eastAsia="仿宋_GB2312" w:cs="Times New Roman"/>
                <w:kern w:val="0"/>
                <w:sz w:val="24"/>
                <w:szCs w:val="24"/>
              </w:rPr>
              <w:br w:type="textWrapping"/>
            </w:r>
            <w:r>
              <w:rPr>
                <w:rFonts w:hint="eastAsia" w:ascii="仿宋_GB2312" w:hAnsi="Arial" w:eastAsia="仿宋_GB2312" w:cs="仿宋_GB2312"/>
                <w:kern w:val="0"/>
                <w:sz w:val="24"/>
                <w:szCs w:val="24"/>
              </w:rPr>
              <w:t>显示器：分辨率</w:t>
            </w:r>
            <w:r>
              <w:rPr>
                <w:rFonts w:ascii="仿宋_GB2312" w:hAnsi="Arial" w:eastAsia="仿宋_GB2312" w:cs="仿宋_GB2312"/>
                <w:kern w:val="0"/>
                <w:sz w:val="24"/>
                <w:szCs w:val="24"/>
              </w:rPr>
              <w:t>1440*900</w:t>
            </w:r>
            <w:r>
              <w:rPr>
                <w:rFonts w:hint="eastAsia" w:ascii="仿宋_GB2312" w:hAnsi="Arial" w:eastAsia="仿宋_GB2312" w:cs="仿宋_GB2312"/>
                <w:kern w:val="0"/>
                <w:sz w:val="24"/>
                <w:szCs w:val="24"/>
              </w:rPr>
              <w:t>及以上</w:t>
            </w:r>
            <w:r>
              <w:rPr>
                <w:rFonts w:ascii="仿宋_GB2312" w:hAnsi="Arial" w:eastAsia="仿宋_GB2312" w:cs="Times New Roman"/>
                <w:kern w:val="0"/>
                <w:sz w:val="24"/>
                <w:szCs w:val="24"/>
              </w:rPr>
              <w:t> </w:t>
            </w:r>
            <w:r>
              <w:rPr>
                <w:rFonts w:ascii="仿宋_GB2312" w:hAnsi="Arial" w:eastAsia="仿宋_GB2312" w:cs="Times New Roman"/>
                <w:kern w:val="0"/>
                <w:sz w:val="24"/>
                <w:szCs w:val="24"/>
              </w:rPr>
              <w:br w:type="textWrapping"/>
            </w:r>
            <w:r>
              <w:rPr>
                <w:rFonts w:hint="eastAsia" w:ascii="仿宋_GB2312" w:hAnsi="Arial" w:eastAsia="仿宋_GB2312" w:cs="仿宋_GB2312"/>
                <w:kern w:val="0"/>
                <w:sz w:val="24"/>
                <w:szCs w:val="24"/>
              </w:rPr>
              <w:t>软件要求：安装</w:t>
            </w:r>
            <w:r>
              <w:rPr>
                <w:rFonts w:ascii="仿宋_GB2312" w:hAnsi="Arial" w:eastAsia="仿宋_GB2312" w:cs="仿宋_GB2312"/>
                <w:kern w:val="0"/>
                <w:sz w:val="24"/>
                <w:szCs w:val="24"/>
              </w:rPr>
              <w:t>adobe air</w:t>
            </w:r>
            <w:r>
              <w:rPr>
                <w:rFonts w:hint="eastAsia" w:ascii="仿宋_GB2312" w:hAnsi="Arial" w:eastAsia="仿宋_GB2312" w:cs="仿宋_GB2312"/>
                <w:kern w:val="0"/>
                <w:sz w:val="24"/>
                <w:szCs w:val="24"/>
              </w:rPr>
              <w:t>，浏览器</w:t>
            </w:r>
            <w:r>
              <w:rPr>
                <w:rFonts w:ascii="仿宋_GB2312" w:hAnsi="Arial" w:eastAsia="仿宋_GB2312" w:cs="仿宋_GB2312"/>
                <w:kern w:val="0"/>
                <w:sz w:val="24"/>
                <w:szCs w:val="24"/>
              </w:rPr>
              <w:t>IE9</w:t>
            </w:r>
            <w:r>
              <w:rPr>
                <w:rFonts w:hint="eastAsia" w:ascii="仿宋_GB2312" w:hAnsi="Arial" w:eastAsia="仿宋_GB2312" w:cs="仿宋_GB2312"/>
                <w:kern w:val="0"/>
                <w:sz w:val="24"/>
                <w:szCs w:val="24"/>
              </w:rPr>
              <w:t>及以上，推荐</w:t>
            </w:r>
            <w:r>
              <w:rPr>
                <w:rFonts w:ascii="仿宋_GB2312" w:hAnsi="Arial" w:eastAsia="仿宋_GB2312" w:cs="仿宋_GB2312"/>
                <w:kern w:val="0"/>
                <w:sz w:val="24"/>
                <w:szCs w:val="24"/>
              </w:rPr>
              <w:t>chrome</w:t>
            </w:r>
          </w:p>
        </w:tc>
      </w:tr>
      <w:tr>
        <w:tblPrEx>
          <w:tblLayout w:type="fixed"/>
          <w:tblCellMar>
            <w:top w:w="0" w:type="dxa"/>
            <w:left w:w="108" w:type="dxa"/>
            <w:bottom w:w="0" w:type="dxa"/>
            <w:right w:w="108" w:type="dxa"/>
          </w:tblCellMar>
        </w:tblPrEx>
        <w:trPr>
          <w:trHeight w:val="480" w:hRule="atLeast"/>
          <w:jc w:val="center"/>
        </w:trPr>
        <w:tc>
          <w:tcPr>
            <w:tcW w:w="927" w:type="dxa"/>
            <w:tcBorders>
              <w:top w:val="nil"/>
              <w:left w:val="single" w:color="000000" w:sz="8" w:space="0"/>
              <w:bottom w:val="single" w:color="000000" w:sz="8" w:space="0"/>
              <w:right w:val="single" w:color="000000" w:sz="8" w:space="0"/>
            </w:tcBorders>
            <w:vAlign w:val="center"/>
          </w:tcPr>
          <w:p>
            <w:pPr>
              <w:widowControl/>
              <w:jc w:val="center"/>
              <w:rPr>
                <w:rFonts w:ascii="仿宋_GB2312" w:hAnsi="Arial" w:eastAsia="仿宋_GB2312" w:cs="Times New Roman"/>
                <w:kern w:val="0"/>
                <w:sz w:val="24"/>
                <w:szCs w:val="24"/>
              </w:rPr>
            </w:pPr>
            <w:r>
              <w:rPr>
                <w:rFonts w:ascii="仿宋_GB2312" w:hAnsi="Arial" w:eastAsia="仿宋_GB2312" w:cs="仿宋_GB2312"/>
                <w:kern w:val="0"/>
                <w:sz w:val="24"/>
                <w:szCs w:val="24"/>
              </w:rPr>
              <w:t>2</w:t>
            </w:r>
          </w:p>
        </w:tc>
        <w:tc>
          <w:tcPr>
            <w:tcW w:w="1275" w:type="dxa"/>
            <w:tcBorders>
              <w:top w:val="nil"/>
              <w:left w:val="nil"/>
              <w:bottom w:val="single" w:color="000000" w:sz="8" w:space="0"/>
              <w:right w:val="single" w:color="000000" w:sz="8" w:space="0"/>
            </w:tcBorders>
            <w:vAlign w:val="center"/>
          </w:tcPr>
          <w:p>
            <w:pPr>
              <w:widowControl/>
              <w:jc w:val="left"/>
              <w:rPr>
                <w:rFonts w:ascii="仿宋_GB2312" w:hAnsi="Arial" w:eastAsia="仿宋_GB2312" w:cs="Times New Roman"/>
                <w:kern w:val="0"/>
                <w:sz w:val="24"/>
                <w:szCs w:val="24"/>
              </w:rPr>
            </w:pPr>
            <w:r>
              <w:rPr>
                <w:rFonts w:hint="eastAsia" w:ascii="仿宋_GB2312" w:hAnsi="Arial" w:eastAsia="仿宋_GB2312" w:cs="仿宋_GB2312"/>
                <w:kern w:val="0"/>
                <w:sz w:val="24"/>
                <w:szCs w:val="24"/>
              </w:rPr>
              <w:t>服务器</w:t>
            </w:r>
          </w:p>
        </w:tc>
        <w:tc>
          <w:tcPr>
            <w:tcW w:w="4936" w:type="dxa"/>
            <w:tcBorders>
              <w:top w:val="nil"/>
              <w:left w:val="nil"/>
              <w:bottom w:val="single" w:color="000000" w:sz="8" w:space="0"/>
              <w:right w:val="single" w:color="000000" w:sz="8" w:space="0"/>
            </w:tcBorders>
            <w:vAlign w:val="center"/>
          </w:tcPr>
          <w:p>
            <w:pPr>
              <w:widowControl/>
              <w:jc w:val="left"/>
              <w:rPr>
                <w:rFonts w:ascii="仿宋_GB2312" w:hAnsi="宋体" w:eastAsia="仿宋_GB2312" w:cs="Times New Roman"/>
                <w:kern w:val="0"/>
                <w:sz w:val="24"/>
                <w:szCs w:val="24"/>
              </w:rPr>
            </w:pPr>
            <w:r>
              <w:rPr>
                <w:rFonts w:ascii="仿宋_GB2312" w:hAnsi="Arial" w:eastAsia="仿宋_GB2312" w:cs="仿宋_GB2312"/>
                <w:kern w:val="0"/>
                <w:sz w:val="24"/>
                <w:szCs w:val="24"/>
              </w:rPr>
              <w:t>CPU</w:t>
            </w:r>
            <w:r>
              <w:rPr>
                <w:rFonts w:hint="eastAsia" w:ascii="仿宋_GB2312" w:hAnsi="Arial" w:eastAsia="仿宋_GB2312" w:cs="仿宋_GB2312"/>
                <w:kern w:val="0"/>
                <w:sz w:val="24"/>
                <w:szCs w:val="24"/>
              </w:rPr>
              <w:t>：</w:t>
            </w:r>
            <w:r>
              <w:rPr>
                <w:rFonts w:ascii="仿宋_GB2312" w:hAnsi="Arial" w:eastAsia="仿宋_GB2312" w:cs="仿宋_GB2312"/>
                <w:kern w:val="0"/>
                <w:sz w:val="24"/>
                <w:szCs w:val="24"/>
              </w:rPr>
              <w:t>Intel</w:t>
            </w:r>
            <w:r>
              <w:rPr>
                <w:rFonts w:hint="eastAsia" w:ascii="仿宋_GB2312" w:hAnsi="Arial" w:eastAsia="仿宋_GB2312" w:cs="仿宋_GB2312"/>
                <w:kern w:val="0"/>
                <w:sz w:val="24"/>
                <w:szCs w:val="24"/>
              </w:rPr>
              <w:t>至强</w:t>
            </w:r>
            <w:r>
              <w:rPr>
                <w:rFonts w:ascii="仿宋_GB2312" w:hAnsi="Arial" w:eastAsia="仿宋_GB2312" w:cs="仿宋_GB2312"/>
                <w:kern w:val="0"/>
                <w:sz w:val="24"/>
                <w:szCs w:val="24"/>
              </w:rPr>
              <w:t>Xeon E3</w:t>
            </w:r>
            <w:r>
              <w:rPr>
                <w:rFonts w:hint="eastAsia" w:ascii="仿宋_GB2312" w:hAnsi="Arial" w:eastAsia="仿宋_GB2312" w:cs="仿宋_GB2312"/>
                <w:kern w:val="0"/>
                <w:sz w:val="24"/>
                <w:szCs w:val="24"/>
              </w:rPr>
              <w:t>系列及以上</w:t>
            </w:r>
            <w:r>
              <w:rPr>
                <w:rFonts w:ascii="仿宋_GB2312" w:hAnsi="Arial" w:eastAsia="仿宋_GB2312" w:cs="Times New Roman"/>
                <w:kern w:val="0"/>
                <w:sz w:val="24"/>
                <w:szCs w:val="24"/>
              </w:rPr>
              <w:t> </w:t>
            </w:r>
            <w:r>
              <w:rPr>
                <w:rFonts w:ascii="仿宋_GB2312" w:hAnsi="Arial" w:eastAsia="仿宋_GB2312" w:cs="Times New Roman"/>
                <w:kern w:val="0"/>
                <w:sz w:val="24"/>
                <w:szCs w:val="24"/>
              </w:rPr>
              <w:br w:type="textWrapping"/>
            </w:r>
            <w:r>
              <w:rPr>
                <w:rFonts w:hint="eastAsia" w:ascii="仿宋_GB2312" w:hAnsi="Arial" w:eastAsia="仿宋_GB2312" w:cs="仿宋_GB2312"/>
                <w:kern w:val="0"/>
                <w:sz w:val="24"/>
                <w:szCs w:val="24"/>
              </w:rPr>
              <w:t>内存：</w:t>
            </w:r>
            <w:r>
              <w:rPr>
                <w:rFonts w:ascii="仿宋_GB2312" w:hAnsi="Arial" w:eastAsia="仿宋_GB2312" w:cs="仿宋_GB2312"/>
                <w:kern w:val="0"/>
                <w:sz w:val="24"/>
                <w:szCs w:val="24"/>
              </w:rPr>
              <w:t>8GB</w:t>
            </w:r>
            <w:r>
              <w:rPr>
                <w:rFonts w:hint="eastAsia" w:ascii="仿宋_GB2312" w:hAnsi="Arial" w:eastAsia="仿宋_GB2312" w:cs="仿宋_GB2312"/>
                <w:kern w:val="0"/>
                <w:sz w:val="24"/>
                <w:szCs w:val="24"/>
              </w:rPr>
              <w:t>及以上</w:t>
            </w:r>
            <w:r>
              <w:rPr>
                <w:rFonts w:ascii="仿宋_GB2312" w:hAnsi="Arial" w:eastAsia="仿宋_GB2312" w:cs="Times New Roman"/>
                <w:kern w:val="0"/>
                <w:sz w:val="24"/>
                <w:szCs w:val="24"/>
              </w:rPr>
              <w:t> </w:t>
            </w:r>
            <w:r>
              <w:rPr>
                <w:rFonts w:ascii="仿宋_GB2312" w:hAnsi="Arial" w:eastAsia="仿宋_GB2312" w:cs="Times New Roman"/>
                <w:kern w:val="0"/>
                <w:sz w:val="24"/>
                <w:szCs w:val="24"/>
              </w:rPr>
              <w:br w:type="textWrapping"/>
            </w:r>
            <w:r>
              <w:rPr>
                <w:rFonts w:hint="eastAsia" w:ascii="仿宋_GB2312" w:hAnsi="Arial" w:eastAsia="仿宋_GB2312" w:cs="仿宋_GB2312"/>
                <w:kern w:val="0"/>
                <w:sz w:val="24"/>
                <w:szCs w:val="24"/>
              </w:rPr>
              <w:t>硬盘：</w:t>
            </w:r>
            <w:r>
              <w:rPr>
                <w:rFonts w:ascii="仿宋_GB2312" w:hAnsi="Arial" w:eastAsia="仿宋_GB2312" w:cs="仿宋_GB2312"/>
                <w:kern w:val="0"/>
                <w:sz w:val="24"/>
                <w:szCs w:val="24"/>
              </w:rPr>
              <w:t>500GB</w:t>
            </w:r>
            <w:r>
              <w:rPr>
                <w:rFonts w:hint="eastAsia" w:ascii="仿宋_GB2312" w:hAnsi="Arial" w:eastAsia="仿宋_GB2312" w:cs="仿宋_GB2312"/>
                <w:kern w:val="0"/>
                <w:sz w:val="24"/>
                <w:szCs w:val="24"/>
              </w:rPr>
              <w:t>及以上</w:t>
            </w:r>
            <w:r>
              <w:rPr>
                <w:rFonts w:ascii="仿宋_GB2312" w:hAnsi="Arial" w:eastAsia="仿宋_GB2312" w:cs="Times New Roman"/>
                <w:kern w:val="0"/>
                <w:sz w:val="24"/>
                <w:szCs w:val="24"/>
              </w:rPr>
              <w:t> </w:t>
            </w:r>
            <w:r>
              <w:rPr>
                <w:rFonts w:ascii="仿宋_GB2312" w:hAnsi="Arial" w:eastAsia="仿宋_GB2312" w:cs="Times New Roman"/>
                <w:kern w:val="0"/>
                <w:sz w:val="24"/>
                <w:szCs w:val="24"/>
              </w:rPr>
              <w:br w:type="textWrapping"/>
            </w:r>
            <w:r>
              <w:rPr>
                <w:rFonts w:hint="eastAsia" w:ascii="仿宋_GB2312" w:hAnsi="Arial" w:eastAsia="仿宋_GB2312" w:cs="仿宋_GB2312"/>
                <w:kern w:val="0"/>
                <w:sz w:val="24"/>
                <w:szCs w:val="24"/>
              </w:rPr>
              <w:t>操作系统：CentOS 7.0/</w:t>
            </w:r>
            <w:r>
              <w:rPr>
                <w:rFonts w:ascii="仿宋_GB2312" w:hAnsi="Arial" w:eastAsia="仿宋_GB2312" w:cs="仿宋_GB2312"/>
                <w:kern w:val="0"/>
                <w:sz w:val="24"/>
                <w:szCs w:val="24"/>
              </w:rPr>
              <w:t>Windows2008 server</w:t>
            </w:r>
            <w:r>
              <w:rPr>
                <w:rFonts w:ascii="仿宋_GB2312" w:hAnsi="Arial" w:eastAsia="仿宋_GB2312" w:cs="Times New Roman"/>
                <w:kern w:val="0"/>
                <w:sz w:val="24"/>
                <w:szCs w:val="24"/>
              </w:rPr>
              <w:t> </w:t>
            </w:r>
            <w:r>
              <w:rPr>
                <w:rFonts w:ascii="仿宋_GB2312" w:hAnsi="Arial" w:eastAsia="仿宋_GB2312" w:cs="Times New Roman"/>
                <w:kern w:val="0"/>
                <w:sz w:val="24"/>
                <w:szCs w:val="24"/>
              </w:rPr>
              <w:br w:type="textWrapping"/>
            </w:r>
            <w:r>
              <w:rPr>
                <w:rFonts w:hint="eastAsia" w:ascii="仿宋_GB2312" w:hAnsi="Arial" w:eastAsia="仿宋_GB2312" w:cs="仿宋_GB2312"/>
                <w:kern w:val="0"/>
                <w:sz w:val="24"/>
                <w:szCs w:val="24"/>
              </w:rPr>
              <w:t>软件要求：</w:t>
            </w:r>
            <w:r>
              <w:rPr>
                <w:rFonts w:ascii="仿宋_GB2312" w:hAnsi="Arial" w:eastAsia="仿宋_GB2312" w:cs="仿宋_GB2312"/>
                <w:kern w:val="0"/>
                <w:sz w:val="24"/>
                <w:szCs w:val="24"/>
              </w:rPr>
              <w:t>JDK1.8</w:t>
            </w:r>
            <w:r>
              <w:rPr>
                <w:rFonts w:hint="eastAsia" w:ascii="仿宋_GB2312" w:hAnsi="Arial" w:eastAsia="仿宋_GB2312" w:cs="仿宋_GB2312"/>
                <w:kern w:val="0"/>
                <w:sz w:val="24"/>
                <w:szCs w:val="24"/>
              </w:rPr>
              <w:t>，</w:t>
            </w:r>
            <w:r>
              <w:rPr>
                <w:rFonts w:ascii="仿宋_GB2312" w:hAnsi="Arial" w:eastAsia="仿宋_GB2312" w:cs="仿宋_GB2312"/>
                <w:kern w:val="0"/>
                <w:sz w:val="24"/>
                <w:szCs w:val="24"/>
              </w:rPr>
              <w:t xml:space="preserve">MySQL6.0 </w:t>
            </w:r>
            <w:r>
              <w:rPr>
                <w:rFonts w:hint="eastAsia" w:ascii="仿宋_GB2312" w:hAnsi="Arial" w:eastAsia="仿宋_GB2312" w:cs="仿宋_GB2312"/>
                <w:kern w:val="0"/>
                <w:sz w:val="24"/>
                <w:szCs w:val="24"/>
              </w:rPr>
              <w:t>，</w:t>
            </w:r>
            <w:r>
              <w:rPr>
                <w:rFonts w:ascii="仿宋_GB2312" w:hAnsi="Arial" w:eastAsia="仿宋_GB2312" w:cs="仿宋_GB2312"/>
                <w:kern w:val="0"/>
                <w:sz w:val="24"/>
                <w:szCs w:val="24"/>
              </w:rPr>
              <w:t>Tomcat8.0</w:t>
            </w:r>
            <w:r>
              <w:rPr>
                <w:rFonts w:ascii="仿宋_GB2312" w:hAnsi="Arial" w:eastAsia="仿宋_GB2312" w:cs="Times New Roman"/>
                <w:kern w:val="0"/>
                <w:sz w:val="24"/>
                <w:szCs w:val="24"/>
              </w:rPr>
              <w:t> </w:t>
            </w:r>
            <w:r>
              <w:rPr>
                <w:rFonts w:ascii="仿宋_GB2312" w:hAnsi="Arial" w:eastAsia="仿宋_GB2312" w:cs="Times New Roman"/>
                <w:kern w:val="0"/>
                <w:sz w:val="24"/>
                <w:szCs w:val="24"/>
              </w:rPr>
              <w:br w:type="textWrapping"/>
            </w:r>
            <w:r>
              <w:rPr>
                <w:rFonts w:hint="eastAsia" w:ascii="仿宋_GB2312" w:hAnsi="Arial" w:eastAsia="仿宋_GB2312" w:cs="仿宋_GB2312"/>
                <w:kern w:val="0"/>
                <w:sz w:val="24"/>
                <w:szCs w:val="24"/>
              </w:rPr>
              <w:t>显示器：分辨率</w:t>
            </w:r>
            <w:r>
              <w:rPr>
                <w:rFonts w:ascii="仿宋_GB2312" w:hAnsi="Arial" w:eastAsia="仿宋_GB2312" w:cs="仿宋_GB2312"/>
                <w:kern w:val="0"/>
                <w:sz w:val="24"/>
                <w:szCs w:val="24"/>
              </w:rPr>
              <w:t>1440*900</w:t>
            </w:r>
            <w:r>
              <w:rPr>
                <w:rFonts w:hint="eastAsia" w:ascii="仿宋_GB2312" w:hAnsi="Arial" w:eastAsia="仿宋_GB2312" w:cs="仿宋_GB2312"/>
                <w:kern w:val="0"/>
                <w:sz w:val="24"/>
                <w:szCs w:val="24"/>
              </w:rPr>
              <w:t>及以上</w:t>
            </w:r>
            <w:r>
              <w:rPr>
                <w:rFonts w:ascii="仿宋_GB2312" w:hAnsi="Arial" w:eastAsia="仿宋_GB2312" w:cs="Times New Roman"/>
                <w:kern w:val="0"/>
                <w:sz w:val="24"/>
                <w:szCs w:val="24"/>
              </w:rPr>
              <w:t> </w:t>
            </w:r>
            <w:r>
              <w:rPr>
                <w:rFonts w:ascii="仿宋_GB2312" w:hAnsi="Arial" w:eastAsia="仿宋_GB2312" w:cs="Times New Roman"/>
                <w:kern w:val="0"/>
                <w:sz w:val="24"/>
                <w:szCs w:val="24"/>
              </w:rPr>
              <w:br w:type="textWrapping"/>
            </w:r>
            <w:r>
              <w:rPr>
                <w:rFonts w:hint="eastAsia" w:ascii="仿宋_GB2312" w:hAnsi="Arial" w:eastAsia="仿宋_GB2312" w:cs="仿宋_GB2312"/>
                <w:kern w:val="0"/>
                <w:sz w:val="24"/>
                <w:szCs w:val="24"/>
              </w:rPr>
              <w:t>参考型号：</w:t>
            </w:r>
            <w:r>
              <w:rPr>
                <w:rFonts w:ascii="仿宋_GB2312" w:hAnsi="Arial" w:eastAsia="仿宋_GB2312" w:cs="仿宋_GB2312"/>
                <w:kern w:val="0"/>
                <w:sz w:val="24"/>
                <w:szCs w:val="24"/>
              </w:rPr>
              <w:t>IBM X3650 M4</w:t>
            </w:r>
          </w:p>
        </w:tc>
      </w:tr>
      <w:tr>
        <w:tblPrEx>
          <w:tblLayout w:type="fixed"/>
          <w:tblCellMar>
            <w:top w:w="0" w:type="dxa"/>
            <w:left w:w="108" w:type="dxa"/>
            <w:bottom w:w="0" w:type="dxa"/>
            <w:right w:w="108" w:type="dxa"/>
          </w:tblCellMar>
        </w:tblPrEx>
        <w:trPr>
          <w:trHeight w:val="480" w:hRule="atLeast"/>
          <w:jc w:val="center"/>
        </w:trPr>
        <w:tc>
          <w:tcPr>
            <w:tcW w:w="927" w:type="dxa"/>
            <w:tcBorders>
              <w:top w:val="nil"/>
              <w:left w:val="single" w:color="000000" w:sz="8" w:space="0"/>
              <w:bottom w:val="single" w:color="000000" w:sz="8" w:space="0"/>
              <w:right w:val="single" w:color="000000" w:sz="8" w:space="0"/>
            </w:tcBorders>
            <w:vAlign w:val="center"/>
          </w:tcPr>
          <w:p>
            <w:pPr>
              <w:widowControl/>
              <w:jc w:val="center"/>
              <w:rPr>
                <w:rFonts w:ascii="仿宋_GB2312" w:hAnsi="Arial" w:eastAsia="仿宋_GB2312" w:cs="Times New Roman"/>
                <w:kern w:val="0"/>
                <w:sz w:val="24"/>
                <w:szCs w:val="24"/>
              </w:rPr>
            </w:pPr>
            <w:r>
              <w:rPr>
                <w:rFonts w:ascii="仿宋_GB2312" w:hAnsi="Arial" w:eastAsia="仿宋_GB2312" w:cs="仿宋_GB2312"/>
                <w:kern w:val="0"/>
                <w:sz w:val="24"/>
                <w:szCs w:val="24"/>
              </w:rPr>
              <w:t>3</w:t>
            </w:r>
          </w:p>
        </w:tc>
        <w:tc>
          <w:tcPr>
            <w:tcW w:w="1275" w:type="dxa"/>
            <w:tcBorders>
              <w:top w:val="nil"/>
              <w:left w:val="nil"/>
              <w:bottom w:val="single" w:color="000000" w:sz="8" w:space="0"/>
              <w:right w:val="single" w:color="000000" w:sz="8" w:space="0"/>
            </w:tcBorders>
            <w:vAlign w:val="center"/>
          </w:tcPr>
          <w:p>
            <w:pPr>
              <w:widowControl/>
              <w:jc w:val="left"/>
              <w:rPr>
                <w:rFonts w:ascii="仿宋_GB2312" w:hAnsi="Arial" w:eastAsia="仿宋_GB2312" w:cs="Times New Roman"/>
                <w:kern w:val="0"/>
                <w:sz w:val="24"/>
                <w:szCs w:val="24"/>
              </w:rPr>
            </w:pPr>
            <w:r>
              <w:rPr>
                <w:rFonts w:hint="eastAsia" w:ascii="仿宋_GB2312" w:hAnsi="Arial" w:eastAsia="仿宋_GB2312" w:cs="仿宋_GB2312"/>
                <w:kern w:val="0"/>
                <w:sz w:val="24"/>
                <w:szCs w:val="24"/>
              </w:rPr>
              <w:t>网络环境</w:t>
            </w:r>
          </w:p>
        </w:tc>
        <w:tc>
          <w:tcPr>
            <w:tcW w:w="4936" w:type="dxa"/>
            <w:tcBorders>
              <w:top w:val="nil"/>
              <w:left w:val="nil"/>
              <w:bottom w:val="single" w:color="000000" w:sz="8" w:space="0"/>
              <w:right w:val="single" w:color="000000" w:sz="8" w:space="0"/>
            </w:tcBorders>
            <w:vAlign w:val="center"/>
          </w:tcPr>
          <w:p>
            <w:pPr>
              <w:widowControl/>
              <w:jc w:val="left"/>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局域网</w:t>
            </w:r>
          </w:p>
        </w:tc>
      </w:tr>
    </w:tbl>
    <w:p>
      <w:pPr>
        <w:snapToGrid w:val="0"/>
        <w:spacing w:line="560" w:lineRule="exact"/>
        <w:ind w:firstLine="551" w:firstLineChars="196"/>
        <w:jc w:val="left"/>
        <w:outlineLvl w:val="0"/>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十一、成绩评定</w:t>
      </w:r>
    </w:p>
    <w:p>
      <w:pPr>
        <w:pStyle w:val="73"/>
      </w:pPr>
      <w:r>
        <w:rPr>
          <w:rFonts w:hint="eastAsia"/>
        </w:rPr>
        <w:t>（一）评分方法</w:t>
      </w:r>
    </w:p>
    <w:p>
      <w:pPr>
        <w:pStyle w:val="73"/>
      </w:pPr>
      <w:r>
        <w:rPr>
          <w:rFonts w:hint="eastAsia"/>
        </w:rPr>
        <w:t>1.组织与分工</w:t>
      </w:r>
    </w:p>
    <w:p>
      <w:pPr>
        <w:pStyle w:val="73"/>
      </w:pPr>
      <w:r>
        <w:rPr>
          <w:rFonts w:hint="eastAsia"/>
        </w:rPr>
        <w:t>（1）参与大赛赛项成绩管理的组织机构包括裁判组、监督组和仲裁组，受赛项执委会领导。</w:t>
      </w:r>
    </w:p>
    <w:p>
      <w:pPr>
        <w:pStyle w:val="73"/>
      </w:pPr>
      <w:r>
        <w:rPr>
          <w:rFonts w:hint="eastAsia"/>
        </w:rPr>
        <w:t>（2）裁判组实行“裁判长负责制”，设裁判长1名；加密裁判2名，分别负责一次加密与二次加密，加密裁判不参与评分；现场裁判8名；评分裁判9名，共计20人。</w:t>
      </w:r>
    </w:p>
    <w:p>
      <w:pPr>
        <w:pStyle w:val="73"/>
      </w:pPr>
      <w:r>
        <w:rPr>
          <w:rFonts w:hint="eastAsia"/>
        </w:rPr>
        <w:t>（3）检录工作人员负责对参赛队伍（选手）进行点名登记、身份核对等工作；加密裁判负责组织参赛队伍（选手）抽签，对参赛队信息、抽签代码等进行加密、解密工作；现场裁判按规定做好赛场记录，维护赛场纪律；评分裁判负责对参赛队伍的比赛结果按赛项评分标准进行评定。</w:t>
      </w:r>
    </w:p>
    <w:p>
      <w:pPr>
        <w:pStyle w:val="73"/>
      </w:pPr>
      <w:r>
        <w:rPr>
          <w:rFonts w:hint="eastAsia"/>
        </w:rPr>
        <w:t>（4）监督组对裁判组的工作进行全程监督，并对竞赛成绩抽检复核。</w:t>
      </w:r>
    </w:p>
    <w:p>
      <w:pPr>
        <w:pStyle w:val="73"/>
      </w:pPr>
      <w:r>
        <w:rPr>
          <w:rFonts w:hint="eastAsia"/>
        </w:rPr>
        <w:t>（5）仲裁组负责接受由参赛队领队提出的对竞赛过程的申诉，组织复议并及时反馈复议结果。</w:t>
      </w:r>
    </w:p>
    <w:p>
      <w:pPr>
        <w:pStyle w:val="73"/>
      </w:pPr>
      <w:r>
        <w:rPr>
          <w:rFonts w:hint="eastAsia"/>
        </w:rPr>
        <w:t>2.成绩评定方法</w:t>
      </w:r>
    </w:p>
    <w:p>
      <w:pPr>
        <w:pStyle w:val="73"/>
      </w:pPr>
      <w:r>
        <w:rPr>
          <w:rFonts w:hint="eastAsia"/>
        </w:rPr>
        <w:t>（1）结果评分</w:t>
      </w:r>
    </w:p>
    <w:p>
      <w:pPr>
        <w:pStyle w:val="73"/>
      </w:pPr>
      <w:r>
        <w:rPr>
          <w:rFonts w:hint="eastAsia"/>
        </w:rPr>
        <w:t>根据竞赛考核目标、内容对参赛选手在竞赛过程中的最终成果做出评价，本赛项的评分方法为机考评分与结果评分相结合，对各参赛队在竞赛系统中提交的竞赛结果以及现场提交的答题纸，依据赛项评价标准进行评价评分。当竞赛系统导出的答案与答题纸不一致时，以答题纸结果为准。 </w:t>
      </w:r>
    </w:p>
    <w:p>
      <w:pPr>
        <w:pStyle w:val="73"/>
      </w:pPr>
      <w:r>
        <w:rPr>
          <w:rFonts w:hint="eastAsia"/>
        </w:rPr>
        <w:t>（2）抽检复核</w:t>
      </w:r>
    </w:p>
    <w:p>
      <w:pPr>
        <w:pStyle w:val="73"/>
      </w:pPr>
      <w:r>
        <w:rPr>
          <w:rFonts w:hint="eastAsia"/>
        </w:rPr>
        <w:t>为保障成绩评判的准确性，监督组对赛项总成绩排名前30%的所有参赛队伍（选手）的成绩进行复核；对其余成绩进行抽检复核，抽检覆盖率15%。</w:t>
      </w:r>
    </w:p>
    <w:p>
      <w:pPr>
        <w:pStyle w:val="73"/>
      </w:pPr>
      <w:r>
        <w:rPr>
          <w:rFonts w:hint="eastAsia"/>
        </w:rPr>
        <w:t>监督组需将复检中发现的错误以书面方式立刻告知裁判长，由裁判长更正成绩并签字确认。</w:t>
      </w:r>
    </w:p>
    <w:p>
      <w:pPr>
        <w:pStyle w:val="73"/>
      </w:pPr>
      <w:r>
        <w:rPr>
          <w:rFonts w:hint="eastAsia"/>
        </w:rPr>
        <w:t>若复核、抽检错误率超过5%时，裁判组将对所有成绩进行复核。</w:t>
      </w:r>
    </w:p>
    <w:p>
      <w:pPr>
        <w:pStyle w:val="73"/>
      </w:pPr>
      <w:r>
        <w:rPr>
          <w:rFonts w:hint="eastAsia"/>
        </w:rPr>
        <w:t>（3）成绩解密</w:t>
      </w:r>
    </w:p>
    <w:p>
      <w:pPr>
        <w:pStyle w:val="73"/>
      </w:pPr>
      <w:r>
        <w:rPr>
          <w:rFonts w:hint="eastAsia"/>
        </w:rPr>
        <w:t>裁判长正式提交赛位评分结果并复核无误后，加密裁判在监督人员监督下对加密结果进行逐层解密。</w:t>
      </w:r>
    </w:p>
    <w:p>
      <w:pPr>
        <w:pStyle w:val="73"/>
      </w:pPr>
      <w:r>
        <w:rPr>
          <w:rFonts w:hint="eastAsia"/>
        </w:rPr>
        <w:t>（4）成绩公布</w:t>
      </w:r>
    </w:p>
    <w:p>
      <w:pPr>
        <w:pStyle w:val="73"/>
      </w:pPr>
      <w:r>
        <w:rPr>
          <w:rFonts w:hint="eastAsia"/>
        </w:rPr>
        <w:t>赛项成绩解密后，经裁判长、监督组签字后，在赛项执委会指定的地点，以纸质形式向全体参赛队进行公布。成绩公布2小时无异议后，将赛项总成绩的最终结果录入赛务管理系统，经裁判长、监督组长和仲裁长在系统导出成绩单上签字后，在闭赛式上宣布并颁发证书。</w:t>
      </w:r>
    </w:p>
    <w:p>
      <w:pPr>
        <w:numPr>
          <w:ilvl w:val="0"/>
          <w:numId w:val="7"/>
        </w:num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28"/>
        </w:rPr>
        <w:t>成</w:t>
      </w:r>
      <w:r>
        <w:rPr>
          <w:rFonts w:hint="eastAsia" w:ascii="仿宋_GB2312" w:hAnsi="Arial Narrow" w:eastAsia="仿宋_GB2312" w:cs="Arial"/>
          <w:sz w:val="28"/>
          <w:szCs w:val="30"/>
        </w:rPr>
        <w:t>绩报送</w:t>
      </w:r>
    </w:p>
    <w:p>
      <w:pPr>
        <w:numPr>
          <w:ilvl w:val="1"/>
          <w:numId w:val="7"/>
        </w:numPr>
        <w:snapToGrid w:val="0"/>
        <w:spacing w:line="560" w:lineRule="exact"/>
        <w:ind w:left="420"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录入，由承办单位信息员将赛项总成绩的最终结果录入赛务管理系统。</w:t>
      </w:r>
    </w:p>
    <w:p>
      <w:pPr>
        <w:numPr>
          <w:ilvl w:val="1"/>
          <w:numId w:val="7"/>
        </w:numPr>
        <w:snapToGrid w:val="0"/>
        <w:spacing w:line="560" w:lineRule="exact"/>
        <w:ind w:left="420"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审核，承办单位信息员对成绩数据审核后，将赛务系统中录入的成绩导出打印，经赛项裁判长审核无误后签字。</w:t>
      </w:r>
    </w:p>
    <w:p>
      <w:pPr>
        <w:numPr>
          <w:ilvl w:val="1"/>
          <w:numId w:val="7"/>
        </w:numPr>
        <w:snapToGrid w:val="0"/>
        <w:spacing w:line="560" w:lineRule="exact"/>
        <w:ind w:left="420"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报送，由承办单位信息员将裁判长确认的电子版赛项成绩信息上传赛务管理系统，同时将裁判长签字的纸质打印成绩单报送大赛执委会办公室。</w:t>
      </w:r>
    </w:p>
    <w:p>
      <w:pPr>
        <w:pStyle w:val="73"/>
        <w:rPr>
          <w:rFonts w:ascii="宋体" w:eastAsia="宋体" w:cs="Times New Roman"/>
          <w:sz w:val="22"/>
          <w:szCs w:val="22"/>
        </w:rPr>
      </w:pPr>
      <w:r>
        <w:rPr>
          <w:rFonts w:hint="eastAsia"/>
        </w:rPr>
        <w:t>（二）评分标准</w:t>
      </w:r>
    </w:p>
    <w:p>
      <w:pPr>
        <w:pStyle w:val="73"/>
      </w:pPr>
      <w:r>
        <w:rPr>
          <w:rFonts w:hint="eastAsia"/>
        </w:rPr>
        <w:t>评分标准由专家组制定，综合考察参赛选手对无线接入网、承载网及核心网的组网规划、业务开通、综合联调、网络优化与故障排查的能力。</w:t>
      </w:r>
    </w:p>
    <w:p>
      <w:pPr>
        <w:pStyle w:val="73"/>
        <w:rPr>
          <w:rFonts w:cs="Times New Roman"/>
        </w:rPr>
      </w:pPr>
      <w:r>
        <w:rPr>
          <w:rFonts w:hint="eastAsia"/>
        </w:rPr>
        <w:t>比赛总成绩满分100分。各部分分别计算得分，计入团队总分，按照得分从高到低排定名次，错误不传递。</w:t>
      </w:r>
    </w:p>
    <w:p>
      <w:pPr>
        <w:spacing w:line="320" w:lineRule="exact"/>
        <w:jc w:val="center"/>
        <w:rPr>
          <w:rFonts w:ascii="仿宋_GB2312" w:hAnsi="仿宋" w:eastAsia="仿宋_GB2312" w:cs="仿宋_GB2312"/>
          <w:b/>
          <w:kern w:val="0"/>
          <w:sz w:val="24"/>
          <w:szCs w:val="24"/>
        </w:rPr>
      </w:pPr>
      <w:r>
        <w:rPr>
          <w:rFonts w:hint="eastAsia" w:ascii="仿宋_GB2312" w:hAnsi="仿宋" w:eastAsia="仿宋_GB2312" w:cs="仿宋_GB2312"/>
          <w:b/>
          <w:kern w:val="0"/>
          <w:sz w:val="24"/>
          <w:szCs w:val="24"/>
        </w:rPr>
        <w:t>表4  赛项的评分标准</w:t>
      </w:r>
    </w:p>
    <w:tbl>
      <w:tblPr>
        <w:tblStyle w:val="16"/>
        <w:tblW w:w="9286" w:type="dxa"/>
        <w:jc w:val="center"/>
        <w:tblInd w:w="0" w:type="dxa"/>
        <w:tblLayout w:type="fixed"/>
        <w:tblCellMar>
          <w:top w:w="0" w:type="dxa"/>
          <w:left w:w="108" w:type="dxa"/>
          <w:bottom w:w="0" w:type="dxa"/>
          <w:right w:w="108" w:type="dxa"/>
        </w:tblCellMar>
      </w:tblPr>
      <w:tblGrid>
        <w:gridCol w:w="2013"/>
        <w:gridCol w:w="5830"/>
        <w:gridCol w:w="1443"/>
      </w:tblGrid>
      <w:tr>
        <w:tblPrEx>
          <w:tblLayout w:type="fixed"/>
          <w:tblCellMar>
            <w:top w:w="0" w:type="dxa"/>
            <w:left w:w="108" w:type="dxa"/>
            <w:bottom w:w="0" w:type="dxa"/>
            <w:right w:w="108" w:type="dxa"/>
          </w:tblCellMar>
        </w:tblPrEx>
        <w:trPr>
          <w:jc w:val="center"/>
        </w:trPr>
        <w:tc>
          <w:tcPr>
            <w:tcW w:w="2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b/>
                <w:sz w:val="24"/>
                <w:szCs w:val="24"/>
              </w:rPr>
            </w:pPr>
            <w:r>
              <w:rPr>
                <w:rFonts w:hint="eastAsia" w:asciiTheme="minorEastAsia" w:hAnsiTheme="minorEastAsia"/>
                <w:b/>
                <w:sz w:val="24"/>
                <w:szCs w:val="24"/>
              </w:rPr>
              <w:t>竞赛内容</w:t>
            </w: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b/>
                <w:sz w:val="24"/>
                <w:szCs w:val="24"/>
              </w:rPr>
            </w:pPr>
            <w:r>
              <w:rPr>
                <w:rFonts w:hint="eastAsia" w:asciiTheme="minorEastAsia" w:hAnsiTheme="minorEastAsia"/>
                <w:b/>
                <w:sz w:val="24"/>
                <w:szCs w:val="24"/>
              </w:rPr>
              <w:t>竞赛内容要点</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b/>
                <w:sz w:val="24"/>
                <w:szCs w:val="24"/>
              </w:rPr>
            </w:pPr>
            <w:r>
              <w:rPr>
                <w:rFonts w:hint="eastAsia" w:asciiTheme="minorEastAsia" w:hAnsiTheme="minorEastAsia"/>
                <w:b/>
                <w:sz w:val="24"/>
                <w:szCs w:val="24"/>
              </w:rPr>
              <w:t>分值比例</w:t>
            </w:r>
          </w:p>
        </w:tc>
      </w:tr>
      <w:tr>
        <w:tblPrEx>
          <w:tblLayout w:type="fixed"/>
          <w:tblCellMar>
            <w:top w:w="0" w:type="dxa"/>
            <w:left w:w="108" w:type="dxa"/>
            <w:bottom w:w="0" w:type="dxa"/>
            <w:right w:w="108" w:type="dxa"/>
          </w:tblCellMar>
        </w:tblPrEx>
        <w:trPr>
          <w:jc w:val="center"/>
        </w:trPr>
        <w:tc>
          <w:tcPr>
            <w:tcW w:w="2013" w:type="dxa"/>
            <w:vMerge w:val="restart"/>
            <w:tcBorders>
              <w:top w:val="single" w:color="auto" w:sz="4" w:space="0"/>
              <w:left w:val="single" w:color="auto" w:sz="4" w:space="0"/>
              <w:right w:val="single" w:color="auto" w:sz="4" w:space="0"/>
            </w:tcBorders>
            <w:vAlign w:val="center"/>
          </w:tcPr>
          <w:p>
            <w:pPr>
              <w:spacing w:line="560" w:lineRule="exact"/>
              <w:rPr>
                <w:rFonts w:asciiTheme="minorEastAsia" w:hAnsiTheme="minorEastAsia"/>
                <w:sz w:val="24"/>
                <w:szCs w:val="24"/>
              </w:rPr>
            </w:pPr>
            <w:r>
              <w:rPr>
                <w:rFonts w:hint="eastAsia" w:asciiTheme="minorEastAsia" w:hAnsiTheme="minorEastAsia"/>
                <w:sz w:val="24"/>
                <w:szCs w:val="24"/>
              </w:rPr>
              <w:t>4G</w:t>
            </w:r>
            <w:r>
              <w:rPr>
                <w:rFonts w:hint="eastAsia" w:ascii="宋体" w:hAnsi="宋体"/>
                <w:sz w:val="24"/>
                <w:szCs w:val="24"/>
              </w:rPr>
              <w:t>&amp;Pre5G</w:t>
            </w:r>
            <w:r>
              <w:rPr>
                <w:rFonts w:asciiTheme="minorEastAsia" w:hAnsiTheme="minorEastAsia"/>
                <w:sz w:val="24"/>
                <w:szCs w:val="24"/>
              </w:rPr>
              <w:t>网络配置与优化</w:t>
            </w: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asciiTheme="minorEastAsia" w:hAnsiTheme="minorEastAsia"/>
                <w:sz w:val="24"/>
                <w:szCs w:val="24"/>
              </w:rPr>
              <w:t>LTE</w:t>
            </w:r>
            <w:r>
              <w:rPr>
                <w:rFonts w:hint="eastAsia" w:ascii="宋体" w:hAnsi="宋体"/>
                <w:sz w:val="24"/>
                <w:szCs w:val="24"/>
              </w:rPr>
              <w:t>&amp;Pre5G</w:t>
            </w:r>
            <w:r>
              <w:rPr>
                <w:rFonts w:asciiTheme="minorEastAsia" w:hAnsiTheme="minorEastAsia"/>
                <w:sz w:val="24"/>
                <w:szCs w:val="24"/>
              </w:rPr>
              <w:t>接入网、承载网、核心网容量计算</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3</w:t>
            </w:r>
          </w:p>
        </w:tc>
      </w:tr>
      <w:tr>
        <w:tblPrEx>
          <w:tblLayout w:type="fixed"/>
          <w:tblCellMar>
            <w:top w:w="0" w:type="dxa"/>
            <w:left w:w="108" w:type="dxa"/>
            <w:bottom w:w="0" w:type="dxa"/>
            <w:right w:w="108" w:type="dxa"/>
          </w:tblCellMar>
        </w:tblPrEx>
        <w:trPr>
          <w:jc w:val="center"/>
        </w:trPr>
        <w:tc>
          <w:tcPr>
            <w:tcW w:w="2013" w:type="dxa"/>
            <w:vMerge w:val="continue"/>
            <w:tcBorders>
              <w:left w:val="single" w:color="auto" w:sz="4" w:space="0"/>
              <w:right w:val="single" w:color="auto" w:sz="4" w:space="0"/>
            </w:tcBorders>
            <w:vAlign w:val="center"/>
          </w:tcPr>
          <w:p>
            <w:pPr>
              <w:spacing w:line="560" w:lineRule="exact"/>
              <w:rPr>
                <w:rFonts w:asciiTheme="minorEastAsia" w:hAnsiTheme="minorEastAsia"/>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asciiTheme="minorEastAsia" w:hAnsiTheme="minorEastAsia"/>
                <w:sz w:val="24"/>
                <w:szCs w:val="24"/>
              </w:rPr>
              <w:t>LTE</w:t>
            </w:r>
            <w:r>
              <w:rPr>
                <w:rFonts w:hint="eastAsia" w:ascii="宋体" w:hAnsi="宋体"/>
                <w:sz w:val="24"/>
                <w:szCs w:val="24"/>
              </w:rPr>
              <w:t>&amp;Pre5G</w:t>
            </w:r>
            <w:r>
              <w:rPr>
                <w:rFonts w:asciiTheme="minorEastAsia" w:hAnsiTheme="minorEastAsia"/>
                <w:sz w:val="24"/>
                <w:szCs w:val="24"/>
              </w:rPr>
              <w:t>设备配置</w:t>
            </w:r>
            <w:r>
              <w:rPr>
                <w:rFonts w:hint="eastAsia" w:asciiTheme="minorEastAsia" w:hAnsiTheme="minorEastAsia"/>
                <w:sz w:val="24"/>
                <w:szCs w:val="24"/>
              </w:rPr>
              <w:t>与连线</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5</w:t>
            </w:r>
          </w:p>
        </w:tc>
      </w:tr>
      <w:tr>
        <w:tblPrEx>
          <w:tblLayout w:type="fixed"/>
          <w:tblCellMar>
            <w:top w:w="0" w:type="dxa"/>
            <w:left w:w="108" w:type="dxa"/>
            <w:bottom w:w="0" w:type="dxa"/>
            <w:right w:w="108" w:type="dxa"/>
          </w:tblCellMar>
        </w:tblPrEx>
        <w:trPr>
          <w:jc w:val="center"/>
        </w:trPr>
        <w:tc>
          <w:tcPr>
            <w:tcW w:w="2013" w:type="dxa"/>
            <w:vMerge w:val="continue"/>
            <w:tcBorders>
              <w:left w:val="single" w:color="auto" w:sz="4" w:space="0"/>
              <w:right w:val="single" w:color="auto" w:sz="4" w:space="0"/>
            </w:tcBorders>
            <w:vAlign w:val="center"/>
          </w:tcPr>
          <w:p>
            <w:pPr>
              <w:spacing w:line="560" w:lineRule="exact"/>
              <w:rPr>
                <w:rFonts w:asciiTheme="minorEastAsia" w:hAnsiTheme="minorEastAsia"/>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asciiTheme="minorEastAsia" w:hAnsiTheme="minorEastAsia"/>
                <w:sz w:val="24"/>
                <w:szCs w:val="24"/>
              </w:rPr>
              <w:t>LTE</w:t>
            </w:r>
            <w:r>
              <w:rPr>
                <w:rFonts w:hint="eastAsia" w:ascii="宋体" w:hAnsi="宋体"/>
                <w:sz w:val="24"/>
                <w:szCs w:val="24"/>
              </w:rPr>
              <w:t>&amp;Pre5G</w:t>
            </w:r>
            <w:r>
              <w:rPr>
                <w:rFonts w:asciiTheme="minorEastAsia" w:hAnsiTheme="minorEastAsia"/>
                <w:sz w:val="24"/>
                <w:szCs w:val="24"/>
              </w:rPr>
              <w:t>数据配置</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5</w:t>
            </w:r>
          </w:p>
        </w:tc>
      </w:tr>
      <w:tr>
        <w:tblPrEx>
          <w:tblLayout w:type="fixed"/>
          <w:tblCellMar>
            <w:top w:w="0" w:type="dxa"/>
            <w:left w:w="108" w:type="dxa"/>
            <w:bottom w:w="0" w:type="dxa"/>
            <w:right w:w="108" w:type="dxa"/>
          </w:tblCellMar>
        </w:tblPrEx>
        <w:trPr>
          <w:jc w:val="center"/>
        </w:trPr>
        <w:tc>
          <w:tcPr>
            <w:tcW w:w="2013" w:type="dxa"/>
            <w:vMerge w:val="continue"/>
            <w:tcBorders>
              <w:left w:val="single" w:color="auto" w:sz="4" w:space="0"/>
              <w:right w:val="single" w:color="auto" w:sz="4" w:space="0"/>
            </w:tcBorders>
            <w:vAlign w:val="center"/>
          </w:tcPr>
          <w:p>
            <w:pPr>
              <w:spacing w:line="560" w:lineRule="exact"/>
              <w:rPr>
                <w:rFonts w:asciiTheme="minorEastAsia" w:hAnsiTheme="minorEastAsia"/>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asciiTheme="minorEastAsia" w:hAnsiTheme="minorEastAsia"/>
                <w:sz w:val="24"/>
                <w:szCs w:val="24"/>
              </w:rPr>
              <w:t>LTE</w:t>
            </w:r>
            <w:r>
              <w:rPr>
                <w:rFonts w:hint="eastAsia" w:ascii="宋体" w:hAnsi="宋体"/>
                <w:sz w:val="24"/>
                <w:szCs w:val="24"/>
              </w:rPr>
              <w:t>&amp;Pre5G</w:t>
            </w:r>
            <w:r>
              <w:rPr>
                <w:rFonts w:asciiTheme="minorEastAsia" w:hAnsiTheme="minorEastAsia"/>
                <w:sz w:val="24"/>
                <w:szCs w:val="24"/>
              </w:rPr>
              <w:t>业务功能测试</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5</w:t>
            </w:r>
          </w:p>
        </w:tc>
      </w:tr>
      <w:tr>
        <w:tblPrEx>
          <w:tblLayout w:type="fixed"/>
          <w:tblCellMar>
            <w:top w:w="0" w:type="dxa"/>
            <w:left w:w="108" w:type="dxa"/>
            <w:bottom w:w="0" w:type="dxa"/>
            <w:right w:w="108" w:type="dxa"/>
          </w:tblCellMar>
        </w:tblPrEx>
        <w:trPr>
          <w:trHeight w:val="563" w:hRule="atLeast"/>
          <w:jc w:val="center"/>
        </w:trPr>
        <w:tc>
          <w:tcPr>
            <w:tcW w:w="2013"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Theme="minorEastAsia" w:hAnsiTheme="minorEastAsia"/>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asciiTheme="minorEastAsia" w:hAnsiTheme="minorEastAsia"/>
                <w:sz w:val="24"/>
                <w:szCs w:val="24"/>
              </w:rPr>
              <w:t>手机业务速率优化</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2</w:t>
            </w:r>
          </w:p>
        </w:tc>
      </w:tr>
      <w:tr>
        <w:tblPrEx>
          <w:tblLayout w:type="fixed"/>
          <w:tblCellMar>
            <w:top w:w="0" w:type="dxa"/>
            <w:left w:w="108" w:type="dxa"/>
            <w:bottom w:w="0" w:type="dxa"/>
            <w:right w:w="108" w:type="dxa"/>
          </w:tblCellMar>
        </w:tblPrEx>
        <w:trPr>
          <w:jc w:val="center"/>
        </w:trPr>
        <w:tc>
          <w:tcPr>
            <w:tcW w:w="201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4G</w:t>
            </w:r>
            <w:r>
              <w:rPr>
                <w:rFonts w:hint="eastAsia" w:ascii="宋体" w:hAnsi="宋体"/>
                <w:sz w:val="24"/>
                <w:szCs w:val="24"/>
              </w:rPr>
              <w:t>&amp;Pre5G</w:t>
            </w:r>
            <w:r>
              <w:rPr>
                <w:rFonts w:asciiTheme="minorEastAsia" w:hAnsiTheme="minorEastAsia"/>
                <w:sz w:val="24"/>
                <w:szCs w:val="24"/>
              </w:rPr>
              <w:t>网络故障排除</w:t>
            </w: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asciiTheme="minorEastAsia" w:hAnsiTheme="minorEastAsia"/>
                <w:sz w:val="24"/>
                <w:szCs w:val="24"/>
              </w:rPr>
              <w:t>无线接入网故障排除</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w:t>
            </w:r>
          </w:p>
        </w:tc>
      </w:tr>
      <w:tr>
        <w:tblPrEx>
          <w:tblLayout w:type="fixed"/>
          <w:tblCellMar>
            <w:top w:w="0" w:type="dxa"/>
            <w:left w:w="108" w:type="dxa"/>
            <w:bottom w:w="0" w:type="dxa"/>
            <w:right w:w="108" w:type="dxa"/>
          </w:tblCellMar>
        </w:tblPrEx>
        <w:trPr>
          <w:jc w:val="center"/>
        </w:trPr>
        <w:tc>
          <w:tcPr>
            <w:tcW w:w="2013"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Theme="minorEastAsia" w:hAnsiTheme="minorEastAsia"/>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asciiTheme="minorEastAsia" w:hAnsiTheme="minorEastAsia"/>
                <w:sz w:val="24"/>
                <w:szCs w:val="24"/>
              </w:rPr>
              <w:t>数据通信网络故障排除</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5</w:t>
            </w:r>
          </w:p>
        </w:tc>
      </w:tr>
      <w:tr>
        <w:tblPrEx>
          <w:tblLayout w:type="fixed"/>
          <w:tblCellMar>
            <w:top w:w="0" w:type="dxa"/>
            <w:left w:w="108" w:type="dxa"/>
            <w:bottom w:w="0" w:type="dxa"/>
            <w:right w:w="108" w:type="dxa"/>
          </w:tblCellMar>
        </w:tblPrEx>
        <w:trPr>
          <w:jc w:val="center"/>
        </w:trPr>
        <w:tc>
          <w:tcPr>
            <w:tcW w:w="2013"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Theme="minorEastAsia" w:hAnsiTheme="minorEastAsia"/>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asciiTheme="minorEastAsia" w:hAnsiTheme="minorEastAsia"/>
                <w:sz w:val="24"/>
                <w:szCs w:val="24"/>
              </w:rPr>
              <w:t>传输网故障排除</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asciiTheme="minorEastAsia" w:hAnsiTheme="minorEastAsia"/>
                <w:sz w:val="24"/>
                <w:szCs w:val="24"/>
              </w:rPr>
              <w:t>5</w:t>
            </w:r>
          </w:p>
        </w:tc>
      </w:tr>
      <w:tr>
        <w:tblPrEx>
          <w:tblLayout w:type="fixed"/>
          <w:tblCellMar>
            <w:top w:w="0" w:type="dxa"/>
            <w:left w:w="108" w:type="dxa"/>
            <w:bottom w:w="0" w:type="dxa"/>
            <w:right w:w="108" w:type="dxa"/>
          </w:tblCellMar>
        </w:tblPrEx>
        <w:trPr>
          <w:jc w:val="center"/>
        </w:trPr>
        <w:tc>
          <w:tcPr>
            <w:tcW w:w="2013"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Theme="minorEastAsia" w:hAnsiTheme="minorEastAsia"/>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asciiTheme="minorEastAsia" w:hAnsiTheme="minorEastAsia"/>
                <w:sz w:val="24"/>
                <w:szCs w:val="24"/>
              </w:rPr>
              <w:t>核心网业务故障排除</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5</w:t>
            </w:r>
          </w:p>
        </w:tc>
      </w:tr>
      <w:tr>
        <w:tblPrEx>
          <w:tblLayout w:type="fixed"/>
          <w:tblCellMar>
            <w:top w:w="0" w:type="dxa"/>
            <w:left w:w="108" w:type="dxa"/>
            <w:bottom w:w="0" w:type="dxa"/>
            <w:right w:w="108" w:type="dxa"/>
          </w:tblCellMar>
        </w:tblPrEx>
        <w:trPr>
          <w:jc w:val="center"/>
        </w:trPr>
        <w:tc>
          <w:tcPr>
            <w:tcW w:w="2013"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Theme="minorEastAsia" w:hAnsiTheme="minorEastAsia"/>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asciiTheme="minorEastAsia" w:hAnsiTheme="minorEastAsia"/>
                <w:sz w:val="24"/>
                <w:szCs w:val="24"/>
              </w:rPr>
              <w:t>手机终端故障排除</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5</w:t>
            </w:r>
          </w:p>
        </w:tc>
      </w:tr>
      <w:tr>
        <w:tblPrEx>
          <w:tblLayout w:type="fixed"/>
          <w:tblCellMar>
            <w:top w:w="0" w:type="dxa"/>
            <w:left w:w="108" w:type="dxa"/>
            <w:bottom w:w="0" w:type="dxa"/>
            <w:right w:w="108" w:type="dxa"/>
          </w:tblCellMar>
        </w:tblPrEx>
        <w:trPr>
          <w:jc w:val="center"/>
        </w:trPr>
        <w:tc>
          <w:tcPr>
            <w:tcW w:w="2013" w:type="dxa"/>
            <w:vMerge w:val="restart"/>
            <w:tcBorders>
              <w:top w:val="single" w:color="auto" w:sz="4" w:space="0"/>
              <w:left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宋体" w:hAnsi="宋体"/>
                <w:sz w:val="24"/>
                <w:szCs w:val="24"/>
              </w:rPr>
              <w:t>NB-IoT网络规划与业务调试</w:t>
            </w: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物理信道链路预算</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5</w:t>
            </w:r>
          </w:p>
        </w:tc>
      </w:tr>
      <w:tr>
        <w:tblPrEx>
          <w:tblLayout w:type="fixed"/>
          <w:tblCellMar>
            <w:top w:w="0" w:type="dxa"/>
            <w:left w:w="108" w:type="dxa"/>
            <w:bottom w:w="0" w:type="dxa"/>
            <w:right w:w="108" w:type="dxa"/>
          </w:tblCellMar>
        </w:tblPrEx>
        <w:trPr>
          <w:jc w:val="center"/>
        </w:trPr>
        <w:tc>
          <w:tcPr>
            <w:tcW w:w="2013" w:type="dxa"/>
            <w:vMerge w:val="continue"/>
            <w:tcBorders>
              <w:left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物理信道容量计算</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5</w:t>
            </w:r>
          </w:p>
        </w:tc>
      </w:tr>
      <w:tr>
        <w:tblPrEx>
          <w:tblLayout w:type="fixed"/>
          <w:tblCellMar>
            <w:top w:w="0" w:type="dxa"/>
            <w:left w:w="108" w:type="dxa"/>
            <w:bottom w:w="0" w:type="dxa"/>
            <w:right w:w="108" w:type="dxa"/>
          </w:tblCellMar>
        </w:tblPrEx>
        <w:trPr>
          <w:jc w:val="center"/>
        </w:trPr>
        <w:tc>
          <w:tcPr>
            <w:tcW w:w="2013" w:type="dxa"/>
            <w:vMerge w:val="continue"/>
            <w:tcBorders>
              <w:left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网络规划方案</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5</w:t>
            </w:r>
          </w:p>
        </w:tc>
      </w:tr>
      <w:tr>
        <w:tblPrEx>
          <w:tblLayout w:type="fixed"/>
          <w:tblCellMar>
            <w:top w:w="0" w:type="dxa"/>
            <w:left w:w="108" w:type="dxa"/>
            <w:bottom w:w="0" w:type="dxa"/>
            <w:right w:w="108" w:type="dxa"/>
          </w:tblCellMar>
        </w:tblPrEx>
        <w:trPr>
          <w:jc w:val="center"/>
        </w:trPr>
        <w:tc>
          <w:tcPr>
            <w:tcW w:w="2013" w:type="dxa"/>
            <w:vMerge w:val="continue"/>
            <w:tcBorders>
              <w:left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NB-IoT数据配置</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5</w:t>
            </w:r>
          </w:p>
        </w:tc>
      </w:tr>
      <w:tr>
        <w:tblPrEx>
          <w:tblLayout w:type="fixed"/>
          <w:tblCellMar>
            <w:top w:w="0" w:type="dxa"/>
            <w:left w:w="108" w:type="dxa"/>
            <w:bottom w:w="0" w:type="dxa"/>
            <w:right w:w="108" w:type="dxa"/>
          </w:tblCellMar>
        </w:tblPrEx>
        <w:trPr>
          <w:jc w:val="center"/>
        </w:trPr>
        <w:tc>
          <w:tcPr>
            <w:tcW w:w="2013" w:type="dxa"/>
            <w:vMerge w:val="continue"/>
            <w:tcBorders>
              <w:left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在指定小区完成指定测试项目测试</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5</w:t>
            </w:r>
          </w:p>
        </w:tc>
      </w:tr>
      <w:tr>
        <w:tblPrEx>
          <w:tblLayout w:type="fixed"/>
          <w:tblCellMar>
            <w:top w:w="0" w:type="dxa"/>
            <w:left w:w="108" w:type="dxa"/>
            <w:bottom w:w="0" w:type="dxa"/>
            <w:right w:w="108" w:type="dxa"/>
          </w:tblCellMar>
        </w:tblPrEx>
        <w:trPr>
          <w:jc w:val="center"/>
        </w:trPr>
        <w:tc>
          <w:tcPr>
            <w:tcW w:w="2013" w:type="dxa"/>
            <w:vMerge w:val="continue"/>
            <w:tcBorders>
              <w:left w:val="single" w:color="auto" w:sz="4" w:space="0"/>
              <w:bottom w:val="single" w:color="auto" w:sz="4" w:space="0"/>
              <w:right w:val="single" w:color="auto" w:sz="4" w:space="0"/>
            </w:tcBorders>
            <w:vAlign w:val="center"/>
          </w:tcPr>
          <w:p>
            <w:pPr>
              <w:adjustRightInd w:val="0"/>
              <w:snapToGrid w:val="0"/>
              <w:spacing w:line="560" w:lineRule="exact"/>
              <w:jc w:val="center"/>
              <w:rPr>
                <w:rFonts w:ascii="宋体" w:hAnsi="宋体"/>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至少三类终端在不同小区成功完成任务下发</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5</w:t>
            </w:r>
          </w:p>
        </w:tc>
      </w:tr>
      <w:tr>
        <w:tblPrEx>
          <w:tblLayout w:type="fixed"/>
          <w:tblCellMar>
            <w:top w:w="0" w:type="dxa"/>
            <w:left w:w="108" w:type="dxa"/>
            <w:bottom w:w="0" w:type="dxa"/>
            <w:right w:w="108" w:type="dxa"/>
          </w:tblCellMar>
        </w:tblPrEx>
        <w:trPr>
          <w:jc w:val="center"/>
        </w:trPr>
        <w:tc>
          <w:tcPr>
            <w:tcW w:w="2013" w:type="dxa"/>
            <w:vMerge w:val="restart"/>
            <w:tcBorders>
              <w:top w:val="nil"/>
              <w:left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宋体" w:hAnsi="宋体"/>
                <w:sz w:val="24"/>
                <w:szCs w:val="24"/>
              </w:rPr>
              <w:t>NB-IoT网络故障排除</w:t>
            </w: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无线接入网故障排查</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9</w:t>
            </w:r>
          </w:p>
        </w:tc>
      </w:tr>
      <w:tr>
        <w:tblPrEx>
          <w:tblLayout w:type="fixed"/>
          <w:tblCellMar>
            <w:top w:w="0" w:type="dxa"/>
            <w:left w:w="108" w:type="dxa"/>
            <w:bottom w:w="0" w:type="dxa"/>
            <w:right w:w="108" w:type="dxa"/>
          </w:tblCellMar>
        </w:tblPrEx>
        <w:trPr>
          <w:jc w:val="center"/>
        </w:trPr>
        <w:tc>
          <w:tcPr>
            <w:tcW w:w="2013" w:type="dxa"/>
            <w:vMerge w:val="continue"/>
            <w:tcBorders>
              <w:left w:val="single" w:color="auto" w:sz="4" w:space="0"/>
              <w:right w:val="single" w:color="auto" w:sz="4" w:space="0"/>
            </w:tcBorders>
            <w:vAlign w:val="center"/>
          </w:tcPr>
          <w:p>
            <w:pPr>
              <w:adjustRightInd w:val="0"/>
              <w:snapToGrid w:val="0"/>
              <w:spacing w:line="560" w:lineRule="exact"/>
              <w:jc w:val="center"/>
              <w:rPr>
                <w:rFonts w:ascii="宋体" w:hAnsi="宋体"/>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核心网故障排查</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3</w:t>
            </w:r>
          </w:p>
        </w:tc>
      </w:tr>
      <w:tr>
        <w:tblPrEx>
          <w:tblLayout w:type="fixed"/>
          <w:tblCellMar>
            <w:top w:w="0" w:type="dxa"/>
            <w:left w:w="108" w:type="dxa"/>
            <w:bottom w:w="0" w:type="dxa"/>
            <w:right w:w="108" w:type="dxa"/>
          </w:tblCellMar>
        </w:tblPrEx>
        <w:trPr>
          <w:jc w:val="center"/>
        </w:trPr>
        <w:tc>
          <w:tcPr>
            <w:tcW w:w="2013" w:type="dxa"/>
            <w:vMerge w:val="continue"/>
            <w:tcBorders>
              <w:left w:val="single" w:color="auto" w:sz="4" w:space="0"/>
              <w:right w:val="single" w:color="auto" w:sz="4" w:space="0"/>
            </w:tcBorders>
            <w:vAlign w:val="center"/>
          </w:tcPr>
          <w:p>
            <w:pPr>
              <w:adjustRightInd w:val="0"/>
              <w:snapToGrid w:val="0"/>
              <w:spacing w:line="560" w:lineRule="exact"/>
              <w:jc w:val="center"/>
              <w:rPr>
                <w:rFonts w:ascii="宋体" w:hAnsi="宋体"/>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数据通信网故障排查</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3</w:t>
            </w:r>
          </w:p>
        </w:tc>
      </w:tr>
      <w:tr>
        <w:tblPrEx>
          <w:tblLayout w:type="fixed"/>
          <w:tblCellMar>
            <w:top w:w="0" w:type="dxa"/>
            <w:left w:w="108" w:type="dxa"/>
            <w:bottom w:w="0" w:type="dxa"/>
            <w:right w:w="108" w:type="dxa"/>
          </w:tblCellMar>
        </w:tblPrEx>
        <w:trPr>
          <w:jc w:val="center"/>
        </w:trPr>
        <w:tc>
          <w:tcPr>
            <w:tcW w:w="2013" w:type="dxa"/>
            <w:vMerge w:val="continue"/>
            <w:tcBorders>
              <w:left w:val="single" w:color="auto" w:sz="4" w:space="0"/>
              <w:right w:val="single" w:color="auto" w:sz="4" w:space="0"/>
            </w:tcBorders>
            <w:vAlign w:val="center"/>
          </w:tcPr>
          <w:p>
            <w:pPr>
              <w:adjustRightInd w:val="0"/>
              <w:snapToGrid w:val="0"/>
              <w:spacing w:line="560" w:lineRule="exact"/>
              <w:jc w:val="center"/>
              <w:rPr>
                <w:rFonts w:ascii="宋体" w:hAnsi="宋体"/>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传输网故障排查</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3</w:t>
            </w:r>
          </w:p>
        </w:tc>
      </w:tr>
      <w:tr>
        <w:tblPrEx>
          <w:tblLayout w:type="fixed"/>
          <w:tblCellMar>
            <w:top w:w="0" w:type="dxa"/>
            <w:left w:w="108" w:type="dxa"/>
            <w:bottom w:w="0" w:type="dxa"/>
            <w:right w:w="108" w:type="dxa"/>
          </w:tblCellMar>
        </w:tblPrEx>
        <w:trPr>
          <w:jc w:val="center"/>
        </w:trPr>
        <w:tc>
          <w:tcPr>
            <w:tcW w:w="2013" w:type="dxa"/>
            <w:vMerge w:val="continue"/>
            <w:tcBorders>
              <w:left w:val="single" w:color="auto" w:sz="4" w:space="0"/>
              <w:bottom w:val="single" w:color="auto" w:sz="4" w:space="0"/>
              <w:right w:val="single" w:color="auto" w:sz="4" w:space="0"/>
            </w:tcBorders>
            <w:vAlign w:val="center"/>
          </w:tcPr>
          <w:p>
            <w:pPr>
              <w:adjustRightInd w:val="0"/>
              <w:snapToGrid w:val="0"/>
              <w:spacing w:line="560" w:lineRule="exact"/>
              <w:jc w:val="center"/>
              <w:rPr>
                <w:rFonts w:ascii="宋体" w:hAnsi="宋体"/>
                <w:sz w:val="24"/>
                <w:szCs w:val="24"/>
              </w:rPr>
            </w:pP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智能终端故障排除</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2</w:t>
            </w:r>
          </w:p>
        </w:tc>
      </w:tr>
      <w:tr>
        <w:tblPrEx>
          <w:tblLayout w:type="fixed"/>
          <w:tblCellMar>
            <w:top w:w="0" w:type="dxa"/>
            <w:left w:w="108" w:type="dxa"/>
            <w:bottom w:w="0" w:type="dxa"/>
            <w:right w:w="108" w:type="dxa"/>
          </w:tblCellMar>
        </w:tblPrEx>
        <w:trPr>
          <w:jc w:val="center"/>
        </w:trPr>
        <w:tc>
          <w:tcPr>
            <w:tcW w:w="2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asciiTheme="minorEastAsia" w:hAnsiTheme="minorEastAsia"/>
                <w:sz w:val="24"/>
                <w:szCs w:val="24"/>
              </w:rPr>
              <w:t>扣分项</w:t>
            </w:r>
          </w:p>
        </w:tc>
        <w:tc>
          <w:tcPr>
            <w:tcW w:w="5830"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asciiTheme="minorEastAsia" w:hAnsiTheme="minorEastAsia"/>
                <w:sz w:val="24"/>
                <w:szCs w:val="24"/>
              </w:rPr>
              <w:t>违纪扣分</w:t>
            </w:r>
          </w:p>
        </w:tc>
        <w:tc>
          <w:tcPr>
            <w:tcW w:w="144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asciiTheme="minorEastAsia" w:hAnsiTheme="minorEastAsia"/>
                <w:sz w:val="24"/>
                <w:szCs w:val="24"/>
              </w:rPr>
              <w:t>视情节而定</w:t>
            </w:r>
          </w:p>
        </w:tc>
      </w:tr>
      <w:tr>
        <w:tblPrEx>
          <w:tblLayout w:type="fixed"/>
          <w:tblCellMar>
            <w:top w:w="0" w:type="dxa"/>
            <w:left w:w="108" w:type="dxa"/>
            <w:bottom w:w="0" w:type="dxa"/>
            <w:right w:w="108" w:type="dxa"/>
          </w:tblCellMar>
        </w:tblPrEx>
        <w:trPr>
          <w:jc w:val="center"/>
        </w:trPr>
        <w:tc>
          <w:tcPr>
            <w:tcW w:w="2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总计</w:t>
            </w:r>
          </w:p>
        </w:tc>
        <w:tc>
          <w:tcPr>
            <w:tcW w:w="7273" w:type="dxa"/>
            <w:gridSpan w:val="2"/>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Theme="minorEastAsia" w:hAnsiTheme="minorEastAsia"/>
                <w:sz w:val="24"/>
                <w:szCs w:val="24"/>
              </w:rPr>
            </w:pPr>
            <w:r>
              <w:rPr>
                <w:rFonts w:hint="eastAsia" w:asciiTheme="minorEastAsia" w:hAnsiTheme="minorEastAsia"/>
                <w:sz w:val="24"/>
                <w:szCs w:val="24"/>
              </w:rPr>
              <w:t>100</w:t>
            </w:r>
          </w:p>
        </w:tc>
      </w:tr>
    </w:tbl>
    <w:p>
      <w:pPr>
        <w:snapToGrid w:val="0"/>
        <w:spacing w:line="560" w:lineRule="exact"/>
        <w:ind w:firstLine="551" w:firstLineChars="196"/>
        <w:jc w:val="left"/>
        <w:outlineLvl w:val="0"/>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十二、奖项设定</w:t>
      </w:r>
    </w:p>
    <w:p>
      <w:pPr>
        <w:pStyle w:val="73"/>
        <w:rPr>
          <w:rFonts w:cs="Times New Roman"/>
        </w:rPr>
      </w:pPr>
      <w:r>
        <w:rPr>
          <w:rFonts w:hint="eastAsia"/>
        </w:rPr>
        <w:t>本赛项为团体赛。竞赛团体奖以实际参赛团体数为基数，一、二、三等奖获奖比例分别为</w:t>
      </w:r>
      <w:r>
        <w:t>10%</w:t>
      </w:r>
      <w:r>
        <w:rPr>
          <w:rFonts w:hint="eastAsia"/>
        </w:rPr>
        <w:t>、</w:t>
      </w:r>
      <w:r>
        <w:t>20%</w:t>
      </w:r>
      <w:r>
        <w:rPr>
          <w:rFonts w:hint="eastAsia"/>
        </w:rPr>
        <w:t>、</w:t>
      </w:r>
      <w:r>
        <w:t>30%</w:t>
      </w:r>
      <w:r>
        <w:rPr>
          <w:rFonts w:hint="eastAsia"/>
        </w:rPr>
        <w:t>（小数点后四舍五入）。获得一等奖的参赛队的指导教师由组委会颁发优秀指导教师证书。</w:t>
      </w:r>
    </w:p>
    <w:p>
      <w:pPr>
        <w:numPr>
          <w:ilvl w:val="0"/>
          <w:numId w:val="8"/>
        </w:numPr>
        <w:snapToGrid w:val="0"/>
        <w:spacing w:line="560" w:lineRule="exact"/>
        <w:ind w:firstLine="551" w:firstLineChars="196"/>
        <w:jc w:val="left"/>
        <w:outlineLvl w:val="0"/>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赛场预案</w:t>
      </w:r>
    </w:p>
    <w:p>
      <w:pPr>
        <w:widowControl/>
        <w:spacing w:line="560" w:lineRule="exact"/>
        <w:ind w:firstLine="560" w:firstLineChars="200"/>
        <w:jc w:val="left"/>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按照《全国职业院校技能大赛制度汇编》中相关制度执行。</w:t>
      </w:r>
    </w:p>
    <w:p>
      <w:pPr>
        <w:widowControl/>
        <w:spacing w:line="560" w:lineRule="exact"/>
        <w:ind w:firstLine="560" w:firstLineChars="200"/>
        <w:jc w:val="left"/>
        <w:rPr>
          <w:rFonts w:ascii="仿宋_GB2312" w:hAnsi="Cambria" w:eastAsia="仿宋_GB2312"/>
          <w:bCs/>
          <w:color w:val="000000"/>
          <w:kern w:val="28"/>
          <w:sz w:val="28"/>
          <w:szCs w:val="28"/>
        </w:rPr>
      </w:pPr>
      <w:r>
        <w:rPr>
          <w:rFonts w:hint="eastAsia" w:ascii="仿宋_GB2312" w:hAnsi="仿宋_GB2312" w:eastAsia="仿宋_GB2312" w:cs="仿宋_GB2312"/>
          <w:sz w:val="28"/>
          <w:szCs w:val="28"/>
        </w:rPr>
        <w:t>相关应急预案如下：</w:t>
      </w:r>
    </w:p>
    <w:p>
      <w:pPr>
        <w:spacing w:line="560" w:lineRule="exact"/>
        <w:ind w:firstLine="560" w:firstLineChars="200"/>
        <w:rPr>
          <w:rFonts w:eastAsia="仿宋_GB2312"/>
          <w:sz w:val="28"/>
          <w:szCs w:val="28"/>
        </w:rPr>
      </w:pPr>
      <w:r>
        <w:rPr>
          <w:rFonts w:hint="eastAsia" w:eastAsia="仿宋_GB2312"/>
          <w:sz w:val="28"/>
          <w:szCs w:val="28"/>
        </w:rPr>
        <w:t>1、竞赛</w:t>
      </w:r>
      <w:r>
        <w:rPr>
          <w:rFonts w:eastAsia="仿宋_GB2312"/>
          <w:sz w:val="28"/>
          <w:szCs w:val="28"/>
        </w:rPr>
        <w:t>系统可靠性：</w:t>
      </w:r>
      <w:r>
        <w:rPr>
          <w:rFonts w:hint="eastAsia" w:ascii="仿宋_GB2312" w:hAnsi="Cambria" w:eastAsia="仿宋_GB2312"/>
          <w:bCs/>
          <w:color w:val="000000"/>
          <w:kern w:val="28"/>
          <w:sz w:val="28"/>
          <w:szCs w:val="28"/>
        </w:rPr>
        <w:t>竞赛软硬件环境和电脑在比赛前</w:t>
      </w:r>
      <w:r>
        <w:rPr>
          <w:rFonts w:eastAsia="仿宋_GB2312"/>
          <w:sz w:val="28"/>
          <w:szCs w:val="28"/>
        </w:rPr>
        <w:t>一周开始运行，</w:t>
      </w:r>
      <w:r>
        <w:rPr>
          <w:rFonts w:hint="eastAsia" w:eastAsia="仿宋_GB2312"/>
          <w:sz w:val="28"/>
          <w:szCs w:val="28"/>
        </w:rPr>
        <w:t>组织不少于三次的</w:t>
      </w:r>
      <w:r>
        <w:rPr>
          <w:rFonts w:eastAsia="仿宋_GB2312"/>
          <w:sz w:val="28"/>
          <w:szCs w:val="28"/>
        </w:rPr>
        <w:t>压力测试</w:t>
      </w:r>
      <w:r>
        <w:rPr>
          <w:rFonts w:hint="eastAsia" w:ascii="仿宋_GB2312" w:hAnsi="Cambria" w:eastAsia="仿宋_GB2312"/>
          <w:bCs/>
          <w:color w:val="000000"/>
          <w:kern w:val="28"/>
          <w:sz w:val="28"/>
          <w:szCs w:val="28"/>
        </w:rPr>
        <w:t>，验证功能正常</w:t>
      </w:r>
      <w:r>
        <w:rPr>
          <w:rFonts w:eastAsia="仿宋_GB2312"/>
          <w:sz w:val="28"/>
          <w:szCs w:val="28"/>
        </w:rPr>
        <w:t>。</w:t>
      </w:r>
    </w:p>
    <w:p>
      <w:pPr>
        <w:spacing w:line="560" w:lineRule="exact"/>
        <w:ind w:firstLine="560" w:firstLineChars="200"/>
        <w:rPr>
          <w:rFonts w:eastAsia="仿宋_GB2312"/>
          <w:sz w:val="28"/>
          <w:szCs w:val="28"/>
        </w:rPr>
      </w:pPr>
      <w:r>
        <w:rPr>
          <w:rFonts w:hint="eastAsia" w:eastAsia="仿宋_GB2312"/>
          <w:sz w:val="28"/>
          <w:szCs w:val="28"/>
        </w:rPr>
        <w:t>2、竞赛</w:t>
      </w:r>
      <w:r>
        <w:rPr>
          <w:rFonts w:eastAsia="仿宋_GB2312"/>
          <w:sz w:val="28"/>
          <w:szCs w:val="28"/>
        </w:rPr>
        <w:t>系统服务器：国赛现场提供</w:t>
      </w:r>
      <w:r>
        <w:rPr>
          <w:rFonts w:hint="eastAsia" w:eastAsia="仿宋_GB2312"/>
          <w:sz w:val="28"/>
          <w:szCs w:val="28"/>
        </w:rPr>
        <w:t>一主一备双服务器，主备服务器可以实现快速切换并同步竞赛数据；所有服务器配备UPS电源，防止意外掉电。</w:t>
      </w:r>
    </w:p>
    <w:p>
      <w:pPr>
        <w:spacing w:line="560" w:lineRule="exact"/>
        <w:ind w:firstLine="560" w:firstLineChars="200"/>
        <w:rPr>
          <w:rFonts w:eastAsia="仿宋_GB2312"/>
          <w:sz w:val="28"/>
          <w:szCs w:val="28"/>
        </w:rPr>
      </w:pPr>
      <w:r>
        <w:rPr>
          <w:rFonts w:hint="eastAsia" w:eastAsia="仿宋_GB2312"/>
          <w:sz w:val="28"/>
          <w:szCs w:val="28"/>
        </w:rPr>
        <w:t>3、</w:t>
      </w:r>
      <w:r>
        <w:rPr>
          <w:rFonts w:eastAsia="仿宋_GB2312"/>
          <w:sz w:val="28"/>
          <w:szCs w:val="28"/>
        </w:rPr>
        <w:t>赛场备用工位：赛场提供占总参赛队伍</w:t>
      </w:r>
      <w:r>
        <w:rPr>
          <w:rFonts w:hint="eastAsia" w:eastAsia="仿宋_GB2312"/>
          <w:sz w:val="28"/>
          <w:szCs w:val="28"/>
        </w:rPr>
        <w:t>10</w:t>
      </w:r>
      <w:r>
        <w:rPr>
          <w:rFonts w:eastAsia="仿宋_GB2312"/>
          <w:sz w:val="28"/>
          <w:szCs w:val="28"/>
        </w:rPr>
        <w:t>%的备用工位。若PC机在比赛过程中出现死机、蓝屏等现象（重启后无法解决），参赛选手由队长举手示意裁判，在现场裁判与技术支持人员确定情况后，可更换备用工位或更换PC机进行答题。</w:t>
      </w:r>
    </w:p>
    <w:p>
      <w:pPr>
        <w:spacing w:line="560" w:lineRule="exact"/>
        <w:ind w:firstLine="560" w:firstLineChars="200"/>
        <w:rPr>
          <w:rFonts w:eastAsia="仿宋_GB2312"/>
          <w:sz w:val="28"/>
          <w:szCs w:val="28"/>
        </w:rPr>
      </w:pPr>
      <w:r>
        <w:rPr>
          <w:rFonts w:hint="eastAsia" w:eastAsia="仿宋_GB2312"/>
          <w:sz w:val="28"/>
          <w:szCs w:val="28"/>
        </w:rPr>
        <w:t>4、供电及意外保障：</w:t>
      </w:r>
      <w:r>
        <w:rPr>
          <w:rFonts w:hint="eastAsia" w:ascii="仿宋_GB2312" w:hAnsi="Cambria" w:eastAsia="仿宋_GB2312"/>
          <w:bCs/>
          <w:color w:val="000000"/>
          <w:kern w:val="28"/>
          <w:sz w:val="28"/>
          <w:szCs w:val="28"/>
        </w:rPr>
        <w:t>竞赛过程中出现设备掉电、故障等意外时，</w:t>
      </w:r>
      <w:r>
        <w:rPr>
          <w:rFonts w:hint="eastAsia" w:eastAsia="仿宋_GB2312"/>
          <w:sz w:val="28"/>
          <w:szCs w:val="28"/>
        </w:rPr>
        <w:t>现场裁判需及时确认情况，安排赛场技术支持人员进行处理，现场裁判登记详细情况，填写补时登记表，报裁判长批准后，可安排延长补足相应选手的比赛时间。</w:t>
      </w:r>
    </w:p>
    <w:p>
      <w:pPr>
        <w:spacing w:line="560" w:lineRule="exact"/>
        <w:ind w:firstLine="560" w:firstLineChars="200"/>
        <w:rPr>
          <w:rFonts w:eastAsia="仿宋_GB2312"/>
          <w:sz w:val="28"/>
          <w:szCs w:val="28"/>
        </w:rPr>
      </w:pPr>
      <w:r>
        <w:rPr>
          <w:rFonts w:hint="eastAsia" w:eastAsia="仿宋_GB2312"/>
          <w:sz w:val="28"/>
          <w:szCs w:val="28"/>
        </w:rPr>
        <w:t>5、人员安全：比赛期间安排医务人员在赛场外待命，如发生参赛选手发病或受伤等意外，医务人员应采取紧急救护措施，及时进行救治，如病情或伤势严重，应及时送往最近医院进行救治。</w:t>
      </w:r>
    </w:p>
    <w:p>
      <w:pPr>
        <w:snapToGrid w:val="0"/>
        <w:spacing w:line="560" w:lineRule="exact"/>
        <w:ind w:firstLine="551" w:firstLineChars="196"/>
        <w:jc w:val="left"/>
        <w:outlineLvl w:val="0"/>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十四、赛项安全</w:t>
      </w:r>
    </w:p>
    <w:p>
      <w:pPr>
        <w:pStyle w:val="73"/>
        <w:rPr>
          <w:rFonts w:cs="Times New Roman"/>
        </w:rPr>
      </w:pPr>
      <w:r>
        <w:rPr>
          <w:rFonts w:hint="eastAsia"/>
        </w:rPr>
        <w:t>（一）安保工作</w:t>
      </w:r>
    </w:p>
    <w:p>
      <w:pPr>
        <w:pStyle w:val="73"/>
        <w:rPr>
          <w:rFonts w:cs="Times New Roman"/>
        </w:rPr>
      </w:pPr>
      <w:r>
        <w:rPr>
          <w:rFonts w:hint="eastAsia"/>
        </w:rPr>
        <w:t>设立安全保障小组，承办校保卫处参加，明确安全保障责任人和负责人，制定详细安全保障制度和保障预案。具体制度如下：</w:t>
      </w:r>
    </w:p>
    <w:p>
      <w:pPr>
        <w:pStyle w:val="73"/>
        <w:rPr>
          <w:rFonts w:cs="Times New Roman"/>
        </w:rPr>
      </w:pPr>
      <w:r>
        <w:t>1.</w:t>
      </w:r>
      <w:r>
        <w:rPr>
          <w:rFonts w:hint="eastAsia"/>
        </w:rPr>
        <w:t>保证各通道畅通，并配备专门人员，控制无关人员进入场地，控制人员流量和赛场观众饱和度，贴好安全指示标识等。</w:t>
      </w:r>
    </w:p>
    <w:p>
      <w:pPr>
        <w:pStyle w:val="73"/>
        <w:rPr>
          <w:rFonts w:cs="Times New Roman"/>
        </w:rPr>
      </w:pPr>
      <w:r>
        <w:t>2.</w:t>
      </w:r>
      <w:r>
        <w:rPr>
          <w:rFonts w:hint="eastAsia"/>
        </w:rPr>
        <w:t>对于社会观众，安全保障小组适当进行合法、合理的询问检查，对携带可疑物品，又拒绝询问检查的观众，安全保障小组将禁止其入内。</w:t>
      </w:r>
    </w:p>
    <w:p>
      <w:pPr>
        <w:pStyle w:val="73"/>
        <w:rPr>
          <w:rFonts w:cs="Times New Roman"/>
        </w:rPr>
      </w:pPr>
      <w:r>
        <w:t>3.</w:t>
      </w:r>
      <w:r>
        <w:rPr>
          <w:rFonts w:hint="eastAsia"/>
        </w:rPr>
        <w:t>安全保障小组随时对赛场进行巡查、监督，确保安全。</w:t>
      </w:r>
    </w:p>
    <w:p>
      <w:pPr>
        <w:pStyle w:val="73"/>
        <w:rPr>
          <w:rFonts w:cs="Times New Roman"/>
        </w:rPr>
      </w:pPr>
      <w:r>
        <w:t>4.</w:t>
      </w:r>
      <w:r>
        <w:rPr>
          <w:rFonts w:hint="eastAsia"/>
        </w:rPr>
        <w:t>配备必要的医护人员和医疗药品，有应急抢救预案。</w:t>
      </w:r>
    </w:p>
    <w:p>
      <w:pPr>
        <w:pStyle w:val="73"/>
        <w:rPr>
          <w:rFonts w:cs="Times New Roman"/>
        </w:rPr>
      </w:pPr>
      <w:r>
        <w:t>5.</w:t>
      </w:r>
      <w:r>
        <w:rPr>
          <w:rFonts w:hint="eastAsia"/>
        </w:rPr>
        <w:t>为确保比赛的顺利举行，要求所有参赛人员必须凭组委会印发的有效证件进入场地，与比赛无关人员严禁进入比赛场地，不得以任何方式干扰比赛正常进行。</w:t>
      </w:r>
    </w:p>
    <w:p>
      <w:pPr>
        <w:pStyle w:val="73"/>
        <w:rPr>
          <w:rFonts w:cs="Times New Roman"/>
        </w:rPr>
      </w:pPr>
      <w:r>
        <w:t>6.</w:t>
      </w:r>
      <w:r>
        <w:rPr>
          <w:rFonts w:hint="eastAsia"/>
        </w:rPr>
        <w:t>严格控制与参赛无关的易燃易爆以及各类危险品进入比赛场地，不允许随便携带包裹进入赛场。</w:t>
      </w:r>
    </w:p>
    <w:p>
      <w:pPr>
        <w:pStyle w:val="73"/>
        <w:rPr>
          <w:rFonts w:cs="Times New Roman"/>
        </w:rPr>
      </w:pPr>
      <w:r>
        <w:t>7.</w:t>
      </w:r>
      <w:r>
        <w:rPr>
          <w:rFonts w:hint="eastAsia"/>
        </w:rPr>
        <w:t>比赛现场需进行网络安全控制，以免场内外信息交互，充分体现大赛的严肃、公平和公正性。</w:t>
      </w:r>
    </w:p>
    <w:p>
      <w:pPr>
        <w:pStyle w:val="73"/>
        <w:rPr>
          <w:rFonts w:cs="Times New Roman"/>
        </w:rPr>
      </w:pPr>
      <w:r>
        <w:t>8.</w:t>
      </w:r>
      <w:r>
        <w:rPr>
          <w:rFonts w:hint="eastAsia"/>
        </w:rPr>
        <w:t>严禁任何人在比赛场地私拉各种电源线。</w:t>
      </w:r>
    </w:p>
    <w:p>
      <w:pPr>
        <w:pStyle w:val="73"/>
        <w:rPr>
          <w:rFonts w:cs="Times New Roman"/>
        </w:rPr>
      </w:pPr>
      <w:r>
        <w:t>9.</w:t>
      </w:r>
      <w:r>
        <w:rPr>
          <w:rFonts w:hint="eastAsia"/>
        </w:rPr>
        <w:t>设置突发事件应急疏散示意图。</w:t>
      </w:r>
    </w:p>
    <w:p>
      <w:pPr>
        <w:pStyle w:val="73"/>
        <w:rPr>
          <w:rFonts w:cs="Times New Roman"/>
        </w:rPr>
      </w:pPr>
      <w:r>
        <w:rPr>
          <w:rFonts w:hint="eastAsia"/>
        </w:rPr>
        <w:t>（二）赛场文明</w:t>
      </w:r>
    </w:p>
    <w:p>
      <w:pPr>
        <w:pStyle w:val="73"/>
        <w:rPr>
          <w:rFonts w:cs="Times New Roman"/>
        </w:rPr>
      </w:pPr>
      <w:r>
        <w:t>1.</w:t>
      </w:r>
      <w:r>
        <w:rPr>
          <w:rFonts w:hint="eastAsia"/>
        </w:rPr>
        <w:t>进入赛场人员要严格遵守赛场秩序，服从赛场工作人员的引导和安排。观摩人员要按指定区域观摩，切忌越过设置的警戒线。</w:t>
      </w:r>
    </w:p>
    <w:p>
      <w:pPr>
        <w:pStyle w:val="73"/>
        <w:rPr>
          <w:rFonts w:cs="Times New Roman"/>
        </w:rPr>
      </w:pPr>
      <w:r>
        <w:t>2.</w:t>
      </w:r>
      <w:r>
        <w:rPr>
          <w:rFonts w:hint="eastAsia"/>
        </w:rPr>
        <w:t>在赛场观摩比赛时，不要大声喧哗，不要拥挤推搡，以免影响比赛正常进行。</w:t>
      </w:r>
    </w:p>
    <w:p>
      <w:pPr>
        <w:pStyle w:val="73"/>
        <w:rPr>
          <w:rFonts w:cs="Times New Roman"/>
        </w:rPr>
      </w:pPr>
      <w:r>
        <w:t>3.</w:t>
      </w:r>
      <w:r>
        <w:rPr>
          <w:rFonts w:hint="eastAsia"/>
        </w:rPr>
        <w:t>赛场内严禁吸烟，严禁携带易燃易爆物品入场。</w:t>
      </w:r>
    </w:p>
    <w:p>
      <w:pPr>
        <w:pStyle w:val="73"/>
        <w:rPr>
          <w:rFonts w:cs="Times New Roman"/>
        </w:rPr>
      </w:pPr>
      <w:r>
        <w:t>4.</w:t>
      </w:r>
      <w:r>
        <w:rPr>
          <w:rFonts w:hint="eastAsia"/>
        </w:rPr>
        <w:t>进入赛区的人员要爱护现场各类物品，爱护公共环境，不随意张贴个人资料。</w:t>
      </w:r>
    </w:p>
    <w:p>
      <w:pPr>
        <w:pStyle w:val="73"/>
        <w:rPr>
          <w:rFonts w:cs="Times New Roman"/>
        </w:rPr>
      </w:pPr>
      <w:r>
        <w:t>5.</w:t>
      </w:r>
      <w:r>
        <w:rPr>
          <w:rFonts w:hint="eastAsia"/>
        </w:rPr>
        <w:t>遇到问题和意外事件及时向现场工作人员咨询以寻求帮助。</w:t>
      </w:r>
    </w:p>
    <w:p>
      <w:pPr>
        <w:pStyle w:val="73"/>
        <w:rPr>
          <w:rFonts w:cs="Times New Roman"/>
        </w:rPr>
      </w:pPr>
      <w:r>
        <w:t>6.</w:t>
      </w:r>
      <w:r>
        <w:rPr>
          <w:rFonts w:hint="eastAsia"/>
        </w:rPr>
        <w:t>发生火灾或突发事件时，要服从赛场工作人员指挥，有序撤离现场，避免慌乱、踩踏伤人。</w:t>
      </w:r>
    </w:p>
    <w:p>
      <w:pPr>
        <w:pStyle w:val="73"/>
        <w:rPr>
          <w:rFonts w:cs="Times New Roman"/>
        </w:rPr>
      </w:pPr>
      <w:r>
        <w:t>7.</w:t>
      </w:r>
      <w:r>
        <w:rPr>
          <w:rFonts w:hint="eastAsia"/>
        </w:rPr>
        <w:t>参赛人员应积极配合卫生防疫部门的检测，如有发热等症状，请及时与大赛医疗卫生组联系。</w:t>
      </w:r>
    </w:p>
    <w:p>
      <w:pPr>
        <w:pStyle w:val="73"/>
        <w:rPr>
          <w:rFonts w:cs="Times New Roman"/>
        </w:rPr>
      </w:pPr>
      <w:r>
        <w:t>8.</w:t>
      </w:r>
      <w:r>
        <w:rPr>
          <w:rFonts w:hint="eastAsia"/>
        </w:rPr>
        <w:t>遇到紧急情况发生拥挤时，应保持镇静，在相对安全地点作短暂停留。人群拥挤时，要双手抱住胸口，防止内脏被挤压受伤。在人群中不小心跌倒时，应立即收缩身体，紧抱头部，尽量减少伤害。</w:t>
      </w:r>
    </w:p>
    <w:p>
      <w:pPr>
        <w:pStyle w:val="73"/>
        <w:rPr>
          <w:rFonts w:cs="Times New Roman"/>
        </w:rPr>
      </w:pPr>
      <w:r>
        <w:t>9.</w:t>
      </w:r>
      <w:r>
        <w:rPr>
          <w:rFonts w:hint="eastAsia"/>
        </w:rPr>
        <w:t>如遇特殊情况，服从大赛统一指挥。</w:t>
      </w:r>
    </w:p>
    <w:p>
      <w:pPr>
        <w:pStyle w:val="77"/>
        <w:adjustRightInd w:val="0"/>
        <w:snapToGrid w:val="0"/>
        <w:spacing w:beforeLines="0" w:afterLines="0" w:line="560" w:lineRule="exact"/>
        <w:ind w:left="540" w:firstLine="0" w:firstLineChars="0"/>
        <w:rPr>
          <w:rFonts w:ascii="仿宋_GB2312" w:hAnsi="仿宋_GB2312" w:cs="仿宋_GB2312"/>
          <w:szCs w:val="28"/>
        </w:rPr>
      </w:pPr>
      <w:bookmarkStart w:id="0" w:name="_Toc361563588"/>
      <w:r>
        <w:rPr>
          <w:rFonts w:hint="eastAsia" w:ascii="仿宋_GB2312" w:hAnsi="仿宋_GB2312" w:cs="仿宋_GB2312"/>
          <w:szCs w:val="28"/>
        </w:rPr>
        <w:t>（三）处罚措施</w:t>
      </w:r>
      <w:bookmarkEnd w:id="0"/>
    </w:p>
    <w:p>
      <w:pPr>
        <w:pStyle w:val="77"/>
        <w:adjustRightInd w:val="0"/>
        <w:snapToGrid w:val="0"/>
        <w:spacing w:beforeLines="0" w:afterLines="0" w:line="560" w:lineRule="exact"/>
        <w:ind w:left="560" w:firstLine="0" w:firstLineChars="0"/>
        <w:rPr>
          <w:rFonts w:ascii="仿宋_GB2312" w:hAnsi="仿宋_GB2312" w:cs="仿宋_GB2312"/>
          <w:szCs w:val="28"/>
        </w:rPr>
      </w:pPr>
      <w:r>
        <w:rPr>
          <w:rFonts w:ascii="仿宋_GB2312" w:hAnsi="仿宋_GB2312" w:cs="仿宋_GB2312"/>
          <w:szCs w:val="28"/>
        </w:rPr>
        <w:t>1.</w:t>
      </w:r>
      <w:r>
        <w:rPr>
          <w:rFonts w:hint="eastAsia" w:ascii="仿宋_GB2312" w:hAnsi="仿宋_GB2312" w:cs="仿宋_GB2312"/>
          <w:szCs w:val="28"/>
        </w:rPr>
        <w:t>因参赛队伍原因造成重大安全事故的，取消其获奖资格。</w:t>
      </w:r>
    </w:p>
    <w:p>
      <w:pPr>
        <w:pStyle w:val="77"/>
        <w:adjustRightInd w:val="0"/>
        <w:snapToGrid w:val="0"/>
        <w:spacing w:beforeLines="0" w:afterLines="0" w:line="560" w:lineRule="exact"/>
        <w:ind w:firstLine="560"/>
        <w:rPr>
          <w:rFonts w:ascii="仿宋_GB2312" w:hAnsi="仿宋_GB2312" w:cs="仿宋_GB2312"/>
          <w:szCs w:val="28"/>
        </w:rPr>
      </w:pPr>
      <w:r>
        <w:rPr>
          <w:rFonts w:ascii="仿宋_GB2312" w:hAnsi="仿宋_GB2312" w:cs="仿宋_GB2312"/>
          <w:szCs w:val="28"/>
        </w:rPr>
        <w:t>2.</w:t>
      </w:r>
      <w:r>
        <w:rPr>
          <w:rFonts w:hint="eastAsia" w:ascii="仿宋_GB2312" w:hAnsi="仿宋_GB2312" w:cs="仿宋_GB2312"/>
          <w:szCs w:val="28"/>
        </w:rPr>
        <w:t>参赛队伍有发生重大安全事故隐患，经赛场工作人员提示、警告无效的，可取消其继续比赛的资格。</w:t>
      </w:r>
    </w:p>
    <w:p>
      <w:pPr>
        <w:pStyle w:val="77"/>
        <w:adjustRightInd w:val="0"/>
        <w:snapToGrid w:val="0"/>
        <w:spacing w:beforeLines="0" w:afterLines="0" w:line="560" w:lineRule="exact"/>
        <w:ind w:firstLine="560"/>
        <w:rPr>
          <w:rFonts w:ascii="仿宋_GB2312" w:hAnsi="仿宋_GB2312" w:cs="仿宋_GB2312"/>
          <w:szCs w:val="28"/>
        </w:rPr>
      </w:pPr>
      <w:r>
        <w:rPr>
          <w:rFonts w:ascii="仿宋_GB2312" w:hAnsi="仿宋_GB2312" w:cs="仿宋_GB2312"/>
          <w:szCs w:val="28"/>
        </w:rPr>
        <w:t>3.</w:t>
      </w:r>
      <w:r>
        <w:rPr>
          <w:rFonts w:hint="eastAsia" w:ascii="仿宋_GB2312" w:hAnsi="仿宋_GB2312" w:cs="仿宋_GB2312"/>
          <w:szCs w:val="28"/>
        </w:rPr>
        <w:t>赛事工作人员违规的，按照相应的制度追究责任。情节恶劣并造成重大安全事故的，由司法机关追究相应法律责任。</w:t>
      </w:r>
    </w:p>
    <w:p>
      <w:pPr>
        <w:pStyle w:val="77"/>
        <w:adjustRightInd w:val="0"/>
        <w:snapToGrid w:val="0"/>
        <w:spacing w:beforeLines="0" w:afterLines="0" w:line="560" w:lineRule="exact"/>
        <w:ind w:firstLine="560"/>
        <w:rPr>
          <w:szCs w:val="28"/>
        </w:rPr>
      </w:pPr>
      <w:r>
        <w:rPr>
          <w:rFonts w:hint="eastAsia"/>
          <w:szCs w:val="28"/>
          <w:lang w:val="zh-CN"/>
        </w:rPr>
        <w:t>（</w:t>
      </w:r>
      <w:r>
        <w:rPr>
          <w:rFonts w:hint="eastAsia"/>
          <w:szCs w:val="28"/>
        </w:rPr>
        <w:t>四</w:t>
      </w:r>
      <w:r>
        <w:rPr>
          <w:rFonts w:hint="eastAsia"/>
          <w:szCs w:val="28"/>
          <w:lang w:val="zh-CN"/>
        </w:rPr>
        <w:t>）</w:t>
      </w:r>
      <w:r>
        <w:rPr>
          <w:rFonts w:hint="eastAsia"/>
          <w:szCs w:val="28"/>
        </w:rPr>
        <w:t>意外事故处理</w:t>
      </w:r>
    </w:p>
    <w:p>
      <w:pPr>
        <w:pStyle w:val="73"/>
      </w:pPr>
      <w:r>
        <w:rPr>
          <w:rFonts w:hint="eastAsia"/>
          <w:lang w:val="zh-CN"/>
        </w:rPr>
        <w:t>比赛期间发生意外事故，发现者应第一时间报告赛项执委会，同时采取措施，避免事态扩大。赛项执委会应立即启动预案予以解决并向赛区执委会报告。赛项出现重大安全问题可以停赛，是否停赛由赛区组委会决定。事后，赛区执委会应向大赛执委会报告详细情况</w:t>
      </w:r>
    </w:p>
    <w:p>
      <w:pPr>
        <w:snapToGrid w:val="0"/>
        <w:spacing w:line="560" w:lineRule="exact"/>
        <w:ind w:firstLine="551" w:firstLineChars="196"/>
        <w:jc w:val="left"/>
        <w:outlineLvl w:val="0"/>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十五、竞赛须知</w:t>
      </w:r>
    </w:p>
    <w:p>
      <w:pPr>
        <w:pStyle w:val="73"/>
        <w:rPr>
          <w:rFonts w:cs="Times New Roman"/>
        </w:rPr>
      </w:pPr>
      <w:r>
        <w:rPr>
          <w:rFonts w:hint="eastAsia"/>
        </w:rPr>
        <w:t>（一）参赛队须知</w:t>
      </w:r>
    </w:p>
    <w:p>
      <w:pPr>
        <w:pStyle w:val="73"/>
        <w:rPr>
          <w:rFonts w:cs="Times New Roman"/>
        </w:rPr>
      </w:pPr>
      <w:r>
        <w:t>1.</w:t>
      </w:r>
      <w:r>
        <w:rPr>
          <w:rFonts w:hint="eastAsia"/>
        </w:rPr>
        <w:t>参赛队名称统一使用规定的地区代表队名称，不使用学校或其他组织、团体的名称。</w:t>
      </w:r>
    </w:p>
    <w:p>
      <w:pPr>
        <w:pStyle w:val="73"/>
        <w:rPr>
          <w:rFonts w:cs="Times New Roman"/>
        </w:rPr>
      </w:pPr>
      <w:r>
        <w:t>2.</w:t>
      </w:r>
      <w:r>
        <w:rPr>
          <w:rFonts w:hint="eastAsia"/>
        </w:rPr>
        <w:t>参赛队应仔细阅读大赛执委会发布的文件内容，确切了解大赛时间安排、评判细节等，以保证顺利参赛；要按执委会统一要求，准时到达赛前说明会现场，会议期间要认真领会会议内容，如有不明之处，可直接向工作人员询问。</w:t>
      </w:r>
    </w:p>
    <w:p>
      <w:pPr>
        <w:pStyle w:val="73"/>
        <w:rPr>
          <w:rFonts w:cs="Times New Roman"/>
        </w:rPr>
      </w:pPr>
      <w:r>
        <w:t>3.</w:t>
      </w:r>
      <w:r>
        <w:rPr>
          <w:rFonts w:hint="eastAsia"/>
        </w:rPr>
        <w:t>参赛队按照大赛赛程安排，凭大赛执委会颁发的参赛证和有效身份证件参加竞赛及相关活动。</w:t>
      </w:r>
    </w:p>
    <w:p>
      <w:pPr>
        <w:pStyle w:val="73"/>
      </w:pPr>
      <w:r>
        <w:t>4.</w:t>
      </w:r>
      <w:r>
        <w:rPr>
          <w:rFonts w:hint="eastAsia"/>
          <w:lang w:val="zh-CN"/>
        </w:rPr>
        <w:t>比赛期间，由执委会统一安排参赛选手和指导教师食宿。承办单位须尊重少数民族的信仰及文化，根据国家相关的民族政策，安排好少数民族选手和教师的饮食起居。</w:t>
      </w:r>
    </w:p>
    <w:p>
      <w:pPr>
        <w:spacing w:line="560" w:lineRule="exact"/>
        <w:ind w:firstLine="560" w:firstLineChars="200"/>
        <w:rPr>
          <w:rFonts w:cs="Times New Roman"/>
        </w:rPr>
      </w:pPr>
      <w:r>
        <w:rPr>
          <w:rFonts w:hint="eastAsia"/>
          <w:sz w:val="28"/>
          <w:szCs w:val="28"/>
        </w:rPr>
        <w:t>在比赛期间，各参赛队要注意饮食卫生，防止食物中毒；各参赛队要保证所有参赛选手的安全，防止交通事故和其他意外情况的发生。</w:t>
      </w:r>
    </w:p>
    <w:p>
      <w:pPr>
        <w:pStyle w:val="73"/>
        <w:rPr>
          <w:rFonts w:cs="Times New Roman"/>
        </w:rPr>
      </w:pPr>
      <w:r>
        <w:t>5.</w:t>
      </w:r>
      <w:r>
        <w:rPr>
          <w:rFonts w:hint="eastAsia"/>
        </w:rPr>
        <w:t>参加比赛前要求参赛队为参赛选手购买人身意外伤害保险。</w:t>
      </w:r>
    </w:p>
    <w:p>
      <w:pPr>
        <w:pStyle w:val="73"/>
        <w:rPr>
          <w:rFonts w:cs="Times New Roman"/>
        </w:rPr>
      </w:pPr>
      <w:r>
        <w:t>6.</w:t>
      </w:r>
      <w:r>
        <w:rPr>
          <w:rFonts w:hint="eastAsia"/>
        </w:rPr>
        <w:t>本规则没有规定的行为，裁判组有权做出裁决。在有争议的情况下，仲裁工作组的裁决是最终裁决。</w:t>
      </w:r>
    </w:p>
    <w:p>
      <w:pPr>
        <w:pStyle w:val="73"/>
        <w:rPr>
          <w:rFonts w:cs="Times New Roman"/>
        </w:rPr>
      </w:pPr>
      <w:r>
        <w:t>7.</w:t>
      </w:r>
      <w:r>
        <w:rPr>
          <w:rFonts w:hint="eastAsia"/>
        </w:rPr>
        <w:t>本竞赛项目的解释权归大赛执委会。</w:t>
      </w:r>
    </w:p>
    <w:p>
      <w:pPr>
        <w:pStyle w:val="73"/>
        <w:rPr>
          <w:rFonts w:cs="Times New Roman"/>
        </w:rPr>
      </w:pPr>
      <w:r>
        <w:rPr>
          <w:rFonts w:hint="eastAsia"/>
        </w:rPr>
        <w:t>（二）指导教师须知</w:t>
      </w:r>
    </w:p>
    <w:p>
      <w:pPr>
        <w:pStyle w:val="73"/>
      </w:pPr>
      <w:r>
        <w:t>1.</w:t>
      </w:r>
      <w:r>
        <w:rPr>
          <w:rFonts w:hint="eastAsia"/>
        </w:rPr>
        <w:t>各参赛代表队要发扬良好道德风尚，听从指挥，服从裁判，不弄虚作假。如发现弄虚作假者，取消参赛资格，名次无效。</w:t>
      </w:r>
    </w:p>
    <w:p>
      <w:pPr>
        <w:pStyle w:val="73"/>
      </w:pPr>
      <w:r>
        <w:t>2.</w:t>
      </w:r>
      <w:r>
        <w:rPr>
          <w:rFonts w:hint="eastAsia"/>
        </w:rPr>
        <w:t>各代表队领队要坚决执行竞赛的各项规定，加强对参赛人员的管理，做好赛前准备工作，督促选手带好证件等竞赛相关材料。</w:t>
      </w:r>
    </w:p>
    <w:p>
      <w:pPr>
        <w:pStyle w:val="73"/>
      </w:pPr>
      <w:r>
        <w:t>3.</w:t>
      </w:r>
      <w:r>
        <w:rPr>
          <w:rFonts w:hint="eastAsia"/>
        </w:rPr>
        <w:t>竞赛过程中，除参加当场次竞赛的选手、执行裁判员、现场工作人员和经批准的人员外，领队、指导教师及其他人员一律不得进入竞赛现场。</w:t>
      </w:r>
    </w:p>
    <w:p>
      <w:pPr>
        <w:pStyle w:val="73"/>
      </w:pPr>
      <w:r>
        <w:t>4.</w:t>
      </w:r>
      <w:r>
        <w:rPr>
          <w:rFonts w:hint="eastAsia"/>
        </w:rPr>
        <w:t>参赛代表队若对竞赛过程有异议，在规定的时间内由领队向赛项仲裁工作组提出书面报告。</w:t>
      </w:r>
    </w:p>
    <w:p>
      <w:pPr>
        <w:pStyle w:val="73"/>
      </w:pPr>
      <w:r>
        <w:t>5.</w:t>
      </w:r>
      <w:r>
        <w:rPr>
          <w:rFonts w:hint="eastAsia"/>
        </w:rPr>
        <w:t>对申诉的仲裁结果，领队要带头服从和执行，并做好选手工作。参赛选手不得因申诉或对处理意见不服而停止竞赛，否则以弃权处理。</w:t>
      </w:r>
    </w:p>
    <w:p>
      <w:pPr>
        <w:pStyle w:val="73"/>
      </w:pPr>
      <w:r>
        <w:t>6.</w:t>
      </w:r>
      <w:r>
        <w:rPr>
          <w:rFonts w:hint="eastAsia"/>
        </w:rPr>
        <w:t>指导老师应及时查看大赛专用网页有关赛项的通知和内容，认真研究和掌握本赛项竞赛的规程、技术规范和赛场要求，指导选手做好赛前的一切技术准备和竞赛准备。</w:t>
      </w:r>
    </w:p>
    <w:p>
      <w:pPr>
        <w:pStyle w:val="73"/>
        <w:rPr>
          <w:rFonts w:cs="Times New Roman"/>
        </w:rPr>
      </w:pPr>
      <w:r>
        <w:rPr>
          <w:rFonts w:hint="eastAsia"/>
        </w:rPr>
        <w:t>（三）参赛选手须知</w:t>
      </w:r>
    </w:p>
    <w:p>
      <w:pPr>
        <w:pStyle w:val="73"/>
        <w:rPr>
          <w:rFonts w:cs="Times New Roman"/>
        </w:rPr>
      </w:pPr>
      <w:r>
        <w:t>1.</w:t>
      </w:r>
      <w:r>
        <w:rPr>
          <w:rFonts w:hint="eastAsia"/>
        </w:rPr>
        <w:t>参赛选手须认真如实填写报名表内容，弄虚作假者，将取消比赛资格和竞赛成绩。</w:t>
      </w:r>
    </w:p>
    <w:p>
      <w:pPr>
        <w:pStyle w:val="73"/>
        <w:rPr>
          <w:rFonts w:cs="Times New Roman"/>
        </w:rPr>
      </w:pPr>
      <w:r>
        <w:t>2.</w:t>
      </w:r>
      <w:r>
        <w:rPr>
          <w:rFonts w:hint="eastAsia"/>
        </w:rPr>
        <w:t>参赛选手应着装得体，保持良好仪表仪容。凭身份证、参赛证等参加竞赛及相关活动，并按照赛程安排和规定时间前往指定地点。</w:t>
      </w:r>
    </w:p>
    <w:p>
      <w:pPr>
        <w:pStyle w:val="73"/>
        <w:rPr>
          <w:rFonts w:cs="Times New Roman"/>
        </w:rPr>
      </w:pPr>
      <w:r>
        <w:t>3.</w:t>
      </w:r>
      <w:r>
        <w:rPr>
          <w:rFonts w:hint="eastAsia"/>
        </w:rPr>
        <w:t>参赛选手应按大赛统一安排在指定地点提前熟悉赛场。</w:t>
      </w:r>
    </w:p>
    <w:p>
      <w:pPr>
        <w:pStyle w:val="73"/>
        <w:rPr>
          <w:rFonts w:cs="Times New Roman"/>
        </w:rPr>
      </w:pPr>
      <w:r>
        <w:t>4.</w:t>
      </w:r>
      <w:r>
        <w:rPr>
          <w:rFonts w:hint="eastAsia"/>
        </w:rPr>
        <w:t>参赛选手不得携带参考资料、通信设备、存储设备、电子工具等物品进入赛场，违反者按作弊处理。</w:t>
      </w:r>
    </w:p>
    <w:p>
      <w:pPr>
        <w:pStyle w:val="73"/>
        <w:rPr>
          <w:rFonts w:cs="Times New Roman"/>
        </w:rPr>
      </w:pPr>
      <w:r>
        <w:t>5.</w:t>
      </w:r>
      <w:r>
        <w:rPr>
          <w:rFonts w:hint="eastAsia"/>
        </w:rPr>
        <w:t>参赛选手严格按照规定时间进入竞赛场地，对现场条件进行确认，按统一指令开始竞赛。</w:t>
      </w:r>
    </w:p>
    <w:p>
      <w:pPr>
        <w:pStyle w:val="73"/>
        <w:rPr>
          <w:rFonts w:cs="Times New Roman"/>
        </w:rPr>
      </w:pPr>
      <w:r>
        <w:t>6.</w:t>
      </w:r>
      <w:r>
        <w:rPr>
          <w:rFonts w:hint="eastAsia"/>
        </w:rPr>
        <w:t>选手在比赛过程中，不允许离开赛场，不允许影响其他参赛队的比赛，否则取消参赛资格。</w:t>
      </w:r>
    </w:p>
    <w:p>
      <w:pPr>
        <w:pStyle w:val="73"/>
        <w:rPr>
          <w:rFonts w:cs="Times New Roman"/>
        </w:rPr>
      </w:pPr>
      <w:r>
        <w:t>7.</w:t>
      </w:r>
      <w:r>
        <w:rPr>
          <w:rFonts w:hint="eastAsia"/>
        </w:rPr>
        <w:t>参赛选手可提前提交竞赛结果，但须按大赛规定时间离开赛场，不允许提前离场。</w:t>
      </w:r>
    </w:p>
    <w:p>
      <w:pPr>
        <w:pStyle w:val="73"/>
        <w:rPr>
          <w:rFonts w:cs="Times New Roman"/>
        </w:rPr>
      </w:pPr>
      <w:r>
        <w:t>8.</w:t>
      </w:r>
      <w:r>
        <w:rPr>
          <w:rFonts w:hint="eastAsia"/>
        </w:rPr>
        <w:t>参赛选手在竞赛结果上只填写参赛队赛位号，禁止做任何与竞赛试题无关的标记，否则取消奖项评比资格。</w:t>
      </w:r>
    </w:p>
    <w:p>
      <w:pPr>
        <w:pStyle w:val="73"/>
        <w:rPr>
          <w:rFonts w:cs="Times New Roman"/>
        </w:rPr>
      </w:pPr>
      <w:r>
        <w:t>9.</w:t>
      </w:r>
      <w:r>
        <w:rPr>
          <w:rFonts w:hint="eastAsia"/>
        </w:rPr>
        <w:t>裁判宣布竞赛时间到，选手须立即停止操作，否则按违纪处理，取消奖项评比资格；若提前提交竞赛结果，应该举手示意，结束竞赛后不得再进行任何答卷或操作，选手一律按大赛统一时间离场。</w:t>
      </w:r>
    </w:p>
    <w:p>
      <w:pPr>
        <w:pStyle w:val="73"/>
        <w:rPr>
          <w:rFonts w:cs="Times New Roman"/>
        </w:rPr>
      </w:pPr>
      <w:r>
        <w:t>10.</w:t>
      </w:r>
      <w:r>
        <w:rPr>
          <w:rFonts w:hint="eastAsia"/>
        </w:rPr>
        <w:t>参赛选手应严格遵守操作规程，确保人身及设备安全。设备出现故障，应举手示意，由裁判视具体情况做出裁决。如因选手个人原因出现安全事件或设备故障，未造成严重后果的，按相关规定扣减分数；造成严重后果的，由主裁判裁定其竞赛结束。非选手个人原因出现的安全事件或设备故障，由主裁判做出裁决，视具体情况给选手补足排除故障耗费时间。</w:t>
      </w:r>
    </w:p>
    <w:p>
      <w:pPr>
        <w:pStyle w:val="73"/>
        <w:rPr>
          <w:rFonts w:cs="Times New Roman"/>
        </w:rPr>
      </w:pPr>
      <w:r>
        <w:t>11.</w:t>
      </w:r>
      <w:r>
        <w:rPr>
          <w:rFonts w:hint="eastAsia"/>
        </w:rPr>
        <w:t>参赛选手不得将试卷及草稿纸带出赛场，违反者按违纪处理，取消奖项评比资格。</w:t>
      </w:r>
    </w:p>
    <w:p>
      <w:pPr>
        <w:pStyle w:val="73"/>
        <w:rPr>
          <w:rFonts w:cs="Times New Roman"/>
        </w:rPr>
      </w:pPr>
      <w:r>
        <w:t>12.</w:t>
      </w:r>
      <w:r>
        <w:rPr>
          <w:rFonts w:hint="eastAsia"/>
        </w:rPr>
        <w:t>竞赛未全面结束前，所有设备不允许关机。</w:t>
      </w:r>
    </w:p>
    <w:p>
      <w:pPr>
        <w:pStyle w:val="73"/>
        <w:rPr>
          <w:rFonts w:cs="Times New Roman"/>
        </w:rPr>
      </w:pPr>
      <w:r>
        <w:t>13.</w:t>
      </w:r>
      <w:r>
        <w:rPr>
          <w:rFonts w:hint="eastAsia"/>
        </w:rPr>
        <w:t>参赛选手应严格遵守赛场规则，服从裁判，文明竞赛。有作弊行为的，取消比赛资格和评奖资格，该项成绩为</w:t>
      </w:r>
      <w:r>
        <w:t>0</w:t>
      </w:r>
      <w:r>
        <w:rPr>
          <w:rFonts w:hint="eastAsia"/>
        </w:rPr>
        <w:t>分；如有不服从裁判、扰乱赛场秩序等不文明行为，按照相关规定扣减分数，情节严重的取消比赛资格和竞赛成绩。</w:t>
      </w:r>
    </w:p>
    <w:p>
      <w:pPr>
        <w:pStyle w:val="73"/>
        <w:rPr>
          <w:rFonts w:cs="Times New Roman"/>
        </w:rPr>
      </w:pPr>
      <w:r>
        <w:rPr>
          <w:rFonts w:hint="eastAsia"/>
        </w:rPr>
        <w:t>（四）工作人员须知</w:t>
      </w:r>
    </w:p>
    <w:p>
      <w:pPr>
        <w:pStyle w:val="73"/>
        <w:rPr>
          <w:rFonts w:cs="Times New Roman"/>
        </w:rPr>
      </w:pPr>
      <w:r>
        <w:t>1.</w:t>
      </w:r>
      <w:r>
        <w:rPr>
          <w:rFonts w:hint="eastAsia"/>
        </w:rPr>
        <w:t>大赛全体工作人员必须服从执委会统一指挥，认真履行职责，做好比赛服务工作。</w:t>
      </w:r>
    </w:p>
    <w:p>
      <w:pPr>
        <w:pStyle w:val="73"/>
        <w:rPr>
          <w:rFonts w:cs="Times New Roman"/>
        </w:rPr>
      </w:pPr>
      <w:r>
        <w:t>2.</w:t>
      </w:r>
      <w:r>
        <w:rPr>
          <w:rFonts w:hint="eastAsia"/>
        </w:rPr>
        <w:t>全体工作人员要按分工准时到岗，尽职尽责做好份内各项工作，保证比赛顺利进行。</w:t>
      </w:r>
    </w:p>
    <w:p>
      <w:pPr>
        <w:pStyle w:val="73"/>
        <w:rPr>
          <w:rFonts w:cs="Times New Roman"/>
        </w:rPr>
      </w:pPr>
      <w:r>
        <w:t>3.</w:t>
      </w:r>
      <w:r>
        <w:rPr>
          <w:rFonts w:hint="eastAsia"/>
        </w:rPr>
        <w:t>赛场技术负责人要坚守岗位，比赛出现技术问题（包括设备、器材等）时，应与裁判组组长及时联系，及时处理，如需要重新比赛要得到执委会同意后方可进行。</w:t>
      </w:r>
    </w:p>
    <w:p>
      <w:pPr>
        <w:pStyle w:val="73"/>
        <w:rPr>
          <w:rFonts w:cs="Times New Roman"/>
        </w:rPr>
      </w:pPr>
      <w:r>
        <w:t>4.</w:t>
      </w:r>
      <w:r>
        <w:rPr>
          <w:rFonts w:hint="eastAsia"/>
        </w:rPr>
        <w:t>如遇突发事件，要及时向执委会报告，同时做好疏导工作，避免重大事故发生。</w:t>
      </w:r>
    </w:p>
    <w:p>
      <w:pPr>
        <w:pStyle w:val="73"/>
        <w:rPr>
          <w:rFonts w:cs="Times New Roman"/>
        </w:rPr>
      </w:pPr>
      <w:r>
        <w:t>5.</w:t>
      </w:r>
      <w:r>
        <w:rPr>
          <w:rFonts w:hint="eastAsia"/>
        </w:rPr>
        <w:t>认真组织好参赛选手报到及赛前准备工作，维护好比赛秩序，遇有重大问题及时与执委会联系协商解决办法。</w:t>
      </w:r>
    </w:p>
    <w:p>
      <w:pPr>
        <w:pStyle w:val="73"/>
        <w:rPr>
          <w:rFonts w:cs="Times New Roman"/>
        </w:rPr>
      </w:pPr>
      <w:r>
        <w:t>6.</w:t>
      </w:r>
      <w:r>
        <w:rPr>
          <w:rFonts w:hint="eastAsia"/>
        </w:rPr>
        <w:t>参赛选手禁止携带手机等通信设备进入赛场。检录人员、场内服务人员在比赛进行时一律关闭手机，非特殊原因不得擅自离开赛场。</w:t>
      </w:r>
    </w:p>
    <w:p>
      <w:pPr>
        <w:pStyle w:val="73"/>
        <w:rPr>
          <w:rFonts w:cs="Times New Roman"/>
        </w:rPr>
      </w:pPr>
      <w:r>
        <w:t>7.</w:t>
      </w:r>
      <w:r>
        <w:rPr>
          <w:rFonts w:hint="eastAsia"/>
        </w:rPr>
        <w:t>比赛现场不得进行聊天、打闹等可能影响参赛选手的任何举动；不得私自与参赛选手交谈。</w:t>
      </w:r>
    </w:p>
    <w:p>
      <w:pPr>
        <w:pStyle w:val="73"/>
        <w:rPr>
          <w:rFonts w:cs="Times New Roman"/>
        </w:rPr>
      </w:pPr>
      <w:r>
        <w:t>8.</w:t>
      </w:r>
      <w:r>
        <w:rPr>
          <w:rFonts w:hint="eastAsia"/>
        </w:rPr>
        <w:t>现场裁判要秉公监考。如遇疑问或争议，须请示裁判长，裁判长的决定为现场最终裁定。</w:t>
      </w:r>
    </w:p>
    <w:p>
      <w:pPr>
        <w:pStyle w:val="73"/>
        <w:rPr>
          <w:rFonts w:ascii="Times New Roman" w:hAnsi="Times New Roman"/>
          <w:color w:val="C00000"/>
          <w:lang w:val="zh-CN"/>
        </w:rPr>
      </w:pPr>
      <w:r>
        <w:t>9.</w:t>
      </w:r>
      <w:r>
        <w:rPr>
          <w:rFonts w:hint="eastAsia"/>
        </w:rPr>
        <w:t>参赛队进入赛场，赛场工作人员应按规定审查允许带入赛场的资料和物品，不允许带入赛场的物品交由参赛队随行人员保管，赛场不提供保管服务。</w:t>
      </w:r>
    </w:p>
    <w:p>
      <w:pPr>
        <w:snapToGrid w:val="0"/>
        <w:spacing w:line="560" w:lineRule="exact"/>
        <w:ind w:firstLine="551" w:firstLineChars="196"/>
        <w:jc w:val="left"/>
        <w:outlineLvl w:val="0"/>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十六、申诉与仲裁</w:t>
      </w:r>
    </w:p>
    <w:p>
      <w:pPr>
        <w:pStyle w:val="73"/>
      </w:pPr>
      <w:r>
        <w:rPr>
          <w:rFonts w:hint="eastAsia"/>
        </w:rPr>
        <w:t>大赛采取两级仲裁机制：赛项设仲裁工作组，赛区设仲裁委员会，大赛执委会办公室选派人员参加赛区仲裁委员会工作。</w:t>
      </w:r>
    </w:p>
    <w:p>
      <w:pPr>
        <w:pStyle w:val="73"/>
        <w:rPr>
          <w:rFonts w:cs="Times New Roman"/>
        </w:rPr>
      </w:pPr>
      <w:r>
        <w:rPr>
          <w:rFonts w:hint="eastAsia"/>
        </w:rPr>
        <w:t>本赛项在比赛过程中若出现有失公正或有关人员违规等现象，参赛队领队可在比赛结束后</w:t>
      </w:r>
      <w:r>
        <w:t>2</w:t>
      </w:r>
      <w:r>
        <w:rPr>
          <w:rFonts w:hint="eastAsia"/>
        </w:rPr>
        <w:t>小时之内向仲裁工作组提出</w:t>
      </w:r>
      <w:r>
        <w:rPr>
          <w:rFonts w:hint="eastAsia"/>
          <w:b w:val="0"/>
          <w:bCs w:val="0"/>
          <w:color w:val="auto"/>
        </w:rPr>
        <w:t>书面</w:t>
      </w:r>
      <w:r>
        <w:rPr>
          <w:rFonts w:hint="eastAsia"/>
        </w:rPr>
        <w:t>申诉。赛项仲裁工作组在接到申诉后的</w:t>
      </w:r>
      <w:r>
        <w:t>2</w:t>
      </w:r>
      <w:r>
        <w:rPr>
          <w:rFonts w:hint="eastAsia"/>
        </w:rPr>
        <w:t>小时内组织复议，并及时反馈复议结果。</w:t>
      </w:r>
    </w:p>
    <w:p>
      <w:pPr>
        <w:pStyle w:val="73"/>
        <w:rPr>
          <w:rFonts w:hAnsi="宋体" w:cs="Times New Roman"/>
        </w:rPr>
      </w:pPr>
      <w:r>
        <w:rPr>
          <w:rFonts w:hint="eastAsia"/>
        </w:rPr>
        <w:t>如申诉方对复议结果仍有异议，可由省（市）领队向赛区仲裁委员会提出申诉，赛区仲裁委员会的仲裁结果为最终结果。</w:t>
      </w:r>
    </w:p>
    <w:p>
      <w:pPr>
        <w:snapToGrid w:val="0"/>
        <w:spacing w:line="560" w:lineRule="exact"/>
        <w:ind w:firstLine="551" w:firstLineChars="196"/>
        <w:jc w:val="left"/>
        <w:outlineLvl w:val="0"/>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十七、竞赛观摩</w:t>
      </w:r>
    </w:p>
    <w:p>
      <w:pPr>
        <w:pStyle w:val="73"/>
        <w:rPr>
          <w:rFonts w:cs="Times New Roman"/>
        </w:rPr>
      </w:pPr>
      <w:r>
        <w:rPr>
          <w:rFonts w:hint="eastAsia"/>
        </w:rPr>
        <w:t>本赛项提供多种方式的观摩平台，面向各种对象提供公开观摩服务，展示高等职业教育教学改革成果。</w:t>
      </w:r>
    </w:p>
    <w:p>
      <w:pPr>
        <w:pStyle w:val="73"/>
        <w:rPr>
          <w:rFonts w:cs="Times New Roman"/>
        </w:rPr>
      </w:pPr>
      <w:r>
        <w:rPr>
          <w:rFonts w:hint="eastAsia"/>
        </w:rPr>
        <w:t>（一）观摩对象</w:t>
      </w:r>
    </w:p>
    <w:p>
      <w:pPr>
        <w:pStyle w:val="73"/>
        <w:rPr>
          <w:rFonts w:cs="Times New Roman"/>
        </w:rPr>
      </w:pPr>
      <w:r>
        <w:rPr>
          <w:rFonts w:hint="eastAsia"/>
        </w:rPr>
        <w:t>与赛项相关的企业、单位、院校、行业协会的专家、技术人员、指导教师等。</w:t>
      </w:r>
    </w:p>
    <w:p>
      <w:pPr>
        <w:pStyle w:val="73"/>
        <w:rPr>
          <w:rFonts w:cs="Times New Roman"/>
        </w:rPr>
      </w:pPr>
      <w:r>
        <w:rPr>
          <w:rFonts w:hint="eastAsia"/>
        </w:rPr>
        <w:t>（二）观摩时间</w:t>
      </w:r>
    </w:p>
    <w:p>
      <w:pPr>
        <w:pStyle w:val="73"/>
        <w:rPr>
          <w:rFonts w:cs="Times New Roman"/>
        </w:rPr>
      </w:pPr>
      <w:r>
        <w:rPr>
          <w:rFonts w:hint="eastAsia"/>
        </w:rPr>
        <w:t>比赛开始后提供公开观摩，具体时间安排以赛项指南为准。</w:t>
      </w:r>
    </w:p>
    <w:p>
      <w:pPr>
        <w:pStyle w:val="73"/>
        <w:rPr>
          <w:rFonts w:cs="Times New Roman"/>
        </w:rPr>
      </w:pPr>
      <w:r>
        <w:rPr>
          <w:rFonts w:hint="eastAsia"/>
        </w:rPr>
        <w:t>（三）观摩形式</w:t>
      </w:r>
    </w:p>
    <w:p>
      <w:pPr>
        <w:pStyle w:val="73"/>
        <w:rPr>
          <w:rFonts w:cs="Times New Roman"/>
        </w:rPr>
      </w:pPr>
      <w:r>
        <w:t>1.</w:t>
      </w:r>
      <w:r>
        <w:rPr>
          <w:rFonts w:hint="eastAsia"/>
        </w:rPr>
        <w:t>在展示平台区域配备有大屏幕，可以实时显示各参赛队完成状态，供观众观看，既满足场内外信息联动，又可起到公众监督的作用。</w:t>
      </w:r>
    </w:p>
    <w:p>
      <w:pPr>
        <w:pStyle w:val="73"/>
        <w:rPr>
          <w:rFonts w:cs="Times New Roman"/>
        </w:rPr>
      </w:pPr>
      <w:r>
        <w:t>2.</w:t>
      </w:r>
      <w:r>
        <w:rPr>
          <w:rFonts w:hint="eastAsia"/>
        </w:rPr>
        <w:t>在赛场区域通过视频、文字等多种方式实时向外界播报赛况。</w:t>
      </w:r>
    </w:p>
    <w:p>
      <w:pPr>
        <w:pStyle w:val="73"/>
        <w:rPr>
          <w:rFonts w:cs="Times New Roman"/>
        </w:rPr>
      </w:pPr>
      <w:r>
        <w:t>3.</w:t>
      </w:r>
      <w:r>
        <w:rPr>
          <w:rFonts w:hint="eastAsia"/>
        </w:rPr>
        <w:t>现场的媒体、观众、指导老师在观摩赛事时应遵守赛场相关规定，不喧哗，不吵闹，严格禁止任何影响比赛秩序与公众秩序的行为。</w:t>
      </w:r>
    </w:p>
    <w:p>
      <w:pPr>
        <w:pStyle w:val="73"/>
        <w:rPr>
          <w:rFonts w:cs="Times New Roman"/>
        </w:rPr>
      </w:pPr>
      <w:r>
        <w:rPr>
          <w:rFonts w:hint="eastAsia"/>
        </w:rPr>
        <w:t>（四）观摩纪律</w:t>
      </w:r>
    </w:p>
    <w:p>
      <w:pPr>
        <w:pStyle w:val="73"/>
        <w:rPr>
          <w:rFonts w:cs="Times New Roman"/>
        </w:rPr>
      </w:pPr>
      <w:r>
        <w:t>1.</w:t>
      </w:r>
      <w:r>
        <w:rPr>
          <w:rFonts w:hint="eastAsia"/>
        </w:rPr>
        <w:t>观摩人员必须佩带观摩证。</w:t>
      </w:r>
    </w:p>
    <w:p>
      <w:pPr>
        <w:pStyle w:val="73"/>
        <w:rPr>
          <w:rFonts w:cs="Times New Roman"/>
        </w:rPr>
      </w:pPr>
      <w:r>
        <w:t>2.</w:t>
      </w:r>
      <w:r>
        <w:rPr>
          <w:rFonts w:hint="eastAsia"/>
        </w:rPr>
        <w:t>观摩时不得议论、交谈，并严禁与选手进行交流。</w:t>
      </w:r>
    </w:p>
    <w:p>
      <w:pPr>
        <w:pStyle w:val="73"/>
        <w:rPr>
          <w:rFonts w:cs="Times New Roman"/>
        </w:rPr>
      </w:pPr>
      <w:r>
        <w:t>3.</w:t>
      </w:r>
      <w:r>
        <w:rPr>
          <w:rFonts w:hint="eastAsia"/>
        </w:rPr>
        <w:t>观摩时不得私自进入竞赛区域，以免影响选手比赛。</w:t>
      </w:r>
    </w:p>
    <w:p>
      <w:pPr>
        <w:pStyle w:val="73"/>
        <w:rPr>
          <w:rFonts w:cs="Times New Roman"/>
        </w:rPr>
      </w:pPr>
      <w:r>
        <w:t>4.</w:t>
      </w:r>
      <w:r>
        <w:rPr>
          <w:rFonts w:hint="eastAsia"/>
        </w:rPr>
        <w:t>观摩时不准向场内裁判及工作人员提问。</w:t>
      </w:r>
    </w:p>
    <w:p>
      <w:pPr>
        <w:pStyle w:val="73"/>
        <w:rPr>
          <w:rFonts w:hAnsi="宋体" w:cs="Times New Roman"/>
          <w:b/>
          <w:bCs/>
        </w:rPr>
      </w:pPr>
      <w:r>
        <w:rPr>
          <w:rFonts w:hint="eastAsia"/>
        </w:rPr>
        <w:t>凡违反以上规定者，立即取消观摩资格。</w:t>
      </w:r>
    </w:p>
    <w:p>
      <w:pPr>
        <w:numPr>
          <w:ilvl w:val="0"/>
          <w:numId w:val="9"/>
        </w:numPr>
        <w:snapToGrid w:val="0"/>
        <w:spacing w:line="560" w:lineRule="exact"/>
        <w:ind w:firstLine="551" w:firstLineChars="196"/>
        <w:jc w:val="left"/>
        <w:outlineLvl w:val="0"/>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竞赛直播</w:t>
      </w:r>
    </w:p>
    <w:p>
      <w:pPr>
        <w:pStyle w:val="73"/>
      </w:pPr>
      <w:r>
        <w:rPr>
          <w:rFonts w:hint="eastAsia"/>
        </w:rPr>
        <w:t>（一）直播方式</w:t>
      </w:r>
    </w:p>
    <w:p>
      <w:pPr>
        <w:pStyle w:val="73"/>
      </w:pPr>
      <w:r>
        <w:rPr>
          <w:rFonts w:hint="eastAsia"/>
        </w:rPr>
        <w:t>1.赛场内部署无盲点录像设备，能实时录制并播送赛场情况；</w:t>
      </w:r>
    </w:p>
    <w:p>
      <w:pPr>
        <w:pStyle w:val="73"/>
      </w:pPr>
      <w:r>
        <w:rPr>
          <w:rFonts w:hint="eastAsia"/>
        </w:rPr>
        <w:t>2.赛场外有大屏幕或投影，同步显示赛场内竞赛状况；</w:t>
      </w:r>
    </w:p>
    <w:p>
      <w:pPr>
        <w:pStyle w:val="73"/>
      </w:pPr>
      <w:r>
        <w:rPr>
          <w:rFonts w:hint="eastAsia"/>
        </w:rPr>
        <w:t>3.赛场外通过大屏幕或投影，实时展示竞赛考试系统选手答题进度。</w:t>
      </w:r>
    </w:p>
    <w:p>
      <w:pPr>
        <w:pStyle w:val="73"/>
      </w:pPr>
      <w:r>
        <w:rPr>
          <w:rFonts w:hint="eastAsia"/>
        </w:rPr>
        <w:t>（二）直播安排</w:t>
      </w:r>
    </w:p>
    <w:p>
      <w:pPr>
        <w:pStyle w:val="73"/>
      </w:pPr>
      <w:r>
        <w:rPr>
          <w:rFonts w:hint="eastAsia"/>
        </w:rPr>
        <w:t>1.对赛项开赛式和闭赛式、比赛期间进行录像。</w:t>
      </w:r>
    </w:p>
    <w:p>
      <w:pPr>
        <w:pStyle w:val="73"/>
      </w:pPr>
      <w:r>
        <w:rPr>
          <w:rFonts w:hint="eastAsia"/>
        </w:rPr>
        <w:t>2.从选手进入赛场开始，全程进行赛场实时录像直播。</w:t>
      </w:r>
    </w:p>
    <w:p>
      <w:pPr>
        <w:pStyle w:val="73"/>
      </w:pPr>
      <w:r>
        <w:rPr>
          <w:rFonts w:hint="eastAsia"/>
        </w:rPr>
        <w:t>（三）直播内容</w:t>
      </w:r>
    </w:p>
    <w:p>
      <w:pPr>
        <w:pStyle w:val="73"/>
      </w:pPr>
      <w:r>
        <w:rPr>
          <w:rFonts w:hint="eastAsia"/>
        </w:rPr>
        <w:t>1.赛项执行委员会安排专人对赛项开闭赛式、比赛过程进行全程直播和录像。</w:t>
      </w:r>
    </w:p>
    <w:p>
      <w:pPr>
        <w:pStyle w:val="73"/>
        <w:rPr>
          <w:rFonts w:hAnsi="宋体" w:cs="Times New Roman"/>
        </w:rPr>
      </w:pPr>
      <w:r>
        <w:rPr>
          <w:rFonts w:hint="eastAsia"/>
        </w:rPr>
        <w:t>2.制作参赛选手、指导教师采访实录，裁判专家点评和企业人士采访视频资料，突出赛项的技能重点与优势特色。为宣传、仲裁、资源转化提供全面的信息资料。</w:t>
      </w:r>
    </w:p>
    <w:p>
      <w:pPr>
        <w:snapToGrid w:val="0"/>
        <w:spacing w:line="560" w:lineRule="exact"/>
        <w:ind w:firstLine="562" w:firstLineChars="200"/>
        <w:jc w:val="left"/>
        <w:outlineLvl w:val="0"/>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十九、资源转化</w:t>
      </w:r>
    </w:p>
    <w:p>
      <w:pPr>
        <w:pStyle w:val="73"/>
        <w:rPr>
          <w:rFonts w:cs="Times New Roman"/>
        </w:rPr>
      </w:pPr>
      <w:r>
        <w:rPr>
          <w:rFonts w:hint="eastAsia"/>
        </w:rPr>
        <w:t>参照</w:t>
      </w:r>
      <w:r>
        <w:t>201</w:t>
      </w:r>
      <w:r>
        <w:rPr>
          <w:rFonts w:hint="eastAsia"/>
        </w:rPr>
        <w:t>9年《全国职业院校技能大赛赛项资源转化工作办法》的有关要求，提供赛项竞赛全过程的各类资源，于赛后</w:t>
      </w:r>
      <w:r>
        <w:t>30</w:t>
      </w:r>
      <w:r>
        <w:rPr>
          <w:rFonts w:hint="eastAsia"/>
        </w:rPr>
        <w:t>日内向大赛执委会办公室提交资源转化方案，半年内完成资源转化工作，形成符合行业标准、契合课程标准、突出技能特色、展现竞赛优势，满足职业教育教学需求、体现先进教学模式、反映职业教育先进水平的赛项资源转化成果。</w:t>
      </w:r>
    </w:p>
    <w:p>
      <w:pPr>
        <w:spacing w:line="560" w:lineRule="exact"/>
        <w:jc w:val="center"/>
        <w:rPr>
          <w:rFonts w:ascii="仿宋_GB2312" w:hAnsi="仿宋" w:eastAsia="仿宋_GB2312" w:cs="仿宋_GB2312"/>
          <w:b/>
          <w:kern w:val="0"/>
          <w:sz w:val="24"/>
          <w:szCs w:val="24"/>
        </w:rPr>
      </w:pPr>
      <w:r>
        <w:rPr>
          <w:rFonts w:cs="Times New Roman"/>
        </w:rPr>
        <w:br w:type="page"/>
      </w:r>
      <w:r>
        <w:rPr>
          <w:rFonts w:hint="eastAsia" w:ascii="仿宋_GB2312" w:hAnsi="仿宋" w:eastAsia="仿宋_GB2312" w:cs="仿宋_GB2312"/>
          <w:b/>
          <w:kern w:val="0"/>
          <w:sz w:val="24"/>
          <w:szCs w:val="24"/>
        </w:rPr>
        <w:t>表6教学资源转化建设计划</w:t>
      </w: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819"/>
        <w:gridCol w:w="1507"/>
        <w:gridCol w:w="1243"/>
        <w:gridCol w:w="810"/>
        <w:gridCol w:w="2475"/>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2" w:type="dxa"/>
            <w:gridSpan w:val="3"/>
            <w:vAlign w:val="center"/>
          </w:tcPr>
          <w:p>
            <w:pPr>
              <w:pStyle w:val="66"/>
              <w:spacing w:line="560" w:lineRule="exact"/>
              <w:rPr>
                <w:rFonts w:ascii="仿宋" w:hAnsi="仿宋" w:eastAsia="仿宋"/>
                <w:b/>
              </w:rPr>
            </w:pPr>
            <w:r>
              <w:rPr>
                <w:rFonts w:ascii="仿宋" w:hAnsi="仿宋" w:eastAsia="仿宋"/>
                <w:b/>
              </w:rPr>
              <w:t>资源名称</w:t>
            </w:r>
          </w:p>
        </w:tc>
        <w:tc>
          <w:tcPr>
            <w:tcW w:w="1243" w:type="dxa"/>
            <w:vAlign w:val="center"/>
          </w:tcPr>
          <w:p>
            <w:pPr>
              <w:pStyle w:val="66"/>
              <w:spacing w:line="560" w:lineRule="exact"/>
              <w:rPr>
                <w:rFonts w:ascii="仿宋" w:hAnsi="仿宋" w:eastAsia="仿宋"/>
                <w:b/>
              </w:rPr>
            </w:pPr>
            <w:r>
              <w:rPr>
                <w:rFonts w:ascii="仿宋" w:hAnsi="仿宋" w:eastAsia="仿宋"/>
                <w:b/>
              </w:rPr>
              <w:t>表现形式</w:t>
            </w:r>
          </w:p>
        </w:tc>
        <w:tc>
          <w:tcPr>
            <w:tcW w:w="810" w:type="dxa"/>
            <w:vAlign w:val="center"/>
          </w:tcPr>
          <w:p>
            <w:pPr>
              <w:pStyle w:val="66"/>
              <w:spacing w:line="560" w:lineRule="exact"/>
              <w:rPr>
                <w:rFonts w:ascii="仿宋" w:hAnsi="仿宋" w:eastAsia="仿宋"/>
                <w:b/>
              </w:rPr>
            </w:pPr>
            <w:r>
              <w:rPr>
                <w:rFonts w:ascii="仿宋" w:hAnsi="仿宋" w:eastAsia="仿宋"/>
                <w:b/>
              </w:rPr>
              <w:t>资源数量</w:t>
            </w:r>
          </w:p>
        </w:tc>
        <w:tc>
          <w:tcPr>
            <w:tcW w:w="2475" w:type="dxa"/>
            <w:vAlign w:val="center"/>
          </w:tcPr>
          <w:p>
            <w:pPr>
              <w:pStyle w:val="66"/>
              <w:spacing w:line="560" w:lineRule="exact"/>
              <w:rPr>
                <w:rFonts w:ascii="仿宋" w:hAnsi="仿宋" w:eastAsia="仿宋"/>
                <w:b/>
              </w:rPr>
            </w:pPr>
            <w:r>
              <w:rPr>
                <w:rFonts w:ascii="仿宋" w:hAnsi="仿宋" w:eastAsia="仿宋"/>
                <w:b/>
              </w:rPr>
              <w:t>资源要求</w:t>
            </w:r>
          </w:p>
        </w:tc>
        <w:tc>
          <w:tcPr>
            <w:tcW w:w="1142" w:type="dxa"/>
            <w:vAlign w:val="center"/>
          </w:tcPr>
          <w:p>
            <w:pPr>
              <w:pStyle w:val="66"/>
              <w:spacing w:line="560" w:lineRule="exact"/>
              <w:rPr>
                <w:rFonts w:ascii="仿宋" w:hAnsi="仿宋" w:eastAsia="仿宋"/>
                <w:b/>
              </w:rPr>
            </w:pPr>
            <w:r>
              <w:rPr>
                <w:rFonts w:ascii="仿宋" w:hAnsi="仿宋" w:eastAsia="仿宋"/>
                <w:b/>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 w:type="dxa"/>
            <w:vMerge w:val="restart"/>
            <w:vAlign w:val="center"/>
          </w:tcPr>
          <w:p>
            <w:pPr>
              <w:pStyle w:val="66"/>
              <w:spacing w:line="560" w:lineRule="exact"/>
              <w:rPr>
                <w:rFonts w:ascii="仿宋" w:hAnsi="仿宋" w:eastAsia="仿宋"/>
              </w:rPr>
            </w:pPr>
            <w:r>
              <w:rPr>
                <w:rFonts w:ascii="仿宋" w:hAnsi="仿宋" w:eastAsia="仿宋"/>
              </w:rPr>
              <w:t>基</w:t>
            </w:r>
          </w:p>
          <w:p>
            <w:pPr>
              <w:pStyle w:val="66"/>
              <w:spacing w:line="560" w:lineRule="exact"/>
              <w:rPr>
                <w:rFonts w:ascii="仿宋" w:hAnsi="仿宋" w:eastAsia="仿宋"/>
              </w:rPr>
            </w:pPr>
            <w:r>
              <w:rPr>
                <w:rFonts w:ascii="仿宋" w:hAnsi="仿宋" w:eastAsia="仿宋"/>
              </w:rPr>
              <w:t>本</w:t>
            </w:r>
          </w:p>
          <w:p>
            <w:pPr>
              <w:pStyle w:val="66"/>
              <w:spacing w:line="560" w:lineRule="exact"/>
              <w:rPr>
                <w:rFonts w:ascii="仿宋" w:hAnsi="仿宋" w:eastAsia="仿宋"/>
              </w:rPr>
            </w:pPr>
            <w:r>
              <w:rPr>
                <w:rFonts w:ascii="仿宋" w:hAnsi="仿宋" w:eastAsia="仿宋"/>
              </w:rPr>
              <w:t>资</w:t>
            </w:r>
          </w:p>
          <w:p>
            <w:pPr>
              <w:pStyle w:val="66"/>
              <w:spacing w:line="560" w:lineRule="exact"/>
              <w:rPr>
                <w:rFonts w:ascii="仿宋" w:hAnsi="仿宋" w:eastAsia="仿宋"/>
              </w:rPr>
            </w:pPr>
            <w:r>
              <w:rPr>
                <w:rFonts w:ascii="仿宋" w:hAnsi="仿宋" w:eastAsia="仿宋"/>
              </w:rPr>
              <w:t>源</w:t>
            </w:r>
          </w:p>
        </w:tc>
        <w:tc>
          <w:tcPr>
            <w:tcW w:w="819" w:type="dxa"/>
            <w:vMerge w:val="restart"/>
            <w:vAlign w:val="center"/>
          </w:tcPr>
          <w:p>
            <w:pPr>
              <w:pStyle w:val="66"/>
              <w:spacing w:line="560" w:lineRule="exact"/>
              <w:rPr>
                <w:rFonts w:ascii="仿宋" w:hAnsi="仿宋" w:eastAsia="仿宋"/>
              </w:rPr>
            </w:pPr>
            <w:r>
              <w:rPr>
                <w:rFonts w:ascii="仿宋" w:hAnsi="仿宋" w:eastAsia="仿宋"/>
              </w:rPr>
              <w:t>风采展示</w:t>
            </w:r>
          </w:p>
        </w:tc>
        <w:tc>
          <w:tcPr>
            <w:tcW w:w="1507" w:type="dxa"/>
            <w:vAlign w:val="center"/>
          </w:tcPr>
          <w:p>
            <w:pPr>
              <w:pStyle w:val="66"/>
              <w:spacing w:line="560" w:lineRule="exact"/>
              <w:rPr>
                <w:rFonts w:ascii="仿宋" w:hAnsi="仿宋" w:eastAsia="仿宋"/>
              </w:rPr>
            </w:pPr>
            <w:r>
              <w:rPr>
                <w:rFonts w:ascii="仿宋" w:hAnsi="仿宋" w:eastAsia="仿宋"/>
              </w:rPr>
              <w:t>赛项宣传片</w:t>
            </w:r>
          </w:p>
        </w:tc>
        <w:tc>
          <w:tcPr>
            <w:tcW w:w="1243" w:type="dxa"/>
            <w:vAlign w:val="center"/>
          </w:tcPr>
          <w:p>
            <w:pPr>
              <w:pStyle w:val="66"/>
              <w:spacing w:line="560" w:lineRule="exact"/>
              <w:rPr>
                <w:rFonts w:ascii="仿宋" w:hAnsi="仿宋" w:eastAsia="仿宋"/>
              </w:rPr>
            </w:pPr>
            <w:r>
              <w:rPr>
                <w:rFonts w:ascii="仿宋" w:hAnsi="仿宋" w:eastAsia="仿宋"/>
              </w:rPr>
              <w:t>视频</w:t>
            </w:r>
          </w:p>
        </w:tc>
        <w:tc>
          <w:tcPr>
            <w:tcW w:w="810" w:type="dxa"/>
            <w:vAlign w:val="center"/>
          </w:tcPr>
          <w:p>
            <w:pPr>
              <w:pStyle w:val="66"/>
              <w:spacing w:line="560" w:lineRule="exact"/>
              <w:rPr>
                <w:rFonts w:ascii="仿宋" w:hAnsi="仿宋" w:eastAsia="仿宋"/>
              </w:rPr>
            </w:pPr>
            <w:r>
              <w:rPr>
                <w:rFonts w:ascii="仿宋" w:hAnsi="仿宋" w:eastAsia="仿宋"/>
              </w:rPr>
              <w:t>1</w:t>
            </w:r>
            <w:r>
              <w:rPr>
                <w:rFonts w:hint="eastAsia" w:ascii="仿宋" w:hAnsi="仿宋" w:eastAsia="仿宋"/>
              </w:rPr>
              <w:t>个</w:t>
            </w:r>
          </w:p>
        </w:tc>
        <w:tc>
          <w:tcPr>
            <w:tcW w:w="2475" w:type="dxa"/>
            <w:vAlign w:val="center"/>
          </w:tcPr>
          <w:p>
            <w:pPr>
              <w:pStyle w:val="66"/>
              <w:spacing w:line="560" w:lineRule="exact"/>
              <w:rPr>
                <w:rFonts w:ascii="仿宋" w:hAnsi="仿宋" w:eastAsia="仿宋"/>
              </w:rPr>
            </w:pPr>
            <w:r>
              <w:rPr>
                <w:rFonts w:ascii="仿宋" w:hAnsi="仿宋" w:eastAsia="仿宋"/>
              </w:rPr>
              <w:t>15分钟以上</w:t>
            </w:r>
          </w:p>
        </w:tc>
        <w:tc>
          <w:tcPr>
            <w:tcW w:w="1142" w:type="dxa"/>
            <w:vAlign w:val="center"/>
          </w:tcPr>
          <w:p>
            <w:pPr>
              <w:pStyle w:val="66"/>
              <w:spacing w:line="560" w:lineRule="exact"/>
              <w:rPr>
                <w:rFonts w:ascii="仿宋" w:hAnsi="仿宋" w:eastAsia="仿宋"/>
              </w:rPr>
            </w:pPr>
            <w:r>
              <w:rPr>
                <w:rFonts w:ascii="仿宋" w:hAnsi="仿宋" w:eastAsia="仿宋"/>
              </w:rPr>
              <w:t>赛后1个月内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 w:type="dxa"/>
            <w:vMerge w:val="continue"/>
            <w:vAlign w:val="center"/>
          </w:tcPr>
          <w:p>
            <w:pPr>
              <w:pStyle w:val="66"/>
              <w:spacing w:line="560" w:lineRule="exact"/>
              <w:rPr>
                <w:rFonts w:ascii="仿宋" w:hAnsi="仿宋" w:eastAsia="仿宋"/>
              </w:rPr>
            </w:pPr>
          </w:p>
        </w:tc>
        <w:tc>
          <w:tcPr>
            <w:tcW w:w="819" w:type="dxa"/>
            <w:vMerge w:val="continue"/>
            <w:vAlign w:val="center"/>
          </w:tcPr>
          <w:p>
            <w:pPr>
              <w:pStyle w:val="66"/>
              <w:spacing w:line="560" w:lineRule="exact"/>
              <w:rPr>
                <w:rFonts w:ascii="仿宋" w:hAnsi="仿宋" w:eastAsia="仿宋"/>
              </w:rPr>
            </w:pPr>
          </w:p>
        </w:tc>
        <w:tc>
          <w:tcPr>
            <w:tcW w:w="1507" w:type="dxa"/>
            <w:vAlign w:val="center"/>
          </w:tcPr>
          <w:p>
            <w:pPr>
              <w:pStyle w:val="66"/>
              <w:spacing w:line="560" w:lineRule="exact"/>
              <w:rPr>
                <w:rFonts w:ascii="仿宋" w:hAnsi="仿宋" w:eastAsia="仿宋"/>
              </w:rPr>
            </w:pPr>
            <w:r>
              <w:rPr>
                <w:rFonts w:ascii="仿宋" w:hAnsi="仿宋" w:eastAsia="仿宋"/>
              </w:rPr>
              <w:t>风采展示片</w:t>
            </w:r>
          </w:p>
        </w:tc>
        <w:tc>
          <w:tcPr>
            <w:tcW w:w="1243" w:type="dxa"/>
            <w:vAlign w:val="center"/>
          </w:tcPr>
          <w:p>
            <w:pPr>
              <w:pStyle w:val="66"/>
              <w:spacing w:line="560" w:lineRule="exact"/>
              <w:rPr>
                <w:rFonts w:ascii="仿宋" w:hAnsi="仿宋" w:eastAsia="仿宋"/>
              </w:rPr>
            </w:pPr>
            <w:r>
              <w:rPr>
                <w:rFonts w:ascii="仿宋" w:hAnsi="仿宋" w:eastAsia="仿宋"/>
              </w:rPr>
              <w:t>视频</w:t>
            </w:r>
          </w:p>
        </w:tc>
        <w:tc>
          <w:tcPr>
            <w:tcW w:w="810" w:type="dxa"/>
            <w:vAlign w:val="center"/>
          </w:tcPr>
          <w:p>
            <w:pPr>
              <w:pStyle w:val="66"/>
              <w:spacing w:line="560" w:lineRule="exact"/>
              <w:rPr>
                <w:rFonts w:ascii="仿宋" w:hAnsi="仿宋" w:eastAsia="仿宋"/>
              </w:rPr>
            </w:pPr>
            <w:r>
              <w:rPr>
                <w:rFonts w:ascii="仿宋" w:hAnsi="仿宋" w:eastAsia="仿宋"/>
              </w:rPr>
              <w:t>1</w:t>
            </w:r>
            <w:r>
              <w:rPr>
                <w:rFonts w:hint="eastAsia" w:ascii="仿宋" w:hAnsi="仿宋" w:eastAsia="仿宋"/>
              </w:rPr>
              <w:t>个</w:t>
            </w:r>
          </w:p>
        </w:tc>
        <w:tc>
          <w:tcPr>
            <w:tcW w:w="2475" w:type="dxa"/>
            <w:vAlign w:val="center"/>
          </w:tcPr>
          <w:p>
            <w:pPr>
              <w:pStyle w:val="66"/>
              <w:spacing w:line="560" w:lineRule="exact"/>
              <w:rPr>
                <w:rFonts w:ascii="仿宋" w:hAnsi="仿宋" w:eastAsia="仿宋"/>
              </w:rPr>
            </w:pPr>
            <w:r>
              <w:rPr>
                <w:rFonts w:ascii="仿宋" w:hAnsi="仿宋" w:eastAsia="仿宋"/>
              </w:rPr>
              <w:t>10分钟以上</w:t>
            </w:r>
          </w:p>
        </w:tc>
        <w:tc>
          <w:tcPr>
            <w:tcW w:w="1142" w:type="dxa"/>
            <w:vAlign w:val="center"/>
          </w:tcPr>
          <w:p>
            <w:pPr>
              <w:pStyle w:val="66"/>
              <w:spacing w:line="560" w:lineRule="exact"/>
              <w:rPr>
                <w:rFonts w:ascii="仿宋" w:hAnsi="仿宋" w:eastAsia="仿宋"/>
              </w:rPr>
            </w:pPr>
            <w:r>
              <w:rPr>
                <w:rFonts w:ascii="仿宋" w:hAnsi="仿宋" w:eastAsia="仿宋"/>
              </w:rPr>
              <w:t>赛后一个月内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 w:type="dxa"/>
            <w:vMerge w:val="continue"/>
            <w:vAlign w:val="center"/>
          </w:tcPr>
          <w:p>
            <w:pPr>
              <w:snapToGrid w:val="0"/>
              <w:spacing w:line="560" w:lineRule="exact"/>
              <w:jc w:val="center"/>
              <w:rPr>
                <w:rFonts w:ascii="仿宋" w:hAnsi="仿宋" w:eastAsia="仿宋"/>
                <w:sz w:val="24"/>
                <w:szCs w:val="24"/>
              </w:rPr>
            </w:pPr>
          </w:p>
        </w:tc>
        <w:tc>
          <w:tcPr>
            <w:tcW w:w="819" w:type="dxa"/>
            <w:vAlign w:val="center"/>
          </w:tcPr>
          <w:p>
            <w:pPr>
              <w:pStyle w:val="66"/>
              <w:spacing w:line="560" w:lineRule="exact"/>
              <w:rPr>
                <w:rFonts w:ascii="仿宋" w:hAnsi="仿宋" w:eastAsia="仿宋"/>
              </w:rPr>
            </w:pPr>
            <w:r>
              <w:rPr>
                <w:rFonts w:ascii="仿宋" w:hAnsi="仿宋" w:eastAsia="仿宋"/>
              </w:rPr>
              <w:t>技能</w:t>
            </w:r>
          </w:p>
          <w:p>
            <w:pPr>
              <w:pStyle w:val="66"/>
              <w:spacing w:line="560" w:lineRule="exact"/>
              <w:rPr>
                <w:rFonts w:ascii="仿宋" w:hAnsi="仿宋" w:eastAsia="仿宋"/>
              </w:rPr>
            </w:pPr>
            <w:r>
              <w:rPr>
                <w:rFonts w:ascii="仿宋" w:hAnsi="仿宋" w:eastAsia="仿宋"/>
              </w:rPr>
              <w:t>概要</w:t>
            </w:r>
          </w:p>
        </w:tc>
        <w:tc>
          <w:tcPr>
            <w:tcW w:w="1507" w:type="dxa"/>
            <w:vAlign w:val="center"/>
          </w:tcPr>
          <w:p>
            <w:pPr>
              <w:pStyle w:val="66"/>
              <w:spacing w:line="560" w:lineRule="exact"/>
              <w:rPr>
                <w:rFonts w:ascii="仿宋" w:hAnsi="仿宋" w:eastAsia="仿宋"/>
              </w:rPr>
            </w:pPr>
            <w:r>
              <w:rPr>
                <w:rFonts w:ascii="仿宋" w:hAnsi="仿宋" w:eastAsia="仿宋"/>
              </w:rPr>
              <w:t>技能介绍</w:t>
            </w:r>
          </w:p>
          <w:p>
            <w:pPr>
              <w:pStyle w:val="66"/>
              <w:spacing w:line="560" w:lineRule="exact"/>
              <w:rPr>
                <w:rFonts w:ascii="仿宋" w:hAnsi="仿宋" w:eastAsia="仿宋"/>
              </w:rPr>
            </w:pPr>
            <w:r>
              <w:rPr>
                <w:rFonts w:ascii="仿宋" w:hAnsi="仿宋" w:eastAsia="仿宋"/>
              </w:rPr>
              <w:t>技能要点</w:t>
            </w:r>
          </w:p>
          <w:p>
            <w:pPr>
              <w:pStyle w:val="66"/>
              <w:spacing w:line="560" w:lineRule="exact"/>
              <w:rPr>
                <w:rFonts w:ascii="仿宋" w:hAnsi="仿宋" w:eastAsia="仿宋"/>
              </w:rPr>
            </w:pPr>
            <w:r>
              <w:rPr>
                <w:rFonts w:ascii="仿宋" w:hAnsi="仿宋" w:eastAsia="仿宋"/>
              </w:rPr>
              <w:t>评价指标</w:t>
            </w:r>
          </w:p>
        </w:tc>
        <w:tc>
          <w:tcPr>
            <w:tcW w:w="1243" w:type="dxa"/>
            <w:vAlign w:val="center"/>
          </w:tcPr>
          <w:p>
            <w:pPr>
              <w:pStyle w:val="66"/>
              <w:spacing w:line="560" w:lineRule="exact"/>
              <w:rPr>
                <w:rFonts w:ascii="仿宋" w:hAnsi="仿宋" w:eastAsia="仿宋"/>
              </w:rPr>
            </w:pPr>
            <w:r>
              <w:rPr>
                <w:rFonts w:ascii="仿宋" w:hAnsi="仿宋" w:eastAsia="仿宋"/>
              </w:rPr>
              <w:t>文本文档</w:t>
            </w:r>
          </w:p>
        </w:tc>
        <w:tc>
          <w:tcPr>
            <w:tcW w:w="810" w:type="dxa"/>
            <w:vAlign w:val="center"/>
          </w:tcPr>
          <w:p>
            <w:pPr>
              <w:pStyle w:val="66"/>
              <w:spacing w:line="560" w:lineRule="exact"/>
              <w:rPr>
                <w:rFonts w:ascii="仿宋" w:hAnsi="仿宋" w:eastAsia="仿宋"/>
              </w:rPr>
            </w:pPr>
            <w:r>
              <w:rPr>
                <w:rFonts w:ascii="仿宋" w:hAnsi="仿宋" w:eastAsia="仿宋"/>
              </w:rPr>
              <w:t>3</w:t>
            </w:r>
            <w:r>
              <w:rPr>
                <w:rFonts w:hint="eastAsia" w:ascii="仿宋" w:hAnsi="仿宋" w:eastAsia="仿宋"/>
              </w:rPr>
              <w:t>份</w:t>
            </w:r>
          </w:p>
        </w:tc>
        <w:tc>
          <w:tcPr>
            <w:tcW w:w="2475" w:type="dxa"/>
            <w:vAlign w:val="center"/>
          </w:tcPr>
          <w:p>
            <w:pPr>
              <w:pStyle w:val="66"/>
              <w:spacing w:line="560" w:lineRule="exact"/>
              <w:rPr>
                <w:rFonts w:ascii="仿宋" w:hAnsi="仿宋" w:eastAsia="仿宋"/>
              </w:rPr>
            </w:pPr>
            <w:r>
              <w:rPr>
                <w:rFonts w:ascii="仿宋" w:hAnsi="仿宋" w:eastAsia="仿宋"/>
              </w:rPr>
              <w:t>覆盖移动通信专业方向主要岗位</w:t>
            </w:r>
          </w:p>
        </w:tc>
        <w:tc>
          <w:tcPr>
            <w:tcW w:w="1142" w:type="dxa"/>
            <w:vAlign w:val="center"/>
          </w:tcPr>
          <w:p>
            <w:pPr>
              <w:pStyle w:val="66"/>
              <w:spacing w:line="560" w:lineRule="exact"/>
              <w:rPr>
                <w:rFonts w:ascii="仿宋" w:hAnsi="仿宋" w:eastAsia="仿宋"/>
              </w:rPr>
            </w:pPr>
            <w:r>
              <w:rPr>
                <w:rFonts w:ascii="仿宋" w:hAnsi="仿宋" w:eastAsia="仿宋"/>
              </w:rPr>
              <w:t>赛后3个月内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 w:type="dxa"/>
            <w:vMerge w:val="continue"/>
            <w:vAlign w:val="center"/>
          </w:tcPr>
          <w:p>
            <w:pPr>
              <w:snapToGrid w:val="0"/>
              <w:spacing w:line="560" w:lineRule="exact"/>
              <w:jc w:val="center"/>
              <w:rPr>
                <w:rFonts w:ascii="仿宋" w:hAnsi="仿宋" w:eastAsia="仿宋"/>
                <w:sz w:val="24"/>
                <w:szCs w:val="24"/>
              </w:rPr>
            </w:pPr>
          </w:p>
        </w:tc>
        <w:tc>
          <w:tcPr>
            <w:tcW w:w="819" w:type="dxa"/>
            <w:vMerge w:val="restart"/>
            <w:vAlign w:val="center"/>
          </w:tcPr>
          <w:p>
            <w:pPr>
              <w:pStyle w:val="66"/>
              <w:spacing w:line="560" w:lineRule="exact"/>
              <w:rPr>
                <w:rFonts w:ascii="仿宋" w:hAnsi="仿宋" w:eastAsia="仿宋"/>
              </w:rPr>
            </w:pPr>
          </w:p>
          <w:p>
            <w:pPr>
              <w:pStyle w:val="66"/>
              <w:spacing w:line="560" w:lineRule="exact"/>
              <w:rPr>
                <w:rFonts w:ascii="仿宋" w:hAnsi="仿宋" w:eastAsia="仿宋"/>
              </w:rPr>
            </w:pPr>
            <w:r>
              <w:rPr>
                <w:rFonts w:ascii="仿宋" w:hAnsi="仿宋" w:eastAsia="仿宋"/>
              </w:rPr>
              <w:t>教学资源</w:t>
            </w:r>
          </w:p>
        </w:tc>
        <w:tc>
          <w:tcPr>
            <w:tcW w:w="1507" w:type="dxa"/>
            <w:vAlign w:val="center"/>
          </w:tcPr>
          <w:p>
            <w:pPr>
              <w:pStyle w:val="66"/>
              <w:spacing w:line="560" w:lineRule="exact"/>
              <w:rPr>
                <w:rFonts w:ascii="仿宋" w:hAnsi="仿宋" w:eastAsia="仿宋"/>
              </w:rPr>
            </w:pPr>
            <w:r>
              <w:rPr>
                <w:rFonts w:ascii="仿宋" w:hAnsi="仿宋" w:eastAsia="仿宋"/>
              </w:rPr>
              <w:t>实训课程方案</w:t>
            </w:r>
          </w:p>
        </w:tc>
        <w:tc>
          <w:tcPr>
            <w:tcW w:w="1243" w:type="dxa"/>
            <w:vAlign w:val="center"/>
          </w:tcPr>
          <w:p>
            <w:pPr>
              <w:pStyle w:val="66"/>
              <w:spacing w:line="560" w:lineRule="exact"/>
              <w:rPr>
                <w:rFonts w:ascii="仿宋" w:hAnsi="仿宋" w:eastAsia="仿宋"/>
              </w:rPr>
            </w:pPr>
            <w:r>
              <w:rPr>
                <w:rFonts w:ascii="仿宋" w:hAnsi="仿宋" w:eastAsia="仿宋"/>
              </w:rPr>
              <w:t>文本文档</w:t>
            </w:r>
          </w:p>
        </w:tc>
        <w:tc>
          <w:tcPr>
            <w:tcW w:w="810" w:type="dxa"/>
            <w:vAlign w:val="center"/>
          </w:tcPr>
          <w:p>
            <w:pPr>
              <w:pStyle w:val="66"/>
              <w:spacing w:line="560" w:lineRule="exact"/>
              <w:rPr>
                <w:rFonts w:ascii="仿宋" w:hAnsi="仿宋" w:eastAsia="仿宋"/>
              </w:rPr>
            </w:pPr>
            <w:r>
              <w:rPr>
                <w:rFonts w:ascii="仿宋" w:hAnsi="仿宋" w:eastAsia="仿宋"/>
              </w:rPr>
              <w:t>2</w:t>
            </w:r>
            <w:r>
              <w:rPr>
                <w:rFonts w:hint="eastAsia" w:ascii="仿宋" w:hAnsi="仿宋" w:eastAsia="仿宋"/>
              </w:rPr>
              <w:t>套</w:t>
            </w:r>
          </w:p>
        </w:tc>
        <w:tc>
          <w:tcPr>
            <w:tcW w:w="2475" w:type="dxa"/>
            <w:vAlign w:val="center"/>
          </w:tcPr>
          <w:p>
            <w:pPr>
              <w:pStyle w:val="66"/>
              <w:spacing w:line="560" w:lineRule="exact"/>
              <w:rPr>
                <w:rFonts w:ascii="仿宋" w:hAnsi="仿宋" w:eastAsia="仿宋"/>
              </w:rPr>
            </w:pPr>
            <w:r>
              <w:rPr>
                <w:rFonts w:ascii="仿宋" w:hAnsi="仿宋" w:eastAsia="仿宋"/>
              </w:rPr>
              <w:t>覆盖移动通讯、光传输、数据通信相关专业</w:t>
            </w:r>
          </w:p>
        </w:tc>
        <w:tc>
          <w:tcPr>
            <w:tcW w:w="1142" w:type="dxa"/>
            <w:vAlign w:val="center"/>
          </w:tcPr>
          <w:p>
            <w:pPr>
              <w:pStyle w:val="66"/>
              <w:spacing w:line="560" w:lineRule="exact"/>
              <w:rPr>
                <w:rFonts w:ascii="仿宋" w:hAnsi="仿宋" w:eastAsia="仿宋"/>
              </w:rPr>
            </w:pPr>
            <w:r>
              <w:rPr>
                <w:rFonts w:ascii="仿宋" w:hAnsi="仿宋" w:eastAsia="仿宋"/>
              </w:rPr>
              <w:t>赛后3个月内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 w:type="dxa"/>
            <w:vMerge w:val="continue"/>
            <w:vAlign w:val="center"/>
          </w:tcPr>
          <w:p>
            <w:pPr>
              <w:snapToGrid w:val="0"/>
              <w:spacing w:line="560" w:lineRule="exact"/>
              <w:jc w:val="center"/>
              <w:rPr>
                <w:rFonts w:ascii="仿宋" w:hAnsi="仿宋" w:eastAsia="仿宋"/>
                <w:sz w:val="24"/>
                <w:szCs w:val="24"/>
              </w:rPr>
            </w:pPr>
          </w:p>
        </w:tc>
        <w:tc>
          <w:tcPr>
            <w:tcW w:w="819" w:type="dxa"/>
            <w:vMerge w:val="continue"/>
            <w:vAlign w:val="center"/>
          </w:tcPr>
          <w:p>
            <w:pPr>
              <w:pStyle w:val="66"/>
              <w:spacing w:line="560" w:lineRule="exact"/>
              <w:rPr>
                <w:rFonts w:ascii="仿宋" w:hAnsi="仿宋" w:eastAsia="仿宋"/>
              </w:rPr>
            </w:pPr>
          </w:p>
        </w:tc>
        <w:tc>
          <w:tcPr>
            <w:tcW w:w="1507" w:type="dxa"/>
            <w:vAlign w:val="center"/>
          </w:tcPr>
          <w:p>
            <w:pPr>
              <w:pStyle w:val="66"/>
              <w:spacing w:line="560" w:lineRule="exact"/>
              <w:rPr>
                <w:rFonts w:ascii="仿宋" w:hAnsi="仿宋" w:eastAsia="仿宋"/>
              </w:rPr>
            </w:pPr>
            <w:r>
              <w:rPr>
                <w:rFonts w:ascii="仿宋" w:hAnsi="仿宋" w:eastAsia="仿宋"/>
              </w:rPr>
              <w:t>专业教材</w:t>
            </w:r>
          </w:p>
        </w:tc>
        <w:tc>
          <w:tcPr>
            <w:tcW w:w="1243" w:type="dxa"/>
            <w:vAlign w:val="center"/>
          </w:tcPr>
          <w:p>
            <w:pPr>
              <w:pStyle w:val="66"/>
              <w:spacing w:line="560" w:lineRule="exact"/>
              <w:rPr>
                <w:rFonts w:ascii="仿宋" w:hAnsi="仿宋" w:eastAsia="仿宋"/>
              </w:rPr>
            </w:pPr>
            <w:r>
              <w:rPr>
                <w:rFonts w:ascii="仿宋" w:hAnsi="仿宋" w:eastAsia="仿宋"/>
              </w:rPr>
              <w:t>文本</w:t>
            </w:r>
          </w:p>
          <w:p>
            <w:pPr>
              <w:pStyle w:val="66"/>
              <w:spacing w:line="560" w:lineRule="exact"/>
              <w:rPr>
                <w:rFonts w:ascii="仿宋" w:hAnsi="仿宋" w:eastAsia="仿宋"/>
              </w:rPr>
            </w:pPr>
            <w:r>
              <w:rPr>
                <w:rFonts w:ascii="仿宋" w:hAnsi="仿宋" w:eastAsia="仿宋"/>
              </w:rPr>
              <w:t>文档</w:t>
            </w:r>
          </w:p>
        </w:tc>
        <w:tc>
          <w:tcPr>
            <w:tcW w:w="810" w:type="dxa"/>
            <w:vAlign w:val="center"/>
          </w:tcPr>
          <w:p>
            <w:pPr>
              <w:pStyle w:val="66"/>
              <w:spacing w:line="560" w:lineRule="exact"/>
              <w:rPr>
                <w:rFonts w:ascii="仿宋" w:hAnsi="仿宋" w:eastAsia="仿宋"/>
              </w:rPr>
            </w:pPr>
            <w:r>
              <w:rPr>
                <w:rFonts w:ascii="仿宋" w:hAnsi="仿宋" w:eastAsia="仿宋"/>
              </w:rPr>
              <w:t>2</w:t>
            </w:r>
            <w:r>
              <w:rPr>
                <w:rFonts w:hint="eastAsia" w:ascii="仿宋" w:hAnsi="仿宋" w:eastAsia="仿宋"/>
              </w:rPr>
              <w:t>本</w:t>
            </w:r>
          </w:p>
        </w:tc>
        <w:tc>
          <w:tcPr>
            <w:tcW w:w="2475" w:type="dxa"/>
            <w:vAlign w:val="center"/>
          </w:tcPr>
          <w:p>
            <w:pPr>
              <w:pStyle w:val="66"/>
              <w:spacing w:line="560" w:lineRule="exact"/>
              <w:rPr>
                <w:rFonts w:ascii="仿宋" w:hAnsi="仿宋" w:eastAsia="仿宋"/>
              </w:rPr>
            </w:pPr>
            <w:r>
              <w:rPr>
                <w:rFonts w:ascii="仿宋" w:hAnsi="仿宋" w:eastAsia="仿宋"/>
              </w:rPr>
              <w:t>电子教材</w:t>
            </w:r>
          </w:p>
        </w:tc>
        <w:tc>
          <w:tcPr>
            <w:tcW w:w="1142" w:type="dxa"/>
            <w:vAlign w:val="center"/>
          </w:tcPr>
          <w:p>
            <w:pPr>
              <w:pStyle w:val="66"/>
              <w:spacing w:line="560" w:lineRule="exact"/>
              <w:rPr>
                <w:rFonts w:ascii="仿宋" w:hAnsi="仿宋" w:eastAsia="仿宋"/>
              </w:rPr>
            </w:pPr>
            <w:r>
              <w:rPr>
                <w:rFonts w:ascii="仿宋" w:hAnsi="仿宋" w:eastAsia="仿宋"/>
              </w:rPr>
              <w:t>赛后6个月内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 w:type="dxa"/>
            <w:vMerge w:val="continue"/>
            <w:vAlign w:val="center"/>
          </w:tcPr>
          <w:p>
            <w:pPr>
              <w:snapToGrid w:val="0"/>
              <w:spacing w:line="560" w:lineRule="exact"/>
              <w:jc w:val="center"/>
              <w:rPr>
                <w:rFonts w:ascii="仿宋" w:hAnsi="仿宋" w:eastAsia="仿宋"/>
                <w:sz w:val="24"/>
                <w:szCs w:val="24"/>
              </w:rPr>
            </w:pPr>
          </w:p>
        </w:tc>
        <w:tc>
          <w:tcPr>
            <w:tcW w:w="819" w:type="dxa"/>
            <w:vMerge w:val="continue"/>
            <w:vAlign w:val="center"/>
          </w:tcPr>
          <w:p>
            <w:pPr>
              <w:pStyle w:val="66"/>
              <w:spacing w:line="560" w:lineRule="exact"/>
              <w:rPr>
                <w:rFonts w:ascii="仿宋" w:hAnsi="仿宋" w:eastAsia="仿宋"/>
              </w:rPr>
            </w:pPr>
          </w:p>
        </w:tc>
        <w:tc>
          <w:tcPr>
            <w:tcW w:w="1507" w:type="dxa"/>
            <w:vAlign w:val="center"/>
          </w:tcPr>
          <w:p>
            <w:pPr>
              <w:pStyle w:val="66"/>
              <w:spacing w:line="560" w:lineRule="exact"/>
              <w:rPr>
                <w:rFonts w:ascii="仿宋" w:hAnsi="仿宋" w:eastAsia="仿宋"/>
              </w:rPr>
            </w:pPr>
            <w:r>
              <w:rPr>
                <w:rFonts w:ascii="仿宋" w:hAnsi="仿宋" w:eastAsia="仿宋"/>
              </w:rPr>
              <w:t>技能训练指导书</w:t>
            </w:r>
          </w:p>
        </w:tc>
        <w:tc>
          <w:tcPr>
            <w:tcW w:w="1243" w:type="dxa"/>
            <w:vAlign w:val="center"/>
          </w:tcPr>
          <w:p>
            <w:pPr>
              <w:pStyle w:val="66"/>
              <w:spacing w:line="560" w:lineRule="exact"/>
              <w:rPr>
                <w:rFonts w:ascii="仿宋" w:hAnsi="仿宋" w:eastAsia="仿宋"/>
              </w:rPr>
            </w:pPr>
            <w:r>
              <w:rPr>
                <w:rFonts w:ascii="仿宋" w:hAnsi="仿宋" w:eastAsia="仿宋"/>
              </w:rPr>
              <w:t>文本</w:t>
            </w:r>
          </w:p>
          <w:p>
            <w:pPr>
              <w:pStyle w:val="66"/>
              <w:spacing w:line="560" w:lineRule="exact"/>
              <w:rPr>
                <w:rFonts w:ascii="仿宋" w:hAnsi="仿宋" w:eastAsia="仿宋"/>
              </w:rPr>
            </w:pPr>
            <w:r>
              <w:rPr>
                <w:rFonts w:ascii="仿宋" w:hAnsi="仿宋" w:eastAsia="仿宋"/>
              </w:rPr>
              <w:t>文档</w:t>
            </w:r>
          </w:p>
        </w:tc>
        <w:tc>
          <w:tcPr>
            <w:tcW w:w="810" w:type="dxa"/>
            <w:vAlign w:val="center"/>
          </w:tcPr>
          <w:p>
            <w:pPr>
              <w:pStyle w:val="66"/>
              <w:spacing w:line="560" w:lineRule="exact"/>
              <w:rPr>
                <w:rFonts w:ascii="仿宋" w:hAnsi="仿宋" w:eastAsia="仿宋"/>
              </w:rPr>
            </w:pPr>
            <w:r>
              <w:rPr>
                <w:rFonts w:ascii="仿宋" w:hAnsi="仿宋" w:eastAsia="仿宋"/>
              </w:rPr>
              <w:t>2</w:t>
            </w:r>
            <w:r>
              <w:rPr>
                <w:rFonts w:hint="eastAsia" w:ascii="仿宋" w:hAnsi="仿宋" w:eastAsia="仿宋"/>
              </w:rPr>
              <w:t>本</w:t>
            </w:r>
          </w:p>
        </w:tc>
        <w:tc>
          <w:tcPr>
            <w:tcW w:w="2475" w:type="dxa"/>
            <w:vAlign w:val="center"/>
          </w:tcPr>
          <w:p>
            <w:pPr>
              <w:pStyle w:val="66"/>
              <w:spacing w:line="560" w:lineRule="exact"/>
              <w:rPr>
                <w:rFonts w:ascii="仿宋" w:hAnsi="仿宋" w:eastAsia="仿宋"/>
              </w:rPr>
            </w:pPr>
            <w:r>
              <w:rPr>
                <w:rFonts w:ascii="仿宋" w:hAnsi="仿宋" w:eastAsia="仿宋"/>
              </w:rPr>
              <w:t>电子教材</w:t>
            </w:r>
          </w:p>
        </w:tc>
        <w:tc>
          <w:tcPr>
            <w:tcW w:w="1142" w:type="dxa"/>
            <w:vAlign w:val="center"/>
          </w:tcPr>
          <w:p>
            <w:pPr>
              <w:pStyle w:val="66"/>
              <w:spacing w:line="560" w:lineRule="exact"/>
              <w:rPr>
                <w:rFonts w:ascii="仿宋" w:hAnsi="仿宋" w:eastAsia="仿宋"/>
              </w:rPr>
            </w:pPr>
            <w:r>
              <w:rPr>
                <w:rFonts w:ascii="仿宋" w:hAnsi="仿宋" w:eastAsia="仿宋"/>
              </w:rPr>
              <w:t>赛后6个月内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 w:type="dxa"/>
            <w:vMerge w:val="continue"/>
            <w:vAlign w:val="center"/>
          </w:tcPr>
          <w:p>
            <w:pPr>
              <w:snapToGrid w:val="0"/>
              <w:spacing w:line="560" w:lineRule="exact"/>
              <w:jc w:val="center"/>
              <w:rPr>
                <w:rFonts w:ascii="仿宋" w:hAnsi="仿宋" w:eastAsia="仿宋"/>
                <w:sz w:val="24"/>
                <w:szCs w:val="24"/>
              </w:rPr>
            </w:pPr>
          </w:p>
        </w:tc>
        <w:tc>
          <w:tcPr>
            <w:tcW w:w="819" w:type="dxa"/>
            <w:vMerge w:val="continue"/>
            <w:vAlign w:val="center"/>
          </w:tcPr>
          <w:p>
            <w:pPr>
              <w:pStyle w:val="66"/>
              <w:spacing w:line="560" w:lineRule="exact"/>
              <w:rPr>
                <w:rFonts w:ascii="仿宋" w:hAnsi="仿宋" w:eastAsia="仿宋"/>
              </w:rPr>
            </w:pPr>
          </w:p>
        </w:tc>
        <w:tc>
          <w:tcPr>
            <w:tcW w:w="1507" w:type="dxa"/>
            <w:vAlign w:val="center"/>
          </w:tcPr>
          <w:p>
            <w:pPr>
              <w:pStyle w:val="66"/>
              <w:spacing w:line="560" w:lineRule="exact"/>
              <w:rPr>
                <w:rFonts w:ascii="仿宋" w:hAnsi="仿宋" w:eastAsia="仿宋"/>
              </w:rPr>
            </w:pPr>
            <w:r>
              <w:rPr>
                <w:rFonts w:ascii="仿宋" w:hAnsi="仿宋" w:eastAsia="仿宋"/>
              </w:rPr>
              <w:t>实习操作演示视频</w:t>
            </w:r>
          </w:p>
        </w:tc>
        <w:tc>
          <w:tcPr>
            <w:tcW w:w="1243" w:type="dxa"/>
            <w:vAlign w:val="center"/>
          </w:tcPr>
          <w:p>
            <w:pPr>
              <w:pStyle w:val="66"/>
              <w:spacing w:line="560" w:lineRule="exact"/>
              <w:rPr>
                <w:rFonts w:ascii="仿宋" w:hAnsi="仿宋" w:eastAsia="仿宋"/>
              </w:rPr>
            </w:pPr>
            <w:r>
              <w:rPr>
                <w:rFonts w:ascii="仿宋" w:hAnsi="仿宋" w:eastAsia="仿宋"/>
              </w:rPr>
              <w:t>视频</w:t>
            </w:r>
          </w:p>
        </w:tc>
        <w:tc>
          <w:tcPr>
            <w:tcW w:w="810" w:type="dxa"/>
            <w:vAlign w:val="center"/>
          </w:tcPr>
          <w:p>
            <w:pPr>
              <w:pStyle w:val="66"/>
              <w:spacing w:line="560" w:lineRule="exact"/>
              <w:rPr>
                <w:rFonts w:ascii="仿宋" w:hAnsi="仿宋" w:eastAsia="仿宋"/>
              </w:rPr>
            </w:pPr>
            <w:r>
              <w:rPr>
                <w:rFonts w:ascii="仿宋" w:hAnsi="仿宋" w:eastAsia="仿宋"/>
              </w:rPr>
              <w:t>20</w:t>
            </w:r>
            <w:r>
              <w:rPr>
                <w:rFonts w:hint="eastAsia" w:ascii="仿宋" w:hAnsi="仿宋" w:eastAsia="仿宋"/>
              </w:rPr>
              <w:t>个</w:t>
            </w:r>
          </w:p>
        </w:tc>
        <w:tc>
          <w:tcPr>
            <w:tcW w:w="2475" w:type="dxa"/>
            <w:vAlign w:val="center"/>
          </w:tcPr>
          <w:p>
            <w:pPr>
              <w:pStyle w:val="66"/>
              <w:spacing w:line="560" w:lineRule="exact"/>
              <w:rPr>
                <w:rFonts w:ascii="仿宋" w:hAnsi="仿宋" w:eastAsia="仿宋"/>
              </w:rPr>
            </w:pPr>
            <w:r>
              <w:rPr>
                <w:rFonts w:ascii="仿宋" w:hAnsi="仿宋" w:eastAsia="仿宋"/>
              </w:rPr>
              <w:t>每个视频30分钟以上</w:t>
            </w:r>
          </w:p>
        </w:tc>
        <w:tc>
          <w:tcPr>
            <w:tcW w:w="1142" w:type="dxa"/>
            <w:vAlign w:val="center"/>
          </w:tcPr>
          <w:p>
            <w:pPr>
              <w:pStyle w:val="66"/>
              <w:spacing w:line="560" w:lineRule="exact"/>
              <w:rPr>
                <w:rFonts w:ascii="仿宋" w:hAnsi="仿宋" w:eastAsia="仿宋"/>
              </w:rPr>
            </w:pPr>
            <w:r>
              <w:rPr>
                <w:rFonts w:ascii="仿宋" w:hAnsi="仿宋" w:eastAsia="仿宋"/>
              </w:rPr>
              <w:t>赛后6个月内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 w:type="dxa"/>
            <w:vMerge w:val="continue"/>
            <w:vAlign w:val="center"/>
          </w:tcPr>
          <w:p>
            <w:pPr>
              <w:snapToGrid w:val="0"/>
              <w:spacing w:line="560" w:lineRule="exact"/>
              <w:jc w:val="center"/>
              <w:rPr>
                <w:rFonts w:ascii="仿宋" w:hAnsi="仿宋" w:eastAsia="仿宋"/>
                <w:sz w:val="24"/>
                <w:szCs w:val="24"/>
              </w:rPr>
            </w:pPr>
          </w:p>
        </w:tc>
        <w:tc>
          <w:tcPr>
            <w:tcW w:w="819" w:type="dxa"/>
            <w:vMerge w:val="continue"/>
            <w:vAlign w:val="center"/>
          </w:tcPr>
          <w:p>
            <w:pPr>
              <w:pStyle w:val="66"/>
              <w:spacing w:line="560" w:lineRule="exact"/>
              <w:rPr>
                <w:rFonts w:ascii="仿宋" w:hAnsi="仿宋" w:eastAsia="仿宋"/>
              </w:rPr>
            </w:pPr>
          </w:p>
        </w:tc>
        <w:tc>
          <w:tcPr>
            <w:tcW w:w="1507" w:type="dxa"/>
            <w:vAlign w:val="center"/>
          </w:tcPr>
          <w:p>
            <w:pPr>
              <w:pStyle w:val="66"/>
              <w:spacing w:line="560" w:lineRule="exact"/>
              <w:rPr>
                <w:rFonts w:ascii="仿宋" w:hAnsi="仿宋" w:eastAsia="仿宋"/>
              </w:rPr>
            </w:pPr>
            <w:r>
              <w:rPr>
                <w:rFonts w:ascii="仿宋" w:hAnsi="仿宋" w:eastAsia="仿宋"/>
              </w:rPr>
              <w:t>大赛作品集</w:t>
            </w:r>
          </w:p>
        </w:tc>
        <w:tc>
          <w:tcPr>
            <w:tcW w:w="1243" w:type="dxa"/>
            <w:vAlign w:val="center"/>
          </w:tcPr>
          <w:p>
            <w:pPr>
              <w:pStyle w:val="66"/>
              <w:spacing w:line="560" w:lineRule="exact"/>
              <w:rPr>
                <w:rFonts w:ascii="仿宋" w:hAnsi="仿宋" w:eastAsia="仿宋"/>
              </w:rPr>
            </w:pPr>
            <w:r>
              <w:rPr>
                <w:rFonts w:ascii="仿宋" w:hAnsi="仿宋" w:eastAsia="仿宋"/>
              </w:rPr>
              <w:t>文本文档和操作数据</w:t>
            </w:r>
          </w:p>
        </w:tc>
        <w:tc>
          <w:tcPr>
            <w:tcW w:w="810" w:type="dxa"/>
            <w:vAlign w:val="center"/>
          </w:tcPr>
          <w:p>
            <w:pPr>
              <w:pStyle w:val="66"/>
              <w:spacing w:line="560" w:lineRule="exact"/>
              <w:rPr>
                <w:rFonts w:ascii="仿宋" w:hAnsi="仿宋" w:eastAsia="仿宋"/>
              </w:rPr>
            </w:pPr>
            <w:r>
              <w:rPr>
                <w:rFonts w:ascii="仿宋" w:hAnsi="仿宋" w:eastAsia="仿宋"/>
              </w:rPr>
              <w:t>10</w:t>
            </w:r>
            <w:r>
              <w:rPr>
                <w:rFonts w:hint="eastAsia" w:ascii="仿宋" w:hAnsi="仿宋" w:eastAsia="仿宋"/>
              </w:rPr>
              <w:t>份</w:t>
            </w:r>
          </w:p>
        </w:tc>
        <w:tc>
          <w:tcPr>
            <w:tcW w:w="2475" w:type="dxa"/>
            <w:vAlign w:val="center"/>
          </w:tcPr>
          <w:p>
            <w:pPr>
              <w:pStyle w:val="66"/>
              <w:spacing w:line="560" w:lineRule="exact"/>
              <w:rPr>
                <w:rFonts w:ascii="仿宋" w:hAnsi="仿宋" w:eastAsia="仿宋"/>
              </w:rPr>
            </w:pPr>
            <w:r>
              <w:rPr>
                <w:rFonts w:ascii="仿宋" w:hAnsi="仿宋" w:eastAsia="仿宋"/>
              </w:rPr>
              <w:t>包含网络设计及操作数据</w:t>
            </w:r>
          </w:p>
        </w:tc>
        <w:tc>
          <w:tcPr>
            <w:tcW w:w="1142" w:type="dxa"/>
            <w:vAlign w:val="center"/>
          </w:tcPr>
          <w:p>
            <w:pPr>
              <w:pStyle w:val="66"/>
              <w:spacing w:line="560" w:lineRule="exact"/>
              <w:rPr>
                <w:rFonts w:ascii="仿宋" w:hAnsi="仿宋" w:eastAsia="仿宋"/>
              </w:rPr>
            </w:pPr>
            <w:r>
              <w:rPr>
                <w:rFonts w:ascii="仿宋" w:hAnsi="仿宋" w:eastAsia="仿宋"/>
              </w:rPr>
              <w:t>赛后3个月内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526" w:type="dxa"/>
            <w:vMerge w:val="restart"/>
            <w:vAlign w:val="center"/>
          </w:tcPr>
          <w:p>
            <w:pPr>
              <w:snapToGrid w:val="0"/>
              <w:spacing w:line="560" w:lineRule="exact"/>
              <w:jc w:val="center"/>
              <w:rPr>
                <w:rFonts w:ascii="仿宋" w:hAnsi="仿宋" w:eastAsia="仿宋"/>
                <w:sz w:val="24"/>
                <w:szCs w:val="24"/>
              </w:rPr>
            </w:pPr>
            <w:r>
              <w:rPr>
                <w:rFonts w:ascii="仿宋" w:hAnsi="仿宋" w:eastAsia="仿宋"/>
                <w:sz w:val="24"/>
                <w:szCs w:val="24"/>
              </w:rPr>
              <w:t>拓展</w:t>
            </w:r>
          </w:p>
          <w:p>
            <w:pPr>
              <w:snapToGrid w:val="0"/>
              <w:spacing w:line="560" w:lineRule="exact"/>
              <w:jc w:val="center"/>
              <w:rPr>
                <w:rFonts w:ascii="仿宋" w:hAnsi="仿宋" w:eastAsia="仿宋"/>
                <w:sz w:val="24"/>
                <w:szCs w:val="24"/>
              </w:rPr>
            </w:pPr>
            <w:r>
              <w:rPr>
                <w:rFonts w:ascii="仿宋" w:hAnsi="仿宋" w:eastAsia="仿宋"/>
                <w:sz w:val="24"/>
                <w:szCs w:val="24"/>
              </w:rPr>
              <w:t>资源</w:t>
            </w:r>
          </w:p>
        </w:tc>
        <w:tc>
          <w:tcPr>
            <w:tcW w:w="2326" w:type="dxa"/>
            <w:gridSpan w:val="2"/>
            <w:vAlign w:val="center"/>
          </w:tcPr>
          <w:p>
            <w:pPr>
              <w:pStyle w:val="66"/>
              <w:spacing w:line="560" w:lineRule="exact"/>
              <w:rPr>
                <w:rFonts w:ascii="仿宋" w:hAnsi="仿宋" w:eastAsia="仿宋"/>
              </w:rPr>
            </w:pPr>
            <w:r>
              <w:rPr>
                <w:rFonts w:ascii="仿宋" w:hAnsi="仿宋" w:eastAsia="仿宋"/>
              </w:rPr>
              <w:t>案例库</w:t>
            </w:r>
          </w:p>
        </w:tc>
        <w:tc>
          <w:tcPr>
            <w:tcW w:w="1243" w:type="dxa"/>
            <w:vAlign w:val="center"/>
          </w:tcPr>
          <w:p>
            <w:pPr>
              <w:pStyle w:val="66"/>
              <w:spacing w:line="560" w:lineRule="exact"/>
              <w:rPr>
                <w:rFonts w:ascii="仿宋" w:hAnsi="仿宋" w:eastAsia="仿宋"/>
              </w:rPr>
            </w:pPr>
            <w:r>
              <w:rPr>
                <w:rFonts w:ascii="仿宋" w:hAnsi="仿宋" w:eastAsia="仿宋"/>
              </w:rPr>
              <w:t>文本文档和操作数据</w:t>
            </w:r>
          </w:p>
        </w:tc>
        <w:tc>
          <w:tcPr>
            <w:tcW w:w="810" w:type="dxa"/>
            <w:vAlign w:val="center"/>
          </w:tcPr>
          <w:p>
            <w:pPr>
              <w:pStyle w:val="66"/>
              <w:spacing w:line="560" w:lineRule="exact"/>
              <w:rPr>
                <w:rFonts w:ascii="仿宋" w:hAnsi="仿宋" w:eastAsia="仿宋"/>
              </w:rPr>
            </w:pPr>
            <w:r>
              <w:rPr>
                <w:rFonts w:ascii="仿宋" w:hAnsi="仿宋" w:eastAsia="仿宋"/>
              </w:rPr>
              <w:t>10</w:t>
            </w:r>
            <w:r>
              <w:rPr>
                <w:rFonts w:hint="eastAsia" w:ascii="仿宋" w:hAnsi="仿宋" w:eastAsia="仿宋"/>
              </w:rPr>
              <w:t>套</w:t>
            </w:r>
          </w:p>
        </w:tc>
        <w:tc>
          <w:tcPr>
            <w:tcW w:w="2475" w:type="dxa"/>
            <w:vAlign w:val="center"/>
          </w:tcPr>
          <w:p>
            <w:pPr>
              <w:pStyle w:val="66"/>
              <w:spacing w:line="560" w:lineRule="exact"/>
              <w:rPr>
                <w:rFonts w:ascii="仿宋" w:hAnsi="仿宋" w:eastAsia="仿宋"/>
              </w:rPr>
            </w:pPr>
            <w:r>
              <w:rPr>
                <w:rFonts w:ascii="仿宋" w:hAnsi="仿宋" w:eastAsia="仿宋"/>
              </w:rPr>
              <w:t>包含网络设计案例及操作数据</w:t>
            </w:r>
          </w:p>
        </w:tc>
        <w:tc>
          <w:tcPr>
            <w:tcW w:w="1142" w:type="dxa"/>
            <w:vAlign w:val="center"/>
          </w:tcPr>
          <w:p>
            <w:pPr>
              <w:pStyle w:val="66"/>
              <w:spacing w:line="560" w:lineRule="exact"/>
              <w:rPr>
                <w:rFonts w:ascii="仿宋" w:hAnsi="仿宋" w:eastAsia="仿宋"/>
              </w:rPr>
            </w:pPr>
            <w:r>
              <w:rPr>
                <w:rFonts w:ascii="仿宋" w:hAnsi="仿宋" w:eastAsia="仿宋"/>
              </w:rPr>
              <w:t>赛后6个月内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526" w:type="dxa"/>
            <w:vMerge w:val="continue"/>
            <w:vAlign w:val="center"/>
          </w:tcPr>
          <w:p>
            <w:pPr>
              <w:snapToGrid w:val="0"/>
              <w:spacing w:line="560" w:lineRule="exact"/>
              <w:jc w:val="center"/>
              <w:rPr>
                <w:rFonts w:ascii="仿宋" w:hAnsi="仿宋" w:eastAsia="仿宋"/>
                <w:sz w:val="24"/>
                <w:szCs w:val="24"/>
              </w:rPr>
            </w:pPr>
          </w:p>
        </w:tc>
        <w:tc>
          <w:tcPr>
            <w:tcW w:w="2326" w:type="dxa"/>
            <w:gridSpan w:val="2"/>
            <w:vAlign w:val="center"/>
          </w:tcPr>
          <w:p>
            <w:pPr>
              <w:pStyle w:val="66"/>
              <w:spacing w:line="560" w:lineRule="exact"/>
              <w:rPr>
                <w:rFonts w:ascii="仿宋" w:hAnsi="仿宋" w:eastAsia="仿宋"/>
              </w:rPr>
            </w:pPr>
            <w:r>
              <w:rPr>
                <w:rFonts w:ascii="仿宋" w:hAnsi="仿宋" w:eastAsia="仿宋"/>
              </w:rPr>
              <w:t>素材资源库</w:t>
            </w:r>
          </w:p>
        </w:tc>
        <w:tc>
          <w:tcPr>
            <w:tcW w:w="1243" w:type="dxa"/>
            <w:vAlign w:val="center"/>
          </w:tcPr>
          <w:p>
            <w:pPr>
              <w:pStyle w:val="66"/>
              <w:spacing w:line="560" w:lineRule="exact"/>
              <w:rPr>
                <w:rFonts w:ascii="仿宋" w:hAnsi="仿宋" w:eastAsia="仿宋"/>
              </w:rPr>
            </w:pPr>
            <w:r>
              <w:rPr>
                <w:rFonts w:ascii="仿宋" w:hAnsi="仿宋" w:eastAsia="仿宋"/>
              </w:rPr>
              <w:t>视频/</w:t>
            </w:r>
          </w:p>
          <w:p>
            <w:pPr>
              <w:pStyle w:val="66"/>
              <w:spacing w:line="560" w:lineRule="exact"/>
              <w:rPr>
                <w:rFonts w:ascii="仿宋" w:hAnsi="仿宋" w:eastAsia="仿宋"/>
              </w:rPr>
            </w:pPr>
            <w:r>
              <w:rPr>
                <w:rFonts w:ascii="仿宋" w:hAnsi="仿宋" w:eastAsia="仿宋"/>
              </w:rPr>
              <w:t>演示文稿/文本文档/图形图像素材</w:t>
            </w:r>
          </w:p>
        </w:tc>
        <w:tc>
          <w:tcPr>
            <w:tcW w:w="810" w:type="dxa"/>
            <w:vAlign w:val="center"/>
          </w:tcPr>
          <w:p>
            <w:pPr>
              <w:pStyle w:val="66"/>
              <w:spacing w:line="560" w:lineRule="exact"/>
              <w:rPr>
                <w:rFonts w:ascii="仿宋" w:hAnsi="仿宋" w:eastAsia="仿宋"/>
              </w:rPr>
            </w:pPr>
            <w:r>
              <w:rPr>
                <w:rFonts w:ascii="仿宋" w:hAnsi="仿宋" w:eastAsia="仿宋"/>
              </w:rPr>
              <w:t>20</w:t>
            </w:r>
            <w:r>
              <w:rPr>
                <w:rFonts w:hint="eastAsia" w:ascii="仿宋" w:hAnsi="仿宋" w:eastAsia="仿宋"/>
              </w:rPr>
              <w:t>件</w:t>
            </w:r>
          </w:p>
        </w:tc>
        <w:tc>
          <w:tcPr>
            <w:tcW w:w="2475" w:type="dxa"/>
            <w:vAlign w:val="center"/>
          </w:tcPr>
          <w:p>
            <w:pPr>
              <w:pStyle w:val="66"/>
              <w:spacing w:line="560" w:lineRule="exact"/>
              <w:rPr>
                <w:rFonts w:ascii="仿宋" w:hAnsi="仿宋" w:eastAsia="仿宋"/>
              </w:rPr>
            </w:pPr>
            <w:r>
              <w:rPr>
                <w:rFonts w:ascii="仿宋" w:hAnsi="仿宋" w:eastAsia="仿宋"/>
              </w:rPr>
              <w:t>可用于移动通讯、光传输、数据通信相关专业教学资源</w:t>
            </w:r>
          </w:p>
        </w:tc>
        <w:tc>
          <w:tcPr>
            <w:tcW w:w="1142" w:type="dxa"/>
            <w:vAlign w:val="center"/>
          </w:tcPr>
          <w:p>
            <w:pPr>
              <w:pStyle w:val="66"/>
              <w:spacing w:line="560" w:lineRule="exact"/>
              <w:rPr>
                <w:rFonts w:ascii="仿宋" w:hAnsi="仿宋" w:eastAsia="仿宋"/>
              </w:rPr>
            </w:pPr>
            <w:r>
              <w:rPr>
                <w:rFonts w:ascii="仿宋" w:hAnsi="仿宋" w:eastAsia="仿宋"/>
              </w:rPr>
              <w:t>赛后3个月内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526" w:type="dxa"/>
            <w:vMerge w:val="continue"/>
            <w:vAlign w:val="center"/>
          </w:tcPr>
          <w:p>
            <w:pPr>
              <w:snapToGrid w:val="0"/>
              <w:spacing w:line="560" w:lineRule="exact"/>
              <w:jc w:val="center"/>
              <w:rPr>
                <w:rFonts w:ascii="仿宋" w:hAnsi="仿宋" w:eastAsia="仿宋"/>
                <w:sz w:val="24"/>
                <w:szCs w:val="24"/>
              </w:rPr>
            </w:pPr>
          </w:p>
        </w:tc>
        <w:tc>
          <w:tcPr>
            <w:tcW w:w="2326" w:type="dxa"/>
            <w:gridSpan w:val="2"/>
            <w:vAlign w:val="center"/>
          </w:tcPr>
          <w:p>
            <w:pPr>
              <w:pStyle w:val="66"/>
              <w:spacing w:line="560" w:lineRule="exact"/>
              <w:rPr>
                <w:rFonts w:ascii="仿宋" w:hAnsi="仿宋" w:eastAsia="仿宋"/>
              </w:rPr>
            </w:pPr>
            <w:r>
              <w:rPr>
                <w:rFonts w:ascii="仿宋" w:hAnsi="仿宋" w:eastAsia="仿宋"/>
              </w:rPr>
              <w:t>优秀选手访谈</w:t>
            </w:r>
          </w:p>
        </w:tc>
        <w:tc>
          <w:tcPr>
            <w:tcW w:w="1243" w:type="dxa"/>
            <w:vAlign w:val="center"/>
          </w:tcPr>
          <w:p>
            <w:pPr>
              <w:pStyle w:val="66"/>
              <w:spacing w:line="560" w:lineRule="exact"/>
              <w:rPr>
                <w:rFonts w:ascii="仿宋" w:hAnsi="仿宋" w:eastAsia="仿宋"/>
              </w:rPr>
            </w:pPr>
            <w:r>
              <w:rPr>
                <w:rFonts w:ascii="仿宋" w:hAnsi="仿宋" w:eastAsia="仿宋"/>
              </w:rPr>
              <w:t>视频</w:t>
            </w:r>
          </w:p>
        </w:tc>
        <w:tc>
          <w:tcPr>
            <w:tcW w:w="810" w:type="dxa"/>
            <w:vAlign w:val="center"/>
          </w:tcPr>
          <w:p>
            <w:pPr>
              <w:pStyle w:val="66"/>
              <w:spacing w:line="560" w:lineRule="exact"/>
              <w:rPr>
                <w:rFonts w:ascii="仿宋" w:hAnsi="仿宋" w:eastAsia="仿宋"/>
              </w:rPr>
            </w:pPr>
            <w:r>
              <w:rPr>
                <w:rFonts w:ascii="仿宋" w:hAnsi="仿宋" w:eastAsia="仿宋"/>
              </w:rPr>
              <w:t>5</w:t>
            </w:r>
            <w:r>
              <w:rPr>
                <w:rFonts w:hint="eastAsia" w:ascii="仿宋" w:hAnsi="仿宋" w:eastAsia="仿宋"/>
              </w:rPr>
              <w:t>个</w:t>
            </w:r>
          </w:p>
        </w:tc>
        <w:tc>
          <w:tcPr>
            <w:tcW w:w="2475" w:type="dxa"/>
            <w:vAlign w:val="center"/>
          </w:tcPr>
          <w:p>
            <w:pPr>
              <w:pStyle w:val="66"/>
              <w:spacing w:line="560" w:lineRule="exact"/>
              <w:rPr>
                <w:rFonts w:ascii="仿宋" w:hAnsi="仿宋" w:eastAsia="仿宋"/>
              </w:rPr>
            </w:pPr>
            <w:r>
              <w:rPr>
                <w:rFonts w:ascii="仿宋" w:hAnsi="仿宋" w:eastAsia="仿宋"/>
              </w:rPr>
              <w:t>每个视频10分钟以上</w:t>
            </w:r>
          </w:p>
        </w:tc>
        <w:tc>
          <w:tcPr>
            <w:tcW w:w="1142" w:type="dxa"/>
            <w:vAlign w:val="center"/>
          </w:tcPr>
          <w:p>
            <w:pPr>
              <w:pStyle w:val="66"/>
              <w:spacing w:line="560" w:lineRule="exact"/>
              <w:rPr>
                <w:rFonts w:ascii="仿宋" w:hAnsi="仿宋" w:eastAsia="仿宋"/>
              </w:rPr>
            </w:pPr>
            <w:r>
              <w:rPr>
                <w:rFonts w:ascii="仿宋" w:hAnsi="仿宋" w:eastAsia="仿宋"/>
              </w:rPr>
              <w:t>赛后3个月内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 w:type="dxa"/>
            <w:vMerge w:val="continue"/>
            <w:vAlign w:val="center"/>
          </w:tcPr>
          <w:p>
            <w:pPr>
              <w:snapToGrid w:val="0"/>
              <w:spacing w:line="560" w:lineRule="exact"/>
              <w:jc w:val="center"/>
              <w:rPr>
                <w:rFonts w:ascii="仿宋" w:hAnsi="仿宋" w:eastAsia="仿宋"/>
                <w:sz w:val="24"/>
                <w:szCs w:val="24"/>
              </w:rPr>
            </w:pPr>
          </w:p>
        </w:tc>
        <w:tc>
          <w:tcPr>
            <w:tcW w:w="2326" w:type="dxa"/>
            <w:gridSpan w:val="2"/>
            <w:vAlign w:val="center"/>
          </w:tcPr>
          <w:p>
            <w:pPr>
              <w:pStyle w:val="66"/>
              <w:spacing w:line="560" w:lineRule="exact"/>
              <w:rPr>
                <w:rFonts w:ascii="仿宋" w:hAnsi="仿宋" w:eastAsia="仿宋"/>
              </w:rPr>
            </w:pPr>
            <w:r>
              <w:rPr>
                <w:rFonts w:ascii="仿宋" w:hAnsi="仿宋" w:eastAsia="仿宋"/>
              </w:rPr>
              <w:t>试题</w:t>
            </w:r>
          </w:p>
        </w:tc>
        <w:tc>
          <w:tcPr>
            <w:tcW w:w="1243" w:type="dxa"/>
            <w:vAlign w:val="center"/>
          </w:tcPr>
          <w:p>
            <w:pPr>
              <w:pStyle w:val="66"/>
              <w:spacing w:line="560" w:lineRule="exact"/>
              <w:rPr>
                <w:rFonts w:ascii="仿宋" w:hAnsi="仿宋" w:eastAsia="仿宋"/>
              </w:rPr>
            </w:pPr>
            <w:r>
              <w:rPr>
                <w:rFonts w:ascii="仿宋" w:hAnsi="仿宋" w:eastAsia="仿宋"/>
              </w:rPr>
              <w:t>文本文档</w:t>
            </w:r>
          </w:p>
          <w:p>
            <w:pPr>
              <w:pStyle w:val="66"/>
              <w:spacing w:line="560" w:lineRule="exact"/>
              <w:rPr>
                <w:rFonts w:ascii="仿宋" w:hAnsi="仿宋" w:eastAsia="仿宋"/>
              </w:rPr>
            </w:pPr>
            <w:r>
              <w:rPr>
                <w:rFonts w:ascii="仿宋" w:hAnsi="仿宋" w:eastAsia="仿宋"/>
              </w:rPr>
              <w:t>/操作数据</w:t>
            </w:r>
          </w:p>
        </w:tc>
        <w:tc>
          <w:tcPr>
            <w:tcW w:w="810" w:type="dxa"/>
            <w:vAlign w:val="center"/>
          </w:tcPr>
          <w:p>
            <w:pPr>
              <w:pStyle w:val="66"/>
              <w:spacing w:line="560" w:lineRule="exact"/>
              <w:rPr>
                <w:rFonts w:ascii="仿宋" w:hAnsi="仿宋" w:eastAsia="仿宋"/>
              </w:rPr>
            </w:pPr>
            <w:r>
              <w:rPr>
                <w:rFonts w:ascii="仿宋" w:hAnsi="仿宋" w:eastAsia="仿宋"/>
              </w:rPr>
              <w:t>50</w:t>
            </w:r>
            <w:r>
              <w:rPr>
                <w:rFonts w:hint="eastAsia" w:ascii="仿宋" w:hAnsi="仿宋" w:eastAsia="仿宋"/>
              </w:rPr>
              <w:t>个</w:t>
            </w:r>
          </w:p>
        </w:tc>
        <w:tc>
          <w:tcPr>
            <w:tcW w:w="2475" w:type="dxa"/>
            <w:vAlign w:val="center"/>
          </w:tcPr>
          <w:p>
            <w:pPr>
              <w:pStyle w:val="66"/>
              <w:spacing w:line="560" w:lineRule="exact"/>
              <w:rPr>
                <w:rFonts w:ascii="仿宋" w:hAnsi="仿宋" w:eastAsia="仿宋"/>
              </w:rPr>
            </w:pPr>
            <w:r>
              <w:rPr>
                <w:rFonts w:ascii="仿宋" w:hAnsi="仿宋" w:eastAsia="仿宋"/>
              </w:rPr>
              <w:t>包括任务书和操作环境数据</w:t>
            </w:r>
          </w:p>
        </w:tc>
        <w:tc>
          <w:tcPr>
            <w:tcW w:w="1142" w:type="dxa"/>
            <w:vAlign w:val="center"/>
          </w:tcPr>
          <w:p>
            <w:pPr>
              <w:pStyle w:val="66"/>
              <w:spacing w:line="560" w:lineRule="exact"/>
              <w:rPr>
                <w:rFonts w:ascii="仿宋" w:hAnsi="仿宋" w:eastAsia="仿宋"/>
              </w:rPr>
            </w:pPr>
            <w:r>
              <w:rPr>
                <w:rFonts w:ascii="仿宋" w:hAnsi="仿宋" w:eastAsia="仿宋"/>
              </w:rPr>
              <w:t>赛后6个月内</w:t>
            </w:r>
          </w:p>
        </w:tc>
      </w:tr>
    </w:tbl>
    <w:p>
      <w:pPr>
        <w:spacing w:line="560" w:lineRule="exact"/>
        <w:jc w:val="center"/>
        <w:rPr>
          <w:rFonts w:ascii="仿宋_GB2312" w:hAnsi="仿宋_GB2312" w:eastAsia="仿宋_GB2312" w:cs="仿宋_GB2312"/>
          <w:kern w:val="0"/>
          <w:sz w:val="28"/>
          <w:szCs w:val="28"/>
        </w:rPr>
      </w:pPr>
    </w:p>
    <w:p>
      <w:pPr>
        <w:spacing w:line="560" w:lineRule="exact"/>
        <w:jc w:val="center"/>
        <w:rPr>
          <w:rFonts w:ascii="仿宋_GB2312" w:hAnsi="仿宋_GB2312" w:eastAsia="仿宋_GB2312" w:cs="仿宋_GB2312"/>
          <w:kern w:val="0"/>
          <w:sz w:val="28"/>
          <w:szCs w:val="28"/>
        </w:rPr>
      </w:pPr>
    </w:p>
    <w:p>
      <w:pPr>
        <w:spacing w:line="560" w:lineRule="exact"/>
        <w:jc w:val="center"/>
        <w:rPr>
          <w:rFonts w:ascii="Times New Roman" w:hAnsi="Times New Roman" w:eastAsia="黑体"/>
          <w:b/>
          <w:bCs/>
          <w:sz w:val="44"/>
          <w:szCs w:val="44"/>
        </w:rPr>
      </w:pPr>
    </w:p>
    <w:p>
      <w:pPr>
        <w:spacing w:line="560" w:lineRule="exact"/>
        <w:jc w:val="center"/>
        <w:rPr>
          <w:rFonts w:ascii="Times New Roman" w:hAnsi="Times New Roman" w:eastAsia="黑体"/>
          <w:b/>
          <w:bCs/>
          <w:sz w:val="44"/>
          <w:szCs w:val="44"/>
        </w:rPr>
      </w:pPr>
    </w:p>
    <w:p>
      <w:pPr>
        <w:spacing w:line="560" w:lineRule="exact"/>
        <w:jc w:val="center"/>
        <w:rPr>
          <w:rFonts w:ascii="Times New Roman" w:hAnsi="Times New Roman" w:eastAsia="黑体"/>
          <w:b/>
          <w:bCs/>
          <w:sz w:val="44"/>
          <w:szCs w:val="44"/>
        </w:rPr>
      </w:pPr>
    </w:p>
    <w:p>
      <w:pPr>
        <w:spacing w:line="560" w:lineRule="exact"/>
        <w:jc w:val="center"/>
        <w:rPr>
          <w:rFonts w:ascii="Times New Roman" w:hAnsi="Times New Roman" w:eastAsia="黑体"/>
          <w:b/>
          <w:bCs/>
          <w:sz w:val="44"/>
          <w:szCs w:val="44"/>
        </w:rPr>
      </w:pPr>
    </w:p>
    <w:p>
      <w:pPr>
        <w:spacing w:line="560" w:lineRule="exact"/>
        <w:jc w:val="center"/>
        <w:rPr>
          <w:rFonts w:ascii="Times New Roman" w:hAnsi="Times New Roman" w:eastAsia="黑体"/>
          <w:b/>
          <w:bCs/>
          <w:sz w:val="44"/>
          <w:szCs w:val="44"/>
        </w:rPr>
      </w:pPr>
    </w:p>
    <w:p>
      <w:pPr>
        <w:spacing w:line="560" w:lineRule="exact"/>
        <w:jc w:val="center"/>
        <w:rPr>
          <w:rFonts w:ascii="Times New Roman" w:hAnsi="Times New Roman" w:eastAsia="黑体"/>
          <w:b/>
          <w:bCs/>
          <w:sz w:val="44"/>
          <w:szCs w:val="44"/>
        </w:rPr>
      </w:pPr>
    </w:p>
    <w:p>
      <w:pPr>
        <w:spacing w:line="560" w:lineRule="exact"/>
        <w:jc w:val="center"/>
        <w:rPr>
          <w:rFonts w:ascii="Times New Roman" w:hAnsi="Times New Roman" w:eastAsia="黑体"/>
          <w:b/>
          <w:bCs/>
          <w:sz w:val="44"/>
          <w:szCs w:val="44"/>
        </w:rPr>
      </w:pPr>
    </w:p>
    <w:p>
      <w:pPr>
        <w:spacing w:line="560" w:lineRule="exact"/>
        <w:jc w:val="center"/>
        <w:rPr>
          <w:rFonts w:ascii="Times New Roman" w:hAnsi="Times New Roman" w:eastAsia="黑体"/>
          <w:b/>
          <w:bCs/>
          <w:sz w:val="44"/>
          <w:szCs w:val="44"/>
        </w:rPr>
      </w:pPr>
    </w:p>
    <w:p>
      <w:pPr>
        <w:spacing w:line="560" w:lineRule="exact"/>
        <w:jc w:val="center"/>
        <w:rPr>
          <w:rFonts w:ascii="Times New Roman" w:hAnsi="Times New Roman" w:eastAsia="黑体"/>
          <w:b/>
          <w:bCs/>
          <w:sz w:val="44"/>
          <w:szCs w:val="44"/>
        </w:rPr>
      </w:pPr>
    </w:p>
    <w:p>
      <w:pPr>
        <w:spacing w:line="560" w:lineRule="exact"/>
        <w:jc w:val="center"/>
        <w:rPr>
          <w:rFonts w:ascii="Times New Roman" w:hAnsi="Times New Roman" w:eastAsia="黑体"/>
          <w:b/>
          <w:bCs/>
          <w:sz w:val="44"/>
          <w:szCs w:val="44"/>
        </w:rPr>
      </w:pPr>
    </w:p>
    <w:p>
      <w:pPr>
        <w:spacing w:line="560" w:lineRule="exact"/>
        <w:jc w:val="center"/>
        <w:rPr>
          <w:rFonts w:ascii="Times New Roman" w:hAnsi="Times New Roman" w:eastAsia="黑体"/>
          <w:b/>
          <w:bCs/>
          <w:sz w:val="44"/>
          <w:szCs w:val="44"/>
        </w:rPr>
      </w:pPr>
    </w:p>
    <w:p>
      <w:pPr>
        <w:spacing w:line="560" w:lineRule="exact"/>
        <w:rPr>
          <w:rFonts w:ascii="Times New Roman" w:hAnsi="Times New Roman" w:eastAsia="黑体"/>
          <w:b/>
          <w:bCs/>
          <w:sz w:val="36"/>
          <w:szCs w:val="36"/>
        </w:rPr>
      </w:pPr>
      <w:r>
        <w:rPr>
          <w:rFonts w:hint="eastAsia" w:ascii="Times New Roman" w:hAnsi="Times New Roman" w:eastAsia="黑体"/>
          <w:b/>
          <w:bCs/>
          <w:sz w:val="36"/>
          <w:szCs w:val="36"/>
        </w:rPr>
        <w:t>附件：</w:t>
      </w:r>
    </w:p>
    <w:p>
      <w:pPr>
        <w:snapToGrid w:val="0"/>
        <w:spacing w:line="560" w:lineRule="exact"/>
        <w:ind w:firstLine="723" w:firstLineChars="200"/>
        <w:jc w:val="center"/>
        <w:outlineLvl w:val="0"/>
        <w:rPr>
          <w:rFonts w:ascii="仿宋_GB2312" w:hAnsi="宋体" w:eastAsia="仿宋_GB2312" w:cs="仿宋_GB2312"/>
          <w:b/>
          <w:bCs/>
          <w:kern w:val="0"/>
          <w:sz w:val="36"/>
          <w:szCs w:val="36"/>
        </w:rPr>
      </w:pPr>
      <w:r>
        <w:rPr>
          <w:rFonts w:hint="eastAsia" w:ascii="仿宋_GB2312" w:hAnsi="宋体" w:eastAsia="仿宋_GB2312" w:cs="仿宋_GB2312"/>
          <w:b/>
          <w:bCs/>
          <w:kern w:val="0"/>
          <w:sz w:val="36"/>
          <w:szCs w:val="36"/>
        </w:rPr>
        <w:t>“4G全网建设技术”赛项样题</w:t>
      </w:r>
    </w:p>
    <w:p>
      <w:pPr>
        <w:spacing w:line="560" w:lineRule="exact"/>
        <w:ind w:firstLine="602"/>
        <w:rPr>
          <w:rFonts w:ascii="Times New Roman" w:hAnsi="Times New Roman" w:eastAsia="仿宋_GB2312"/>
          <w:b/>
          <w:bCs/>
          <w:sz w:val="28"/>
          <w:szCs w:val="28"/>
          <w:u w:color="000000"/>
          <w:lang w:val="zh-TW"/>
        </w:rPr>
      </w:pPr>
      <w:r>
        <w:rPr>
          <w:rFonts w:ascii="Times New Roman" w:hAnsi="Times New Roman" w:eastAsia="仿宋_GB2312"/>
          <w:b/>
          <w:bCs/>
          <w:sz w:val="28"/>
          <w:szCs w:val="28"/>
          <w:u w:color="000000"/>
          <w:lang w:val="zh-TW"/>
        </w:rPr>
        <w:t>（</w:t>
      </w:r>
      <w:r>
        <w:rPr>
          <w:rFonts w:hint="eastAsia" w:ascii="Times New Roman" w:hAnsi="Times New Roman" w:eastAsia="仿宋_GB2312"/>
          <w:b/>
          <w:bCs/>
          <w:sz w:val="28"/>
          <w:szCs w:val="28"/>
          <w:u w:color="000000"/>
          <w:lang w:val="zh-TW"/>
        </w:rPr>
        <w:t>一</w:t>
      </w:r>
      <w:r>
        <w:rPr>
          <w:rFonts w:ascii="Times New Roman" w:hAnsi="Times New Roman" w:eastAsia="仿宋_GB2312"/>
          <w:b/>
          <w:bCs/>
          <w:sz w:val="28"/>
          <w:szCs w:val="28"/>
          <w:u w:color="000000"/>
          <w:lang w:val="zh-TW"/>
        </w:rPr>
        <w:t>）4G</w:t>
      </w:r>
      <w:r>
        <w:rPr>
          <w:rFonts w:hint="eastAsia" w:ascii="Times New Roman" w:hAnsi="Times New Roman" w:eastAsia="仿宋_GB2312"/>
          <w:b/>
          <w:bCs/>
          <w:sz w:val="28"/>
          <w:szCs w:val="28"/>
          <w:u w:color="000000"/>
        </w:rPr>
        <w:t>&amp;Pre5G</w:t>
      </w:r>
      <w:r>
        <w:rPr>
          <w:rFonts w:ascii="Times New Roman" w:hAnsi="Times New Roman" w:eastAsia="仿宋_GB2312"/>
          <w:b/>
          <w:bCs/>
          <w:sz w:val="28"/>
          <w:szCs w:val="28"/>
          <w:u w:color="000000"/>
          <w:lang w:val="zh-TW"/>
        </w:rPr>
        <w:t>网络部署与优化（</w:t>
      </w:r>
      <w:r>
        <w:rPr>
          <w:rFonts w:hint="eastAsia" w:ascii="Times New Roman" w:hAnsi="Times New Roman" w:eastAsia="仿宋_GB2312"/>
          <w:b/>
          <w:bCs/>
          <w:sz w:val="28"/>
          <w:szCs w:val="28"/>
          <w:u w:color="000000"/>
          <w:lang w:val="zh-TW"/>
        </w:rPr>
        <w:t>2</w:t>
      </w:r>
      <w:r>
        <w:rPr>
          <w:rFonts w:ascii="Times New Roman" w:hAnsi="Times New Roman" w:eastAsia="仿宋_GB2312"/>
          <w:b/>
          <w:bCs/>
          <w:sz w:val="28"/>
          <w:szCs w:val="28"/>
          <w:u w:color="000000"/>
          <w:lang w:val="zh-TW"/>
        </w:rPr>
        <w:t>0分）</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1. 操作说明</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每参赛队的两名选手分别使用竞赛账号以“竞技”模式登录</w:t>
      </w:r>
      <w:r>
        <w:rPr>
          <w:rFonts w:hint="eastAsia" w:ascii="Arial Narrow" w:hAnsi="Arial Narrow" w:eastAsia="仿宋_GB2312" w:cs="Arial"/>
          <w:sz w:val="28"/>
          <w:szCs w:val="28"/>
        </w:rPr>
        <w:t>4G&amp;Pre5G</w:t>
      </w:r>
      <w:r>
        <w:rPr>
          <w:rFonts w:ascii="Arial Narrow" w:hAnsi="Arial Narrow" w:eastAsia="仿宋_GB2312" w:cs="Arial"/>
          <w:sz w:val="28"/>
          <w:szCs w:val="28"/>
        </w:rPr>
        <w:t>全网竞技系统，在工程模式下，完成千湖、百山两个城市4G</w:t>
      </w:r>
      <w:r>
        <w:rPr>
          <w:rFonts w:hint="eastAsia" w:ascii="Arial Narrow" w:hAnsi="Arial Narrow" w:eastAsia="仿宋_GB2312" w:cs="Arial"/>
          <w:sz w:val="28"/>
          <w:szCs w:val="28"/>
        </w:rPr>
        <w:t>与Pre5G</w:t>
      </w:r>
      <w:r>
        <w:rPr>
          <w:rFonts w:ascii="Arial Narrow" w:hAnsi="Arial Narrow" w:eastAsia="仿宋_GB2312" w:cs="Arial"/>
          <w:sz w:val="28"/>
          <w:szCs w:val="28"/>
        </w:rPr>
        <w:t>网络配置与优化。</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2. 任务说明</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千湖市及百山市计划部署</w:t>
      </w:r>
      <w:r>
        <w:rPr>
          <w:rFonts w:hint="eastAsia" w:ascii="Arial Narrow" w:hAnsi="Arial Narrow" w:eastAsia="仿宋_GB2312" w:cs="Arial"/>
          <w:sz w:val="28"/>
          <w:szCs w:val="28"/>
        </w:rPr>
        <w:t xml:space="preserve">4G </w:t>
      </w:r>
      <w:r>
        <w:rPr>
          <w:rFonts w:ascii="Arial Narrow" w:hAnsi="Arial Narrow" w:eastAsia="仿宋_GB2312" w:cs="Arial"/>
          <w:sz w:val="28"/>
          <w:szCs w:val="28"/>
        </w:rPr>
        <w:t>LTE</w:t>
      </w:r>
      <w:r>
        <w:rPr>
          <w:rFonts w:hint="eastAsia" w:ascii="Arial Narrow" w:hAnsi="Arial Narrow" w:eastAsia="仿宋_GB2312" w:cs="Arial"/>
          <w:sz w:val="28"/>
          <w:szCs w:val="28"/>
        </w:rPr>
        <w:t>与Pre5G</w:t>
      </w:r>
      <w:r>
        <w:rPr>
          <w:rFonts w:ascii="Arial Narrow" w:hAnsi="Arial Narrow" w:eastAsia="仿宋_GB2312" w:cs="Arial"/>
          <w:sz w:val="28"/>
          <w:szCs w:val="28"/>
        </w:rPr>
        <w:t>网络，目前两市已经完成一部分网络建设工作，尚未完工。</w:t>
      </w:r>
      <w:r>
        <w:rPr>
          <w:rFonts w:hint="eastAsia" w:ascii="Arial Narrow" w:hAnsi="Arial Narrow" w:eastAsia="仿宋_GB2312" w:cs="Arial"/>
          <w:sz w:val="28"/>
          <w:szCs w:val="28"/>
        </w:rPr>
        <w:t>请基于系统当前数据，在不对已有的网络拓扑结构及网络数据做任何改动的前提下完善补全接入网、承载网、业务系统的容量规划、设备部署及开通配置等环节工作，修改已有网络拓扑结构及网络数据不得分,</w:t>
      </w:r>
      <w:r>
        <w:rPr>
          <w:rFonts w:ascii="Arial Narrow" w:hAnsi="Arial Narrow" w:eastAsia="仿宋_GB2312" w:cs="Arial"/>
          <w:sz w:val="28"/>
          <w:szCs w:val="28"/>
        </w:rPr>
        <w:t>具体任务如下：</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根据以下背景说明及话务模型，在软件“容量规划”部分完成两市的容量规划报告，并在答题卡上填写相应答案。</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千湖市：该市总移动上网用户数为700万，规划覆盖区域600平方公里，分布在一般楼房建筑的居民区和个别商业区，用户密度相对分散，初期建网部署</w:t>
      </w:r>
      <w:r>
        <w:rPr>
          <w:rFonts w:hint="eastAsia" w:ascii="Arial Narrow" w:hAnsi="Arial Narrow" w:eastAsia="仿宋_GB2312" w:cs="Arial"/>
          <w:sz w:val="28"/>
          <w:szCs w:val="28"/>
        </w:rPr>
        <w:t>Pre5G</w:t>
      </w:r>
      <w:r>
        <w:rPr>
          <w:rFonts w:ascii="Arial Narrow" w:hAnsi="Arial Narrow" w:eastAsia="仿宋_GB2312" w:cs="Arial"/>
          <w:sz w:val="28"/>
          <w:szCs w:val="28"/>
        </w:rPr>
        <w:t>无线网络。千湖市话务模型请参照表</w:t>
      </w:r>
      <w:r>
        <w:rPr>
          <w:rFonts w:hint="eastAsia" w:ascii="Arial Narrow" w:hAnsi="Arial Narrow" w:eastAsia="仿宋_GB2312" w:cs="Arial"/>
          <w:sz w:val="28"/>
          <w:szCs w:val="28"/>
        </w:rPr>
        <w:t>7</w:t>
      </w:r>
      <w:r>
        <w:rPr>
          <w:rFonts w:ascii="Arial Narrow" w:hAnsi="Arial Narrow" w:eastAsia="仿宋_GB2312" w:cs="Arial"/>
          <w:sz w:val="28"/>
          <w:szCs w:val="28"/>
        </w:rPr>
        <w:t>千湖市网络话务模型。</w:t>
      </w:r>
    </w:p>
    <w:p>
      <w:pPr>
        <w:spacing w:line="320" w:lineRule="exact"/>
        <w:jc w:val="center"/>
        <w:rPr>
          <w:rFonts w:ascii="仿宋_GB2312" w:hAnsi="仿宋" w:eastAsia="仿宋_GB2312" w:cs="仿宋_GB2312"/>
          <w:b/>
          <w:kern w:val="0"/>
          <w:sz w:val="24"/>
          <w:szCs w:val="24"/>
        </w:rPr>
      </w:pPr>
      <w:r>
        <w:rPr>
          <w:rFonts w:hint="eastAsia" w:ascii="仿宋_GB2312" w:hAnsi="仿宋" w:eastAsia="仿宋_GB2312" w:cs="仿宋_GB2312"/>
          <w:b/>
          <w:kern w:val="0"/>
          <w:sz w:val="24"/>
          <w:szCs w:val="24"/>
        </w:rPr>
        <w:t>表7 千湖市网络话务模型</w:t>
      </w:r>
    </w:p>
    <w:tbl>
      <w:tblPr>
        <w:tblStyle w:val="16"/>
        <w:tblW w:w="8522" w:type="dxa"/>
        <w:jc w:val="center"/>
        <w:tblInd w:w="0" w:type="dxa"/>
        <w:tblLayout w:type="fixed"/>
        <w:tblCellMar>
          <w:top w:w="0" w:type="dxa"/>
          <w:left w:w="108" w:type="dxa"/>
          <w:bottom w:w="0" w:type="dxa"/>
          <w:right w:w="108" w:type="dxa"/>
        </w:tblCellMar>
      </w:tblPr>
      <w:tblGrid>
        <w:gridCol w:w="5353"/>
        <w:gridCol w:w="2025"/>
        <w:gridCol w:w="1144"/>
      </w:tblGrid>
      <w:tr>
        <w:tblPrEx>
          <w:tblLayout w:type="fixed"/>
          <w:tblCellMar>
            <w:top w:w="0" w:type="dxa"/>
            <w:left w:w="108" w:type="dxa"/>
            <w:bottom w:w="0" w:type="dxa"/>
            <w:right w:w="108" w:type="dxa"/>
          </w:tblCellMar>
        </w:tblPrEx>
        <w:trPr>
          <w:trHeight w:val="408" w:hRule="atLeast"/>
          <w:jc w:val="center"/>
        </w:trPr>
        <w:tc>
          <w:tcPr>
            <w:tcW w:w="53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单业务业务速率（kbps）</w:t>
            </w:r>
          </w:p>
        </w:tc>
        <w:tc>
          <w:tcPr>
            <w:tcW w:w="2025"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HTTP WWW</w:t>
            </w:r>
          </w:p>
        </w:tc>
        <w:tc>
          <w:tcPr>
            <w:tcW w:w="114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256</w:t>
            </w:r>
          </w:p>
        </w:tc>
      </w:tr>
      <w:tr>
        <w:tblPrEx>
          <w:tblLayout w:type="fixed"/>
          <w:tblCellMar>
            <w:top w:w="0" w:type="dxa"/>
            <w:left w:w="108" w:type="dxa"/>
            <w:bottom w:w="0" w:type="dxa"/>
            <w:right w:w="108" w:type="dxa"/>
          </w:tblCellMar>
        </w:tblPrEx>
        <w:trPr>
          <w:trHeight w:val="408" w:hRule="atLeast"/>
          <w:jc w:val="center"/>
        </w:trPr>
        <w:tc>
          <w:tcPr>
            <w:tcW w:w="535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kern w:val="0"/>
                <w:sz w:val="24"/>
                <w:szCs w:val="24"/>
              </w:rPr>
            </w:pPr>
          </w:p>
        </w:tc>
        <w:tc>
          <w:tcPr>
            <w:tcW w:w="202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FTP</w:t>
            </w:r>
          </w:p>
        </w:tc>
        <w:tc>
          <w:tcPr>
            <w:tcW w:w="11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1024</w:t>
            </w:r>
          </w:p>
        </w:tc>
      </w:tr>
      <w:tr>
        <w:tblPrEx>
          <w:tblLayout w:type="fixed"/>
          <w:tblCellMar>
            <w:top w:w="0" w:type="dxa"/>
            <w:left w:w="108" w:type="dxa"/>
            <w:bottom w:w="0" w:type="dxa"/>
            <w:right w:w="108" w:type="dxa"/>
          </w:tblCellMar>
        </w:tblPrEx>
        <w:trPr>
          <w:trHeight w:val="408" w:hRule="atLeast"/>
          <w:jc w:val="center"/>
        </w:trPr>
        <w:tc>
          <w:tcPr>
            <w:tcW w:w="535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kern w:val="0"/>
                <w:sz w:val="24"/>
                <w:szCs w:val="24"/>
              </w:rPr>
            </w:pPr>
          </w:p>
        </w:tc>
        <w:tc>
          <w:tcPr>
            <w:tcW w:w="202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VOD/AOD</w:t>
            </w:r>
          </w:p>
        </w:tc>
        <w:tc>
          <w:tcPr>
            <w:tcW w:w="11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1024</w:t>
            </w:r>
          </w:p>
        </w:tc>
      </w:tr>
      <w:tr>
        <w:tblPrEx>
          <w:tblLayout w:type="fixed"/>
          <w:tblCellMar>
            <w:top w:w="0" w:type="dxa"/>
            <w:left w:w="108" w:type="dxa"/>
            <w:bottom w:w="0" w:type="dxa"/>
            <w:right w:w="108" w:type="dxa"/>
          </w:tblCellMar>
        </w:tblPrEx>
        <w:trPr>
          <w:trHeight w:val="408" w:hRule="atLeast"/>
          <w:jc w:val="center"/>
        </w:trPr>
        <w:tc>
          <w:tcPr>
            <w:tcW w:w="53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单业务忙时占比系数</w:t>
            </w:r>
          </w:p>
        </w:tc>
        <w:tc>
          <w:tcPr>
            <w:tcW w:w="202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HTTP WWW</w:t>
            </w:r>
          </w:p>
        </w:tc>
        <w:tc>
          <w:tcPr>
            <w:tcW w:w="11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35.00%</w:t>
            </w:r>
          </w:p>
        </w:tc>
      </w:tr>
      <w:tr>
        <w:tblPrEx>
          <w:tblLayout w:type="fixed"/>
          <w:tblCellMar>
            <w:top w:w="0" w:type="dxa"/>
            <w:left w:w="108" w:type="dxa"/>
            <w:bottom w:w="0" w:type="dxa"/>
            <w:right w:w="108" w:type="dxa"/>
          </w:tblCellMar>
        </w:tblPrEx>
        <w:trPr>
          <w:trHeight w:val="408" w:hRule="atLeast"/>
          <w:jc w:val="center"/>
        </w:trPr>
        <w:tc>
          <w:tcPr>
            <w:tcW w:w="535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bCs/>
                <w:kern w:val="0"/>
                <w:sz w:val="24"/>
                <w:szCs w:val="24"/>
              </w:rPr>
            </w:pPr>
          </w:p>
        </w:tc>
        <w:tc>
          <w:tcPr>
            <w:tcW w:w="202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FTP</w:t>
            </w:r>
          </w:p>
        </w:tc>
        <w:tc>
          <w:tcPr>
            <w:tcW w:w="11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35.00%</w:t>
            </w:r>
          </w:p>
        </w:tc>
      </w:tr>
      <w:tr>
        <w:tblPrEx>
          <w:tblLayout w:type="fixed"/>
          <w:tblCellMar>
            <w:top w:w="0" w:type="dxa"/>
            <w:left w:w="108" w:type="dxa"/>
            <w:bottom w:w="0" w:type="dxa"/>
            <w:right w:w="108" w:type="dxa"/>
          </w:tblCellMar>
        </w:tblPrEx>
        <w:trPr>
          <w:trHeight w:val="408" w:hRule="atLeast"/>
          <w:jc w:val="center"/>
        </w:trPr>
        <w:tc>
          <w:tcPr>
            <w:tcW w:w="535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bCs/>
                <w:kern w:val="0"/>
                <w:sz w:val="24"/>
                <w:szCs w:val="24"/>
              </w:rPr>
            </w:pPr>
          </w:p>
        </w:tc>
        <w:tc>
          <w:tcPr>
            <w:tcW w:w="202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VOD/AOD</w:t>
            </w:r>
          </w:p>
        </w:tc>
        <w:tc>
          <w:tcPr>
            <w:tcW w:w="11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30.00%</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平均上网总业务忙时激活时间（s）</w:t>
            </w:r>
          </w:p>
        </w:tc>
        <w:tc>
          <w:tcPr>
            <w:tcW w:w="3169"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650</w:t>
            </w:r>
          </w:p>
        </w:tc>
      </w:tr>
      <w:tr>
        <w:tblPrEx>
          <w:tblLayout w:type="fixed"/>
          <w:tblCellMar>
            <w:top w:w="0" w:type="dxa"/>
            <w:left w:w="108" w:type="dxa"/>
            <w:bottom w:w="0" w:type="dxa"/>
            <w:right w:w="108" w:type="dxa"/>
          </w:tblCellMar>
        </w:tblPrEx>
        <w:trPr>
          <w:trHeight w:val="408" w:hRule="atLeast"/>
          <w:jc w:val="center"/>
        </w:trPr>
        <w:tc>
          <w:tcPr>
            <w:tcW w:w="53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本市移动上网用户数（万）</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（根据背景说明自填）</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Z运营商4G移动用户占比</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4%</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制式选择</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（根据背景说明自选）</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单站三小区吞吐量（Mbps）</w:t>
            </w:r>
          </w:p>
        </w:tc>
        <w:tc>
          <w:tcPr>
            <w:tcW w:w="3169"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（根据背景说明自选）</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MIMO2*2吞吐量增加系数</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2</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本市规划区域面积（平方公里）</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（根据背景说明自填）</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小区覆盖半径基准（km）</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0.58</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制式调整因子</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（根据背景说明自选）</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半径调整比例</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65度定向站:1</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在线用户比</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0.9</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附着激活比</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0.5</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S1-MME接口每用户忙时平均信令流量（kbps）</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6</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S11接口每用户忙时平均信令流量（kbps）</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3</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S6a接口每用户忙时平均信令流量（kbps）</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5</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平均报文长度</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500字节</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基站带宽预留比</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0.5</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链路工作带宽占比</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0.5</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核心、接入层带宽收敛比</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0.5</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汇聚、接入层带宽收敛比</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0.75</w:t>
            </w:r>
          </w:p>
        </w:tc>
      </w:tr>
      <w:tr>
        <w:tblPrEx>
          <w:tblLayout w:type="fixed"/>
          <w:tblCellMar>
            <w:top w:w="0" w:type="dxa"/>
            <w:left w:w="108" w:type="dxa"/>
            <w:bottom w:w="0" w:type="dxa"/>
            <w:right w:w="108" w:type="dxa"/>
          </w:tblCellMar>
        </w:tblPrEx>
        <w:trPr>
          <w:trHeight w:val="408" w:hRule="atLeast"/>
          <w:jc w:val="center"/>
        </w:trPr>
        <w:tc>
          <w:tcPr>
            <w:tcW w:w="53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单汇聚设备带基站数</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25</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（选择环型拓扑时）汇聚环上汇聚设备数</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6</w:t>
            </w:r>
          </w:p>
        </w:tc>
      </w:tr>
      <w:tr>
        <w:tblPrEx>
          <w:tblLayout w:type="fixed"/>
          <w:tblCellMar>
            <w:top w:w="0" w:type="dxa"/>
            <w:left w:w="108" w:type="dxa"/>
            <w:bottom w:w="0" w:type="dxa"/>
            <w:right w:w="108" w:type="dxa"/>
          </w:tblCellMar>
        </w:tblPrEx>
        <w:trPr>
          <w:trHeight w:val="408" w:hRule="atLeast"/>
          <w:jc w:val="center"/>
        </w:trPr>
        <w:tc>
          <w:tcPr>
            <w:tcW w:w="53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（选择环型拓扑时）接入环上接入设备数</w:t>
            </w:r>
          </w:p>
        </w:tc>
        <w:tc>
          <w:tcPr>
            <w:tcW w:w="31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7</w:t>
            </w:r>
          </w:p>
        </w:tc>
      </w:tr>
    </w:tbl>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百山市：该市总移动上网用户数为400万，规划覆盖区域580平方公里，小城镇规模，用户密度低，规划初期建网部署LTE无线网络。百山市话务模型请参照表</w:t>
      </w:r>
      <w:r>
        <w:rPr>
          <w:rFonts w:hint="eastAsia" w:ascii="Arial Narrow" w:hAnsi="Arial Narrow" w:eastAsia="仿宋_GB2312" w:cs="Arial"/>
          <w:sz w:val="28"/>
          <w:szCs w:val="28"/>
        </w:rPr>
        <w:t>8</w:t>
      </w:r>
      <w:r>
        <w:rPr>
          <w:rFonts w:ascii="Arial Narrow" w:hAnsi="Arial Narrow" w:eastAsia="仿宋_GB2312" w:cs="Arial"/>
          <w:sz w:val="28"/>
          <w:szCs w:val="28"/>
        </w:rPr>
        <w:t>百山市网络话务模型。</w:t>
      </w:r>
    </w:p>
    <w:p>
      <w:pPr>
        <w:spacing w:line="320" w:lineRule="exact"/>
        <w:jc w:val="center"/>
        <w:rPr>
          <w:rFonts w:ascii="仿宋_GB2312" w:hAnsi="仿宋" w:eastAsia="仿宋_GB2312" w:cs="仿宋_GB2312"/>
          <w:b/>
          <w:kern w:val="0"/>
          <w:sz w:val="24"/>
          <w:szCs w:val="24"/>
        </w:rPr>
      </w:pPr>
      <w:r>
        <w:rPr>
          <w:rFonts w:hint="eastAsia" w:ascii="仿宋_GB2312" w:hAnsi="仿宋" w:eastAsia="仿宋_GB2312" w:cs="仿宋_GB2312"/>
          <w:b/>
          <w:kern w:val="0"/>
          <w:sz w:val="24"/>
          <w:szCs w:val="24"/>
        </w:rPr>
        <w:t>表8 百山市网络话务模型</w:t>
      </w:r>
    </w:p>
    <w:tbl>
      <w:tblPr>
        <w:tblStyle w:val="16"/>
        <w:tblW w:w="8522" w:type="dxa"/>
        <w:jc w:val="center"/>
        <w:tblInd w:w="0" w:type="dxa"/>
        <w:tblLayout w:type="fixed"/>
        <w:tblCellMar>
          <w:top w:w="0" w:type="dxa"/>
          <w:left w:w="108" w:type="dxa"/>
          <w:bottom w:w="0" w:type="dxa"/>
          <w:right w:w="108" w:type="dxa"/>
        </w:tblCellMar>
      </w:tblPr>
      <w:tblGrid>
        <w:gridCol w:w="5430"/>
        <w:gridCol w:w="1836"/>
        <w:gridCol w:w="1256"/>
      </w:tblGrid>
      <w:tr>
        <w:tblPrEx>
          <w:tblLayout w:type="fixed"/>
          <w:tblCellMar>
            <w:top w:w="0" w:type="dxa"/>
            <w:left w:w="108" w:type="dxa"/>
            <w:bottom w:w="0" w:type="dxa"/>
            <w:right w:w="108" w:type="dxa"/>
          </w:tblCellMar>
        </w:tblPrEx>
        <w:trPr>
          <w:trHeight w:val="285" w:hRule="atLeast"/>
          <w:jc w:val="center"/>
        </w:trPr>
        <w:tc>
          <w:tcPr>
            <w:tcW w:w="543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单业务业务速率（kbps）</w:t>
            </w:r>
          </w:p>
        </w:tc>
        <w:tc>
          <w:tcPr>
            <w:tcW w:w="1836" w:type="dxa"/>
            <w:tcBorders>
              <w:top w:val="single" w:color="auto" w:sz="8" w:space="0"/>
              <w:left w:val="nil"/>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HTTP WWW</w:t>
            </w:r>
          </w:p>
        </w:tc>
        <w:tc>
          <w:tcPr>
            <w:tcW w:w="1256" w:type="dxa"/>
            <w:tcBorders>
              <w:top w:val="single" w:color="auto" w:sz="8" w:space="0"/>
              <w:left w:val="nil"/>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256</w:t>
            </w:r>
          </w:p>
        </w:tc>
      </w:tr>
      <w:tr>
        <w:tblPrEx>
          <w:tblLayout w:type="fixed"/>
          <w:tblCellMar>
            <w:top w:w="0" w:type="dxa"/>
            <w:left w:w="108" w:type="dxa"/>
            <w:bottom w:w="0" w:type="dxa"/>
            <w:right w:w="108" w:type="dxa"/>
          </w:tblCellMar>
        </w:tblPrEx>
        <w:trPr>
          <w:trHeight w:val="285" w:hRule="atLeast"/>
          <w:jc w:val="center"/>
        </w:trPr>
        <w:tc>
          <w:tcPr>
            <w:tcW w:w="5430"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bCs/>
                <w:kern w:val="0"/>
                <w:sz w:val="24"/>
                <w:szCs w:val="24"/>
              </w:rPr>
            </w:pPr>
          </w:p>
        </w:tc>
        <w:tc>
          <w:tcPr>
            <w:tcW w:w="1836"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FTP</w:t>
            </w:r>
          </w:p>
        </w:tc>
        <w:tc>
          <w:tcPr>
            <w:tcW w:w="1256"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1024</w:t>
            </w:r>
          </w:p>
        </w:tc>
      </w:tr>
      <w:tr>
        <w:tblPrEx>
          <w:tblLayout w:type="fixed"/>
          <w:tblCellMar>
            <w:top w:w="0" w:type="dxa"/>
            <w:left w:w="108" w:type="dxa"/>
            <w:bottom w:w="0" w:type="dxa"/>
            <w:right w:w="108" w:type="dxa"/>
          </w:tblCellMar>
        </w:tblPrEx>
        <w:trPr>
          <w:trHeight w:val="285" w:hRule="atLeast"/>
          <w:jc w:val="center"/>
        </w:trPr>
        <w:tc>
          <w:tcPr>
            <w:tcW w:w="5430"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bCs/>
                <w:kern w:val="0"/>
                <w:sz w:val="24"/>
                <w:szCs w:val="24"/>
              </w:rPr>
            </w:pPr>
          </w:p>
        </w:tc>
        <w:tc>
          <w:tcPr>
            <w:tcW w:w="1836"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VOD/AOD</w:t>
            </w:r>
          </w:p>
        </w:tc>
        <w:tc>
          <w:tcPr>
            <w:tcW w:w="1256"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1024</w:t>
            </w:r>
          </w:p>
        </w:tc>
      </w:tr>
      <w:tr>
        <w:tblPrEx>
          <w:tblLayout w:type="fixed"/>
          <w:tblCellMar>
            <w:top w:w="0" w:type="dxa"/>
            <w:left w:w="108" w:type="dxa"/>
            <w:bottom w:w="0" w:type="dxa"/>
            <w:right w:w="108" w:type="dxa"/>
          </w:tblCellMar>
        </w:tblPrEx>
        <w:trPr>
          <w:trHeight w:val="285" w:hRule="atLeast"/>
          <w:jc w:val="center"/>
        </w:trPr>
        <w:tc>
          <w:tcPr>
            <w:tcW w:w="543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单业务忙时占比系数</w:t>
            </w:r>
          </w:p>
        </w:tc>
        <w:tc>
          <w:tcPr>
            <w:tcW w:w="1836"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HTTP WWW</w:t>
            </w:r>
          </w:p>
        </w:tc>
        <w:tc>
          <w:tcPr>
            <w:tcW w:w="1256"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40.00%</w:t>
            </w:r>
          </w:p>
        </w:tc>
      </w:tr>
      <w:tr>
        <w:tblPrEx>
          <w:tblLayout w:type="fixed"/>
          <w:tblCellMar>
            <w:top w:w="0" w:type="dxa"/>
            <w:left w:w="108" w:type="dxa"/>
            <w:bottom w:w="0" w:type="dxa"/>
            <w:right w:w="108" w:type="dxa"/>
          </w:tblCellMar>
        </w:tblPrEx>
        <w:trPr>
          <w:trHeight w:val="285" w:hRule="atLeast"/>
          <w:jc w:val="center"/>
        </w:trPr>
        <w:tc>
          <w:tcPr>
            <w:tcW w:w="5430"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bCs/>
                <w:kern w:val="0"/>
                <w:sz w:val="24"/>
                <w:szCs w:val="24"/>
              </w:rPr>
            </w:pPr>
          </w:p>
        </w:tc>
        <w:tc>
          <w:tcPr>
            <w:tcW w:w="1836"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FTP</w:t>
            </w:r>
          </w:p>
        </w:tc>
        <w:tc>
          <w:tcPr>
            <w:tcW w:w="1256"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30.00%</w:t>
            </w:r>
          </w:p>
        </w:tc>
      </w:tr>
      <w:tr>
        <w:tblPrEx>
          <w:tblLayout w:type="fixed"/>
          <w:tblCellMar>
            <w:top w:w="0" w:type="dxa"/>
            <w:left w:w="108" w:type="dxa"/>
            <w:bottom w:w="0" w:type="dxa"/>
            <w:right w:w="108" w:type="dxa"/>
          </w:tblCellMar>
        </w:tblPrEx>
        <w:trPr>
          <w:trHeight w:val="285" w:hRule="atLeast"/>
          <w:jc w:val="center"/>
        </w:trPr>
        <w:tc>
          <w:tcPr>
            <w:tcW w:w="5430"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bCs/>
                <w:kern w:val="0"/>
                <w:sz w:val="24"/>
                <w:szCs w:val="24"/>
              </w:rPr>
            </w:pPr>
          </w:p>
        </w:tc>
        <w:tc>
          <w:tcPr>
            <w:tcW w:w="1836"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VOD/AOD</w:t>
            </w:r>
          </w:p>
        </w:tc>
        <w:tc>
          <w:tcPr>
            <w:tcW w:w="1256"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30.00%</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平均上网总业务忙时激活时间（s）</w:t>
            </w:r>
          </w:p>
        </w:tc>
        <w:tc>
          <w:tcPr>
            <w:tcW w:w="3092" w:type="dxa"/>
            <w:gridSpan w:val="2"/>
            <w:tcBorders>
              <w:top w:val="single" w:color="auto" w:sz="8" w:space="0"/>
              <w:left w:val="nil"/>
              <w:bottom w:val="single" w:color="auto" w:sz="8" w:space="0"/>
              <w:right w:val="single" w:color="000000"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650</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本市移动上网用户数（万）</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（根据背景说明自填）</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Z运营商4G移动用户占比</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3%</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制式选择</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（根据背景说明自选）</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单站三小区吞吐量（Mbps）</w:t>
            </w:r>
          </w:p>
        </w:tc>
        <w:tc>
          <w:tcPr>
            <w:tcW w:w="3092" w:type="dxa"/>
            <w:gridSpan w:val="2"/>
            <w:tcBorders>
              <w:top w:val="single" w:color="auto" w:sz="8" w:space="0"/>
              <w:left w:val="nil"/>
              <w:bottom w:val="single" w:color="auto" w:sz="8" w:space="0"/>
              <w:right w:val="single" w:color="000000"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（根据背景说明自选）</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MIMO2*2吞吐量增加系数</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2</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本市规划区域面积（平方公里）</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（根据背景说明自填）</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小区覆盖半径基准（km）</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0.85</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制式调整因子</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（根据背景说明自选）</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半径调整比例</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90度定向站:0.9</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 xml:space="preserve">            在线用户比</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0.9</w:t>
            </w:r>
          </w:p>
        </w:tc>
      </w:tr>
      <w:tr>
        <w:tblPrEx>
          <w:tblLayout w:type="fixed"/>
          <w:tblCellMar>
            <w:top w:w="0" w:type="dxa"/>
            <w:left w:w="108" w:type="dxa"/>
            <w:bottom w:w="0" w:type="dxa"/>
            <w:right w:w="108" w:type="dxa"/>
          </w:tblCellMar>
        </w:tblPrEx>
        <w:trPr>
          <w:trHeight w:val="285" w:hRule="atLeast"/>
          <w:jc w:val="center"/>
        </w:trPr>
        <w:tc>
          <w:tcPr>
            <w:tcW w:w="5430"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附着激活比</w:t>
            </w:r>
          </w:p>
        </w:tc>
        <w:tc>
          <w:tcPr>
            <w:tcW w:w="3092"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0.5</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S1-MME接口每用户忙时平均信令流量（kbps）</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6</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S11接口每用户忙时平均信令流量（kbps）</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3</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S6a接口每用户忙时平均信令流量（kbps）</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5</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bottom"/>
          </w:tcPr>
          <w:p>
            <w:pPr>
              <w:widowControl/>
              <w:jc w:val="center"/>
              <w:rPr>
                <w:rFonts w:ascii="宋体" w:hAnsi="宋体"/>
                <w:bCs/>
                <w:kern w:val="0"/>
                <w:sz w:val="24"/>
                <w:szCs w:val="24"/>
              </w:rPr>
            </w:pPr>
            <w:r>
              <w:rPr>
                <w:rFonts w:ascii="宋体" w:hAnsi="宋体"/>
                <w:bCs/>
                <w:kern w:val="0"/>
                <w:sz w:val="24"/>
                <w:szCs w:val="24"/>
              </w:rPr>
              <w:t>平均报文长度</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500字节</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基站带宽预留比</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0.5</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链路工作带宽占比</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0.5</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核心、接入层带宽收敛比</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0.5</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汇聚、接入层带宽收敛比</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0.75</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单汇聚设备带基站数</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16</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（选择环型拓扑时）汇聚环上汇聚设备数</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5</w:t>
            </w:r>
          </w:p>
        </w:tc>
      </w:tr>
      <w:tr>
        <w:tblPrEx>
          <w:tblLayout w:type="fixed"/>
          <w:tblCellMar>
            <w:top w:w="0" w:type="dxa"/>
            <w:left w:w="108" w:type="dxa"/>
            <w:bottom w:w="0" w:type="dxa"/>
            <w:right w:w="108" w:type="dxa"/>
          </w:tblCellMar>
        </w:tblPrEx>
        <w:trPr>
          <w:trHeight w:val="285" w:hRule="atLeast"/>
          <w:jc w:val="center"/>
        </w:trPr>
        <w:tc>
          <w:tcPr>
            <w:tcW w:w="543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（选择环型拓扑时）接入环上接入设备数</w:t>
            </w:r>
          </w:p>
        </w:tc>
        <w:tc>
          <w:tcPr>
            <w:tcW w:w="309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bCs/>
                <w:kern w:val="0"/>
                <w:sz w:val="24"/>
                <w:szCs w:val="24"/>
              </w:rPr>
            </w:pPr>
            <w:r>
              <w:rPr>
                <w:rFonts w:ascii="宋体" w:hAnsi="宋体"/>
                <w:bCs/>
                <w:kern w:val="0"/>
                <w:sz w:val="24"/>
                <w:szCs w:val="24"/>
              </w:rPr>
              <w:t>6</w:t>
            </w:r>
          </w:p>
        </w:tc>
      </w:tr>
    </w:tbl>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（1）合理部署并完成各机房中设备及连线。</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（2）完善数据配置，在工程模式下实现千湖和百山两市Q1、Q2、Q3、B1、B2、B3共6个小区的业务拨测，并实现工程模式下B2&lt;-&gt;Q1之间业务的双向切换。</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3. 补充说明：</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 xml:space="preserve">（1）“小区拨测”任务以“工程模式”下的Q1、Q2、Q3、B1、B2、B3六个小区的拨测成功为验收指标。 </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（2）“小区切换”任务以“工程模式”下双向切换成功为验收指标，两小区间切换如只完成单向切换将视为切换不通过，“小区切换”任务不得分。</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（3）容量规划计算结果请保留2位小数，计算结果错误不得分。</w:t>
      </w:r>
    </w:p>
    <w:p>
      <w:pPr>
        <w:spacing w:line="560" w:lineRule="exact"/>
        <w:ind w:firstLine="602"/>
        <w:rPr>
          <w:rFonts w:ascii="Times New Roman" w:hAnsi="Times New Roman" w:eastAsia="仿宋_GB2312"/>
          <w:b/>
          <w:bCs/>
          <w:sz w:val="28"/>
          <w:szCs w:val="28"/>
          <w:u w:color="000000"/>
          <w:lang w:val="zh-TW"/>
        </w:rPr>
      </w:pPr>
      <w:r>
        <w:rPr>
          <w:rFonts w:ascii="Times New Roman" w:hAnsi="Times New Roman" w:eastAsia="仿宋_GB2312"/>
          <w:b/>
          <w:bCs/>
          <w:sz w:val="28"/>
          <w:szCs w:val="28"/>
          <w:u w:color="000000"/>
          <w:lang w:val="zh-TW"/>
        </w:rPr>
        <w:t>（</w:t>
      </w:r>
      <w:r>
        <w:rPr>
          <w:rFonts w:hint="eastAsia" w:ascii="Times New Roman" w:hAnsi="Times New Roman" w:eastAsia="仿宋_GB2312"/>
          <w:b/>
          <w:bCs/>
          <w:sz w:val="28"/>
          <w:szCs w:val="28"/>
          <w:u w:color="000000"/>
          <w:lang w:val="zh-TW"/>
        </w:rPr>
        <w:t>二</w:t>
      </w:r>
      <w:r>
        <w:rPr>
          <w:rFonts w:ascii="Times New Roman" w:hAnsi="Times New Roman" w:eastAsia="仿宋_GB2312"/>
          <w:b/>
          <w:bCs/>
          <w:sz w:val="28"/>
          <w:szCs w:val="28"/>
          <w:u w:color="000000"/>
          <w:lang w:val="zh-TW"/>
        </w:rPr>
        <w:t>）4G</w:t>
      </w:r>
      <w:r>
        <w:rPr>
          <w:rFonts w:ascii="Times New Roman" w:hAnsi="Times New Roman" w:eastAsia="PMingLiU"/>
          <w:b/>
          <w:bCs/>
          <w:sz w:val="28"/>
          <w:szCs w:val="28"/>
          <w:u w:color="000000"/>
          <w:lang w:val="zh-TW" w:eastAsia="zh-TW"/>
        </w:rPr>
        <w:t>&amp;Pre5G</w:t>
      </w:r>
      <w:r>
        <w:rPr>
          <w:rFonts w:ascii="Times New Roman" w:hAnsi="Times New Roman" w:eastAsia="仿宋_GB2312"/>
          <w:b/>
          <w:bCs/>
          <w:sz w:val="28"/>
          <w:szCs w:val="28"/>
          <w:u w:color="000000"/>
          <w:lang w:val="zh-TW"/>
        </w:rPr>
        <w:t>网络故障排除（</w:t>
      </w:r>
      <w:r>
        <w:rPr>
          <w:rFonts w:hint="eastAsia" w:ascii="Times New Roman" w:hAnsi="Times New Roman" w:eastAsia="仿宋_GB2312"/>
          <w:b/>
          <w:bCs/>
          <w:sz w:val="28"/>
          <w:szCs w:val="28"/>
          <w:u w:color="000000"/>
          <w:lang w:val="zh-TW"/>
        </w:rPr>
        <w:t>3</w:t>
      </w:r>
      <w:r>
        <w:rPr>
          <w:rFonts w:ascii="Times New Roman" w:hAnsi="Times New Roman" w:eastAsia="仿宋_GB2312"/>
          <w:b/>
          <w:bCs/>
          <w:sz w:val="28"/>
          <w:szCs w:val="28"/>
          <w:u w:color="000000"/>
          <w:lang w:val="zh-TW"/>
        </w:rPr>
        <w:t>0分）</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1. 操作说明：</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每参赛队的两名选手分别使用竞赛账号以“竞技”模式登录</w:t>
      </w:r>
      <w:r>
        <w:rPr>
          <w:rFonts w:hint="eastAsia" w:ascii="Arial Narrow" w:hAnsi="Arial Narrow" w:eastAsia="仿宋_GB2312" w:cs="Arial"/>
          <w:sz w:val="28"/>
          <w:szCs w:val="28"/>
        </w:rPr>
        <w:t>4G&amp;Pre5G</w:t>
      </w:r>
      <w:r>
        <w:rPr>
          <w:rFonts w:ascii="Arial Narrow" w:hAnsi="Arial Narrow" w:eastAsia="仿宋_GB2312" w:cs="Arial"/>
          <w:sz w:val="28"/>
          <w:szCs w:val="28"/>
        </w:rPr>
        <w:t>全网竞技系统，在工程模式下，完成万绿、百山两个城市4G全网故障排除。</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2. 任务说明：</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万绿市和百山市计划建设LTE</w:t>
      </w:r>
      <w:r>
        <w:rPr>
          <w:rFonts w:hint="eastAsia" w:ascii="Arial Narrow" w:hAnsi="Arial Narrow" w:eastAsia="仿宋_GB2312" w:cs="Arial"/>
          <w:sz w:val="28"/>
          <w:szCs w:val="28"/>
        </w:rPr>
        <w:t>与Pre5G</w:t>
      </w:r>
      <w:r>
        <w:rPr>
          <w:rFonts w:ascii="Arial Narrow" w:hAnsi="Arial Narrow" w:eastAsia="仿宋_GB2312" w:cs="Arial"/>
          <w:sz w:val="28"/>
          <w:szCs w:val="28"/>
        </w:rPr>
        <w:t>网络。目前工程建设已经完成，但由于设备部署和配置存在问题，不能正常提供两市六个小区的网络服务，请使用相关工具，排查无线、核心网及承载网的所有故障点并完成以下任务：</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（1）在“工程模式”下，完成W1、W2、W3、B1、B2、B3六个小区的拨测任务。</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（2）在“工程模式”下，完成以下小区间业务的双向切换：W1&lt;-&gt;W2，W1&lt;-&gt;B2，W1&lt;-&gt;B3，B3&lt;-&gt;W3。</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（3）请在“故障排查选项”页面，选择列举出所有故障发生的位置，并在答题卡上填写对应答案。</w:t>
      </w:r>
    </w:p>
    <w:p>
      <w:pPr>
        <w:autoSpaceDE w:val="0"/>
        <w:autoSpaceDN w:val="0"/>
        <w:adjustRightInd w:val="0"/>
        <w:spacing w:line="360" w:lineRule="auto"/>
        <w:jc w:val="left"/>
        <w:rPr>
          <w:rFonts w:ascii="Times New Roman" w:hAnsi="Times New Roman" w:eastAsia="仿宋_GB2312"/>
          <w:kern w:val="0"/>
          <w:sz w:val="28"/>
          <w:szCs w:val="28"/>
        </w:rPr>
      </w:pPr>
      <w:r>
        <w:rPr>
          <w:rFonts w:ascii="Arial Narrow" w:hAnsi="Arial Narrow" w:eastAsia="仿宋_GB2312" w:cs="Arial"/>
          <w:sz w:val="28"/>
          <w:szCs w:val="28"/>
        </w:rPr>
        <w:t>示例：如图6所列的三个故障点，请填写在答题卡“设备配置类”的相应列中（每一列的第一位故障编码已给出），故障编码分别为(1)(2)(2)(-)(7)，(2)(2)(2)(1)(1)，(3)(11)(2)(5)(1)。</w:t>
      </w:r>
      <w:r>
        <w:rPr>
          <w:rFonts w:ascii="Times New Roman" w:hAnsi="Times New Roman" w:eastAsia="仿宋_GB2312"/>
          <w:kern w:val="0"/>
          <w:sz w:val="28"/>
          <w:szCs w:val="28"/>
        </w:rPr>
        <w:drawing>
          <wp:inline distT="0" distB="0" distL="0" distR="0">
            <wp:extent cx="5274310" cy="2070100"/>
            <wp:effectExtent l="0" t="0" r="2540" b="635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noChangeArrowheads="1"/>
                    </pic:cNvPicPr>
                  </pic:nvPicPr>
                  <pic:blipFill>
                    <a:blip r:embed="rId7" cstate="print"/>
                    <a:srcRect/>
                    <a:stretch>
                      <a:fillRect/>
                    </a:stretch>
                  </pic:blipFill>
                  <pic:spPr>
                    <a:xfrm>
                      <a:off x="0" y="0"/>
                      <a:ext cx="5274310" cy="2070100"/>
                    </a:xfrm>
                    <a:prstGeom prst="rect">
                      <a:avLst/>
                    </a:prstGeom>
                    <a:noFill/>
                    <a:ln w="9525">
                      <a:noFill/>
                      <a:miter lim="800000"/>
                      <a:headEnd/>
                      <a:tailEnd/>
                    </a:ln>
                  </pic:spPr>
                </pic:pic>
              </a:graphicData>
            </a:graphic>
          </wp:inline>
        </w:drawing>
      </w:r>
    </w:p>
    <w:p>
      <w:pPr>
        <w:spacing w:line="320" w:lineRule="exact"/>
        <w:jc w:val="center"/>
        <w:rPr>
          <w:rFonts w:ascii="仿宋_GB2312" w:hAnsi="仿宋" w:eastAsia="仿宋_GB2312" w:cs="仿宋_GB2312"/>
          <w:b/>
          <w:kern w:val="0"/>
          <w:sz w:val="24"/>
          <w:szCs w:val="24"/>
        </w:rPr>
      </w:pPr>
      <w:r>
        <w:rPr>
          <w:rFonts w:hint="eastAsia" w:ascii="仿宋_GB2312" w:hAnsi="仿宋" w:eastAsia="仿宋_GB2312" w:cs="仿宋_GB2312"/>
          <w:b/>
          <w:kern w:val="0"/>
          <w:sz w:val="24"/>
          <w:szCs w:val="24"/>
        </w:rPr>
        <w:t>图1 故障排查选项</w:t>
      </w:r>
    </w:p>
    <w:p>
      <w:pPr>
        <w:snapToGrid w:val="0"/>
        <w:spacing w:line="56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3. 补充说明</w:t>
      </w:r>
    </w:p>
    <w:p>
      <w:pPr>
        <w:snapToGrid w:val="0"/>
        <w:spacing w:line="560" w:lineRule="exact"/>
        <w:ind w:firstLine="560" w:firstLineChars="200"/>
        <w:rPr>
          <w:rFonts w:ascii="Times New Roman" w:hAnsi="Times New Roman" w:eastAsia="仿宋_GB2312"/>
          <w:sz w:val="28"/>
          <w:szCs w:val="28"/>
        </w:rPr>
      </w:pPr>
      <w:r>
        <w:rPr>
          <w:rFonts w:ascii="Arial Narrow" w:hAnsi="Arial Narrow" w:eastAsia="仿宋_GB2312" w:cs="Arial"/>
          <w:sz w:val="28"/>
          <w:szCs w:val="28"/>
        </w:rPr>
        <w:t>“小区拨测”</w:t>
      </w:r>
      <w:r>
        <w:rPr>
          <w:rFonts w:ascii="Times New Roman" w:hAnsi="Times New Roman" w:eastAsia="仿宋_GB2312"/>
          <w:sz w:val="28"/>
          <w:szCs w:val="28"/>
        </w:rPr>
        <w:t>任务以“工程模式”下W1、W2、W3、B1、B2、B3六个小区的拨测成功为验收指标。</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 xml:space="preserve">（1） “小区切换”任务以“工程模式”下双向切换成功为验收指标，两小区间切换如只完成单向切换将视为切换不通过，不得分。 </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2）对于两端参数协商错误导致的故障，指出一端位置即可得分，同时指出两端故障只计一次得分。示例：如S1偶联端口，无线与核心网两端配置不一致时，故障位置只需指出无线配置错误位置或核心网配置错误位置其中一个即可，如同时列举两端错误位置，只统计一次得分。</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（3）如某一故障存在多种修改方案，以最少改动方案为准，其他方案不得分。</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示例：例如终端配置网络号与LTE</w:t>
      </w:r>
      <w:r>
        <w:rPr>
          <w:rFonts w:hint="eastAsia" w:ascii="Arial Narrow" w:hAnsi="Arial Narrow" w:eastAsia="仿宋_GB2312" w:cs="Arial"/>
          <w:sz w:val="28"/>
          <w:szCs w:val="28"/>
        </w:rPr>
        <w:t>及Pre5G</w:t>
      </w:r>
      <w:r>
        <w:rPr>
          <w:rFonts w:ascii="Arial Narrow" w:hAnsi="Arial Narrow" w:eastAsia="仿宋_GB2312" w:cs="Arial"/>
          <w:sz w:val="28"/>
          <w:szCs w:val="28"/>
        </w:rPr>
        <w:t>网络系统不一致，方案一为修改LTE</w:t>
      </w:r>
      <w:r>
        <w:rPr>
          <w:rFonts w:hint="eastAsia" w:ascii="Arial Narrow" w:hAnsi="Arial Narrow" w:eastAsia="仿宋_GB2312" w:cs="Arial"/>
          <w:sz w:val="28"/>
          <w:szCs w:val="28"/>
        </w:rPr>
        <w:t>及Pre5G</w:t>
      </w:r>
      <w:r>
        <w:rPr>
          <w:rFonts w:ascii="Arial Narrow" w:hAnsi="Arial Narrow" w:eastAsia="仿宋_GB2312" w:cs="Arial"/>
          <w:sz w:val="28"/>
          <w:szCs w:val="28"/>
        </w:rPr>
        <w:t>网络系统中多处网络号地址，方案二为修改终端配置网络号，相比而言后者为最少改动方案，故此处故障指出终端配置错误的位置为正确答案，列举其他修改方案不得分。</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（1）对于某个“配置项”完全缺失的情况下，“参数项”请选择“全部”。</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（2）网络中共存在20处故障，每正确指出一处故障，得</w:t>
      </w:r>
      <w:r>
        <w:rPr>
          <w:rFonts w:hint="eastAsia" w:ascii="Arial Narrow" w:hAnsi="Arial Narrow" w:eastAsia="仿宋_GB2312" w:cs="Arial"/>
          <w:sz w:val="28"/>
          <w:szCs w:val="28"/>
        </w:rPr>
        <w:t>1.5</w:t>
      </w:r>
      <w:r>
        <w:rPr>
          <w:rFonts w:ascii="Arial Narrow" w:hAnsi="Arial Narrow" w:eastAsia="仿宋_GB2312" w:cs="Arial"/>
          <w:sz w:val="28"/>
          <w:szCs w:val="28"/>
        </w:rPr>
        <w:t>分，故障指出错误、重复或指出不存在的故障不得分。</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（3）故障排除过程中由于某个操作造成需要新增部分参数配置，不计入故障点。</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示例：某PTN接口关联VLAN修改为VLAN 100，需要新增VLAN 100的IP地址、OSPF接口配置，此两项不计入故障点。</w:t>
      </w:r>
    </w:p>
    <w:p>
      <w:pPr>
        <w:spacing w:line="560" w:lineRule="exact"/>
        <w:ind w:firstLine="602"/>
        <w:rPr>
          <w:rFonts w:ascii="Times New Roman" w:hAnsi="Times New Roman" w:eastAsia="仿宋_GB2312"/>
          <w:b/>
          <w:bCs/>
          <w:sz w:val="28"/>
          <w:szCs w:val="28"/>
          <w:u w:color="000000"/>
          <w:lang w:val="zh-TW"/>
        </w:rPr>
      </w:pPr>
      <w:r>
        <w:rPr>
          <w:rFonts w:hint="eastAsia" w:ascii="Times New Roman" w:hAnsi="Times New Roman" w:eastAsia="仿宋_GB2312"/>
          <w:b/>
          <w:bCs/>
          <w:sz w:val="28"/>
          <w:szCs w:val="28"/>
          <w:u w:color="000000"/>
          <w:lang w:val="zh-TW"/>
        </w:rPr>
        <w:t>（三）NB-IoT网络规划与业务调试</w:t>
      </w:r>
      <w:r>
        <w:rPr>
          <w:rFonts w:ascii="Times New Roman" w:hAnsi="Times New Roman" w:eastAsia="仿宋_GB2312"/>
          <w:b/>
          <w:bCs/>
          <w:sz w:val="28"/>
          <w:szCs w:val="28"/>
          <w:u w:color="000000"/>
          <w:lang w:val="zh-TW"/>
        </w:rPr>
        <w:t xml:space="preserve"> </w:t>
      </w:r>
      <w:r>
        <w:rPr>
          <w:rFonts w:hint="eastAsia" w:ascii="Times New Roman" w:hAnsi="Times New Roman" w:eastAsia="仿宋_GB2312"/>
          <w:b/>
          <w:bCs/>
          <w:sz w:val="28"/>
          <w:szCs w:val="28"/>
          <w:u w:color="000000"/>
          <w:lang w:val="zh-TW"/>
        </w:rPr>
        <w:t>（30分）</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1. 操作说明</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每参赛队的两名选手分别使用竞赛账号以“竞技”模式登录NB-IoT全网竞技系统，在工程模式下，完成某市NB-IoT网络规划与调试。</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2. 任务说明</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某市某运营商</w:t>
      </w:r>
      <w:r>
        <w:rPr>
          <w:rFonts w:ascii="Arial Narrow" w:hAnsi="Arial Narrow" w:eastAsia="仿宋_GB2312" w:cs="Arial"/>
          <w:sz w:val="28"/>
          <w:szCs w:val="28"/>
        </w:rPr>
        <w:t>计划</w:t>
      </w:r>
      <w:r>
        <w:rPr>
          <w:rFonts w:hint="eastAsia" w:ascii="Arial Narrow" w:hAnsi="Arial Narrow" w:eastAsia="仿宋_GB2312" w:cs="Arial"/>
          <w:sz w:val="28"/>
          <w:szCs w:val="28"/>
        </w:rPr>
        <w:t>开展 NB-IoT</w:t>
      </w:r>
      <w:r>
        <w:rPr>
          <w:rFonts w:ascii="Arial Narrow" w:hAnsi="Arial Narrow" w:eastAsia="仿宋_GB2312" w:cs="Arial"/>
          <w:sz w:val="28"/>
          <w:szCs w:val="28"/>
        </w:rPr>
        <w:t>网络</w:t>
      </w:r>
      <w:r>
        <w:rPr>
          <w:rFonts w:hint="eastAsia" w:ascii="Arial Narrow" w:hAnsi="Arial Narrow" w:eastAsia="仿宋_GB2312" w:cs="Arial"/>
          <w:sz w:val="28"/>
          <w:szCs w:val="28"/>
        </w:rPr>
        <w:t>试点</w:t>
      </w:r>
      <w:r>
        <w:rPr>
          <w:rFonts w:ascii="Arial Narrow" w:hAnsi="Arial Narrow" w:eastAsia="仿宋_GB2312" w:cs="Arial"/>
          <w:sz w:val="28"/>
          <w:szCs w:val="28"/>
        </w:rPr>
        <w:t>，目前</w:t>
      </w:r>
      <w:r>
        <w:rPr>
          <w:rFonts w:hint="eastAsia" w:ascii="Arial Narrow" w:hAnsi="Arial Narrow" w:eastAsia="仿宋_GB2312" w:cs="Arial"/>
          <w:sz w:val="28"/>
          <w:szCs w:val="28"/>
        </w:rPr>
        <w:t>该</w:t>
      </w:r>
      <w:r>
        <w:rPr>
          <w:rFonts w:ascii="Arial Narrow" w:hAnsi="Arial Narrow" w:eastAsia="仿宋_GB2312" w:cs="Arial"/>
          <w:sz w:val="28"/>
          <w:szCs w:val="28"/>
        </w:rPr>
        <w:t>市已经完成一部分网络建设工作，尚未完工。请基于系统当前数据，继续完善</w:t>
      </w:r>
      <w:r>
        <w:rPr>
          <w:rFonts w:hint="eastAsia" w:ascii="Arial Narrow" w:hAnsi="Arial Narrow" w:eastAsia="仿宋_GB2312" w:cs="Arial"/>
          <w:sz w:val="28"/>
          <w:szCs w:val="28"/>
        </w:rPr>
        <w:t>无线网络规划，</w:t>
      </w:r>
      <w:r>
        <w:rPr>
          <w:rFonts w:ascii="Arial Narrow" w:hAnsi="Arial Narrow" w:eastAsia="仿宋_GB2312" w:cs="Arial"/>
          <w:sz w:val="28"/>
          <w:szCs w:val="28"/>
        </w:rPr>
        <w:t>补全核心网、承载网的容量规划、设备</w:t>
      </w:r>
      <w:r>
        <w:rPr>
          <w:rFonts w:hint="eastAsia" w:ascii="Arial Narrow" w:hAnsi="Arial Narrow" w:eastAsia="仿宋_GB2312" w:cs="Arial"/>
          <w:sz w:val="28"/>
          <w:szCs w:val="28"/>
        </w:rPr>
        <w:t>部署与连接</w:t>
      </w:r>
      <w:r>
        <w:rPr>
          <w:rFonts w:ascii="Arial Narrow" w:hAnsi="Arial Narrow" w:eastAsia="仿宋_GB2312" w:cs="Arial"/>
          <w:sz w:val="28"/>
          <w:szCs w:val="28"/>
        </w:rPr>
        <w:t>及</w:t>
      </w:r>
      <w:r>
        <w:rPr>
          <w:rFonts w:hint="eastAsia" w:ascii="Arial Narrow" w:hAnsi="Arial Narrow" w:eastAsia="仿宋_GB2312" w:cs="Arial"/>
          <w:sz w:val="28"/>
          <w:szCs w:val="28"/>
        </w:rPr>
        <w:t>小区参数</w:t>
      </w:r>
      <w:r>
        <w:rPr>
          <w:rFonts w:ascii="Arial Narrow" w:hAnsi="Arial Narrow" w:eastAsia="仿宋_GB2312" w:cs="Arial"/>
          <w:sz w:val="28"/>
          <w:szCs w:val="28"/>
        </w:rPr>
        <w:t>配置等环节的规划设计和</w:t>
      </w:r>
      <w:r>
        <w:rPr>
          <w:rFonts w:hint="eastAsia" w:ascii="Arial Narrow" w:hAnsi="Arial Narrow" w:eastAsia="仿宋_GB2312" w:cs="Arial"/>
          <w:sz w:val="28"/>
          <w:szCs w:val="28"/>
        </w:rPr>
        <w:t>业务</w:t>
      </w:r>
      <w:r>
        <w:rPr>
          <w:rFonts w:ascii="Arial Narrow" w:hAnsi="Arial Narrow" w:eastAsia="仿宋_GB2312" w:cs="Arial"/>
          <w:sz w:val="28"/>
          <w:szCs w:val="28"/>
        </w:rPr>
        <w:t>调测工作。具体任务如下：</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（1）根据以下背景说明及话务模型，在软件“</w:t>
      </w:r>
      <w:r>
        <w:rPr>
          <w:rFonts w:hint="eastAsia" w:ascii="Arial Narrow" w:hAnsi="Arial Narrow" w:eastAsia="仿宋_GB2312" w:cs="Arial"/>
          <w:sz w:val="28"/>
          <w:szCs w:val="28"/>
        </w:rPr>
        <w:t>网络</w:t>
      </w:r>
      <w:r>
        <w:rPr>
          <w:rFonts w:ascii="Arial Narrow" w:hAnsi="Arial Narrow" w:eastAsia="仿宋_GB2312" w:cs="Arial"/>
          <w:sz w:val="28"/>
          <w:szCs w:val="28"/>
        </w:rPr>
        <w:t>规划”部分完成</w:t>
      </w:r>
      <w:r>
        <w:rPr>
          <w:rFonts w:hint="eastAsia" w:ascii="Arial Narrow" w:hAnsi="Arial Narrow" w:eastAsia="仿宋_GB2312" w:cs="Arial"/>
          <w:sz w:val="28"/>
          <w:szCs w:val="28"/>
        </w:rPr>
        <w:t>某市</w:t>
      </w:r>
      <w:r>
        <w:rPr>
          <w:rFonts w:ascii="Arial Narrow" w:hAnsi="Arial Narrow" w:eastAsia="仿宋_GB2312" w:cs="Arial"/>
          <w:sz w:val="28"/>
          <w:szCs w:val="28"/>
        </w:rPr>
        <w:t>的</w:t>
      </w:r>
      <w:r>
        <w:rPr>
          <w:rFonts w:hint="eastAsia" w:ascii="Arial Narrow" w:hAnsi="Arial Narrow" w:eastAsia="仿宋_GB2312" w:cs="Arial"/>
          <w:sz w:val="28"/>
          <w:szCs w:val="28"/>
        </w:rPr>
        <w:t>网络</w:t>
      </w:r>
      <w:r>
        <w:rPr>
          <w:rFonts w:ascii="Arial Narrow" w:hAnsi="Arial Narrow" w:eastAsia="仿宋_GB2312" w:cs="Arial"/>
          <w:sz w:val="28"/>
          <w:szCs w:val="28"/>
        </w:rPr>
        <w:t>规划报告，并在答题卡上填写相应答案。</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某市</w:t>
      </w:r>
      <w:r>
        <w:rPr>
          <w:rFonts w:ascii="Arial Narrow" w:hAnsi="Arial Narrow" w:eastAsia="仿宋_GB2312" w:cs="Arial"/>
          <w:sz w:val="28"/>
          <w:szCs w:val="28"/>
        </w:rPr>
        <w:t>：该市</w:t>
      </w:r>
      <w:r>
        <w:rPr>
          <w:rFonts w:hint="eastAsia" w:ascii="Arial Narrow" w:hAnsi="Arial Narrow" w:eastAsia="仿宋_GB2312" w:cs="Arial"/>
          <w:sz w:val="28"/>
          <w:szCs w:val="28"/>
        </w:rPr>
        <w:t>NB-IoT终端设备总数、</w:t>
      </w:r>
      <w:r>
        <w:rPr>
          <w:rFonts w:ascii="Arial Narrow" w:hAnsi="Arial Narrow" w:eastAsia="仿宋_GB2312" w:cs="Arial"/>
          <w:sz w:val="28"/>
          <w:szCs w:val="28"/>
        </w:rPr>
        <w:t>规划覆盖区域</w:t>
      </w:r>
      <w:r>
        <w:rPr>
          <w:rFonts w:hint="eastAsia" w:ascii="Arial Narrow" w:hAnsi="Arial Narrow" w:eastAsia="仿宋_GB2312" w:cs="Arial"/>
          <w:sz w:val="28"/>
          <w:szCs w:val="28"/>
        </w:rPr>
        <w:t>按赛事规定条件设置</w:t>
      </w:r>
      <w:r>
        <w:rPr>
          <w:rFonts w:ascii="Arial Narrow" w:hAnsi="Arial Narrow" w:eastAsia="仿宋_GB2312" w:cs="Arial"/>
          <w:sz w:val="28"/>
          <w:szCs w:val="28"/>
        </w:rPr>
        <w:t>，</w:t>
      </w:r>
      <w:r>
        <w:rPr>
          <w:rFonts w:hint="eastAsia" w:ascii="Arial Narrow" w:hAnsi="Arial Narrow" w:eastAsia="仿宋_GB2312" w:cs="Arial"/>
          <w:sz w:val="28"/>
          <w:szCs w:val="28"/>
        </w:rPr>
        <w:t>NB-IoT终端</w:t>
      </w:r>
      <w:r>
        <w:rPr>
          <w:rFonts w:ascii="Arial Narrow" w:hAnsi="Arial Narrow" w:eastAsia="仿宋_GB2312" w:cs="Arial"/>
          <w:sz w:val="28"/>
          <w:szCs w:val="28"/>
        </w:rPr>
        <w:t>分布在一般楼房建筑的居民区和个别商业区，用户密度相对分散，</w:t>
      </w:r>
      <w:r>
        <w:rPr>
          <w:rFonts w:hint="eastAsia" w:ascii="Arial Narrow" w:hAnsi="Arial Narrow" w:eastAsia="仿宋_GB2312" w:cs="Arial"/>
          <w:sz w:val="28"/>
          <w:szCs w:val="28"/>
        </w:rPr>
        <w:t>可理解为均匀分布。NB-IoT</w:t>
      </w:r>
      <w:r>
        <w:rPr>
          <w:rFonts w:ascii="Arial Narrow" w:hAnsi="Arial Narrow" w:eastAsia="仿宋_GB2312" w:cs="Arial"/>
          <w:sz w:val="28"/>
          <w:szCs w:val="28"/>
        </w:rPr>
        <w:t>无线网络</w:t>
      </w:r>
      <w:r>
        <w:rPr>
          <w:rFonts w:hint="eastAsia" w:ascii="Arial Narrow" w:hAnsi="Arial Narrow" w:eastAsia="仿宋_GB2312" w:cs="Arial"/>
          <w:sz w:val="28"/>
          <w:szCs w:val="28"/>
        </w:rPr>
        <w:t>试点期间,某市覆盖规划的上行链路预算表格</w:t>
      </w:r>
      <w:r>
        <w:rPr>
          <w:rFonts w:ascii="Arial Narrow" w:hAnsi="Arial Narrow" w:eastAsia="仿宋_GB2312" w:cs="Arial"/>
          <w:sz w:val="28"/>
          <w:szCs w:val="28"/>
        </w:rPr>
        <w:t>请参照表</w:t>
      </w:r>
      <w:r>
        <w:rPr>
          <w:rFonts w:hint="eastAsia" w:ascii="Arial Narrow" w:hAnsi="Arial Narrow" w:eastAsia="仿宋_GB2312" w:cs="Arial"/>
          <w:sz w:val="28"/>
          <w:szCs w:val="28"/>
        </w:rPr>
        <w:t>9链路预算参数配置说明</w:t>
      </w:r>
      <w:r>
        <w:rPr>
          <w:rFonts w:ascii="Arial Narrow" w:hAnsi="Arial Narrow" w:eastAsia="仿宋_GB2312" w:cs="Arial"/>
          <w:sz w:val="28"/>
          <w:szCs w:val="28"/>
        </w:rPr>
        <w:t>。</w:t>
      </w:r>
    </w:p>
    <w:p>
      <w:pPr>
        <w:spacing w:line="320" w:lineRule="exact"/>
        <w:jc w:val="center"/>
        <w:rPr>
          <w:rFonts w:ascii="仿宋_GB2312" w:hAnsi="仿宋" w:eastAsia="仿宋_GB2312" w:cs="仿宋_GB2312"/>
          <w:b/>
          <w:kern w:val="0"/>
          <w:sz w:val="24"/>
          <w:szCs w:val="24"/>
        </w:rPr>
      </w:pPr>
      <w:r>
        <w:rPr>
          <w:rFonts w:hint="eastAsia" w:ascii="仿宋_GB2312" w:hAnsi="仿宋" w:eastAsia="仿宋_GB2312" w:cs="仿宋_GB2312"/>
          <w:b/>
          <w:kern w:val="0"/>
          <w:sz w:val="24"/>
          <w:szCs w:val="24"/>
        </w:rPr>
        <w:t>表9 链路预算参数配置说明</w:t>
      </w:r>
    </w:p>
    <w:tbl>
      <w:tblPr>
        <w:tblStyle w:val="16"/>
        <w:tblW w:w="83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845"/>
        <w:gridCol w:w="2266"/>
        <w:gridCol w:w="1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vMerge w:val="restart"/>
            <w:shd w:val="clear" w:color="auto" w:fill="auto"/>
            <w:vAlign w:val="center"/>
          </w:tcPr>
          <w:p>
            <w:pPr>
              <w:jc w:val="center"/>
              <w:rPr>
                <w:rFonts w:ascii="宋体" w:hAnsi="宋体" w:cs="仿宋_GB2312"/>
                <w:b/>
                <w:sz w:val="24"/>
                <w:szCs w:val="24"/>
              </w:rPr>
            </w:pPr>
            <w:r>
              <w:rPr>
                <w:rFonts w:hint="eastAsia" w:ascii="宋体" w:hAnsi="宋体" w:cs="仿宋_GB2312"/>
                <w:b/>
                <w:sz w:val="24"/>
                <w:szCs w:val="24"/>
              </w:rPr>
              <w:t>参数项</w:t>
            </w:r>
          </w:p>
        </w:tc>
        <w:tc>
          <w:tcPr>
            <w:tcW w:w="3491" w:type="dxa"/>
            <w:gridSpan w:val="2"/>
            <w:shd w:val="clear" w:color="auto" w:fill="auto"/>
            <w:vAlign w:val="center"/>
          </w:tcPr>
          <w:p>
            <w:pPr>
              <w:widowControl/>
              <w:jc w:val="center"/>
              <w:textAlignment w:val="center"/>
              <w:rPr>
                <w:rFonts w:ascii="宋体" w:hAnsi="宋体" w:cs="仿宋_GB2312"/>
                <w:b/>
                <w:sz w:val="24"/>
                <w:szCs w:val="24"/>
              </w:rPr>
            </w:pPr>
            <w:r>
              <w:rPr>
                <w:rFonts w:hint="eastAsia" w:ascii="宋体" w:hAnsi="宋体" w:cs="仿宋_GB2312"/>
                <w:b/>
                <w:sz w:val="24"/>
                <w:szCs w:val="24"/>
              </w:rPr>
              <w:t>NB-IoT Standalone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vMerge w:val="continue"/>
            <w:shd w:val="clear" w:color="auto" w:fill="auto"/>
            <w:vAlign w:val="center"/>
          </w:tcPr>
          <w:p>
            <w:pPr>
              <w:jc w:val="center"/>
              <w:rPr>
                <w:rFonts w:ascii="宋体" w:hAnsi="宋体" w:cs="仿宋_GB2312"/>
                <w:b/>
                <w:sz w:val="24"/>
                <w:szCs w:val="24"/>
              </w:rPr>
            </w:pPr>
          </w:p>
        </w:tc>
        <w:tc>
          <w:tcPr>
            <w:tcW w:w="2266" w:type="dxa"/>
            <w:shd w:val="clear" w:color="auto" w:fill="auto"/>
            <w:vAlign w:val="center"/>
          </w:tcPr>
          <w:p>
            <w:pPr>
              <w:widowControl/>
              <w:jc w:val="center"/>
              <w:textAlignment w:val="center"/>
              <w:rPr>
                <w:rFonts w:ascii="宋体" w:hAnsi="宋体" w:cs="仿宋_GB2312"/>
                <w:b/>
                <w:sz w:val="24"/>
                <w:szCs w:val="24"/>
              </w:rPr>
            </w:pPr>
            <w:r>
              <w:rPr>
                <w:rFonts w:hint="eastAsia" w:ascii="宋体" w:hAnsi="宋体" w:cs="仿宋_GB2312"/>
                <w:b/>
                <w:sz w:val="24"/>
                <w:szCs w:val="24"/>
              </w:rPr>
              <w:t>NPUSCH(15KHz)</w:t>
            </w:r>
          </w:p>
        </w:tc>
        <w:tc>
          <w:tcPr>
            <w:tcW w:w="1225" w:type="dxa"/>
            <w:shd w:val="clear" w:color="auto" w:fill="auto"/>
            <w:vAlign w:val="center"/>
          </w:tcPr>
          <w:p>
            <w:pPr>
              <w:widowControl/>
              <w:jc w:val="center"/>
              <w:textAlignment w:val="center"/>
              <w:rPr>
                <w:rFonts w:ascii="宋体" w:hAnsi="宋体" w:cs="仿宋_GB2312"/>
                <w:b/>
                <w:sz w:val="24"/>
                <w:szCs w:val="24"/>
              </w:rPr>
            </w:pPr>
            <w:r>
              <w:rPr>
                <w:rFonts w:hint="eastAsia" w:ascii="宋体" w:hAnsi="宋体" w:cs="仿宋_GB2312"/>
                <w:b/>
                <w:sz w:val="24"/>
                <w:szCs w:val="24"/>
              </w:rPr>
              <w:t>NPRACH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（1）数据速率 (kbps)</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0.5</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（2）天线数</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1T2R</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1T2R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（3）发送功率 (dBm)</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23</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（4）子载波带宽（KHz）</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15</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（5）子载波数</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（6）占用带宽 (KHZ)</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15</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（7）馈线损耗 (dB)</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0.5</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（8）天线增益 (dBi)</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15</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（9）噪声功率谱密度 (kT) (dBm/Hz)</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-174</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（10）噪声系数 (dB)</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3</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（11）噪声功率 (dB)</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-129.2</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-135.3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（12）SNR or C/I（dB）</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-12.8</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（13）接收灵敏度（dBm）=(11)+(12)</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-142</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-141.1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（14）快衰落余量 (dB)</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0</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（15）阴影衰落余量 (dB)</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11.6</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（16）干扰余量 (dB)</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2</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（17）穿透损耗 (dB)</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11</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（18）OTA(dB)</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6</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72" w:hRule="atLeast"/>
        </w:trPr>
        <w:tc>
          <w:tcPr>
            <w:tcW w:w="4845" w:type="dxa"/>
            <w:shd w:val="clear" w:color="auto" w:fill="auto"/>
            <w:vAlign w:val="center"/>
          </w:tcPr>
          <w:p>
            <w:pPr>
              <w:jc w:val="left"/>
              <w:rPr>
                <w:rFonts w:ascii="宋体" w:hAnsi="宋体" w:cs="仿宋_GB2312"/>
                <w:sz w:val="24"/>
                <w:szCs w:val="24"/>
              </w:rPr>
            </w:pPr>
            <w:r>
              <w:rPr>
                <w:rFonts w:hint="eastAsia" w:ascii="宋体" w:hAnsi="宋体" w:cs="仿宋_GB2312"/>
                <w:sz w:val="24"/>
                <w:szCs w:val="24"/>
              </w:rPr>
              <w:t>（19）人体损耗 (dB)</w:t>
            </w:r>
          </w:p>
        </w:tc>
        <w:tc>
          <w:tcPr>
            <w:tcW w:w="2266"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0</w:t>
            </w:r>
          </w:p>
        </w:tc>
        <w:tc>
          <w:tcPr>
            <w:tcW w:w="1225" w:type="dxa"/>
            <w:shd w:val="clear" w:color="auto" w:fill="auto"/>
            <w:vAlign w:val="center"/>
          </w:tcPr>
          <w:p>
            <w:pPr>
              <w:jc w:val="center"/>
              <w:rPr>
                <w:rFonts w:ascii="宋体" w:hAnsi="宋体" w:cs="仿宋_GB2312"/>
                <w:sz w:val="24"/>
                <w:szCs w:val="24"/>
              </w:rPr>
            </w:pPr>
            <w:r>
              <w:rPr>
                <w:rFonts w:hint="eastAsia" w:ascii="宋体" w:hAnsi="宋体" w:cs="仿宋_GB2312"/>
                <w:sz w:val="24"/>
                <w:szCs w:val="24"/>
              </w:rPr>
              <w:t>0</w:t>
            </w:r>
          </w:p>
        </w:tc>
      </w:tr>
    </w:tbl>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根据背景说明选取合适的参数配置完成上行链路预算，并计算出小区覆盖面积。根据小区面积和某市行政区面积完成覆盖规划。</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在软件“网络规划”部分完成NPRACH、NPUSCH、NPDSCH信道容量规划计算，选取最小的信道容量作为容量规划标准，结合覆盖规划站点数完成网络规划。</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（1）合理部署并完成各机房中</w:t>
      </w:r>
      <w:r>
        <w:rPr>
          <w:rFonts w:hint="eastAsia" w:ascii="Arial Narrow" w:hAnsi="Arial Narrow" w:eastAsia="仿宋_GB2312" w:cs="Arial"/>
          <w:sz w:val="28"/>
          <w:szCs w:val="28"/>
        </w:rPr>
        <w:t>各</w:t>
      </w:r>
      <w:r>
        <w:rPr>
          <w:rFonts w:ascii="Arial Narrow" w:hAnsi="Arial Narrow" w:eastAsia="仿宋_GB2312" w:cs="Arial"/>
          <w:sz w:val="28"/>
          <w:szCs w:val="28"/>
        </w:rPr>
        <w:t>设备及连线。</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（2）</w:t>
      </w:r>
      <w:r>
        <w:rPr>
          <w:rFonts w:ascii="Arial Narrow" w:hAnsi="Arial Narrow" w:eastAsia="仿宋_GB2312" w:cs="Arial"/>
          <w:sz w:val="28"/>
          <w:szCs w:val="28"/>
        </w:rPr>
        <w:t>完善数据配置，在工程模式下实现</w:t>
      </w:r>
      <w:r>
        <w:rPr>
          <w:rFonts w:hint="eastAsia" w:ascii="Arial Narrow" w:hAnsi="Arial Narrow" w:eastAsia="仿宋_GB2312" w:cs="Arial"/>
          <w:sz w:val="28"/>
          <w:szCs w:val="28"/>
        </w:rPr>
        <w:t>某市Cell</w:t>
      </w:r>
      <w:r>
        <w:rPr>
          <w:rFonts w:ascii="Arial Narrow" w:hAnsi="Arial Narrow" w:eastAsia="仿宋_GB2312" w:cs="Arial"/>
          <w:sz w:val="28"/>
          <w:szCs w:val="28"/>
        </w:rPr>
        <w:t>1、</w:t>
      </w:r>
      <w:r>
        <w:rPr>
          <w:rFonts w:hint="eastAsia" w:ascii="Arial Narrow" w:hAnsi="Arial Narrow" w:eastAsia="仿宋_GB2312" w:cs="Arial"/>
          <w:sz w:val="28"/>
          <w:szCs w:val="28"/>
        </w:rPr>
        <w:t>Cell</w:t>
      </w:r>
      <w:r>
        <w:rPr>
          <w:rFonts w:ascii="Arial Narrow" w:hAnsi="Arial Narrow" w:eastAsia="仿宋_GB2312" w:cs="Arial"/>
          <w:sz w:val="28"/>
          <w:szCs w:val="28"/>
        </w:rPr>
        <w:t>2、</w:t>
      </w:r>
      <w:r>
        <w:rPr>
          <w:rFonts w:hint="eastAsia" w:ascii="Arial Narrow" w:hAnsi="Arial Narrow" w:eastAsia="仿宋_GB2312" w:cs="Arial"/>
          <w:sz w:val="28"/>
          <w:szCs w:val="28"/>
        </w:rPr>
        <w:t>Cell</w:t>
      </w:r>
      <w:r>
        <w:rPr>
          <w:rFonts w:ascii="Arial Narrow" w:hAnsi="Arial Narrow" w:eastAsia="仿宋_GB2312" w:cs="Arial"/>
          <w:sz w:val="28"/>
          <w:szCs w:val="28"/>
        </w:rPr>
        <w:t>3共</w:t>
      </w:r>
      <w:r>
        <w:rPr>
          <w:rFonts w:hint="eastAsia" w:ascii="Arial Narrow" w:hAnsi="Arial Narrow" w:eastAsia="仿宋_GB2312" w:cs="Arial"/>
          <w:sz w:val="28"/>
          <w:szCs w:val="28"/>
        </w:rPr>
        <w:t>3</w:t>
      </w:r>
      <w:r>
        <w:rPr>
          <w:rFonts w:ascii="Arial Narrow" w:hAnsi="Arial Narrow" w:eastAsia="仿宋_GB2312" w:cs="Arial"/>
          <w:sz w:val="28"/>
          <w:szCs w:val="28"/>
        </w:rPr>
        <w:t>个小区的业务</w:t>
      </w:r>
      <w:r>
        <w:rPr>
          <w:rFonts w:hint="eastAsia" w:ascii="Arial Narrow" w:hAnsi="Arial Narrow" w:eastAsia="仿宋_GB2312" w:cs="Arial"/>
          <w:sz w:val="28"/>
          <w:szCs w:val="28"/>
        </w:rPr>
        <w:t>调试及终端应用管理。NB-IoT三种业务类型需（智能门锁、智能水电表、智能停车）各对应一个小区，参赛选手需根据各自业务特征的说明及参数要求完成参数配置。</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3. 补充说明：</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1）“业务验证”任务以“工程模式”下的Cell1、Cell2、Cell3三个小区的Attach测试、Ping测试成功、上下行速率值为验收指标；物联网终端应用管理以智能水电表、智能停车等NB-IoT终端在不同小区完成相关任务成功下发为验收指标。</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（2）网络</w:t>
      </w:r>
      <w:r>
        <w:rPr>
          <w:rFonts w:ascii="Arial Narrow" w:hAnsi="Arial Narrow" w:eastAsia="仿宋_GB2312" w:cs="Arial"/>
          <w:sz w:val="28"/>
          <w:szCs w:val="28"/>
        </w:rPr>
        <w:t>规划计算结果请保留2位小数，计算结果错误不得分。</w:t>
      </w:r>
    </w:p>
    <w:p>
      <w:pPr>
        <w:spacing w:line="560" w:lineRule="exact"/>
        <w:ind w:firstLine="602"/>
        <w:rPr>
          <w:rFonts w:ascii="Times New Roman" w:hAnsi="Times New Roman" w:eastAsia="仿宋_GB2312"/>
          <w:b/>
          <w:bCs/>
          <w:sz w:val="28"/>
          <w:szCs w:val="28"/>
          <w:u w:color="000000"/>
          <w:lang w:val="zh-TW"/>
        </w:rPr>
      </w:pPr>
      <w:r>
        <w:rPr>
          <w:rFonts w:hint="eastAsia" w:ascii="Times New Roman" w:hAnsi="Times New Roman" w:eastAsia="仿宋_GB2312"/>
          <w:b/>
          <w:bCs/>
          <w:sz w:val="28"/>
          <w:szCs w:val="28"/>
          <w:u w:color="000000"/>
          <w:lang w:val="zh-TW"/>
        </w:rPr>
        <w:t>（四）NB-IoT网络故障排查（20分）</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1. 操作说明：</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每参赛队的两名选手分别使用竞赛账号以“竞技”模式登录</w:t>
      </w:r>
      <w:r>
        <w:rPr>
          <w:rFonts w:hint="eastAsia" w:ascii="Arial Narrow" w:hAnsi="Arial Narrow" w:eastAsia="仿宋_GB2312" w:cs="Arial"/>
          <w:sz w:val="28"/>
          <w:szCs w:val="28"/>
        </w:rPr>
        <w:t>NB-IoT</w:t>
      </w:r>
      <w:r>
        <w:rPr>
          <w:rFonts w:ascii="Arial Narrow" w:hAnsi="Arial Narrow" w:eastAsia="仿宋_GB2312" w:cs="Arial"/>
          <w:sz w:val="28"/>
          <w:szCs w:val="28"/>
        </w:rPr>
        <w:t>全网竞技系统，在工程模式下，完成</w:t>
      </w:r>
      <w:r>
        <w:rPr>
          <w:rFonts w:hint="eastAsia" w:ascii="Arial Narrow" w:hAnsi="Arial Narrow" w:eastAsia="仿宋_GB2312" w:cs="Arial"/>
          <w:sz w:val="28"/>
          <w:szCs w:val="28"/>
        </w:rPr>
        <w:t>某市NB-IoT</w:t>
      </w:r>
      <w:r>
        <w:rPr>
          <w:rFonts w:ascii="Arial Narrow" w:hAnsi="Arial Narrow" w:eastAsia="仿宋_GB2312" w:cs="Arial"/>
          <w:sz w:val="28"/>
          <w:szCs w:val="28"/>
        </w:rPr>
        <w:t>全网故障排除。</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2. 任务说明：</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某市</w:t>
      </w:r>
      <w:r>
        <w:rPr>
          <w:rFonts w:ascii="Arial Narrow" w:hAnsi="Arial Narrow" w:eastAsia="仿宋_GB2312" w:cs="Arial"/>
          <w:sz w:val="28"/>
          <w:szCs w:val="28"/>
        </w:rPr>
        <w:t>计划建设</w:t>
      </w:r>
      <w:r>
        <w:rPr>
          <w:rFonts w:hint="eastAsia" w:ascii="Arial Narrow" w:hAnsi="Arial Narrow" w:eastAsia="仿宋_GB2312" w:cs="Arial"/>
          <w:sz w:val="28"/>
          <w:szCs w:val="28"/>
        </w:rPr>
        <w:t>NB-IoT</w:t>
      </w:r>
      <w:r>
        <w:rPr>
          <w:rFonts w:ascii="Arial Narrow" w:hAnsi="Arial Narrow" w:eastAsia="仿宋_GB2312" w:cs="Arial"/>
          <w:sz w:val="28"/>
          <w:szCs w:val="28"/>
        </w:rPr>
        <w:t>网络。目前工程建设已经完成，但由于设备部署和配置存在问题，不能正常提供</w:t>
      </w:r>
      <w:r>
        <w:rPr>
          <w:rFonts w:hint="eastAsia" w:ascii="Arial Narrow" w:hAnsi="Arial Narrow" w:eastAsia="仿宋_GB2312" w:cs="Arial"/>
          <w:sz w:val="28"/>
          <w:szCs w:val="28"/>
        </w:rPr>
        <w:t>三</w:t>
      </w:r>
      <w:r>
        <w:rPr>
          <w:rFonts w:ascii="Arial Narrow" w:hAnsi="Arial Narrow" w:eastAsia="仿宋_GB2312" w:cs="Arial"/>
          <w:sz w:val="28"/>
          <w:szCs w:val="28"/>
        </w:rPr>
        <w:t>个小区的网络服务，请使用相关工具，排查无线、核心网及承载网的所有故障点并完成以下任务：</w:t>
      </w:r>
    </w:p>
    <w:p>
      <w:pPr>
        <w:snapToGrid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在“工程模式”下，完成</w:t>
      </w:r>
      <w:r>
        <w:rPr>
          <w:rFonts w:hint="eastAsia" w:ascii="Times New Roman" w:hAnsi="Times New Roman" w:eastAsia="仿宋_GB2312"/>
          <w:sz w:val="28"/>
          <w:szCs w:val="28"/>
        </w:rPr>
        <w:t>Cell</w:t>
      </w:r>
      <w:r>
        <w:rPr>
          <w:rFonts w:ascii="Times New Roman" w:hAnsi="Times New Roman" w:eastAsia="仿宋_GB2312"/>
          <w:sz w:val="28"/>
          <w:szCs w:val="28"/>
        </w:rPr>
        <w:t>1、</w:t>
      </w:r>
      <w:r>
        <w:rPr>
          <w:rFonts w:hint="eastAsia" w:ascii="Times New Roman" w:hAnsi="Times New Roman" w:eastAsia="仿宋_GB2312"/>
          <w:sz w:val="28"/>
          <w:szCs w:val="28"/>
        </w:rPr>
        <w:t>Cell</w:t>
      </w:r>
      <w:r>
        <w:rPr>
          <w:rFonts w:ascii="Times New Roman" w:hAnsi="Times New Roman" w:eastAsia="仿宋_GB2312"/>
          <w:sz w:val="28"/>
          <w:szCs w:val="28"/>
        </w:rPr>
        <w:t>2、</w:t>
      </w:r>
      <w:r>
        <w:rPr>
          <w:rFonts w:hint="eastAsia" w:ascii="Times New Roman" w:hAnsi="Times New Roman" w:eastAsia="仿宋_GB2312"/>
          <w:sz w:val="28"/>
          <w:szCs w:val="28"/>
        </w:rPr>
        <w:t>Cell</w:t>
      </w:r>
      <w:r>
        <w:rPr>
          <w:rFonts w:ascii="Times New Roman" w:hAnsi="Times New Roman" w:eastAsia="仿宋_GB2312"/>
          <w:sz w:val="28"/>
          <w:szCs w:val="28"/>
        </w:rPr>
        <w:t>3</w:t>
      </w:r>
      <w:r>
        <w:rPr>
          <w:rFonts w:hint="eastAsia" w:ascii="Times New Roman" w:hAnsi="Times New Roman" w:eastAsia="仿宋_GB2312"/>
          <w:sz w:val="28"/>
          <w:szCs w:val="28"/>
        </w:rPr>
        <w:t>三</w:t>
      </w:r>
      <w:r>
        <w:rPr>
          <w:rFonts w:ascii="Times New Roman" w:hAnsi="Times New Roman" w:eastAsia="仿宋_GB2312"/>
          <w:sz w:val="28"/>
          <w:szCs w:val="28"/>
        </w:rPr>
        <w:t>个小区的</w:t>
      </w:r>
      <w:r>
        <w:rPr>
          <w:rFonts w:hint="eastAsia" w:ascii="Times New Roman" w:hAnsi="Times New Roman" w:eastAsia="仿宋_GB2312"/>
          <w:sz w:val="28"/>
          <w:szCs w:val="28"/>
        </w:rPr>
        <w:t>终端的Attach测试、Ping测试、上传下载测试</w:t>
      </w:r>
      <w:r>
        <w:rPr>
          <w:rFonts w:ascii="Times New Roman" w:hAnsi="Times New Roman" w:eastAsia="仿宋_GB2312"/>
          <w:sz w:val="28"/>
          <w:szCs w:val="28"/>
        </w:rPr>
        <w:t>任务。</w:t>
      </w:r>
      <w:r>
        <w:rPr>
          <w:rFonts w:hint="eastAsia" w:ascii="Times New Roman" w:hAnsi="Times New Roman" w:eastAsia="仿宋_GB2312"/>
          <w:sz w:val="28"/>
          <w:szCs w:val="28"/>
        </w:rPr>
        <w:t>物联网终端应用管理要求至少智能门锁、智能水电表、智能停车三种终端在不同小区成功完成任务下发。</w:t>
      </w:r>
    </w:p>
    <w:p>
      <w:pPr>
        <w:snapToGrid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请在“故障排查选项”页面，选择列举出所有故障发生的位置，并在答题卡上填写对应答案。</w:t>
      </w:r>
    </w:p>
    <w:p>
      <w:pPr>
        <w:snapToGrid w:val="0"/>
        <w:spacing w:line="56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3. 补充说明</w:t>
      </w:r>
    </w:p>
    <w:p>
      <w:pPr>
        <w:snapToGrid w:val="0"/>
        <w:spacing w:line="560" w:lineRule="exact"/>
        <w:ind w:firstLine="560" w:firstLineChars="200"/>
        <w:rPr>
          <w:rFonts w:ascii="Arial Narrow" w:hAnsi="Arial Narrow" w:eastAsia="仿宋_GB2312" w:cs="Arial"/>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业务验证</w:t>
      </w:r>
      <w:r>
        <w:rPr>
          <w:rFonts w:ascii="Times New Roman" w:hAnsi="Times New Roman" w:eastAsia="仿宋_GB2312"/>
          <w:sz w:val="28"/>
          <w:szCs w:val="28"/>
        </w:rPr>
        <w:t>”任务以“工程模式”下</w:t>
      </w:r>
      <w:r>
        <w:rPr>
          <w:rFonts w:hint="eastAsia" w:ascii="Times New Roman" w:hAnsi="Times New Roman" w:eastAsia="仿宋_GB2312"/>
          <w:sz w:val="28"/>
          <w:szCs w:val="28"/>
        </w:rPr>
        <w:t>Cell</w:t>
      </w:r>
      <w:r>
        <w:rPr>
          <w:rFonts w:ascii="Times New Roman" w:hAnsi="Times New Roman" w:eastAsia="仿宋_GB2312"/>
          <w:sz w:val="28"/>
          <w:szCs w:val="28"/>
        </w:rPr>
        <w:t>1、</w:t>
      </w:r>
      <w:r>
        <w:rPr>
          <w:rFonts w:hint="eastAsia" w:ascii="Times New Roman" w:hAnsi="Times New Roman" w:eastAsia="仿宋_GB2312"/>
          <w:sz w:val="28"/>
          <w:szCs w:val="28"/>
        </w:rPr>
        <w:t>Cell</w:t>
      </w:r>
      <w:r>
        <w:rPr>
          <w:rFonts w:ascii="Times New Roman" w:hAnsi="Times New Roman" w:eastAsia="仿宋_GB2312"/>
          <w:sz w:val="28"/>
          <w:szCs w:val="28"/>
        </w:rPr>
        <w:t>2、</w:t>
      </w:r>
      <w:r>
        <w:rPr>
          <w:rFonts w:hint="eastAsia" w:ascii="Times New Roman" w:hAnsi="Times New Roman" w:eastAsia="仿宋_GB2312"/>
          <w:sz w:val="28"/>
          <w:szCs w:val="28"/>
        </w:rPr>
        <w:t>Cell</w:t>
      </w:r>
      <w:r>
        <w:rPr>
          <w:rFonts w:ascii="Times New Roman" w:hAnsi="Times New Roman" w:eastAsia="仿宋_GB2312"/>
          <w:sz w:val="28"/>
          <w:szCs w:val="28"/>
        </w:rPr>
        <w:t>3</w:t>
      </w:r>
      <w:r>
        <w:rPr>
          <w:rFonts w:hint="eastAsia" w:ascii="Times New Roman" w:hAnsi="Times New Roman" w:eastAsia="仿宋_GB2312"/>
          <w:sz w:val="28"/>
          <w:szCs w:val="28"/>
        </w:rPr>
        <w:t>三</w:t>
      </w:r>
      <w:r>
        <w:rPr>
          <w:rFonts w:ascii="Times New Roman" w:hAnsi="Times New Roman" w:eastAsia="仿宋_GB2312"/>
          <w:sz w:val="28"/>
          <w:szCs w:val="28"/>
        </w:rPr>
        <w:t>个小区的</w:t>
      </w:r>
      <w:r>
        <w:rPr>
          <w:rFonts w:hint="eastAsia" w:ascii="Times New Roman" w:hAnsi="Times New Roman" w:eastAsia="仿宋_GB2312"/>
          <w:sz w:val="28"/>
          <w:szCs w:val="28"/>
        </w:rPr>
        <w:t>终端Attach测试、Ping测试、上传下载速率</w:t>
      </w:r>
      <w:r>
        <w:rPr>
          <w:rFonts w:ascii="Times New Roman" w:hAnsi="Times New Roman" w:eastAsia="仿宋_GB2312"/>
          <w:sz w:val="28"/>
          <w:szCs w:val="28"/>
        </w:rPr>
        <w:t>为验收指标。</w:t>
      </w:r>
      <w:r>
        <w:rPr>
          <w:rFonts w:hint="eastAsia" w:ascii="Arial Narrow" w:hAnsi="Arial Narrow" w:eastAsia="仿宋_GB2312" w:cs="Arial"/>
          <w:sz w:val="28"/>
          <w:szCs w:val="28"/>
        </w:rPr>
        <w:t>物联网终端应用管理以智能水电表、智能停车等NB-IoT终端在不同小区完成相关任务成功下发为验收指标。</w:t>
      </w:r>
    </w:p>
    <w:p>
      <w:pPr>
        <w:snapToGrid w:val="0"/>
        <w:spacing w:line="560" w:lineRule="exact"/>
        <w:ind w:firstLine="560" w:firstLineChars="200"/>
        <w:rPr>
          <w:rFonts w:ascii="Times New Roman" w:hAnsi="Times New Roman" w:eastAsia="仿宋_GB2312"/>
          <w:sz w:val="28"/>
          <w:szCs w:val="28"/>
        </w:rPr>
      </w:pPr>
    </w:p>
    <w:p>
      <w:pPr>
        <w:snapToGrid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对于两端参数协商错误导致的故障，指出一端位置即可得分，同时指出两端故障只计一次得分。示例：如S1偶联端口，无线与核心网两端配置不一致时，故障位置只需指出无线配置错误位置或核心网配置错误位置其中一个即可，如同时列举两端错误位置，只统计一次得分。</w:t>
      </w:r>
    </w:p>
    <w:p>
      <w:pPr>
        <w:snapToGrid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如某一</w:t>
      </w:r>
      <w:r>
        <w:rPr>
          <w:rFonts w:ascii="Arial Narrow" w:hAnsi="Arial Narrow" w:eastAsia="仿宋_GB2312" w:cs="Arial"/>
          <w:sz w:val="28"/>
          <w:szCs w:val="28"/>
        </w:rPr>
        <w:t>故障</w:t>
      </w:r>
      <w:r>
        <w:rPr>
          <w:rFonts w:ascii="Times New Roman" w:hAnsi="Times New Roman" w:eastAsia="仿宋_GB2312"/>
          <w:sz w:val="28"/>
          <w:szCs w:val="28"/>
        </w:rPr>
        <w:t>存在多种</w:t>
      </w:r>
      <w:r>
        <w:rPr>
          <w:rFonts w:hint="eastAsia" w:ascii="Times New Roman" w:hAnsi="Times New Roman" w:eastAsia="仿宋_GB2312"/>
          <w:sz w:val="28"/>
          <w:szCs w:val="28"/>
        </w:rPr>
        <w:t>解决</w:t>
      </w:r>
      <w:r>
        <w:rPr>
          <w:rFonts w:ascii="Times New Roman" w:hAnsi="Times New Roman" w:eastAsia="仿宋_GB2312"/>
          <w:sz w:val="28"/>
          <w:szCs w:val="28"/>
        </w:rPr>
        <w:t>方案，以最少改动方案为准，</w:t>
      </w:r>
      <w:r>
        <w:rPr>
          <w:rFonts w:hint="eastAsia" w:ascii="Times New Roman" w:hAnsi="Times New Roman" w:eastAsia="仿宋_GB2312"/>
          <w:sz w:val="28"/>
          <w:szCs w:val="28"/>
        </w:rPr>
        <w:t>选择</w:t>
      </w:r>
      <w:r>
        <w:rPr>
          <w:rFonts w:ascii="Times New Roman" w:hAnsi="Times New Roman" w:eastAsia="仿宋_GB2312"/>
          <w:sz w:val="28"/>
          <w:szCs w:val="28"/>
        </w:rPr>
        <w:t>其他方案不得分。</w:t>
      </w:r>
    </w:p>
    <w:p>
      <w:pPr>
        <w:snapToGrid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网络中共存在</w:t>
      </w:r>
      <w:r>
        <w:rPr>
          <w:rFonts w:hint="eastAsia" w:ascii="Times New Roman" w:hAnsi="Times New Roman" w:eastAsia="仿宋_GB2312"/>
          <w:sz w:val="28"/>
          <w:szCs w:val="28"/>
        </w:rPr>
        <w:t>的</w:t>
      </w:r>
      <w:r>
        <w:rPr>
          <w:rFonts w:ascii="Times New Roman" w:hAnsi="Times New Roman" w:eastAsia="仿宋_GB2312"/>
          <w:sz w:val="28"/>
          <w:szCs w:val="28"/>
        </w:rPr>
        <w:t>故障</w:t>
      </w:r>
      <w:r>
        <w:rPr>
          <w:rFonts w:hint="eastAsia" w:ascii="Times New Roman" w:hAnsi="Times New Roman" w:eastAsia="仿宋_GB2312"/>
          <w:sz w:val="28"/>
          <w:szCs w:val="28"/>
        </w:rPr>
        <w:t>已事先设定</w:t>
      </w:r>
      <w:r>
        <w:rPr>
          <w:rFonts w:ascii="Times New Roman" w:hAnsi="Times New Roman" w:eastAsia="仿宋_GB2312"/>
          <w:sz w:val="28"/>
          <w:szCs w:val="28"/>
        </w:rPr>
        <w:t>，每正确指出一处故障，得</w:t>
      </w:r>
      <w:r>
        <w:rPr>
          <w:rFonts w:hint="eastAsia" w:ascii="Times New Roman" w:hAnsi="Times New Roman" w:eastAsia="仿宋_GB2312"/>
          <w:sz w:val="28"/>
          <w:szCs w:val="28"/>
        </w:rPr>
        <w:t>相应</w:t>
      </w:r>
      <w:r>
        <w:rPr>
          <w:rFonts w:ascii="Times New Roman" w:hAnsi="Times New Roman" w:eastAsia="仿宋_GB2312"/>
          <w:sz w:val="28"/>
          <w:szCs w:val="28"/>
        </w:rPr>
        <w:t>分</w:t>
      </w:r>
      <w:r>
        <w:rPr>
          <w:rFonts w:hint="eastAsia" w:ascii="Times New Roman" w:hAnsi="Times New Roman" w:eastAsia="仿宋_GB2312"/>
          <w:sz w:val="28"/>
          <w:szCs w:val="28"/>
        </w:rPr>
        <w:t>数</w:t>
      </w:r>
      <w:r>
        <w:rPr>
          <w:rFonts w:ascii="Times New Roman" w:hAnsi="Times New Roman" w:eastAsia="仿宋_GB2312"/>
          <w:sz w:val="28"/>
          <w:szCs w:val="28"/>
        </w:rPr>
        <w:t>，</w:t>
      </w:r>
      <w:r>
        <w:rPr>
          <w:rFonts w:ascii="Arial Narrow" w:hAnsi="Arial Narrow" w:eastAsia="仿宋_GB2312" w:cs="Arial"/>
          <w:sz w:val="28"/>
          <w:szCs w:val="28"/>
        </w:rPr>
        <w:t>故障</w:t>
      </w:r>
      <w:r>
        <w:rPr>
          <w:rFonts w:ascii="Times New Roman" w:hAnsi="Times New Roman" w:eastAsia="仿宋_GB2312"/>
          <w:sz w:val="28"/>
          <w:szCs w:val="28"/>
        </w:rPr>
        <w:t>指出错误、重复或指出不存在的故障不得分。</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答题卡中仅限填入</w:t>
      </w:r>
      <w:r>
        <w:rPr>
          <w:rFonts w:hint="eastAsia" w:ascii="Times New Roman" w:hAnsi="Times New Roman" w:eastAsia="仿宋_GB2312"/>
          <w:sz w:val="28"/>
          <w:szCs w:val="28"/>
        </w:rPr>
        <w:t>规定个数</w:t>
      </w:r>
      <w:r>
        <w:rPr>
          <w:rFonts w:ascii="Times New Roman" w:hAnsi="Times New Roman" w:eastAsia="仿宋_GB2312"/>
          <w:sz w:val="28"/>
          <w:szCs w:val="28"/>
        </w:rPr>
        <w:t>故障，每多填入一个故障，扣1分。</w:t>
      </w:r>
    </w:p>
    <w:p>
      <w:pPr>
        <w:pStyle w:val="73"/>
      </w:pPr>
      <w:r>
        <w:rPr>
          <w:rFonts w:ascii="Times New Roman" w:hAnsi="Times New Roman"/>
        </w:rPr>
        <w:t>故障排除过程中由于某个操作造成需要新增部分参数配置，不计入故障点</w:t>
      </w:r>
      <w:r>
        <w:rPr>
          <w:rFonts w:hint="eastAsia"/>
        </w:rPr>
        <w:t>。</w:t>
      </w:r>
    </w:p>
    <w:p>
      <w:pPr>
        <w:snapToGrid w:val="0"/>
        <w:spacing w:line="560" w:lineRule="exact"/>
        <w:jc w:val="left"/>
        <w:outlineLvl w:val="0"/>
        <w:rPr>
          <w:bCs/>
          <w:snapToGrid w:val="0"/>
          <w:sz w:val="24"/>
          <w:szCs w:val="24"/>
        </w:rPr>
      </w:pPr>
    </w:p>
    <w:sectPr>
      <w:headerReference r:id="rId3" w:type="default"/>
      <w:footerReference r:id="rId4" w:type="default"/>
      <w:pgSz w:w="11906" w:h="16838"/>
      <w:pgMar w:top="1588" w:right="1418" w:bottom="158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PROKST+FZFSJW--GB1-0">
    <w:altName w:val="宋体"/>
    <w:panose1 w:val="00000000000000000000"/>
    <w:charset w:val="86"/>
    <w:family w:val="roma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PMingLiU">
    <w:altName w:val="PMingLiU-ExtB"/>
    <w:panose1 w:val="02020500000000000000"/>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cs="Times New Roman"/>
      </w:rPr>
    </w:pPr>
    <w:r>
      <w:rPr>
        <w:rFonts w:hint="eastAsia" w:cs="华文仿宋"/>
      </w:rPr>
      <w:t>第</w:t>
    </w:r>
    <w:r>
      <w:fldChar w:fldCharType="begin"/>
    </w:r>
    <w:r>
      <w:instrText xml:space="preserve"> PAGE   \* MERGEFORMAT </w:instrText>
    </w:r>
    <w:r>
      <w:fldChar w:fldCharType="separate"/>
    </w:r>
    <w:r>
      <w:rPr>
        <w:lang w:val="zh-CN"/>
      </w:rPr>
      <w:t>15</w:t>
    </w:r>
    <w:r>
      <w:rPr>
        <w:lang w:val="zh-CN"/>
      </w:rPr>
      <w:fldChar w:fldCharType="end"/>
    </w:r>
    <w:r>
      <w:rPr>
        <w:rFonts w:hint="eastAsia" w:cs="华文仿宋"/>
      </w:rPr>
      <w:t>页</w:t>
    </w:r>
  </w:p>
  <w:p>
    <w:pPr>
      <w:pStyle w:val="11"/>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782D65"/>
    <w:multiLevelType w:val="singleLevel"/>
    <w:tmpl w:val="B4782D65"/>
    <w:lvl w:ilvl="0" w:tentative="0">
      <w:start w:val="1"/>
      <w:numFmt w:val="decimal"/>
      <w:lvlText w:val="%1."/>
      <w:lvlJc w:val="left"/>
      <w:pPr>
        <w:ind w:left="425" w:hanging="425"/>
      </w:pPr>
      <w:rPr>
        <w:rFonts w:hint="default"/>
      </w:rPr>
    </w:lvl>
  </w:abstractNum>
  <w:abstractNum w:abstractNumId="1">
    <w:nsid w:val="CFDE5B2E"/>
    <w:multiLevelType w:val="singleLevel"/>
    <w:tmpl w:val="CFDE5B2E"/>
    <w:lvl w:ilvl="0" w:tentative="0">
      <w:start w:val="2"/>
      <w:numFmt w:val="chineseCounting"/>
      <w:suff w:val="nothing"/>
      <w:lvlText w:val="%1、"/>
      <w:lvlJc w:val="left"/>
      <w:rPr>
        <w:rFonts w:hint="eastAsia"/>
      </w:rPr>
    </w:lvl>
  </w:abstractNum>
  <w:abstractNum w:abstractNumId="2">
    <w:nsid w:val="FFFFFFFB"/>
    <w:multiLevelType w:val="multilevel"/>
    <w:tmpl w:val="FFFFFFFB"/>
    <w:lvl w:ilvl="0" w:tentative="0">
      <w:start w:val="1"/>
      <w:numFmt w:val="decimal"/>
      <w:pStyle w:val="40"/>
      <w:lvlText w:val="%1"/>
      <w:lvlJc w:val="left"/>
      <w:pPr>
        <w:tabs>
          <w:tab w:val="left" w:pos="1247"/>
        </w:tabs>
        <w:ind w:left="1247" w:hanging="1247"/>
      </w:pPr>
      <w:rPr>
        <w:rFonts w:hint="default" w:ascii="Arial" w:hAnsi="Arial" w:eastAsia="宋体" w:cs="Times New Roman"/>
        <w:b/>
        <w:bCs/>
        <w:i w:val="0"/>
        <w:iCs w:val="0"/>
        <w:sz w:val="36"/>
        <w:szCs w:val="36"/>
      </w:rPr>
    </w:lvl>
    <w:lvl w:ilvl="1" w:tentative="0">
      <w:start w:val="1"/>
      <w:numFmt w:val="decimal"/>
      <w:pStyle w:val="41"/>
      <w:lvlText w:val="%1.%2"/>
      <w:lvlJc w:val="left"/>
      <w:pPr>
        <w:tabs>
          <w:tab w:val="left" w:pos="1247"/>
        </w:tabs>
        <w:ind w:left="1247" w:hanging="1247"/>
      </w:pPr>
      <w:rPr>
        <w:rFonts w:hint="default" w:ascii="Arial" w:hAnsi="Arial" w:eastAsia="宋体" w:cs="Times New Roman"/>
        <w:b/>
        <w:bCs/>
        <w:i w:val="0"/>
        <w:iCs w:val="0"/>
        <w:sz w:val="28"/>
        <w:szCs w:val="28"/>
      </w:rPr>
    </w:lvl>
    <w:lvl w:ilvl="2" w:tentative="0">
      <w:start w:val="1"/>
      <w:numFmt w:val="decimal"/>
      <w:pStyle w:val="43"/>
      <w:lvlText w:val="%1.%2.%3"/>
      <w:lvlJc w:val="left"/>
      <w:pPr>
        <w:tabs>
          <w:tab w:val="left" w:pos="1667"/>
        </w:tabs>
        <w:ind w:left="1667" w:hanging="1247"/>
      </w:pPr>
      <w:rPr>
        <w:rFonts w:hint="default" w:ascii="Arial" w:hAnsi="Arial" w:eastAsia="宋体" w:cs="Times New Roman"/>
        <w:b/>
        <w:bCs/>
        <w:i w:val="0"/>
        <w:iCs w:val="0"/>
        <w:color w:val="auto"/>
        <w:sz w:val="24"/>
        <w:szCs w:val="24"/>
      </w:rPr>
    </w:lvl>
    <w:lvl w:ilvl="3" w:tentative="0">
      <w:start w:val="1"/>
      <w:numFmt w:val="decimal"/>
      <w:pStyle w:val="44"/>
      <w:lvlText w:val="%1.%2.%3.%4"/>
      <w:lvlJc w:val="left"/>
      <w:pPr>
        <w:tabs>
          <w:tab w:val="left" w:pos="1247"/>
        </w:tabs>
        <w:ind w:left="1247" w:hanging="1247"/>
      </w:pPr>
      <w:rPr>
        <w:rFonts w:hint="default" w:ascii="Arial" w:hAnsi="Arial" w:eastAsia="宋体" w:cs="Times New Roman"/>
        <w:b/>
        <w:bCs/>
        <w:i w:val="0"/>
        <w:iCs w:val="0"/>
        <w:color w:val="auto"/>
        <w:sz w:val="21"/>
        <w:szCs w:val="21"/>
      </w:rPr>
    </w:lvl>
    <w:lvl w:ilvl="4" w:tentative="0">
      <w:start w:val="1"/>
      <w:numFmt w:val="decimal"/>
      <w:lvlText w:val="%1.%2.%3.%4.%5"/>
      <w:lvlJc w:val="left"/>
      <w:pPr>
        <w:tabs>
          <w:tab w:val="left" w:pos="1008"/>
        </w:tabs>
        <w:ind w:left="1008" w:hanging="1008"/>
      </w:pPr>
      <w:rPr>
        <w:rFonts w:hint="eastAsia" w:cs="Times New Roman"/>
        <w:color w:val="0000FF"/>
        <w:spacing w:val="0"/>
        <w:w w:val="100"/>
        <w:position w:val="0"/>
        <w:sz w:val="21"/>
        <w:szCs w:val="21"/>
        <w:u w:val="none"/>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3">
    <w:nsid w:val="0E644F69"/>
    <w:multiLevelType w:val="multilevel"/>
    <w:tmpl w:val="0E644F69"/>
    <w:lvl w:ilvl="0" w:tentative="0">
      <w:start w:val="1"/>
      <w:numFmt w:val="decimal"/>
      <w:pStyle w:val="52"/>
      <w:lvlText w:val="表%1"/>
      <w:lvlJc w:val="center"/>
      <w:pPr>
        <w:tabs>
          <w:tab w:val="left" w:pos="1701"/>
        </w:tabs>
        <w:ind w:left="1701" w:hanging="340"/>
      </w:pPr>
      <w:rPr>
        <w:rFonts w:hint="eastAsia" w:eastAsia="宋体" w:cs="Times New Roman"/>
        <w:b w:val="0"/>
        <w:bCs w:val="0"/>
        <w:i w:val="0"/>
        <w:iCs w:val="0"/>
        <w:sz w:val="20"/>
        <w:szCs w:val="2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18095399"/>
    <w:multiLevelType w:val="multilevel"/>
    <w:tmpl w:val="18095399"/>
    <w:lvl w:ilvl="0" w:tentative="0">
      <w:start w:val="5"/>
      <w:numFmt w:val="decimal"/>
      <w:suff w:val="nothing"/>
      <w:lvlText w:val="（%1）"/>
      <w:lvlJc w:val="left"/>
    </w:lvl>
    <w:lvl w:ilvl="1" w:tentative="0">
      <w:start w:val="1"/>
      <w:numFmt w:val="decimalEnclosedCircleChinese"/>
      <w:lvlText w:val="%2"/>
      <w:lvlJc w:val="left"/>
      <w:pPr>
        <w:tabs>
          <w:tab w:val="left" w:pos="840"/>
        </w:tabs>
        <w:ind w:left="840" w:hanging="420"/>
      </w:pPr>
      <w:rPr>
        <w:rFonts w:hint="default"/>
      </w:rPr>
    </w:lvl>
    <w:lvl w:ilvl="2" w:tentative="0">
      <w:start w:val="1"/>
      <w:numFmt w:val="decimal"/>
      <w:lvlText w:val="%3)"/>
      <w:lvlJc w:val="left"/>
      <w:pPr>
        <w:tabs>
          <w:tab w:val="left" w:pos="1260"/>
        </w:tabs>
        <w:ind w:left="1260" w:hanging="420"/>
      </w:pPr>
      <w:rPr>
        <w:rFonts w:hint="default"/>
      </w:rPr>
    </w:lvl>
    <w:lvl w:ilvl="3" w:tentative="0">
      <w:start w:val="1"/>
      <w:numFmt w:val="lowerLetter"/>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5">
    <w:nsid w:val="1B763EA8"/>
    <w:multiLevelType w:val="multilevel"/>
    <w:tmpl w:val="1B763EA8"/>
    <w:lvl w:ilvl="0" w:tentative="0">
      <w:start w:val="1"/>
      <w:numFmt w:val="bullet"/>
      <w:pStyle w:val="48"/>
      <w:lvlText w:val=""/>
      <w:lvlJc w:val="left"/>
      <w:pPr>
        <w:tabs>
          <w:tab w:val="left" w:pos="1667"/>
        </w:tabs>
        <w:ind w:left="1667" w:hanging="420"/>
      </w:pPr>
      <w:rPr>
        <w:rFonts w:hint="default" w:ascii="Symbol" w:hAnsi="Symbol"/>
      </w:rPr>
    </w:lvl>
    <w:lvl w:ilvl="1" w:tentative="0">
      <w:start w:val="1"/>
      <w:numFmt w:val="decimal"/>
      <w:lvlText w:val="%1.%2."/>
      <w:lvlJc w:val="left"/>
      <w:pPr>
        <w:tabs>
          <w:tab w:val="left" w:pos="497"/>
        </w:tabs>
        <w:ind w:left="497" w:hanging="432"/>
      </w:pPr>
      <w:rPr>
        <w:rFonts w:hint="eastAsia" w:cs="Times New Roman"/>
      </w:rPr>
    </w:lvl>
    <w:lvl w:ilvl="2" w:tentative="0">
      <w:start w:val="1"/>
      <w:numFmt w:val="decimal"/>
      <w:lvlText w:val="%1.%2.%3."/>
      <w:lvlJc w:val="left"/>
      <w:pPr>
        <w:tabs>
          <w:tab w:val="left" w:pos="929"/>
        </w:tabs>
        <w:ind w:left="929" w:hanging="504"/>
      </w:pPr>
      <w:rPr>
        <w:rFonts w:hint="eastAsia" w:cs="Times New Roman"/>
      </w:rPr>
    </w:lvl>
    <w:lvl w:ilvl="3" w:tentative="0">
      <w:start w:val="1"/>
      <w:numFmt w:val="decimal"/>
      <w:lvlText w:val="%1.%2.%3.%4."/>
      <w:lvlJc w:val="left"/>
      <w:pPr>
        <w:tabs>
          <w:tab w:val="left" w:pos="1433"/>
        </w:tabs>
        <w:ind w:left="1433" w:hanging="648"/>
      </w:pPr>
      <w:rPr>
        <w:rFonts w:hint="eastAsia" w:cs="Times New Roman"/>
      </w:rPr>
    </w:lvl>
    <w:lvl w:ilvl="4" w:tentative="0">
      <w:start w:val="1"/>
      <w:numFmt w:val="decimal"/>
      <w:lvlText w:val="%1.%2.%3.%4.%5."/>
      <w:lvlJc w:val="left"/>
      <w:pPr>
        <w:tabs>
          <w:tab w:val="left" w:pos="1937"/>
        </w:tabs>
        <w:ind w:left="1937" w:hanging="792"/>
      </w:pPr>
      <w:rPr>
        <w:rFonts w:hint="eastAsia" w:cs="Times New Roman"/>
      </w:rPr>
    </w:lvl>
    <w:lvl w:ilvl="5" w:tentative="0">
      <w:start w:val="1"/>
      <w:numFmt w:val="decimal"/>
      <w:lvlText w:val="%1.%2.%3.%4.%5.%6."/>
      <w:lvlJc w:val="left"/>
      <w:pPr>
        <w:tabs>
          <w:tab w:val="left" w:pos="2441"/>
        </w:tabs>
        <w:ind w:left="2441" w:hanging="936"/>
      </w:pPr>
      <w:rPr>
        <w:rFonts w:hint="eastAsia" w:cs="Times New Roman"/>
      </w:rPr>
    </w:lvl>
    <w:lvl w:ilvl="6" w:tentative="0">
      <w:start w:val="1"/>
      <w:numFmt w:val="decimal"/>
      <w:lvlText w:val="%1.%2.%3.%4.%5.%6.%7."/>
      <w:lvlJc w:val="left"/>
      <w:pPr>
        <w:tabs>
          <w:tab w:val="left" w:pos="2945"/>
        </w:tabs>
        <w:ind w:left="2945" w:hanging="1080"/>
      </w:pPr>
      <w:rPr>
        <w:rFonts w:hint="eastAsia" w:cs="Times New Roman"/>
      </w:rPr>
    </w:lvl>
    <w:lvl w:ilvl="7" w:tentative="0">
      <w:start w:val="1"/>
      <w:numFmt w:val="decimal"/>
      <w:lvlText w:val="%1.%2.%3.%4.%5.%6.%7.%8."/>
      <w:lvlJc w:val="left"/>
      <w:pPr>
        <w:tabs>
          <w:tab w:val="left" w:pos="3449"/>
        </w:tabs>
        <w:ind w:left="3449" w:hanging="1224"/>
      </w:pPr>
      <w:rPr>
        <w:rFonts w:hint="eastAsia" w:cs="Times New Roman"/>
      </w:rPr>
    </w:lvl>
    <w:lvl w:ilvl="8" w:tentative="0">
      <w:start w:val="1"/>
      <w:numFmt w:val="decimal"/>
      <w:lvlText w:val="%1.%2.%3.%4.%5.%6.%7.%8.%9."/>
      <w:lvlJc w:val="left"/>
      <w:pPr>
        <w:tabs>
          <w:tab w:val="left" w:pos="4025"/>
        </w:tabs>
        <w:ind w:left="4025" w:hanging="1440"/>
      </w:pPr>
      <w:rPr>
        <w:rFonts w:hint="eastAsia" w:cs="Times New Roman"/>
      </w:rPr>
    </w:lvl>
  </w:abstractNum>
  <w:abstractNum w:abstractNumId="6">
    <w:nsid w:val="430AE59F"/>
    <w:multiLevelType w:val="singleLevel"/>
    <w:tmpl w:val="430AE59F"/>
    <w:lvl w:ilvl="0" w:tentative="0">
      <w:start w:val="13"/>
      <w:numFmt w:val="chineseCounting"/>
      <w:suff w:val="nothing"/>
      <w:lvlText w:val="%1、"/>
      <w:lvlJc w:val="left"/>
      <w:rPr>
        <w:rFonts w:hint="eastAsia"/>
      </w:rPr>
    </w:lvl>
  </w:abstractNum>
  <w:abstractNum w:abstractNumId="7">
    <w:nsid w:val="60C7DDAA"/>
    <w:multiLevelType w:val="singleLevel"/>
    <w:tmpl w:val="60C7DDAA"/>
    <w:lvl w:ilvl="0" w:tentative="0">
      <w:start w:val="18"/>
      <w:numFmt w:val="chineseCounting"/>
      <w:suff w:val="nothing"/>
      <w:lvlText w:val="%1、"/>
      <w:lvlJc w:val="left"/>
      <w:rPr>
        <w:rFonts w:hint="eastAsia"/>
      </w:rPr>
    </w:lvl>
  </w:abstractNum>
  <w:abstractNum w:abstractNumId="8">
    <w:nsid w:val="7FBB6BBD"/>
    <w:multiLevelType w:val="multilevel"/>
    <w:tmpl w:val="7FBB6BBD"/>
    <w:lvl w:ilvl="0" w:tentative="0">
      <w:start w:val="1"/>
      <w:numFmt w:val="decimal"/>
      <w:pStyle w:val="53"/>
      <w:lvlText w:val="图%1"/>
      <w:lvlJc w:val="center"/>
      <w:pPr>
        <w:tabs>
          <w:tab w:val="left" w:pos="1701"/>
        </w:tabs>
        <w:ind w:left="1701" w:hanging="340"/>
      </w:pPr>
      <w:rPr>
        <w:rFonts w:hint="eastAsia" w:eastAsia="宋体" w:cs="Times New Roman"/>
        <w:b w:val="0"/>
        <w:bCs w:val="0"/>
        <w:i w:val="0"/>
        <w:iCs w:val="0"/>
        <w:sz w:val="20"/>
        <w:szCs w:val="2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5"/>
  </w:num>
  <w:num w:numId="3">
    <w:abstractNumId w:val="3"/>
  </w:num>
  <w:num w:numId="4">
    <w:abstractNumId w:val="8"/>
  </w:num>
  <w:num w:numId="5">
    <w:abstractNumId w:val="1"/>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C3"/>
    <w:rsid w:val="00000D99"/>
    <w:rsid w:val="000012AA"/>
    <w:rsid w:val="00001E5A"/>
    <w:rsid w:val="0000301C"/>
    <w:rsid w:val="000038F4"/>
    <w:rsid w:val="0000440E"/>
    <w:rsid w:val="00010071"/>
    <w:rsid w:val="00010AA8"/>
    <w:rsid w:val="00010DAD"/>
    <w:rsid w:val="00012095"/>
    <w:rsid w:val="000122E4"/>
    <w:rsid w:val="00013344"/>
    <w:rsid w:val="000145CC"/>
    <w:rsid w:val="00015F9B"/>
    <w:rsid w:val="000200A8"/>
    <w:rsid w:val="000208F2"/>
    <w:rsid w:val="000265DF"/>
    <w:rsid w:val="00027CFE"/>
    <w:rsid w:val="00032718"/>
    <w:rsid w:val="00032C62"/>
    <w:rsid w:val="00033DB4"/>
    <w:rsid w:val="000359D2"/>
    <w:rsid w:val="00035D8F"/>
    <w:rsid w:val="00037428"/>
    <w:rsid w:val="000377B4"/>
    <w:rsid w:val="00037B5D"/>
    <w:rsid w:val="00040079"/>
    <w:rsid w:val="00040688"/>
    <w:rsid w:val="000408B1"/>
    <w:rsid w:val="00041980"/>
    <w:rsid w:val="00043394"/>
    <w:rsid w:val="000435C9"/>
    <w:rsid w:val="00043D85"/>
    <w:rsid w:val="000454D2"/>
    <w:rsid w:val="00045D6B"/>
    <w:rsid w:val="00046191"/>
    <w:rsid w:val="00050D9D"/>
    <w:rsid w:val="00051E2D"/>
    <w:rsid w:val="000531A4"/>
    <w:rsid w:val="000551E5"/>
    <w:rsid w:val="000567A8"/>
    <w:rsid w:val="00061014"/>
    <w:rsid w:val="00062806"/>
    <w:rsid w:val="00062AE8"/>
    <w:rsid w:val="0006459C"/>
    <w:rsid w:val="000661ED"/>
    <w:rsid w:val="00066E09"/>
    <w:rsid w:val="000718C4"/>
    <w:rsid w:val="000729B2"/>
    <w:rsid w:val="00074355"/>
    <w:rsid w:val="00074A29"/>
    <w:rsid w:val="0007547C"/>
    <w:rsid w:val="00075809"/>
    <w:rsid w:val="00080FF3"/>
    <w:rsid w:val="00082C14"/>
    <w:rsid w:val="00083931"/>
    <w:rsid w:val="00084C47"/>
    <w:rsid w:val="0008518E"/>
    <w:rsid w:val="00085726"/>
    <w:rsid w:val="0008754C"/>
    <w:rsid w:val="00087694"/>
    <w:rsid w:val="00087B6E"/>
    <w:rsid w:val="00091404"/>
    <w:rsid w:val="00092B82"/>
    <w:rsid w:val="00092FF2"/>
    <w:rsid w:val="00095324"/>
    <w:rsid w:val="000973FC"/>
    <w:rsid w:val="000A2215"/>
    <w:rsid w:val="000A22F3"/>
    <w:rsid w:val="000A3C74"/>
    <w:rsid w:val="000A458B"/>
    <w:rsid w:val="000A4C79"/>
    <w:rsid w:val="000A4DDE"/>
    <w:rsid w:val="000A630F"/>
    <w:rsid w:val="000A7504"/>
    <w:rsid w:val="000B11C7"/>
    <w:rsid w:val="000B1A22"/>
    <w:rsid w:val="000B263A"/>
    <w:rsid w:val="000B2642"/>
    <w:rsid w:val="000B2E3B"/>
    <w:rsid w:val="000B2FA2"/>
    <w:rsid w:val="000B3034"/>
    <w:rsid w:val="000B32FD"/>
    <w:rsid w:val="000B3B6B"/>
    <w:rsid w:val="000B6F76"/>
    <w:rsid w:val="000B7D4F"/>
    <w:rsid w:val="000C0596"/>
    <w:rsid w:val="000C0D0F"/>
    <w:rsid w:val="000C3F20"/>
    <w:rsid w:val="000C5F59"/>
    <w:rsid w:val="000C64B7"/>
    <w:rsid w:val="000C7114"/>
    <w:rsid w:val="000D0EB1"/>
    <w:rsid w:val="000D0F52"/>
    <w:rsid w:val="000D1CAD"/>
    <w:rsid w:val="000D2874"/>
    <w:rsid w:val="000D46DC"/>
    <w:rsid w:val="000D572C"/>
    <w:rsid w:val="000D5BDE"/>
    <w:rsid w:val="000D6C9B"/>
    <w:rsid w:val="000D7FD3"/>
    <w:rsid w:val="000E0033"/>
    <w:rsid w:val="000E1F71"/>
    <w:rsid w:val="000E440C"/>
    <w:rsid w:val="000E7677"/>
    <w:rsid w:val="000F0397"/>
    <w:rsid w:val="000F0AA7"/>
    <w:rsid w:val="000F565F"/>
    <w:rsid w:val="000F6BF9"/>
    <w:rsid w:val="000F7359"/>
    <w:rsid w:val="000F747F"/>
    <w:rsid w:val="001004E4"/>
    <w:rsid w:val="00100507"/>
    <w:rsid w:val="00100D90"/>
    <w:rsid w:val="00101D2A"/>
    <w:rsid w:val="00102700"/>
    <w:rsid w:val="00102B44"/>
    <w:rsid w:val="001051EC"/>
    <w:rsid w:val="00105F20"/>
    <w:rsid w:val="00106738"/>
    <w:rsid w:val="00106A3D"/>
    <w:rsid w:val="0010749A"/>
    <w:rsid w:val="00113CF7"/>
    <w:rsid w:val="001171BC"/>
    <w:rsid w:val="00117609"/>
    <w:rsid w:val="00120430"/>
    <w:rsid w:val="00122BF3"/>
    <w:rsid w:val="00124648"/>
    <w:rsid w:val="00125F41"/>
    <w:rsid w:val="001268D7"/>
    <w:rsid w:val="00130B18"/>
    <w:rsid w:val="00132446"/>
    <w:rsid w:val="00132E45"/>
    <w:rsid w:val="00134A5C"/>
    <w:rsid w:val="00136364"/>
    <w:rsid w:val="00136C6A"/>
    <w:rsid w:val="001414C0"/>
    <w:rsid w:val="00143E34"/>
    <w:rsid w:val="00144A72"/>
    <w:rsid w:val="0014511C"/>
    <w:rsid w:val="0014659B"/>
    <w:rsid w:val="00147230"/>
    <w:rsid w:val="001512B8"/>
    <w:rsid w:val="00154572"/>
    <w:rsid w:val="001605CC"/>
    <w:rsid w:val="00160BC5"/>
    <w:rsid w:val="00160C9E"/>
    <w:rsid w:val="00161A51"/>
    <w:rsid w:val="00165B85"/>
    <w:rsid w:val="00166C0E"/>
    <w:rsid w:val="0016712D"/>
    <w:rsid w:val="00167D69"/>
    <w:rsid w:val="00172760"/>
    <w:rsid w:val="00173FA1"/>
    <w:rsid w:val="001744EF"/>
    <w:rsid w:val="0017544D"/>
    <w:rsid w:val="00180A23"/>
    <w:rsid w:val="001818FC"/>
    <w:rsid w:val="00181D36"/>
    <w:rsid w:val="00182550"/>
    <w:rsid w:val="00183784"/>
    <w:rsid w:val="001843A8"/>
    <w:rsid w:val="0018491F"/>
    <w:rsid w:val="00190121"/>
    <w:rsid w:val="00191084"/>
    <w:rsid w:val="00191DA7"/>
    <w:rsid w:val="00195E84"/>
    <w:rsid w:val="00196633"/>
    <w:rsid w:val="00197212"/>
    <w:rsid w:val="00197775"/>
    <w:rsid w:val="00197A41"/>
    <w:rsid w:val="001A436B"/>
    <w:rsid w:val="001A60C3"/>
    <w:rsid w:val="001A67F0"/>
    <w:rsid w:val="001A7494"/>
    <w:rsid w:val="001B2A1C"/>
    <w:rsid w:val="001B2ACA"/>
    <w:rsid w:val="001B3FC2"/>
    <w:rsid w:val="001B4286"/>
    <w:rsid w:val="001B7B47"/>
    <w:rsid w:val="001C31D6"/>
    <w:rsid w:val="001C398C"/>
    <w:rsid w:val="001C71E7"/>
    <w:rsid w:val="001C72E6"/>
    <w:rsid w:val="001C75B1"/>
    <w:rsid w:val="001D19C9"/>
    <w:rsid w:val="001D2199"/>
    <w:rsid w:val="001D30B3"/>
    <w:rsid w:val="001D327A"/>
    <w:rsid w:val="001D392E"/>
    <w:rsid w:val="001D4D5E"/>
    <w:rsid w:val="001E295D"/>
    <w:rsid w:val="001E42C6"/>
    <w:rsid w:val="001E46AD"/>
    <w:rsid w:val="001E4F4B"/>
    <w:rsid w:val="001E588A"/>
    <w:rsid w:val="001E66DC"/>
    <w:rsid w:val="001E73B0"/>
    <w:rsid w:val="001E7D8B"/>
    <w:rsid w:val="001F2E30"/>
    <w:rsid w:val="001F3628"/>
    <w:rsid w:val="001F48F1"/>
    <w:rsid w:val="001F5B2A"/>
    <w:rsid w:val="001F761D"/>
    <w:rsid w:val="001F7D34"/>
    <w:rsid w:val="00205484"/>
    <w:rsid w:val="00206AF1"/>
    <w:rsid w:val="00211C14"/>
    <w:rsid w:val="0021202A"/>
    <w:rsid w:val="00212E07"/>
    <w:rsid w:val="00215425"/>
    <w:rsid w:val="00215E89"/>
    <w:rsid w:val="00216A98"/>
    <w:rsid w:val="002228F4"/>
    <w:rsid w:val="00225117"/>
    <w:rsid w:val="002252CC"/>
    <w:rsid w:val="002257CD"/>
    <w:rsid w:val="00225E9B"/>
    <w:rsid w:val="00226546"/>
    <w:rsid w:val="00226980"/>
    <w:rsid w:val="00227BE8"/>
    <w:rsid w:val="0023045E"/>
    <w:rsid w:val="00230AD4"/>
    <w:rsid w:val="0023181D"/>
    <w:rsid w:val="00231889"/>
    <w:rsid w:val="00231A79"/>
    <w:rsid w:val="0023297A"/>
    <w:rsid w:val="0023581E"/>
    <w:rsid w:val="00235B86"/>
    <w:rsid w:val="00235C28"/>
    <w:rsid w:val="002373FD"/>
    <w:rsid w:val="00237B8A"/>
    <w:rsid w:val="00240BB3"/>
    <w:rsid w:val="002440F1"/>
    <w:rsid w:val="00244726"/>
    <w:rsid w:val="00245787"/>
    <w:rsid w:val="00245EB5"/>
    <w:rsid w:val="00250BA9"/>
    <w:rsid w:val="00251910"/>
    <w:rsid w:val="00253641"/>
    <w:rsid w:val="00254BA9"/>
    <w:rsid w:val="00267C6B"/>
    <w:rsid w:val="00267CFF"/>
    <w:rsid w:val="0027013F"/>
    <w:rsid w:val="002714EE"/>
    <w:rsid w:val="0027363F"/>
    <w:rsid w:val="00274067"/>
    <w:rsid w:val="00275539"/>
    <w:rsid w:val="00275D29"/>
    <w:rsid w:val="0028093C"/>
    <w:rsid w:val="00280CDE"/>
    <w:rsid w:val="00280F9F"/>
    <w:rsid w:val="00282D17"/>
    <w:rsid w:val="00284420"/>
    <w:rsid w:val="00285B8F"/>
    <w:rsid w:val="00287553"/>
    <w:rsid w:val="00290479"/>
    <w:rsid w:val="00291054"/>
    <w:rsid w:val="002910D1"/>
    <w:rsid w:val="00292ACF"/>
    <w:rsid w:val="00292E86"/>
    <w:rsid w:val="00293148"/>
    <w:rsid w:val="00293D30"/>
    <w:rsid w:val="00293F8E"/>
    <w:rsid w:val="00294811"/>
    <w:rsid w:val="00295126"/>
    <w:rsid w:val="0029561D"/>
    <w:rsid w:val="00296483"/>
    <w:rsid w:val="00297E14"/>
    <w:rsid w:val="002A0634"/>
    <w:rsid w:val="002A19F8"/>
    <w:rsid w:val="002A1A01"/>
    <w:rsid w:val="002A2A20"/>
    <w:rsid w:val="002A4B55"/>
    <w:rsid w:val="002A50CB"/>
    <w:rsid w:val="002A640A"/>
    <w:rsid w:val="002A66A2"/>
    <w:rsid w:val="002A6BB9"/>
    <w:rsid w:val="002A6CCB"/>
    <w:rsid w:val="002A7CB3"/>
    <w:rsid w:val="002A7FB8"/>
    <w:rsid w:val="002B3241"/>
    <w:rsid w:val="002B33D7"/>
    <w:rsid w:val="002B355F"/>
    <w:rsid w:val="002B38D6"/>
    <w:rsid w:val="002B5D77"/>
    <w:rsid w:val="002B6A16"/>
    <w:rsid w:val="002B6F67"/>
    <w:rsid w:val="002B7204"/>
    <w:rsid w:val="002B76C3"/>
    <w:rsid w:val="002C0428"/>
    <w:rsid w:val="002C1852"/>
    <w:rsid w:val="002C285F"/>
    <w:rsid w:val="002C2A56"/>
    <w:rsid w:val="002C44DF"/>
    <w:rsid w:val="002C60FB"/>
    <w:rsid w:val="002D0745"/>
    <w:rsid w:val="002D3355"/>
    <w:rsid w:val="002D50E8"/>
    <w:rsid w:val="002E20A9"/>
    <w:rsid w:val="002E224C"/>
    <w:rsid w:val="002E2CA5"/>
    <w:rsid w:val="002E2FF1"/>
    <w:rsid w:val="002E55A6"/>
    <w:rsid w:val="002E5811"/>
    <w:rsid w:val="002E7C68"/>
    <w:rsid w:val="002F341D"/>
    <w:rsid w:val="002F3EE9"/>
    <w:rsid w:val="003003A9"/>
    <w:rsid w:val="003012A2"/>
    <w:rsid w:val="00301C62"/>
    <w:rsid w:val="0030381E"/>
    <w:rsid w:val="00303CFB"/>
    <w:rsid w:val="00304451"/>
    <w:rsid w:val="00305C43"/>
    <w:rsid w:val="00305FCB"/>
    <w:rsid w:val="003070E4"/>
    <w:rsid w:val="003112FE"/>
    <w:rsid w:val="0031286D"/>
    <w:rsid w:val="003164CC"/>
    <w:rsid w:val="00316582"/>
    <w:rsid w:val="00316AFF"/>
    <w:rsid w:val="003207A9"/>
    <w:rsid w:val="00320A32"/>
    <w:rsid w:val="00320CAA"/>
    <w:rsid w:val="0032107E"/>
    <w:rsid w:val="003218B8"/>
    <w:rsid w:val="00321F7D"/>
    <w:rsid w:val="00322D05"/>
    <w:rsid w:val="00322DBF"/>
    <w:rsid w:val="003238C1"/>
    <w:rsid w:val="00324274"/>
    <w:rsid w:val="00324F48"/>
    <w:rsid w:val="00326375"/>
    <w:rsid w:val="003263BC"/>
    <w:rsid w:val="003264F2"/>
    <w:rsid w:val="00327D91"/>
    <w:rsid w:val="00331080"/>
    <w:rsid w:val="00331F25"/>
    <w:rsid w:val="00333A9A"/>
    <w:rsid w:val="003349F8"/>
    <w:rsid w:val="00334B31"/>
    <w:rsid w:val="00335C1C"/>
    <w:rsid w:val="00337B24"/>
    <w:rsid w:val="00337BFF"/>
    <w:rsid w:val="00340079"/>
    <w:rsid w:val="0034091D"/>
    <w:rsid w:val="00340DD4"/>
    <w:rsid w:val="003410FA"/>
    <w:rsid w:val="003423C4"/>
    <w:rsid w:val="0034353E"/>
    <w:rsid w:val="00343DF2"/>
    <w:rsid w:val="0034484A"/>
    <w:rsid w:val="003454EC"/>
    <w:rsid w:val="00345E56"/>
    <w:rsid w:val="00347C8E"/>
    <w:rsid w:val="003501D8"/>
    <w:rsid w:val="0035087A"/>
    <w:rsid w:val="00351132"/>
    <w:rsid w:val="00352240"/>
    <w:rsid w:val="003606F9"/>
    <w:rsid w:val="0036136B"/>
    <w:rsid w:val="00363133"/>
    <w:rsid w:val="00363661"/>
    <w:rsid w:val="00363788"/>
    <w:rsid w:val="00366E4A"/>
    <w:rsid w:val="00367088"/>
    <w:rsid w:val="003740F9"/>
    <w:rsid w:val="003765DA"/>
    <w:rsid w:val="00377528"/>
    <w:rsid w:val="00377FF7"/>
    <w:rsid w:val="0038003F"/>
    <w:rsid w:val="00380EB8"/>
    <w:rsid w:val="00381492"/>
    <w:rsid w:val="00383E49"/>
    <w:rsid w:val="00384198"/>
    <w:rsid w:val="00385589"/>
    <w:rsid w:val="00386AF6"/>
    <w:rsid w:val="0039241F"/>
    <w:rsid w:val="00392A0C"/>
    <w:rsid w:val="003936A4"/>
    <w:rsid w:val="00393911"/>
    <w:rsid w:val="00393EB0"/>
    <w:rsid w:val="00397B6C"/>
    <w:rsid w:val="00397D07"/>
    <w:rsid w:val="003A0742"/>
    <w:rsid w:val="003A11A6"/>
    <w:rsid w:val="003A1AB4"/>
    <w:rsid w:val="003A4973"/>
    <w:rsid w:val="003A4B9F"/>
    <w:rsid w:val="003A53DF"/>
    <w:rsid w:val="003B23FE"/>
    <w:rsid w:val="003B3269"/>
    <w:rsid w:val="003B4522"/>
    <w:rsid w:val="003B4981"/>
    <w:rsid w:val="003C3204"/>
    <w:rsid w:val="003C3EFA"/>
    <w:rsid w:val="003C4041"/>
    <w:rsid w:val="003C406D"/>
    <w:rsid w:val="003C4243"/>
    <w:rsid w:val="003C575E"/>
    <w:rsid w:val="003C6A73"/>
    <w:rsid w:val="003C6F5D"/>
    <w:rsid w:val="003D1250"/>
    <w:rsid w:val="003D3BC8"/>
    <w:rsid w:val="003D6204"/>
    <w:rsid w:val="003D738F"/>
    <w:rsid w:val="003E32E6"/>
    <w:rsid w:val="003E3370"/>
    <w:rsid w:val="003E40EA"/>
    <w:rsid w:val="003E4330"/>
    <w:rsid w:val="003E46D9"/>
    <w:rsid w:val="003E482D"/>
    <w:rsid w:val="003F0291"/>
    <w:rsid w:val="003F10EC"/>
    <w:rsid w:val="003F1B97"/>
    <w:rsid w:val="003F1F04"/>
    <w:rsid w:val="003F3F12"/>
    <w:rsid w:val="003F40A0"/>
    <w:rsid w:val="003F7D3B"/>
    <w:rsid w:val="004004F6"/>
    <w:rsid w:val="00400D89"/>
    <w:rsid w:val="00401E78"/>
    <w:rsid w:val="004028AC"/>
    <w:rsid w:val="004039E0"/>
    <w:rsid w:val="00404911"/>
    <w:rsid w:val="00404F4A"/>
    <w:rsid w:val="004060D2"/>
    <w:rsid w:val="004067DA"/>
    <w:rsid w:val="00407289"/>
    <w:rsid w:val="004074F7"/>
    <w:rsid w:val="00407C6A"/>
    <w:rsid w:val="0041048D"/>
    <w:rsid w:val="00415BE6"/>
    <w:rsid w:val="00416323"/>
    <w:rsid w:val="004212DF"/>
    <w:rsid w:val="00422D97"/>
    <w:rsid w:val="00430739"/>
    <w:rsid w:val="00430FC1"/>
    <w:rsid w:val="004330CE"/>
    <w:rsid w:val="00433A8A"/>
    <w:rsid w:val="00433AD0"/>
    <w:rsid w:val="00436F86"/>
    <w:rsid w:val="0043750D"/>
    <w:rsid w:val="00440290"/>
    <w:rsid w:val="00440D3F"/>
    <w:rsid w:val="00441B1E"/>
    <w:rsid w:val="00441E48"/>
    <w:rsid w:val="00442D88"/>
    <w:rsid w:val="0044319F"/>
    <w:rsid w:val="004436F9"/>
    <w:rsid w:val="004446BA"/>
    <w:rsid w:val="004465C8"/>
    <w:rsid w:val="00446EAB"/>
    <w:rsid w:val="00447989"/>
    <w:rsid w:val="00447D1E"/>
    <w:rsid w:val="0045043D"/>
    <w:rsid w:val="0045217A"/>
    <w:rsid w:val="004545A9"/>
    <w:rsid w:val="00454EFF"/>
    <w:rsid w:val="0045626B"/>
    <w:rsid w:val="0045713D"/>
    <w:rsid w:val="00460EF3"/>
    <w:rsid w:val="0046190B"/>
    <w:rsid w:val="00462194"/>
    <w:rsid w:val="004654C5"/>
    <w:rsid w:val="00465C67"/>
    <w:rsid w:val="00467622"/>
    <w:rsid w:val="00467D19"/>
    <w:rsid w:val="00470080"/>
    <w:rsid w:val="00471EE2"/>
    <w:rsid w:val="004755D7"/>
    <w:rsid w:val="00475632"/>
    <w:rsid w:val="00476569"/>
    <w:rsid w:val="00480BAB"/>
    <w:rsid w:val="004816C9"/>
    <w:rsid w:val="00482356"/>
    <w:rsid w:val="00482AF3"/>
    <w:rsid w:val="004871F6"/>
    <w:rsid w:val="00491296"/>
    <w:rsid w:val="00491B5E"/>
    <w:rsid w:val="004925D1"/>
    <w:rsid w:val="00493A0C"/>
    <w:rsid w:val="00494DD6"/>
    <w:rsid w:val="00495D15"/>
    <w:rsid w:val="00496A63"/>
    <w:rsid w:val="00496D4A"/>
    <w:rsid w:val="004A0050"/>
    <w:rsid w:val="004A0B45"/>
    <w:rsid w:val="004A31F8"/>
    <w:rsid w:val="004A49AE"/>
    <w:rsid w:val="004A4E97"/>
    <w:rsid w:val="004A50B9"/>
    <w:rsid w:val="004A58FA"/>
    <w:rsid w:val="004A60E2"/>
    <w:rsid w:val="004A6C96"/>
    <w:rsid w:val="004A6E01"/>
    <w:rsid w:val="004B0186"/>
    <w:rsid w:val="004B1B9C"/>
    <w:rsid w:val="004B3C03"/>
    <w:rsid w:val="004B73EB"/>
    <w:rsid w:val="004C1BCF"/>
    <w:rsid w:val="004C7709"/>
    <w:rsid w:val="004D20CE"/>
    <w:rsid w:val="004D308A"/>
    <w:rsid w:val="004D3CB1"/>
    <w:rsid w:val="004D3D58"/>
    <w:rsid w:val="004D41FA"/>
    <w:rsid w:val="004D4F94"/>
    <w:rsid w:val="004E07B0"/>
    <w:rsid w:val="004E1173"/>
    <w:rsid w:val="004E332A"/>
    <w:rsid w:val="004F05DE"/>
    <w:rsid w:val="004F2793"/>
    <w:rsid w:val="004F3EEE"/>
    <w:rsid w:val="004F4F20"/>
    <w:rsid w:val="004F521D"/>
    <w:rsid w:val="004F75AD"/>
    <w:rsid w:val="00500C77"/>
    <w:rsid w:val="005013FC"/>
    <w:rsid w:val="00501D81"/>
    <w:rsid w:val="0050266C"/>
    <w:rsid w:val="00502DE7"/>
    <w:rsid w:val="00503894"/>
    <w:rsid w:val="00504232"/>
    <w:rsid w:val="00504454"/>
    <w:rsid w:val="0050495D"/>
    <w:rsid w:val="005049CC"/>
    <w:rsid w:val="00504CC3"/>
    <w:rsid w:val="00505152"/>
    <w:rsid w:val="00505192"/>
    <w:rsid w:val="005053CA"/>
    <w:rsid w:val="00505AD5"/>
    <w:rsid w:val="00505B0D"/>
    <w:rsid w:val="00507ABB"/>
    <w:rsid w:val="00510087"/>
    <w:rsid w:val="0051037D"/>
    <w:rsid w:val="00511E2F"/>
    <w:rsid w:val="005121A9"/>
    <w:rsid w:val="00512821"/>
    <w:rsid w:val="0051311E"/>
    <w:rsid w:val="00513125"/>
    <w:rsid w:val="00513872"/>
    <w:rsid w:val="00513932"/>
    <w:rsid w:val="005177E3"/>
    <w:rsid w:val="00520923"/>
    <w:rsid w:val="00520EB7"/>
    <w:rsid w:val="005227C1"/>
    <w:rsid w:val="00522A05"/>
    <w:rsid w:val="00523469"/>
    <w:rsid w:val="0053040B"/>
    <w:rsid w:val="00530A31"/>
    <w:rsid w:val="00530CA5"/>
    <w:rsid w:val="0053178A"/>
    <w:rsid w:val="00531CA2"/>
    <w:rsid w:val="00533977"/>
    <w:rsid w:val="0053696E"/>
    <w:rsid w:val="005369E8"/>
    <w:rsid w:val="0054046F"/>
    <w:rsid w:val="0054052D"/>
    <w:rsid w:val="00540902"/>
    <w:rsid w:val="00542A9E"/>
    <w:rsid w:val="00543835"/>
    <w:rsid w:val="005475BF"/>
    <w:rsid w:val="00550775"/>
    <w:rsid w:val="005512D4"/>
    <w:rsid w:val="00552083"/>
    <w:rsid w:val="00553037"/>
    <w:rsid w:val="00553F92"/>
    <w:rsid w:val="0055439C"/>
    <w:rsid w:val="00556683"/>
    <w:rsid w:val="00557BC9"/>
    <w:rsid w:val="00561420"/>
    <w:rsid w:val="00562967"/>
    <w:rsid w:val="00564710"/>
    <w:rsid w:val="00565500"/>
    <w:rsid w:val="00565CF9"/>
    <w:rsid w:val="005660B4"/>
    <w:rsid w:val="0056687E"/>
    <w:rsid w:val="005670C2"/>
    <w:rsid w:val="005674A2"/>
    <w:rsid w:val="00574DFD"/>
    <w:rsid w:val="005768AD"/>
    <w:rsid w:val="00580218"/>
    <w:rsid w:val="00580FCD"/>
    <w:rsid w:val="00582D59"/>
    <w:rsid w:val="0058361A"/>
    <w:rsid w:val="0058448B"/>
    <w:rsid w:val="005847B8"/>
    <w:rsid w:val="00585351"/>
    <w:rsid w:val="005872EB"/>
    <w:rsid w:val="00595AE3"/>
    <w:rsid w:val="005963BD"/>
    <w:rsid w:val="00596E81"/>
    <w:rsid w:val="005A0198"/>
    <w:rsid w:val="005A0375"/>
    <w:rsid w:val="005A08C1"/>
    <w:rsid w:val="005A0ADC"/>
    <w:rsid w:val="005A1040"/>
    <w:rsid w:val="005A1BD1"/>
    <w:rsid w:val="005A6B70"/>
    <w:rsid w:val="005B4619"/>
    <w:rsid w:val="005B46A4"/>
    <w:rsid w:val="005B67CE"/>
    <w:rsid w:val="005B6F8D"/>
    <w:rsid w:val="005C0AAC"/>
    <w:rsid w:val="005C188D"/>
    <w:rsid w:val="005C3FFC"/>
    <w:rsid w:val="005C4215"/>
    <w:rsid w:val="005C5536"/>
    <w:rsid w:val="005C6040"/>
    <w:rsid w:val="005C6863"/>
    <w:rsid w:val="005D18B0"/>
    <w:rsid w:val="005D18C1"/>
    <w:rsid w:val="005D1A36"/>
    <w:rsid w:val="005D2951"/>
    <w:rsid w:val="005D2C84"/>
    <w:rsid w:val="005D4434"/>
    <w:rsid w:val="005D6BDF"/>
    <w:rsid w:val="005D7E85"/>
    <w:rsid w:val="005E1A28"/>
    <w:rsid w:val="005E2994"/>
    <w:rsid w:val="005E3180"/>
    <w:rsid w:val="005E44D3"/>
    <w:rsid w:val="005E466D"/>
    <w:rsid w:val="005E53BE"/>
    <w:rsid w:val="005E5F16"/>
    <w:rsid w:val="005E7490"/>
    <w:rsid w:val="005E7FCD"/>
    <w:rsid w:val="005F09A5"/>
    <w:rsid w:val="005F229D"/>
    <w:rsid w:val="005F24B6"/>
    <w:rsid w:val="005F3D7F"/>
    <w:rsid w:val="005F668E"/>
    <w:rsid w:val="00600273"/>
    <w:rsid w:val="00600C62"/>
    <w:rsid w:val="006015A9"/>
    <w:rsid w:val="00601C1B"/>
    <w:rsid w:val="00603453"/>
    <w:rsid w:val="0060540B"/>
    <w:rsid w:val="00606572"/>
    <w:rsid w:val="00607711"/>
    <w:rsid w:val="006077D0"/>
    <w:rsid w:val="00610712"/>
    <w:rsid w:val="0061090C"/>
    <w:rsid w:val="0061142D"/>
    <w:rsid w:val="00612530"/>
    <w:rsid w:val="00612984"/>
    <w:rsid w:val="00613037"/>
    <w:rsid w:val="0061424C"/>
    <w:rsid w:val="00617541"/>
    <w:rsid w:val="00617C34"/>
    <w:rsid w:val="00617F86"/>
    <w:rsid w:val="0062127A"/>
    <w:rsid w:val="00621EFE"/>
    <w:rsid w:val="00622DA5"/>
    <w:rsid w:val="00631116"/>
    <w:rsid w:val="006336DD"/>
    <w:rsid w:val="00633998"/>
    <w:rsid w:val="00633D92"/>
    <w:rsid w:val="0063697C"/>
    <w:rsid w:val="00637531"/>
    <w:rsid w:val="0064029F"/>
    <w:rsid w:val="006406C1"/>
    <w:rsid w:val="0064114F"/>
    <w:rsid w:val="006420D3"/>
    <w:rsid w:val="00642679"/>
    <w:rsid w:val="00642930"/>
    <w:rsid w:val="00643A2D"/>
    <w:rsid w:val="0064487F"/>
    <w:rsid w:val="00650C72"/>
    <w:rsid w:val="006512AD"/>
    <w:rsid w:val="00651E49"/>
    <w:rsid w:val="006558EA"/>
    <w:rsid w:val="00655D96"/>
    <w:rsid w:val="00656873"/>
    <w:rsid w:val="00656AA1"/>
    <w:rsid w:val="0066167C"/>
    <w:rsid w:val="0066176D"/>
    <w:rsid w:val="0066323F"/>
    <w:rsid w:val="0066568B"/>
    <w:rsid w:val="00665815"/>
    <w:rsid w:val="006664BF"/>
    <w:rsid w:val="00666E48"/>
    <w:rsid w:val="006757F8"/>
    <w:rsid w:val="006769BE"/>
    <w:rsid w:val="00676B42"/>
    <w:rsid w:val="00681EFD"/>
    <w:rsid w:val="0068319A"/>
    <w:rsid w:val="0068371D"/>
    <w:rsid w:val="00684F3D"/>
    <w:rsid w:val="00692888"/>
    <w:rsid w:val="00696D03"/>
    <w:rsid w:val="006A1B4C"/>
    <w:rsid w:val="006A1F08"/>
    <w:rsid w:val="006A23FD"/>
    <w:rsid w:val="006A2D9E"/>
    <w:rsid w:val="006A2DA3"/>
    <w:rsid w:val="006A3508"/>
    <w:rsid w:val="006B18F4"/>
    <w:rsid w:val="006B60F1"/>
    <w:rsid w:val="006B6EF0"/>
    <w:rsid w:val="006B796C"/>
    <w:rsid w:val="006C03E7"/>
    <w:rsid w:val="006C1459"/>
    <w:rsid w:val="006C241E"/>
    <w:rsid w:val="006C6E15"/>
    <w:rsid w:val="006C72A3"/>
    <w:rsid w:val="006C7F7C"/>
    <w:rsid w:val="006D0235"/>
    <w:rsid w:val="006D0F75"/>
    <w:rsid w:val="006D148A"/>
    <w:rsid w:val="006D4776"/>
    <w:rsid w:val="006D7A0D"/>
    <w:rsid w:val="006E061E"/>
    <w:rsid w:val="006E20BF"/>
    <w:rsid w:val="006E6721"/>
    <w:rsid w:val="006E7FAA"/>
    <w:rsid w:val="006F25E4"/>
    <w:rsid w:val="006F3D42"/>
    <w:rsid w:val="006F586C"/>
    <w:rsid w:val="006F5900"/>
    <w:rsid w:val="006F6FFE"/>
    <w:rsid w:val="00700C28"/>
    <w:rsid w:val="00702913"/>
    <w:rsid w:val="00703016"/>
    <w:rsid w:val="007049C3"/>
    <w:rsid w:val="00705D08"/>
    <w:rsid w:val="00707259"/>
    <w:rsid w:val="0070739D"/>
    <w:rsid w:val="00710C0C"/>
    <w:rsid w:val="00711CBA"/>
    <w:rsid w:val="00714E60"/>
    <w:rsid w:val="00715D92"/>
    <w:rsid w:val="00715FE4"/>
    <w:rsid w:val="007212D3"/>
    <w:rsid w:val="00722F0B"/>
    <w:rsid w:val="0072477D"/>
    <w:rsid w:val="00724925"/>
    <w:rsid w:val="0072645F"/>
    <w:rsid w:val="00727115"/>
    <w:rsid w:val="007319E2"/>
    <w:rsid w:val="00735AC4"/>
    <w:rsid w:val="00735B65"/>
    <w:rsid w:val="00736463"/>
    <w:rsid w:val="0074158C"/>
    <w:rsid w:val="007418E2"/>
    <w:rsid w:val="007422B4"/>
    <w:rsid w:val="0074408D"/>
    <w:rsid w:val="00744CDB"/>
    <w:rsid w:val="00745E25"/>
    <w:rsid w:val="00746A5D"/>
    <w:rsid w:val="00747445"/>
    <w:rsid w:val="007505EB"/>
    <w:rsid w:val="00751354"/>
    <w:rsid w:val="0075283D"/>
    <w:rsid w:val="00752901"/>
    <w:rsid w:val="007530BF"/>
    <w:rsid w:val="007534E3"/>
    <w:rsid w:val="007539AB"/>
    <w:rsid w:val="00753AC3"/>
    <w:rsid w:val="00753C0A"/>
    <w:rsid w:val="00753E0E"/>
    <w:rsid w:val="0075400A"/>
    <w:rsid w:val="007545B9"/>
    <w:rsid w:val="00760952"/>
    <w:rsid w:val="00761089"/>
    <w:rsid w:val="0076493B"/>
    <w:rsid w:val="00764F67"/>
    <w:rsid w:val="00765E4C"/>
    <w:rsid w:val="00767BB9"/>
    <w:rsid w:val="00767C96"/>
    <w:rsid w:val="00767D2A"/>
    <w:rsid w:val="007706CC"/>
    <w:rsid w:val="007716B6"/>
    <w:rsid w:val="007728B5"/>
    <w:rsid w:val="0077554A"/>
    <w:rsid w:val="00775763"/>
    <w:rsid w:val="00777FC2"/>
    <w:rsid w:val="00782832"/>
    <w:rsid w:val="00783C7A"/>
    <w:rsid w:val="00784B55"/>
    <w:rsid w:val="00784CC8"/>
    <w:rsid w:val="0078687D"/>
    <w:rsid w:val="00790734"/>
    <w:rsid w:val="007909B6"/>
    <w:rsid w:val="00791BFC"/>
    <w:rsid w:val="00791F06"/>
    <w:rsid w:val="00792132"/>
    <w:rsid w:val="00792D7E"/>
    <w:rsid w:val="00793005"/>
    <w:rsid w:val="00794277"/>
    <w:rsid w:val="00795400"/>
    <w:rsid w:val="00795495"/>
    <w:rsid w:val="0079559A"/>
    <w:rsid w:val="00797FD9"/>
    <w:rsid w:val="007A068F"/>
    <w:rsid w:val="007A0857"/>
    <w:rsid w:val="007A1827"/>
    <w:rsid w:val="007A50B1"/>
    <w:rsid w:val="007A554B"/>
    <w:rsid w:val="007A63E8"/>
    <w:rsid w:val="007A7F76"/>
    <w:rsid w:val="007B1239"/>
    <w:rsid w:val="007B14BC"/>
    <w:rsid w:val="007B341D"/>
    <w:rsid w:val="007B3700"/>
    <w:rsid w:val="007B5522"/>
    <w:rsid w:val="007B6F58"/>
    <w:rsid w:val="007B7502"/>
    <w:rsid w:val="007C12DE"/>
    <w:rsid w:val="007C58B1"/>
    <w:rsid w:val="007C5B57"/>
    <w:rsid w:val="007C7054"/>
    <w:rsid w:val="007C74C3"/>
    <w:rsid w:val="007C7EB6"/>
    <w:rsid w:val="007D1296"/>
    <w:rsid w:val="007D1E2F"/>
    <w:rsid w:val="007D231E"/>
    <w:rsid w:val="007D2415"/>
    <w:rsid w:val="007D273F"/>
    <w:rsid w:val="007D483E"/>
    <w:rsid w:val="007D6648"/>
    <w:rsid w:val="007D6F21"/>
    <w:rsid w:val="007E09E6"/>
    <w:rsid w:val="007E2343"/>
    <w:rsid w:val="007E28F4"/>
    <w:rsid w:val="007E403F"/>
    <w:rsid w:val="007E5E01"/>
    <w:rsid w:val="007E7B6B"/>
    <w:rsid w:val="007F19B1"/>
    <w:rsid w:val="007F263D"/>
    <w:rsid w:val="007F6161"/>
    <w:rsid w:val="007F7067"/>
    <w:rsid w:val="007F740C"/>
    <w:rsid w:val="00800DC0"/>
    <w:rsid w:val="00801FE1"/>
    <w:rsid w:val="00802294"/>
    <w:rsid w:val="00804094"/>
    <w:rsid w:val="00804CB7"/>
    <w:rsid w:val="00805FD3"/>
    <w:rsid w:val="00806E23"/>
    <w:rsid w:val="00806FD2"/>
    <w:rsid w:val="008077AD"/>
    <w:rsid w:val="008077F3"/>
    <w:rsid w:val="00807C20"/>
    <w:rsid w:val="00810CE8"/>
    <w:rsid w:val="00811D1D"/>
    <w:rsid w:val="008121A8"/>
    <w:rsid w:val="00812CB0"/>
    <w:rsid w:val="00812F0C"/>
    <w:rsid w:val="0081438E"/>
    <w:rsid w:val="00815982"/>
    <w:rsid w:val="00815E54"/>
    <w:rsid w:val="00816596"/>
    <w:rsid w:val="008165DE"/>
    <w:rsid w:val="008213E8"/>
    <w:rsid w:val="00824164"/>
    <w:rsid w:val="0082520E"/>
    <w:rsid w:val="0082522B"/>
    <w:rsid w:val="00826699"/>
    <w:rsid w:val="00826A60"/>
    <w:rsid w:val="00827A75"/>
    <w:rsid w:val="0083229D"/>
    <w:rsid w:val="00833C57"/>
    <w:rsid w:val="00834422"/>
    <w:rsid w:val="0083610B"/>
    <w:rsid w:val="0083718B"/>
    <w:rsid w:val="008412AB"/>
    <w:rsid w:val="00843C07"/>
    <w:rsid w:val="0084543B"/>
    <w:rsid w:val="00845D13"/>
    <w:rsid w:val="0085065B"/>
    <w:rsid w:val="00851615"/>
    <w:rsid w:val="008516F7"/>
    <w:rsid w:val="008528D6"/>
    <w:rsid w:val="00853ACB"/>
    <w:rsid w:val="00857FF3"/>
    <w:rsid w:val="0086071B"/>
    <w:rsid w:val="0086089A"/>
    <w:rsid w:val="00861197"/>
    <w:rsid w:val="008625D7"/>
    <w:rsid w:val="00865814"/>
    <w:rsid w:val="0086648B"/>
    <w:rsid w:val="00866765"/>
    <w:rsid w:val="00867359"/>
    <w:rsid w:val="00867652"/>
    <w:rsid w:val="00871E10"/>
    <w:rsid w:val="00872502"/>
    <w:rsid w:val="00872787"/>
    <w:rsid w:val="00872EB4"/>
    <w:rsid w:val="0087454C"/>
    <w:rsid w:val="008775DD"/>
    <w:rsid w:val="00881B7C"/>
    <w:rsid w:val="00882B43"/>
    <w:rsid w:val="00882EC2"/>
    <w:rsid w:val="00884E18"/>
    <w:rsid w:val="00885277"/>
    <w:rsid w:val="00886D95"/>
    <w:rsid w:val="008909DE"/>
    <w:rsid w:val="008926E8"/>
    <w:rsid w:val="00893168"/>
    <w:rsid w:val="00895E37"/>
    <w:rsid w:val="00895FBD"/>
    <w:rsid w:val="00896041"/>
    <w:rsid w:val="00896595"/>
    <w:rsid w:val="0089707A"/>
    <w:rsid w:val="0089763A"/>
    <w:rsid w:val="00897796"/>
    <w:rsid w:val="00897CCF"/>
    <w:rsid w:val="008A020D"/>
    <w:rsid w:val="008A2026"/>
    <w:rsid w:val="008A27FA"/>
    <w:rsid w:val="008A28A8"/>
    <w:rsid w:val="008A2E6C"/>
    <w:rsid w:val="008A391D"/>
    <w:rsid w:val="008A462A"/>
    <w:rsid w:val="008A4A6A"/>
    <w:rsid w:val="008A5617"/>
    <w:rsid w:val="008A582E"/>
    <w:rsid w:val="008A6D52"/>
    <w:rsid w:val="008A7050"/>
    <w:rsid w:val="008A721E"/>
    <w:rsid w:val="008A7D86"/>
    <w:rsid w:val="008B251A"/>
    <w:rsid w:val="008B3E2D"/>
    <w:rsid w:val="008B3E3A"/>
    <w:rsid w:val="008B612A"/>
    <w:rsid w:val="008C225A"/>
    <w:rsid w:val="008C5DDA"/>
    <w:rsid w:val="008C759C"/>
    <w:rsid w:val="008D05AE"/>
    <w:rsid w:val="008D0F23"/>
    <w:rsid w:val="008D1A75"/>
    <w:rsid w:val="008D2283"/>
    <w:rsid w:val="008D2BBE"/>
    <w:rsid w:val="008D388F"/>
    <w:rsid w:val="008D3C9A"/>
    <w:rsid w:val="008D571E"/>
    <w:rsid w:val="008D7BD7"/>
    <w:rsid w:val="008E2961"/>
    <w:rsid w:val="008E51A3"/>
    <w:rsid w:val="008E5F53"/>
    <w:rsid w:val="008E6F31"/>
    <w:rsid w:val="008E756C"/>
    <w:rsid w:val="008E7E81"/>
    <w:rsid w:val="008F3842"/>
    <w:rsid w:val="008F389B"/>
    <w:rsid w:val="008F3AAD"/>
    <w:rsid w:val="0090132E"/>
    <w:rsid w:val="009025DE"/>
    <w:rsid w:val="00902A0F"/>
    <w:rsid w:val="0090301E"/>
    <w:rsid w:val="00904490"/>
    <w:rsid w:val="00905A96"/>
    <w:rsid w:val="00905B97"/>
    <w:rsid w:val="00905DE4"/>
    <w:rsid w:val="0090690D"/>
    <w:rsid w:val="0090700B"/>
    <w:rsid w:val="00907B66"/>
    <w:rsid w:val="00911263"/>
    <w:rsid w:val="009118DE"/>
    <w:rsid w:val="009167C5"/>
    <w:rsid w:val="00916978"/>
    <w:rsid w:val="00917D2A"/>
    <w:rsid w:val="009206BA"/>
    <w:rsid w:val="009208C8"/>
    <w:rsid w:val="00921BF1"/>
    <w:rsid w:val="009250A7"/>
    <w:rsid w:val="009251BD"/>
    <w:rsid w:val="00925DD1"/>
    <w:rsid w:val="00926983"/>
    <w:rsid w:val="00926B38"/>
    <w:rsid w:val="00927E09"/>
    <w:rsid w:val="00930256"/>
    <w:rsid w:val="009308F6"/>
    <w:rsid w:val="009314E7"/>
    <w:rsid w:val="00932241"/>
    <w:rsid w:val="009331FB"/>
    <w:rsid w:val="00933906"/>
    <w:rsid w:val="00937F86"/>
    <w:rsid w:val="00946EF2"/>
    <w:rsid w:val="009517A7"/>
    <w:rsid w:val="0095319C"/>
    <w:rsid w:val="0095369D"/>
    <w:rsid w:val="00954354"/>
    <w:rsid w:val="00954B8C"/>
    <w:rsid w:val="00955196"/>
    <w:rsid w:val="009561DB"/>
    <w:rsid w:val="00956CD5"/>
    <w:rsid w:val="00962598"/>
    <w:rsid w:val="009635DF"/>
    <w:rsid w:val="00963973"/>
    <w:rsid w:val="00964F60"/>
    <w:rsid w:val="00965E60"/>
    <w:rsid w:val="009660D7"/>
    <w:rsid w:val="0096618B"/>
    <w:rsid w:val="009676CD"/>
    <w:rsid w:val="009676F7"/>
    <w:rsid w:val="00972451"/>
    <w:rsid w:val="00973730"/>
    <w:rsid w:val="0097466A"/>
    <w:rsid w:val="00975E47"/>
    <w:rsid w:val="00982221"/>
    <w:rsid w:val="009839BC"/>
    <w:rsid w:val="00985DC8"/>
    <w:rsid w:val="0098623E"/>
    <w:rsid w:val="00990547"/>
    <w:rsid w:val="00991378"/>
    <w:rsid w:val="0099238F"/>
    <w:rsid w:val="00992780"/>
    <w:rsid w:val="009957AA"/>
    <w:rsid w:val="00995D3D"/>
    <w:rsid w:val="009A0088"/>
    <w:rsid w:val="009A07E0"/>
    <w:rsid w:val="009A1B53"/>
    <w:rsid w:val="009A1F7A"/>
    <w:rsid w:val="009A35B3"/>
    <w:rsid w:val="009A5C0B"/>
    <w:rsid w:val="009A61BB"/>
    <w:rsid w:val="009A7A9B"/>
    <w:rsid w:val="009B0A04"/>
    <w:rsid w:val="009B15B4"/>
    <w:rsid w:val="009B24B3"/>
    <w:rsid w:val="009B25C2"/>
    <w:rsid w:val="009B5FEA"/>
    <w:rsid w:val="009B6033"/>
    <w:rsid w:val="009B729F"/>
    <w:rsid w:val="009B7BE1"/>
    <w:rsid w:val="009C1880"/>
    <w:rsid w:val="009C1D12"/>
    <w:rsid w:val="009C376E"/>
    <w:rsid w:val="009C450F"/>
    <w:rsid w:val="009C6B22"/>
    <w:rsid w:val="009D0AF9"/>
    <w:rsid w:val="009D0DD3"/>
    <w:rsid w:val="009D1A59"/>
    <w:rsid w:val="009D2E00"/>
    <w:rsid w:val="009D30EE"/>
    <w:rsid w:val="009D31A0"/>
    <w:rsid w:val="009D51CA"/>
    <w:rsid w:val="009D56EB"/>
    <w:rsid w:val="009E0574"/>
    <w:rsid w:val="009E1068"/>
    <w:rsid w:val="009E265F"/>
    <w:rsid w:val="009E3891"/>
    <w:rsid w:val="009E5A37"/>
    <w:rsid w:val="009E5A40"/>
    <w:rsid w:val="009E63FD"/>
    <w:rsid w:val="009E7E26"/>
    <w:rsid w:val="009F179D"/>
    <w:rsid w:val="009F2FE4"/>
    <w:rsid w:val="009F33DC"/>
    <w:rsid w:val="009F4DCD"/>
    <w:rsid w:val="009F521F"/>
    <w:rsid w:val="009F6CE2"/>
    <w:rsid w:val="009F7D76"/>
    <w:rsid w:val="009F7FBB"/>
    <w:rsid w:val="00A01739"/>
    <w:rsid w:val="00A01D6F"/>
    <w:rsid w:val="00A02C0F"/>
    <w:rsid w:val="00A036B2"/>
    <w:rsid w:val="00A03AAD"/>
    <w:rsid w:val="00A03C1D"/>
    <w:rsid w:val="00A04A3C"/>
    <w:rsid w:val="00A057E3"/>
    <w:rsid w:val="00A05D32"/>
    <w:rsid w:val="00A05F91"/>
    <w:rsid w:val="00A061CB"/>
    <w:rsid w:val="00A10147"/>
    <w:rsid w:val="00A12261"/>
    <w:rsid w:val="00A15203"/>
    <w:rsid w:val="00A162DA"/>
    <w:rsid w:val="00A16321"/>
    <w:rsid w:val="00A17136"/>
    <w:rsid w:val="00A20453"/>
    <w:rsid w:val="00A21EFF"/>
    <w:rsid w:val="00A245FE"/>
    <w:rsid w:val="00A24E19"/>
    <w:rsid w:val="00A2582B"/>
    <w:rsid w:val="00A271B2"/>
    <w:rsid w:val="00A3192A"/>
    <w:rsid w:val="00A32140"/>
    <w:rsid w:val="00A33250"/>
    <w:rsid w:val="00A33B9A"/>
    <w:rsid w:val="00A34B29"/>
    <w:rsid w:val="00A355B8"/>
    <w:rsid w:val="00A36300"/>
    <w:rsid w:val="00A3651D"/>
    <w:rsid w:val="00A40F3C"/>
    <w:rsid w:val="00A41155"/>
    <w:rsid w:val="00A41821"/>
    <w:rsid w:val="00A444C4"/>
    <w:rsid w:val="00A44591"/>
    <w:rsid w:val="00A44BC8"/>
    <w:rsid w:val="00A459E0"/>
    <w:rsid w:val="00A45FB4"/>
    <w:rsid w:val="00A46430"/>
    <w:rsid w:val="00A47B8E"/>
    <w:rsid w:val="00A50636"/>
    <w:rsid w:val="00A5275F"/>
    <w:rsid w:val="00A527AF"/>
    <w:rsid w:val="00A52B9E"/>
    <w:rsid w:val="00A531C0"/>
    <w:rsid w:val="00A536F1"/>
    <w:rsid w:val="00A5455F"/>
    <w:rsid w:val="00A54D51"/>
    <w:rsid w:val="00A57DD1"/>
    <w:rsid w:val="00A57EEA"/>
    <w:rsid w:val="00A608CE"/>
    <w:rsid w:val="00A61548"/>
    <w:rsid w:val="00A61F15"/>
    <w:rsid w:val="00A6318D"/>
    <w:rsid w:val="00A64E88"/>
    <w:rsid w:val="00A665EC"/>
    <w:rsid w:val="00A70582"/>
    <w:rsid w:val="00A727FE"/>
    <w:rsid w:val="00A746C0"/>
    <w:rsid w:val="00A74B50"/>
    <w:rsid w:val="00A75885"/>
    <w:rsid w:val="00A76A54"/>
    <w:rsid w:val="00A7742A"/>
    <w:rsid w:val="00A8239F"/>
    <w:rsid w:val="00A849F4"/>
    <w:rsid w:val="00A8588B"/>
    <w:rsid w:val="00A85E4B"/>
    <w:rsid w:val="00A8739A"/>
    <w:rsid w:val="00A90630"/>
    <w:rsid w:val="00A91F35"/>
    <w:rsid w:val="00A930E4"/>
    <w:rsid w:val="00A93297"/>
    <w:rsid w:val="00A935E9"/>
    <w:rsid w:val="00A93BAC"/>
    <w:rsid w:val="00A97840"/>
    <w:rsid w:val="00AA2265"/>
    <w:rsid w:val="00AA6745"/>
    <w:rsid w:val="00AA7514"/>
    <w:rsid w:val="00AA7523"/>
    <w:rsid w:val="00AB06A0"/>
    <w:rsid w:val="00AB1044"/>
    <w:rsid w:val="00AB1258"/>
    <w:rsid w:val="00AB2A4E"/>
    <w:rsid w:val="00AB34A7"/>
    <w:rsid w:val="00AB364F"/>
    <w:rsid w:val="00AB3AB3"/>
    <w:rsid w:val="00AB440D"/>
    <w:rsid w:val="00AB5625"/>
    <w:rsid w:val="00AB69A6"/>
    <w:rsid w:val="00AC27C3"/>
    <w:rsid w:val="00AC2CBC"/>
    <w:rsid w:val="00AC3812"/>
    <w:rsid w:val="00AC4D4E"/>
    <w:rsid w:val="00AC55B0"/>
    <w:rsid w:val="00AC5F42"/>
    <w:rsid w:val="00AD059B"/>
    <w:rsid w:val="00AD0FEF"/>
    <w:rsid w:val="00AD184E"/>
    <w:rsid w:val="00AD2BE7"/>
    <w:rsid w:val="00AD3103"/>
    <w:rsid w:val="00AD3B98"/>
    <w:rsid w:val="00AD53D7"/>
    <w:rsid w:val="00AD582A"/>
    <w:rsid w:val="00AD5997"/>
    <w:rsid w:val="00AD5FB4"/>
    <w:rsid w:val="00AD61DF"/>
    <w:rsid w:val="00AD71F1"/>
    <w:rsid w:val="00AE097A"/>
    <w:rsid w:val="00AE151C"/>
    <w:rsid w:val="00AE1747"/>
    <w:rsid w:val="00AE17A4"/>
    <w:rsid w:val="00AE38B6"/>
    <w:rsid w:val="00AE450F"/>
    <w:rsid w:val="00AE4681"/>
    <w:rsid w:val="00AE4987"/>
    <w:rsid w:val="00AE4F1A"/>
    <w:rsid w:val="00AE6545"/>
    <w:rsid w:val="00AE752F"/>
    <w:rsid w:val="00AF417C"/>
    <w:rsid w:val="00AF4B8F"/>
    <w:rsid w:val="00AF6E8F"/>
    <w:rsid w:val="00B01C4A"/>
    <w:rsid w:val="00B07587"/>
    <w:rsid w:val="00B10649"/>
    <w:rsid w:val="00B125A8"/>
    <w:rsid w:val="00B12FF5"/>
    <w:rsid w:val="00B13992"/>
    <w:rsid w:val="00B13D07"/>
    <w:rsid w:val="00B143CF"/>
    <w:rsid w:val="00B14D02"/>
    <w:rsid w:val="00B15AD5"/>
    <w:rsid w:val="00B15E6F"/>
    <w:rsid w:val="00B16406"/>
    <w:rsid w:val="00B16B47"/>
    <w:rsid w:val="00B16C1C"/>
    <w:rsid w:val="00B207AA"/>
    <w:rsid w:val="00B20B45"/>
    <w:rsid w:val="00B20E39"/>
    <w:rsid w:val="00B21E8F"/>
    <w:rsid w:val="00B24280"/>
    <w:rsid w:val="00B264E8"/>
    <w:rsid w:val="00B30520"/>
    <w:rsid w:val="00B3147D"/>
    <w:rsid w:val="00B33B42"/>
    <w:rsid w:val="00B33F2F"/>
    <w:rsid w:val="00B358FB"/>
    <w:rsid w:val="00B37149"/>
    <w:rsid w:val="00B37F7D"/>
    <w:rsid w:val="00B40FE4"/>
    <w:rsid w:val="00B41BF3"/>
    <w:rsid w:val="00B42E0F"/>
    <w:rsid w:val="00B43673"/>
    <w:rsid w:val="00B43B7D"/>
    <w:rsid w:val="00B44EAB"/>
    <w:rsid w:val="00B44FEB"/>
    <w:rsid w:val="00B4665B"/>
    <w:rsid w:val="00B46D8E"/>
    <w:rsid w:val="00B502E7"/>
    <w:rsid w:val="00B506B5"/>
    <w:rsid w:val="00B518A6"/>
    <w:rsid w:val="00B51EA5"/>
    <w:rsid w:val="00B53ECE"/>
    <w:rsid w:val="00B54539"/>
    <w:rsid w:val="00B5475F"/>
    <w:rsid w:val="00B54884"/>
    <w:rsid w:val="00B5514D"/>
    <w:rsid w:val="00B553B7"/>
    <w:rsid w:val="00B557D2"/>
    <w:rsid w:val="00B56120"/>
    <w:rsid w:val="00B61802"/>
    <w:rsid w:val="00B62CC9"/>
    <w:rsid w:val="00B63CF8"/>
    <w:rsid w:val="00B6523A"/>
    <w:rsid w:val="00B66291"/>
    <w:rsid w:val="00B67415"/>
    <w:rsid w:val="00B67B56"/>
    <w:rsid w:val="00B710BD"/>
    <w:rsid w:val="00B71427"/>
    <w:rsid w:val="00B722E3"/>
    <w:rsid w:val="00B72B9F"/>
    <w:rsid w:val="00B73FB7"/>
    <w:rsid w:val="00B74AB4"/>
    <w:rsid w:val="00B74B1F"/>
    <w:rsid w:val="00B83F59"/>
    <w:rsid w:val="00B844AF"/>
    <w:rsid w:val="00B84EC3"/>
    <w:rsid w:val="00B851D4"/>
    <w:rsid w:val="00B87609"/>
    <w:rsid w:val="00B906D1"/>
    <w:rsid w:val="00B90D01"/>
    <w:rsid w:val="00B9278A"/>
    <w:rsid w:val="00B92CC9"/>
    <w:rsid w:val="00B93738"/>
    <w:rsid w:val="00B93A41"/>
    <w:rsid w:val="00B93EDB"/>
    <w:rsid w:val="00B93FEE"/>
    <w:rsid w:val="00B940EB"/>
    <w:rsid w:val="00B94ED1"/>
    <w:rsid w:val="00B975BF"/>
    <w:rsid w:val="00B97BFE"/>
    <w:rsid w:val="00BA101A"/>
    <w:rsid w:val="00BA1616"/>
    <w:rsid w:val="00BA37C6"/>
    <w:rsid w:val="00BA445A"/>
    <w:rsid w:val="00BA4CF8"/>
    <w:rsid w:val="00BA5F70"/>
    <w:rsid w:val="00BB0D8D"/>
    <w:rsid w:val="00BB2935"/>
    <w:rsid w:val="00BB47DD"/>
    <w:rsid w:val="00BB4A73"/>
    <w:rsid w:val="00BB4E91"/>
    <w:rsid w:val="00BC0C11"/>
    <w:rsid w:val="00BC1C62"/>
    <w:rsid w:val="00BC4638"/>
    <w:rsid w:val="00BC5823"/>
    <w:rsid w:val="00BC69A6"/>
    <w:rsid w:val="00BD3F39"/>
    <w:rsid w:val="00BE0F2C"/>
    <w:rsid w:val="00BE1E25"/>
    <w:rsid w:val="00BE2C05"/>
    <w:rsid w:val="00BE39CD"/>
    <w:rsid w:val="00BE4223"/>
    <w:rsid w:val="00BE43B5"/>
    <w:rsid w:val="00BE4E74"/>
    <w:rsid w:val="00BE7FB1"/>
    <w:rsid w:val="00BF0737"/>
    <w:rsid w:val="00BF0DF6"/>
    <w:rsid w:val="00BF35D3"/>
    <w:rsid w:val="00BF3613"/>
    <w:rsid w:val="00BF3F9B"/>
    <w:rsid w:val="00BF45CC"/>
    <w:rsid w:val="00BF5592"/>
    <w:rsid w:val="00BF63EF"/>
    <w:rsid w:val="00BF696F"/>
    <w:rsid w:val="00C00ACF"/>
    <w:rsid w:val="00C03513"/>
    <w:rsid w:val="00C0361A"/>
    <w:rsid w:val="00C04021"/>
    <w:rsid w:val="00C05762"/>
    <w:rsid w:val="00C06282"/>
    <w:rsid w:val="00C06A2E"/>
    <w:rsid w:val="00C07B5F"/>
    <w:rsid w:val="00C1081E"/>
    <w:rsid w:val="00C12D1B"/>
    <w:rsid w:val="00C13FC6"/>
    <w:rsid w:val="00C15E5B"/>
    <w:rsid w:val="00C167A2"/>
    <w:rsid w:val="00C16827"/>
    <w:rsid w:val="00C171D3"/>
    <w:rsid w:val="00C20CC3"/>
    <w:rsid w:val="00C22CE3"/>
    <w:rsid w:val="00C24337"/>
    <w:rsid w:val="00C24BCC"/>
    <w:rsid w:val="00C30489"/>
    <w:rsid w:val="00C310AE"/>
    <w:rsid w:val="00C344A6"/>
    <w:rsid w:val="00C344AA"/>
    <w:rsid w:val="00C3494D"/>
    <w:rsid w:val="00C42772"/>
    <w:rsid w:val="00C44066"/>
    <w:rsid w:val="00C4438E"/>
    <w:rsid w:val="00C44ADC"/>
    <w:rsid w:val="00C47F03"/>
    <w:rsid w:val="00C5328E"/>
    <w:rsid w:val="00C533A4"/>
    <w:rsid w:val="00C53D6D"/>
    <w:rsid w:val="00C55449"/>
    <w:rsid w:val="00C55829"/>
    <w:rsid w:val="00C5676F"/>
    <w:rsid w:val="00C60486"/>
    <w:rsid w:val="00C60564"/>
    <w:rsid w:val="00C6214B"/>
    <w:rsid w:val="00C643F9"/>
    <w:rsid w:val="00C6454C"/>
    <w:rsid w:val="00C64788"/>
    <w:rsid w:val="00C65E29"/>
    <w:rsid w:val="00C65E41"/>
    <w:rsid w:val="00C67DF5"/>
    <w:rsid w:val="00C71832"/>
    <w:rsid w:val="00C71D6E"/>
    <w:rsid w:val="00C72B03"/>
    <w:rsid w:val="00C72D4D"/>
    <w:rsid w:val="00C72F8E"/>
    <w:rsid w:val="00C73E08"/>
    <w:rsid w:val="00C73E88"/>
    <w:rsid w:val="00C74191"/>
    <w:rsid w:val="00C74B40"/>
    <w:rsid w:val="00C762D1"/>
    <w:rsid w:val="00C8133E"/>
    <w:rsid w:val="00C822FF"/>
    <w:rsid w:val="00C831D2"/>
    <w:rsid w:val="00C83A07"/>
    <w:rsid w:val="00C842EB"/>
    <w:rsid w:val="00C95D02"/>
    <w:rsid w:val="00C96B6F"/>
    <w:rsid w:val="00C9751D"/>
    <w:rsid w:val="00CA1FE7"/>
    <w:rsid w:val="00CA2654"/>
    <w:rsid w:val="00CA372B"/>
    <w:rsid w:val="00CA37C4"/>
    <w:rsid w:val="00CA4E9A"/>
    <w:rsid w:val="00CA4F32"/>
    <w:rsid w:val="00CA5192"/>
    <w:rsid w:val="00CA647E"/>
    <w:rsid w:val="00CA7473"/>
    <w:rsid w:val="00CB02B5"/>
    <w:rsid w:val="00CB053C"/>
    <w:rsid w:val="00CB054C"/>
    <w:rsid w:val="00CB0F78"/>
    <w:rsid w:val="00CB17A4"/>
    <w:rsid w:val="00CB2355"/>
    <w:rsid w:val="00CB3007"/>
    <w:rsid w:val="00CB444B"/>
    <w:rsid w:val="00CB48A2"/>
    <w:rsid w:val="00CB5B45"/>
    <w:rsid w:val="00CB667B"/>
    <w:rsid w:val="00CC078E"/>
    <w:rsid w:val="00CC2054"/>
    <w:rsid w:val="00CC3B03"/>
    <w:rsid w:val="00CC48C0"/>
    <w:rsid w:val="00CC49CB"/>
    <w:rsid w:val="00CC5FC3"/>
    <w:rsid w:val="00CC6C5E"/>
    <w:rsid w:val="00CD2143"/>
    <w:rsid w:val="00CD3FDA"/>
    <w:rsid w:val="00CD4432"/>
    <w:rsid w:val="00CD516B"/>
    <w:rsid w:val="00CD5B60"/>
    <w:rsid w:val="00CD5C87"/>
    <w:rsid w:val="00CD6352"/>
    <w:rsid w:val="00CD7D0F"/>
    <w:rsid w:val="00CD7E67"/>
    <w:rsid w:val="00CD7F0A"/>
    <w:rsid w:val="00CE00B8"/>
    <w:rsid w:val="00CE1DEB"/>
    <w:rsid w:val="00CE1F69"/>
    <w:rsid w:val="00CE237B"/>
    <w:rsid w:val="00CE2630"/>
    <w:rsid w:val="00CE4614"/>
    <w:rsid w:val="00CE5B6B"/>
    <w:rsid w:val="00CE5BD8"/>
    <w:rsid w:val="00CE5C8F"/>
    <w:rsid w:val="00CF1726"/>
    <w:rsid w:val="00CF395D"/>
    <w:rsid w:val="00CF4F8D"/>
    <w:rsid w:val="00CF5E87"/>
    <w:rsid w:val="00CF675A"/>
    <w:rsid w:val="00D0253C"/>
    <w:rsid w:val="00D03BDE"/>
    <w:rsid w:val="00D0724B"/>
    <w:rsid w:val="00D07538"/>
    <w:rsid w:val="00D078D5"/>
    <w:rsid w:val="00D105B6"/>
    <w:rsid w:val="00D106F7"/>
    <w:rsid w:val="00D10F85"/>
    <w:rsid w:val="00D11BBB"/>
    <w:rsid w:val="00D12B2D"/>
    <w:rsid w:val="00D12CC6"/>
    <w:rsid w:val="00D12D05"/>
    <w:rsid w:val="00D1333D"/>
    <w:rsid w:val="00D153C6"/>
    <w:rsid w:val="00D20AE7"/>
    <w:rsid w:val="00D213FC"/>
    <w:rsid w:val="00D21B2D"/>
    <w:rsid w:val="00D21E11"/>
    <w:rsid w:val="00D22579"/>
    <w:rsid w:val="00D22E2D"/>
    <w:rsid w:val="00D236A5"/>
    <w:rsid w:val="00D236C4"/>
    <w:rsid w:val="00D24D14"/>
    <w:rsid w:val="00D2601D"/>
    <w:rsid w:val="00D26CA4"/>
    <w:rsid w:val="00D27D43"/>
    <w:rsid w:val="00D328D0"/>
    <w:rsid w:val="00D351A3"/>
    <w:rsid w:val="00D42070"/>
    <w:rsid w:val="00D444F2"/>
    <w:rsid w:val="00D46AD3"/>
    <w:rsid w:val="00D47635"/>
    <w:rsid w:val="00D47CA0"/>
    <w:rsid w:val="00D50A0B"/>
    <w:rsid w:val="00D51758"/>
    <w:rsid w:val="00D54A26"/>
    <w:rsid w:val="00D54B6C"/>
    <w:rsid w:val="00D55575"/>
    <w:rsid w:val="00D55E97"/>
    <w:rsid w:val="00D565DB"/>
    <w:rsid w:val="00D567D3"/>
    <w:rsid w:val="00D57631"/>
    <w:rsid w:val="00D6113F"/>
    <w:rsid w:val="00D61481"/>
    <w:rsid w:val="00D61544"/>
    <w:rsid w:val="00D64B5A"/>
    <w:rsid w:val="00D653E2"/>
    <w:rsid w:val="00D67919"/>
    <w:rsid w:val="00D67D18"/>
    <w:rsid w:val="00D7141E"/>
    <w:rsid w:val="00D71C9B"/>
    <w:rsid w:val="00D72C4B"/>
    <w:rsid w:val="00D73542"/>
    <w:rsid w:val="00D73985"/>
    <w:rsid w:val="00D758B6"/>
    <w:rsid w:val="00D76745"/>
    <w:rsid w:val="00D77D0F"/>
    <w:rsid w:val="00D80062"/>
    <w:rsid w:val="00D835A1"/>
    <w:rsid w:val="00D83DEC"/>
    <w:rsid w:val="00D856F4"/>
    <w:rsid w:val="00D864FA"/>
    <w:rsid w:val="00D86CDD"/>
    <w:rsid w:val="00D87A2A"/>
    <w:rsid w:val="00D91D7B"/>
    <w:rsid w:val="00D91DD7"/>
    <w:rsid w:val="00D92046"/>
    <w:rsid w:val="00D9398B"/>
    <w:rsid w:val="00D94565"/>
    <w:rsid w:val="00D94E4B"/>
    <w:rsid w:val="00D95EDC"/>
    <w:rsid w:val="00D95FBB"/>
    <w:rsid w:val="00D96BF5"/>
    <w:rsid w:val="00D96F07"/>
    <w:rsid w:val="00DA2F14"/>
    <w:rsid w:val="00DA3D4E"/>
    <w:rsid w:val="00DA458D"/>
    <w:rsid w:val="00DA4B1B"/>
    <w:rsid w:val="00DA6199"/>
    <w:rsid w:val="00DB4902"/>
    <w:rsid w:val="00DB5BE4"/>
    <w:rsid w:val="00DB65A4"/>
    <w:rsid w:val="00DB7044"/>
    <w:rsid w:val="00DC0538"/>
    <w:rsid w:val="00DC1B61"/>
    <w:rsid w:val="00DC1BC6"/>
    <w:rsid w:val="00DC3274"/>
    <w:rsid w:val="00DC3C18"/>
    <w:rsid w:val="00DC7490"/>
    <w:rsid w:val="00DD09C8"/>
    <w:rsid w:val="00DD120A"/>
    <w:rsid w:val="00DD1405"/>
    <w:rsid w:val="00DD1CDF"/>
    <w:rsid w:val="00DD2B11"/>
    <w:rsid w:val="00DD4A42"/>
    <w:rsid w:val="00DD742E"/>
    <w:rsid w:val="00DE00A5"/>
    <w:rsid w:val="00DE066D"/>
    <w:rsid w:val="00DE0AAC"/>
    <w:rsid w:val="00DE110E"/>
    <w:rsid w:val="00DE1721"/>
    <w:rsid w:val="00DE2C52"/>
    <w:rsid w:val="00DE3A3D"/>
    <w:rsid w:val="00DE58B9"/>
    <w:rsid w:val="00DE6051"/>
    <w:rsid w:val="00DE61E7"/>
    <w:rsid w:val="00DE6627"/>
    <w:rsid w:val="00DE7AEA"/>
    <w:rsid w:val="00DF08CA"/>
    <w:rsid w:val="00DF0BAC"/>
    <w:rsid w:val="00DF4596"/>
    <w:rsid w:val="00DF47E7"/>
    <w:rsid w:val="00DF5CDC"/>
    <w:rsid w:val="00DF64D3"/>
    <w:rsid w:val="00DF6809"/>
    <w:rsid w:val="00DF6814"/>
    <w:rsid w:val="00DF68E3"/>
    <w:rsid w:val="00E0063C"/>
    <w:rsid w:val="00E00CCD"/>
    <w:rsid w:val="00E00F22"/>
    <w:rsid w:val="00E0196A"/>
    <w:rsid w:val="00E02AC7"/>
    <w:rsid w:val="00E02E1C"/>
    <w:rsid w:val="00E04693"/>
    <w:rsid w:val="00E0471E"/>
    <w:rsid w:val="00E04ED8"/>
    <w:rsid w:val="00E05698"/>
    <w:rsid w:val="00E0677B"/>
    <w:rsid w:val="00E06FF8"/>
    <w:rsid w:val="00E07663"/>
    <w:rsid w:val="00E10D32"/>
    <w:rsid w:val="00E120EF"/>
    <w:rsid w:val="00E14A64"/>
    <w:rsid w:val="00E14EC9"/>
    <w:rsid w:val="00E14FC5"/>
    <w:rsid w:val="00E156E1"/>
    <w:rsid w:val="00E15B07"/>
    <w:rsid w:val="00E15BF6"/>
    <w:rsid w:val="00E214FE"/>
    <w:rsid w:val="00E24BAD"/>
    <w:rsid w:val="00E2546E"/>
    <w:rsid w:val="00E254B3"/>
    <w:rsid w:val="00E25DC1"/>
    <w:rsid w:val="00E26E04"/>
    <w:rsid w:val="00E26FF0"/>
    <w:rsid w:val="00E31C0F"/>
    <w:rsid w:val="00E32080"/>
    <w:rsid w:val="00E32F5A"/>
    <w:rsid w:val="00E34BA1"/>
    <w:rsid w:val="00E37791"/>
    <w:rsid w:val="00E37C57"/>
    <w:rsid w:val="00E413BD"/>
    <w:rsid w:val="00E42473"/>
    <w:rsid w:val="00E44735"/>
    <w:rsid w:val="00E45ADA"/>
    <w:rsid w:val="00E46249"/>
    <w:rsid w:val="00E470B9"/>
    <w:rsid w:val="00E507F6"/>
    <w:rsid w:val="00E51AC9"/>
    <w:rsid w:val="00E51C76"/>
    <w:rsid w:val="00E51C93"/>
    <w:rsid w:val="00E51ED4"/>
    <w:rsid w:val="00E54DA7"/>
    <w:rsid w:val="00E61850"/>
    <w:rsid w:val="00E642AB"/>
    <w:rsid w:val="00E67A8F"/>
    <w:rsid w:val="00E724B6"/>
    <w:rsid w:val="00E732A8"/>
    <w:rsid w:val="00E74151"/>
    <w:rsid w:val="00E74574"/>
    <w:rsid w:val="00E745C2"/>
    <w:rsid w:val="00E74E1A"/>
    <w:rsid w:val="00E75A6F"/>
    <w:rsid w:val="00E80E2E"/>
    <w:rsid w:val="00E835E0"/>
    <w:rsid w:val="00E864AA"/>
    <w:rsid w:val="00E866D1"/>
    <w:rsid w:val="00E871D9"/>
    <w:rsid w:val="00E87DED"/>
    <w:rsid w:val="00E90167"/>
    <w:rsid w:val="00E90618"/>
    <w:rsid w:val="00E9110E"/>
    <w:rsid w:val="00E91536"/>
    <w:rsid w:val="00E95819"/>
    <w:rsid w:val="00E96D23"/>
    <w:rsid w:val="00E97FC6"/>
    <w:rsid w:val="00EA0E95"/>
    <w:rsid w:val="00EA264C"/>
    <w:rsid w:val="00EA2BB5"/>
    <w:rsid w:val="00EA30E6"/>
    <w:rsid w:val="00EA332C"/>
    <w:rsid w:val="00EA3D90"/>
    <w:rsid w:val="00EA5154"/>
    <w:rsid w:val="00EA5F30"/>
    <w:rsid w:val="00EA61CD"/>
    <w:rsid w:val="00EB03AD"/>
    <w:rsid w:val="00EB043F"/>
    <w:rsid w:val="00EB0CA4"/>
    <w:rsid w:val="00EB12B2"/>
    <w:rsid w:val="00EB1771"/>
    <w:rsid w:val="00EB193C"/>
    <w:rsid w:val="00EB24F6"/>
    <w:rsid w:val="00EB250A"/>
    <w:rsid w:val="00EB25B2"/>
    <w:rsid w:val="00EB27EA"/>
    <w:rsid w:val="00EB2B56"/>
    <w:rsid w:val="00EB4C6B"/>
    <w:rsid w:val="00EB4EB6"/>
    <w:rsid w:val="00EC04D6"/>
    <w:rsid w:val="00EC0657"/>
    <w:rsid w:val="00EC37E5"/>
    <w:rsid w:val="00EC4C3A"/>
    <w:rsid w:val="00EC6D71"/>
    <w:rsid w:val="00EC790A"/>
    <w:rsid w:val="00ED13E2"/>
    <w:rsid w:val="00ED2FB5"/>
    <w:rsid w:val="00ED4EFC"/>
    <w:rsid w:val="00ED4F7D"/>
    <w:rsid w:val="00ED5BE1"/>
    <w:rsid w:val="00ED5E2D"/>
    <w:rsid w:val="00ED61B8"/>
    <w:rsid w:val="00ED6BD5"/>
    <w:rsid w:val="00ED7D23"/>
    <w:rsid w:val="00EE218C"/>
    <w:rsid w:val="00EE31B9"/>
    <w:rsid w:val="00EE4F83"/>
    <w:rsid w:val="00EE587E"/>
    <w:rsid w:val="00EE6B44"/>
    <w:rsid w:val="00EF0A00"/>
    <w:rsid w:val="00EF1C4F"/>
    <w:rsid w:val="00EF3F6C"/>
    <w:rsid w:val="00EF5264"/>
    <w:rsid w:val="00EF69BC"/>
    <w:rsid w:val="00EF6A35"/>
    <w:rsid w:val="00F03667"/>
    <w:rsid w:val="00F0536A"/>
    <w:rsid w:val="00F06F77"/>
    <w:rsid w:val="00F07EBA"/>
    <w:rsid w:val="00F13ADE"/>
    <w:rsid w:val="00F14ABF"/>
    <w:rsid w:val="00F15F7B"/>
    <w:rsid w:val="00F17154"/>
    <w:rsid w:val="00F17CA0"/>
    <w:rsid w:val="00F17DD9"/>
    <w:rsid w:val="00F201EC"/>
    <w:rsid w:val="00F24C53"/>
    <w:rsid w:val="00F24FE3"/>
    <w:rsid w:val="00F252AF"/>
    <w:rsid w:val="00F254FD"/>
    <w:rsid w:val="00F26733"/>
    <w:rsid w:val="00F26F2F"/>
    <w:rsid w:val="00F30960"/>
    <w:rsid w:val="00F3210A"/>
    <w:rsid w:val="00F33533"/>
    <w:rsid w:val="00F34F39"/>
    <w:rsid w:val="00F3640D"/>
    <w:rsid w:val="00F37E93"/>
    <w:rsid w:val="00F402BC"/>
    <w:rsid w:val="00F40CA3"/>
    <w:rsid w:val="00F41110"/>
    <w:rsid w:val="00F41BE1"/>
    <w:rsid w:val="00F426F1"/>
    <w:rsid w:val="00F447B7"/>
    <w:rsid w:val="00F45ED1"/>
    <w:rsid w:val="00F461EA"/>
    <w:rsid w:val="00F47401"/>
    <w:rsid w:val="00F51551"/>
    <w:rsid w:val="00F51C2B"/>
    <w:rsid w:val="00F521A6"/>
    <w:rsid w:val="00F536E7"/>
    <w:rsid w:val="00F54FB0"/>
    <w:rsid w:val="00F55648"/>
    <w:rsid w:val="00F5764F"/>
    <w:rsid w:val="00F606BB"/>
    <w:rsid w:val="00F6114F"/>
    <w:rsid w:val="00F642EA"/>
    <w:rsid w:val="00F66E12"/>
    <w:rsid w:val="00F6725C"/>
    <w:rsid w:val="00F70AB4"/>
    <w:rsid w:val="00F71FC4"/>
    <w:rsid w:val="00F732EF"/>
    <w:rsid w:val="00F7370D"/>
    <w:rsid w:val="00F75870"/>
    <w:rsid w:val="00F80AEE"/>
    <w:rsid w:val="00F80FE6"/>
    <w:rsid w:val="00F81C45"/>
    <w:rsid w:val="00F83875"/>
    <w:rsid w:val="00F86A7E"/>
    <w:rsid w:val="00F90EBC"/>
    <w:rsid w:val="00F91D2D"/>
    <w:rsid w:val="00F9214B"/>
    <w:rsid w:val="00F934C1"/>
    <w:rsid w:val="00F934F9"/>
    <w:rsid w:val="00F97812"/>
    <w:rsid w:val="00FA0001"/>
    <w:rsid w:val="00FA17C9"/>
    <w:rsid w:val="00FA22F8"/>
    <w:rsid w:val="00FA3B4E"/>
    <w:rsid w:val="00FA4595"/>
    <w:rsid w:val="00FA645A"/>
    <w:rsid w:val="00FB1995"/>
    <w:rsid w:val="00FB1C1D"/>
    <w:rsid w:val="00FB4C15"/>
    <w:rsid w:val="00FB6D33"/>
    <w:rsid w:val="00FB768D"/>
    <w:rsid w:val="00FB7985"/>
    <w:rsid w:val="00FC13E4"/>
    <w:rsid w:val="00FC322E"/>
    <w:rsid w:val="00FC35B2"/>
    <w:rsid w:val="00FC4732"/>
    <w:rsid w:val="00FC5CED"/>
    <w:rsid w:val="00FC65DF"/>
    <w:rsid w:val="00FC7B9E"/>
    <w:rsid w:val="00FD1EFD"/>
    <w:rsid w:val="00FD2878"/>
    <w:rsid w:val="00FD2A22"/>
    <w:rsid w:val="00FD5004"/>
    <w:rsid w:val="00FD77C3"/>
    <w:rsid w:val="00FE00DF"/>
    <w:rsid w:val="00FE149A"/>
    <w:rsid w:val="00FE1C29"/>
    <w:rsid w:val="00FE1D5C"/>
    <w:rsid w:val="00FE201D"/>
    <w:rsid w:val="00FE29ED"/>
    <w:rsid w:val="00FE6456"/>
    <w:rsid w:val="00FE656F"/>
    <w:rsid w:val="00FE7CCD"/>
    <w:rsid w:val="00FF2307"/>
    <w:rsid w:val="00FF3F58"/>
    <w:rsid w:val="00FF4328"/>
    <w:rsid w:val="00FF52C6"/>
    <w:rsid w:val="00FF5B2A"/>
    <w:rsid w:val="00FF7452"/>
    <w:rsid w:val="00FF7F94"/>
    <w:rsid w:val="02E44C48"/>
    <w:rsid w:val="04CA42B3"/>
    <w:rsid w:val="0A0A3DE0"/>
    <w:rsid w:val="0B697316"/>
    <w:rsid w:val="0CC225E3"/>
    <w:rsid w:val="10A75459"/>
    <w:rsid w:val="11AA5E23"/>
    <w:rsid w:val="12286D31"/>
    <w:rsid w:val="13D57B25"/>
    <w:rsid w:val="15E9105C"/>
    <w:rsid w:val="18BC501D"/>
    <w:rsid w:val="1B2F587F"/>
    <w:rsid w:val="1C252460"/>
    <w:rsid w:val="1D047177"/>
    <w:rsid w:val="1F6A787F"/>
    <w:rsid w:val="20F51E45"/>
    <w:rsid w:val="245D6FCC"/>
    <w:rsid w:val="24F35D6E"/>
    <w:rsid w:val="270E76C1"/>
    <w:rsid w:val="28061621"/>
    <w:rsid w:val="2F1E14B6"/>
    <w:rsid w:val="30EB5337"/>
    <w:rsid w:val="35712E17"/>
    <w:rsid w:val="392F2412"/>
    <w:rsid w:val="3EC66C30"/>
    <w:rsid w:val="45D85B92"/>
    <w:rsid w:val="46BA78BA"/>
    <w:rsid w:val="474A7474"/>
    <w:rsid w:val="4ABA578C"/>
    <w:rsid w:val="4F1F47C3"/>
    <w:rsid w:val="53414FBB"/>
    <w:rsid w:val="5C192508"/>
    <w:rsid w:val="636F6BB3"/>
    <w:rsid w:val="651162CA"/>
    <w:rsid w:val="651B58D9"/>
    <w:rsid w:val="68F61B18"/>
    <w:rsid w:val="6DB63709"/>
    <w:rsid w:val="6DB96494"/>
    <w:rsid w:val="6FE52336"/>
    <w:rsid w:val="723927AC"/>
    <w:rsid w:val="72BC2B95"/>
    <w:rsid w:val="742B0D0A"/>
    <w:rsid w:val="75931453"/>
    <w:rsid w:val="765D70B1"/>
    <w:rsid w:val="78326AE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qFormat="1" w:unhideWhenUsed="0" w:uiPriority="99" w:semiHidden="0" w:name="Table Columns 3"/>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qFormat="1" w:unhideWhenUsed="0" w:uiPriority="99" w:semiHidden="0" w:name="Table Contemporary"/>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华文仿宋" w:cs="Calibri"/>
      <w:kern w:val="2"/>
      <w:sz w:val="21"/>
      <w:szCs w:val="21"/>
      <w:lang w:val="en-US" w:eastAsia="zh-CN" w:bidi="ar-SA"/>
    </w:rPr>
  </w:style>
  <w:style w:type="paragraph" w:styleId="2">
    <w:name w:val="heading 1"/>
    <w:basedOn w:val="1"/>
    <w:next w:val="1"/>
    <w:link w:val="26"/>
    <w:qFormat/>
    <w:uiPriority w:val="99"/>
    <w:pPr>
      <w:keepNext/>
      <w:keepLines/>
      <w:spacing w:before="340" w:after="330" w:line="578" w:lineRule="auto"/>
      <w:outlineLvl w:val="0"/>
    </w:pPr>
    <w:rPr>
      <w:rFonts w:eastAsia="宋体"/>
      <w:b/>
      <w:bCs/>
      <w:kern w:val="44"/>
      <w:sz w:val="44"/>
      <w:szCs w:val="44"/>
    </w:rPr>
  </w:style>
  <w:style w:type="paragraph" w:styleId="3">
    <w:name w:val="heading 2"/>
    <w:basedOn w:val="1"/>
    <w:next w:val="1"/>
    <w:link w:val="27"/>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28"/>
    <w:qFormat/>
    <w:uiPriority w:val="99"/>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29"/>
    <w:qFormat/>
    <w:uiPriority w:val="99"/>
    <w:pPr>
      <w:keepNext/>
      <w:keepLines/>
      <w:spacing w:before="280" w:after="290" w:line="376" w:lineRule="auto"/>
      <w:outlineLvl w:val="3"/>
    </w:pPr>
    <w:rPr>
      <w:rFonts w:ascii="Cambria" w:hAnsi="Cambria" w:eastAsia="宋体" w:cs="Cambria"/>
      <w:b/>
      <w:bCs/>
      <w:sz w:val="28"/>
      <w:szCs w:val="28"/>
    </w:rPr>
  </w:style>
  <w:style w:type="character" w:default="1" w:styleId="21">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6">
    <w:name w:val="caption"/>
    <w:basedOn w:val="1"/>
    <w:next w:val="1"/>
    <w:qFormat/>
    <w:uiPriority w:val="99"/>
    <w:rPr>
      <w:rFonts w:ascii="Cambria" w:hAnsi="Cambria" w:eastAsia="黑体" w:cs="Cambria"/>
      <w:sz w:val="20"/>
      <w:szCs w:val="20"/>
    </w:rPr>
  </w:style>
  <w:style w:type="paragraph" w:styleId="7">
    <w:name w:val="Document Map"/>
    <w:basedOn w:val="1"/>
    <w:link w:val="61"/>
    <w:semiHidden/>
    <w:qFormat/>
    <w:uiPriority w:val="99"/>
    <w:rPr>
      <w:rFonts w:ascii="宋体" w:eastAsia="宋体" w:cs="宋体"/>
      <w:sz w:val="18"/>
      <w:szCs w:val="18"/>
    </w:rPr>
  </w:style>
  <w:style w:type="paragraph" w:styleId="8">
    <w:name w:val="annotation text"/>
    <w:basedOn w:val="1"/>
    <w:link w:val="34"/>
    <w:semiHidden/>
    <w:qFormat/>
    <w:uiPriority w:val="99"/>
    <w:pPr>
      <w:jc w:val="left"/>
    </w:pPr>
    <w:rPr>
      <w:rFonts w:ascii="Times New Roman" w:hAnsi="Times New Roman" w:eastAsia="宋体" w:cs="Times New Roman"/>
    </w:rPr>
  </w:style>
  <w:style w:type="paragraph" w:styleId="9">
    <w:name w:val="Body Text"/>
    <w:basedOn w:val="1"/>
    <w:link w:val="38"/>
    <w:qFormat/>
    <w:uiPriority w:val="99"/>
    <w:pPr>
      <w:autoSpaceDE w:val="0"/>
      <w:autoSpaceDN w:val="0"/>
      <w:adjustRightInd w:val="0"/>
      <w:jc w:val="left"/>
    </w:pPr>
    <w:rPr>
      <w:rFonts w:ascii="Times New Roman" w:hAnsi="Times New Roman" w:eastAsia="宋体" w:cs="Times New Roman"/>
      <w:kern w:val="0"/>
      <w:sz w:val="24"/>
      <w:szCs w:val="24"/>
    </w:rPr>
  </w:style>
  <w:style w:type="paragraph" w:styleId="10">
    <w:name w:val="Balloon Text"/>
    <w:basedOn w:val="1"/>
    <w:link w:val="35"/>
    <w:semiHidden/>
    <w:qFormat/>
    <w:uiPriority w:val="99"/>
    <w:rPr>
      <w:rFonts w:eastAsia="宋体"/>
      <w:sz w:val="18"/>
      <w:szCs w:val="18"/>
    </w:rPr>
  </w:style>
  <w:style w:type="paragraph" w:styleId="11">
    <w:name w:val="footer"/>
    <w:basedOn w:val="1"/>
    <w:link w:val="31"/>
    <w:qFormat/>
    <w:uiPriority w:val="99"/>
    <w:pPr>
      <w:tabs>
        <w:tab w:val="center" w:pos="4153"/>
        <w:tab w:val="right" w:pos="8306"/>
      </w:tabs>
      <w:snapToGrid w:val="0"/>
      <w:jc w:val="left"/>
    </w:pPr>
    <w:rPr>
      <w:sz w:val="18"/>
      <w:szCs w:val="18"/>
    </w:rPr>
  </w:style>
  <w:style w:type="paragraph" w:styleId="12">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link w:val="32"/>
    <w:semiHidden/>
    <w:qFormat/>
    <w:uiPriority w:val="99"/>
    <w:pPr>
      <w:snapToGrid w:val="0"/>
      <w:jc w:val="left"/>
    </w:pPr>
    <w:rPr>
      <w:rFonts w:eastAsia="宋体"/>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8"/>
    <w:next w:val="8"/>
    <w:link w:val="57"/>
    <w:semiHidden/>
    <w:qFormat/>
    <w:uiPriority w:val="99"/>
    <w:rPr>
      <w:rFonts w:ascii="Calibri" w:hAnsi="Calibri" w:eastAsia="华文仿宋" w:cs="Calibri"/>
      <w:b/>
      <w:bCs/>
    </w:r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8">
    <w:name w:val="Table Contemporary"/>
    <w:basedOn w:val="16"/>
    <w:qFormat/>
    <w:uiPriority w:val="99"/>
    <w:pPr>
      <w:widowControl w:val="0"/>
      <w:jc w:val="both"/>
    </w:pPr>
    <w:tblPr>
      <w:tblBorders>
        <w:insideH w:val="single" w:color="FFFFFF" w:sz="18" w:space="0"/>
        <w:insideV w:val="single" w:color="FFFFFF" w:sz="18" w:space="0"/>
      </w:tblBorders>
      <w:tblLayout w:type="fixed"/>
    </w:tblPr>
    <w:tblStylePr w:type="firstRow">
      <w:rPr>
        <w:rFonts w:cs="Times New Roman"/>
        <w:b/>
        <w:bCs/>
        <w:color w:val="auto"/>
      </w:rPr>
      <w:tblPr>
        <w:tblLayout w:type="fixed"/>
      </w:tblPr>
      <w:tcPr>
        <w:tcBorders>
          <w:tl2br w:val="nil"/>
          <w:tr2bl w:val="nil"/>
        </w:tcBorders>
        <w:shd w:val="pct20" w:color="000000" w:fill="FFFFFF"/>
      </w:tcPr>
    </w:tblStylePr>
    <w:tblStylePr w:type="band1Horz">
      <w:rPr>
        <w:rFonts w:cs="Times New Roman"/>
        <w:color w:val="auto"/>
      </w:rPr>
      <w:tblPr>
        <w:tblLayout w:type="fixed"/>
      </w:tblPr>
      <w:tcPr>
        <w:tcBorders>
          <w:tl2br w:val="nil"/>
          <w:tr2bl w:val="nil"/>
        </w:tcBorders>
        <w:shd w:val="pct5" w:color="000000" w:fill="FFFFFF"/>
      </w:tcPr>
    </w:tblStylePr>
    <w:tblStylePr w:type="band2Horz">
      <w:rPr>
        <w:rFonts w:cs="Times New Roman"/>
        <w:color w:val="auto"/>
      </w:rPr>
      <w:tblPr>
        <w:tblLayout w:type="fixed"/>
      </w:tblPr>
      <w:tcPr>
        <w:tcBorders>
          <w:tl2br w:val="nil"/>
          <w:tr2bl w:val="nil"/>
        </w:tcBorders>
        <w:shd w:val="pct20" w:color="000000" w:fill="FFFFFF"/>
      </w:tcPr>
    </w:tblStylePr>
  </w:style>
  <w:style w:type="table" w:styleId="19">
    <w:name w:val="Table Columns 3"/>
    <w:basedOn w:val="16"/>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op w:val="single" w:color="00008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10" w:color="000000" w:fill="FFFFFF"/>
      </w:tcPr>
    </w:tblStylePr>
    <w:tblStylePr w:type="neCell">
      <w:rPr>
        <w:rFonts w:cs="Times New Roman"/>
        <w:b/>
        <w:bCs/>
      </w:rPr>
      <w:tblPr>
        <w:tblLayout w:type="fixed"/>
      </w:tblPr>
      <w:tcPr>
        <w:tcBorders>
          <w:tl2br w:val="nil"/>
          <w:tr2bl w:val="nil"/>
        </w:tcBorders>
      </w:tcPr>
    </w:tblStylePr>
  </w:style>
  <w:style w:type="table" w:styleId="20">
    <w:name w:val="Table Grid 8"/>
    <w:basedOn w:val="16"/>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blStylePr w:type="firstRow">
      <w:rPr>
        <w:rFonts w:cs="Times New Roman"/>
        <w:b/>
        <w:bCs/>
        <w:color w:val="FFFFFF"/>
      </w:rPr>
      <w:tblPr>
        <w:tblLayout w:type="fixed"/>
      </w:tblPr>
      <w:tcPr>
        <w:tcBorders>
          <w:tl2br w:val="nil"/>
          <w:tr2bl w:val="nil"/>
        </w:tcBorders>
        <w:shd w:val="solid" w:color="000080" w:fill="FFFFFF"/>
      </w:tcPr>
    </w:tblStylePr>
    <w:tblStylePr w:type="lastRow">
      <w:rPr>
        <w:rFonts w:cs="Times New Roman"/>
        <w:b/>
        <w:bCs/>
        <w:color w:val="auto"/>
      </w:rPr>
      <w:tblPr>
        <w:tblLayout w:type="fixed"/>
      </w:tblPr>
      <w:tcPr>
        <w:tcBorders>
          <w:tl2br w:val="nil"/>
          <w:tr2bl w:val="nil"/>
        </w:tcBorders>
      </w:tcPr>
    </w:tblStylePr>
    <w:tblStylePr w:type="lastCol">
      <w:rPr>
        <w:rFonts w:cs="Times New Roman"/>
        <w:b/>
        <w:bCs/>
        <w:color w:val="auto"/>
      </w:rPr>
      <w:tblPr>
        <w:tblLayout w:type="fixed"/>
      </w:tblPr>
      <w:tcPr>
        <w:tcBorders>
          <w:tl2br w:val="nil"/>
          <w:tr2bl w:val="nil"/>
        </w:tcBorders>
      </w:tcPr>
    </w:tblStylePr>
  </w:style>
  <w:style w:type="character" w:styleId="22">
    <w:name w:val="Strong"/>
    <w:qFormat/>
    <w:uiPriority w:val="99"/>
    <w:rPr>
      <w:rFonts w:cs="Times New Roman"/>
      <w:b/>
      <w:bCs/>
    </w:rPr>
  </w:style>
  <w:style w:type="character" w:styleId="23">
    <w:name w:val="Hyperlink"/>
    <w:qFormat/>
    <w:uiPriority w:val="99"/>
    <w:rPr>
      <w:rFonts w:cs="Times New Roman"/>
      <w:color w:val="0000FF"/>
      <w:u w:val="single"/>
    </w:rPr>
  </w:style>
  <w:style w:type="character" w:styleId="24">
    <w:name w:val="annotation reference"/>
    <w:semiHidden/>
    <w:qFormat/>
    <w:uiPriority w:val="99"/>
    <w:rPr>
      <w:rFonts w:cs="Times New Roman"/>
      <w:sz w:val="21"/>
      <w:szCs w:val="21"/>
    </w:rPr>
  </w:style>
  <w:style w:type="character" w:styleId="25">
    <w:name w:val="footnote reference"/>
    <w:semiHidden/>
    <w:qFormat/>
    <w:uiPriority w:val="99"/>
    <w:rPr>
      <w:rFonts w:cs="Times New Roman"/>
      <w:vertAlign w:val="superscript"/>
    </w:rPr>
  </w:style>
  <w:style w:type="character" w:customStyle="1" w:styleId="26">
    <w:name w:val="标题 1 Char"/>
    <w:link w:val="2"/>
    <w:qFormat/>
    <w:locked/>
    <w:uiPriority w:val="99"/>
    <w:rPr>
      <w:rFonts w:ascii="Calibri" w:hAnsi="Calibri" w:cs="Calibri"/>
      <w:b/>
      <w:bCs/>
      <w:kern w:val="44"/>
      <w:sz w:val="44"/>
      <w:szCs w:val="44"/>
    </w:rPr>
  </w:style>
  <w:style w:type="character" w:customStyle="1" w:styleId="27">
    <w:name w:val="标题 2 Char"/>
    <w:link w:val="3"/>
    <w:qFormat/>
    <w:locked/>
    <w:uiPriority w:val="99"/>
    <w:rPr>
      <w:rFonts w:ascii="Arial" w:hAnsi="Arial" w:eastAsia="黑体" w:cs="Arial"/>
      <w:b/>
      <w:bCs/>
      <w:kern w:val="2"/>
      <w:sz w:val="32"/>
      <w:szCs w:val="32"/>
    </w:rPr>
  </w:style>
  <w:style w:type="character" w:customStyle="1" w:styleId="28">
    <w:name w:val="标题 3 Char"/>
    <w:link w:val="4"/>
    <w:qFormat/>
    <w:locked/>
    <w:uiPriority w:val="99"/>
    <w:rPr>
      <w:rFonts w:cs="Times New Roman"/>
      <w:b/>
      <w:bCs/>
      <w:kern w:val="2"/>
      <w:sz w:val="32"/>
      <w:szCs w:val="32"/>
    </w:rPr>
  </w:style>
  <w:style w:type="character" w:customStyle="1" w:styleId="29">
    <w:name w:val="标题 4 Char"/>
    <w:link w:val="5"/>
    <w:semiHidden/>
    <w:qFormat/>
    <w:locked/>
    <w:uiPriority w:val="99"/>
    <w:rPr>
      <w:rFonts w:ascii="Cambria" w:hAnsi="Cambria" w:eastAsia="宋体" w:cs="Cambria"/>
      <w:b/>
      <w:bCs/>
      <w:kern w:val="2"/>
      <w:sz w:val="28"/>
      <w:szCs w:val="28"/>
    </w:rPr>
  </w:style>
  <w:style w:type="character" w:customStyle="1" w:styleId="30">
    <w:name w:val="页眉 Char"/>
    <w:link w:val="12"/>
    <w:semiHidden/>
    <w:qFormat/>
    <w:locked/>
    <w:uiPriority w:val="99"/>
    <w:rPr>
      <w:rFonts w:ascii="Calibri" w:hAnsi="Calibri" w:eastAsia="华文仿宋" w:cs="Calibri"/>
      <w:sz w:val="18"/>
      <w:szCs w:val="18"/>
    </w:rPr>
  </w:style>
  <w:style w:type="character" w:customStyle="1" w:styleId="31">
    <w:name w:val="页脚 Char"/>
    <w:link w:val="11"/>
    <w:qFormat/>
    <w:locked/>
    <w:uiPriority w:val="99"/>
    <w:rPr>
      <w:rFonts w:ascii="Calibri" w:hAnsi="Calibri" w:eastAsia="华文仿宋" w:cs="Calibri"/>
      <w:kern w:val="2"/>
      <w:sz w:val="18"/>
      <w:szCs w:val="18"/>
    </w:rPr>
  </w:style>
  <w:style w:type="character" w:customStyle="1" w:styleId="32">
    <w:name w:val="脚注文本 Char"/>
    <w:link w:val="13"/>
    <w:semiHidden/>
    <w:qFormat/>
    <w:locked/>
    <w:uiPriority w:val="99"/>
    <w:rPr>
      <w:rFonts w:ascii="Calibri" w:hAnsi="Calibri" w:eastAsia="宋体" w:cs="Calibri"/>
      <w:kern w:val="2"/>
      <w:sz w:val="18"/>
      <w:szCs w:val="18"/>
    </w:rPr>
  </w:style>
  <w:style w:type="table" w:customStyle="1" w:styleId="33">
    <w:name w:val="2桔黄色"/>
    <w:basedOn w:val="18"/>
    <w:qFormat/>
    <w:uiPriority w:val="99"/>
    <w:tcPr>
      <w:shd w:val="clear" w:color="auto" w:fill="B1E5FD"/>
    </w:tcPr>
    <w:tblStylePr w:type="firstRow">
      <w:rPr>
        <w:rFonts w:eastAsia="Times New Roman" w:cs="Times New Roman"/>
        <w:b/>
        <w:bCs/>
        <w:i w:val="0"/>
        <w:iCs w:val="0"/>
        <w:color w:val="auto"/>
      </w:rPr>
      <w:tcPr>
        <w:tcBorders>
          <w:tl2br w:val="nil"/>
          <w:tr2bl w:val="nil"/>
        </w:tcBorders>
        <w:shd w:val="clear" w:color="auto" w:fill="FF7F00"/>
      </w:tcPr>
    </w:tblStylePr>
    <w:tblStylePr w:type="band1Vert">
      <w:rPr>
        <w:rFonts w:cs="Times New Roman"/>
      </w:rPr>
      <w:tcPr>
        <w:shd w:val="clear" w:color="auto" w:fill="FFBA75"/>
      </w:tcPr>
    </w:tblStylePr>
    <w:tblStylePr w:type="band2Vert">
      <w:rPr>
        <w:rFonts w:cs="Times New Roman"/>
      </w:rPr>
      <w:tcPr>
        <w:shd w:val="clear" w:color="auto" w:fill="FFDCB9"/>
      </w:tcPr>
    </w:tblStylePr>
    <w:tblStylePr w:type="band1Horz">
      <w:rPr>
        <w:rFonts w:cs="Times New Roman"/>
        <w:color w:val="auto"/>
      </w:rPr>
      <w:tcPr>
        <w:tcBorders>
          <w:tl2br w:val="nil"/>
          <w:tr2bl w:val="nil"/>
        </w:tcBorders>
        <w:shd w:val="clear" w:color="auto" w:fill="CCECFF"/>
      </w:tcPr>
    </w:tblStylePr>
    <w:tblStylePr w:type="band2Horz">
      <w:rPr>
        <w:rFonts w:cs="Times New Roman"/>
        <w:color w:val="auto"/>
      </w:rPr>
      <w:tcPr>
        <w:tcBorders>
          <w:tl2br w:val="nil"/>
          <w:tr2bl w:val="nil"/>
        </w:tcBorders>
        <w:shd w:val="clear" w:color="auto" w:fill="89D8FF"/>
      </w:tcPr>
    </w:tblStylePr>
  </w:style>
  <w:style w:type="character" w:customStyle="1" w:styleId="34">
    <w:name w:val="批注文字 Char"/>
    <w:link w:val="8"/>
    <w:qFormat/>
    <w:locked/>
    <w:uiPriority w:val="99"/>
    <w:rPr>
      <w:rFonts w:cs="Times New Roman"/>
      <w:kern w:val="2"/>
      <w:sz w:val="24"/>
      <w:szCs w:val="24"/>
    </w:rPr>
  </w:style>
  <w:style w:type="character" w:customStyle="1" w:styleId="35">
    <w:name w:val="批注框文本 Char"/>
    <w:link w:val="10"/>
    <w:qFormat/>
    <w:locked/>
    <w:uiPriority w:val="99"/>
    <w:rPr>
      <w:rFonts w:ascii="Calibri" w:hAnsi="Calibri" w:cs="Calibri"/>
      <w:kern w:val="2"/>
      <w:sz w:val="18"/>
      <w:szCs w:val="18"/>
    </w:rPr>
  </w:style>
  <w:style w:type="paragraph" w:customStyle="1" w:styleId="36">
    <w:name w:val="Body"/>
    <w:basedOn w:val="1"/>
    <w:link w:val="37"/>
    <w:qFormat/>
    <w:uiPriority w:val="99"/>
    <w:pPr>
      <w:widowControl/>
      <w:spacing w:before="120" w:after="120" w:line="360" w:lineRule="atLeast"/>
      <w:ind w:left="851"/>
    </w:pPr>
    <w:rPr>
      <w:rFonts w:ascii="Times New Roman" w:hAnsi="Times New Roman" w:eastAsia="宋体" w:cs="Times New Roman"/>
      <w:color w:val="000000"/>
      <w:kern w:val="0"/>
      <w:szCs w:val="20"/>
    </w:rPr>
  </w:style>
  <w:style w:type="character" w:customStyle="1" w:styleId="37">
    <w:name w:val="Body Char"/>
    <w:link w:val="36"/>
    <w:qFormat/>
    <w:locked/>
    <w:uiPriority w:val="99"/>
    <w:rPr>
      <w:color w:val="000000"/>
      <w:sz w:val="21"/>
    </w:rPr>
  </w:style>
  <w:style w:type="character" w:customStyle="1" w:styleId="38">
    <w:name w:val="正文文本 Char"/>
    <w:link w:val="9"/>
    <w:qFormat/>
    <w:locked/>
    <w:uiPriority w:val="99"/>
    <w:rPr>
      <w:rFonts w:cs="Times New Roman"/>
      <w:sz w:val="24"/>
      <w:szCs w:val="24"/>
    </w:rPr>
  </w:style>
  <w:style w:type="paragraph" w:styleId="39">
    <w:name w:val="List Paragraph"/>
    <w:basedOn w:val="1"/>
    <w:qFormat/>
    <w:uiPriority w:val="99"/>
    <w:pPr>
      <w:ind w:firstLine="420" w:firstLineChars="200"/>
    </w:pPr>
    <w:rPr>
      <w:rFonts w:ascii="Times New Roman" w:hAnsi="Times New Roman" w:cs="Times New Roman"/>
    </w:rPr>
  </w:style>
  <w:style w:type="paragraph" w:customStyle="1" w:styleId="40">
    <w:name w:val="标题1"/>
    <w:basedOn w:val="2"/>
    <w:qFormat/>
    <w:uiPriority w:val="99"/>
    <w:pPr>
      <w:keepLines w:val="0"/>
      <w:pageBreakBefore/>
      <w:widowControl/>
      <w:numPr>
        <w:ilvl w:val="0"/>
        <w:numId w:val="1"/>
      </w:numPr>
      <w:pBdr>
        <w:bottom w:val="single" w:color="auto" w:sz="8" w:space="6"/>
      </w:pBdr>
      <w:spacing w:before="720" w:after="240" w:line="240" w:lineRule="auto"/>
      <w:ind w:left="420" w:hanging="420"/>
      <w:jc w:val="left"/>
    </w:pPr>
    <w:rPr>
      <w:rFonts w:ascii="Arial" w:hAnsi="Arial" w:cs="Arial"/>
      <w:smallCaps/>
      <w:spacing w:val="20"/>
      <w:kern w:val="20"/>
      <w:sz w:val="36"/>
      <w:szCs w:val="36"/>
    </w:rPr>
  </w:style>
  <w:style w:type="paragraph" w:customStyle="1" w:styleId="41">
    <w:name w:val="标题2"/>
    <w:basedOn w:val="3"/>
    <w:link w:val="42"/>
    <w:qFormat/>
    <w:uiPriority w:val="99"/>
    <w:pPr>
      <w:keepLines w:val="0"/>
      <w:widowControl/>
      <w:numPr>
        <w:ilvl w:val="1"/>
        <w:numId w:val="1"/>
      </w:numPr>
      <w:spacing w:before="320" w:after="160" w:line="240" w:lineRule="auto"/>
      <w:jc w:val="left"/>
    </w:pPr>
    <w:rPr>
      <w:rFonts w:eastAsia="宋体" w:cs="Times New Roman"/>
      <w:bCs w:val="0"/>
      <w:spacing w:val="20"/>
      <w:kern w:val="28"/>
      <w:sz w:val="21"/>
      <w:szCs w:val="20"/>
    </w:rPr>
  </w:style>
  <w:style w:type="character" w:customStyle="1" w:styleId="42">
    <w:name w:val="标题2 Char"/>
    <w:link w:val="41"/>
    <w:qFormat/>
    <w:locked/>
    <w:uiPriority w:val="99"/>
    <w:rPr>
      <w:rFonts w:ascii="Arial" w:hAnsi="Arial"/>
      <w:b/>
      <w:spacing w:val="20"/>
      <w:kern w:val="28"/>
      <w:sz w:val="21"/>
    </w:rPr>
  </w:style>
  <w:style w:type="paragraph" w:customStyle="1" w:styleId="43">
    <w:name w:val="标题3"/>
    <w:basedOn w:val="4"/>
    <w:qFormat/>
    <w:uiPriority w:val="99"/>
    <w:pPr>
      <w:keepLines w:val="0"/>
      <w:widowControl/>
      <w:numPr>
        <w:ilvl w:val="2"/>
        <w:numId w:val="1"/>
      </w:numPr>
      <w:spacing w:before="240" w:after="120" w:line="240" w:lineRule="auto"/>
      <w:jc w:val="left"/>
    </w:pPr>
    <w:rPr>
      <w:rFonts w:ascii="Arial" w:hAnsi="Arial" w:cs="Arial"/>
      <w:spacing w:val="20"/>
      <w:kern w:val="0"/>
      <w:sz w:val="24"/>
      <w:szCs w:val="24"/>
      <w:lang w:val="pt-BR"/>
    </w:rPr>
  </w:style>
  <w:style w:type="paragraph" w:customStyle="1" w:styleId="44">
    <w:name w:val="标题4"/>
    <w:basedOn w:val="5"/>
    <w:qFormat/>
    <w:uiPriority w:val="99"/>
    <w:pPr>
      <w:keepNext w:val="0"/>
      <w:keepLines w:val="0"/>
      <w:widowControl/>
      <w:numPr>
        <w:ilvl w:val="3"/>
        <w:numId w:val="1"/>
      </w:numPr>
      <w:spacing w:before="120" w:after="0" w:line="240" w:lineRule="auto"/>
      <w:ind w:left="1680" w:hanging="420"/>
      <w:jc w:val="left"/>
    </w:pPr>
    <w:rPr>
      <w:rFonts w:ascii="Arial" w:hAnsi="Arial" w:cs="Arial"/>
      <w:kern w:val="0"/>
      <w:sz w:val="21"/>
      <w:szCs w:val="21"/>
      <w:lang w:val="pt-BR" w:eastAsia="en-US"/>
    </w:rPr>
  </w:style>
  <w:style w:type="paragraph" w:customStyle="1" w:styleId="45">
    <w:name w:val="正文编号●"/>
    <w:basedOn w:val="1"/>
    <w:qFormat/>
    <w:uiPriority w:val="99"/>
    <w:pPr>
      <w:widowControl/>
      <w:tabs>
        <w:tab w:val="left" w:pos="1701"/>
      </w:tabs>
      <w:snapToGrid w:val="0"/>
      <w:spacing w:before="120" w:after="120" w:line="360" w:lineRule="atLeast"/>
      <w:ind w:left="2336" w:hanging="465"/>
    </w:pPr>
    <w:rPr>
      <w:rFonts w:ascii="Times New Roman" w:hAnsi="Times New Roman" w:cs="Times New Roman"/>
    </w:rPr>
  </w:style>
  <w:style w:type="paragraph" w:customStyle="1" w:styleId="46">
    <w:name w:val="我的正文"/>
    <w:link w:val="47"/>
    <w:qFormat/>
    <w:uiPriority w:val="99"/>
    <w:pPr>
      <w:widowControl w:val="0"/>
      <w:snapToGrid w:val="0"/>
      <w:spacing w:beforeLines="50" w:afterLines="50"/>
      <w:ind w:left="141" w:leftChars="67" w:right="210" w:rightChars="100" w:firstLine="606" w:firstLineChars="202"/>
    </w:pPr>
    <w:rPr>
      <w:rFonts w:ascii="仿宋" w:hAnsi="仿宋" w:eastAsia="仿宋" w:cs="Times New Roman"/>
      <w:color w:val="FF0000"/>
      <w:kern w:val="2"/>
      <w:sz w:val="22"/>
      <w:szCs w:val="22"/>
      <w:lang w:val="en-US" w:eastAsia="zh-CN" w:bidi="ar-SA"/>
    </w:rPr>
  </w:style>
  <w:style w:type="character" w:customStyle="1" w:styleId="47">
    <w:name w:val="我的正文 Char"/>
    <w:link w:val="46"/>
    <w:qFormat/>
    <w:locked/>
    <w:uiPriority w:val="99"/>
    <w:rPr>
      <w:rFonts w:ascii="仿宋" w:hAnsi="仿宋" w:eastAsia="仿宋"/>
      <w:color w:val="FF0000"/>
      <w:kern w:val="2"/>
      <w:sz w:val="22"/>
    </w:rPr>
  </w:style>
  <w:style w:type="paragraph" w:customStyle="1" w:styleId="48">
    <w:name w:val="Bullet"/>
    <w:basedOn w:val="1"/>
    <w:qFormat/>
    <w:uiPriority w:val="99"/>
    <w:pPr>
      <w:widowControl/>
      <w:numPr>
        <w:ilvl w:val="0"/>
        <w:numId w:val="2"/>
      </w:numPr>
      <w:adjustRightInd w:val="0"/>
      <w:spacing w:before="60" w:after="60" w:line="288" w:lineRule="auto"/>
    </w:pPr>
    <w:rPr>
      <w:rFonts w:ascii="Arial" w:hAnsi="Arial" w:eastAsia="宋体" w:cs="Arial"/>
      <w:kern w:val="0"/>
      <w:lang w:eastAsia="en-US"/>
    </w:rPr>
  </w:style>
  <w:style w:type="paragraph" w:customStyle="1" w:styleId="49">
    <w:name w:val="表头文字"/>
    <w:basedOn w:val="1"/>
    <w:link w:val="50"/>
    <w:qFormat/>
    <w:uiPriority w:val="99"/>
    <w:pPr>
      <w:keepNext/>
      <w:widowControl/>
      <w:spacing w:before="40" w:after="40"/>
      <w:jc w:val="center"/>
    </w:pPr>
    <w:rPr>
      <w:rFonts w:ascii="Arial" w:hAnsi="Arial" w:eastAsia="宋体" w:cs="Times New Roman"/>
      <w:b/>
      <w:sz w:val="18"/>
      <w:szCs w:val="20"/>
    </w:rPr>
  </w:style>
  <w:style w:type="character" w:customStyle="1" w:styleId="50">
    <w:name w:val="表头文字 Char"/>
    <w:link w:val="49"/>
    <w:qFormat/>
    <w:locked/>
    <w:uiPriority w:val="99"/>
    <w:rPr>
      <w:rFonts w:ascii="Arial" w:hAnsi="Arial"/>
      <w:b/>
      <w:kern w:val="2"/>
      <w:sz w:val="18"/>
    </w:rPr>
  </w:style>
  <w:style w:type="paragraph" w:customStyle="1" w:styleId="51">
    <w:name w:val="表格内文字"/>
    <w:basedOn w:val="1"/>
    <w:link w:val="56"/>
    <w:qFormat/>
    <w:uiPriority w:val="99"/>
    <w:pPr>
      <w:keepLines/>
      <w:widowControl/>
      <w:spacing w:before="40" w:after="40"/>
      <w:textAlignment w:val="top"/>
    </w:pPr>
    <w:rPr>
      <w:rFonts w:ascii="Arial" w:hAnsi="Arial" w:eastAsia="宋体" w:cs="Times New Roman"/>
      <w:sz w:val="18"/>
      <w:szCs w:val="20"/>
    </w:rPr>
  </w:style>
  <w:style w:type="paragraph" w:customStyle="1" w:styleId="52">
    <w:name w:val="样式2"/>
    <w:basedOn w:val="6"/>
    <w:qFormat/>
    <w:uiPriority w:val="99"/>
    <w:pPr>
      <w:keepNext/>
      <w:widowControl/>
      <w:numPr>
        <w:ilvl w:val="0"/>
        <w:numId w:val="3"/>
      </w:numPr>
      <w:spacing w:before="360" w:after="120"/>
      <w:ind w:left="840" w:hanging="420"/>
      <w:jc w:val="left"/>
    </w:pPr>
    <w:rPr>
      <w:rFonts w:ascii="Arial" w:hAnsi="Arial" w:eastAsia="宋体" w:cs="Arial"/>
      <w:kern w:val="0"/>
      <w:sz w:val="18"/>
      <w:szCs w:val="18"/>
      <w:lang w:eastAsia="en-US"/>
    </w:rPr>
  </w:style>
  <w:style w:type="paragraph" w:customStyle="1" w:styleId="53">
    <w:name w:val="样式17"/>
    <w:basedOn w:val="6"/>
    <w:qFormat/>
    <w:uiPriority w:val="99"/>
    <w:pPr>
      <w:widowControl/>
      <w:numPr>
        <w:ilvl w:val="0"/>
        <w:numId w:val="4"/>
      </w:numPr>
      <w:tabs>
        <w:tab w:val="left" w:pos="2000"/>
      </w:tabs>
      <w:spacing w:before="120" w:after="360"/>
      <w:ind w:left="420" w:hanging="420"/>
      <w:jc w:val="center"/>
    </w:pPr>
    <w:rPr>
      <w:rFonts w:ascii="Arial" w:hAnsi="Arial" w:eastAsia="宋体" w:cs="Arial"/>
      <w:kern w:val="0"/>
      <w:sz w:val="18"/>
      <w:szCs w:val="18"/>
      <w:lang w:eastAsia="en-US"/>
    </w:rPr>
  </w:style>
  <w:style w:type="paragraph" w:customStyle="1" w:styleId="54">
    <w:name w:val="图位"/>
    <w:basedOn w:val="36"/>
    <w:qFormat/>
    <w:uiPriority w:val="99"/>
    <w:pPr>
      <w:tabs>
        <w:tab w:val="left" w:pos="1247"/>
      </w:tabs>
      <w:spacing w:after="0" w:line="288" w:lineRule="auto"/>
      <w:ind w:left="1247"/>
      <w:jc w:val="center"/>
    </w:pPr>
    <w:rPr>
      <w:rFonts w:ascii="Arial" w:hAnsi="Arial" w:cs="Arial"/>
      <w:color w:val="auto"/>
      <w:lang w:val="pt-BR" w:eastAsia="en-US"/>
    </w:rPr>
  </w:style>
  <w:style w:type="paragraph" w:customStyle="1" w:styleId="55">
    <w:name w:val="Body1!"/>
    <w:basedOn w:val="36"/>
    <w:qFormat/>
    <w:uiPriority w:val="99"/>
    <w:pPr>
      <w:tabs>
        <w:tab w:val="left" w:pos="1247"/>
      </w:tabs>
      <w:spacing w:after="0" w:line="288" w:lineRule="auto"/>
      <w:ind w:left="1247" w:firstLine="200" w:firstLineChars="200"/>
    </w:pPr>
    <w:rPr>
      <w:rFonts w:ascii="Arial" w:hAnsi="Arial" w:cs="Arial"/>
      <w:color w:val="auto"/>
    </w:rPr>
  </w:style>
  <w:style w:type="character" w:customStyle="1" w:styleId="56">
    <w:name w:val="表格内文字 Char"/>
    <w:link w:val="51"/>
    <w:qFormat/>
    <w:locked/>
    <w:uiPriority w:val="99"/>
    <w:rPr>
      <w:rFonts w:ascii="Arial" w:hAnsi="Arial"/>
      <w:kern w:val="2"/>
      <w:sz w:val="18"/>
    </w:rPr>
  </w:style>
  <w:style w:type="character" w:customStyle="1" w:styleId="57">
    <w:name w:val="批注主题 Char"/>
    <w:link w:val="15"/>
    <w:qFormat/>
    <w:locked/>
    <w:uiPriority w:val="99"/>
    <w:rPr>
      <w:rFonts w:ascii="Calibri" w:hAnsi="Calibri" w:eastAsia="华文仿宋" w:cs="Calibri"/>
      <w:b/>
      <w:bCs/>
      <w:kern w:val="2"/>
      <w:sz w:val="22"/>
      <w:szCs w:val="22"/>
    </w:rPr>
  </w:style>
  <w:style w:type="paragraph" w:customStyle="1" w:styleId="58">
    <w:name w:val="表内文字"/>
    <w:basedOn w:val="1"/>
    <w:link w:val="59"/>
    <w:qFormat/>
    <w:uiPriority w:val="99"/>
    <w:pPr>
      <w:jc w:val="left"/>
    </w:pPr>
    <w:rPr>
      <w:rFonts w:ascii="Arial Unicode MS" w:hAnsi="Arial Unicode MS" w:eastAsia="微软雅黑" w:cs="Arial Unicode MS"/>
      <w:kern w:val="0"/>
      <w:sz w:val="18"/>
      <w:szCs w:val="18"/>
    </w:rPr>
  </w:style>
  <w:style w:type="character" w:customStyle="1" w:styleId="59">
    <w:name w:val="表内文字 Char"/>
    <w:link w:val="58"/>
    <w:qFormat/>
    <w:locked/>
    <w:uiPriority w:val="99"/>
    <w:rPr>
      <w:rFonts w:ascii="Arial Unicode MS" w:hAnsi="Arial Unicode MS" w:eastAsia="微软雅黑" w:cs="Arial Unicode MS"/>
      <w:sz w:val="18"/>
      <w:szCs w:val="18"/>
    </w:rPr>
  </w:style>
  <w:style w:type="paragraph" w:customStyle="1" w:styleId="60">
    <w:name w:val="修订1"/>
    <w:hidden/>
    <w:semiHidden/>
    <w:qFormat/>
    <w:uiPriority w:val="99"/>
    <w:rPr>
      <w:rFonts w:ascii="Calibri" w:hAnsi="Calibri" w:eastAsia="华文仿宋" w:cs="Calibri"/>
      <w:kern w:val="2"/>
      <w:sz w:val="21"/>
      <w:szCs w:val="21"/>
      <w:lang w:val="en-US" w:eastAsia="zh-CN" w:bidi="ar-SA"/>
    </w:rPr>
  </w:style>
  <w:style w:type="character" w:customStyle="1" w:styleId="61">
    <w:name w:val="文档结构图 Char"/>
    <w:link w:val="7"/>
    <w:qFormat/>
    <w:locked/>
    <w:uiPriority w:val="99"/>
    <w:rPr>
      <w:rFonts w:ascii="宋体" w:hAnsi="Calibri" w:cs="宋体"/>
      <w:kern w:val="2"/>
      <w:sz w:val="18"/>
      <w:szCs w:val="18"/>
    </w:rPr>
  </w:style>
  <w:style w:type="paragraph" w:customStyle="1" w:styleId="62">
    <w:name w:val="正文1"/>
    <w:basedOn w:val="1"/>
    <w:link w:val="63"/>
    <w:qFormat/>
    <w:uiPriority w:val="99"/>
    <w:pPr>
      <w:snapToGrid w:val="0"/>
      <w:spacing w:line="560" w:lineRule="exact"/>
      <w:ind w:firstLine="600" w:firstLineChars="200"/>
      <w:jc w:val="left"/>
    </w:pPr>
    <w:rPr>
      <w:rFonts w:ascii="仿宋_GB2312" w:hAnsi="宋体" w:eastAsia="仿宋_GB2312" w:cs="仿宋_GB2312"/>
      <w:kern w:val="0"/>
      <w:sz w:val="30"/>
      <w:szCs w:val="30"/>
    </w:rPr>
  </w:style>
  <w:style w:type="character" w:customStyle="1" w:styleId="63">
    <w:name w:val="正文1 Char"/>
    <w:link w:val="62"/>
    <w:qFormat/>
    <w:locked/>
    <w:uiPriority w:val="99"/>
    <w:rPr>
      <w:rFonts w:ascii="仿宋_GB2312" w:hAnsi="宋体" w:eastAsia="仿宋_GB2312" w:cs="仿宋_GB2312"/>
      <w:sz w:val="30"/>
      <w:szCs w:val="30"/>
    </w:rPr>
  </w:style>
  <w:style w:type="paragraph" w:customStyle="1" w:styleId="64">
    <w:name w:val="event"/>
    <w:basedOn w:val="1"/>
    <w:link w:val="65"/>
    <w:qFormat/>
    <w:uiPriority w:val="99"/>
    <w:pPr>
      <w:ind w:firstLine="482"/>
      <w:outlineLvl w:val="0"/>
    </w:pPr>
    <w:rPr>
      <w:rFonts w:ascii="仿宋" w:hAnsi="仿宋" w:eastAsia="仿宋" w:cs="Times New Roman"/>
      <w:sz w:val="28"/>
      <w:szCs w:val="20"/>
    </w:rPr>
  </w:style>
  <w:style w:type="character" w:customStyle="1" w:styleId="65">
    <w:name w:val="event Char"/>
    <w:link w:val="64"/>
    <w:qFormat/>
    <w:locked/>
    <w:uiPriority w:val="99"/>
    <w:rPr>
      <w:rFonts w:ascii="仿宋" w:hAnsi="仿宋" w:eastAsia="仿宋"/>
      <w:kern w:val="2"/>
      <w:sz w:val="28"/>
    </w:rPr>
  </w:style>
  <w:style w:type="paragraph" w:customStyle="1" w:styleId="66">
    <w:name w:val="table样式1"/>
    <w:basedOn w:val="1"/>
    <w:link w:val="67"/>
    <w:qFormat/>
    <w:uiPriority w:val="99"/>
    <w:pPr>
      <w:jc w:val="center"/>
    </w:pPr>
    <w:rPr>
      <w:rFonts w:ascii="宋体" w:hAnsi="宋体" w:eastAsia="宋体" w:cs="宋体"/>
      <w:sz w:val="24"/>
      <w:szCs w:val="24"/>
    </w:rPr>
  </w:style>
  <w:style w:type="character" w:customStyle="1" w:styleId="67">
    <w:name w:val="table样式1 Char"/>
    <w:link w:val="66"/>
    <w:qFormat/>
    <w:locked/>
    <w:uiPriority w:val="99"/>
    <w:rPr>
      <w:rFonts w:ascii="宋体" w:hAnsi="宋体" w:eastAsia="宋体" w:cs="宋体"/>
      <w:kern w:val="2"/>
      <w:sz w:val="24"/>
      <w:szCs w:val="24"/>
    </w:rPr>
  </w:style>
  <w:style w:type="character" w:customStyle="1" w:styleId="68">
    <w:name w:val="规划正文 Char"/>
    <w:link w:val="69"/>
    <w:qFormat/>
    <w:locked/>
    <w:uiPriority w:val="99"/>
    <w:rPr>
      <w:rFonts w:ascii="仿宋_GB2312" w:hAnsi="仿宋_GB2312" w:eastAsia="仿宋_GB2312"/>
      <w:sz w:val="32"/>
    </w:rPr>
  </w:style>
  <w:style w:type="paragraph" w:customStyle="1" w:styleId="69">
    <w:name w:val="规划正文"/>
    <w:basedOn w:val="1"/>
    <w:link w:val="68"/>
    <w:qFormat/>
    <w:uiPriority w:val="99"/>
    <w:pPr>
      <w:ind w:firstLine="430" w:firstLineChars="200"/>
    </w:pPr>
    <w:rPr>
      <w:rFonts w:ascii="仿宋_GB2312" w:hAnsi="仿宋_GB2312" w:eastAsia="仿宋_GB2312" w:cs="Times New Roman"/>
      <w:kern w:val="0"/>
      <w:sz w:val="32"/>
      <w:szCs w:val="20"/>
    </w:rPr>
  </w:style>
  <w:style w:type="paragraph" w:customStyle="1" w:styleId="70">
    <w:name w:val="ok"/>
    <w:basedOn w:val="62"/>
    <w:link w:val="71"/>
    <w:qFormat/>
    <w:uiPriority w:val="99"/>
  </w:style>
  <w:style w:type="character" w:customStyle="1" w:styleId="71">
    <w:name w:val="ok Char"/>
    <w:basedOn w:val="63"/>
    <w:link w:val="70"/>
    <w:qFormat/>
    <w:locked/>
    <w:uiPriority w:val="99"/>
    <w:rPr>
      <w:rFonts w:ascii="仿宋_GB2312" w:hAnsi="宋体" w:eastAsia="仿宋_GB2312" w:cs="仿宋_GB2312"/>
      <w:sz w:val="30"/>
      <w:szCs w:val="30"/>
    </w:rPr>
  </w:style>
  <w:style w:type="paragraph" w:customStyle="1" w:styleId="72">
    <w:name w:val="Pa4"/>
    <w:basedOn w:val="1"/>
    <w:next w:val="1"/>
    <w:qFormat/>
    <w:uiPriority w:val="99"/>
    <w:pPr>
      <w:autoSpaceDE w:val="0"/>
      <w:autoSpaceDN w:val="0"/>
      <w:adjustRightInd w:val="0"/>
      <w:spacing w:line="301" w:lineRule="atLeast"/>
      <w:jc w:val="left"/>
    </w:pPr>
    <w:rPr>
      <w:rFonts w:ascii="PROKST+FZFSJW--GB1-0" w:hAnsi="Times New Roman" w:eastAsia="PROKST+FZFSJW--GB1-0" w:cs="PROKST+FZFSJW--GB1-0"/>
      <w:kern w:val="0"/>
      <w:sz w:val="24"/>
      <w:szCs w:val="24"/>
    </w:rPr>
  </w:style>
  <w:style w:type="paragraph" w:customStyle="1" w:styleId="73">
    <w:name w:val="ol"/>
    <w:basedOn w:val="1"/>
    <w:link w:val="74"/>
    <w:qFormat/>
    <w:uiPriority w:val="99"/>
    <w:pPr>
      <w:snapToGrid w:val="0"/>
      <w:spacing w:line="480" w:lineRule="exact"/>
      <w:ind w:firstLine="560" w:firstLineChars="200"/>
    </w:pPr>
    <w:rPr>
      <w:rFonts w:ascii="仿宋_GB2312" w:hAnsi="仿宋_GB2312" w:eastAsia="仿宋_GB2312" w:cs="仿宋_GB2312"/>
      <w:kern w:val="0"/>
      <w:sz w:val="28"/>
      <w:szCs w:val="28"/>
    </w:rPr>
  </w:style>
  <w:style w:type="character" w:customStyle="1" w:styleId="74">
    <w:name w:val="ol Char"/>
    <w:link w:val="73"/>
    <w:qFormat/>
    <w:locked/>
    <w:uiPriority w:val="99"/>
    <w:rPr>
      <w:rFonts w:ascii="仿宋_GB2312" w:hAnsi="仿宋_GB2312" w:eastAsia="仿宋_GB2312" w:cs="仿宋_GB2312"/>
      <w:sz w:val="28"/>
      <w:szCs w:val="28"/>
    </w:rPr>
  </w:style>
  <w:style w:type="character" w:customStyle="1" w:styleId="75">
    <w:name w:val="apple-converted-space"/>
    <w:qFormat/>
    <w:uiPriority w:val="99"/>
    <w:rPr>
      <w:rFonts w:cs="Times New Roman"/>
    </w:rPr>
  </w:style>
  <w:style w:type="character" w:customStyle="1" w:styleId="76">
    <w:name w:val="5-内文 Char"/>
    <w:link w:val="77"/>
    <w:qFormat/>
    <w:locked/>
    <w:uiPriority w:val="99"/>
    <w:rPr>
      <w:rFonts w:eastAsia="仿宋_GB2312"/>
      <w:sz w:val="28"/>
    </w:rPr>
  </w:style>
  <w:style w:type="paragraph" w:customStyle="1" w:styleId="77">
    <w:name w:val="5-内文"/>
    <w:basedOn w:val="1"/>
    <w:link w:val="76"/>
    <w:qFormat/>
    <w:uiPriority w:val="99"/>
    <w:pPr>
      <w:spacing w:beforeLines="25" w:afterLines="25" w:line="300" w:lineRule="auto"/>
      <w:ind w:firstLine="200" w:firstLineChars="200"/>
    </w:pPr>
    <w:rPr>
      <w:rFonts w:ascii="Times New Roman" w:hAnsi="Times New Roman" w:eastAsia="仿宋_GB2312" w:cs="Times New Roman"/>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2903</Words>
  <Characters>16553</Characters>
  <Lines>137</Lines>
  <Paragraphs>38</Paragraphs>
  <TotalTime>54</TotalTime>
  <ScaleCrop>false</ScaleCrop>
  <LinksUpToDate>false</LinksUpToDate>
  <CharactersWithSpaces>19418</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2016-03-09T07:12:00Z</dcterms:created>
  <dc:creator>Administrator</dc:creator>
  <cp:lastModifiedBy>1</cp:lastModifiedBy>
  <cp:lastPrinted>2012-12-11T02:10:00Z</cp:lastPrinted>
  <dcterms:modified xsi:type="dcterms:W3CDTF">2019-04-11T02:20:07Z</dcterms:modified>
  <dc:title>2016年全国职业院校技能大赛高职组</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