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9"/>
        <w:tabs>
          <w:tab w:val="right" w:leader="dot" w:pos="8296"/>
        </w:tabs>
        <w:jc w:val="center"/>
        <w:rPr>
          <w:rFonts w:ascii="Arial Narrow" w:hAnsi="Arial Narrow" w:eastAsia="黑体"/>
          <w:b/>
          <w:sz w:val="36"/>
          <w:szCs w:val="36"/>
        </w:rPr>
      </w:pPr>
      <w:sdt>
        <w:sdtPr>
          <w:rPr>
            <w:rFonts w:hint="eastAsia" w:ascii="黑体" w:hAnsi="黑体" w:eastAsia="黑体" w:cstheme="minorBidi"/>
            <w:b/>
            <w:bCs w:val="0"/>
            <w:color w:val="auto"/>
            <w:kern w:val="2"/>
            <w:sz w:val="32"/>
            <w:szCs w:val="30"/>
            <w:lang w:val="zh-CN"/>
          </w:rPr>
          <w:id w:val="677737"/>
          <w:showingPlcHdr/>
          <w:docPartObj>
            <w:docPartGallery w:val="Table of Contents"/>
            <w:docPartUnique/>
          </w:docPartObj>
        </w:sdtPr>
        <w:sdtEndPr>
          <w:rPr>
            <w:rFonts w:hint="eastAsia" w:ascii="仿宋_GB2312" w:eastAsia="仿宋_GB2312" w:hAnsiTheme="minorHAnsi" w:cstheme="minorBidi"/>
            <w:b w:val="0"/>
            <w:bCs w:val="0"/>
            <w:color w:val="auto"/>
            <w:kern w:val="2"/>
            <w:sz w:val="30"/>
            <w:szCs w:val="30"/>
            <w:lang w:val="en-US"/>
          </w:rPr>
        </w:sdtEndPr>
        <w:sdtContent/>
      </w:sdt>
      <w:r>
        <w:rPr>
          <w:rFonts w:ascii="Arial Narrow" w:hAnsi="黑体" w:eastAsia="黑体"/>
          <w:b/>
          <w:sz w:val="36"/>
          <w:szCs w:val="36"/>
        </w:rPr>
        <w:t>2019</w:t>
      </w:r>
      <w:r>
        <w:rPr>
          <w:rFonts w:hint="eastAsia" w:ascii="Arial Narrow" w:hAnsi="黑体" w:eastAsia="黑体"/>
          <w:b/>
          <w:sz w:val="36"/>
          <w:szCs w:val="36"/>
        </w:rPr>
        <w:t>年全国职业院校技能大赛</w:t>
      </w:r>
    </w:p>
    <w:p>
      <w:pPr>
        <w:snapToGrid w:val="0"/>
        <w:spacing w:line="540" w:lineRule="exact"/>
        <w:jc w:val="center"/>
        <w:rPr>
          <w:rFonts w:ascii="Arial Narrow" w:hAnsi="Arial Narrow" w:eastAsia="黑体"/>
          <w:b/>
          <w:sz w:val="36"/>
          <w:szCs w:val="36"/>
        </w:rPr>
      </w:pPr>
      <w:r>
        <w:rPr>
          <w:rFonts w:hint="eastAsia" w:ascii="Arial Narrow" w:hAnsi="黑体" w:eastAsia="黑体"/>
          <w:b/>
          <w:sz w:val="36"/>
          <w:szCs w:val="36"/>
        </w:rPr>
        <w:t>赛项申报方案</w:t>
      </w:r>
    </w:p>
    <w:p>
      <w:pPr>
        <w:pStyle w:val="2"/>
        <w:ind w:left="210" w:right="210" w:firstLine="600"/>
      </w:pPr>
      <w:bookmarkStart w:id="0" w:name="_Toc522017420"/>
      <w:bookmarkStart w:id="1" w:name="_Toc522017689"/>
      <w:r>
        <w:rPr>
          <w:rFonts w:hint="eastAsia"/>
        </w:rPr>
        <w:t>一、赛项名称</w:t>
      </w:r>
      <w:bookmarkEnd w:id="0"/>
      <w:bookmarkEnd w:id="1"/>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（一）赛项名称</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互联网+国际贸易综合技能</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（二）压题彩照</w:t>
      </w:r>
    </w:p>
    <w:p>
      <w:pPr>
        <w:snapToGrid w:val="0"/>
        <w:spacing w:line="560" w:lineRule="exact"/>
        <w:rPr>
          <w:rFonts w:ascii="Arial Narrow" w:hAnsi="Arial Narrow" w:eastAsia="仿宋_GB2312" w:cs="Arial"/>
          <w:sz w:val="30"/>
          <w:szCs w:val="30"/>
        </w:rPr>
      </w:pPr>
      <w:r>
        <w:rPr>
          <w:rFonts w:hint="eastAsia" w:ascii="Arial Narrow" w:hAnsi="Arial Narrow" w:eastAsia="仿宋_GB2312" w:cs="Arial"/>
          <w:sz w:val="30"/>
          <w:szCs w:val="30"/>
        </w:rPr>
        <w:drawing>
          <wp:anchor distT="0" distB="0" distL="114300" distR="114300" simplePos="0" relativeHeight="251659264" behindDoc="0" locked="0" layoutInCell="1" allowOverlap="1">
            <wp:simplePos x="0" y="0"/>
            <wp:positionH relativeFrom="column">
              <wp:posOffset>15875</wp:posOffset>
            </wp:positionH>
            <wp:positionV relativeFrom="paragraph">
              <wp:posOffset>5080</wp:posOffset>
            </wp:positionV>
            <wp:extent cx="5276215" cy="4025900"/>
            <wp:effectExtent l="19050" t="0" r="775" b="0"/>
            <wp:wrapTopAndBottom/>
            <wp:docPr id="3" name="图片 0" descr="20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0" descr="2018.png"/>
                    <pic:cNvPicPr>
                      <a:picLocks noChangeAspect="1"/>
                    </pic:cNvPicPr>
                  </pic:nvPicPr>
                  <pic:blipFill>
                    <a:blip r:embed="rId5" cstate="print"/>
                    <a:stretch>
                      <a:fillRect/>
                    </a:stretch>
                  </pic:blipFill>
                  <pic:spPr>
                    <a:xfrm>
                      <a:off x="0" y="0"/>
                      <a:ext cx="5276075" cy="4025735"/>
                    </a:xfrm>
                    <a:prstGeom prst="rect">
                      <a:avLst/>
                    </a:prstGeom>
                  </pic:spPr>
                </pic:pic>
              </a:graphicData>
            </a:graphic>
          </wp:anchor>
        </w:drawing>
      </w:r>
      <w:r>
        <w:rPr>
          <w:rFonts w:hint="eastAsia" w:ascii="Arial Narrow" w:hAnsi="Arial Narrow" w:eastAsia="仿宋_GB2312" w:cs="Arial"/>
          <w:sz w:val="30"/>
          <w:szCs w:val="30"/>
        </w:rPr>
        <w:t xml:space="preserve">    （三）赛项归属产业类型</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现代服务业</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（四）赛项归属专业大类</w:t>
      </w:r>
      <w:r>
        <w:rPr>
          <w:rFonts w:ascii="Arial Narrow" w:hAnsi="Arial Narrow" w:eastAsia="仿宋_GB2312" w:cs="Arial"/>
          <w:sz w:val="30"/>
          <w:szCs w:val="30"/>
        </w:rPr>
        <w:t>/</w:t>
      </w:r>
      <w:r>
        <w:rPr>
          <w:rFonts w:hint="eastAsia" w:ascii="Arial Narrow" w:hAnsi="Arial Narrow" w:eastAsia="仿宋_GB2312" w:cs="Arial"/>
          <w:sz w:val="30"/>
          <w:szCs w:val="30"/>
        </w:rPr>
        <w:t>类</w:t>
      </w:r>
    </w:p>
    <w:p>
      <w:pPr>
        <w:spacing w:line="560" w:lineRule="exact"/>
        <w:jc w:val="center"/>
        <w:rPr>
          <w:rFonts w:ascii="宋体" w:hAnsi="宋体" w:cs="宋体"/>
          <w:sz w:val="24"/>
          <w:szCs w:val="24"/>
        </w:rPr>
      </w:pPr>
      <w:r>
        <w:rPr>
          <w:rFonts w:hint="eastAsia" w:ascii="宋体" w:hAnsi="宋体" w:cs="宋体"/>
          <w:sz w:val="24"/>
          <w:szCs w:val="24"/>
        </w:rPr>
        <w:t>表1 赛项归属专业大类/类</w:t>
      </w:r>
    </w:p>
    <w:tbl>
      <w:tblPr>
        <w:tblStyle w:val="17"/>
        <w:tblW w:w="8472" w:type="dxa"/>
        <w:tblInd w:w="5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71"/>
        <w:gridCol w:w="1871"/>
        <w:gridCol w:w="1465"/>
        <w:gridCol w:w="1464"/>
        <w:gridCol w:w="27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5" w:hRule="atLeast"/>
        </w:trPr>
        <w:tc>
          <w:tcPr>
            <w:tcW w:w="97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仿宋_GB2312"/>
                <w:b/>
                <w:sz w:val="24"/>
                <w:szCs w:val="24"/>
              </w:rPr>
            </w:pPr>
            <w:r>
              <w:rPr>
                <w:rFonts w:hint="eastAsia" w:ascii="宋体" w:hAnsi="宋体" w:cs="仿宋_GB2312"/>
                <w:b/>
                <w:sz w:val="24"/>
                <w:szCs w:val="24"/>
              </w:rPr>
              <w:t>组别</w:t>
            </w:r>
          </w:p>
        </w:tc>
        <w:tc>
          <w:tcPr>
            <w:tcW w:w="187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仿宋_GB2312"/>
                <w:b/>
                <w:sz w:val="24"/>
                <w:szCs w:val="24"/>
              </w:rPr>
            </w:pPr>
            <w:r>
              <w:rPr>
                <w:rFonts w:hint="eastAsia" w:ascii="宋体" w:hAnsi="宋体" w:cs="仿宋_GB2312"/>
                <w:b/>
                <w:sz w:val="24"/>
                <w:szCs w:val="24"/>
              </w:rPr>
              <w:t>专业大类</w:t>
            </w:r>
          </w:p>
        </w:tc>
        <w:tc>
          <w:tcPr>
            <w:tcW w:w="146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仿宋_GB2312"/>
                <w:b/>
                <w:sz w:val="24"/>
                <w:szCs w:val="24"/>
              </w:rPr>
            </w:pPr>
            <w:r>
              <w:rPr>
                <w:rFonts w:hint="eastAsia" w:ascii="宋体" w:hAnsi="宋体" w:cs="仿宋_GB2312"/>
                <w:b/>
                <w:sz w:val="24"/>
                <w:szCs w:val="24"/>
              </w:rPr>
              <w:t>专业类</w:t>
            </w:r>
          </w:p>
        </w:tc>
        <w:tc>
          <w:tcPr>
            <w:tcW w:w="1464"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仿宋_GB2312"/>
                <w:b/>
                <w:sz w:val="24"/>
                <w:szCs w:val="24"/>
              </w:rPr>
            </w:pPr>
            <w:r>
              <w:rPr>
                <w:rFonts w:hint="eastAsia" w:ascii="宋体" w:hAnsi="宋体" w:cs="仿宋_GB2312"/>
                <w:b/>
                <w:sz w:val="24"/>
                <w:szCs w:val="24"/>
              </w:rPr>
              <w:t>专业代码</w:t>
            </w:r>
          </w:p>
        </w:tc>
        <w:tc>
          <w:tcPr>
            <w:tcW w:w="270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仿宋_GB2312"/>
                <w:b/>
                <w:sz w:val="24"/>
                <w:szCs w:val="24"/>
              </w:rPr>
            </w:pPr>
            <w:r>
              <w:rPr>
                <w:rFonts w:hint="eastAsia" w:ascii="宋体" w:hAnsi="宋体" w:cs="仿宋_GB2312"/>
                <w:b/>
                <w:sz w:val="24"/>
                <w:szCs w:val="24"/>
              </w:rPr>
              <w:t>专业名称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2" w:hRule="atLeast"/>
        </w:trPr>
        <w:tc>
          <w:tcPr>
            <w:tcW w:w="97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仿宋_GB2312"/>
                <w:sz w:val="24"/>
                <w:szCs w:val="24"/>
              </w:rPr>
            </w:pPr>
            <w:r>
              <w:rPr>
                <w:rFonts w:hint="eastAsia" w:ascii="宋体" w:hAnsi="宋体" w:cs="仿宋_GB2312"/>
                <w:sz w:val="24"/>
                <w:szCs w:val="24"/>
              </w:rPr>
              <w:t>高职</w:t>
            </w:r>
          </w:p>
        </w:tc>
        <w:tc>
          <w:tcPr>
            <w:tcW w:w="187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仿宋_GB2312"/>
                <w:sz w:val="24"/>
                <w:szCs w:val="24"/>
              </w:rPr>
            </w:pPr>
            <w:r>
              <w:rPr>
                <w:rFonts w:hint="eastAsia" w:ascii="宋体" w:hAnsi="宋体" w:cs="仿宋_GB2312"/>
                <w:sz w:val="24"/>
                <w:szCs w:val="24"/>
              </w:rPr>
              <w:t>财经商贸</w:t>
            </w:r>
          </w:p>
        </w:tc>
        <w:tc>
          <w:tcPr>
            <w:tcW w:w="146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仿宋_GB2312"/>
                <w:sz w:val="24"/>
                <w:szCs w:val="24"/>
              </w:rPr>
            </w:pPr>
            <w:r>
              <w:rPr>
                <w:rFonts w:hint="eastAsia" w:ascii="宋体" w:hAnsi="宋体" w:cs="仿宋_GB2312"/>
                <w:sz w:val="24"/>
                <w:szCs w:val="24"/>
              </w:rPr>
              <w:t>经济贸易类</w:t>
            </w:r>
          </w:p>
        </w:tc>
        <w:tc>
          <w:tcPr>
            <w:tcW w:w="1464"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仿宋_GB2312"/>
                <w:sz w:val="24"/>
                <w:szCs w:val="24"/>
              </w:rPr>
            </w:pPr>
            <w:r>
              <w:rPr>
                <w:rFonts w:hint="eastAsia" w:ascii="宋体" w:hAnsi="宋体" w:cs="仿宋_GB2312"/>
                <w:sz w:val="24"/>
                <w:szCs w:val="24"/>
              </w:rPr>
              <w:t>630501</w:t>
            </w:r>
          </w:p>
        </w:tc>
        <w:tc>
          <w:tcPr>
            <w:tcW w:w="270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仿宋_GB2312"/>
                <w:sz w:val="24"/>
                <w:szCs w:val="24"/>
              </w:rPr>
            </w:pPr>
            <w:r>
              <w:rPr>
                <w:rFonts w:hint="eastAsia" w:ascii="宋体" w:hAnsi="宋体" w:cs="仿宋_GB2312"/>
                <w:sz w:val="24"/>
                <w:szCs w:val="24"/>
              </w:rPr>
              <w:t>国际贸易实务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2" w:hRule="atLeast"/>
        </w:trPr>
        <w:tc>
          <w:tcPr>
            <w:tcW w:w="97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仿宋_GB2312"/>
                <w:sz w:val="24"/>
                <w:szCs w:val="24"/>
              </w:rPr>
            </w:pPr>
            <w:r>
              <w:rPr>
                <w:rFonts w:hint="eastAsia" w:ascii="宋体" w:hAnsi="宋体" w:cs="仿宋_GB2312"/>
                <w:sz w:val="24"/>
                <w:szCs w:val="24"/>
              </w:rPr>
              <w:t>高职</w:t>
            </w:r>
          </w:p>
        </w:tc>
        <w:tc>
          <w:tcPr>
            <w:tcW w:w="187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仿宋_GB2312"/>
                <w:sz w:val="24"/>
                <w:szCs w:val="24"/>
              </w:rPr>
            </w:pPr>
            <w:r>
              <w:rPr>
                <w:rFonts w:hint="eastAsia" w:ascii="宋体" w:hAnsi="宋体" w:cs="仿宋_GB2312"/>
                <w:sz w:val="24"/>
                <w:szCs w:val="24"/>
              </w:rPr>
              <w:t>财经商贸</w:t>
            </w:r>
          </w:p>
        </w:tc>
        <w:tc>
          <w:tcPr>
            <w:tcW w:w="146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仿宋_GB2312"/>
                <w:sz w:val="24"/>
                <w:szCs w:val="24"/>
              </w:rPr>
            </w:pPr>
            <w:r>
              <w:rPr>
                <w:rFonts w:hint="eastAsia" w:ascii="宋体" w:hAnsi="宋体" w:cs="仿宋_GB2312"/>
                <w:sz w:val="24"/>
                <w:szCs w:val="24"/>
              </w:rPr>
              <w:t>经济贸易类</w:t>
            </w:r>
          </w:p>
        </w:tc>
        <w:tc>
          <w:tcPr>
            <w:tcW w:w="1464"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仿宋_GB2312"/>
                <w:sz w:val="24"/>
                <w:szCs w:val="24"/>
              </w:rPr>
            </w:pPr>
            <w:r>
              <w:rPr>
                <w:rFonts w:hint="eastAsia" w:ascii="宋体" w:hAnsi="宋体" w:cs="仿宋_GB2312"/>
                <w:sz w:val="24"/>
                <w:szCs w:val="24"/>
              </w:rPr>
              <w:t>630502</w:t>
            </w:r>
          </w:p>
        </w:tc>
        <w:tc>
          <w:tcPr>
            <w:tcW w:w="270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仿宋_GB2312"/>
                <w:sz w:val="24"/>
                <w:szCs w:val="24"/>
              </w:rPr>
            </w:pPr>
            <w:r>
              <w:rPr>
                <w:rFonts w:hint="eastAsia" w:ascii="宋体" w:hAnsi="宋体" w:cs="仿宋_GB2312"/>
                <w:sz w:val="24"/>
                <w:szCs w:val="24"/>
              </w:rPr>
              <w:t>国际经济与贸易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2" w:hRule="atLeast"/>
        </w:trPr>
        <w:tc>
          <w:tcPr>
            <w:tcW w:w="97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仿宋_GB2312"/>
                <w:sz w:val="24"/>
                <w:szCs w:val="24"/>
              </w:rPr>
            </w:pPr>
            <w:r>
              <w:rPr>
                <w:rFonts w:hint="eastAsia" w:ascii="宋体" w:hAnsi="宋体" w:cs="仿宋_GB2312"/>
                <w:sz w:val="24"/>
                <w:szCs w:val="24"/>
              </w:rPr>
              <w:t>高职</w:t>
            </w:r>
          </w:p>
        </w:tc>
        <w:tc>
          <w:tcPr>
            <w:tcW w:w="187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仿宋_GB2312"/>
                <w:sz w:val="24"/>
                <w:szCs w:val="24"/>
              </w:rPr>
            </w:pPr>
            <w:r>
              <w:rPr>
                <w:rFonts w:hint="eastAsia" w:ascii="宋体" w:hAnsi="宋体" w:cs="仿宋_GB2312"/>
                <w:sz w:val="24"/>
                <w:szCs w:val="24"/>
              </w:rPr>
              <w:t>财经商贸</w:t>
            </w:r>
          </w:p>
        </w:tc>
        <w:tc>
          <w:tcPr>
            <w:tcW w:w="146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仿宋_GB2312"/>
                <w:sz w:val="24"/>
                <w:szCs w:val="24"/>
              </w:rPr>
            </w:pPr>
            <w:r>
              <w:rPr>
                <w:rFonts w:hint="eastAsia" w:ascii="宋体" w:hAnsi="宋体" w:cs="仿宋_GB2312"/>
                <w:sz w:val="24"/>
                <w:szCs w:val="24"/>
              </w:rPr>
              <w:t>经济贸易类</w:t>
            </w:r>
          </w:p>
        </w:tc>
        <w:tc>
          <w:tcPr>
            <w:tcW w:w="1464"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仿宋_GB2312"/>
                <w:sz w:val="24"/>
                <w:szCs w:val="24"/>
              </w:rPr>
            </w:pPr>
            <w:r>
              <w:rPr>
                <w:rFonts w:hint="eastAsia" w:ascii="宋体" w:hAnsi="宋体" w:cs="仿宋_GB2312"/>
                <w:sz w:val="24"/>
                <w:szCs w:val="24"/>
              </w:rPr>
              <w:t>630503</w:t>
            </w:r>
          </w:p>
        </w:tc>
        <w:tc>
          <w:tcPr>
            <w:tcW w:w="270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仿宋_GB2312"/>
                <w:sz w:val="24"/>
                <w:szCs w:val="24"/>
              </w:rPr>
            </w:pPr>
            <w:r>
              <w:rPr>
                <w:rFonts w:hint="eastAsia" w:ascii="宋体" w:hAnsi="宋体" w:cs="仿宋_GB2312"/>
                <w:sz w:val="24"/>
                <w:szCs w:val="24"/>
              </w:rPr>
              <w:t>国际商务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2" w:hRule="atLeast"/>
        </w:trPr>
        <w:tc>
          <w:tcPr>
            <w:tcW w:w="97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仿宋_GB2312"/>
                <w:sz w:val="24"/>
                <w:szCs w:val="24"/>
              </w:rPr>
            </w:pPr>
            <w:r>
              <w:rPr>
                <w:rFonts w:hint="eastAsia" w:ascii="宋体" w:hAnsi="宋体" w:cs="仿宋_GB2312"/>
                <w:sz w:val="24"/>
                <w:szCs w:val="24"/>
              </w:rPr>
              <w:t>高职</w:t>
            </w:r>
          </w:p>
        </w:tc>
        <w:tc>
          <w:tcPr>
            <w:tcW w:w="187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仿宋_GB2312"/>
                <w:sz w:val="24"/>
                <w:szCs w:val="24"/>
              </w:rPr>
            </w:pPr>
            <w:r>
              <w:rPr>
                <w:rFonts w:hint="eastAsia" w:ascii="宋体" w:hAnsi="宋体" w:cs="仿宋_GB2312"/>
                <w:sz w:val="24"/>
                <w:szCs w:val="24"/>
              </w:rPr>
              <w:t>教育与体育</w:t>
            </w:r>
          </w:p>
        </w:tc>
        <w:tc>
          <w:tcPr>
            <w:tcW w:w="146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仿宋_GB2312"/>
                <w:sz w:val="24"/>
                <w:szCs w:val="24"/>
              </w:rPr>
            </w:pPr>
            <w:r>
              <w:rPr>
                <w:rFonts w:hint="eastAsia" w:ascii="宋体" w:hAnsi="宋体" w:cs="仿宋_GB2312"/>
                <w:sz w:val="24"/>
                <w:szCs w:val="24"/>
              </w:rPr>
              <w:t>语言类</w:t>
            </w:r>
          </w:p>
        </w:tc>
        <w:tc>
          <w:tcPr>
            <w:tcW w:w="1464"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仿宋_GB2312"/>
                <w:sz w:val="24"/>
                <w:szCs w:val="24"/>
              </w:rPr>
            </w:pPr>
            <w:r>
              <w:rPr>
                <w:rFonts w:hint="eastAsia" w:ascii="宋体" w:hAnsi="宋体" w:cs="仿宋_GB2312"/>
                <w:sz w:val="24"/>
                <w:szCs w:val="24"/>
              </w:rPr>
              <w:t>670202</w:t>
            </w:r>
          </w:p>
        </w:tc>
        <w:tc>
          <w:tcPr>
            <w:tcW w:w="270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仿宋_GB2312"/>
                <w:sz w:val="24"/>
                <w:szCs w:val="24"/>
              </w:rPr>
            </w:pPr>
            <w:r>
              <w:rPr>
                <w:rFonts w:hint="eastAsia" w:ascii="宋体" w:hAnsi="宋体" w:cs="仿宋_GB2312"/>
                <w:sz w:val="24"/>
                <w:szCs w:val="24"/>
              </w:rPr>
              <w:t>商务英语</w:t>
            </w:r>
          </w:p>
        </w:tc>
      </w:tr>
    </w:tbl>
    <w:p>
      <w:pPr>
        <w:pStyle w:val="2"/>
        <w:ind w:firstLine="600"/>
      </w:pPr>
      <w:bookmarkStart w:id="2" w:name="_Toc522017690"/>
      <w:bookmarkStart w:id="3" w:name="_Toc522017421"/>
      <w:r>
        <w:rPr>
          <w:rFonts w:hint="eastAsia"/>
        </w:rPr>
        <w:t>二、赛项申报专家组</w:t>
      </w:r>
      <w:bookmarkEnd w:id="2"/>
      <w:bookmarkEnd w:id="3"/>
    </w:p>
    <w:p>
      <w:pPr>
        <w:pStyle w:val="2"/>
        <w:ind w:firstLine="600"/>
        <w:rPr>
          <w:rFonts w:ascii="Arial Narrow" w:hAnsi="Arial Narrow" w:eastAsia="仿宋_GB2312" w:cs="Arial"/>
        </w:rPr>
      </w:pPr>
      <w:bookmarkStart w:id="4" w:name="_Toc522017691"/>
      <w:bookmarkStart w:id="5" w:name="_Toc522017422"/>
      <w:r>
        <w:rPr>
          <w:rFonts w:hint="eastAsia"/>
        </w:rPr>
        <w:t>三、赛项目的</w:t>
      </w:r>
      <w:bookmarkEnd w:id="4"/>
      <w:bookmarkEnd w:id="5"/>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赛项设计以国际贸易产业升级为驱动，以服务“一带一路”建设为核心，搭建专业、课程、培养机制改革平台，促进专业建设、教学改革的深入进行，切实提高教学质量和人才培养水平。</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赛项设计充分发挥技能大赛对专业建设的促进和引领作用，以竞赛为抓手，全面推行“教、学、做、练、赛”一体化教学模式，提高全国院校学生的参与度，实现对学生的团队协同创新能力、沟通能力、尽责抗压能力及专业岗位能力的综合培养，为“互联网+”环境下国际贸易教育教学改革提供了新的思路与方向。以此为基础，探索建立适应国际贸易新形势下的职业岗位标准，为院校教学课程设置及岗位职业能力培养提供有效依据</w:t>
      </w:r>
      <w:r>
        <w:rPr>
          <w:rFonts w:hint="eastAsia" w:ascii="仿宋_GB2312" w:hAnsi="Arial Narrow" w:eastAsia="仿宋_GB2312" w:cs="Arial"/>
          <w:sz w:val="30"/>
          <w:szCs w:val="30"/>
        </w:rPr>
        <w:t>,从而实现产教深度融合，校企协同育人</w:t>
      </w:r>
      <w:r>
        <w:rPr>
          <w:rFonts w:hint="eastAsia" w:ascii="Arial Narrow" w:hAnsi="Arial Narrow" w:eastAsia="仿宋_GB2312" w:cs="Arial"/>
          <w:sz w:val="30"/>
          <w:szCs w:val="30"/>
        </w:rPr>
        <w:t>。</w:t>
      </w:r>
    </w:p>
    <w:p>
      <w:pPr>
        <w:pStyle w:val="2"/>
        <w:ind w:firstLine="600"/>
        <w:rPr>
          <w:rFonts w:ascii="Arial Narrow" w:hAnsi="Arial Narrow" w:eastAsia="仿宋_GB2312" w:cs="Arial"/>
        </w:rPr>
      </w:pPr>
      <w:bookmarkStart w:id="6" w:name="_Toc522017692"/>
      <w:r>
        <w:rPr>
          <w:rFonts w:hint="eastAsia"/>
        </w:rPr>
        <w:t>四、赛项设计原则</w:t>
      </w:r>
      <w:bookmarkEnd w:id="6"/>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（一）公开、公平、公正。</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公正组织、筹备赛项各个环节。通过公布技术文件、比赛样题，合理设计竞赛规则、程序、标准，公开执行过程，严格命题、裁判回避等制度措施，保证比赛公平。比赛使用的竞赛平台，采用严格的算法和规则来支撑比赛要求，除外贸英语沟通能力模块为人工评分外，其余均为系统自动评分，系统自动评分占比</w:t>
      </w:r>
      <w:r>
        <w:rPr>
          <w:rFonts w:hint="eastAsia" w:ascii="仿宋_GB2312" w:hAnsi="Arial Narrow" w:eastAsia="仿宋_GB2312" w:cs="Arial"/>
          <w:sz w:val="30"/>
          <w:szCs w:val="30"/>
        </w:rPr>
        <w:t>80%</w:t>
      </w:r>
      <w:r>
        <w:rPr>
          <w:rFonts w:hint="eastAsia" w:ascii="Arial Narrow" w:hAnsi="Arial Narrow" w:eastAsia="仿宋_GB2312" w:cs="Arial"/>
          <w:sz w:val="30"/>
          <w:szCs w:val="30"/>
        </w:rPr>
        <w:t>，有效保证比赛过程、结果的客观公正性。</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（二）赛项关联专业人才需求量大或行业人才紧缺或职业院校开设专业点多，服务国家重点战略。</w:t>
      </w:r>
    </w:p>
    <w:p>
      <w:pPr>
        <w:pStyle w:val="5"/>
        <w:spacing w:line="560" w:lineRule="exact"/>
        <w:ind w:left="0" w:firstLine="600" w:firstLineChars="200"/>
        <w:jc w:val="both"/>
        <w:rPr>
          <w:rFonts w:ascii="仿宋_GB2312" w:hAnsi="Arial Narrow" w:eastAsia="仿宋_GB2312" w:cs="Arial"/>
          <w:lang w:eastAsia="zh-CN"/>
        </w:rPr>
      </w:pPr>
      <w:r>
        <w:rPr>
          <w:rFonts w:hint="eastAsia" w:ascii="仿宋_GB2312" w:hAnsi="Arial Narrow" w:eastAsia="仿宋_GB2312" w:cs="Arial"/>
          <w:lang w:eastAsia="zh-CN"/>
        </w:rPr>
        <w:t>目前，我国正处在国际贸易产业转型升级的关键时期，互联网＋国际贸易正逐步成为我国对外贸易新的增长点。据统计，</w:t>
      </w:r>
      <w:r>
        <w:rPr>
          <w:rFonts w:ascii="仿宋_GB2312" w:hAnsi="Arial Narrow" w:eastAsia="仿宋_GB2312" w:cs="Arial"/>
          <w:lang w:eastAsia="zh-CN"/>
        </w:rPr>
        <w:t>201</w:t>
      </w:r>
      <w:r>
        <w:rPr>
          <w:rFonts w:hint="eastAsia" w:ascii="仿宋_GB2312" w:hAnsi="Arial Narrow" w:eastAsia="仿宋_GB2312" w:cs="Arial"/>
          <w:lang w:eastAsia="zh-CN"/>
        </w:rPr>
        <w:t>7年我国互联网+国际贸易（含</w:t>
      </w:r>
      <w:r>
        <w:rPr>
          <w:rFonts w:ascii="仿宋_GB2312" w:hAnsi="Arial Narrow" w:eastAsia="仿宋_GB2312" w:cs="Arial"/>
          <w:lang w:eastAsia="zh-CN"/>
        </w:rPr>
        <w:t>B2B</w:t>
      </w:r>
      <w:r>
        <w:rPr>
          <w:rFonts w:hint="eastAsia" w:ascii="仿宋_GB2312" w:hAnsi="Arial Narrow" w:eastAsia="仿宋_GB2312" w:cs="Arial"/>
          <w:lang w:eastAsia="zh-CN"/>
        </w:rPr>
        <w:t>及零售）整体交易规模达到8.06万亿元，预计2018年将突破10万亿元。伴随“一带一路”建设的不断推进，深化国际合作,积极推进“五通”，未来5年，具备“互联网+国际贸易”综合技能的高素质技术技能型人才缺口将达到400万左右。赛项考察的互联网+国际贸易综合技能积极服务国家的对外开放和“一带一路”建设。</w:t>
      </w:r>
    </w:p>
    <w:p>
      <w:pPr>
        <w:pStyle w:val="5"/>
        <w:spacing w:line="560" w:lineRule="exact"/>
        <w:ind w:left="0" w:firstLine="600" w:firstLineChars="200"/>
        <w:jc w:val="both"/>
        <w:rPr>
          <w:rFonts w:ascii="仿宋_GB2312" w:hAnsi="Arial Narrow" w:eastAsia="仿宋_GB2312" w:cs="Arial"/>
          <w:lang w:eastAsia="zh-CN"/>
        </w:rPr>
      </w:pPr>
      <w:r>
        <w:rPr>
          <w:rFonts w:hint="eastAsia" w:ascii="仿宋_GB2312" w:hAnsi="Arial Narrow" w:eastAsia="仿宋_GB2312" w:cs="Arial"/>
          <w:lang w:eastAsia="zh-CN"/>
        </w:rPr>
        <w:t>根据2018年高等职业学校专业设置备案结果显示，开设国际经济与贸易、国际贸易实务、国际商务、商务英语等相关专业的学校布点数1114个。互联网+国际贸易综合技能竞赛将积极</w:t>
      </w:r>
      <w:r>
        <w:rPr>
          <w:rFonts w:ascii="仿宋_GB2312" w:hAnsi="Arial Narrow" w:eastAsia="仿宋_GB2312" w:cs="Arial"/>
          <w:lang w:eastAsia="zh-CN"/>
        </w:rPr>
        <w:t>引导广大师生投入到互联网+环境下的</w:t>
      </w:r>
      <w:r>
        <w:rPr>
          <w:rFonts w:hint="eastAsia" w:ascii="仿宋_GB2312" w:hAnsi="Arial Narrow" w:eastAsia="仿宋_GB2312" w:cs="Arial"/>
          <w:lang w:eastAsia="zh-CN"/>
        </w:rPr>
        <w:t>国际贸易教学创新，</w:t>
      </w:r>
      <w:r>
        <w:rPr>
          <w:rFonts w:ascii="仿宋_GB2312" w:hAnsi="Arial Narrow" w:eastAsia="仿宋_GB2312" w:cs="Arial"/>
          <w:lang w:eastAsia="zh-CN"/>
        </w:rPr>
        <w:t>促进</w:t>
      </w:r>
      <w:r>
        <w:rPr>
          <w:rFonts w:hint="eastAsia" w:ascii="仿宋_GB2312" w:hAnsi="Arial Narrow" w:eastAsia="仿宋_GB2312" w:cs="Arial"/>
          <w:lang w:eastAsia="zh-CN"/>
        </w:rPr>
        <w:t>专业教学的工学结合、知行合一，</w:t>
      </w:r>
      <w:r>
        <w:rPr>
          <w:rFonts w:ascii="仿宋_GB2312" w:hAnsi="Arial Narrow" w:eastAsia="仿宋_GB2312" w:cs="Arial"/>
          <w:lang w:eastAsia="zh-CN"/>
        </w:rPr>
        <w:t>促进教</w:t>
      </w:r>
      <w:r>
        <w:rPr>
          <w:rFonts w:hint="eastAsia" w:ascii="仿宋_GB2312" w:hAnsi="Arial Narrow" w:eastAsia="仿宋_GB2312" w:cs="Arial"/>
          <w:lang w:eastAsia="zh-CN"/>
        </w:rPr>
        <w:t>、</w:t>
      </w:r>
      <w:r>
        <w:rPr>
          <w:rFonts w:ascii="仿宋_GB2312" w:hAnsi="Arial Narrow" w:eastAsia="仿宋_GB2312" w:cs="Arial"/>
          <w:lang w:eastAsia="zh-CN"/>
        </w:rPr>
        <w:t>学</w:t>
      </w:r>
      <w:r>
        <w:rPr>
          <w:rFonts w:hint="eastAsia" w:ascii="仿宋_GB2312" w:hAnsi="Arial Narrow" w:eastAsia="仿宋_GB2312" w:cs="Arial"/>
          <w:lang w:eastAsia="zh-CN"/>
        </w:rPr>
        <w:t>、</w:t>
      </w:r>
      <w:r>
        <w:rPr>
          <w:rFonts w:ascii="仿宋_GB2312" w:hAnsi="Arial Narrow" w:eastAsia="仿宋_GB2312" w:cs="Arial"/>
          <w:lang w:eastAsia="zh-CN"/>
        </w:rPr>
        <w:t>做一体</w:t>
      </w:r>
      <w:r>
        <w:rPr>
          <w:rFonts w:hint="eastAsia" w:ascii="仿宋_GB2312" w:hAnsi="Arial Narrow" w:eastAsia="仿宋_GB2312" w:cs="Arial"/>
          <w:lang w:eastAsia="zh-CN"/>
        </w:rPr>
        <w:t>化</w:t>
      </w:r>
      <w:r>
        <w:rPr>
          <w:rFonts w:ascii="仿宋_GB2312" w:hAnsi="Arial Narrow" w:eastAsia="仿宋_GB2312" w:cs="Arial"/>
          <w:lang w:eastAsia="zh-CN"/>
        </w:rPr>
        <w:t>，</w:t>
      </w:r>
      <w:r>
        <w:rPr>
          <w:rFonts w:hint="eastAsia" w:ascii="仿宋_GB2312" w:hAnsi="Arial Narrow" w:eastAsia="仿宋_GB2312" w:cs="Arial"/>
          <w:lang w:eastAsia="zh-CN"/>
        </w:rPr>
        <w:t>在“互联网+”环境下的国际贸易专业建设及教学改革方面发挥关键性引领作用。</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（三）竞赛内容对应相关职业岗位或岗位群、体现专业核心能力与核心知识、涵盖丰富的专业知识与专业技能点。</w:t>
      </w:r>
    </w:p>
    <w:p>
      <w:pPr>
        <w:spacing w:line="560" w:lineRule="exact"/>
        <w:jc w:val="center"/>
        <w:rPr>
          <w:rFonts w:ascii="宋体" w:hAnsi="宋体" w:cs="宋体"/>
          <w:sz w:val="24"/>
          <w:szCs w:val="24"/>
        </w:rPr>
      </w:pPr>
      <w:r>
        <w:rPr>
          <w:rFonts w:hint="eastAsia" w:ascii="宋体" w:hAnsi="宋体" w:cs="宋体"/>
          <w:sz w:val="24"/>
          <w:szCs w:val="24"/>
        </w:rPr>
        <w:t>表3 赛项内容对应相关职业岗位、知识内容及核心技能</w:t>
      </w:r>
    </w:p>
    <w:tbl>
      <w:tblPr>
        <w:tblStyle w:val="17"/>
        <w:tblW w:w="869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60"/>
        <w:gridCol w:w="1843"/>
        <w:gridCol w:w="2398"/>
        <w:gridCol w:w="2121"/>
        <w:gridCol w:w="7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0" w:hRule="atLeast"/>
          <w:jc w:val="center"/>
        </w:trPr>
        <w:tc>
          <w:tcPr>
            <w:tcW w:w="1560" w:type="dxa"/>
            <w:vAlign w:val="center"/>
          </w:tcPr>
          <w:p>
            <w:pPr>
              <w:adjustRightInd w:val="0"/>
              <w:snapToGrid w:val="0"/>
              <w:jc w:val="center"/>
              <w:rPr>
                <w:rFonts w:ascii="宋体" w:hAnsi="宋体" w:cs="Arial"/>
                <w:b/>
                <w:kern w:val="0"/>
                <w:sz w:val="24"/>
                <w:szCs w:val="24"/>
              </w:rPr>
            </w:pPr>
            <w:r>
              <w:rPr>
                <w:rFonts w:hint="eastAsia" w:ascii="宋体" w:hAnsi="宋体" w:cs="Arial"/>
                <w:b/>
                <w:kern w:val="0"/>
                <w:sz w:val="24"/>
                <w:szCs w:val="24"/>
              </w:rPr>
              <w:t>比赛任务</w:t>
            </w:r>
          </w:p>
        </w:tc>
        <w:tc>
          <w:tcPr>
            <w:tcW w:w="1843" w:type="dxa"/>
            <w:vAlign w:val="center"/>
          </w:tcPr>
          <w:p>
            <w:pPr>
              <w:adjustRightInd w:val="0"/>
              <w:snapToGrid w:val="0"/>
              <w:jc w:val="center"/>
              <w:rPr>
                <w:rFonts w:ascii="宋体" w:hAnsi="宋体" w:cs="Arial"/>
                <w:b/>
                <w:kern w:val="0"/>
                <w:sz w:val="24"/>
                <w:szCs w:val="24"/>
              </w:rPr>
            </w:pPr>
            <w:r>
              <w:rPr>
                <w:rFonts w:hint="eastAsia" w:ascii="宋体" w:hAnsi="宋体" w:cs="Arial"/>
                <w:b/>
                <w:kern w:val="0"/>
                <w:sz w:val="24"/>
                <w:szCs w:val="24"/>
              </w:rPr>
              <w:t>对应岗位</w:t>
            </w:r>
          </w:p>
        </w:tc>
        <w:tc>
          <w:tcPr>
            <w:tcW w:w="2398" w:type="dxa"/>
            <w:vAlign w:val="center"/>
          </w:tcPr>
          <w:p>
            <w:pPr>
              <w:adjustRightInd w:val="0"/>
              <w:snapToGrid w:val="0"/>
              <w:jc w:val="center"/>
              <w:rPr>
                <w:rFonts w:ascii="宋体" w:hAnsi="宋体" w:cs="Arial"/>
                <w:b/>
                <w:kern w:val="0"/>
                <w:sz w:val="24"/>
                <w:szCs w:val="24"/>
              </w:rPr>
            </w:pPr>
            <w:r>
              <w:rPr>
                <w:rFonts w:hint="eastAsia" w:ascii="宋体" w:hAnsi="宋体" w:cs="Arial"/>
                <w:b/>
                <w:kern w:val="0"/>
                <w:sz w:val="24"/>
                <w:szCs w:val="24"/>
              </w:rPr>
              <w:t>主要知识内容</w:t>
            </w:r>
          </w:p>
        </w:tc>
        <w:tc>
          <w:tcPr>
            <w:tcW w:w="2897" w:type="dxa"/>
            <w:gridSpan w:val="2"/>
            <w:vAlign w:val="center"/>
          </w:tcPr>
          <w:p>
            <w:pPr>
              <w:adjustRightInd w:val="0"/>
              <w:snapToGrid w:val="0"/>
              <w:jc w:val="center"/>
              <w:rPr>
                <w:rFonts w:ascii="宋体" w:hAnsi="宋体" w:cs="Arial"/>
                <w:b/>
                <w:kern w:val="0"/>
                <w:sz w:val="24"/>
                <w:szCs w:val="24"/>
              </w:rPr>
            </w:pPr>
            <w:r>
              <w:rPr>
                <w:rFonts w:hint="eastAsia" w:ascii="宋体" w:hAnsi="宋体" w:cs="Arial"/>
                <w:b/>
                <w:kern w:val="0"/>
                <w:sz w:val="24"/>
                <w:szCs w:val="24"/>
              </w:rPr>
              <w:t>核心技能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38" w:hRule="atLeast"/>
          <w:jc w:val="center"/>
        </w:trPr>
        <w:tc>
          <w:tcPr>
            <w:tcW w:w="1560" w:type="dxa"/>
            <w:vAlign w:val="center"/>
          </w:tcPr>
          <w:p>
            <w:pPr>
              <w:adjustRightInd w:val="0"/>
              <w:snapToGrid w:val="0"/>
              <w:rPr>
                <w:rFonts w:ascii="宋体" w:hAnsi="宋体"/>
                <w:sz w:val="24"/>
                <w:szCs w:val="24"/>
              </w:rPr>
            </w:pPr>
            <w:r>
              <w:rPr>
                <w:rFonts w:hint="eastAsia" w:ascii="宋体" w:hAnsi="宋体"/>
                <w:sz w:val="24"/>
                <w:szCs w:val="24"/>
              </w:rPr>
              <w:t>外贸业务能力B2B模块</w:t>
            </w:r>
          </w:p>
        </w:tc>
        <w:tc>
          <w:tcPr>
            <w:tcW w:w="1843" w:type="dxa"/>
            <w:vAlign w:val="center"/>
          </w:tcPr>
          <w:p>
            <w:pPr>
              <w:adjustRightInd w:val="0"/>
              <w:snapToGrid w:val="0"/>
              <w:rPr>
                <w:rFonts w:ascii="宋体" w:hAnsi="宋体"/>
                <w:sz w:val="24"/>
                <w:szCs w:val="24"/>
              </w:rPr>
            </w:pPr>
            <w:r>
              <w:rPr>
                <w:rFonts w:hint="eastAsia" w:ascii="宋体" w:hAnsi="宋体"/>
                <w:sz w:val="24"/>
                <w:szCs w:val="24"/>
              </w:rPr>
              <w:t>外贸业务员</w:t>
            </w:r>
          </w:p>
          <w:p>
            <w:pPr>
              <w:adjustRightInd w:val="0"/>
              <w:snapToGrid w:val="0"/>
              <w:rPr>
                <w:rFonts w:ascii="宋体" w:hAnsi="宋体"/>
                <w:sz w:val="24"/>
                <w:szCs w:val="24"/>
              </w:rPr>
            </w:pPr>
            <w:r>
              <w:rPr>
                <w:rFonts w:hint="eastAsia" w:ascii="宋体" w:hAnsi="宋体"/>
                <w:sz w:val="24"/>
                <w:szCs w:val="24"/>
              </w:rPr>
              <w:t>跨境电商营销专员</w:t>
            </w:r>
          </w:p>
        </w:tc>
        <w:tc>
          <w:tcPr>
            <w:tcW w:w="2398" w:type="dxa"/>
            <w:vAlign w:val="center"/>
          </w:tcPr>
          <w:p>
            <w:pPr>
              <w:adjustRightInd w:val="0"/>
              <w:snapToGrid w:val="0"/>
              <w:rPr>
                <w:rFonts w:ascii="宋体" w:hAnsi="宋体"/>
                <w:sz w:val="24"/>
                <w:szCs w:val="24"/>
              </w:rPr>
            </w:pPr>
            <w:r>
              <w:rPr>
                <w:rFonts w:hint="eastAsia" w:ascii="宋体" w:hAnsi="宋体"/>
                <w:sz w:val="24"/>
                <w:szCs w:val="24"/>
              </w:rPr>
              <w:t>基于B2B跨境电子商务平台的产品展示、跨境电商营销推广、进出口价格核算、成本控制、贸易磋商和合同签订</w:t>
            </w:r>
          </w:p>
        </w:tc>
        <w:tc>
          <w:tcPr>
            <w:tcW w:w="2121" w:type="dxa"/>
            <w:vAlign w:val="center"/>
          </w:tcPr>
          <w:p>
            <w:pPr>
              <w:adjustRightInd w:val="0"/>
              <w:snapToGrid w:val="0"/>
              <w:rPr>
                <w:rFonts w:ascii="宋体" w:hAnsi="宋体"/>
                <w:sz w:val="24"/>
                <w:szCs w:val="24"/>
              </w:rPr>
            </w:pPr>
            <w:r>
              <w:rPr>
                <w:rFonts w:hint="eastAsia" w:ascii="宋体" w:hAnsi="宋体" w:cs="Arial"/>
                <w:sz w:val="24"/>
                <w:szCs w:val="24"/>
              </w:rPr>
              <w:t>B2B跨境平台产品发布能力、</w:t>
            </w:r>
            <w:r>
              <w:rPr>
                <w:rFonts w:hint="eastAsia" w:ascii="宋体" w:hAnsi="宋体"/>
                <w:sz w:val="24"/>
                <w:szCs w:val="24"/>
              </w:rPr>
              <w:t>跨境电商</w:t>
            </w:r>
            <w:r>
              <w:rPr>
                <w:rFonts w:hint="eastAsia" w:ascii="宋体" w:hAnsi="宋体" w:cs="Arial"/>
                <w:sz w:val="24"/>
                <w:szCs w:val="24"/>
              </w:rPr>
              <w:t>营销和推广能力、成本核算能力、贸易磋商能力、合同签订能力</w:t>
            </w:r>
          </w:p>
        </w:tc>
        <w:tc>
          <w:tcPr>
            <w:tcW w:w="776" w:type="dxa"/>
            <w:vMerge w:val="restart"/>
            <w:vAlign w:val="center"/>
          </w:tcPr>
          <w:p>
            <w:pPr>
              <w:adjustRightInd w:val="0"/>
              <w:snapToGrid w:val="0"/>
              <w:rPr>
                <w:rFonts w:asciiTheme="minorEastAsia" w:hAnsiTheme="minorEastAsia"/>
                <w:sz w:val="24"/>
                <w:szCs w:val="24"/>
              </w:rPr>
            </w:pPr>
            <w:r>
              <w:rPr>
                <w:rFonts w:hint="eastAsia" w:cs="Arial" w:asciiTheme="minorEastAsia" w:hAnsiTheme="minorEastAsia"/>
                <w:sz w:val="24"/>
                <w:szCs w:val="24"/>
              </w:rPr>
              <w:t>互联网+国际贸易业务实践应用能力、团队合作能力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60" w:type="dxa"/>
            <w:vAlign w:val="center"/>
          </w:tcPr>
          <w:p>
            <w:pPr>
              <w:adjustRightInd w:val="0"/>
              <w:snapToGrid w:val="0"/>
              <w:rPr>
                <w:rFonts w:ascii="宋体" w:hAnsi="宋体"/>
                <w:sz w:val="24"/>
                <w:szCs w:val="24"/>
              </w:rPr>
            </w:pPr>
            <w:r>
              <w:rPr>
                <w:rFonts w:hint="eastAsia" w:ascii="宋体" w:hAnsi="宋体"/>
                <w:sz w:val="24"/>
                <w:szCs w:val="24"/>
              </w:rPr>
              <w:t>外贸业务能力B2C模块</w:t>
            </w:r>
          </w:p>
        </w:tc>
        <w:tc>
          <w:tcPr>
            <w:tcW w:w="1843" w:type="dxa"/>
            <w:vAlign w:val="center"/>
          </w:tcPr>
          <w:p>
            <w:pPr>
              <w:adjustRightInd w:val="0"/>
              <w:snapToGrid w:val="0"/>
              <w:rPr>
                <w:rFonts w:ascii="宋体" w:hAnsi="宋体"/>
                <w:sz w:val="24"/>
                <w:szCs w:val="24"/>
              </w:rPr>
            </w:pPr>
            <w:r>
              <w:rPr>
                <w:rFonts w:hint="eastAsia" w:ascii="宋体" w:hAnsi="宋体"/>
                <w:sz w:val="24"/>
                <w:szCs w:val="24"/>
              </w:rPr>
              <w:t>跨境电商营销专员</w:t>
            </w:r>
          </w:p>
          <w:p>
            <w:pPr>
              <w:adjustRightInd w:val="0"/>
              <w:snapToGrid w:val="0"/>
              <w:rPr>
                <w:rFonts w:ascii="宋体" w:hAnsi="宋体"/>
                <w:sz w:val="24"/>
                <w:szCs w:val="24"/>
              </w:rPr>
            </w:pPr>
            <w:r>
              <w:rPr>
                <w:rFonts w:hint="eastAsia" w:ascii="宋体" w:hAnsi="宋体"/>
                <w:sz w:val="24"/>
                <w:szCs w:val="24"/>
              </w:rPr>
              <w:t>客服专员</w:t>
            </w:r>
          </w:p>
          <w:p>
            <w:pPr>
              <w:adjustRightInd w:val="0"/>
              <w:snapToGrid w:val="0"/>
              <w:rPr>
                <w:rFonts w:ascii="宋体" w:hAnsi="宋体"/>
                <w:sz w:val="24"/>
                <w:szCs w:val="24"/>
              </w:rPr>
            </w:pPr>
            <w:r>
              <w:rPr>
                <w:rFonts w:hint="eastAsia" w:ascii="宋体" w:hAnsi="宋体"/>
                <w:sz w:val="24"/>
                <w:szCs w:val="24"/>
              </w:rPr>
              <w:t>采购专员</w:t>
            </w:r>
          </w:p>
        </w:tc>
        <w:tc>
          <w:tcPr>
            <w:tcW w:w="2398" w:type="dxa"/>
            <w:vAlign w:val="center"/>
          </w:tcPr>
          <w:p>
            <w:pPr>
              <w:adjustRightInd w:val="0"/>
              <w:snapToGrid w:val="0"/>
              <w:rPr>
                <w:rFonts w:ascii="宋体" w:hAnsi="宋体"/>
                <w:sz w:val="24"/>
                <w:szCs w:val="24"/>
              </w:rPr>
            </w:pPr>
            <w:r>
              <w:rPr>
                <w:rFonts w:hint="eastAsia" w:ascii="宋体" w:hAnsi="宋体"/>
                <w:sz w:val="24"/>
                <w:szCs w:val="24"/>
              </w:rPr>
              <w:t>基于B2C跨境电子商务平台的产品展示、产品开发、数据挖掘及分析、跨境电商营销推广、进出口价格核算、成本控制、贸易磋商、平台规则等</w:t>
            </w:r>
          </w:p>
        </w:tc>
        <w:tc>
          <w:tcPr>
            <w:tcW w:w="2121" w:type="dxa"/>
            <w:vAlign w:val="center"/>
          </w:tcPr>
          <w:p>
            <w:pPr>
              <w:adjustRightInd w:val="0"/>
              <w:snapToGrid w:val="0"/>
              <w:rPr>
                <w:rFonts w:ascii="宋体" w:hAnsi="宋体" w:cs="Arial"/>
                <w:sz w:val="24"/>
                <w:szCs w:val="24"/>
              </w:rPr>
            </w:pPr>
            <w:r>
              <w:rPr>
                <w:rFonts w:hint="eastAsia" w:ascii="宋体" w:hAnsi="宋体" w:cs="Arial"/>
                <w:sz w:val="24"/>
                <w:szCs w:val="24"/>
              </w:rPr>
              <w:t>B2C跨境平台产品发布能力、产品开发能力、</w:t>
            </w:r>
            <w:r>
              <w:rPr>
                <w:rFonts w:hint="eastAsia" w:ascii="宋体" w:hAnsi="宋体"/>
                <w:sz w:val="24"/>
                <w:szCs w:val="24"/>
              </w:rPr>
              <w:t>跨境电商</w:t>
            </w:r>
            <w:r>
              <w:rPr>
                <w:rFonts w:hint="eastAsia" w:ascii="宋体" w:hAnsi="宋体" w:cs="Arial"/>
                <w:sz w:val="24"/>
                <w:szCs w:val="24"/>
              </w:rPr>
              <w:t>营销和推广能力、数据挖掘及分析能力、成本核算能力、贸易磋商能力</w:t>
            </w:r>
          </w:p>
        </w:tc>
        <w:tc>
          <w:tcPr>
            <w:tcW w:w="776" w:type="dxa"/>
            <w:vMerge w:val="continue"/>
            <w:vAlign w:val="center"/>
          </w:tcPr>
          <w:p>
            <w:pPr>
              <w:adjustRightInd w:val="0"/>
              <w:snapToGrid w:val="0"/>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60" w:type="dxa"/>
            <w:vAlign w:val="center"/>
          </w:tcPr>
          <w:p>
            <w:pPr>
              <w:adjustRightInd w:val="0"/>
              <w:snapToGrid w:val="0"/>
              <w:rPr>
                <w:rFonts w:ascii="宋体" w:hAnsi="宋体"/>
                <w:sz w:val="24"/>
                <w:szCs w:val="24"/>
              </w:rPr>
            </w:pPr>
            <w:r>
              <w:rPr>
                <w:rFonts w:hint="eastAsia" w:ascii="宋体" w:hAnsi="宋体"/>
                <w:sz w:val="24"/>
                <w:szCs w:val="24"/>
              </w:rPr>
              <w:t>外贸跟单能力模块</w:t>
            </w:r>
          </w:p>
        </w:tc>
        <w:tc>
          <w:tcPr>
            <w:tcW w:w="1843" w:type="dxa"/>
            <w:vAlign w:val="center"/>
          </w:tcPr>
          <w:p>
            <w:pPr>
              <w:adjustRightInd w:val="0"/>
              <w:snapToGrid w:val="0"/>
              <w:rPr>
                <w:rFonts w:ascii="宋体" w:hAnsi="宋体"/>
                <w:sz w:val="24"/>
                <w:szCs w:val="24"/>
              </w:rPr>
            </w:pPr>
            <w:r>
              <w:rPr>
                <w:rFonts w:hint="eastAsia" w:ascii="宋体" w:hAnsi="宋体"/>
                <w:sz w:val="24"/>
                <w:szCs w:val="24"/>
              </w:rPr>
              <w:t>外贸单证员</w:t>
            </w:r>
          </w:p>
          <w:p>
            <w:pPr>
              <w:adjustRightInd w:val="0"/>
              <w:snapToGrid w:val="0"/>
              <w:rPr>
                <w:rFonts w:ascii="宋体" w:hAnsi="宋体"/>
                <w:sz w:val="24"/>
                <w:szCs w:val="24"/>
              </w:rPr>
            </w:pPr>
            <w:r>
              <w:rPr>
                <w:rFonts w:hint="eastAsia" w:ascii="宋体" w:hAnsi="宋体"/>
                <w:sz w:val="24"/>
                <w:szCs w:val="24"/>
              </w:rPr>
              <w:t>外贸跟单员</w:t>
            </w:r>
          </w:p>
        </w:tc>
        <w:tc>
          <w:tcPr>
            <w:tcW w:w="2398" w:type="dxa"/>
            <w:vAlign w:val="center"/>
          </w:tcPr>
          <w:p>
            <w:pPr>
              <w:adjustRightInd w:val="0"/>
              <w:snapToGrid w:val="0"/>
              <w:rPr>
                <w:rFonts w:ascii="宋体" w:hAnsi="宋体"/>
                <w:sz w:val="24"/>
                <w:szCs w:val="24"/>
              </w:rPr>
            </w:pPr>
            <w:r>
              <w:rPr>
                <w:rFonts w:hint="eastAsia" w:ascii="宋体" w:hAnsi="宋体"/>
                <w:sz w:val="24"/>
                <w:szCs w:val="24"/>
              </w:rPr>
              <w:t>基于B2B跨境电子商务平台的履约流程、不同贸易术语和结算方式下的外贸单证制作方法、外贸跟单流程</w:t>
            </w:r>
          </w:p>
        </w:tc>
        <w:tc>
          <w:tcPr>
            <w:tcW w:w="2121" w:type="dxa"/>
            <w:vAlign w:val="center"/>
          </w:tcPr>
          <w:p>
            <w:pPr>
              <w:adjustRightInd w:val="0"/>
              <w:snapToGrid w:val="0"/>
              <w:rPr>
                <w:rFonts w:ascii="宋体" w:hAnsi="宋体" w:cs="Arial"/>
                <w:sz w:val="24"/>
                <w:szCs w:val="24"/>
              </w:rPr>
            </w:pPr>
            <w:r>
              <w:rPr>
                <w:rFonts w:hint="eastAsia" w:ascii="宋体" w:hAnsi="宋体" w:cs="Arial"/>
                <w:sz w:val="24"/>
                <w:szCs w:val="24"/>
              </w:rPr>
              <w:t>出口单证制作能力、出口跟单能力、进口单证制作能力、进口跟单能力</w:t>
            </w:r>
          </w:p>
        </w:tc>
        <w:tc>
          <w:tcPr>
            <w:tcW w:w="776" w:type="dxa"/>
            <w:vMerge w:val="continue"/>
            <w:vAlign w:val="center"/>
          </w:tcPr>
          <w:p>
            <w:pPr>
              <w:adjustRightInd w:val="0"/>
              <w:snapToGrid w:val="0"/>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60" w:type="dxa"/>
            <w:vAlign w:val="center"/>
          </w:tcPr>
          <w:p>
            <w:pPr>
              <w:adjustRightInd w:val="0"/>
              <w:snapToGrid w:val="0"/>
              <w:rPr>
                <w:rFonts w:ascii="宋体" w:hAnsi="宋体"/>
                <w:sz w:val="24"/>
                <w:szCs w:val="24"/>
              </w:rPr>
            </w:pPr>
            <w:r>
              <w:rPr>
                <w:rFonts w:hint="eastAsia" w:ascii="宋体" w:hAnsi="宋体"/>
                <w:sz w:val="24"/>
                <w:szCs w:val="24"/>
              </w:rPr>
              <w:t>外贸英语沟通能力模块</w:t>
            </w:r>
          </w:p>
        </w:tc>
        <w:tc>
          <w:tcPr>
            <w:tcW w:w="1843" w:type="dxa"/>
            <w:vAlign w:val="center"/>
          </w:tcPr>
          <w:p>
            <w:pPr>
              <w:adjustRightInd w:val="0"/>
              <w:snapToGrid w:val="0"/>
              <w:rPr>
                <w:rFonts w:ascii="宋体" w:hAnsi="宋体"/>
                <w:sz w:val="24"/>
                <w:szCs w:val="24"/>
              </w:rPr>
            </w:pPr>
            <w:r>
              <w:rPr>
                <w:rFonts w:hint="eastAsia" w:ascii="宋体" w:hAnsi="宋体"/>
                <w:sz w:val="24"/>
                <w:szCs w:val="24"/>
              </w:rPr>
              <w:t>外贸业务员</w:t>
            </w:r>
          </w:p>
          <w:p>
            <w:pPr>
              <w:adjustRightInd w:val="0"/>
              <w:snapToGrid w:val="0"/>
              <w:rPr>
                <w:rFonts w:ascii="宋体" w:hAnsi="宋体"/>
                <w:sz w:val="24"/>
                <w:szCs w:val="24"/>
              </w:rPr>
            </w:pPr>
            <w:r>
              <w:rPr>
                <w:rFonts w:hint="eastAsia" w:ascii="宋体" w:hAnsi="宋体"/>
                <w:sz w:val="24"/>
                <w:szCs w:val="24"/>
              </w:rPr>
              <w:t>跨境电商营销专员</w:t>
            </w:r>
          </w:p>
        </w:tc>
        <w:tc>
          <w:tcPr>
            <w:tcW w:w="2398" w:type="dxa"/>
            <w:vAlign w:val="center"/>
          </w:tcPr>
          <w:p>
            <w:pPr>
              <w:adjustRightInd w:val="0"/>
              <w:snapToGrid w:val="0"/>
              <w:rPr>
                <w:rFonts w:ascii="宋体" w:hAnsi="宋体"/>
                <w:sz w:val="24"/>
                <w:szCs w:val="24"/>
              </w:rPr>
            </w:pPr>
            <w:r>
              <w:rPr>
                <w:rFonts w:hint="eastAsia" w:ascii="宋体" w:hAnsi="宋体"/>
                <w:sz w:val="24"/>
                <w:szCs w:val="24"/>
              </w:rPr>
              <w:t>基于外贸英语沟通情境的商务接待和商务谈判</w:t>
            </w:r>
          </w:p>
        </w:tc>
        <w:tc>
          <w:tcPr>
            <w:tcW w:w="2121" w:type="dxa"/>
            <w:vAlign w:val="center"/>
          </w:tcPr>
          <w:p>
            <w:pPr>
              <w:adjustRightInd w:val="0"/>
              <w:snapToGrid w:val="0"/>
              <w:rPr>
                <w:rFonts w:ascii="宋体" w:hAnsi="宋体" w:cs="Arial"/>
                <w:sz w:val="24"/>
                <w:szCs w:val="24"/>
              </w:rPr>
            </w:pPr>
            <w:r>
              <w:rPr>
                <w:rFonts w:hint="eastAsia" w:ascii="宋体" w:hAnsi="宋体" w:cs="Arial"/>
                <w:sz w:val="24"/>
                <w:szCs w:val="24"/>
              </w:rPr>
              <w:t>商务接待、商务谈判等多种外贸场景及不同文化背景下的英语交流沟通能力</w:t>
            </w:r>
          </w:p>
        </w:tc>
        <w:tc>
          <w:tcPr>
            <w:tcW w:w="776" w:type="dxa"/>
            <w:vMerge w:val="continue"/>
            <w:vAlign w:val="center"/>
          </w:tcPr>
          <w:p>
            <w:pPr>
              <w:adjustRightInd w:val="0"/>
              <w:snapToGrid w:val="0"/>
              <w:rPr>
                <w:rFonts w:ascii="宋体" w:hAnsi="宋体"/>
                <w:szCs w:val="21"/>
              </w:rPr>
            </w:pPr>
          </w:p>
        </w:tc>
      </w:tr>
    </w:tbl>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（四）竞赛平台成熟。</w:t>
      </w:r>
      <w:r>
        <w:rPr>
          <w:rFonts w:hint="eastAsia" w:ascii="Arial Narrow" w:hAnsi="Arial Narrow" w:eastAsia="仿宋_GB2312"/>
          <w:sz w:val="30"/>
          <w:szCs w:val="30"/>
        </w:rPr>
        <w:t>根据行业特点，赛项选择相对先进、通用性强、社会保有量高的设备与软件</w:t>
      </w:r>
      <w:r>
        <w:rPr>
          <w:rFonts w:hint="eastAsia" w:ascii="Arial Narrow" w:hAnsi="Arial Narrow" w:eastAsia="仿宋_GB2312" w:cs="Arial"/>
          <w:sz w:val="30"/>
          <w:szCs w:val="30"/>
        </w:rPr>
        <w:t>。</w:t>
      </w:r>
    </w:p>
    <w:p>
      <w:pPr>
        <w:snapToGrid w:val="0"/>
        <w:spacing w:line="560" w:lineRule="exact"/>
        <w:ind w:firstLine="600" w:firstLineChars="200"/>
        <w:rPr>
          <w:rFonts w:ascii="Arial Narrow" w:hAnsi="Arial Narrow" w:eastAsia="仿宋_GB2312"/>
          <w:sz w:val="30"/>
          <w:szCs w:val="30"/>
        </w:rPr>
      </w:pPr>
      <w:r>
        <w:rPr>
          <w:rFonts w:hint="eastAsia" w:ascii="仿宋_GB2312" w:hAnsi="Arial Narrow" w:eastAsia="仿宋_GB2312" w:cs="Arial"/>
          <w:sz w:val="30"/>
          <w:szCs w:val="30"/>
        </w:rPr>
        <w:t>2018</w:t>
      </w:r>
      <w:r>
        <w:rPr>
          <w:rFonts w:hint="eastAsia" w:ascii="Arial Narrow" w:hAnsi="Arial Narrow" w:eastAsia="仿宋_GB2312" w:cs="Arial"/>
          <w:sz w:val="30"/>
          <w:szCs w:val="30"/>
        </w:rPr>
        <w:t>年全国职业院校技能大赛互联网+国际贸易综合技能赛项共有来自28个省、市、自治区的74支代表队参加，前期共有</w:t>
      </w:r>
      <w:r>
        <w:rPr>
          <w:rFonts w:hint="eastAsia" w:ascii="仿宋_GB2312" w:hAnsi="Arial Narrow" w:eastAsia="仿宋_GB2312" w:cs="Arial"/>
          <w:sz w:val="30"/>
          <w:szCs w:val="30"/>
        </w:rPr>
        <w:t>22</w:t>
      </w:r>
      <w:r>
        <w:rPr>
          <w:rFonts w:hint="eastAsia" w:ascii="Arial Narrow" w:hAnsi="Arial Narrow" w:eastAsia="仿宋_GB2312" w:cs="Arial"/>
          <w:sz w:val="30"/>
          <w:szCs w:val="30"/>
        </w:rPr>
        <w:t>个省、市、自治区举办了互联网+国际</w:t>
      </w:r>
      <w:r>
        <w:rPr>
          <w:rFonts w:hint="eastAsia" w:ascii="仿宋_GB2312" w:hAnsi="Arial Narrow" w:eastAsia="仿宋_GB2312" w:cs="Arial"/>
          <w:sz w:val="30"/>
          <w:szCs w:val="30"/>
        </w:rPr>
        <w:t>贸易综合技能的省赛或选拔赛，341所院校、396支队伍参</w:t>
      </w:r>
      <w:r>
        <w:rPr>
          <w:rFonts w:hint="eastAsia" w:ascii="Arial Narrow" w:hAnsi="Arial Narrow" w:eastAsia="仿宋_GB2312" w:cs="Arial"/>
          <w:sz w:val="30"/>
          <w:szCs w:val="30"/>
        </w:rPr>
        <w:t>与其中。赛项所选用的技术平台</w:t>
      </w:r>
      <w:r>
        <w:rPr>
          <w:rFonts w:hint="eastAsia" w:ascii="Arial Narrow" w:hAnsi="Arial Narrow" w:eastAsia="仿宋_GB2312"/>
          <w:sz w:val="30"/>
          <w:szCs w:val="30"/>
        </w:rPr>
        <w:t>在整个省赛和国赛期间，表现出了极强的稳定性，保证了竞赛公平、公正、顺利有序的进行。</w:t>
      </w:r>
    </w:p>
    <w:p>
      <w:pPr>
        <w:snapToGrid w:val="0"/>
        <w:spacing w:line="560" w:lineRule="exact"/>
        <w:ind w:firstLine="600" w:firstLineChars="200"/>
        <w:rPr>
          <w:rFonts w:ascii="仿宋_GB2312" w:hAnsi="Arial Narrow" w:eastAsia="仿宋_GB2312"/>
          <w:sz w:val="30"/>
          <w:szCs w:val="30"/>
        </w:rPr>
      </w:pPr>
      <w:r>
        <w:rPr>
          <w:rFonts w:hint="eastAsia" w:ascii="仿宋_GB2312" w:hAnsi="Arial Narrow" w:eastAsia="仿宋_GB2312"/>
          <w:sz w:val="30"/>
          <w:szCs w:val="30"/>
        </w:rPr>
        <w:t>竞赛平台在全国众多中高职与本科院校中被广泛使用，具有良好的校企合作基础。由全国外经贸职业教育教学指导委员会和中国国际贸易学会联合主办的全国外贸技能竞赛已经成功举办了10届，自2012年起至今连续6届采用该平台，做到零差错，受到组委会和参赛队的一致好评。此外，该平台2011年起至今承担了7届POCIB全国大学生外贸从业能力大赛，累计参赛学生超4万人，创全国外贸类竞赛规模之最。</w:t>
      </w:r>
    </w:p>
    <w:p>
      <w:pPr>
        <w:snapToGrid w:val="0"/>
        <w:spacing w:line="560" w:lineRule="exact"/>
        <w:ind w:firstLine="600" w:firstLineChars="200"/>
        <w:rPr>
          <w:rFonts w:ascii="仿宋_GB2312" w:hAnsi="Arial Narrow" w:eastAsia="仿宋_GB2312"/>
          <w:sz w:val="30"/>
          <w:szCs w:val="30"/>
        </w:rPr>
      </w:pPr>
      <w:r>
        <w:rPr>
          <w:rFonts w:hint="eastAsia" w:ascii="仿宋_GB2312" w:hAnsi="Arial Narrow" w:eastAsia="仿宋_GB2312"/>
          <w:sz w:val="30"/>
          <w:szCs w:val="30"/>
        </w:rPr>
        <w:t>综上所述，竞赛平台具有广泛的校企合作基础及教学应用实践，既能满足新形势下国际贸易的日常教学任务，培养学生的职业技能与素养，又具有先进性、稳定性、通用性等特性，可作为校级、省级和全国性比赛的平台，确保竞赛公平、公正、顺利有序地进行。</w:t>
      </w:r>
    </w:p>
    <w:p>
      <w:pPr>
        <w:pStyle w:val="2"/>
        <w:ind w:firstLine="600"/>
        <w:rPr>
          <w:rFonts w:ascii="Arial Narrow" w:hAnsi="Arial Narrow" w:eastAsia="仿宋_GB2312" w:cs="Arial"/>
        </w:rPr>
      </w:pPr>
      <w:bookmarkStart w:id="7" w:name="_Toc522017693"/>
      <w:r>
        <w:rPr>
          <w:rFonts w:hint="eastAsia"/>
        </w:rPr>
        <w:t>五、赛项方案的特色与创新点</w:t>
      </w:r>
      <w:bookmarkEnd w:id="7"/>
    </w:p>
    <w:p>
      <w:pPr>
        <w:snapToGrid w:val="0"/>
        <w:spacing w:line="560" w:lineRule="exact"/>
        <w:ind w:firstLine="600" w:firstLineChars="200"/>
        <w:rPr>
          <w:rFonts w:ascii="仿宋_GB2312" w:hAnsi="Arial Narrow" w:eastAsia="仿宋_GB2312" w:cs="Arial"/>
          <w:sz w:val="30"/>
          <w:szCs w:val="30"/>
        </w:rPr>
      </w:pPr>
      <w:r>
        <w:rPr>
          <w:rFonts w:hint="eastAsia" w:ascii="仿宋_GB2312" w:hAnsi="Arial Narrow" w:eastAsia="仿宋_GB2312" w:cs="Arial"/>
          <w:sz w:val="30"/>
          <w:szCs w:val="30"/>
        </w:rPr>
        <w:t>（一）竞赛内容以服务“一带一路”建设为核心，积极推进“贸易畅通”</w:t>
      </w:r>
    </w:p>
    <w:p>
      <w:pPr>
        <w:snapToGrid w:val="0"/>
        <w:spacing w:line="560" w:lineRule="exact"/>
        <w:ind w:firstLine="600" w:firstLineChars="200"/>
        <w:rPr>
          <w:rFonts w:ascii="仿宋_GB2312" w:hAnsi="Arial Narrow" w:eastAsia="仿宋_GB2312" w:cs="Arial"/>
          <w:sz w:val="30"/>
          <w:szCs w:val="30"/>
        </w:rPr>
      </w:pPr>
      <w:r>
        <w:rPr>
          <w:rFonts w:hint="eastAsia" w:ascii="仿宋_GB2312" w:hAnsi="Arial Narrow" w:eastAsia="仿宋_GB2312" w:cs="Arial"/>
          <w:sz w:val="30"/>
          <w:szCs w:val="30"/>
        </w:rPr>
        <w:t>竞赛设计将连接、开放、协作、共享的互联网思维融入到传统国际贸易中，内容为基于B2B及B2C跨境电子商务平台的外贸业务能力模块、外贸跟单能力模块、外贸英语沟通能力模块，涵盖B2B及B2C跨境电子商务平台产品发布、营销推广、商务沟通、磋商签约、单证、跟单等外贸综合业务操作,以B2B、B2C跨境电子商务创新贸易方式为手段，积极挖掘贸易新增长点，巩固和扩大传统贸易，利用信息技术实现生产者与消费者、线上和线下的全面对接，积极服务“一带一路”倡议中贸易自由化、便利化、实现贸易畅通的合作重点。</w:t>
      </w:r>
    </w:p>
    <w:p>
      <w:pPr>
        <w:snapToGrid w:val="0"/>
        <w:spacing w:line="560" w:lineRule="exact"/>
        <w:ind w:firstLine="600" w:firstLineChars="200"/>
        <w:rPr>
          <w:rFonts w:ascii="仿宋_GB2312" w:hAnsi="Arial Narrow" w:eastAsia="仿宋_GB2312" w:cs="Arial"/>
          <w:sz w:val="30"/>
          <w:szCs w:val="30"/>
        </w:rPr>
      </w:pPr>
      <w:r>
        <w:rPr>
          <w:rFonts w:hint="eastAsia" w:ascii="仿宋_GB2312" w:hAnsi="Arial Narrow" w:eastAsia="仿宋_GB2312" w:cs="Arial"/>
          <w:sz w:val="30"/>
          <w:szCs w:val="30"/>
        </w:rPr>
        <w:t>（二）竞赛形式真实还原工作岗位环境，竞赛过程体现团队合作和竞争对抗</w:t>
      </w:r>
    </w:p>
    <w:p>
      <w:pPr>
        <w:snapToGrid w:val="0"/>
        <w:spacing w:line="560" w:lineRule="exact"/>
        <w:ind w:firstLine="600" w:firstLineChars="200"/>
        <w:rPr>
          <w:rFonts w:ascii="仿宋_GB2312" w:hAnsi="Arial Narrow" w:eastAsia="仿宋_GB2312" w:cs="Arial"/>
          <w:sz w:val="30"/>
          <w:szCs w:val="30"/>
        </w:rPr>
      </w:pPr>
      <w:r>
        <w:rPr>
          <w:rFonts w:hint="eastAsia" w:ascii="仿宋_GB2312" w:hAnsi="Arial Narrow" w:eastAsia="仿宋_GB2312" w:cs="Arial"/>
          <w:sz w:val="30"/>
          <w:szCs w:val="30"/>
        </w:rPr>
        <w:t>竞赛组织流程及每个细节都真实再现了互联网+国际贸易活动中各个岗位所应具备的操作技能与职业素养，完全贴合企业一线岗位的实际工作需要。</w:t>
      </w:r>
    </w:p>
    <w:p>
      <w:pPr>
        <w:snapToGrid w:val="0"/>
        <w:spacing w:line="560" w:lineRule="exact"/>
        <w:ind w:firstLine="600" w:firstLineChars="200"/>
        <w:rPr>
          <w:rFonts w:ascii="仿宋_GB2312" w:hAnsi="Arial Narrow" w:eastAsia="仿宋_GB2312" w:cs="Arial"/>
          <w:sz w:val="30"/>
          <w:szCs w:val="30"/>
        </w:rPr>
      </w:pPr>
      <w:r>
        <w:rPr>
          <w:rFonts w:hint="eastAsia" w:ascii="仿宋_GB2312" w:hAnsi="Arial Narrow" w:eastAsia="仿宋_GB2312" w:cs="Arial"/>
          <w:sz w:val="30"/>
          <w:szCs w:val="30"/>
        </w:rPr>
        <w:t>竞赛过程真实反映互联网＋国际贸易业务中不同国家企业间的合作与竞争，需要选手用合作共赢的心态、坚实的理论、熟练的操作、稳定的心理素质、快速的应变能力和紧密的团队合作来完成竞赛任务，提升选手的团队合作精神与竞争意识。</w:t>
      </w:r>
    </w:p>
    <w:p>
      <w:pPr>
        <w:snapToGrid w:val="0"/>
        <w:spacing w:line="560" w:lineRule="exact"/>
        <w:ind w:firstLine="600" w:firstLineChars="200"/>
        <w:rPr>
          <w:rFonts w:ascii="仿宋_GB2312" w:hAnsi="Arial Narrow" w:eastAsia="仿宋_GB2312" w:cs="Arial"/>
          <w:sz w:val="30"/>
          <w:szCs w:val="30"/>
        </w:rPr>
      </w:pPr>
      <w:r>
        <w:rPr>
          <w:rFonts w:hint="eastAsia" w:ascii="仿宋_GB2312" w:hAnsi="Arial Narrow" w:eastAsia="仿宋_GB2312" w:cs="Arial"/>
          <w:sz w:val="30"/>
          <w:szCs w:val="30"/>
        </w:rPr>
        <w:t>（三）竞赛资源可实现快速转化，全方位服务专业建设，推进教学改革</w:t>
      </w:r>
    </w:p>
    <w:p>
      <w:pPr>
        <w:snapToGrid w:val="0"/>
        <w:spacing w:line="560" w:lineRule="exact"/>
        <w:ind w:firstLine="600" w:firstLineChars="200"/>
        <w:rPr>
          <w:rFonts w:ascii="仿宋_GB2312" w:hAnsi="Arial Narrow" w:eastAsia="仿宋_GB2312" w:cs="Arial"/>
          <w:sz w:val="30"/>
          <w:szCs w:val="30"/>
        </w:rPr>
      </w:pPr>
      <w:r>
        <w:rPr>
          <w:rFonts w:hint="eastAsia" w:ascii="仿宋_GB2312" w:hAnsi="微软雅黑" w:eastAsia="仿宋_GB2312" w:cs="Arial"/>
          <w:sz w:val="30"/>
          <w:szCs w:val="30"/>
        </w:rPr>
        <w:t>依据竞赛赛题及竞赛规程编写实训教程，可面向全国高职院校发行，将竞赛任务转化为教学内容。同时将竞赛</w:t>
      </w:r>
      <w:r>
        <w:rPr>
          <w:rFonts w:hint="eastAsia" w:ascii="仿宋_GB2312" w:hAnsi="Arial Narrow" w:eastAsia="仿宋_GB2312" w:cs="Arial"/>
          <w:sz w:val="30"/>
          <w:szCs w:val="30"/>
        </w:rPr>
        <w:t>题库与竞赛平台相结合，形成专业教学软件，实现竞赛资源的快速转化，服务院校专业建设，推进专业教学改革。</w:t>
      </w:r>
    </w:p>
    <w:p>
      <w:pPr>
        <w:snapToGrid w:val="0"/>
        <w:spacing w:line="560" w:lineRule="exact"/>
        <w:ind w:firstLine="600" w:firstLineChars="200"/>
        <w:rPr>
          <w:rFonts w:ascii="仿宋_GB2312" w:hAnsi="Arial Narrow" w:eastAsia="仿宋_GB2312" w:cs="Arial"/>
          <w:sz w:val="30"/>
          <w:szCs w:val="30"/>
        </w:rPr>
      </w:pPr>
      <w:r>
        <w:rPr>
          <w:rFonts w:hint="eastAsia" w:ascii="仿宋_GB2312" w:hAnsi="Arial Narrow" w:eastAsia="仿宋_GB2312" w:cs="Arial"/>
          <w:sz w:val="30"/>
          <w:szCs w:val="30"/>
        </w:rPr>
        <w:t>竞赛基于互联网的应用平台，突破地域限制，可举办与国赛配套的行业赛事或校际赛事，充分发挥互联网的功效，提高学生的参与度，真正做到以赛促学、以赛促教、以赛促改。</w:t>
      </w:r>
    </w:p>
    <w:p>
      <w:pPr>
        <w:snapToGrid w:val="0"/>
        <w:spacing w:line="560" w:lineRule="exact"/>
        <w:ind w:firstLine="600" w:firstLineChars="200"/>
        <w:rPr>
          <w:rFonts w:ascii="仿宋_GB2312" w:hAnsi="Arial Narrow" w:eastAsia="仿宋_GB2312" w:cs="Arial"/>
          <w:sz w:val="30"/>
          <w:szCs w:val="30"/>
        </w:rPr>
      </w:pPr>
      <w:r>
        <w:rPr>
          <w:rFonts w:hint="eastAsia" w:ascii="仿宋_GB2312" w:hAnsi="Arial Narrow" w:eastAsia="仿宋_GB2312" w:cs="Arial"/>
          <w:sz w:val="30"/>
          <w:szCs w:val="30"/>
        </w:rPr>
        <w:t>（四）题库公开及评判过程体现公开、公平、公正</w:t>
      </w:r>
    </w:p>
    <w:p>
      <w:pPr>
        <w:snapToGrid w:val="0"/>
        <w:spacing w:line="560" w:lineRule="exact"/>
        <w:ind w:firstLine="600" w:firstLineChars="200"/>
        <w:rPr>
          <w:rFonts w:ascii="仿宋_GB2312" w:hAnsi="Arial Narrow" w:eastAsia="仿宋_GB2312" w:cs="Arial"/>
          <w:sz w:val="30"/>
          <w:szCs w:val="30"/>
        </w:rPr>
      </w:pPr>
      <w:r>
        <w:rPr>
          <w:rFonts w:hint="eastAsia" w:ascii="仿宋_GB2312" w:hAnsi="Arial Narrow" w:eastAsia="仿宋_GB2312" w:cs="Arial"/>
          <w:sz w:val="30"/>
          <w:szCs w:val="30"/>
        </w:rPr>
        <w:t>本赛项题库将全部公开，竞赛将严格按照规定执行。外贸业务能力模块、外贸跟单能力模块基于B2B、B2C跨境电子商务平台，对接外贸业务操作各环节的工作任务，并由系统开展自动化评判。竞赛现场将实时直播，确保整个竞赛过程及结果的客观、公平、公正。</w:t>
      </w:r>
    </w:p>
    <w:p>
      <w:pPr>
        <w:pStyle w:val="2"/>
        <w:ind w:firstLine="600"/>
      </w:pPr>
      <w:bookmarkStart w:id="8" w:name="_Toc522017694"/>
      <w:r>
        <w:rPr>
          <w:rFonts w:hint="eastAsia"/>
        </w:rPr>
        <w:t>六、竞赛内容简介（须附英文对照简介）</w:t>
      </w:r>
      <w:bookmarkEnd w:id="8"/>
    </w:p>
    <w:p>
      <w:pPr>
        <w:snapToGrid w:val="0"/>
        <w:spacing w:line="560" w:lineRule="exact"/>
        <w:ind w:firstLine="600" w:firstLineChars="200"/>
        <w:rPr>
          <w:rFonts w:ascii="仿宋_GB2312" w:hAnsi="Arial Narrow" w:eastAsia="仿宋_GB2312" w:cs="Arial"/>
          <w:sz w:val="30"/>
          <w:szCs w:val="30"/>
        </w:rPr>
      </w:pPr>
      <w:r>
        <w:rPr>
          <w:rFonts w:hint="eastAsia" w:ascii="仿宋_GB2312" w:hAnsi="Arial Narrow" w:eastAsia="仿宋_GB2312" w:cs="Arial"/>
          <w:sz w:val="30"/>
          <w:szCs w:val="30"/>
        </w:rPr>
        <w:t>本竞赛分为外贸业务能力B2B模块、外贸业务能力B2C模块、外贸跟单能力模块和外贸英语沟通能力模块四项内容。</w:t>
      </w:r>
    </w:p>
    <w:p>
      <w:pPr>
        <w:snapToGrid w:val="0"/>
        <w:spacing w:line="560" w:lineRule="exact"/>
        <w:ind w:firstLine="600" w:firstLineChars="200"/>
        <w:rPr>
          <w:rFonts w:ascii="仿宋_GB2312" w:hAnsi="Arial Narrow" w:eastAsia="仿宋_GB2312" w:cs="Arial"/>
          <w:sz w:val="30"/>
          <w:szCs w:val="30"/>
        </w:rPr>
      </w:pPr>
      <w:r>
        <w:rPr>
          <w:rFonts w:hint="eastAsia" w:ascii="仿宋_GB2312" w:hAnsi="Arial Narrow" w:eastAsia="仿宋_GB2312" w:cs="Arial"/>
          <w:sz w:val="30"/>
          <w:szCs w:val="30"/>
        </w:rPr>
        <w:t>外贸业务能力B2B模块：各参赛院校选手通过B2B跨境电子商务平台推广公司和产品，带来业务机会，并与其他国家区域的选手磋商交易，业务操作至合同签订为止。选手需在规定时间内争取尽量多的业务机会，体现业务多样性，同时还必须做好每笔业务的成本核算，实现利润最大化。</w:t>
      </w:r>
    </w:p>
    <w:p>
      <w:pPr>
        <w:snapToGrid w:val="0"/>
        <w:spacing w:line="560" w:lineRule="exact"/>
        <w:ind w:firstLine="600" w:firstLineChars="200"/>
        <w:rPr>
          <w:rFonts w:ascii="仿宋_GB2312" w:hAnsi="Arial Narrow" w:eastAsia="仿宋_GB2312" w:cs="Arial"/>
          <w:sz w:val="30"/>
          <w:szCs w:val="30"/>
        </w:rPr>
      </w:pPr>
      <w:r>
        <w:rPr>
          <w:rFonts w:hint="eastAsia" w:ascii="仿宋_GB2312" w:hAnsi="Arial Narrow" w:eastAsia="仿宋_GB2312" w:cs="Arial"/>
          <w:sz w:val="30"/>
          <w:szCs w:val="30"/>
        </w:rPr>
        <w:t>外贸业务能力B2C模块：各参赛院校选手通过B2C跨境电子商务竞赛系统，在规定时间内就B2C跨境电子商务平台产品推广、产品开发、运费模板设置、数据挖掘与分析、引流营销、客户服务、平台规则、物流采购等业务操作环节作答。考察选手在基于B2C跨境电子商务平台下的外贸业务应用能力。</w:t>
      </w:r>
    </w:p>
    <w:p>
      <w:pPr>
        <w:snapToGrid w:val="0"/>
        <w:spacing w:line="560" w:lineRule="exact"/>
        <w:ind w:firstLine="600" w:firstLineChars="200"/>
        <w:rPr>
          <w:rFonts w:ascii="仿宋_GB2312" w:hAnsi="Arial Narrow" w:eastAsia="仿宋_GB2312" w:cs="Arial"/>
          <w:sz w:val="30"/>
          <w:szCs w:val="30"/>
        </w:rPr>
      </w:pPr>
      <w:r>
        <w:rPr>
          <w:rFonts w:hint="eastAsia" w:ascii="仿宋_GB2312" w:hAnsi="Arial Narrow" w:eastAsia="仿宋_GB2312" w:cs="Arial"/>
          <w:sz w:val="30"/>
          <w:szCs w:val="30"/>
        </w:rPr>
        <w:t>外贸跟单能力模块：根据给定的进出口合同，每队选手需完成一笔出口业务和一笔进口业务的后续履约流程。考察选手在不同贸易术语和结算方式下的外贸单证制作能力和外贸跟单能力。</w:t>
      </w:r>
    </w:p>
    <w:p>
      <w:pPr>
        <w:snapToGrid w:val="0"/>
        <w:spacing w:line="560" w:lineRule="exact"/>
        <w:ind w:firstLine="600" w:firstLineChars="200"/>
        <w:rPr>
          <w:rFonts w:ascii="仿宋_GB2312" w:hAnsi="Arial Narrow" w:eastAsia="仿宋_GB2312" w:cs="Arial"/>
          <w:sz w:val="30"/>
          <w:szCs w:val="30"/>
        </w:rPr>
      </w:pPr>
      <w:r>
        <w:rPr>
          <w:rFonts w:hint="eastAsia" w:ascii="仿宋_GB2312" w:hAnsi="Arial Narrow" w:eastAsia="仿宋_GB2312" w:cs="Arial"/>
          <w:sz w:val="30"/>
          <w:szCs w:val="30"/>
        </w:rPr>
        <w:t>外贸英语沟通能力模块：以外贸业务流程、商务接待、商务谈判等情境为背景，以沟通过程与内容为载体，以英语口语表达为形式，考察选手在外贸业务环节中的英语沟通能力。</w:t>
      </w:r>
    </w:p>
    <w:p>
      <w:pPr>
        <w:adjustRightInd w:val="0"/>
        <w:snapToGrid w:val="0"/>
        <w:spacing w:line="560" w:lineRule="exact"/>
        <w:rPr>
          <w:rFonts w:ascii="Times New Roman" w:hAnsi="Times New Roman" w:eastAsia="仿宋"/>
          <w:sz w:val="28"/>
          <w:szCs w:val="28"/>
          <w:shd w:val="clear" w:color="auto" w:fill="FFFFFF"/>
        </w:rPr>
      </w:pPr>
      <w:r>
        <w:rPr>
          <w:rFonts w:hint="eastAsia" w:ascii="Times New Roman" w:hAnsi="Times New Roman" w:eastAsia="仿宋"/>
          <w:sz w:val="28"/>
          <w:szCs w:val="28"/>
          <w:shd w:val="clear" w:color="auto" w:fill="FFFFFF"/>
        </w:rPr>
        <w:t xml:space="preserve">    </w:t>
      </w:r>
      <w:r>
        <w:rPr>
          <w:rFonts w:ascii="Times New Roman" w:hAnsi="Times New Roman" w:eastAsia="仿宋"/>
          <w:sz w:val="28"/>
          <w:szCs w:val="28"/>
          <w:shd w:val="clear" w:color="auto" w:fill="FFFFFF"/>
        </w:rPr>
        <w:t xml:space="preserve">The competition is consisted of </w:t>
      </w:r>
      <w:r>
        <w:rPr>
          <w:rFonts w:hint="eastAsia" w:ascii="Times New Roman" w:hAnsi="Times New Roman" w:eastAsia="仿宋"/>
          <w:sz w:val="28"/>
          <w:szCs w:val="28"/>
          <w:shd w:val="clear" w:color="auto" w:fill="FFFFFF"/>
        </w:rPr>
        <w:t>four</w:t>
      </w:r>
      <w:r>
        <w:rPr>
          <w:rFonts w:ascii="Times New Roman" w:hAnsi="Times New Roman" w:eastAsia="仿宋"/>
          <w:sz w:val="28"/>
          <w:szCs w:val="28"/>
          <w:shd w:val="clear" w:color="auto" w:fill="FFFFFF"/>
        </w:rPr>
        <w:t xml:space="preserve"> individual modules examining competitors’ competences in handling </w:t>
      </w:r>
      <w:r>
        <w:rPr>
          <w:rFonts w:hint="eastAsia" w:ascii="Times New Roman" w:hAnsi="Times New Roman" w:eastAsia="仿宋"/>
          <w:sz w:val="28"/>
          <w:szCs w:val="28"/>
          <w:shd w:val="clear" w:color="auto" w:fill="FFFFFF"/>
        </w:rPr>
        <w:t xml:space="preserve">B2B module of </w:t>
      </w:r>
      <w:r>
        <w:rPr>
          <w:rFonts w:ascii="Times New Roman" w:hAnsi="Times New Roman" w:eastAsia="仿宋"/>
          <w:sz w:val="28"/>
          <w:szCs w:val="28"/>
          <w:shd w:val="clear" w:color="auto" w:fill="FFFFFF"/>
        </w:rPr>
        <w:t>foreign trade business</w:t>
      </w:r>
      <w:r>
        <w:rPr>
          <w:rFonts w:hint="eastAsia" w:ascii="Times New Roman" w:hAnsi="Times New Roman" w:eastAsia="仿宋"/>
          <w:sz w:val="28"/>
          <w:szCs w:val="28"/>
          <w:shd w:val="clear" w:color="auto" w:fill="FFFFFF"/>
        </w:rPr>
        <w:t xml:space="preserve">, B2C module of </w:t>
      </w:r>
      <w:r>
        <w:rPr>
          <w:rFonts w:ascii="Times New Roman" w:hAnsi="Times New Roman" w:eastAsia="仿宋"/>
          <w:sz w:val="28"/>
          <w:szCs w:val="28"/>
          <w:shd w:val="clear" w:color="auto" w:fill="FFFFFF"/>
        </w:rPr>
        <w:t>foreign trade business, foreign trade documentary</w:t>
      </w:r>
      <w:r>
        <w:rPr>
          <w:rFonts w:hint="eastAsia" w:ascii="Times New Roman" w:hAnsi="Times New Roman" w:eastAsia="仿宋"/>
          <w:sz w:val="28"/>
          <w:szCs w:val="28"/>
          <w:shd w:val="clear" w:color="auto" w:fill="FFFFFF"/>
        </w:rPr>
        <w:t xml:space="preserve"> </w:t>
      </w:r>
      <w:r>
        <w:rPr>
          <w:rFonts w:ascii="Times New Roman" w:hAnsi="Times New Roman" w:eastAsia="仿宋"/>
          <w:sz w:val="28"/>
          <w:szCs w:val="28"/>
          <w:shd w:val="clear" w:color="auto" w:fill="FFFFFF"/>
        </w:rPr>
        <w:t>and foreign trade</w:t>
      </w:r>
      <w:r>
        <w:rPr>
          <w:rFonts w:hint="eastAsia" w:ascii="Times New Roman" w:hAnsi="Times New Roman" w:eastAsia="仿宋"/>
          <w:sz w:val="28"/>
          <w:szCs w:val="28"/>
          <w:shd w:val="clear" w:color="auto" w:fill="FFFFFF"/>
        </w:rPr>
        <w:t xml:space="preserve"> English</w:t>
      </w:r>
      <w:r>
        <w:rPr>
          <w:rFonts w:ascii="Times New Roman" w:hAnsi="Times New Roman" w:eastAsia="仿宋"/>
          <w:sz w:val="28"/>
          <w:szCs w:val="28"/>
          <w:shd w:val="clear" w:color="auto" w:fill="FFFFFF"/>
        </w:rPr>
        <w:t xml:space="preserve"> communication</w:t>
      </w:r>
      <w:r>
        <w:rPr>
          <w:rFonts w:hint="eastAsia" w:ascii="Times New Roman" w:hAnsi="Times New Roman" w:eastAsia="仿宋"/>
          <w:sz w:val="28"/>
          <w:szCs w:val="28"/>
          <w:shd w:val="clear" w:color="auto" w:fill="FFFFFF"/>
        </w:rPr>
        <w:t>.</w:t>
      </w:r>
    </w:p>
    <w:p>
      <w:pPr>
        <w:adjustRightInd w:val="0"/>
        <w:snapToGrid w:val="0"/>
        <w:spacing w:line="560" w:lineRule="exact"/>
        <w:rPr>
          <w:rFonts w:ascii="Times New Roman" w:hAnsi="Times New Roman" w:eastAsia="仿宋"/>
          <w:sz w:val="28"/>
          <w:szCs w:val="28"/>
          <w:shd w:val="clear" w:color="auto" w:fill="FFFFFF"/>
        </w:rPr>
      </w:pPr>
      <w:r>
        <w:rPr>
          <w:rFonts w:hint="eastAsia" w:ascii="Times New Roman" w:hAnsi="Times New Roman" w:eastAsia="仿宋"/>
          <w:sz w:val="28"/>
          <w:szCs w:val="28"/>
          <w:shd w:val="clear" w:color="auto" w:fill="FFFFFF"/>
        </w:rPr>
        <w:t xml:space="preserve">    B2B</w:t>
      </w:r>
      <w:r>
        <w:rPr>
          <w:rFonts w:ascii="Times New Roman" w:hAnsi="Times New Roman" w:eastAsia="仿宋"/>
          <w:sz w:val="28"/>
          <w:szCs w:val="28"/>
          <w:shd w:val="clear" w:color="auto" w:fill="FFFFFF"/>
        </w:rPr>
        <w:t xml:space="preserve"> module of competence in handling foreign trade business:</w:t>
      </w:r>
      <w:r>
        <w:rPr>
          <w:rFonts w:hint="eastAsia" w:ascii="Times New Roman" w:hAnsi="Times New Roman" w:eastAsia="仿宋"/>
          <w:sz w:val="28"/>
          <w:szCs w:val="28"/>
          <w:shd w:val="clear" w:color="auto" w:fill="FFFFFF"/>
        </w:rPr>
        <w:t xml:space="preserve"> T</w:t>
      </w:r>
      <w:r>
        <w:rPr>
          <w:rFonts w:ascii="Times New Roman" w:hAnsi="Times New Roman" w:eastAsia="仿宋"/>
          <w:sz w:val="28"/>
          <w:szCs w:val="28"/>
          <w:shd w:val="clear" w:color="auto" w:fill="FFFFFF"/>
        </w:rPr>
        <w:t>he competitors from participating colleges must promote their companies and products through B2B cross-border e-commerce platform</w:t>
      </w:r>
      <w:r>
        <w:rPr>
          <w:rFonts w:hint="eastAsia" w:ascii="Times New Roman" w:hAnsi="Times New Roman" w:eastAsia="仿宋"/>
          <w:sz w:val="28"/>
          <w:szCs w:val="28"/>
          <w:shd w:val="clear" w:color="auto" w:fill="FFFFFF"/>
        </w:rPr>
        <w:t xml:space="preserve"> </w:t>
      </w:r>
      <w:r>
        <w:rPr>
          <w:rFonts w:ascii="Times New Roman" w:hAnsi="Times New Roman" w:eastAsia="仿宋"/>
          <w:sz w:val="28"/>
          <w:szCs w:val="28"/>
          <w:shd w:val="clear" w:color="auto" w:fill="FFFFFF"/>
        </w:rPr>
        <w:t>to bring business opportunities, and negotiate with their counterparts from</w:t>
      </w:r>
      <w:r>
        <w:rPr>
          <w:rFonts w:hint="eastAsia" w:ascii="Times New Roman" w:hAnsi="Times New Roman" w:eastAsia="仿宋"/>
          <w:sz w:val="28"/>
          <w:szCs w:val="28"/>
          <w:shd w:val="clear" w:color="auto" w:fill="FFFFFF"/>
        </w:rPr>
        <w:t xml:space="preserve"> </w:t>
      </w:r>
      <w:r>
        <w:rPr>
          <w:rFonts w:ascii="Times New Roman" w:hAnsi="Times New Roman" w:eastAsia="仿宋"/>
          <w:sz w:val="28"/>
          <w:szCs w:val="28"/>
          <w:shd w:val="clear" w:color="auto" w:fill="FFFFFF"/>
        </w:rPr>
        <w:t>other countries and regions,</w:t>
      </w:r>
      <w:r>
        <w:rPr>
          <w:rFonts w:hint="eastAsia" w:ascii="Times New Roman" w:hAnsi="Times New Roman" w:eastAsia="仿宋"/>
          <w:sz w:val="28"/>
          <w:szCs w:val="28"/>
          <w:shd w:val="clear" w:color="auto" w:fill="FFFFFF"/>
        </w:rPr>
        <w:t xml:space="preserve"> </w:t>
      </w:r>
      <w:r>
        <w:rPr>
          <w:rFonts w:ascii="Times New Roman" w:hAnsi="Times New Roman" w:eastAsia="仿宋"/>
          <w:sz w:val="28"/>
          <w:szCs w:val="28"/>
          <w:shd w:val="clear" w:color="auto" w:fill="FFFFFF"/>
        </w:rPr>
        <w:t>go through</w:t>
      </w:r>
      <w:r>
        <w:rPr>
          <w:rFonts w:hint="eastAsia" w:ascii="Times New Roman" w:hAnsi="Times New Roman" w:eastAsia="仿宋"/>
          <w:sz w:val="28"/>
          <w:szCs w:val="28"/>
          <w:shd w:val="clear" w:color="auto" w:fill="FFFFFF"/>
        </w:rPr>
        <w:t xml:space="preserve"> </w:t>
      </w:r>
      <w:r>
        <w:rPr>
          <w:rFonts w:ascii="Times New Roman" w:hAnsi="Times New Roman" w:eastAsia="仿宋"/>
          <w:sz w:val="28"/>
          <w:szCs w:val="28"/>
          <w:shd w:val="clear" w:color="auto" w:fill="FFFFFF"/>
        </w:rPr>
        <w:t>business procedures and sign the</w:t>
      </w:r>
      <w:r>
        <w:rPr>
          <w:rFonts w:hint="eastAsia" w:ascii="Times New Roman" w:hAnsi="Times New Roman" w:eastAsia="仿宋"/>
          <w:sz w:val="28"/>
          <w:szCs w:val="28"/>
          <w:shd w:val="clear" w:color="auto" w:fill="FFFFFF"/>
        </w:rPr>
        <w:t xml:space="preserve"> </w:t>
      </w:r>
      <w:r>
        <w:rPr>
          <w:rFonts w:ascii="Times New Roman" w:hAnsi="Times New Roman" w:eastAsia="仿宋"/>
          <w:sz w:val="28"/>
          <w:szCs w:val="28"/>
          <w:shd w:val="clear" w:color="auto" w:fill="FFFFFF"/>
        </w:rPr>
        <w:t>contracts. The competitors</w:t>
      </w:r>
      <w:r>
        <w:rPr>
          <w:rFonts w:hint="eastAsia" w:ascii="Times New Roman" w:hAnsi="Times New Roman" w:eastAsia="仿宋"/>
          <w:sz w:val="28"/>
          <w:szCs w:val="28"/>
          <w:shd w:val="clear" w:color="auto" w:fill="FFFFFF"/>
        </w:rPr>
        <w:t xml:space="preserve"> </w:t>
      </w:r>
      <w:r>
        <w:rPr>
          <w:rFonts w:ascii="Times New Roman" w:hAnsi="Times New Roman" w:eastAsia="仿宋"/>
          <w:sz w:val="28"/>
          <w:szCs w:val="28"/>
          <w:shd w:val="clear" w:color="auto" w:fill="FFFFFF"/>
        </w:rPr>
        <w:t>need to get as many business opportunities as possible within the limited time,</w:t>
      </w:r>
      <w:r>
        <w:rPr>
          <w:rFonts w:hint="eastAsia" w:ascii="Times New Roman" w:hAnsi="Times New Roman" w:eastAsia="仿宋"/>
          <w:sz w:val="28"/>
          <w:szCs w:val="28"/>
          <w:shd w:val="clear" w:color="auto" w:fill="FFFFFF"/>
        </w:rPr>
        <w:t xml:space="preserve"> </w:t>
      </w:r>
      <w:r>
        <w:rPr>
          <w:rFonts w:ascii="Times New Roman" w:hAnsi="Times New Roman" w:eastAsia="仿宋"/>
          <w:sz w:val="28"/>
          <w:szCs w:val="28"/>
          <w:shd w:val="clear" w:color="auto" w:fill="FFFFFF"/>
        </w:rPr>
        <w:t>to present different business modes.</w:t>
      </w:r>
      <w:r>
        <w:rPr>
          <w:rFonts w:hint="eastAsia" w:ascii="Times New Roman" w:hAnsi="Times New Roman" w:eastAsia="仿宋"/>
          <w:sz w:val="28"/>
          <w:szCs w:val="28"/>
          <w:shd w:val="clear" w:color="auto" w:fill="FFFFFF"/>
        </w:rPr>
        <w:t xml:space="preserve"> </w:t>
      </w:r>
      <w:r>
        <w:rPr>
          <w:rFonts w:ascii="Times New Roman" w:hAnsi="Times New Roman" w:eastAsia="仿宋"/>
          <w:sz w:val="28"/>
          <w:szCs w:val="28"/>
          <w:shd w:val="clear" w:color="auto" w:fill="FFFFFF"/>
        </w:rPr>
        <w:t xml:space="preserve">Meanwhile, the competitors must do a good job in the cost accounting for each business to achieve maximum profit. </w:t>
      </w:r>
    </w:p>
    <w:p>
      <w:pPr>
        <w:adjustRightInd w:val="0"/>
        <w:snapToGrid w:val="0"/>
        <w:spacing w:line="560" w:lineRule="exact"/>
        <w:rPr>
          <w:rFonts w:ascii="Times New Roman" w:hAnsi="Times New Roman" w:eastAsia="仿宋"/>
          <w:sz w:val="28"/>
          <w:szCs w:val="28"/>
          <w:shd w:val="clear" w:color="auto" w:fill="FFFFFF"/>
        </w:rPr>
      </w:pPr>
      <w:r>
        <w:rPr>
          <w:rFonts w:hint="eastAsia" w:ascii="Times New Roman" w:hAnsi="Times New Roman" w:eastAsia="仿宋"/>
          <w:sz w:val="28"/>
          <w:szCs w:val="28"/>
          <w:shd w:val="clear" w:color="auto" w:fill="FFFFFF"/>
        </w:rPr>
        <w:t xml:space="preserve">    B2C module of competence in handling foreign trade business: The competitors must finish answering all questions about B2C cross-border e-commerce platform such as product promotion, product development, freight arrangement, data mining and analysis, drainage marketing, customer service, platform rules, logistics and procurement within the stipulated time by B2C cross-border e-commerce </w:t>
      </w:r>
      <w:r>
        <w:rPr>
          <w:rFonts w:ascii="Times New Roman" w:hAnsi="Times New Roman" w:eastAsia="仿宋"/>
          <w:sz w:val="28"/>
          <w:szCs w:val="28"/>
          <w:shd w:val="clear" w:color="auto" w:fill="FFFFFF"/>
        </w:rPr>
        <w:t>competition</w:t>
      </w:r>
      <w:r>
        <w:rPr>
          <w:rFonts w:hint="eastAsia" w:ascii="Times New Roman" w:hAnsi="Times New Roman" w:eastAsia="仿宋"/>
          <w:sz w:val="28"/>
          <w:szCs w:val="28"/>
          <w:shd w:val="clear" w:color="auto" w:fill="FFFFFF"/>
        </w:rPr>
        <w:t xml:space="preserve"> system. It aims to examine the competitors</w:t>
      </w:r>
      <w:r>
        <w:rPr>
          <w:rFonts w:ascii="Times New Roman" w:hAnsi="Times New Roman" w:eastAsia="仿宋"/>
          <w:sz w:val="28"/>
          <w:szCs w:val="28"/>
          <w:shd w:val="clear" w:color="auto" w:fill="FFFFFF"/>
        </w:rPr>
        <w:t>’</w:t>
      </w:r>
      <w:r>
        <w:rPr>
          <w:rFonts w:hint="eastAsia" w:ascii="Times New Roman" w:hAnsi="Times New Roman" w:eastAsia="仿宋"/>
          <w:sz w:val="28"/>
          <w:szCs w:val="28"/>
          <w:shd w:val="clear" w:color="auto" w:fill="FFFFFF"/>
        </w:rPr>
        <w:t xml:space="preserve"> foreign trade business handling ability based on B2C cross-border e-commerce platform.</w:t>
      </w:r>
    </w:p>
    <w:p>
      <w:pPr>
        <w:adjustRightInd w:val="0"/>
        <w:snapToGrid w:val="0"/>
        <w:spacing w:line="560" w:lineRule="exact"/>
        <w:rPr>
          <w:rFonts w:ascii="Times New Roman" w:hAnsi="Times New Roman" w:eastAsia="仿宋"/>
          <w:sz w:val="28"/>
          <w:szCs w:val="28"/>
          <w:shd w:val="clear" w:color="auto" w:fill="FFFFFF"/>
        </w:rPr>
      </w:pPr>
      <w:r>
        <w:rPr>
          <w:rFonts w:hint="eastAsia" w:ascii="Times New Roman" w:hAnsi="Times New Roman" w:eastAsia="仿宋"/>
          <w:sz w:val="28"/>
          <w:szCs w:val="28"/>
          <w:shd w:val="clear" w:color="auto" w:fill="FFFFFF"/>
        </w:rPr>
        <w:t xml:space="preserve">    </w:t>
      </w:r>
      <w:r>
        <w:rPr>
          <w:rFonts w:ascii="Times New Roman" w:hAnsi="Times New Roman" w:eastAsia="仿宋"/>
          <w:sz w:val="28"/>
          <w:szCs w:val="28"/>
          <w:shd w:val="clear" w:color="auto" w:fill="FFFFFF"/>
        </w:rPr>
        <w:t>The module of competence in</w:t>
      </w:r>
      <w:r>
        <w:rPr>
          <w:rFonts w:hint="eastAsia" w:ascii="Times New Roman" w:hAnsi="Times New Roman" w:eastAsia="仿宋"/>
          <w:sz w:val="28"/>
          <w:szCs w:val="28"/>
          <w:shd w:val="clear" w:color="auto" w:fill="FFFFFF"/>
        </w:rPr>
        <w:t xml:space="preserve"> </w:t>
      </w:r>
      <w:r>
        <w:rPr>
          <w:rFonts w:ascii="Times New Roman" w:hAnsi="Times New Roman" w:eastAsia="仿宋"/>
          <w:sz w:val="28"/>
          <w:szCs w:val="28"/>
          <w:shd w:val="clear" w:color="auto" w:fill="FFFFFF"/>
        </w:rPr>
        <w:t>handling foreign trade documentary: The competitors in each team must complete</w:t>
      </w:r>
      <w:r>
        <w:rPr>
          <w:rFonts w:hint="eastAsia" w:ascii="Times New Roman" w:hAnsi="Times New Roman" w:eastAsia="仿宋"/>
          <w:sz w:val="28"/>
          <w:szCs w:val="28"/>
          <w:shd w:val="clear" w:color="auto" w:fill="FFFFFF"/>
        </w:rPr>
        <w:t xml:space="preserve"> </w:t>
      </w:r>
      <w:r>
        <w:rPr>
          <w:rFonts w:ascii="Times New Roman" w:hAnsi="Times New Roman" w:eastAsia="仿宋"/>
          <w:sz w:val="28"/>
          <w:szCs w:val="28"/>
          <w:shd w:val="clear" w:color="auto" w:fill="FFFFFF"/>
        </w:rPr>
        <w:t>the whole follow-up process of</w:t>
      </w:r>
      <w:r>
        <w:rPr>
          <w:rFonts w:hint="eastAsia" w:ascii="Times New Roman" w:hAnsi="Times New Roman" w:eastAsia="仿宋"/>
          <w:sz w:val="28"/>
          <w:szCs w:val="28"/>
          <w:shd w:val="clear" w:color="auto" w:fill="FFFFFF"/>
        </w:rPr>
        <w:t xml:space="preserve"> </w:t>
      </w:r>
      <w:r>
        <w:rPr>
          <w:rFonts w:ascii="Times New Roman" w:hAnsi="Times New Roman" w:eastAsia="仿宋"/>
          <w:sz w:val="28"/>
          <w:szCs w:val="28"/>
          <w:shd w:val="clear" w:color="auto" w:fill="FFFFFF"/>
        </w:rPr>
        <w:t>an export business and an import business</w:t>
      </w:r>
      <w:r>
        <w:rPr>
          <w:rFonts w:hint="eastAsia" w:ascii="Times New Roman" w:hAnsi="Times New Roman" w:eastAsia="仿宋"/>
          <w:sz w:val="28"/>
          <w:szCs w:val="28"/>
          <w:shd w:val="clear" w:color="auto" w:fill="FFFFFF"/>
        </w:rPr>
        <w:t xml:space="preserve"> </w:t>
      </w:r>
      <w:r>
        <w:rPr>
          <w:rFonts w:ascii="Times New Roman" w:hAnsi="Times New Roman" w:eastAsia="仿宋"/>
          <w:sz w:val="28"/>
          <w:szCs w:val="28"/>
          <w:shd w:val="clear" w:color="auto" w:fill="FFFFFF"/>
        </w:rPr>
        <w:t>according to the given export</w:t>
      </w:r>
      <w:r>
        <w:rPr>
          <w:rFonts w:hint="eastAsia" w:ascii="Times New Roman" w:hAnsi="Times New Roman" w:eastAsia="仿宋"/>
          <w:sz w:val="28"/>
          <w:szCs w:val="28"/>
          <w:shd w:val="clear" w:color="auto" w:fill="FFFFFF"/>
        </w:rPr>
        <w:t xml:space="preserve"> </w:t>
      </w:r>
      <w:r>
        <w:rPr>
          <w:rFonts w:ascii="Times New Roman" w:hAnsi="Times New Roman" w:eastAsia="仿宋"/>
          <w:sz w:val="28"/>
          <w:szCs w:val="28"/>
          <w:shd w:val="clear" w:color="auto" w:fill="FFFFFF"/>
        </w:rPr>
        <w:t>and import</w:t>
      </w:r>
      <w:r>
        <w:rPr>
          <w:rFonts w:hint="eastAsia" w:ascii="Times New Roman" w:hAnsi="Times New Roman" w:eastAsia="仿宋"/>
          <w:sz w:val="28"/>
          <w:szCs w:val="28"/>
          <w:shd w:val="clear" w:color="auto" w:fill="FFFFFF"/>
        </w:rPr>
        <w:t xml:space="preserve"> </w:t>
      </w:r>
      <w:r>
        <w:rPr>
          <w:rFonts w:ascii="Times New Roman" w:hAnsi="Times New Roman" w:eastAsia="仿宋"/>
          <w:sz w:val="28"/>
          <w:szCs w:val="28"/>
          <w:shd w:val="clear" w:color="auto" w:fill="FFFFFF"/>
        </w:rPr>
        <w:t>contracts.</w:t>
      </w:r>
      <w:r>
        <w:rPr>
          <w:rFonts w:hint="eastAsia" w:ascii="Times New Roman" w:hAnsi="Times New Roman" w:eastAsia="仿宋"/>
          <w:sz w:val="28"/>
          <w:szCs w:val="28"/>
          <w:shd w:val="clear" w:color="auto" w:fill="FFFFFF"/>
        </w:rPr>
        <w:t xml:space="preserve"> </w:t>
      </w:r>
      <w:r>
        <w:rPr>
          <w:rFonts w:ascii="Times New Roman" w:hAnsi="Times New Roman" w:eastAsia="仿宋"/>
          <w:sz w:val="28"/>
          <w:szCs w:val="28"/>
          <w:shd w:val="clear" w:color="auto" w:fill="FFFFFF"/>
        </w:rPr>
        <w:t>This</w:t>
      </w:r>
      <w:r>
        <w:rPr>
          <w:rFonts w:hint="eastAsia" w:ascii="Times New Roman" w:hAnsi="Times New Roman" w:eastAsia="仿宋"/>
          <w:sz w:val="28"/>
          <w:szCs w:val="28"/>
          <w:shd w:val="clear" w:color="auto" w:fill="FFFFFF"/>
        </w:rPr>
        <w:t xml:space="preserve"> </w:t>
      </w:r>
      <w:r>
        <w:rPr>
          <w:rFonts w:ascii="Times New Roman" w:hAnsi="Times New Roman" w:eastAsia="仿宋"/>
          <w:sz w:val="28"/>
          <w:szCs w:val="28"/>
          <w:shd w:val="clear" w:color="auto" w:fill="FFFFFF"/>
        </w:rPr>
        <w:t>module</w:t>
      </w:r>
      <w:r>
        <w:rPr>
          <w:rFonts w:hint="eastAsia" w:ascii="Times New Roman" w:hAnsi="Times New Roman" w:eastAsia="仿宋"/>
          <w:sz w:val="28"/>
          <w:szCs w:val="28"/>
          <w:shd w:val="clear" w:color="auto" w:fill="FFFFFF"/>
        </w:rPr>
        <w:t xml:space="preserve"> </w:t>
      </w:r>
      <w:r>
        <w:rPr>
          <w:rFonts w:ascii="Times New Roman" w:hAnsi="Times New Roman" w:eastAsia="仿宋"/>
          <w:sz w:val="28"/>
          <w:szCs w:val="28"/>
          <w:shd w:val="clear" w:color="auto" w:fill="FFFFFF"/>
        </w:rPr>
        <w:t>mainly evaluates the competitors’</w:t>
      </w:r>
      <w:r>
        <w:rPr>
          <w:rFonts w:hint="eastAsia" w:ascii="Times New Roman" w:hAnsi="Times New Roman" w:eastAsia="仿宋"/>
          <w:sz w:val="28"/>
          <w:szCs w:val="28"/>
          <w:shd w:val="clear" w:color="auto" w:fill="FFFFFF"/>
        </w:rPr>
        <w:t xml:space="preserve"> </w:t>
      </w:r>
      <w:r>
        <w:rPr>
          <w:rFonts w:ascii="Times New Roman" w:hAnsi="Times New Roman" w:eastAsia="仿宋"/>
          <w:sz w:val="28"/>
          <w:szCs w:val="28"/>
          <w:shd w:val="clear" w:color="auto" w:fill="FFFFFF"/>
        </w:rPr>
        <w:t>competences in documentary</w:t>
      </w:r>
      <w:r>
        <w:rPr>
          <w:rFonts w:hint="eastAsia" w:ascii="Times New Roman" w:hAnsi="Times New Roman" w:eastAsia="仿宋"/>
          <w:sz w:val="28"/>
          <w:szCs w:val="28"/>
          <w:shd w:val="clear" w:color="auto" w:fill="FFFFFF"/>
        </w:rPr>
        <w:t xml:space="preserve"> </w:t>
      </w:r>
      <w:r>
        <w:rPr>
          <w:rFonts w:ascii="Times New Roman" w:hAnsi="Times New Roman" w:eastAsia="仿宋"/>
          <w:sz w:val="28"/>
          <w:szCs w:val="28"/>
          <w:shd w:val="clear" w:color="auto" w:fill="FFFFFF"/>
        </w:rPr>
        <w:t>drafting and documentary</w:t>
      </w:r>
      <w:r>
        <w:rPr>
          <w:rFonts w:hint="eastAsia" w:ascii="Times New Roman" w:hAnsi="Times New Roman" w:eastAsia="仿宋"/>
          <w:sz w:val="28"/>
          <w:szCs w:val="28"/>
          <w:shd w:val="clear" w:color="auto" w:fill="FFFFFF"/>
        </w:rPr>
        <w:t xml:space="preserve"> </w:t>
      </w:r>
      <w:r>
        <w:rPr>
          <w:rFonts w:ascii="Times New Roman" w:hAnsi="Times New Roman" w:eastAsia="仿宋"/>
          <w:sz w:val="28"/>
          <w:szCs w:val="28"/>
          <w:shd w:val="clear" w:color="auto" w:fill="FFFFFF"/>
        </w:rPr>
        <w:t>follow-up under the conditions of different</w:t>
      </w:r>
      <w:r>
        <w:rPr>
          <w:rFonts w:hint="eastAsia" w:ascii="Times New Roman" w:hAnsi="Times New Roman" w:eastAsia="仿宋"/>
          <w:sz w:val="28"/>
          <w:szCs w:val="28"/>
          <w:shd w:val="clear" w:color="auto" w:fill="FFFFFF"/>
        </w:rPr>
        <w:t xml:space="preserve"> </w:t>
      </w:r>
      <w:r>
        <w:rPr>
          <w:rFonts w:ascii="Times New Roman" w:hAnsi="Times New Roman" w:eastAsia="仿宋"/>
          <w:sz w:val="28"/>
          <w:szCs w:val="28"/>
          <w:shd w:val="clear" w:color="auto" w:fill="FFFFFF"/>
        </w:rPr>
        <w:t xml:space="preserve">trade </w:t>
      </w:r>
      <w:r>
        <w:rPr>
          <w:rFonts w:hint="eastAsia" w:ascii="Times New Roman" w:hAnsi="Times New Roman" w:eastAsia="仿宋"/>
          <w:sz w:val="28"/>
          <w:szCs w:val="28"/>
          <w:shd w:val="clear" w:color="auto" w:fill="FFFFFF"/>
        </w:rPr>
        <w:t xml:space="preserve">terms </w:t>
      </w:r>
      <w:r>
        <w:rPr>
          <w:rFonts w:ascii="Times New Roman" w:hAnsi="Times New Roman" w:eastAsia="仿宋"/>
          <w:sz w:val="28"/>
          <w:szCs w:val="28"/>
          <w:shd w:val="clear" w:color="auto" w:fill="FFFFFF"/>
        </w:rPr>
        <w:t>and settlement.</w:t>
      </w:r>
    </w:p>
    <w:p>
      <w:pPr>
        <w:adjustRightInd w:val="0"/>
        <w:snapToGrid w:val="0"/>
        <w:spacing w:line="560" w:lineRule="exact"/>
        <w:rPr>
          <w:rFonts w:ascii="Times New Roman" w:hAnsi="Times New Roman" w:eastAsia="仿宋"/>
          <w:sz w:val="28"/>
          <w:szCs w:val="28"/>
          <w:shd w:val="clear" w:color="auto" w:fill="FFFFFF"/>
        </w:rPr>
      </w:pPr>
      <w:r>
        <w:rPr>
          <w:rFonts w:hint="eastAsia" w:ascii="Times New Roman" w:hAnsi="Times New Roman" w:eastAsia="仿宋"/>
          <w:sz w:val="28"/>
          <w:szCs w:val="28"/>
          <w:shd w:val="clear" w:color="auto" w:fill="FFFFFF"/>
        </w:rPr>
        <w:t xml:space="preserve">    </w:t>
      </w:r>
      <w:r>
        <w:rPr>
          <w:rFonts w:ascii="Times New Roman" w:hAnsi="Times New Roman" w:eastAsia="仿宋"/>
          <w:sz w:val="28"/>
          <w:szCs w:val="28"/>
          <w:shd w:val="clear" w:color="auto" w:fill="FFFFFF"/>
        </w:rPr>
        <w:t>The module of competence in</w:t>
      </w:r>
      <w:r>
        <w:rPr>
          <w:rFonts w:hint="eastAsia" w:ascii="Times New Roman" w:hAnsi="Times New Roman" w:eastAsia="仿宋"/>
          <w:sz w:val="28"/>
          <w:szCs w:val="28"/>
          <w:shd w:val="clear" w:color="auto" w:fill="FFFFFF"/>
        </w:rPr>
        <w:t xml:space="preserve"> </w:t>
      </w:r>
      <w:r>
        <w:rPr>
          <w:rFonts w:ascii="Times New Roman" w:hAnsi="Times New Roman" w:eastAsia="仿宋"/>
          <w:sz w:val="28"/>
          <w:szCs w:val="28"/>
          <w:shd w:val="clear" w:color="auto" w:fill="FFFFFF"/>
        </w:rPr>
        <w:t>foreign trade</w:t>
      </w:r>
      <w:r>
        <w:rPr>
          <w:rFonts w:hint="eastAsia" w:ascii="Times New Roman" w:hAnsi="Times New Roman" w:eastAsia="仿宋"/>
          <w:sz w:val="28"/>
          <w:szCs w:val="28"/>
          <w:shd w:val="clear" w:color="auto" w:fill="FFFFFF"/>
        </w:rPr>
        <w:t xml:space="preserve"> English</w:t>
      </w:r>
      <w:r>
        <w:rPr>
          <w:rFonts w:ascii="Times New Roman" w:hAnsi="Times New Roman" w:eastAsia="仿宋"/>
          <w:sz w:val="28"/>
          <w:szCs w:val="28"/>
          <w:shd w:val="clear" w:color="auto" w:fill="FFFFFF"/>
        </w:rPr>
        <w:t xml:space="preserve"> communication:</w:t>
      </w:r>
      <w:r>
        <w:rPr>
          <w:rFonts w:hint="eastAsia" w:ascii="Times New Roman" w:hAnsi="Times New Roman" w:eastAsia="仿宋"/>
          <w:sz w:val="28"/>
          <w:szCs w:val="28"/>
          <w:shd w:val="clear" w:color="auto" w:fill="FFFFFF"/>
        </w:rPr>
        <w:t xml:space="preserve"> </w:t>
      </w:r>
      <w:r>
        <w:rPr>
          <w:rFonts w:ascii="Times New Roman" w:hAnsi="Times New Roman" w:eastAsia="仿宋"/>
          <w:sz w:val="28"/>
          <w:szCs w:val="28"/>
          <w:shd w:val="clear" w:color="auto" w:fill="FFFFFF"/>
        </w:rPr>
        <w:t>this module evaluates the competitors’</w:t>
      </w:r>
      <w:r>
        <w:rPr>
          <w:rFonts w:hint="eastAsia" w:ascii="Times New Roman" w:hAnsi="Times New Roman" w:eastAsia="仿宋"/>
          <w:sz w:val="28"/>
          <w:szCs w:val="28"/>
          <w:shd w:val="clear" w:color="auto" w:fill="FFFFFF"/>
        </w:rPr>
        <w:t xml:space="preserve"> </w:t>
      </w:r>
      <w:r>
        <w:rPr>
          <w:rFonts w:ascii="Times New Roman" w:hAnsi="Times New Roman" w:eastAsia="仿宋"/>
          <w:sz w:val="28"/>
          <w:szCs w:val="28"/>
          <w:shd w:val="clear" w:color="auto" w:fill="FFFFFF"/>
        </w:rPr>
        <w:t>competences in business English communication on the background of modern foreign trade business</w:t>
      </w:r>
      <w:r>
        <w:rPr>
          <w:rFonts w:hint="eastAsia" w:ascii="Times New Roman" w:hAnsi="Times New Roman" w:eastAsia="仿宋"/>
          <w:sz w:val="28"/>
          <w:szCs w:val="28"/>
          <w:shd w:val="clear" w:color="auto" w:fill="FFFFFF"/>
        </w:rPr>
        <w:t xml:space="preserve"> process, </w:t>
      </w:r>
      <w:r>
        <w:rPr>
          <w:rFonts w:ascii="Times New Roman" w:hAnsi="Times New Roman" w:eastAsia="仿宋"/>
          <w:sz w:val="28"/>
          <w:szCs w:val="28"/>
          <w:shd w:val="clear" w:color="auto" w:fill="FFFFFF"/>
        </w:rPr>
        <w:t>reception and negotiation,</w:t>
      </w:r>
      <w:r>
        <w:rPr>
          <w:rFonts w:hint="eastAsia" w:ascii="Times New Roman" w:hAnsi="Times New Roman" w:eastAsia="仿宋"/>
          <w:sz w:val="28"/>
          <w:szCs w:val="28"/>
          <w:shd w:val="clear" w:color="auto" w:fill="FFFFFF"/>
        </w:rPr>
        <w:t xml:space="preserve"> </w:t>
      </w:r>
      <w:r>
        <w:rPr>
          <w:rFonts w:ascii="Times New Roman" w:hAnsi="Times New Roman" w:eastAsia="仿宋"/>
          <w:sz w:val="28"/>
          <w:szCs w:val="28"/>
          <w:shd w:val="clear" w:color="auto" w:fill="FFFFFF"/>
        </w:rPr>
        <w:t>with the communication process and content as the carrier, in the form of spoken English</w:t>
      </w:r>
      <w:r>
        <w:rPr>
          <w:rFonts w:hint="eastAsia" w:ascii="Times New Roman" w:hAnsi="Times New Roman" w:eastAsia="仿宋"/>
          <w:sz w:val="28"/>
          <w:szCs w:val="28"/>
          <w:shd w:val="clear" w:color="auto" w:fill="FFFFFF"/>
        </w:rPr>
        <w:t>.</w:t>
      </w:r>
    </w:p>
    <w:p>
      <w:pPr>
        <w:pStyle w:val="2"/>
        <w:ind w:firstLine="600"/>
      </w:pPr>
      <w:bookmarkStart w:id="9" w:name="_Toc522017695"/>
      <w:r>
        <w:rPr>
          <w:rFonts w:hint="eastAsia"/>
        </w:rPr>
        <w:t>七、竞赛方式（含组队要求、是否邀请境外代表队参赛）</w:t>
      </w:r>
      <w:bookmarkEnd w:id="9"/>
    </w:p>
    <w:p>
      <w:pPr>
        <w:snapToGrid w:val="0"/>
        <w:spacing w:line="560" w:lineRule="exact"/>
        <w:ind w:firstLine="600" w:firstLineChars="200"/>
        <w:rPr>
          <w:rFonts w:ascii="仿宋_GB2312" w:hAnsi="Arial Narrow" w:eastAsia="仿宋_GB2312" w:cs="Arial"/>
          <w:sz w:val="30"/>
          <w:szCs w:val="30"/>
        </w:rPr>
      </w:pPr>
      <w:r>
        <w:rPr>
          <w:rFonts w:hint="eastAsia" w:ascii="仿宋_GB2312" w:hAnsi="Arial Narrow" w:eastAsia="仿宋_GB2312" w:cs="Arial"/>
          <w:sz w:val="30"/>
          <w:szCs w:val="30"/>
        </w:rPr>
        <w:t>（一）组队及报名</w:t>
      </w:r>
    </w:p>
    <w:p>
      <w:pPr>
        <w:snapToGrid w:val="0"/>
        <w:spacing w:line="560" w:lineRule="exact"/>
        <w:ind w:firstLine="600" w:firstLineChars="200"/>
        <w:rPr>
          <w:rFonts w:ascii="仿宋_GB2312" w:hAnsi="Arial Narrow" w:eastAsia="仿宋_GB2312" w:cs="Arial"/>
          <w:sz w:val="30"/>
          <w:szCs w:val="30"/>
        </w:rPr>
      </w:pPr>
      <w:r>
        <w:rPr>
          <w:rFonts w:hint="eastAsia" w:ascii="仿宋_GB2312" w:hAnsi="Arial Narrow" w:eastAsia="仿宋_GB2312" w:cs="Arial"/>
          <w:sz w:val="30"/>
          <w:szCs w:val="30"/>
        </w:rPr>
        <w:t>本竞赛为团体赛，团体赛不得跨校组队，同一学校相同项目报名参赛队不超过 1 支。每队4名选手（鼓励有条件的院校选派在籍留学生参与组队），不超过2名指导教师。1名领队老师可由指导老师兼任。每支队伍的4名学生以自由组合方式自行分为2组，其中1组参加外贸英语沟通能力模块竞赛，1组参加外贸业务能力B2C模块竞赛。外贸业务能力B2B模块及外贸跟单能力模块的竞赛须2组同时参加。曾获得该赛项一等奖的选手不允许重复参赛。</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竞赛不邀请境外代表队参赛，欢迎境外代表队观摩。竞赛同期将举办“一带一路”沿线国家留学生国际贸易技能竞赛活动。</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（二）竞赛方案</w:t>
      </w:r>
    </w:p>
    <w:p>
      <w:pPr>
        <w:snapToGrid w:val="0"/>
        <w:spacing w:line="560" w:lineRule="exact"/>
        <w:ind w:firstLine="600" w:firstLineChars="200"/>
        <w:rPr>
          <w:rFonts w:ascii="仿宋_GB2312" w:hAnsi="仿宋" w:eastAsia="仿宋_GB2312" w:cs="Arial"/>
          <w:sz w:val="30"/>
          <w:szCs w:val="30"/>
        </w:rPr>
      </w:pPr>
      <w:r>
        <w:rPr>
          <w:rFonts w:hint="eastAsia" w:ascii="仿宋_GB2312" w:hAnsi="仿宋" w:eastAsia="仿宋_GB2312" w:cs="Arial"/>
          <w:sz w:val="30"/>
          <w:szCs w:val="30"/>
        </w:rPr>
        <w:t>1.外贸业务能力B2B模块</w:t>
      </w:r>
    </w:p>
    <w:p>
      <w:pPr>
        <w:snapToGrid w:val="0"/>
        <w:spacing w:line="560" w:lineRule="exact"/>
        <w:ind w:firstLine="600" w:firstLineChars="200"/>
        <w:rPr>
          <w:rFonts w:ascii="仿宋_GB2312" w:hAnsi="仿宋" w:eastAsia="仿宋_GB2312" w:cs="Arial"/>
          <w:sz w:val="30"/>
          <w:szCs w:val="30"/>
        </w:rPr>
      </w:pPr>
      <w:r>
        <w:rPr>
          <w:rFonts w:hint="eastAsia" w:ascii="仿宋_GB2312" w:hAnsi="仿宋" w:eastAsia="仿宋_GB2312" w:cs="Arial"/>
          <w:sz w:val="30"/>
          <w:szCs w:val="30"/>
        </w:rPr>
        <w:t>（1）竞赛方式为在线上机竞赛；</w:t>
      </w:r>
    </w:p>
    <w:p>
      <w:pPr>
        <w:snapToGrid w:val="0"/>
        <w:spacing w:line="560" w:lineRule="exact"/>
        <w:ind w:firstLine="600" w:firstLineChars="200"/>
        <w:rPr>
          <w:rFonts w:ascii="仿宋_GB2312" w:hAnsi="仿宋" w:eastAsia="仿宋_GB2312" w:cs="Arial"/>
          <w:sz w:val="30"/>
          <w:szCs w:val="30"/>
        </w:rPr>
      </w:pPr>
      <w:r>
        <w:rPr>
          <w:rFonts w:hint="eastAsia" w:ascii="仿宋_GB2312" w:hAnsi="仿宋" w:eastAsia="仿宋_GB2312" w:cs="Arial"/>
          <w:sz w:val="30"/>
          <w:szCs w:val="30"/>
        </w:rPr>
        <w:t>（2）竞赛总时间为240分钟；</w:t>
      </w:r>
    </w:p>
    <w:p>
      <w:pPr>
        <w:snapToGrid w:val="0"/>
        <w:spacing w:line="560" w:lineRule="exact"/>
        <w:ind w:firstLine="600" w:firstLineChars="200"/>
        <w:rPr>
          <w:rFonts w:ascii="仿宋_GB2312" w:hAnsi="仿宋" w:eastAsia="仿宋_GB2312" w:cs="Arial"/>
          <w:sz w:val="30"/>
          <w:szCs w:val="30"/>
        </w:rPr>
      </w:pPr>
      <w:r>
        <w:rPr>
          <w:rFonts w:hint="eastAsia" w:ascii="仿宋_GB2312" w:hAnsi="仿宋" w:eastAsia="仿宋_GB2312" w:cs="Arial"/>
          <w:sz w:val="30"/>
          <w:szCs w:val="30"/>
        </w:rPr>
        <w:t>（3）竞赛形式为模拟不同国家间进行进出口贸易。每个参赛队的2组选手通过组内2名选手的团队合作，与其他参赛队伍开展进出口贸易；</w:t>
      </w:r>
    </w:p>
    <w:p>
      <w:pPr>
        <w:snapToGrid w:val="0"/>
        <w:spacing w:line="560" w:lineRule="exact"/>
        <w:ind w:firstLine="600" w:firstLineChars="200"/>
        <w:rPr>
          <w:rFonts w:ascii="仿宋_GB2312" w:hAnsi="仿宋" w:eastAsia="仿宋_GB2312" w:cs="Arial"/>
          <w:sz w:val="30"/>
          <w:szCs w:val="30"/>
        </w:rPr>
      </w:pPr>
      <w:r>
        <w:rPr>
          <w:rFonts w:hint="eastAsia" w:ascii="仿宋_GB2312" w:hAnsi="仿宋" w:eastAsia="仿宋_GB2312" w:cs="Arial"/>
          <w:sz w:val="30"/>
          <w:szCs w:val="30"/>
        </w:rPr>
        <w:t>（4）选手需完成B2B跨境电子商务平台推广、进出口交易磋商、进出口业务成本核算、进出口合同的缮制与审核等贸易流程；</w:t>
      </w:r>
    </w:p>
    <w:p>
      <w:pPr>
        <w:snapToGrid w:val="0"/>
        <w:spacing w:line="560" w:lineRule="exact"/>
        <w:ind w:firstLine="600" w:firstLineChars="200"/>
        <w:rPr>
          <w:rFonts w:ascii="仿宋_GB2312" w:hAnsi="仿宋" w:eastAsia="仿宋_GB2312" w:cs="Arial"/>
          <w:sz w:val="30"/>
          <w:szCs w:val="30"/>
        </w:rPr>
      </w:pPr>
      <w:r>
        <w:rPr>
          <w:rFonts w:hint="eastAsia" w:ascii="仿宋_GB2312" w:hAnsi="仿宋" w:eastAsia="仿宋_GB2312" w:cs="Arial"/>
          <w:sz w:val="30"/>
          <w:szCs w:val="30"/>
        </w:rPr>
        <w:t>（5）同一参赛队、同一国家的选手无法进行交易；</w:t>
      </w:r>
    </w:p>
    <w:p>
      <w:pPr>
        <w:snapToGrid w:val="0"/>
        <w:spacing w:line="560" w:lineRule="exact"/>
        <w:ind w:firstLine="600" w:firstLineChars="200"/>
        <w:rPr>
          <w:rFonts w:ascii="仿宋_GB2312" w:hAnsi="仿宋" w:eastAsia="仿宋_GB2312" w:cs="Arial"/>
          <w:sz w:val="30"/>
          <w:szCs w:val="30"/>
        </w:rPr>
      </w:pPr>
      <w:r>
        <w:rPr>
          <w:rFonts w:hint="eastAsia" w:ascii="仿宋_GB2312" w:hAnsi="仿宋" w:eastAsia="仿宋_GB2312" w:cs="Arial"/>
          <w:sz w:val="30"/>
          <w:szCs w:val="30"/>
        </w:rPr>
        <w:t>（6）</w:t>
      </w:r>
      <w:r>
        <w:rPr>
          <w:rFonts w:ascii="仿宋_GB2312" w:hAnsi="仿宋" w:eastAsia="仿宋_GB2312" w:cs="Arial"/>
          <w:sz w:val="30"/>
          <w:szCs w:val="30"/>
        </w:rPr>
        <w:t>各笔业务进行至合同签订确认即告完成，无需完成后续履约过程。业务盈亏情况以相应预算表中实际发生额数字为准</w:t>
      </w:r>
      <w:r>
        <w:rPr>
          <w:rFonts w:hint="eastAsia" w:ascii="仿宋_GB2312" w:hAnsi="仿宋" w:eastAsia="仿宋_GB2312" w:cs="Arial"/>
          <w:sz w:val="30"/>
          <w:szCs w:val="30"/>
        </w:rPr>
        <w:t>；</w:t>
      </w:r>
    </w:p>
    <w:p>
      <w:pPr>
        <w:snapToGrid w:val="0"/>
        <w:spacing w:line="560" w:lineRule="exact"/>
        <w:ind w:firstLine="600" w:firstLineChars="200"/>
        <w:rPr>
          <w:rFonts w:ascii="仿宋_GB2312" w:hAnsi="仿宋" w:eastAsia="仿宋_GB2312" w:cs="Arial"/>
          <w:sz w:val="30"/>
          <w:szCs w:val="30"/>
        </w:rPr>
      </w:pPr>
      <w:r>
        <w:rPr>
          <w:rFonts w:hint="eastAsia" w:ascii="仿宋_GB2312" w:hAnsi="仿宋" w:eastAsia="仿宋_GB2312" w:cs="Arial"/>
          <w:sz w:val="30"/>
          <w:szCs w:val="30"/>
        </w:rPr>
        <w:t>（7）所有业务采用统一的保险条款及投保加成，海运方式下按照“协会货物(A)险条款（ICC Clause A）＋战争险（War Risks）＋罢工险（Strike）”进行投保，空运方式下按照“航空运输一切险（Air Transportation All Risks）＋战争险（War Risks）＋罢工险（Strike）”进行投保，且投保加成统一为110%；</w:t>
      </w:r>
    </w:p>
    <w:p>
      <w:pPr>
        <w:snapToGrid w:val="0"/>
        <w:spacing w:line="560" w:lineRule="exact"/>
        <w:ind w:firstLine="600" w:firstLineChars="200"/>
        <w:rPr>
          <w:rFonts w:ascii="仿宋_GB2312" w:hAnsi="仿宋" w:eastAsia="仿宋_GB2312" w:cs="Arial"/>
          <w:sz w:val="30"/>
          <w:szCs w:val="30"/>
        </w:rPr>
      </w:pPr>
      <w:r>
        <w:rPr>
          <w:rFonts w:hint="eastAsia" w:ascii="仿宋_GB2312" w:hAnsi="仿宋" w:eastAsia="仿宋_GB2312" w:cs="Arial"/>
          <w:sz w:val="30"/>
          <w:szCs w:val="30"/>
        </w:rPr>
        <w:t>（8）单笔业务成交金额不能超过公司当前资金，且不允许贷款；</w:t>
      </w:r>
    </w:p>
    <w:p>
      <w:pPr>
        <w:snapToGrid w:val="0"/>
        <w:spacing w:line="560" w:lineRule="exact"/>
        <w:ind w:firstLine="600" w:firstLineChars="200"/>
        <w:rPr>
          <w:rFonts w:ascii="仿宋_GB2312" w:hAnsi="仿宋" w:eastAsia="仿宋_GB2312" w:cs="Arial"/>
          <w:sz w:val="30"/>
          <w:szCs w:val="30"/>
        </w:rPr>
      </w:pPr>
      <w:r>
        <w:rPr>
          <w:rFonts w:hint="eastAsia" w:ascii="仿宋_GB2312" w:hAnsi="仿宋" w:eastAsia="仿宋_GB2312" w:cs="Arial"/>
          <w:sz w:val="30"/>
          <w:szCs w:val="30"/>
        </w:rPr>
        <w:t>（9）每组选手可完成的业务笔数不超过16笔。</w:t>
      </w:r>
    </w:p>
    <w:p>
      <w:pPr>
        <w:snapToGrid w:val="0"/>
        <w:spacing w:line="560" w:lineRule="exact"/>
        <w:ind w:firstLine="600" w:firstLineChars="200"/>
        <w:rPr>
          <w:rFonts w:ascii="仿宋_GB2312" w:hAnsi="仿宋" w:eastAsia="仿宋_GB2312" w:cs="Arial"/>
          <w:sz w:val="30"/>
          <w:szCs w:val="30"/>
        </w:rPr>
      </w:pPr>
      <w:r>
        <w:rPr>
          <w:rFonts w:hint="eastAsia" w:ascii="仿宋_GB2312" w:hAnsi="仿宋" w:eastAsia="仿宋_GB2312" w:cs="Arial"/>
          <w:sz w:val="30"/>
          <w:szCs w:val="30"/>
        </w:rPr>
        <w:t>2.外贸业务能力B2C模块</w:t>
      </w:r>
    </w:p>
    <w:p>
      <w:pPr>
        <w:snapToGrid w:val="0"/>
        <w:spacing w:line="560" w:lineRule="exact"/>
        <w:ind w:firstLine="600" w:firstLineChars="200"/>
        <w:rPr>
          <w:rFonts w:ascii="仿宋_GB2312" w:hAnsi="仿宋" w:eastAsia="仿宋_GB2312" w:cs="Arial"/>
          <w:sz w:val="30"/>
          <w:szCs w:val="30"/>
        </w:rPr>
      </w:pPr>
      <w:r>
        <w:rPr>
          <w:rFonts w:hint="eastAsia" w:ascii="仿宋_GB2312" w:hAnsi="仿宋" w:eastAsia="仿宋_GB2312" w:cs="Arial"/>
          <w:sz w:val="30"/>
          <w:szCs w:val="30"/>
        </w:rPr>
        <w:t>（1）竞赛方式为在线上机竞赛；</w:t>
      </w:r>
    </w:p>
    <w:p>
      <w:pPr>
        <w:snapToGrid w:val="0"/>
        <w:spacing w:line="560" w:lineRule="exact"/>
        <w:ind w:firstLine="600" w:firstLineChars="200"/>
        <w:rPr>
          <w:rFonts w:ascii="仿宋_GB2312" w:hAnsi="仿宋" w:eastAsia="仿宋_GB2312" w:cs="Arial"/>
          <w:sz w:val="30"/>
          <w:szCs w:val="30"/>
        </w:rPr>
      </w:pPr>
      <w:r>
        <w:rPr>
          <w:rFonts w:hint="eastAsia" w:ascii="仿宋_GB2312" w:hAnsi="仿宋" w:eastAsia="仿宋_GB2312" w:cs="Arial"/>
          <w:sz w:val="30"/>
          <w:szCs w:val="30"/>
        </w:rPr>
        <w:t>（2）竞赛总时间为60分钟；</w:t>
      </w:r>
    </w:p>
    <w:p>
      <w:pPr>
        <w:snapToGrid w:val="0"/>
        <w:spacing w:line="560" w:lineRule="exact"/>
        <w:ind w:firstLine="600" w:firstLineChars="200"/>
        <w:rPr>
          <w:rFonts w:ascii="仿宋_GB2312" w:hAnsi="仿宋" w:eastAsia="仿宋_GB2312" w:cs="Arial"/>
          <w:sz w:val="30"/>
          <w:szCs w:val="30"/>
        </w:rPr>
      </w:pPr>
      <w:r>
        <w:rPr>
          <w:rFonts w:hint="eastAsia" w:ascii="仿宋_GB2312" w:hAnsi="仿宋" w:eastAsia="仿宋_GB2312" w:cs="Arial"/>
          <w:sz w:val="30"/>
          <w:szCs w:val="30"/>
        </w:rPr>
        <w:t>（3）每个参赛队选派1组选手参加，选手根据竞赛系统给出的问题作答。</w:t>
      </w:r>
    </w:p>
    <w:p>
      <w:pPr>
        <w:snapToGrid w:val="0"/>
        <w:spacing w:line="560" w:lineRule="exact"/>
        <w:ind w:firstLine="600" w:firstLineChars="200"/>
        <w:rPr>
          <w:rFonts w:ascii="仿宋_GB2312" w:hAnsi="仿宋" w:eastAsia="仿宋_GB2312" w:cs="Arial"/>
          <w:sz w:val="30"/>
          <w:szCs w:val="30"/>
        </w:rPr>
      </w:pPr>
      <w:r>
        <w:rPr>
          <w:rFonts w:hint="eastAsia" w:ascii="仿宋_GB2312" w:hAnsi="仿宋" w:eastAsia="仿宋_GB2312" w:cs="Arial"/>
          <w:sz w:val="30"/>
          <w:szCs w:val="30"/>
        </w:rPr>
        <w:t>3.外贸跟单能力模块</w:t>
      </w:r>
    </w:p>
    <w:p>
      <w:pPr>
        <w:snapToGrid w:val="0"/>
        <w:spacing w:line="560" w:lineRule="exact"/>
        <w:ind w:firstLine="600" w:firstLineChars="200"/>
        <w:rPr>
          <w:rFonts w:ascii="仿宋_GB2312" w:hAnsi="仿宋" w:eastAsia="仿宋_GB2312" w:cs="Arial"/>
          <w:sz w:val="30"/>
          <w:szCs w:val="30"/>
        </w:rPr>
      </w:pPr>
      <w:r>
        <w:rPr>
          <w:rFonts w:hint="eastAsia" w:ascii="仿宋_GB2312" w:hAnsi="仿宋" w:eastAsia="仿宋_GB2312" w:cs="Arial"/>
          <w:sz w:val="30"/>
          <w:szCs w:val="30"/>
        </w:rPr>
        <w:t>（1）竞赛方式为在线上机竞赛；</w:t>
      </w:r>
    </w:p>
    <w:p>
      <w:pPr>
        <w:snapToGrid w:val="0"/>
        <w:spacing w:line="560" w:lineRule="exact"/>
        <w:ind w:firstLine="600" w:firstLineChars="200"/>
        <w:rPr>
          <w:rFonts w:ascii="仿宋_GB2312" w:hAnsi="仿宋" w:eastAsia="仿宋_GB2312" w:cs="Arial"/>
          <w:sz w:val="30"/>
          <w:szCs w:val="30"/>
        </w:rPr>
      </w:pPr>
      <w:r>
        <w:rPr>
          <w:rFonts w:hint="eastAsia" w:ascii="仿宋_GB2312" w:hAnsi="仿宋" w:eastAsia="仿宋_GB2312" w:cs="Arial"/>
          <w:sz w:val="30"/>
          <w:szCs w:val="30"/>
        </w:rPr>
        <w:t>（2）竞赛总时间为80分钟；</w:t>
      </w:r>
    </w:p>
    <w:p>
      <w:pPr>
        <w:snapToGrid w:val="0"/>
        <w:spacing w:line="560" w:lineRule="exact"/>
        <w:ind w:firstLine="600" w:firstLineChars="200"/>
        <w:rPr>
          <w:rFonts w:ascii="仿宋_GB2312" w:hAnsi="仿宋" w:eastAsia="仿宋_GB2312" w:cs="Arial"/>
          <w:sz w:val="30"/>
          <w:szCs w:val="30"/>
        </w:rPr>
      </w:pPr>
      <w:r>
        <w:rPr>
          <w:rFonts w:hint="eastAsia" w:ascii="仿宋_GB2312" w:hAnsi="仿宋" w:eastAsia="仿宋_GB2312" w:cs="Arial"/>
          <w:sz w:val="30"/>
          <w:szCs w:val="30"/>
        </w:rPr>
        <w:t>（3）每个参赛队的2组选手各自模拟不同国家的进出口企业，在竞赛系统中根据给定的进出口合同各自分别完成一笔出口业务的履约流程和一笔进口业务的履约流程；</w:t>
      </w:r>
    </w:p>
    <w:p>
      <w:pPr>
        <w:snapToGrid w:val="0"/>
        <w:spacing w:line="560" w:lineRule="exact"/>
        <w:ind w:firstLine="600" w:firstLineChars="200"/>
        <w:rPr>
          <w:rFonts w:ascii="仿宋_GB2312" w:hAnsi="仿宋" w:eastAsia="仿宋_GB2312" w:cs="Arial"/>
          <w:sz w:val="30"/>
          <w:szCs w:val="30"/>
        </w:rPr>
      </w:pPr>
      <w:r>
        <w:rPr>
          <w:rFonts w:hint="eastAsia" w:ascii="仿宋_GB2312" w:hAnsi="仿宋" w:eastAsia="仿宋_GB2312" w:cs="Arial"/>
          <w:sz w:val="30"/>
          <w:szCs w:val="30"/>
        </w:rPr>
        <w:t>（4）每笔业务的交易对象为本参赛队的另一组选手。本项比赛需要参赛队的4名队员的团队配合，因为不同组选手在不同场地竞赛，组间交流只能利用竞赛平台的邮件系统；</w:t>
      </w:r>
    </w:p>
    <w:p>
      <w:pPr>
        <w:snapToGrid w:val="0"/>
        <w:spacing w:line="560" w:lineRule="exact"/>
        <w:ind w:firstLine="600" w:firstLineChars="200"/>
        <w:rPr>
          <w:rFonts w:ascii="仿宋_GB2312" w:hAnsi="仿宋" w:eastAsia="仿宋_GB2312" w:cs="Arial"/>
          <w:sz w:val="30"/>
          <w:szCs w:val="30"/>
        </w:rPr>
      </w:pPr>
      <w:r>
        <w:rPr>
          <w:rFonts w:hint="eastAsia" w:ascii="仿宋_GB2312" w:hAnsi="仿宋" w:eastAsia="仿宋_GB2312" w:cs="Arial"/>
          <w:sz w:val="30"/>
          <w:szCs w:val="30"/>
        </w:rPr>
        <w:t>（5）每笔业务履约完成以业务进入“历史业务”阶段为准。</w:t>
      </w:r>
    </w:p>
    <w:p>
      <w:pPr>
        <w:snapToGrid w:val="0"/>
        <w:spacing w:line="560" w:lineRule="exact"/>
        <w:ind w:firstLine="600" w:firstLineChars="200"/>
        <w:rPr>
          <w:rFonts w:ascii="仿宋_GB2312" w:hAnsi="仿宋" w:eastAsia="仿宋_GB2312" w:cs="Arial"/>
          <w:sz w:val="30"/>
          <w:szCs w:val="30"/>
        </w:rPr>
      </w:pPr>
      <w:r>
        <w:rPr>
          <w:rFonts w:hint="eastAsia" w:ascii="仿宋_GB2312" w:hAnsi="仿宋" w:eastAsia="仿宋_GB2312" w:cs="Arial"/>
          <w:sz w:val="30"/>
          <w:szCs w:val="30"/>
        </w:rPr>
        <w:t>4.外贸英语沟通能力模块</w:t>
      </w:r>
    </w:p>
    <w:p>
      <w:pPr>
        <w:snapToGrid w:val="0"/>
        <w:spacing w:line="560" w:lineRule="exact"/>
        <w:ind w:firstLine="600" w:firstLineChars="200"/>
        <w:rPr>
          <w:rFonts w:ascii="仿宋_GB2312" w:hAnsi="仿宋" w:eastAsia="仿宋_GB2312" w:cs="Arial"/>
          <w:sz w:val="30"/>
          <w:szCs w:val="30"/>
        </w:rPr>
      </w:pPr>
      <w:r>
        <w:rPr>
          <w:rFonts w:hint="eastAsia" w:ascii="仿宋_GB2312" w:hAnsi="仿宋" w:eastAsia="仿宋_GB2312" w:cs="Arial"/>
          <w:sz w:val="30"/>
          <w:szCs w:val="30"/>
        </w:rPr>
        <w:t>（1）竞赛方式为评委现场评分，由7名评委同时进行评分；</w:t>
      </w:r>
    </w:p>
    <w:p>
      <w:pPr>
        <w:snapToGrid w:val="0"/>
        <w:spacing w:line="560" w:lineRule="exact"/>
        <w:ind w:firstLine="600" w:firstLineChars="200"/>
        <w:rPr>
          <w:rFonts w:ascii="仿宋_GB2312" w:hAnsi="仿宋" w:eastAsia="仿宋_GB2312" w:cs="Arial"/>
          <w:sz w:val="30"/>
          <w:szCs w:val="30"/>
        </w:rPr>
      </w:pPr>
      <w:r>
        <w:rPr>
          <w:rFonts w:hint="eastAsia" w:ascii="仿宋_GB2312" w:hAnsi="仿宋" w:eastAsia="仿宋_GB2312" w:cs="Arial"/>
          <w:sz w:val="30"/>
          <w:szCs w:val="30"/>
        </w:rPr>
        <w:t>（2）赛前根据参赛队伍数量进行抽签分组并确定出场顺序。所有参赛队共分为两组。如共有80支参赛队，根据抽签情况分为2组，即A组、B组，同组的40支参赛队即A1、A2、A3……A40，B1、B2、B3……B40，其中阿拉伯数字代表出场顺序；</w:t>
      </w:r>
    </w:p>
    <w:p>
      <w:pPr>
        <w:snapToGrid w:val="0"/>
        <w:spacing w:line="560" w:lineRule="exact"/>
        <w:ind w:firstLine="600" w:firstLineChars="200"/>
        <w:rPr>
          <w:rFonts w:ascii="仿宋_GB2312" w:hAnsi="仿宋" w:eastAsia="仿宋_GB2312" w:cs="Arial"/>
          <w:sz w:val="30"/>
          <w:szCs w:val="30"/>
        </w:rPr>
      </w:pPr>
      <w:r>
        <w:rPr>
          <w:rFonts w:hint="eastAsia" w:ascii="仿宋_GB2312" w:hAnsi="仿宋" w:eastAsia="仿宋_GB2312" w:cs="Arial"/>
          <w:sz w:val="30"/>
          <w:szCs w:val="30"/>
        </w:rPr>
        <w:t>（3）根据分组抽签结果，按照A-B的顺序，同组的40支参赛队伍同时进入候赛室，而后根据出场顺序依次进入备赛室、赛室进行竞赛，完成竞赛后进入完赛隔离区，待A组所有选手完成竞赛且B组选手全部进入候赛室后，A组选手方可离开完赛隔离区；</w:t>
      </w:r>
    </w:p>
    <w:p>
      <w:pPr>
        <w:snapToGrid w:val="0"/>
        <w:spacing w:line="560" w:lineRule="exact"/>
        <w:ind w:firstLine="600" w:firstLineChars="200"/>
        <w:rPr>
          <w:rFonts w:ascii="仿宋_GB2312" w:hAnsi="仿宋" w:eastAsia="仿宋_GB2312" w:cs="Arial"/>
          <w:sz w:val="30"/>
          <w:szCs w:val="30"/>
        </w:rPr>
      </w:pPr>
      <w:r>
        <w:rPr>
          <w:rFonts w:hint="eastAsia" w:ascii="仿宋_GB2312" w:hAnsi="仿宋" w:eastAsia="仿宋_GB2312" w:cs="Arial"/>
          <w:sz w:val="30"/>
          <w:szCs w:val="30"/>
        </w:rPr>
        <w:t>（4）每支参赛队选派2名选手参加，其中1名选手负责复述环节，另一名选手负责问答环节；每支参赛队竞赛总用时为5分钟，其中复述3分钟，问答2分钟。</w:t>
      </w:r>
    </w:p>
    <w:p>
      <w:pPr>
        <w:pStyle w:val="2"/>
        <w:ind w:firstLine="600"/>
      </w:pPr>
      <w:bookmarkStart w:id="10" w:name="_Toc522017696"/>
      <w:r>
        <w:rPr>
          <w:rFonts w:hint="eastAsia"/>
        </w:rPr>
        <w:t>八、竞赛时间安排与流程</w:t>
      </w:r>
      <w:bookmarkEnd w:id="10"/>
    </w:p>
    <w:p>
      <w:pPr>
        <w:spacing w:line="560" w:lineRule="exact"/>
        <w:jc w:val="center"/>
        <w:rPr>
          <w:rFonts w:ascii="宋体" w:hAnsi="宋体" w:cs="宋体"/>
          <w:sz w:val="24"/>
          <w:szCs w:val="24"/>
        </w:rPr>
      </w:pPr>
      <w:r>
        <w:rPr>
          <w:rFonts w:hint="eastAsia" w:ascii="宋体" w:hAnsi="宋体" w:cs="宋体"/>
          <w:sz w:val="24"/>
          <w:szCs w:val="24"/>
        </w:rPr>
        <w:t>表4 竞赛时间安排与流程</w:t>
      </w:r>
    </w:p>
    <w:tbl>
      <w:tblPr>
        <w:tblStyle w:val="17"/>
        <w:tblW w:w="956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3"/>
        <w:gridCol w:w="1559"/>
        <w:gridCol w:w="2442"/>
        <w:gridCol w:w="1750"/>
        <w:gridCol w:w="1276"/>
        <w:gridCol w:w="14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8" w:hRule="atLeast"/>
          <w:tblHeader/>
          <w:jc w:val="center"/>
        </w:trPr>
        <w:tc>
          <w:tcPr>
            <w:tcW w:w="1103" w:type="dxa"/>
            <w:tcBorders>
              <w:top w:val="single" w:color="auto" w:sz="4" w:space="0"/>
              <w:left w:val="single" w:color="auto" w:sz="4" w:space="0"/>
              <w:bottom w:val="single" w:color="auto" w:sz="4" w:space="0"/>
              <w:right w:val="single" w:color="auto" w:sz="4" w:space="0"/>
            </w:tcBorders>
            <w:vAlign w:val="center"/>
          </w:tcPr>
          <w:p>
            <w:pPr>
              <w:shd w:val="solid" w:color="FFFFFF" w:fill="auto"/>
              <w:autoSpaceDN w:val="0"/>
              <w:adjustRightInd w:val="0"/>
              <w:snapToGrid w:val="0"/>
              <w:jc w:val="center"/>
              <w:rPr>
                <w:rFonts w:ascii="宋体" w:hAnsi="宋体"/>
                <w:b/>
                <w:sz w:val="24"/>
                <w:szCs w:val="24"/>
                <w:shd w:val="clear" w:color="auto" w:fill="FFFFFF"/>
              </w:rPr>
            </w:pPr>
            <w:r>
              <w:rPr>
                <w:rFonts w:hint="eastAsia" w:ascii="宋体" w:hAnsi="宋体"/>
                <w:b/>
                <w:sz w:val="24"/>
                <w:szCs w:val="24"/>
                <w:shd w:val="clear" w:color="auto" w:fill="FFFFFF"/>
              </w:rPr>
              <w:t>日期</w:t>
            </w:r>
          </w:p>
        </w:tc>
        <w:tc>
          <w:tcPr>
            <w:tcW w:w="1559" w:type="dxa"/>
            <w:tcBorders>
              <w:top w:val="single" w:color="auto" w:sz="4" w:space="0"/>
              <w:left w:val="single" w:color="auto" w:sz="4" w:space="0"/>
              <w:bottom w:val="single" w:color="auto" w:sz="4" w:space="0"/>
              <w:right w:val="single" w:color="auto" w:sz="4" w:space="0"/>
            </w:tcBorders>
            <w:vAlign w:val="center"/>
          </w:tcPr>
          <w:p>
            <w:pPr>
              <w:shd w:val="solid" w:color="FFFFFF" w:fill="auto"/>
              <w:autoSpaceDN w:val="0"/>
              <w:adjustRightInd w:val="0"/>
              <w:snapToGrid w:val="0"/>
              <w:jc w:val="center"/>
              <w:rPr>
                <w:rFonts w:ascii="宋体" w:hAnsi="宋体"/>
                <w:b/>
                <w:sz w:val="24"/>
                <w:szCs w:val="24"/>
                <w:shd w:val="clear" w:color="auto" w:fill="FFFFFF"/>
              </w:rPr>
            </w:pPr>
            <w:r>
              <w:rPr>
                <w:rFonts w:hint="eastAsia" w:ascii="宋体" w:hAnsi="宋体"/>
                <w:b/>
                <w:sz w:val="24"/>
                <w:szCs w:val="24"/>
                <w:shd w:val="clear" w:color="auto" w:fill="FFFFFF"/>
              </w:rPr>
              <w:t>时间</w:t>
            </w:r>
          </w:p>
        </w:tc>
        <w:tc>
          <w:tcPr>
            <w:tcW w:w="2442" w:type="dxa"/>
            <w:tcBorders>
              <w:top w:val="single" w:color="auto" w:sz="4" w:space="0"/>
              <w:left w:val="single" w:color="auto" w:sz="4" w:space="0"/>
              <w:bottom w:val="single" w:color="auto" w:sz="4" w:space="0"/>
              <w:right w:val="single" w:color="auto" w:sz="4" w:space="0"/>
            </w:tcBorders>
            <w:vAlign w:val="center"/>
          </w:tcPr>
          <w:p>
            <w:pPr>
              <w:shd w:val="solid" w:color="FFFFFF" w:fill="auto"/>
              <w:autoSpaceDN w:val="0"/>
              <w:adjustRightInd w:val="0"/>
              <w:snapToGrid w:val="0"/>
              <w:jc w:val="center"/>
              <w:rPr>
                <w:rFonts w:ascii="宋体" w:hAnsi="宋体"/>
                <w:b/>
                <w:sz w:val="24"/>
                <w:szCs w:val="24"/>
                <w:shd w:val="clear" w:color="auto" w:fill="FFFFFF"/>
              </w:rPr>
            </w:pPr>
            <w:r>
              <w:rPr>
                <w:rFonts w:hint="eastAsia" w:ascii="宋体" w:hAnsi="宋体"/>
                <w:b/>
                <w:sz w:val="24"/>
                <w:szCs w:val="24"/>
                <w:shd w:val="clear" w:color="auto" w:fill="FFFFFF"/>
              </w:rPr>
              <w:t>事项</w:t>
            </w:r>
          </w:p>
        </w:tc>
        <w:tc>
          <w:tcPr>
            <w:tcW w:w="1750" w:type="dxa"/>
            <w:tcBorders>
              <w:top w:val="single" w:color="auto" w:sz="4" w:space="0"/>
              <w:left w:val="single" w:color="auto" w:sz="4" w:space="0"/>
              <w:bottom w:val="single" w:color="auto" w:sz="4" w:space="0"/>
              <w:right w:val="single" w:color="auto" w:sz="4" w:space="0"/>
            </w:tcBorders>
            <w:vAlign w:val="center"/>
          </w:tcPr>
          <w:p>
            <w:pPr>
              <w:shd w:val="solid" w:color="FFFFFF" w:fill="auto"/>
              <w:autoSpaceDN w:val="0"/>
              <w:adjustRightInd w:val="0"/>
              <w:snapToGrid w:val="0"/>
              <w:jc w:val="center"/>
              <w:rPr>
                <w:rFonts w:ascii="宋体" w:hAnsi="宋体"/>
                <w:b/>
                <w:sz w:val="24"/>
                <w:szCs w:val="24"/>
                <w:shd w:val="clear" w:color="auto" w:fill="FFFFFF"/>
              </w:rPr>
            </w:pPr>
            <w:r>
              <w:rPr>
                <w:rFonts w:hint="eastAsia" w:ascii="宋体" w:hAnsi="宋体"/>
                <w:b/>
                <w:sz w:val="24"/>
                <w:szCs w:val="24"/>
                <w:shd w:val="clear" w:color="auto" w:fill="FFFFFF"/>
              </w:rPr>
              <w:t>参加人员</w:t>
            </w:r>
          </w:p>
        </w:tc>
        <w:tc>
          <w:tcPr>
            <w:tcW w:w="1276" w:type="dxa"/>
            <w:tcBorders>
              <w:top w:val="single" w:color="auto" w:sz="4" w:space="0"/>
              <w:left w:val="single" w:color="auto" w:sz="4" w:space="0"/>
              <w:bottom w:val="single" w:color="auto" w:sz="4" w:space="0"/>
              <w:right w:val="single" w:color="auto" w:sz="4" w:space="0"/>
            </w:tcBorders>
            <w:vAlign w:val="center"/>
          </w:tcPr>
          <w:p>
            <w:pPr>
              <w:shd w:val="solid" w:color="FFFFFF" w:fill="auto"/>
              <w:autoSpaceDN w:val="0"/>
              <w:adjustRightInd w:val="0"/>
              <w:snapToGrid w:val="0"/>
              <w:jc w:val="center"/>
              <w:rPr>
                <w:rFonts w:ascii="宋体" w:hAnsi="宋体"/>
                <w:b/>
                <w:sz w:val="24"/>
                <w:szCs w:val="24"/>
                <w:shd w:val="clear" w:color="auto" w:fill="FFFFFF"/>
              </w:rPr>
            </w:pPr>
            <w:r>
              <w:rPr>
                <w:rFonts w:hint="eastAsia" w:ascii="宋体" w:hAnsi="宋体"/>
                <w:b/>
                <w:sz w:val="24"/>
                <w:szCs w:val="24"/>
                <w:shd w:val="clear" w:color="auto" w:fill="FFFFFF"/>
              </w:rPr>
              <w:t>地点</w:t>
            </w:r>
          </w:p>
        </w:tc>
        <w:tc>
          <w:tcPr>
            <w:tcW w:w="1431" w:type="dxa"/>
            <w:tcBorders>
              <w:top w:val="single" w:color="auto" w:sz="4" w:space="0"/>
              <w:left w:val="single" w:color="auto" w:sz="4" w:space="0"/>
              <w:bottom w:val="single" w:color="auto" w:sz="4" w:space="0"/>
              <w:right w:val="single" w:color="auto" w:sz="4" w:space="0"/>
            </w:tcBorders>
            <w:vAlign w:val="center"/>
          </w:tcPr>
          <w:p>
            <w:pPr>
              <w:shd w:val="solid" w:color="FFFFFF" w:fill="auto"/>
              <w:autoSpaceDN w:val="0"/>
              <w:adjustRightInd w:val="0"/>
              <w:snapToGrid w:val="0"/>
              <w:jc w:val="center"/>
              <w:rPr>
                <w:rFonts w:ascii="宋体" w:hAnsi="宋体"/>
                <w:b/>
                <w:sz w:val="24"/>
                <w:szCs w:val="24"/>
                <w:shd w:val="clear" w:color="auto" w:fill="FFFFFF"/>
              </w:rPr>
            </w:pPr>
            <w:r>
              <w:rPr>
                <w:rFonts w:hint="eastAsia" w:ascii="宋体" w:hAnsi="宋体"/>
                <w:b/>
                <w:sz w:val="24"/>
                <w:szCs w:val="24"/>
                <w:shd w:val="clear" w:color="auto" w:fill="FFFFFF"/>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jc w:val="center"/>
        </w:trPr>
        <w:tc>
          <w:tcPr>
            <w:tcW w:w="1103" w:type="dxa"/>
            <w:tcBorders>
              <w:top w:val="single" w:color="auto" w:sz="4" w:space="0"/>
              <w:left w:val="single" w:color="auto" w:sz="4" w:space="0"/>
              <w:right w:val="single" w:color="auto" w:sz="4" w:space="0"/>
            </w:tcBorders>
            <w:vAlign w:val="center"/>
          </w:tcPr>
          <w:p>
            <w:pPr>
              <w:shd w:val="solid" w:color="FFFFFF" w:fill="auto"/>
              <w:autoSpaceDN w:val="0"/>
              <w:adjustRightInd w:val="0"/>
              <w:snapToGrid w:val="0"/>
              <w:jc w:val="center"/>
              <w:rPr>
                <w:rFonts w:ascii="宋体" w:hAnsi="宋体"/>
                <w:sz w:val="24"/>
                <w:szCs w:val="24"/>
                <w:shd w:val="clear" w:color="auto" w:fill="FFFFFF"/>
              </w:rPr>
            </w:pPr>
            <w:r>
              <w:rPr>
                <w:rFonts w:hint="eastAsia" w:asciiTheme="minorEastAsia" w:hAnsiTheme="minorEastAsia" w:eastAsiaTheme="minorEastAsia"/>
                <w:sz w:val="24"/>
                <w:szCs w:val="24"/>
                <w:shd w:val="clear" w:color="auto" w:fill="FFFFFF"/>
              </w:rPr>
              <w:t>竞赛前2</w:t>
            </w:r>
            <w:r>
              <w:rPr>
                <w:rFonts w:hint="eastAsia" w:ascii="宋体" w:hAnsi="宋体"/>
                <w:sz w:val="24"/>
                <w:szCs w:val="24"/>
                <w:shd w:val="clear" w:color="auto" w:fill="FFFFFF"/>
              </w:rPr>
              <w:t>日</w:t>
            </w:r>
          </w:p>
        </w:tc>
        <w:tc>
          <w:tcPr>
            <w:tcW w:w="1559" w:type="dxa"/>
            <w:tcBorders>
              <w:top w:val="single" w:color="auto" w:sz="4" w:space="0"/>
              <w:left w:val="single" w:color="auto" w:sz="4" w:space="0"/>
              <w:bottom w:val="single" w:color="auto" w:sz="4" w:space="0"/>
              <w:right w:val="single" w:color="auto" w:sz="4" w:space="0"/>
            </w:tcBorders>
            <w:vAlign w:val="center"/>
          </w:tcPr>
          <w:p>
            <w:pPr>
              <w:shd w:val="solid" w:color="FFFFFF" w:fill="auto"/>
              <w:autoSpaceDN w:val="0"/>
              <w:adjustRightInd w:val="0"/>
              <w:snapToGrid w:val="0"/>
              <w:jc w:val="center"/>
              <w:rPr>
                <w:rFonts w:ascii="宋体" w:hAnsi="宋体"/>
                <w:sz w:val="24"/>
                <w:szCs w:val="24"/>
                <w:shd w:val="clear" w:color="auto" w:fill="FFFFFF"/>
              </w:rPr>
            </w:pPr>
            <w:r>
              <w:rPr>
                <w:rFonts w:hint="eastAsia" w:ascii="宋体" w:hAnsi="宋体"/>
                <w:sz w:val="24"/>
                <w:szCs w:val="24"/>
                <w:shd w:val="clear" w:color="auto" w:fill="FFFFFF"/>
              </w:rPr>
              <w:t>13:00开始</w:t>
            </w:r>
          </w:p>
        </w:tc>
        <w:tc>
          <w:tcPr>
            <w:tcW w:w="2442" w:type="dxa"/>
            <w:tcBorders>
              <w:top w:val="single" w:color="auto" w:sz="4" w:space="0"/>
              <w:left w:val="single" w:color="auto" w:sz="4" w:space="0"/>
              <w:bottom w:val="single" w:color="auto" w:sz="4" w:space="0"/>
              <w:right w:val="single" w:color="auto" w:sz="4" w:space="0"/>
            </w:tcBorders>
            <w:vAlign w:val="center"/>
          </w:tcPr>
          <w:p>
            <w:pPr>
              <w:shd w:val="solid" w:color="FFFFFF" w:fill="auto"/>
              <w:autoSpaceDN w:val="0"/>
              <w:adjustRightInd w:val="0"/>
              <w:snapToGrid w:val="0"/>
              <w:jc w:val="center"/>
              <w:rPr>
                <w:rFonts w:ascii="宋体" w:hAnsi="宋体"/>
                <w:sz w:val="24"/>
                <w:szCs w:val="24"/>
                <w:shd w:val="clear" w:color="auto" w:fill="FFFFFF"/>
              </w:rPr>
            </w:pPr>
            <w:r>
              <w:rPr>
                <w:rFonts w:hint="eastAsia" w:ascii="宋体" w:hAnsi="宋体"/>
                <w:sz w:val="24"/>
                <w:szCs w:val="24"/>
                <w:shd w:val="clear" w:color="auto" w:fill="FFFFFF"/>
              </w:rPr>
              <w:t>参赛队报到，安排住宿，领取资料</w:t>
            </w:r>
          </w:p>
        </w:tc>
        <w:tc>
          <w:tcPr>
            <w:tcW w:w="1750" w:type="dxa"/>
            <w:tcBorders>
              <w:top w:val="single" w:color="auto" w:sz="4" w:space="0"/>
              <w:left w:val="single" w:color="auto" w:sz="4" w:space="0"/>
              <w:bottom w:val="single" w:color="auto" w:sz="4" w:space="0"/>
              <w:right w:val="single" w:color="auto" w:sz="4" w:space="0"/>
            </w:tcBorders>
            <w:vAlign w:val="center"/>
          </w:tcPr>
          <w:p>
            <w:pPr>
              <w:shd w:val="solid" w:color="FFFFFF" w:fill="auto"/>
              <w:autoSpaceDN w:val="0"/>
              <w:adjustRightInd w:val="0"/>
              <w:snapToGrid w:val="0"/>
              <w:jc w:val="center"/>
              <w:rPr>
                <w:rFonts w:ascii="宋体" w:hAnsi="宋体"/>
                <w:sz w:val="24"/>
                <w:szCs w:val="24"/>
                <w:shd w:val="clear" w:color="auto" w:fill="FFFFFF"/>
              </w:rPr>
            </w:pPr>
            <w:r>
              <w:rPr>
                <w:rFonts w:hint="eastAsia" w:ascii="宋体" w:hAnsi="宋体"/>
                <w:sz w:val="24"/>
                <w:szCs w:val="24"/>
                <w:shd w:val="clear" w:color="auto" w:fill="FFFFFF"/>
              </w:rPr>
              <w:t>工作人员、参赛队</w:t>
            </w:r>
          </w:p>
        </w:tc>
        <w:tc>
          <w:tcPr>
            <w:tcW w:w="1276" w:type="dxa"/>
            <w:tcBorders>
              <w:top w:val="single" w:color="auto" w:sz="4" w:space="0"/>
              <w:left w:val="single" w:color="auto" w:sz="4" w:space="0"/>
              <w:bottom w:val="single" w:color="auto" w:sz="4" w:space="0"/>
              <w:right w:val="single" w:color="auto" w:sz="4" w:space="0"/>
            </w:tcBorders>
            <w:vAlign w:val="center"/>
          </w:tcPr>
          <w:p>
            <w:pPr>
              <w:shd w:val="solid" w:color="FFFFFF" w:fill="auto"/>
              <w:autoSpaceDN w:val="0"/>
              <w:adjustRightInd w:val="0"/>
              <w:snapToGrid w:val="0"/>
              <w:jc w:val="center"/>
              <w:rPr>
                <w:rFonts w:ascii="宋体" w:hAnsi="宋体"/>
                <w:sz w:val="24"/>
                <w:szCs w:val="24"/>
                <w:shd w:val="clear" w:color="auto" w:fill="FFFFFF"/>
              </w:rPr>
            </w:pPr>
            <w:r>
              <w:rPr>
                <w:rFonts w:hint="eastAsia" w:ascii="宋体" w:hAnsi="宋体"/>
                <w:sz w:val="24"/>
                <w:szCs w:val="24"/>
                <w:shd w:val="clear" w:color="auto" w:fill="FFFFFF"/>
              </w:rPr>
              <w:t>住宿酒店</w:t>
            </w:r>
          </w:p>
        </w:tc>
        <w:tc>
          <w:tcPr>
            <w:tcW w:w="1431" w:type="dxa"/>
            <w:tcBorders>
              <w:top w:val="single" w:color="auto" w:sz="4" w:space="0"/>
              <w:left w:val="single" w:color="auto" w:sz="4" w:space="0"/>
              <w:bottom w:val="single" w:color="auto" w:sz="4" w:space="0"/>
              <w:right w:val="single" w:color="auto" w:sz="4" w:space="0"/>
            </w:tcBorders>
            <w:vAlign w:val="center"/>
          </w:tcPr>
          <w:p>
            <w:pPr>
              <w:shd w:val="solid" w:color="FFFFFF" w:fill="auto"/>
              <w:autoSpaceDN w:val="0"/>
              <w:adjustRightInd w:val="0"/>
              <w:snapToGrid w:val="0"/>
              <w:jc w:val="center"/>
              <w:rPr>
                <w:rFonts w:ascii="宋体" w:hAnsi="宋体"/>
                <w:sz w:val="24"/>
                <w:szCs w:val="24"/>
                <w:shd w:val="clear" w:color="auto" w:fill="FFFFFF"/>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4" w:hRule="atLeast"/>
          <w:tblHeader/>
          <w:jc w:val="center"/>
        </w:trPr>
        <w:tc>
          <w:tcPr>
            <w:tcW w:w="1103" w:type="dxa"/>
            <w:vMerge w:val="restart"/>
            <w:tcBorders>
              <w:top w:val="single" w:color="auto" w:sz="4" w:space="0"/>
              <w:left w:val="single" w:color="auto" w:sz="4" w:space="0"/>
              <w:right w:val="single" w:color="auto" w:sz="4" w:space="0"/>
            </w:tcBorders>
            <w:vAlign w:val="center"/>
          </w:tcPr>
          <w:p>
            <w:pPr>
              <w:shd w:val="solid" w:color="FFFFFF" w:fill="auto"/>
              <w:autoSpaceDN w:val="0"/>
              <w:adjustRightInd w:val="0"/>
              <w:snapToGrid w:val="0"/>
              <w:jc w:val="center"/>
              <w:rPr>
                <w:rFonts w:ascii="宋体" w:hAnsi="宋体"/>
                <w:sz w:val="24"/>
                <w:szCs w:val="24"/>
                <w:shd w:val="clear" w:color="auto" w:fill="FFFFFF"/>
              </w:rPr>
            </w:pPr>
            <w:r>
              <w:rPr>
                <w:rFonts w:hint="eastAsia" w:asciiTheme="minorEastAsia" w:hAnsiTheme="minorEastAsia" w:eastAsiaTheme="minorEastAsia"/>
                <w:sz w:val="24"/>
                <w:szCs w:val="24"/>
                <w:shd w:val="clear" w:color="auto" w:fill="FFFFFF"/>
              </w:rPr>
              <w:t>报到</w:t>
            </w:r>
            <w:r>
              <w:rPr>
                <w:rFonts w:hint="eastAsia" w:ascii="宋体" w:hAnsi="宋体"/>
                <w:sz w:val="24"/>
                <w:szCs w:val="24"/>
                <w:shd w:val="clear" w:color="auto" w:fill="FFFFFF"/>
              </w:rPr>
              <w:t>日</w:t>
            </w:r>
          </w:p>
        </w:tc>
        <w:tc>
          <w:tcPr>
            <w:tcW w:w="1559" w:type="dxa"/>
            <w:tcBorders>
              <w:top w:val="single" w:color="auto" w:sz="4" w:space="0"/>
              <w:left w:val="single" w:color="auto" w:sz="4" w:space="0"/>
              <w:bottom w:val="single" w:color="auto" w:sz="4" w:space="0"/>
              <w:right w:val="single" w:color="auto" w:sz="4" w:space="0"/>
            </w:tcBorders>
            <w:vAlign w:val="center"/>
          </w:tcPr>
          <w:p>
            <w:pPr>
              <w:shd w:val="solid" w:color="FFFFFF" w:fill="auto"/>
              <w:autoSpaceDN w:val="0"/>
              <w:adjustRightInd w:val="0"/>
              <w:snapToGrid w:val="0"/>
              <w:jc w:val="center"/>
              <w:rPr>
                <w:rFonts w:ascii="宋体" w:hAnsi="宋体"/>
                <w:sz w:val="24"/>
                <w:szCs w:val="24"/>
                <w:shd w:val="clear" w:color="auto" w:fill="FFFFFF"/>
              </w:rPr>
            </w:pPr>
            <w:r>
              <w:rPr>
                <w:rFonts w:hint="eastAsia" w:ascii="宋体" w:hAnsi="宋体"/>
                <w:sz w:val="24"/>
                <w:szCs w:val="24"/>
                <w:shd w:val="clear" w:color="auto" w:fill="FFFFFF"/>
              </w:rPr>
              <w:t>08:00-13:00</w:t>
            </w:r>
          </w:p>
        </w:tc>
        <w:tc>
          <w:tcPr>
            <w:tcW w:w="2442" w:type="dxa"/>
            <w:tcBorders>
              <w:top w:val="single" w:color="auto" w:sz="4" w:space="0"/>
              <w:left w:val="single" w:color="auto" w:sz="4" w:space="0"/>
              <w:bottom w:val="single" w:color="auto" w:sz="4" w:space="0"/>
              <w:right w:val="single" w:color="auto" w:sz="4" w:space="0"/>
            </w:tcBorders>
            <w:vAlign w:val="center"/>
          </w:tcPr>
          <w:p>
            <w:pPr>
              <w:shd w:val="solid" w:color="FFFFFF" w:fill="auto"/>
              <w:autoSpaceDN w:val="0"/>
              <w:adjustRightInd w:val="0"/>
              <w:snapToGrid w:val="0"/>
              <w:jc w:val="center"/>
              <w:rPr>
                <w:rFonts w:ascii="宋体" w:hAnsi="宋体"/>
                <w:sz w:val="24"/>
                <w:szCs w:val="24"/>
                <w:shd w:val="clear" w:color="auto" w:fill="FFFFFF"/>
              </w:rPr>
            </w:pPr>
            <w:r>
              <w:rPr>
                <w:rFonts w:hint="eastAsia" w:ascii="宋体" w:hAnsi="宋体"/>
                <w:sz w:val="24"/>
                <w:szCs w:val="24"/>
                <w:shd w:val="clear" w:color="auto" w:fill="FFFFFF"/>
              </w:rPr>
              <w:t>参赛队报到，安排住宿，领取资料</w:t>
            </w:r>
          </w:p>
        </w:tc>
        <w:tc>
          <w:tcPr>
            <w:tcW w:w="1750" w:type="dxa"/>
            <w:tcBorders>
              <w:top w:val="single" w:color="auto" w:sz="4" w:space="0"/>
              <w:left w:val="single" w:color="auto" w:sz="4" w:space="0"/>
              <w:bottom w:val="single" w:color="auto" w:sz="4" w:space="0"/>
              <w:right w:val="single" w:color="auto" w:sz="4" w:space="0"/>
            </w:tcBorders>
            <w:vAlign w:val="center"/>
          </w:tcPr>
          <w:p>
            <w:pPr>
              <w:shd w:val="solid" w:color="FFFFFF" w:fill="auto"/>
              <w:autoSpaceDN w:val="0"/>
              <w:adjustRightInd w:val="0"/>
              <w:snapToGrid w:val="0"/>
              <w:jc w:val="center"/>
              <w:rPr>
                <w:rFonts w:ascii="宋体" w:hAnsi="宋体"/>
                <w:sz w:val="24"/>
                <w:szCs w:val="24"/>
                <w:shd w:val="clear" w:color="auto" w:fill="FFFFFF"/>
              </w:rPr>
            </w:pPr>
            <w:r>
              <w:rPr>
                <w:rFonts w:hint="eastAsia" w:ascii="宋体" w:hAnsi="宋体"/>
                <w:sz w:val="24"/>
                <w:szCs w:val="24"/>
                <w:shd w:val="clear" w:color="auto" w:fill="FFFFFF"/>
              </w:rPr>
              <w:t>工作人员、参赛队</w:t>
            </w:r>
          </w:p>
        </w:tc>
        <w:tc>
          <w:tcPr>
            <w:tcW w:w="1276" w:type="dxa"/>
            <w:tcBorders>
              <w:top w:val="single" w:color="auto" w:sz="4" w:space="0"/>
              <w:left w:val="single" w:color="auto" w:sz="4" w:space="0"/>
              <w:bottom w:val="single" w:color="auto" w:sz="4" w:space="0"/>
              <w:right w:val="single" w:color="auto" w:sz="4" w:space="0"/>
            </w:tcBorders>
            <w:vAlign w:val="center"/>
          </w:tcPr>
          <w:p>
            <w:pPr>
              <w:shd w:val="solid" w:color="FFFFFF" w:fill="auto"/>
              <w:autoSpaceDN w:val="0"/>
              <w:adjustRightInd w:val="0"/>
              <w:snapToGrid w:val="0"/>
              <w:jc w:val="center"/>
              <w:rPr>
                <w:rFonts w:ascii="宋体" w:hAnsi="宋体"/>
                <w:sz w:val="24"/>
                <w:szCs w:val="24"/>
                <w:shd w:val="clear" w:color="auto" w:fill="FFFFFF"/>
              </w:rPr>
            </w:pPr>
            <w:r>
              <w:rPr>
                <w:rFonts w:hint="eastAsia" w:ascii="宋体" w:hAnsi="宋体"/>
                <w:sz w:val="24"/>
                <w:szCs w:val="24"/>
                <w:shd w:val="clear" w:color="auto" w:fill="FFFFFF"/>
              </w:rPr>
              <w:t>住宿酒店</w:t>
            </w:r>
          </w:p>
        </w:tc>
        <w:tc>
          <w:tcPr>
            <w:tcW w:w="1431" w:type="dxa"/>
            <w:tcBorders>
              <w:top w:val="single" w:color="auto" w:sz="4" w:space="0"/>
              <w:left w:val="single" w:color="auto" w:sz="4" w:space="0"/>
              <w:bottom w:val="single" w:color="auto" w:sz="4" w:space="0"/>
              <w:right w:val="single" w:color="auto" w:sz="4" w:space="0"/>
            </w:tcBorders>
            <w:vAlign w:val="center"/>
          </w:tcPr>
          <w:p>
            <w:pPr>
              <w:shd w:val="solid" w:color="FFFFFF" w:fill="auto"/>
              <w:autoSpaceDN w:val="0"/>
              <w:adjustRightInd w:val="0"/>
              <w:snapToGrid w:val="0"/>
              <w:jc w:val="center"/>
              <w:rPr>
                <w:rFonts w:ascii="宋体" w:hAnsi="宋体"/>
                <w:sz w:val="24"/>
                <w:szCs w:val="24"/>
                <w:shd w:val="clear" w:color="auto" w:fill="FFFFFF"/>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jc w:val="center"/>
        </w:trPr>
        <w:tc>
          <w:tcPr>
            <w:tcW w:w="1103" w:type="dxa"/>
            <w:vMerge w:val="continue"/>
            <w:tcBorders>
              <w:left w:val="single" w:color="auto" w:sz="4" w:space="0"/>
              <w:right w:val="single" w:color="auto" w:sz="4" w:space="0"/>
            </w:tcBorders>
            <w:vAlign w:val="center"/>
          </w:tcPr>
          <w:p>
            <w:pPr>
              <w:shd w:val="solid" w:color="FFFFFF" w:fill="auto"/>
              <w:autoSpaceDN w:val="0"/>
              <w:adjustRightInd w:val="0"/>
              <w:snapToGrid w:val="0"/>
              <w:jc w:val="center"/>
              <w:rPr>
                <w:rFonts w:ascii="宋体" w:hAnsi="宋体"/>
                <w:sz w:val="24"/>
                <w:szCs w:val="24"/>
                <w:shd w:val="clear" w:color="auto" w:fill="FFFFFF"/>
              </w:rPr>
            </w:pPr>
          </w:p>
        </w:tc>
        <w:tc>
          <w:tcPr>
            <w:tcW w:w="1559" w:type="dxa"/>
            <w:tcBorders>
              <w:top w:val="single" w:color="auto" w:sz="4" w:space="0"/>
              <w:left w:val="single" w:color="auto" w:sz="4" w:space="0"/>
              <w:bottom w:val="single" w:color="auto" w:sz="4" w:space="0"/>
              <w:right w:val="single" w:color="auto" w:sz="4" w:space="0"/>
            </w:tcBorders>
            <w:vAlign w:val="center"/>
          </w:tcPr>
          <w:p>
            <w:pPr>
              <w:shd w:val="solid" w:color="FFFFFF" w:fill="auto"/>
              <w:autoSpaceDN w:val="0"/>
              <w:adjustRightInd w:val="0"/>
              <w:snapToGrid w:val="0"/>
              <w:jc w:val="center"/>
              <w:rPr>
                <w:rFonts w:ascii="宋体" w:hAnsi="宋体"/>
                <w:sz w:val="24"/>
                <w:szCs w:val="24"/>
                <w:shd w:val="clear" w:color="auto" w:fill="FFFFFF"/>
              </w:rPr>
            </w:pPr>
            <w:r>
              <w:rPr>
                <w:rFonts w:hint="eastAsia" w:ascii="宋体" w:hAnsi="宋体"/>
                <w:sz w:val="24"/>
                <w:szCs w:val="24"/>
                <w:shd w:val="clear" w:color="auto" w:fill="FFFFFF"/>
              </w:rPr>
              <w:t>15:00-15:30</w:t>
            </w:r>
          </w:p>
        </w:tc>
        <w:tc>
          <w:tcPr>
            <w:tcW w:w="2442" w:type="dxa"/>
            <w:tcBorders>
              <w:top w:val="single" w:color="auto" w:sz="4" w:space="0"/>
              <w:left w:val="single" w:color="auto" w:sz="4" w:space="0"/>
              <w:bottom w:val="single" w:color="auto" w:sz="4" w:space="0"/>
              <w:right w:val="single" w:color="auto" w:sz="4" w:space="0"/>
            </w:tcBorders>
            <w:vAlign w:val="center"/>
          </w:tcPr>
          <w:p>
            <w:pPr>
              <w:shd w:val="solid" w:color="FFFFFF" w:fill="auto"/>
              <w:autoSpaceDN w:val="0"/>
              <w:adjustRightInd w:val="0"/>
              <w:snapToGrid w:val="0"/>
              <w:jc w:val="center"/>
              <w:rPr>
                <w:rFonts w:ascii="宋体" w:hAnsi="宋体"/>
                <w:b/>
                <w:sz w:val="24"/>
                <w:szCs w:val="24"/>
                <w:shd w:val="clear" w:color="auto" w:fill="FFFFFF"/>
              </w:rPr>
            </w:pPr>
            <w:r>
              <w:rPr>
                <w:rFonts w:hint="eastAsia" w:ascii="宋体" w:hAnsi="宋体"/>
                <w:sz w:val="24"/>
                <w:szCs w:val="24"/>
                <w:shd w:val="clear" w:color="auto" w:fill="FFFFFF"/>
              </w:rPr>
              <w:t>领队会</w:t>
            </w:r>
          </w:p>
        </w:tc>
        <w:tc>
          <w:tcPr>
            <w:tcW w:w="1750" w:type="dxa"/>
            <w:tcBorders>
              <w:top w:val="single" w:color="auto" w:sz="4" w:space="0"/>
              <w:left w:val="single" w:color="auto" w:sz="4" w:space="0"/>
              <w:bottom w:val="single" w:color="auto" w:sz="4" w:space="0"/>
              <w:right w:val="single" w:color="auto" w:sz="4" w:space="0"/>
            </w:tcBorders>
            <w:vAlign w:val="center"/>
          </w:tcPr>
          <w:p>
            <w:pPr>
              <w:shd w:val="solid" w:color="FFFFFF" w:fill="auto"/>
              <w:autoSpaceDN w:val="0"/>
              <w:adjustRightInd w:val="0"/>
              <w:snapToGrid w:val="0"/>
              <w:jc w:val="center"/>
              <w:rPr>
                <w:rFonts w:ascii="宋体" w:hAnsi="宋体"/>
                <w:sz w:val="24"/>
                <w:szCs w:val="24"/>
                <w:shd w:val="clear" w:color="auto" w:fill="FFFFFF"/>
              </w:rPr>
            </w:pPr>
            <w:r>
              <w:rPr>
                <w:rFonts w:hint="eastAsia" w:ascii="宋体" w:hAnsi="宋体"/>
                <w:sz w:val="24"/>
                <w:szCs w:val="24"/>
                <w:shd w:val="clear" w:color="auto" w:fill="FFFFFF"/>
              </w:rPr>
              <w:t>各参赛队领队</w:t>
            </w:r>
          </w:p>
        </w:tc>
        <w:tc>
          <w:tcPr>
            <w:tcW w:w="1276" w:type="dxa"/>
            <w:tcBorders>
              <w:top w:val="single" w:color="auto" w:sz="4" w:space="0"/>
              <w:left w:val="single" w:color="auto" w:sz="4" w:space="0"/>
              <w:bottom w:val="single" w:color="auto" w:sz="4" w:space="0"/>
              <w:right w:val="single" w:color="auto" w:sz="4" w:space="0"/>
            </w:tcBorders>
            <w:vAlign w:val="center"/>
          </w:tcPr>
          <w:p>
            <w:pPr>
              <w:shd w:val="solid" w:color="FFFFFF" w:fill="auto"/>
              <w:autoSpaceDN w:val="0"/>
              <w:adjustRightInd w:val="0"/>
              <w:snapToGrid w:val="0"/>
              <w:jc w:val="center"/>
              <w:rPr>
                <w:rFonts w:ascii="宋体" w:hAnsi="宋体"/>
                <w:sz w:val="24"/>
                <w:szCs w:val="24"/>
                <w:shd w:val="clear" w:color="auto" w:fill="FFFFFF"/>
              </w:rPr>
            </w:pPr>
            <w:r>
              <w:rPr>
                <w:rFonts w:hint="eastAsia" w:ascii="宋体" w:hAnsi="宋体"/>
                <w:sz w:val="24"/>
                <w:szCs w:val="24"/>
                <w:shd w:val="clear" w:color="auto" w:fill="FFFFFF"/>
              </w:rPr>
              <w:t>报告厅</w:t>
            </w:r>
          </w:p>
        </w:tc>
        <w:tc>
          <w:tcPr>
            <w:tcW w:w="1431" w:type="dxa"/>
            <w:tcBorders>
              <w:top w:val="single" w:color="auto" w:sz="4" w:space="0"/>
              <w:left w:val="single" w:color="auto" w:sz="4" w:space="0"/>
              <w:bottom w:val="single" w:color="auto" w:sz="4" w:space="0"/>
              <w:right w:val="single" w:color="auto" w:sz="4" w:space="0"/>
            </w:tcBorders>
            <w:vAlign w:val="center"/>
          </w:tcPr>
          <w:p>
            <w:pPr>
              <w:shd w:val="solid" w:color="FFFFFF" w:fill="auto"/>
              <w:autoSpaceDN w:val="0"/>
              <w:adjustRightInd w:val="0"/>
              <w:snapToGrid w:val="0"/>
              <w:jc w:val="center"/>
              <w:rPr>
                <w:rFonts w:ascii="宋体" w:hAnsi="宋体"/>
                <w:sz w:val="24"/>
                <w:szCs w:val="24"/>
                <w:shd w:val="clear" w:color="auto" w:fill="FFFFFF"/>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7" w:hRule="atLeast"/>
          <w:tblHeader/>
          <w:jc w:val="center"/>
        </w:trPr>
        <w:tc>
          <w:tcPr>
            <w:tcW w:w="1103" w:type="dxa"/>
            <w:vMerge w:val="continue"/>
            <w:tcBorders>
              <w:left w:val="single" w:color="auto" w:sz="4" w:space="0"/>
              <w:right w:val="single" w:color="auto" w:sz="4" w:space="0"/>
            </w:tcBorders>
            <w:vAlign w:val="center"/>
          </w:tcPr>
          <w:p>
            <w:pPr>
              <w:shd w:val="solid" w:color="FFFFFF" w:fill="auto"/>
              <w:autoSpaceDN w:val="0"/>
              <w:adjustRightInd w:val="0"/>
              <w:snapToGrid w:val="0"/>
              <w:jc w:val="center"/>
              <w:rPr>
                <w:rFonts w:ascii="宋体" w:hAnsi="宋体"/>
                <w:sz w:val="24"/>
                <w:szCs w:val="24"/>
                <w:shd w:val="clear" w:color="auto" w:fill="FFFFFF"/>
              </w:rPr>
            </w:pPr>
          </w:p>
        </w:tc>
        <w:tc>
          <w:tcPr>
            <w:tcW w:w="1559" w:type="dxa"/>
            <w:tcBorders>
              <w:top w:val="single" w:color="auto" w:sz="4" w:space="0"/>
              <w:left w:val="single" w:color="auto" w:sz="4" w:space="0"/>
              <w:bottom w:val="single" w:color="auto" w:sz="4" w:space="0"/>
              <w:right w:val="single" w:color="auto" w:sz="4" w:space="0"/>
            </w:tcBorders>
            <w:vAlign w:val="center"/>
          </w:tcPr>
          <w:p>
            <w:pPr>
              <w:shd w:val="solid" w:color="FFFFFF" w:fill="auto"/>
              <w:autoSpaceDN w:val="0"/>
              <w:adjustRightInd w:val="0"/>
              <w:snapToGrid w:val="0"/>
              <w:jc w:val="center"/>
              <w:rPr>
                <w:rFonts w:ascii="宋体" w:hAnsi="宋体"/>
                <w:sz w:val="24"/>
                <w:szCs w:val="24"/>
                <w:shd w:val="clear" w:color="auto" w:fill="FFFFFF"/>
              </w:rPr>
            </w:pPr>
            <w:r>
              <w:rPr>
                <w:rFonts w:hint="eastAsia" w:ascii="宋体" w:hAnsi="宋体"/>
                <w:sz w:val="24"/>
                <w:szCs w:val="24"/>
                <w:shd w:val="clear" w:color="auto" w:fill="FFFFFF"/>
              </w:rPr>
              <w:t>15:30-16:30</w:t>
            </w:r>
          </w:p>
        </w:tc>
        <w:tc>
          <w:tcPr>
            <w:tcW w:w="2442" w:type="dxa"/>
            <w:tcBorders>
              <w:top w:val="single" w:color="auto" w:sz="4" w:space="0"/>
              <w:left w:val="single" w:color="auto" w:sz="4" w:space="0"/>
              <w:bottom w:val="single" w:color="auto" w:sz="4" w:space="0"/>
              <w:right w:val="single" w:color="auto" w:sz="4" w:space="0"/>
            </w:tcBorders>
            <w:vAlign w:val="center"/>
          </w:tcPr>
          <w:p>
            <w:pPr>
              <w:shd w:val="solid" w:color="FFFFFF" w:fill="auto"/>
              <w:autoSpaceDN w:val="0"/>
              <w:adjustRightInd w:val="0"/>
              <w:snapToGrid w:val="0"/>
              <w:jc w:val="center"/>
              <w:rPr>
                <w:rFonts w:ascii="宋体" w:hAnsi="宋体"/>
                <w:sz w:val="24"/>
                <w:szCs w:val="24"/>
                <w:shd w:val="clear" w:color="auto" w:fill="FFFFFF"/>
              </w:rPr>
            </w:pPr>
            <w:r>
              <w:rPr>
                <w:rFonts w:hint="eastAsia" w:ascii="宋体" w:hAnsi="宋体"/>
                <w:b/>
                <w:sz w:val="24"/>
                <w:szCs w:val="24"/>
                <w:shd w:val="clear" w:color="auto" w:fill="FFFFFF"/>
              </w:rPr>
              <w:t>外贸英语沟通能力模块分组抽签</w:t>
            </w:r>
          </w:p>
          <w:p>
            <w:pPr>
              <w:shd w:val="solid" w:color="FFFFFF" w:fill="auto"/>
              <w:autoSpaceDN w:val="0"/>
              <w:adjustRightInd w:val="0"/>
              <w:snapToGrid w:val="0"/>
              <w:jc w:val="center"/>
              <w:rPr>
                <w:rFonts w:ascii="宋体" w:hAnsi="宋体"/>
                <w:sz w:val="24"/>
                <w:szCs w:val="24"/>
                <w:shd w:val="clear" w:color="auto" w:fill="FFFFFF"/>
              </w:rPr>
            </w:pPr>
            <w:r>
              <w:rPr>
                <w:rFonts w:hint="eastAsia" w:ascii="宋体" w:hAnsi="宋体"/>
                <w:sz w:val="24"/>
                <w:szCs w:val="24"/>
                <w:shd w:val="clear" w:color="auto" w:fill="FFFFFF"/>
              </w:rPr>
              <w:t>熟悉场地</w:t>
            </w:r>
          </w:p>
        </w:tc>
        <w:tc>
          <w:tcPr>
            <w:tcW w:w="1750" w:type="dxa"/>
            <w:tcBorders>
              <w:top w:val="single" w:color="auto" w:sz="4" w:space="0"/>
              <w:left w:val="single" w:color="auto" w:sz="4" w:space="0"/>
              <w:bottom w:val="single" w:color="auto" w:sz="4" w:space="0"/>
              <w:right w:val="single" w:color="auto" w:sz="4" w:space="0"/>
            </w:tcBorders>
            <w:vAlign w:val="center"/>
          </w:tcPr>
          <w:p>
            <w:pPr>
              <w:shd w:val="solid" w:color="FFFFFF" w:fill="auto"/>
              <w:autoSpaceDN w:val="0"/>
              <w:adjustRightInd w:val="0"/>
              <w:snapToGrid w:val="0"/>
              <w:jc w:val="center"/>
              <w:rPr>
                <w:rFonts w:ascii="宋体" w:hAnsi="宋体"/>
                <w:sz w:val="24"/>
                <w:szCs w:val="24"/>
                <w:shd w:val="clear" w:color="auto" w:fill="FFFFFF"/>
              </w:rPr>
            </w:pPr>
            <w:r>
              <w:rPr>
                <w:rFonts w:hint="eastAsia" w:ascii="宋体" w:hAnsi="宋体"/>
                <w:sz w:val="24"/>
                <w:szCs w:val="24"/>
                <w:shd w:val="clear" w:color="auto" w:fill="FFFFFF"/>
              </w:rPr>
              <w:t>裁判长</w:t>
            </w:r>
          </w:p>
          <w:p>
            <w:pPr>
              <w:shd w:val="solid" w:color="FFFFFF" w:fill="auto"/>
              <w:autoSpaceDN w:val="0"/>
              <w:adjustRightInd w:val="0"/>
              <w:snapToGrid w:val="0"/>
              <w:jc w:val="center"/>
              <w:rPr>
                <w:rFonts w:ascii="宋体" w:hAnsi="宋体"/>
                <w:sz w:val="24"/>
                <w:szCs w:val="24"/>
                <w:shd w:val="clear" w:color="auto" w:fill="FFFFFF"/>
              </w:rPr>
            </w:pPr>
            <w:r>
              <w:rPr>
                <w:rFonts w:hint="eastAsia" w:ascii="宋体" w:hAnsi="宋体"/>
                <w:sz w:val="24"/>
                <w:szCs w:val="24"/>
                <w:shd w:val="clear" w:color="auto" w:fill="FFFFFF"/>
              </w:rPr>
              <w:t>各参赛队领队</w:t>
            </w:r>
          </w:p>
        </w:tc>
        <w:tc>
          <w:tcPr>
            <w:tcW w:w="1276" w:type="dxa"/>
            <w:tcBorders>
              <w:top w:val="single" w:color="auto" w:sz="4" w:space="0"/>
              <w:left w:val="single" w:color="auto" w:sz="4" w:space="0"/>
              <w:bottom w:val="single" w:color="auto" w:sz="4" w:space="0"/>
              <w:right w:val="single" w:color="auto" w:sz="4" w:space="0"/>
            </w:tcBorders>
            <w:vAlign w:val="center"/>
          </w:tcPr>
          <w:p>
            <w:pPr>
              <w:shd w:val="solid" w:color="FFFFFF" w:fill="auto"/>
              <w:autoSpaceDN w:val="0"/>
              <w:adjustRightInd w:val="0"/>
              <w:snapToGrid w:val="0"/>
              <w:jc w:val="center"/>
              <w:rPr>
                <w:rFonts w:ascii="宋体" w:hAnsi="宋体"/>
                <w:sz w:val="24"/>
                <w:szCs w:val="24"/>
                <w:shd w:val="clear" w:color="auto" w:fill="FFFFFF"/>
              </w:rPr>
            </w:pPr>
            <w:r>
              <w:rPr>
                <w:rFonts w:hint="eastAsia" w:ascii="宋体" w:hAnsi="宋体"/>
                <w:sz w:val="24"/>
                <w:szCs w:val="24"/>
                <w:shd w:val="clear" w:color="auto" w:fill="FFFFFF"/>
              </w:rPr>
              <w:t>竞赛场地</w:t>
            </w:r>
          </w:p>
        </w:tc>
        <w:tc>
          <w:tcPr>
            <w:tcW w:w="1431" w:type="dxa"/>
            <w:tcBorders>
              <w:top w:val="single" w:color="auto" w:sz="4" w:space="0"/>
              <w:left w:val="single" w:color="auto" w:sz="4" w:space="0"/>
              <w:bottom w:val="single" w:color="auto" w:sz="4" w:space="0"/>
              <w:right w:val="single" w:color="auto" w:sz="4" w:space="0"/>
            </w:tcBorders>
            <w:vAlign w:val="center"/>
          </w:tcPr>
          <w:p>
            <w:pPr>
              <w:shd w:val="solid" w:color="FFFFFF" w:fill="auto"/>
              <w:autoSpaceDN w:val="0"/>
              <w:adjustRightInd w:val="0"/>
              <w:snapToGrid w:val="0"/>
              <w:jc w:val="center"/>
              <w:rPr>
                <w:rFonts w:ascii="宋体" w:hAnsi="宋体"/>
                <w:sz w:val="24"/>
                <w:szCs w:val="24"/>
                <w:shd w:val="clear" w:color="auto" w:fill="FFFFFF"/>
              </w:rPr>
            </w:pPr>
            <w:r>
              <w:rPr>
                <w:rFonts w:hint="eastAsia" w:ascii="宋体" w:hAnsi="宋体"/>
                <w:sz w:val="24"/>
                <w:szCs w:val="24"/>
                <w:shd w:val="clear" w:color="auto" w:fill="FFFFFF"/>
              </w:rPr>
              <w:t>A组、B组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99" w:hRule="atLeast"/>
          <w:tblHeader/>
          <w:jc w:val="center"/>
        </w:trPr>
        <w:tc>
          <w:tcPr>
            <w:tcW w:w="1103" w:type="dxa"/>
            <w:vMerge w:val="continue"/>
            <w:tcBorders>
              <w:left w:val="single" w:color="auto" w:sz="4" w:space="0"/>
              <w:bottom w:val="single" w:color="auto" w:sz="4" w:space="0"/>
              <w:right w:val="single" w:color="auto" w:sz="4" w:space="0"/>
            </w:tcBorders>
            <w:vAlign w:val="center"/>
          </w:tcPr>
          <w:p>
            <w:pPr>
              <w:shd w:val="solid" w:color="FFFFFF" w:fill="auto"/>
              <w:autoSpaceDN w:val="0"/>
              <w:adjustRightInd w:val="0"/>
              <w:snapToGrid w:val="0"/>
              <w:jc w:val="center"/>
              <w:rPr>
                <w:rFonts w:ascii="宋体" w:hAnsi="宋体"/>
                <w:sz w:val="24"/>
                <w:szCs w:val="24"/>
                <w:shd w:val="clear" w:color="auto" w:fill="FFFFFF"/>
              </w:rPr>
            </w:pPr>
          </w:p>
        </w:tc>
        <w:tc>
          <w:tcPr>
            <w:tcW w:w="1559" w:type="dxa"/>
            <w:tcBorders>
              <w:top w:val="single" w:color="auto" w:sz="4" w:space="0"/>
              <w:left w:val="single" w:color="auto" w:sz="4" w:space="0"/>
              <w:bottom w:val="single" w:color="auto" w:sz="4" w:space="0"/>
              <w:right w:val="single" w:color="auto" w:sz="4" w:space="0"/>
            </w:tcBorders>
            <w:vAlign w:val="center"/>
          </w:tcPr>
          <w:p>
            <w:pPr>
              <w:shd w:val="solid" w:color="FFFFFF" w:fill="auto"/>
              <w:autoSpaceDN w:val="0"/>
              <w:adjustRightInd w:val="0"/>
              <w:snapToGrid w:val="0"/>
              <w:jc w:val="center"/>
              <w:rPr>
                <w:rFonts w:ascii="宋体" w:hAnsi="宋体"/>
                <w:sz w:val="24"/>
                <w:szCs w:val="24"/>
                <w:shd w:val="clear" w:color="auto" w:fill="FFFFFF"/>
              </w:rPr>
            </w:pPr>
            <w:r>
              <w:rPr>
                <w:rFonts w:hint="eastAsia" w:ascii="宋体" w:hAnsi="宋体"/>
                <w:sz w:val="24"/>
                <w:szCs w:val="24"/>
                <w:shd w:val="clear" w:color="auto" w:fill="FFFFFF"/>
              </w:rPr>
              <w:t>16:40</w:t>
            </w:r>
          </w:p>
        </w:tc>
        <w:tc>
          <w:tcPr>
            <w:tcW w:w="2442" w:type="dxa"/>
            <w:tcBorders>
              <w:top w:val="single" w:color="auto" w:sz="4" w:space="0"/>
              <w:left w:val="single" w:color="auto" w:sz="4" w:space="0"/>
              <w:bottom w:val="single" w:color="auto" w:sz="4" w:space="0"/>
              <w:right w:val="single" w:color="auto" w:sz="4" w:space="0"/>
            </w:tcBorders>
            <w:vAlign w:val="center"/>
          </w:tcPr>
          <w:p>
            <w:pPr>
              <w:shd w:val="solid" w:color="FFFFFF" w:fill="auto"/>
              <w:autoSpaceDN w:val="0"/>
              <w:adjustRightInd w:val="0"/>
              <w:snapToGrid w:val="0"/>
              <w:jc w:val="center"/>
              <w:rPr>
                <w:rFonts w:ascii="宋体" w:hAnsi="宋体"/>
                <w:sz w:val="24"/>
                <w:szCs w:val="24"/>
                <w:shd w:val="clear" w:color="auto" w:fill="FFFFFF"/>
              </w:rPr>
            </w:pPr>
            <w:r>
              <w:rPr>
                <w:rFonts w:hint="eastAsia" w:ascii="宋体" w:hAnsi="宋体"/>
                <w:sz w:val="24"/>
                <w:szCs w:val="24"/>
                <w:shd w:val="clear" w:color="auto" w:fill="FFFFFF"/>
              </w:rPr>
              <w:t>返回住宿宾馆</w:t>
            </w:r>
          </w:p>
        </w:tc>
        <w:tc>
          <w:tcPr>
            <w:tcW w:w="1750" w:type="dxa"/>
            <w:tcBorders>
              <w:top w:val="single" w:color="auto" w:sz="4" w:space="0"/>
              <w:left w:val="single" w:color="auto" w:sz="4" w:space="0"/>
              <w:bottom w:val="single" w:color="auto" w:sz="4" w:space="0"/>
              <w:right w:val="single" w:color="auto" w:sz="4" w:space="0"/>
            </w:tcBorders>
            <w:vAlign w:val="center"/>
          </w:tcPr>
          <w:p>
            <w:pPr>
              <w:shd w:val="solid" w:color="FFFFFF" w:fill="auto"/>
              <w:autoSpaceDN w:val="0"/>
              <w:adjustRightInd w:val="0"/>
              <w:snapToGrid w:val="0"/>
              <w:jc w:val="center"/>
              <w:rPr>
                <w:rFonts w:ascii="宋体" w:hAnsi="宋体"/>
                <w:sz w:val="24"/>
                <w:szCs w:val="24"/>
                <w:shd w:val="clear" w:color="auto" w:fill="FFFFFF"/>
              </w:rPr>
            </w:pPr>
            <w:r>
              <w:rPr>
                <w:rFonts w:hint="eastAsia" w:ascii="宋体" w:hAnsi="宋体"/>
                <w:sz w:val="24"/>
                <w:szCs w:val="24"/>
                <w:shd w:val="clear" w:color="auto" w:fill="FFFFFF"/>
              </w:rPr>
              <w:t>参赛队领队</w:t>
            </w:r>
          </w:p>
        </w:tc>
        <w:tc>
          <w:tcPr>
            <w:tcW w:w="1276" w:type="dxa"/>
            <w:tcBorders>
              <w:top w:val="single" w:color="auto" w:sz="4" w:space="0"/>
              <w:left w:val="single" w:color="auto" w:sz="4" w:space="0"/>
              <w:bottom w:val="single" w:color="auto" w:sz="4" w:space="0"/>
              <w:right w:val="single" w:color="auto" w:sz="4" w:space="0"/>
            </w:tcBorders>
            <w:vAlign w:val="center"/>
          </w:tcPr>
          <w:p>
            <w:pPr>
              <w:shd w:val="solid" w:color="FFFFFF" w:fill="auto"/>
              <w:autoSpaceDN w:val="0"/>
              <w:adjustRightInd w:val="0"/>
              <w:snapToGrid w:val="0"/>
              <w:jc w:val="center"/>
              <w:rPr>
                <w:rFonts w:ascii="宋体" w:hAnsi="宋体"/>
                <w:sz w:val="24"/>
                <w:szCs w:val="24"/>
                <w:shd w:val="clear" w:color="auto" w:fill="FFFFFF"/>
              </w:rPr>
            </w:pPr>
            <w:r>
              <w:rPr>
                <w:rFonts w:hint="eastAsia" w:ascii="宋体" w:hAnsi="宋体"/>
                <w:sz w:val="24"/>
                <w:szCs w:val="24"/>
                <w:shd w:val="clear" w:color="auto" w:fill="FFFFFF"/>
              </w:rPr>
              <w:t>竞赛场地</w:t>
            </w:r>
          </w:p>
        </w:tc>
        <w:tc>
          <w:tcPr>
            <w:tcW w:w="1431" w:type="dxa"/>
            <w:tcBorders>
              <w:top w:val="single" w:color="auto" w:sz="4" w:space="0"/>
              <w:left w:val="single" w:color="auto" w:sz="4" w:space="0"/>
              <w:bottom w:val="single" w:color="auto" w:sz="4" w:space="0"/>
              <w:right w:val="single" w:color="auto" w:sz="4" w:space="0"/>
            </w:tcBorders>
            <w:vAlign w:val="center"/>
          </w:tcPr>
          <w:p>
            <w:pPr>
              <w:shd w:val="solid" w:color="FFFFFF" w:fill="auto"/>
              <w:autoSpaceDN w:val="0"/>
              <w:adjustRightInd w:val="0"/>
              <w:snapToGrid w:val="0"/>
              <w:jc w:val="center"/>
              <w:rPr>
                <w:rFonts w:ascii="宋体" w:hAnsi="宋体"/>
                <w:sz w:val="24"/>
                <w:szCs w:val="24"/>
                <w:shd w:val="clear" w:color="auto" w:fill="FFFFFF"/>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95" w:hRule="atLeast"/>
          <w:tblHeader/>
          <w:jc w:val="center"/>
        </w:trPr>
        <w:tc>
          <w:tcPr>
            <w:tcW w:w="1103" w:type="dxa"/>
            <w:vMerge w:val="restart"/>
            <w:tcBorders>
              <w:top w:val="single" w:color="auto" w:sz="4" w:space="0"/>
              <w:left w:val="single" w:color="auto" w:sz="4" w:space="0"/>
              <w:right w:val="single" w:color="auto" w:sz="4" w:space="0"/>
            </w:tcBorders>
            <w:vAlign w:val="center"/>
          </w:tcPr>
          <w:p>
            <w:pPr>
              <w:shd w:val="solid" w:color="FFFFFF" w:fill="auto"/>
              <w:autoSpaceDN w:val="0"/>
              <w:adjustRightInd w:val="0"/>
              <w:snapToGrid w:val="0"/>
              <w:jc w:val="center"/>
              <w:rPr>
                <w:rFonts w:ascii="宋体" w:hAnsi="宋体"/>
                <w:sz w:val="24"/>
                <w:szCs w:val="24"/>
                <w:shd w:val="clear" w:color="auto" w:fill="FFFFFF"/>
              </w:rPr>
            </w:pPr>
            <w:r>
              <w:rPr>
                <w:rFonts w:hint="eastAsia" w:asciiTheme="minorEastAsia" w:hAnsiTheme="minorEastAsia" w:eastAsiaTheme="minorEastAsia"/>
                <w:sz w:val="24"/>
                <w:szCs w:val="24"/>
                <w:shd w:val="clear" w:color="auto" w:fill="FFFFFF"/>
              </w:rPr>
              <w:t>竞赛</w:t>
            </w:r>
            <w:r>
              <w:rPr>
                <w:rFonts w:hint="eastAsia" w:ascii="宋体" w:hAnsi="宋体"/>
                <w:sz w:val="24"/>
                <w:szCs w:val="24"/>
                <w:shd w:val="clear" w:color="auto" w:fill="FFFFFF"/>
              </w:rPr>
              <w:t>日</w:t>
            </w:r>
            <w:r>
              <w:rPr>
                <w:rFonts w:hint="eastAsia" w:asciiTheme="minorEastAsia" w:hAnsiTheme="minorEastAsia" w:eastAsiaTheme="minorEastAsia"/>
                <w:sz w:val="24"/>
                <w:szCs w:val="24"/>
                <w:shd w:val="clear" w:color="auto" w:fill="FFFFFF"/>
              </w:rPr>
              <w:t>1</w:t>
            </w:r>
          </w:p>
        </w:tc>
        <w:tc>
          <w:tcPr>
            <w:tcW w:w="1559" w:type="dxa"/>
            <w:tcBorders>
              <w:top w:val="single" w:color="auto" w:sz="4" w:space="0"/>
              <w:left w:val="single" w:color="auto" w:sz="4" w:space="0"/>
              <w:bottom w:val="single" w:color="auto" w:sz="4" w:space="0"/>
              <w:right w:val="single" w:color="auto" w:sz="4" w:space="0"/>
            </w:tcBorders>
            <w:vAlign w:val="center"/>
          </w:tcPr>
          <w:p>
            <w:pPr>
              <w:shd w:val="solid" w:color="FFFFFF" w:fill="auto"/>
              <w:autoSpaceDN w:val="0"/>
              <w:adjustRightInd w:val="0"/>
              <w:snapToGrid w:val="0"/>
              <w:jc w:val="center"/>
              <w:rPr>
                <w:rFonts w:ascii="宋体" w:hAnsi="宋体"/>
                <w:sz w:val="24"/>
                <w:szCs w:val="24"/>
                <w:shd w:val="clear" w:color="auto" w:fill="FFFFFF"/>
              </w:rPr>
            </w:pPr>
            <w:r>
              <w:rPr>
                <w:rFonts w:hint="eastAsia" w:ascii="宋体" w:hAnsi="宋体"/>
                <w:sz w:val="24"/>
                <w:szCs w:val="24"/>
                <w:shd w:val="clear" w:color="auto" w:fill="FFFFFF"/>
              </w:rPr>
              <w:t>6:45</w:t>
            </w:r>
          </w:p>
        </w:tc>
        <w:tc>
          <w:tcPr>
            <w:tcW w:w="2442" w:type="dxa"/>
            <w:tcBorders>
              <w:top w:val="single" w:color="auto" w:sz="4" w:space="0"/>
              <w:left w:val="single" w:color="auto" w:sz="4" w:space="0"/>
              <w:bottom w:val="single" w:color="auto" w:sz="4" w:space="0"/>
              <w:right w:val="single" w:color="auto" w:sz="4" w:space="0"/>
            </w:tcBorders>
            <w:vAlign w:val="center"/>
          </w:tcPr>
          <w:p>
            <w:pPr>
              <w:shd w:val="solid" w:color="FFFFFF" w:fill="auto"/>
              <w:autoSpaceDN w:val="0"/>
              <w:adjustRightInd w:val="0"/>
              <w:snapToGrid w:val="0"/>
              <w:jc w:val="center"/>
              <w:rPr>
                <w:rFonts w:ascii="宋体" w:hAnsi="宋体"/>
                <w:sz w:val="24"/>
                <w:szCs w:val="24"/>
                <w:shd w:val="clear" w:color="auto" w:fill="FFFFFF"/>
              </w:rPr>
            </w:pPr>
            <w:r>
              <w:rPr>
                <w:rFonts w:hint="eastAsia" w:ascii="宋体" w:hAnsi="宋体"/>
                <w:sz w:val="24"/>
                <w:szCs w:val="24"/>
                <w:shd w:val="clear" w:color="auto" w:fill="FFFFFF"/>
              </w:rPr>
              <w:t>参赛队住宿宾馆门口集合，集体乘车往赛场</w:t>
            </w:r>
          </w:p>
        </w:tc>
        <w:tc>
          <w:tcPr>
            <w:tcW w:w="1750" w:type="dxa"/>
            <w:tcBorders>
              <w:top w:val="single" w:color="auto" w:sz="4" w:space="0"/>
              <w:left w:val="single" w:color="auto" w:sz="4" w:space="0"/>
              <w:bottom w:val="single" w:color="auto" w:sz="4" w:space="0"/>
              <w:right w:val="single" w:color="auto" w:sz="4" w:space="0"/>
            </w:tcBorders>
            <w:vAlign w:val="center"/>
          </w:tcPr>
          <w:p>
            <w:pPr>
              <w:shd w:val="solid" w:color="FFFFFF" w:fill="auto"/>
              <w:autoSpaceDN w:val="0"/>
              <w:adjustRightInd w:val="0"/>
              <w:snapToGrid w:val="0"/>
              <w:jc w:val="center"/>
              <w:rPr>
                <w:rFonts w:ascii="宋体" w:hAnsi="宋体"/>
                <w:sz w:val="24"/>
                <w:szCs w:val="24"/>
                <w:shd w:val="clear" w:color="auto" w:fill="FFFFFF"/>
              </w:rPr>
            </w:pPr>
            <w:r>
              <w:rPr>
                <w:rFonts w:hint="eastAsia" w:ascii="宋体" w:hAnsi="宋体"/>
                <w:sz w:val="24"/>
                <w:szCs w:val="24"/>
                <w:shd w:val="clear" w:color="auto" w:fill="FFFFFF"/>
              </w:rPr>
              <w:t>各参赛队</w:t>
            </w:r>
          </w:p>
        </w:tc>
        <w:tc>
          <w:tcPr>
            <w:tcW w:w="1276" w:type="dxa"/>
            <w:tcBorders>
              <w:top w:val="single" w:color="auto" w:sz="4" w:space="0"/>
              <w:left w:val="single" w:color="auto" w:sz="4" w:space="0"/>
              <w:bottom w:val="single" w:color="auto" w:sz="4" w:space="0"/>
              <w:right w:val="single" w:color="auto" w:sz="4" w:space="0"/>
            </w:tcBorders>
            <w:vAlign w:val="center"/>
          </w:tcPr>
          <w:p>
            <w:pPr>
              <w:shd w:val="solid" w:color="FFFFFF" w:fill="auto"/>
              <w:autoSpaceDN w:val="0"/>
              <w:adjustRightInd w:val="0"/>
              <w:snapToGrid w:val="0"/>
              <w:jc w:val="center"/>
              <w:rPr>
                <w:rFonts w:ascii="宋体" w:hAnsi="宋体"/>
                <w:sz w:val="24"/>
                <w:szCs w:val="24"/>
                <w:shd w:val="clear" w:color="auto" w:fill="FFFFFF"/>
              </w:rPr>
            </w:pPr>
            <w:r>
              <w:rPr>
                <w:rFonts w:hint="eastAsia" w:ascii="宋体" w:hAnsi="宋体"/>
                <w:sz w:val="24"/>
                <w:szCs w:val="24"/>
                <w:shd w:val="clear" w:color="auto" w:fill="FFFFFF"/>
              </w:rPr>
              <w:t>住宿酒店</w:t>
            </w:r>
          </w:p>
        </w:tc>
        <w:tc>
          <w:tcPr>
            <w:tcW w:w="1431" w:type="dxa"/>
            <w:tcBorders>
              <w:top w:val="single" w:color="auto" w:sz="4" w:space="0"/>
              <w:left w:val="single" w:color="auto" w:sz="4" w:space="0"/>
              <w:bottom w:val="single" w:color="auto" w:sz="4" w:space="0"/>
              <w:right w:val="single" w:color="auto" w:sz="4" w:space="0"/>
            </w:tcBorders>
            <w:vAlign w:val="center"/>
          </w:tcPr>
          <w:p>
            <w:pPr>
              <w:shd w:val="solid" w:color="FFFFFF" w:fill="auto"/>
              <w:autoSpaceDN w:val="0"/>
              <w:adjustRightInd w:val="0"/>
              <w:snapToGrid w:val="0"/>
              <w:jc w:val="center"/>
              <w:rPr>
                <w:rFonts w:ascii="宋体" w:hAnsi="宋体"/>
                <w:sz w:val="24"/>
                <w:szCs w:val="24"/>
                <w:shd w:val="clear" w:color="auto" w:fill="FFFFFF"/>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5" w:hRule="atLeast"/>
          <w:tblHeader/>
          <w:jc w:val="center"/>
        </w:trPr>
        <w:tc>
          <w:tcPr>
            <w:tcW w:w="1103" w:type="dxa"/>
            <w:vMerge w:val="continue"/>
            <w:tcBorders>
              <w:left w:val="single" w:color="auto" w:sz="4" w:space="0"/>
              <w:right w:val="single" w:color="auto" w:sz="4" w:space="0"/>
            </w:tcBorders>
            <w:vAlign w:val="center"/>
          </w:tcPr>
          <w:p>
            <w:pPr>
              <w:shd w:val="solid" w:color="FFFFFF" w:fill="auto"/>
              <w:autoSpaceDN w:val="0"/>
              <w:adjustRightInd w:val="0"/>
              <w:snapToGrid w:val="0"/>
              <w:jc w:val="center"/>
              <w:rPr>
                <w:rFonts w:ascii="宋体" w:hAnsi="宋体"/>
                <w:sz w:val="24"/>
                <w:szCs w:val="24"/>
                <w:shd w:val="clear" w:color="auto" w:fill="FFFFFF"/>
              </w:rPr>
            </w:pPr>
          </w:p>
        </w:tc>
        <w:tc>
          <w:tcPr>
            <w:tcW w:w="1559" w:type="dxa"/>
            <w:tcBorders>
              <w:top w:val="single" w:color="auto" w:sz="4" w:space="0"/>
              <w:left w:val="single" w:color="auto" w:sz="4" w:space="0"/>
              <w:bottom w:val="single" w:color="auto" w:sz="4" w:space="0"/>
              <w:right w:val="single" w:color="auto" w:sz="4" w:space="0"/>
            </w:tcBorders>
            <w:vAlign w:val="center"/>
          </w:tcPr>
          <w:p>
            <w:pPr>
              <w:shd w:val="solid" w:color="FFFFFF" w:fill="auto"/>
              <w:autoSpaceDN w:val="0"/>
              <w:adjustRightInd w:val="0"/>
              <w:snapToGrid w:val="0"/>
              <w:jc w:val="center"/>
              <w:rPr>
                <w:rFonts w:ascii="宋体" w:hAnsi="宋体"/>
                <w:sz w:val="24"/>
                <w:szCs w:val="24"/>
                <w:shd w:val="clear" w:color="auto" w:fill="FFFFFF"/>
              </w:rPr>
            </w:pPr>
            <w:r>
              <w:rPr>
                <w:rFonts w:hint="eastAsia" w:ascii="宋体" w:hAnsi="宋体"/>
                <w:sz w:val="24"/>
                <w:szCs w:val="24"/>
                <w:shd w:val="clear" w:color="auto" w:fill="FFFFFF"/>
              </w:rPr>
              <w:t>7:30</w:t>
            </w:r>
          </w:p>
        </w:tc>
        <w:tc>
          <w:tcPr>
            <w:tcW w:w="2442" w:type="dxa"/>
            <w:tcBorders>
              <w:top w:val="single" w:color="auto" w:sz="4" w:space="0"/>
              <w:left w:val="single" w:color="auto" w:sz="4" w:space="0"/>
              <w:bottom w:val="single" w:color="auto" w:sz="4" w:space="0"/>
              <w:right w:val="single" w:color="auto" w:sz="4" w:space="0"/>
            </w:tcBorders>
            <w:vAlign w:val="center"/>
          </w:tcPr>
          <w:p>
            <w:pPr>
              <w:shd w:val="solid" w:color="FFFFFF" w:fill="auto"/>
              <w:autoSpaceDN w:val="0"/>
              <w:adjustRightInd w:val="0"/>
              <w:snapToGrid w:val="0"/>
              <w:jc w:val="center"/>
              <w:rPr>
                <w:rFonts w:ascii="宋体" w:hAnsi="宋体"/>
                <w:sz w:val="24"/>
                <w:szCs w:val="24"/>
                <w:shd w:val="clear" w:color="auto" w:fill="FFFFFF"/>
              </w:rPr>
            </w:pPr>
            <w:r>
              <w:rPr>
                <w:rFonts w:hint="eastAsia" w:ascii="宋体" w:hAnsi="宋体"/>
                <w:sz w:val="24"/>
                <w:szCs w:val="24"/>
                <w:shd w:val="clear" w:color="auto" w:fill="FFFFFF"/>
              </w:rPr>
              <w:t>竞赛场地前整队</w:t>
            </w:r>
          </w:p>
        </w:tc>
        <w:tc>
          <w:tcPr>
            <w:tcW w:w="1750" w:type="dxa"/>
            <w:tcBorders>
              <w:top w:val="single" w:color="auto" w:sz="4" w:space="0"/>
              <w:left w:val="single" w:color="auto" w:sz="4" w:space="0"/>
              <w:bottom w:val="single" w:color="auto" w:sz="4" w:space="0"/>
              <w:right w:val="single" w:color="auto" w:sz="4" w:space="0"/>
            </w:tcBorders>
            <w:vAlign w:val="center"/>
          </w:tcPr>
          <w:p>
            <w:pPr>
              <w:shd w:val="solid" w:color="FFFFFF" w:fill="auto"/>
              <w:autoSpaceDN w:val="0"/>
              <w:adjustRightInd w:val="0"/>
              <w:snapToGrid w:val="0"/>
              <w:jc w:val="center"/>
              <w:rPr>
                <w:rFonts w:ascii="宋体" w:hAnsi="宋体"/>
                <w:sz w:val="24"/>
                <w:szCs w:val="24"/>
                <w:shd w:val="clear" w:color="auto" w:fill="FFFFFF"/>
              </w:rPr>
            </w:pPr>
            <w:r>
              <w:rPr>
                <w:rFonts w:hint="eastAsia" w:ascii="宋体" w:hAnsi="宋体"/>
                <w:sz w:val="24"/>
                <w:szCs w:val="24"/>
                <w:shd w:val="clear" w:color="auto" w:fill="FFFFFF"/>
              </w:rPr>
              <w:t>各参赛队、工作人员</w:t>
            </w:r>
          </w:p>
        </w:tc>
        <w:tc>
          <w:tcPr>
            <w:tcW w:w="1276" w:type="dxa"/>
            <w:tcBorders>
              <w:top w:val="single" w:color="auto" w:sz="4" w:space="0"/>
              <w:left w:val="single" w:color="auto" w:sz="4" w:space="0"/>
              <w:bottom w:val="single" w:color="auto" w:sz="4" w:space="0"/>
              <w:right w:val="single" w:color="auto" w:sz="4" w:space="0"/>
            </w:tcBorders>
            <w:vAlign w:val="center"/>
          </w:tcPr>
          <w:p>
            <w:pPr>
              <w:shd w:val="solid" w:color="FFFFFF" w:fill="auto"/>
              <w:autoSpaceDN w:val="0"/>
              <w:adjustRightInd w:val="0"/>
              <w:snapToGrid w:val="0"/>
              <w:jc w:val="center"/>
              <w:rPr>
                <w:rFonts w:ascii="宋体" w:hAnsi="宋体"/>
                <w:sz w:val="24"/>
                <w:szCs w:val="24"/>
                <w:shd w:val="clear" w:color="auto" w:fill="FFFFFF"/>
              </w:rPr>
            </w:pPr>
            <w:r>
              <w:rPr>
                <w:rFonts w:hint="eastAsia" w:asciiTheme="minorEastAsia" w:hAnsiTheme="minorEastAsia" w:eastAsiaTheme="minorEastAsia"/>
                <w:sz w:val="24"/>
                <w:szCs w:val="24"/>
                <w:shd w:val="clear" w:color="auto" w:fill="FFFFFF"/>
              </w:rPr>
              <w:t>竞赛场地</w:t>
            </w:r>
          </w:p>
        </w:tc>
        <w:tc>
          <w:tcPr>
            <w:tcW w:w="1431" w:type="dxa"/>
            <w:tcBorders>
              <w:top w:val="single" w:color="auto" w:sz="4" w:space="0"/>
              <w:left w:val="single" w:color="auto" w:sz="4" w:space="0"/>
              <w:bottom w:val="single" w:color="auto" w:sz="4" w:space="0"/>
              <w:right w:val="single" w:color="auto" w:sz="4" w:space="0"/>
            </w:tcBorders>
            <w:vAlign w:val="center"/>
          </w:tcPr>
          <w:p>
            <w:pPr>
              <w:shd w:val="solid" w:color="FFFFFF" w:fill="auto"/>
              <w:autoSpaceDN w:val="0"/>
              <w:adjustRightInd w:val="0"/>
              <w:snapToGrid w:val="0"/>
              <w:jc w:val="center"/>
              <w:rPr>
                <w:rFonts w:ascii="宋体" w:hAnsi="宋体"/>
                <w:sz w:val="24"/>
                <w:szCs w:val="24"/>
                <w:shd w:val="clear" w:color="auto" w:fill="FFFFFF"/>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jc w:val="center"/>
        </w:trPr>
        <w:tc>
          <w:tcPr>
            <w:tcW w:w="1103" w:type="dxa"/>
            <w:vMerge w:val="continue"/>
            <w:tcBorders>
              <w:left w:val="single" w:color="auto" w:sz="4" w:space="0"/>
              <w:right w:val="single" w:color="auto" w:sz="4" w:space="0"/>
            </w:tcBorders>
            <w:vAlign w:val="center"/>
          </w:tcPr>
          <w:p>
            <w:pPr>
              <w:shd w:val="solid" w:color="FFFFFF" w:fill="auto"/>
              <w:autoSpaceDN w:val="0"/>
              <w:adjustRightInd w:val="0"/>
              <w:snapToGrid w:val="0"/>
              <w:jc w:val="center"/>
              <w:rPr>
                <w:rFonts w:ascii="宋体" w:hAnsi="宋体"/>
                <w:sz w:val="24"/>
                <w:szCs w:val="24"/>
                <w:shd w:val="clear" w:color="auto" w:fill="FFFFFF"/>
              </w:rPr>
            </w:pPr>
          </w:p>
        </w:tc>
        <w:tc>
          <w:tcPr>
            <w:tcW w:w="1559" w:type="dxa"/>
            <w:vMerge w:val="restart"/>
            <w:tcBorders>
              <w:top w:val="single" w:color="auto" w:sz="4" w:space="0"/>
              <w:left w:val="single" w:color="auto" w:sz="4" w:space="0"/>
              <w:right w:val="single" w:color="auto" w:sz="4" w:space="0"/>
            </w:tcBorders>
            <w:vAlign w:val="center"/>
          </w:tcPr>
          <w:p>
            <w:pPr>
              <w:shd w:val="solid" w:color="FFFFFF" w:fill="auto"/>
              <w:autoSpaceDN w:val="0"/>
              <w:adjustRightInd w:val="0"/>
              <w:snapToGrid w:val="0"/>
              <w:jc w:val="center"/>
              <w:rPr>
                <w:rFonts w:ascii="宋体" w:hAnsi="宋体"/>
                <w:sz w:val="24"/>
                <w:szCs w:val="24"/>
                <w:shd w:val="clear" w:color="auto" w:fill="FFFFFF"/>
              </w:rPr>
            </w:pPr>
            <w:r>
              <w:rPr>
                <w:rFonts w:hint="eastAsia" w:ascii="宋体" w:hAnsi="宋体"/>
                <w:sz w:val="24"/>
                <w:szCs w:val="24"/>
                <w:shd w:val="clear" w:color="auto" w:fill="FFFFFF"/>
              </w:rPr>
              <w:t>7:30-8:30</w:t>
            </w:r>
          </w:p>
        </w:tc>
        <w:tc>
          <w:tcPr>
            <w:tcW w:w="2442" w:type="dxa"/>
            <w:tcBorders>
              <w:top w:val="single" w:color="auto" w:sz="4" w:space="0"/>
              <w:left w:val="single" w:color="auto" w:sz="4" w:space="0"/>
              <w:bottom w:val="single" w:color="auto" w:sz="4" w:space="0"/>
              <w:right w:val="single" w:color="auto" w:sz="4" w:space="0"/>
            </w:tcBorders>
            <w:vAlign w:val="center"/>
          </w:tcPr>
          <w:p>
            <w:pPr>
              <w:shd w:val="solid" w:color="FFFFFF" w:fill="auto"/>
              <w:autoSpaceDN w:val="0"/>
              <w:adjustRightInd w:val="0"/>
              <w:snapToGrid w:val="0"/>
              <w:jc w:val="center"/>
              <w:rPr>
                <w:rFonts w:ascii="宋体" w:hAnsi="宋体"/>
                <w:b/>
                <w:sz w:val="24"/>
                <w:szCs w:val="24"/>
                <w:shd w:val="clear" w:color="auto" w:fill="FFFFFF"/>
              </w:rPr>
            </w:pPr>
            <w:r>
              <w:rPr>
                <w:rFonts w:hint="eastAsia" w:ascii="宋体" w:hAnsi="宋体"/>
                <w:b/>
                <w:sz w:val="24"/>
                <w:szCs w:val="24"/>
                <w:shd w:val="clear" w:color="auto" w:fill="FFFFFF"/>
              </w:rPr>
              <w:t>外贸英语沟通能力模块A组选手检录进场</w:t>
            </w:r>
          </w:p>
          <w:p>
            <w:pPr>
              <w:shd w:val="solid" w:color="FFFFFF" w:fill="auto"/>
              <w:autoSpaceDN w:val="0"/>
              <w:adjustRightInd w:val="0"/>
              <w:snapToGrid w:val="0"/>
              <w:jc w:val="center"/>
              <w:rPr>
                <w:rFonts w:ascii="宋体" w:hAnsi="宋体"/>
                <w:sz w:val="24"/>
                <w:szCs w:val="24"/>
                <w:shd w:val="clear" w:color="auto" w:fill="FFFFFF"/>
              </w:rPr>
            </w:pPr>
            <w:r>
              <w:rPr>
                <w:rFonts w:hint="eastAsia" w:ascii="宋体" w:hAnsi="宋体"/>
                <w:sz w:val="24"/>
                <w:szCs w:val="24"/>
                <w:shd w:val="clear" w:color="auto" w:fill="FFFFFF"/>
              </w:rPr>
              <w:t>第一次加密抽签（抽序号）</w:t>
            </w:r>
          </w:p>
        </w:tc>
        <w:tc>
          <w:tcPr>
            <w:tcW w:w="1750" w:type="dxa"/>
            <w:vMerge w:val="restart"/>
            <w:tcBorders>
              <w:top w:val="single" w:color="auto" w:sz="4" w:space="0"/>
              <w:left w:val="single" w:color="auto" w:sz="4" w:space="0"/>
              <w:right w:val="single" w:color="auto" w:sz="4" w:space="0"/>
            </w:tcBorders>
            <w:vAlign w:val="center"/>
          </w:tcPr>
          <w:p>
            <w:pPr>
              <w:shd w:val="solid" w:color="FFFFFF" w:fill="auto"/>
              <w:autoSpaceDN w:val="0"/>
              <w:adjustRightInd w:val="0"/>
              <w:snapToGrid w:val="0"/>
              <w:jc w:val="center"/>
              <w:rPr>
                <w:rFonts w:ascii="宋体" w:hAnsi="宋体"/>
                <w:sz w:val="24"/>
                <w:szCs w:val="24"/>
                <w:shd w:val="clear" w:color="auto" w:fill="FFFFFF"/>
              </w:rPr>
            </w:pPr>
            <w:r>
              <w:rPr>
                <w:rFonts w:hint="eastAsia" w:ascii="宋体" w:hAnsi="宋体"/>
                <w:sz w:val="24"/>
                <w:szCs w:val="24"/>
                <w:shd w:val="clear" w:color="auto" w:fill="FFFFFF"/>
              </w:rPr>
              <w:t>参赛选手、抽签加密裁判</w:t>
            </w:r>
          </w:p>
        </w:tc>
        <w:tc>
          <w:tcPr>
            <w:tcW w:w="1276" w:type="dxa"/>
            <w:vMerge w:val="restart"/>
            <w:tcBorders>
              <w:top w:val="single" w:color="auto" w:sz="4" w:space="0"/>
              <w:left w:val="single" w:color="auto" w:sz="4" w:space="0"/>
              <w:right w:val="single" w:color="auto" w:sz="4" w:space="0"/>
            </w:tcBorders>
            <w:vAlign w:val="center"/>
          </w:tcPr>
          <w:p>
            <w:pPr>
              <w:shd w:val="solid" w:color="FFFFFF" w:fill="auto"/>
              <w:autoSpaceDN w:val="0"/>
              <w:adjustRightInd w:val="0"/>
              <w:snapToGrid w:val="0"/>
              <w:jc w:val="center"/>
              <w:rPr>
                <w:rFonts w:ascii="宋体" w:hAnsi="宋体"/>
                <w:sz w:val="24"/>
                <w:szCs w:val="24"/>
                <w:shd w:val="clear" w:color="auto" w:fill="FFFFFF"/>
              </w:rPr>
            </w:pPr>
            <w:r>
              <w:rPr>
                <w:rFonts w:hint="eastAsia" w:ascii="宋体" w:hAnsi="宋体"/>
                <w:sz w:val="24"/>
                <w:szCs w:val="24"/>
                <w:shd w:val="clear" w:color="auto" w:fill="FFFFFF"/>
              </w:rPr>
              <w:t>赛场</w:t>
            </w:r>
          </w:p>
          <w:p>
            <w:pPr>
              <w:shd w:val="solid" w:color="FFFFFF" w:fill="auto"/>
              <w:autoSpaceDN w:val="0"/>
              <w:adjustRightInd w:val="0"/>
              <w:snapToGrid w:val="0"/>
              <w:jc w:val="center"/>
              <w:rPr>
                <w:rFonts w:ascii="宋体" w:hAnsi="宋体"/>
                <w:sz w:val="24"/>
                <w:szCs w:val="24"/>
                <w:shd w:val="clear" w:color="auto" w:fill="FFFFFF"/>
              </w:rPr>
            </w:pPr>
            <w:r>
              <w:rPr>
                <w:rFonts w:hint="eastAsia" w:ascii="宋体" w:hAnsi="宋体"/>
                <w:sz w:val="24"/>
                <w:szCs w:val="24"/>
                <w:shd w:val="clear" w:color="auto" w:fill="FFFFFF"/>
              </w:rPr>
              <w:t>抽签区域</w:t>
            </w:r>
          </w:p>
        </w:tc>
        <w:tc>
          <w:tcPr>
            <w:tcW w:w="1431" w:type="dxa"/>
            <w:tcBorders>
              <w:top w:val="single" w:color="auto" w:sz="4" w:space="0"/>
              <w:left w:val="single" w:color="auto" w:sz="4" w:space="0"/>
              <w:bottom w:val="single" w:color="auto" w:sz="4" w:space="0"/>
              <w:right w:val="single" w:color="auto" w:sz="4" w:space="0"/>
            </w:tcBorders>
            <w:vAlign w:val="center"/>
          </w:tcPr>
          <w:p>
            <w:pPr>
              <w:shd w:val="solid" w:color="FFFFFF" w:fill="auto"/>
              <w:autoSpaceDN w:val="0"/>
              <w:adjustRightInd w:val="0"/>
              <w:snapToGrid w:val="0"/>
              <w:jc w:val="center"/>
              <w:rPr>
                <w:rFonts w:ascii="宋体" w:hAnsi="宋体"/>
                <w:sz w:val="24"/>
                <w:szCs w:val="24"/>
                <w:shd w:val="clear" w:color="auto" w:fill="FFFFFF"/>
              </w:rPr>
            </w:pPr>
            <w:r>
              <w:rPr>
                <w:rFonts w:hint="eastAsia" w:ascii="宋体" w:hAnsi="宋体"/>
                <w:sz w:val="24"/>
                <w:szCs w:val="24"/>
                <w:shd w:val="clear" w:color="auto" w:fill="FFFFFF"/>
              </w:rPr>
              <w:t>按照分组抽签顺序检录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15" w:hRule="atLeast"/>
          <w:tblHeader/>
          <w:jc w:val="center"/>
        </w:trPr>
        <w:tc>
          <w:tcPr>
            <w:tcW w:w="1103" w:type="dxa"/>
            <w:vMerge w:val="continue"/>
            <w:tcBorders>
              <w:left w:val="single" w:color="auto" w:sz="4" w:space="0"/>
              <w:right w:val="single" w:color="auto" w:sz="4" w:space="0"/>
            </w:tcBorders>
            <w:vAlign w:val="center"/>
          </w:tcPr>
          <w:p>
            <w:pPr>
              <w:shd w:val="solid" w:color="FFFFFF" w:fill="auto"/>
              <w:autoSpaceDN w:val="0"/>
              <w:adjustRightInd w:val="0"/>
              <w:snapToGrid w:val="0"/>
              <w:jc w:val="center"/>
              <w:rPr>
                <w:rFonts w:ascii="宋体" w:hAnsi="宋体"/>
                <w:sz w:val="24"/>
                <w:szCs w:val="24"/>
                <w:shd w:val="clear" w:color="auto" w:fill="FFFFFF"/>
              </w:rPr>
            </w:pPr>
          </w:p>
        </w:tc>
        <w:tc>
          <w:tcPr>
            <w:tcW w:w="1559" w:type="dxa"/>
            <w:vMerge w:val="continue"/>
            <w:tcBorders>
              <w:left w:val="single" w:color="auto" w:sz="4" w:space="0"/>
              <w:bottom w:val="single" w:color="auto" w:sz="4" w:space="0"/>
              <w:right w:val="single" w:color="auto" w:sz="4" w:space="0"/>
            </w:tcBorders>
            <w:vAlign w:val="center"/>
          </w:tcPr>
          <w:p>
            <w:pPr>
              <w:shd w:val="solid" w:color="FFFFFF" w:fill="auto"/>
              <w:autoSpaceDN w:val="0"/>
              <w:adjustRightInd w:val="0"/>
              <w:snapToGrid w:val="0"/>
              <w:jc w:val="center"/>
              <w:rPr>
                <w:rFonts w:ascii="宋体" w:hAnsi="宋体"/>
                <w:sz w:val="24"/>
                <w:szCs w:val="24"/>
                <w:shd w:val="clear" w:color="auto" w:fill="FFFFFF"/>
              </w:rPr>
            </w:pPr>
          </w:p>
        </w:tc>
        <w:tc>
          <w:tcPr>
            <w:tcW w:w="2442" w:type="dxa"/>
            <w:tcBorders>
              <w:top w:val="single" w:color="auto" w:sz="4" w:space="0"/>
              <w:left w:val="single" w:color="auto" w:sz="4" w:space="0"/>
              <w:bottom w:val="single" w:color="auto" w:sz="4" w:space="0"/>
              <w:right w:val="single" w:color="auto" w:sz="4" w:space="0"/>
            </w:tcBorders>
            <w:vAlign w:val="center"/>
          </w:tcPr>
          <w:p>
            <w:pPr>
              <w:shd w:val="solid" w:color="FFFFFF" w:fill="auto"/>
              <w:autoSpaceDN w:val="0"/>
              <w:adjustRightInd w:val="0"/>
              <w:snapToGrid w:val="0"/>
              <w:jc w:val="center"/>
              <w:rPr>
                <w:rFonts w:ascii="宋体" w:hAnsi="宋体"/>
                <w:sz w:val="24"/>
                <w:szCs w:val="24"/>
                <w:shd w:val="clear" w:color="auto" w:fill="FFFFFF"/>
              </w:rPr>
            </w:pPr>
            <w:r>
              <w:rPr>
                <w:rFonts w:hint="eastAsia" w:ascii="宋体" w:hAnsi="宋体"/>
                <w:sz w:val="24"/>
                <w:szCs w:val="24"/>
                <w:shd w:val="clear" w:color="auto" w:fill="FFFFFF"/>
              </w:rPr>
              <w:t>第二次加密抽签（抽出场顺序号）</w:t>
            </w:r>
          </w:p>
        </w:tc>
        <w:tc>
          <w:tcPr>
            <w:tcW w:w="1750" w:type="dxa"/>
            <w:vMerge w:val="continue"/>
            <w:tcBorders>
              <w:left w:val="single" w:color="auto" w:sz="4" w:space="0"/>
              <w:bottom w:val="single" w:color="auto" w:sz="4" w:space="0"/>
              <w:right w:val="single" w:color="auto" w:sz="4" w:space="0"/>
            </w:tcBorders>
            <w:vAlign w:val="center"/>
          </w:tcPr>
          <w:p>
            <w:pPr>
              <w:shd w:val="solid" w:color="FFFFFF" w:fill="auto"/>
              <w:autoSpaceDN w:val="0"/>
              <w:adjustRightInd w:val="0"/>
              <w:snapToGrid w:val="0"/>
              <w:jc w:val="center"/>
              <w:rPr>
                <w:rFonts w:ascii="宋体" w:hAnsi="宋体"/>
                <w:sz w:val="24"/>
                <w:szCs w:val="24"/>
                <w:shd w:val="clear" w:color="auto" w:fill="FFFFFF"/>
              </w:rPr>
            </w:pPr>
          </w:p>
        </w:tc>
        <w:tc>
          <w:tcPr>
            <w:tcW w:w="1276" w:type="dxa"/>
            <w:vMerge w:val="continue"/>
            <w:tcBorders>
              <w:left w:val="single" w:color="auto" w:sz="4" w:space="0"/>
              <w:bottom w:val="single" w:color="auto" w:sz="4" w:space="0"/>
              <w:right w:val="single" w:color="auto" w:sz="4" w:space="0"/>
            </w:tcBorders>
            <w:vAlign w:val="center"/>
          </w:tcPr>
          <w:p>
            <w:pPr>
              <w:shd w:val="solid" w:color="FFFFFF" w:fill="auto"/>
              <w:autoSpaceDN w:val="0"/>
              <w:adjustRightInd w:val="0"/>
              <w:snapToGrid w:val="0"/>
              <w:jc w:val="center"/>
              <w:rPr>
                <w:rFonts w:ascii="宋体" w:hAnsi="宋体"/>
                <w:sz w:val="24"/>
                <w:szCs w:val="24"/>
                <w:shd w:val="clear" w:color="auto" w:fill="FFFFFF"/>
              </w:rPr>
            </w:pPr>
          </w:p>
        </w:tc>
        <w:tc>
          <w:tcPr>
            <w:tcW w:w="1431" w:type="dxa"/>
            <w:tcBorders>
              <w:top w:val="single" w:color="auto" w:sz="4" w:space="0"/>
              <w:left w:val="single" w:color="auto" w:sz="4" w:space="0"/>
              <w:bottom w:val="single" w:color="auto" w:sz="4" w:space="0"/>
              <w:right w:val="single" w:color="auto" w:sz="4" w:space="0"/>
            </w:tcBorders>
            <w:vAlign w:val="center"/>
          </w:tcPr>
          <w:p>
            <w:pPr>
              <w:shd w:val="solid" w:color="FFFFFF" w:fill="auto"/>
              <w:autoSpaceDN w:val="0"/>
              <w:adjustRightInd w:val="0"/>
              <w:snapToGrid w:val="0"/>
              <w:jc w:val="center"/>
              <w:rPr>
                <w:rFonts w:ascii="宋体" w:hAnsi="宋体"/>
                <w:sz w:val="24"/>
                <w:szCs w:val="24"/>
                <w:shd w:val="clear" w:color="auto" w:fill="FFFFFF"/>
              </w:rPr>
            </w:pPr>
            <w:r>
              <w:rPr>
                <w:rFonts w:hint="eastAsia" w:ascii="宋体" w:hAnsi="宋体"/>
                <w:sz w:val="24"/>
                <w:szCs w:val="24"/>
                <w:shd w:val="clear" w:color="auto" w:fill="FFFFFF"/>
              </w:rPr>
              <w:t>选手进入候赛室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98" w:hRule="atLeast"/>
          <w:tblHeader/>
          <w:jc w:val="center"/>
        </w:trPr>
        <w:tc>
          <w:tcPr>
            <w:tcW w:w="1103" w:type="dxa"/>
            <w:vMerge w:val="continue"/>
            <w:tcBorders>
              <w:left w:val="single" w:color="auto" w:sz="4" w:space="0"/>
              <w:right w:val="single" w:color="auto" w:sz="4" w:space="0"/>
            </w:tcBorders>
            <w:vAlign w:val="center"/>
          </w:tcPr>
          <w:p>
            <w:pPr>
              <w:shd w:val="solid" w:color="FFFFFF" w:fill="auto"/>
              <w:autoSpaceDN w:val="0"/>
              <w:adjustRightInd w:val="0"/>
              <w:snapToGrid w:val="0"/>
              <w:jc w:val="center"/>
              <w:rPr>
                <w:rFonts w:ascii="宋体" w:hAnsi="宋体"/>
                <w:sz w:val="24"/>
                <w:szCs w:val="24"/>
                <w:shd w:val="clear" w:color="auto" w:fill="FFFFFF"/>
              </w:rPr>
            </w:pPr>
          </w:p>
        </w:tc>
        <w:tc>
          <w:tcPr>
            <w:tcW w:w="1559" w:type="dxa"/>
            <w:tcBorders>
              <w:top w:val="single" w:color="auto" w:sz="4" w:space="0"/>
              <w:left w:val="single" w:color="auto" w:sz="4" w:space="0"/>
              <w:bottom w:val="single" w:color="auto" w:sz="4" w:space="0"/>
              <w:right w:val="single" w:color="auto" w:sz="4" w:space="0"/>
            </w:tcBorders>
            <w:vAlign w:val="center"/>
          </w:tcPr>
          <w:p>
            <w:pPr>
              <w:shd w:val="solid" w:color="FFFFFF" w:fill="auto"/>
              <w:autoSpaceDN w:val="0"/>
              <w:adjustRightInd w:val="0"/>
              <w:snapToGrid w:val="0"/>
              <w:jc w:val="center"/>
              <w:rPr>
                <w:rFonts w:ascii="宋体" w:hAnsi="宋体"/>
                <w:sz w:val="24"/>
                <w:szCs w:val="24"/>
                <w:shd w:val="clear" w:color="auto" w:fill="FFFFFF"/>
              </w:rPr>
            </w:pPr>
            <w:r>
              <w:rPr>
                <w:rFonts w:hint="eastAsia" w:ascii="宋体" w:hAnsi="宋体"/>
                <w:sz w:val="24"/>
                <w:szCs w:val="24"/>
                <w:shd w:val="clear" w:color="auto" w:fill="FFFFFF"/>
              </w:rPr>
              <w:t>8:00</w:t>
            </w:r>
          </w:p>
        </w:tc>
        <w:tc>
          <w:tcPr>
            <w:tcW w:w="2442" w:type="dxa"/>
            <w:tcBorders>
              <w:top w:val="single" w:color="auto" w:sz="4" w:space="0"/>
              <w:left w:val="single" w:color="auto" w:sz="4" w:space="0"/>
              <w:bottom w:val="single" w:color="auto" w:sz="4" w:space="0"/>
              <w:right w:val="single" w:color="auto" w:sz="4" w:space="0"/>
            </w:tcBorders>
            <w:vAlign w:val="center"/>
          </w:tcPr>
          <w:p>
            <w:pPr>
              <w:shd w:val="solid" w:color="FFFFFF" w:fill="auto"/>
              <w:autoSpaceDN w:val="0"/>
              <w:adjustRightInd w:val="0"/>
              <w:snapToGrid w:val="0"/>
              <w:jc w:val="center"/>
              <w:rPr>
                <w:rFonts w:ascii="宋体" w:hAnsi="宋体"/>
                <w:sz w:val="24"/>
                <w:szCs w:val="24"/>
                <w:shd w:val="clear" w:color="auto" w:fill="FFFFFF"/>
              </w:rPr>
            </w:pPr>
            <w:r>
              <w:rPr>
                <w:rFonts w:hint="eastAsia" w:ascii="宋体" w:hAnsi="宋体"/>
                <w:sz w:val="24"/>
                <w:szCs w:val="24"/>
                <w:shd w:val="clear" w:color="auto" w:fill="FFFFFF"/>
              </w:rPr>
              <w:t>领队、指导教师入场</w:t>
            </w:r>
          </w:p>
        </w:tc>
        <w:tc>
          <w:tcPr>
            <w:tcW w:w="1750" w:type="dxa"/>
            <w:tcBorders>
              <w:top w:val="single" w:color="auto" w:sz="4" w:space="0"/>
              <w:left w:val="single" w:color="auto" w:sz="4" w:space="0"/>
              <w:bottom w:val="single" w:color="auto" w:sz="4" w:space="0"/>
              <w:right w:val="single" w:color="auto" w:sz="4" w:space="0"/>
            </w:tcBorders>
            <w:vAlign w:val="center"/>
          </w:tcPr>
          <w:p>
            <w:pPr>
              <w:shd w:val="solid" w:color="FFFFFF" w:fill="auto"/>
              <w:autoSpaceDN w:val="0"/>
              <w:adjustRightInd w:val="0"/>
              <w:snapToGrid w:val="0"/>
              <w:jc w:val="center"/>
              <w:rPr>
                <w:rFonts w:ascii="宋体" w:hAnsi="宋体"/>
                <w:sz w:val="24"/>
                <w:szCs w:val="24"/>
                <w:shd w:val="clear" w:color="auto" w:fill="FFFFFF"/>
              </w:rPr>
            </w:pPr>
          </w:p>
        </w:tc>
        <w:tc>
          <w:tcPr>
            <w:tcW w:w="1276" w:type="dxa"/>
            <w:tcBorders>
              <w:top w:val="single" w:color="auto" w:sz="4" w:space="0"/>
              <w:left w:val="single" w:color="auto" w:sz="4" w:space="0"/>
              <w:bottom w:val="single" w:color="auto" w:sz="4" w:space="0"/>
              <w:right w:val="single" w:color="auto" w:sz="4" w:space="0"/>
            </w:tcBorders>
            <w:vAlign w:val="center"/>
          </w:tcPr>
          <w:p>
            <w:pPr>
              <w:shd w:val="solid" w:color="FFFFFF" w:fill="auto"/>
              <w:autoSpaceDN w:val="0"/>
              <w:adjustRightInd w:val="0"/>
              <w:snapToGrid w:val="0"/>
              <w:jc w:val="center"/>
              <w:rPr>
                <w:rFonts w:ascii="宋体" w:hAnsi="宋体"/>
                <w:sz w:val="24"/>
                <w:szCs w:val="24"/>
                <w:shd w:val="clear" w:color="auto" w:fill="FFFFFF"/>
              </w:rPr>
            </w:pPr>
            <w:r>
              <w:rPr>
                <w:rFonts w:hint="eastAsia" w:ascii="宋体" w:hAnsi="宋体"/>
                <w:sz w:val="24"/>
                <w:szCs w:val="24"/>
                <w:shd w:val="clear" w:color="auto" w:fill="FFFFFF"/>
              </w:rPr>
              <w:t>竞赛场地观摩区</w:t>
            </w:r>
          </w:p>
        </w:tc>
        <w:tc>
          <w:tcPr>
            <w:tcW w:w="1431" w:type="dxa"/>
            <w:tcBorders>
              <w:top w:val="single" w:color="auto" w:sz="4" w:space="0"/>
              <w:left w:val="single" w:color="auto" w:sz="4" w:space="0"/>
              <w:bottom w:val="single" w:color="auto" w:sz="4" w:space="0"/>
              <w:right w:val="single" w:color="auto" w:sz="4" w:space="0"/>
            </w:tcBorders>
            <w:vAlign w:val="center"/>
          </w:tcPr>
          <w:p>
            <w:pPr>
              <w:shd w:val="solid" w:color="FFFFFF" w:fill="auto"/>
              <w:autoSpaceDN w:val="0"/>
              <w:adjustRightInd w:val="0"/>
              <w:snapToGrid w:val="0"/>
              <w:jc w:val="center"/>
              <w:rPr>
                <w:rFonts w:ascii="宋体" w:hAnsi="宋体"/>
                <w:sz w:val="24"/>
                <w:szCs w:val="24"/>
                <w:shd w:val="clear" w:color="auto" w:fill="FFFFFF"/>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6" w:hRule="atLeast"/>
          <w:tblHeader/>
          <w:jc w:val="center"/>
        </w:trPr>
        <w:tc>
          <w:tcPr>
            <w:tcW w:w="1103" w:type="dxa"/>
            <w:vMerge w:val="continue"/>
            <w:tcBorders>
              <w:left w:val="single" w:color="auto" w:sz="4" w:space="0"/>
              <w:right w:val="single" w:color="auto" w:sz="4" w:space="0"/>
            </w:tcBorders>
            <w:vAlign w:val="center"/>
          </w:tcPr>
          <w:p>
            <w:pPr>
              <w:shd w:val="solid" w:color="FFFFFF" w:fill="auto"/>
              <w:autoSpaceDN w:val="0"/>
              <w:adjustRightInd w:val="0"/>
              <w:snapToGrid w:val="0"/>
              <w:jc w:val="center"/>
              <w:rPr>
                <w:rFonts w:ascii="宋体" w:hAnsi="宋体"/>
                <w:sz w:val="24"/>
                <w:szCs w:val="24"/>
                <w:shd w:val="clear" w:color="auto" w:fill="FFFFFF"/>
              </w:rPr>
            </w:pPr>
          </w:p>
        </w:tc>
        <w:tc>
          <w:tcPr>
            <w:tcW w:w="1559" w:type="dxa"/>
            <w:tcBorders>
              <w:top w:val="single" w:color="auto" w:sz="4" w:space="0"/>
              <w:left w:val="single" w:color="auto" w:sz="4" w:space="0"/>
              <w:bottom w:val="single" w:color="auto" w:sz="4" w:space="0"/>
              <w:right w:val="single" w:color="auto" w:sz="4" w:space="0"/>
            </w:tcBorders>
            <w:vAlign w:val="center"/>
          </w:tcPr>
          <w:p>
            <w:pPr>
              <w:shd w:val="solid" w:color="FFFFFF" w:fill="auto"/>
              <w:autoSpaceDN w:val="0"/>
              <w:adjustRightInd w:val="0"/>
              <w:snapToGrid w:val="0"/>
              <w:jc w:val="center"/>
              <w:rPr>
                <w:rFonts w:ascii="宋体" w:hAnsi="宋体"/>
                <w:sz w:val="24"/>
                <w:szCs w:val="24"/>
                <w:shd w:val="clear" w:color="auto" w:fill="FFFFFF"/>
              </w:rPr>
            </w:pPr>
            <w:r>
              <w:rPr>
                <w:rFonts w:hint="eastAsia" w:ascii="宋体" w:hAnsi="宋体"/>
                <w:sz w:val="24"/>
                <w:szCs w:val="24"/>
                <w:shd w:val="clear" w:color="auto" w:fill="FFFFFF"/>
              </w:rPr>
              <w:t>8:30-12:30</w:t>
            </w:r>
          </w:p>
        </w:tc>
        <w:tc>
          <w:tcPr>
            <w:tcW w:w="2442" w:type="dxa"/>
            <w:tcBorders>
              <w:top w:val="single" w:color="auto" w:sz="4" w:space="0"/>
              <w:left w:val="single" w:color="auto" w:sz="4" w:space="0"/>
              <w:bottom w:val="single" w:color="auto" w:sz="4" w:space="0"/>
              <w:right w:val="single" w:color="auto" w:sz="4" w:space="0"/>
            </w:tcBorders>
            <w:vAlign w:val="center"/>
          </w:tcPr>
          <w:p>
            <w:pPr>
              <w:shd w:val="solid" w:color="FFFFFF" w:fill="auto"/>
              <w:autoSpaceDN w:val="0"/>
              <w:adjustRightInd w:val="0"/>
              <w:snapToGrid w:val="0"/>
              <w:jc w:val="center"/>
              <w:rPr>
                <w:rFonts w:ascii="宋体" w:hAnsi="宋体"/>
                <w:sz w:val="24"/>
                <w:szCs w:val="24"/>
                <w:shd w:val="clear" w:color="auto" w:fill="FFFFFF"/>
              </w:rPr>
            </w:pPr>
            <w:r>
              <w:rPr>
                <w:rFonts w:hint="eastAsia" w:ascii="宋体" w:hAnsi="宋体"/>
                <w:sz w:val="24"/>
                <w:szCs w:val="24"/>
                <w:shd w:val="clear" w:color="auto" w:fill="FFFFFF"/>
              </w:rPr>
              <w:t>外贸英语沟通能力模块</w:t>
            </w:r>
          </w:p>
        </w:tc>
        <w:tc>
          <w:tcPr>
            <w:tcW w:w="1750" w:type="dxa"/>
            <w:tcBorders>
              <w:top w:val="single" w:color="auto" w:sz="4" w:space="0"/>
              <w:left w:val="single" w:color="auto" w:sz="4" w:space="0"/>
              <w:bottom w:val="single" w:color="auto" w:sz="4" w:space="0"/>
              <w:right w:val="single" w:color="auto" w:sz="4" w:space="0"/>
            </w:tcBorders>
            <w:vAlign w:val="center"/>
          </w:tcPr>
          <w:p>
            <w:pPr>
              <w:shd w:val="solid" w:color="FFFFFF" w:fill="auto"/>
              <w:autoSpaceDN w:val="0"/>
              <w:adjustRightInd w:val="0"/>
              <w:snapToGrid w:val="0"/>
              <w:jc w:val="center"/>
              <w:rPr>
                <w:rFonts w:ascii="宋体" w:hAnsi="宋体"/>
                <w:sz w:val="24"/>
                <w:szCs w:val="24"/>
                <w:shd w:val="clear" w:color="auto" w:fill="FFFFFF"/>
              </w:rPr>
            </w:pPr>
            <w:r>
              <w:rPr>
                <w:rFonts w:hint="eastAsia" w:ascii="宋体" w:hAnsi="宋体"/>
                <w:sz w:val="24"/>
                <w:szCs w:val="24"/>
                <w:shd w:val="clear" w:color="auto" w:fill="FFFFFF"/>
              </w:rPr>
              <w:t>参赛选手、裁判</w:t>
            </w:r>
          </w:p>
        </w:tc>
        <w:tc>
          <w:tcPr>
            <w:tcW w:w="1276" w:type="dxa"/>
            <w:tcBorders>
              <w:top w:val="single" w:color="auto" w:sz="4" w:space="0"/>
              <w:left w:val="single" w:color="auto" w:sz="4" w:space="0"/>
              <w:bottom w:val="single" w:color="auto" w:sz="4" w:space="0"/>
              <w:right w:val="single" w:color="auto" w:sz="4" w:space="0"/>
            </w:tcBorders>
            <w:vAlign w:val="center"/>
          </w:tcPr>
          <w:p>
            <w:pPr>
              <w:shd w:val="solid" w:color="FFFFFF" w:fill="auto"/>
              <w:autoSpaceDN w:val="0"/>
              <w:adjustRightInd w:val="0"/>
              <w:snapToGrid w:val="0"/>
              <w:jc w:val="center"/>
              <w:rPr>
                <w:rFonts w:ascii="宋体" w:hAnsi="宋体"/>
                <w:sz w:val="24"/>
                <w:szCs w:val="24"/>
                <w:shd w:val="clear" w:color="auto" w:fill="FFFFFF"/>
              </w:rPr>
            </w:pPr>
            <w:r>
              <w:rPr>
                <w:rFonts w:hint="eastAsia" w:ascii="宋体" w:hAnsi="宋体"/>
                <w:sz w:val="24"/>
                <w:szCs w:val="24"/>
                <w:shd w:val="clear" w:color="auto" w:fill="FFFFFF"/>
              </w:rPr>
              <w:t>赛场</w:t>
            </w:r>
          </w:p>
        </w:tc>
        <w:tc>
          <w:tcPr>
            <w:tcW w:w="1431" w:type="dxa"/>
            <w:tcBorders>
              <w:top w:val="single" w:color="auto" w:sz="4" w:space="0"/>
              <w:left w:val="single" w:color="auto" w:sz="4" w:space="0"/>
              <w:bottom w:val="single" w:color="auto" w:sz="4" w:space="0"/>
              <w:right w:val="single" w:color="auto" w:sz="4" w:space="0"/>
            </w:tcBorders>
            <w:vAlign w:val="center"/>
          </w:tcPr>
          <w:p>
            <w:pPr>
              <w:shd w:val="solid" w:color="FFFFFF" w:fill="auto"/>
              <w:autoSpaceDN w:val="0"/>
              <w:adjustRightInd w:val="0"/>
              <w:snapToGrid w:val="0"/>
              <w:jc w:val="center"/>
              <w:rPr>
                <w:rFonts w:ascii="宋体" w:hAnsi="宋体"/>
                <w:sz w:val="24"/>
                <w:szCs w:val="24"/>
                <w:shd w:val="clear" w:color="auto" w:fill="FFFFFF"/>
              </w:rPr>
            </w:pPr>
            <w:r>
              <w:rPr>
                <w:rFonts w:hint="eastAsia" w:ascii="宋体" w:hAnsi="宋体"/>
                <w:sz w:val="24"/>
                <w:szCs w:val="24"/>
                <w:shd w:val="clear" w:color="auto" w:fill="FFFFFF"/>
              </w:rPr>
              <w:t>结束比赛的选手进入完赛隔离区等候统一离场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jc w:val="center"/>
        </w:trPr>
        <w:tc>
          <w:tcPr>
            <w:tcW w:w="1103" w:type="dxa"/>
            <w:vMerge w:val="continue"/>
            <w:tcBorders>
              <w:left w:val="single" w:color="auto" w:sz="4" w:space="0"/>
              <w:right w:val="single" w:color="auto" w:sz="4" w:space="0"/>
            </w:tcBorders>
            <w:vAlign w:val="center"/>
          </w:tcPr>
          <w:p>
            <w:pPr>
              <w:shd w:val="solid" w:color="FFFFFF" w:fill="auto"/>
              <w:autoSpaceDN w:val="0"/>
              <w:adjustRightInd w:val="0"/>
              <w:snapToGrid w:val="0"/>
              <w:jc w:val="center"/>
              <w:rPr>
                <w:rFonts w:ascii="宋体" w:hAnsi="宋体"/>
                <w:sz w:val="24"/>
                <w:szCs w:val="24"/>
                <w:shd w:val="clear" w:color="auto" w:fill="FFFFFF"/>
              </w:rPr>
            </w:pPr>
          </w:p>
        </w:tc>
        <w:tc>
          <w:tcPr>
            <w:tcW w:w="1559" w:type="dxa"/>
            <w:vMerge w:val="restart"/>
            <w:tcBorders>
              <w:top w:val="single" w:color="auto" w:sz="4" w:space="0"/>
              <w:left w:val="single" w:color="auto" w:sz="4" w:space="0"/>
              <w:right w:val="single" w:color="auto" w:sz="4" w:space="0"/>
            </w:tcBorders>
            <w:vAlign w:val="center"/>
          </w:tcPr>
          <w:p>
            <w:pPr>
              <w:shd w:val="solid" w:color="FFFFFF" w:fill="auto"/>
              <w:autoSpaceDN w:val="0"/>
              <w:adjustRightInd w:val="0"/>
              <w:snapToGrid w:val="0"/>
              <w:jc w:val="center"/>
              <w:rPr>
                <w:rFonts w:ascii="宋体" w:hAnsi="宋体"/>
                <w:sz w:val="24"/>
                <w:szCs w:val="24"/>
                <w:shd w:val="clear" w:color="auto" w:fill="FFFFFF"/>
              </w:rPr>
            </w:pPr>
            <w:r>
              <w:rPr>
                <w:rFonts w:hint="eastAsia" w:ascii="宋体" w:hAnsi="宋体"/>
                <w:sz w:val="24"/>
                <w:szCs w:val="24"/>
                <w:shd w:val="clear" w:color="auto" w:fill="FFFFFF"/>
              </w:rPr>
              <w:t>8:30-9:30</w:t>
            </w:r>
          </w:p>
        </w:tc>
        <w:tc>
          <w:tcPr>
            <w:tcW w:w="2442" w:type="dxa"/>
            <w:tcBorders>
              <w:top w:val="single" w:color="auto" w:sz="4" w:space="0"/>
              <w:left w:val="single" w:color="auto" w:sz="4" w:space="0"/>
              <w:bottom w:val="single" w:color="auto" w:sz="4" w:space="0"/>
              <w:right w:val="single" w:color="auto" w:sz="4" w:space="0"/>
            </w:tcBorders>
            <w:vAlign w:val="center"/>
          </w:tcPr>
          <w:p>
            <w:pPr>
              <w:shd w:val="solid" w:color="FFFFFF" w:fill="auto"/>
              <w:autoSpaceDN w:val="0"/>
              <w:adjustRightInd w:val="0"/>
              <w:snapToGrid w:val="0"/>
              <w:jc w:val="center"/>
              <w:rPr>
                <w:rFonts w:ascii="宋体" w:hAnsi="宋体"/>
                <w:b/>
                <w:sz w:val="24"/>
                <w:szCs w:val="24"/>
                <w:shd w:val="clear" w:color="auto" w:fill="FFFFFF"/>
              </w:rPr>
            </w:pPr>
            <w:r>
              <w:rPr>
                <w:rFonts w:hint="eastAsia" w:ascii="宋体" w:hAnsi="宋体"/>
                <w:b/>
                <w:sz w:val="24"/>
                <w:szCs w:val="24"/>
                <w:shd w:val="clear" w:color="auto" w:fill="FFFFFF"/>
              </w:rPr>
              <w:t>外贸业务能力B2C模块选手检录进场</w:t>
            </w:r>
          </w:p>
          <w:p>
            <w:pPr>
              <w:shd w:val="solid" w:color="FFFFFF" w:fill="auto"/>
              <w:autoSpaceDN w:val="0"/>
              <w:adjustRightInd w:val="0"/>
              <w:snapToGrid w:val="0"/>
              <w:jc w:val="center"/>
              <w:rPr>
                <w:rFonts w:ascii="宋体" w:hAnsi="宋体"/>
                <w:sz w:val="24"/>
                <w:szCs w:val="24"/>
                <w:shd w:val="clear" w:color="auto" w:fill="FFFFFF"/>
              </w:rPr>
            </w:pPr>
            <w:r>
              <w:rPr>
                <w:rFonts w:hint="eastAsia" w:ascii="宋体" w:hAnsi="宋体"/>
                <w:sz w:val="24"/>
                <w:szCs w:val="24"/>
                <w:shd w:val="clear" w:color="auto" w:fill="FFFFFF"/>
              </w:rPr>
              <w:t>第一次加密抽签（抽序号）</w:t>
            </w:r>
          </w:p>
        </w:tc>
        <w:tc>
          <w:tcPr>
            <w:tcW w:w="1750" w:type="dxa"/>
            <w:vMerge w:val="restart"/>
            <w:tcBorders>
              <w:top w:val="single" w:color="auto" w:sz="4" w:space="0"/>
              <w:left w:val="single" w:color="auto" w:sz="4" w:space="0"/>
              <w:right w:val="single" w:color="auto" w:sz="4" w:space="0"/>
            </w:tcBorders>
            <w:vAlign w:val="center"/>
          </w:tcPr>
          <w:p>
            <w:pPr>
              <w:shd w:val="solid" w:color="FFFFFF" w:fill="auto"/>
              <w:autoSpaceDN w:val="0"/>
              <w:adjustRightInd w:val="0"/>
              <w:snapToGrid w:val="0"/>
              <w:jc w:val="center"/>
              <w:rPr>
                <w:rFonts w:ascii="宋体" w:hAnsi="宋体"/>
                <w:sz w:val="24"/>
                <w:szCs w:val="24"/>
                <w:shd w:val="clear" w:color="auto" w:fill="FFFFFF"/>
              </w:rPr>
            </w:pPr>
            <w:r>
              <w:rPr>
                <w:rFonts w:hint="eastAsia" w:ascii="宋体" w:hAnsi="宋体"/>
                <w:sz w:val="24"/>
                <w:szCs w:val="24"/>
                <w:shd w:val="clear" w:color="auto" w:fill="FFFFFF"/>
              </w:rPr>
              <w:t>参赛选手、抽签加密裁判</w:t>
            </w:r>
          </w:p>
        </w:tc>
        <w:tc>
          <w:tcPr>
            <w:tcW w:w="1276" w:type="dxa"/>
            <w:vMerge w:val="restart"/>
            <w:tcBorders>
              <w:top w:val="single" w:color="auto" w:sz="4" w:space="0"/>
              <w:left w:val="single" w:color="auto" w:sz="4" w:space="0"/>
              <w:right w:val="single" w:color="auto" w:sz="4" w:space="0"/>
            </w:tcBorders>
            <w:vAlign w:val="center"/>
          </w:tcPr>
          <w:p>
            <w:pPr>
              <w:shd w:val="solid" w:color="FFFFFF" w:fill="auto"/>
              <w:autoSpaceDN w:val="0"/>
              <w:adjustRightInd w:val="0"/>
              <w:snapToGrid w:val="0"/>
              <w:jc w:val="center"/>
              <w:rPr>
                <w:rFonts w:ascii="宋体" w:hAnsi="宋体"/>
                <w:sz w:val="24"/>
                <w:szCs w:val="24"/>
                <w:shd w:val="clear" w:color="auto" w:fill="FFFFFF"/>
              </w:rPr>
            </w:pPr>
            <w:r>
              <w:rPr>
                <w:rFonts w:hint="eastAsia" w:ascii="宋体" w:hAnsi="宋体"/>
                <w:sz w:val="24"/>
                <w:szCs w:val="24"/>
                <w:shd w:val="clear" w:color="auto" w:fill="FFFFFF"/>
              </w:rPr>
              <w:t>赛场</w:t>
            </w:r>
          </w:p>
          <w:p>
            <w:pPr>
              <w:shd w:val="solid" w:color="FFFFFF" w:fill="auto"/>
              <w:autoSpaceDN w:val="0"/>
              <w:adjustRightInd w:val="0"/>
              <w:snapToGrid w:val="0"/>
              <w:jc w:val="center"/>
              <w:rPr>
                <w:rFonts w:ascii="宋体" w:hAnsi="宋体"/>
                <w:sz w:val="24"/>
                <w:szCs w:val="24"/>
                <w:shd w:val="clear" w:color="auto" w:fill="FFFFFF"/>
              </w:rPr>
            </w:pPr>
            <w:r>
              <w:rPr>
                <w:rFonts w:hint="eastAsia" w:ascii="宋体" w:hAnsi="宋体"/>
                <w:sz w:val="24"/>
                <w:szCs w:val="24"/>
                <w:shd w:val="clear" w:color="auto" w:fill="FFFFFF"/>
              </w:rPr>
              <w:t>抽签区域</w:t>
            </w:r>
          </w:p>
        </w:tc>
        <w:tc>
          <w:tcPr>
            <w:tcW w:w="1431" w:type="dxa"/>
            <w:vMerge w:val="restart"/>
            <w:tcBorders>
              <w:top w:val="single" w:color="auto" w:sz="4" w:space="0"/>
              <w:left w:val="single" w:color="auto" w:sz="4" w:space="0"/>
              <w:right w:val="single" w:color="auto" w:sz="4" w:space="0"/>
            </w:tcBorders>
            <w:vAlign w:val="center"/>
          </w:tcPr>
          <w:p>
            <w:pPr>
              <w:shd w:val="solid" w:color="FFFFFF" w:fill="auto"/>
              <w:autoSpaceDN w:val="0"/>
              <w:adjustRightInd w:val="0"/>
              <w:snapToGrid w:val="0"/>
              <w:jc w:val="center"/>
              <w:rPr>
                <w:rFonts w:ascii="宋体" w:hAnsi="宋体"/>
                <w:sz w:val="24"/>
                <w:szCs w:val="24"/>
                <w:shd w:val="clear" w:color="auto" w:fill="FFFFFF"/>
              </w:rPr>
            </w:pPr>
            <w:r>
              <w:rPr>
                <w:rFonts w:hint="eastAsia" w:ascii="宋体" w:hAnsi="宋体"/>
                <w:sz w:val="24"/>
                <w:szCs w:val="24"/>
                <w:shd w:val="clear" w:color="auto" w:fill="FFFFFF"/>
              </w:rPr>
              <w:t>选手进入赛场按照赛位号就座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63" w:hRule="atLeast"/>
          <w:tblHeader/>
          <w:jc w:val="center"/>
        </w:trPr>
        <w:tc>
          <w:tcPr>
            <w:tcW w:w="1103" w:type="dxa"/>
            <w:vMerge w:val="continue"/>
            <w:tcBorders>
              <w:left w:val="single" w:color="auto" w:sz="4" w:space="0"/>
              <w:right w:val="single" w:color="auto" w:sz="4" w:space="0"/>
            </w:tcBorders>
            <w:vAlign w:val="center"/>
          </w:tcPr>
          <w:p>
            <w:pPr>
              <w:shd w:val="solid" w:color="FFFFFF" w:fill="auto"/>
              <w:autoSpaceDN w:val="0"/>
              <w:adjustRightInd w:val="0"/>
              <w:snapToGrid w:val="0"/>
              <w:jc w:val="center"/>
              <w:rPr>
                <w:rFonts w:ascii="宋体" w:hAnsi="宋体"/>
                <w:sz w:val="24"/>
                <w:szCs w:val="24"/>
                <w:shd w:val="clear" w:color="auto" w:fill="FFFFFF"/>
              </w:rPr>
            </w:pPr>
          </w:p>
        </w:tc>
        <w:tc>
          <w:tcPr>
            <w:tcW w:w="1559" w:type="dxa"/>
            <w:vMerge w:val="continue"/>
            <w:tcBorders>
              <w:left w:val="single" w:color="auto" w:sz="4" w:space="0"/>
              <w:bottom w:val="single" w:color="auto" w:sz="4" w:space="0"/>
              <w:right w:val="single" w:color="auto" w:sz="4" w:space="0"/>
            </w:tcBorders>
            <w:vAlign w:val="center"/>
          </w:tcPr>
          <w:p>
            <w:pPr>
              <w:shd w:val="solid" w:color="FFFFFF" w:fill="auto"/>
              <w:autoSpaceDN w:val="0"/>
              <w:adjustRightInd w:val="0"/>
              <w:snapToGrid w:val="0"/>
              <w:jc w:val="center"/>
              <w:rPr>
                <w:rFonts w:ascii="宋体" w:hAnsi="宋体"/>
                <w:sz w:val="24"/>
                <w:szCs w:val="24"/>
                <w:shd w:val="clear" w:color="auto" w:fill="FFFFFF"/>
              </w:rPr>
            </w:pPr>
          </w:p>
        </w:tc>
        <w:tc>
          <w:tcPr>
            <w:tcW w:w="2442" w:type="dxa"/>
            <w:tcBorders>
              <w:top w:val="single" w:color="auto" w:sz="4" w:space="0"/>
              <w:left w:val="single" w:color="auto" w:sz="4" w:space="0"/>
              <w:bottom w:val="single" w:color="auto" w:sz="4" w:space="0"/>
              <w:right w:val="single" w:color="auto" w:sz="4" w:space="0"/>
            </w:tcBorders>
            <w:vAlign w:val="center"/>
          </w:tcPr>
          <w:p>
            <w:pPr>
              <w:shd w:val="solid" w:color="FFFFFF" w:fill="auto"/>
              <w:autoSpaceDN w:val="0"/>
              <w:adjustRightInd w:val="0"/>
              <w:snapToGrid w:val="0"/>
              <w:jc w:val="center"/>
              <w:rPr>
                <w:rFonts w:ascii="宋体" w:hAnsi="宋体"/>
                <w:sz w:val="24"/>
                <w:szCs w:val="24"/>
                <w:shd w:val="clear" w:color="auto" w:fill="FFFFFF"/>
              </w:rPr>
            </w:pPr>
            <w:r>
              <w:rPr>
                <w:rFonts w:hint="eastAsia" w:ascii="宋体" w:hAnsi="宋体"/>
                <w:sz w:val="24"/>
                <w:szCs w:val="24"/>
                <w:shd w:val="clear" w:color="auto" w:fill="FFFFFF"/>
              </w:rPr>
              <w:t>第二次加密抽签（抽赛位号）</w:t>
            </w:r>
          </w:p>
        </w:tc>
        <w:tc>
          <w:tcPr>
            <w:tcW w:w="1750" w:type="dxa"/>
            <w:vMerge w:val="continue"/>
            <w:tcBorders>
              <w:left w:val="single" w:color="auto" w:sz="4" w:space="0"/>
              <w:bottom w:val="single" w:color="auto" w:sz="4" w:space="0"/>
              <w:right w:val="single" w:color="auto" w:sz="4" w:space="0"/>
            </w:tcBorders>
            <w:vAlign w:val="center"/>
          </w:tcPr>
          <w:p>
            <w:pPr>
              <w:shd w:val="solid" w:color="FFFFFF" w:fill="auto"/>
              <w:autoSpaceDN w:val="0"/>
              <w:adjustRightInd w:val="0"/>
              <w:snapToGrid w:val="0"/>
              <w:jc w:val="center"/>
              <w:rPr>
                <w:rFonts w:ascii="宋体" w:hAnsi="宋体"/>
                <w:sz w:val="24"/>
                <w:szCs w:val="24"/>
                <w:shd w:val="clear" w:color="auto" w:fill="FFFFFF"/>
              </w:rPr>
            </w:pPr>
          </w:p>
        </w:tc>
        <w:tc>
          <w:tcPr>
            <w:tcW w:w="1276" w:type="dxa"/>
            <w:vMerge w:val="continue"/>
            <w:tcBorders>
              <w:left w:val="single" w:color="auto" w:sz="4" w:space="0"/>
              <w:bottom w:val="single" w:color="auto" w:sz="4" w:space="0"/>
              <w:right w:val="single" w:color="auto" w:sz="4" w:space="0"/>
            </w:tcBorders>
            <w:vAlign w:val="center"/>
          </w:tcPr>
          <w:p>
            <w:pPr>
              <w:shd w:val="solid" w:color="FFFFFF" w:fill="auto"/>
              <w:autoSpaceDN w:val="0"/>
              <w:adjustRightInd w:val="0"/>
              <w:snapToGrid w:val="0"/>
              <w:jc w:val="center"/>
              <w:rPr>
                <w:rFonts w:ascii="宋体" w:hAnsi="宋体"/>
                <w:sz w:val="24"/>
                <w:szCs w:val="24"/>
                <w:shd w:val="clear" w:color="auto" w:fill="FFFFFF"/>
              </w:rPr>
            </w:pPr>
          </w:p>
        </w:tc>
        <w:tc>
          <w:tcPr>
            <w:tcW w:w="1431" w:type="dxa"/>
            <w:vMerge w:val="continue"/>
            <w:tcBorders>
              <w:left w:val="single" w:color="auto" w:sz="4" w:space="0"/>
              <w:bottom w:val="single" w:color="auto" w:sz="4" w:space="0"/>
              <w:right w:val="single" w:color="auto" w:sz="4" w:space="0"/>
            </w:tcBorders>
            <w:vAlign w:val="center"/>
          </w:tcPr>
          <w:p>
            <w:pPr>
              <w:shd w:val="solid" w:color="FFFFFF" w:fill="auto"/>
              <w:autoSpaceDN w:val="0"/>
              <w:adjustRightInd w:val="0"/>
              <w:snapToGrid w:val="0"/>
              <w:jc w:val="center"/>
              <w:rPr>
                <w:rFonts w:ascii="宋体" w:hAnsi="宋体"/>
                <w:sz w:val="24"/>
                <w:szCs w:val="24"/>
                <w:shd w:val="clear" w:color="auto" w:fill="FFFFFF"/>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11" w:hRule="atLeast"/>
          <w:tblHeader/>
          <w:jc w:val="center"/>
        </w:trPr>
        <w:tc>
          <w:tcPr>
            <w:tcW w:w="1103" w:type="dxa"/>
            <w:vMerge w:val="continue"/>
            <w:tcBorders>
              <w:left w:val="single" w:color="auto" w:sz="4" w:space="0"/>
              <w:right w:val="single" w:color="auto" w:sz="4" w:space="0"/>
            </w:tcBorders>
            <w:vAlign w:val="center"/>
          </w:tcPr>
          <w:p>
            <w:pPr>
              <w:shd w:val="solid" w:color="FFFFFF" w:fill="auto"/>
              <w:autoSpaceDN w:val="0"/>
              <w:adjustRightInd w:val="0"/>
              <w:snapToGrid w:val="0"/>
              <w:jc w:val="center"/>
              <w:rPr>
                <w:rFonts w:ascii="宋体" w:hAnsi="宋体"/>
                <w:sz w:val="24"/>
                <w:szCs w:val="24"/>
                <w:shd w:val="clear" w:color="auto" w:fill="FFFFFF"/>
              </w:rPr>
            </w:pPr>
          </w:p>
        </w:tc>
        <w:tc>
          <w:tcPr>
            <w:tcW w:w="1559" w:type="dxa"/>
            <w:tcBorders>
              <w:top w:val="single" w:color="auto" w:sz="4" w:space="0"/>
              <w:left w:val="single" w:color="auto" w:sz="4" w:space="0"/>
              <w:bottom w:val="single" w:color="auto" w:sz="4" w:space="0"/>
              <w:right w:val="single" w:color="auto" w:sz="4" w:space="0"/>
            </w:tcBorders>
            <w:vAlign w:val="center"/>
          </w:tcPr>
          <w:p>
            <w:pPr>
              <w:shd w:val="solid" w:color="FFFFFF" w:fill="auto"/>
              <w:autoSpaceDN w:val="0"/>
              <w:adjustRightInd w:val="0"/>
              <w:snapToGrid w:val="0"/>
              <w:jc w:val="center"/>
              <w:rPr>
                <w:rFonts w:ascii="宋体" w:hAnsi="宋体"/>
                <w:sz w:val="24"/>
                <w:szCs w:val="24"/>
                <w:shd w:val="clear" w:color="auto" w:fill="FFFFFF"/>
              </w:rPr>
            </w:pPr>
            <w:r>
              <w:rPr>
                <w:rFonts w:hint="eastAsia" w:ascii="宋体" w:hAnsi="宋体"/>
                <w:sz w:val="24"/>
                <w:szCs w:val="24"/>
                <w:shd w:val="clear" w:color="auto" w:fill="FFFFFF"/>
              </w:rPr>
              <w:t>9:30-10:30</w:t>
            </w:r>
          </w:p>
        </w:tc>
        <w:tc>
          <w:tcPr>
            <w:tcW w:w="2442" w:type="dxa"/>
            <w:tcBorders>
              <w:top w:val="single" w:color="auto" w:sz="4" w:space="0"/>
              <w:left w:val="single" w:color="auto" w:sz="4" w:space="0"/>
              <w:bottom w:val="single" w:color="auto" w:sz="4" w:space="0"/>
              <w:right w:val="single" w:color="auto" w:sz="4" w:space="0"/>
            </w:tcBorders>
            <w:vAlign w:val="center"/>
          </w:tcPr>
          <w:p>
            <w:pPr>
              <w:shd w:val="solid" w:color="FFFFFF" w:fill="auto"/>
              <w:autoSpaceDN w:val="0"/>
              <w:adjustRightInd w:val="0"/>
              <w:snapToGrid w:val="0"/>
              <w:jc w:val="center"/>
              <w:rPr>
                <w:rFonts w:ascii="宋体" w:hAnsi="宋体"/>
                <w:sz w:val="24"/>
                <w:szCs w:val="24"/>
                <w:shd w:val="clear" w:color="auto" w:fill="FFFFFF"/>
              </w:rPr>
            </w:pPr>
            <w:r>
              <w:rPr>
                <w:rFonts w:hint="eastAsia" w:ascii="宋体" w:hAnsi="宋体"/>
                <w:sz w:val="24"/>
                <w:szCs w:val="24"/>
                <w:shd w:val="clear" w:color="auto" w:fill="FFFFFF"/>
              </w:rPr>
              <w:t>外贸业务能力B2C模块</w:t>
            </w:r>
          </w:p>
        </w:tc>
        <w:tc>
          <w:tcPr>
            <w:tcW w:w="1750" w:type="dxa"/>
            <w:tcBorders>
              <w:top w:val="single" w:color="auto" w:sz="4" w:space="0"/>
              <w:left w:val="single" w:color="auto" w:sz="4" w:space="0"/>
              <w:bottom w:val="single" w:color="auto" w:sz="4" w:space="0"/>
              <w:right w:val="single" w:color="auto" w:sz="4" w:space="0"/>
            </w:tcBorders>
            <w:vAlign w:val="center"/>
          </w:tcPr>
          <w:p>
            <w:pPr>
              <w:shd w:val="solid" w:color="FFFFFF" w:fill="auto"/>
              <w:autoSpaceDN w:val="0"/>
              <w:adjustRightInd w:val="0"/>
              <w:snapToGrid w:val="0"/>
              <w:jc w:val="center"/>
              <w:rPr>
                <w:rFonts w:ascii="宋体" w:hAnsi="宋体"/>
                <w:sz w:val="24"/>
                <w:szCs w:val="24"/>
                <w:shd w:val="clear" w:color="auto" w:fill="FFFFFF"/>
              </w:rPr>
            </w:pPr>
            <w:r>
              <w:rPr>
                <w:rFonts w:hint="eastAsia" w:ascii="宋体" w:hAnsi="宋体"/>
                <w:sz w:val="24"/>
                <w:szCs w:val="24"/>
                <w:shd w:val="clear" w:color="auto" w:fill="FFFFFF"/>
              </w:rPr>
              <w:t>参赛选手、裁判</w:t>
            </w:r>
          </w:p>
        </w:tc>
        <w:tc>
          <w:tcPr>
            <w:tcW w:w="1276" w:type="dxa"/>
            <w:tcBorders>
              <w:top w:val="single" w:color="auto" w:sz="4" w:space="0"/>
              <w:left w:val="single" w:color="auto" w:sz="4" w:space="0"/>
              <w:bottom w:val="single" w:color="auto" w:sz="4" w:space="0"/>
              <w:right w:val="single" w:color="auto" w:sz="4" w:space="0"/>
            </w:tcBorders>
            <w:vAlign w:val="center"/>
          </w:tcPr>
          <w:p>
            <w:pPr>
              <w:shd w:val="solid" w:color="FFFFFF" w:fill="auto"/>
              <w:autoSpaceDN w:val="0"/>
              <w:adjustRightInd w:val="0"/>
              <w:snapToGrid w:val="0"/>
              <w:jc w:val="center"/>
              <w:rPr>
                <w:rFonts w:ascii="宋体" w:hAnsi="宋体"/>
                <w:sz w:val="24"/>
                <w:szCs w:val="24"/>
                <w:shd w:val="clear" w:color="auto" w:fill="FFFFFF"/>
              </w:rPr>
            </w:pPr>
            <w:r>
              <w:rPr>
                <w:rFonts w:hint="eastAsia" w:ascii="宋体" w:hAnsi="宋体"/>
                <w:sz w:val="24"/>
                <w:szCs w:val="24"/>
                <w:shd w:val="clear" w:color="auto" w:fill="FFFFFF"/>
              </w:rPr>
              <w:t>赛场</w:t>
            </w:r>
          </w:p>
        </w:tc>
        <w:tc>
          <w:tcPr>
            <w:tcW w:w="1431" w:type="dxa"/>
            <w:tcBorders>
              <w:top w:val="single" w:color="auto" w:sz="4" w:space="0"/>
              <w:left w:val="single" w:color="auto" w:sz="4" w:space="0"/>
              <w:bottom w:val="single" w:color="auto" w:sz="4" w:space="0"/>
              <w:right w:val="single" w:color="auto" w:sz="4" w:space="0"/>
            </w:tcBorders>
            <w:vAlign w:val="center"/>
          </w:tcPr>
          <w:p>
            <w:pPr>
              <w:shd w:val="solid" w:color="FFFFFF" w:fill="auto"/>
              <w:autoSpaceDN w:val="0"/>
              <w:adjustRightInd w:val="0"/>
              <w:snapToGrid w:val="0"/>
              <w:jc w:val="center"/>
              <w:rPr>
                <w:rFonts w:ascii="宋体" w:hAnsi="宋体"/>
                <w:sz w:val="24"/>
                <w:szCs w:val="24"/>
                <w:shd w:val="clear" w:color="auto" w:fill="FFFFFF"/>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jc w:val="center"/>
        </w:trPr>
        <w:tc>
          <w:tcPr>
            <w:tcW w:w="1103" w:type="dxa"/>
            <w:vMerge w:val="continue"/>
            <w:tcBorders>
              <w:left w:val="single" w:color="auto" w:sz="4" w:space="0"/>
              <w:right w:val="single" w:color="auto" w:sz="4" w:space="0"/>
            </w:tcBorders>
            <w:vAlign w:val="center"/>
          </w:tcPr>
          <w:p>
            <w:pPr>
              <w:shd w:val="solid" w:color="FFFFFF" w:fill="auto"/>
              <w:autoSpaceDN w:val="0"/>
              <w:adjustRightInd w:val="0"/>
              <w:snapToGrid w:val="0"/>
              <w:jc w:val="center"/>
              <w:rPr>
                <w:rFonts w:ascii="宋体" w:hAnsi="宋体"/>
                <w:sz w:val="24"/>
                <w:szCs w:val="24"/>
                <w:shd w:val="clear" w:color="auto" w:fill="FFFFFF"/>
              </w:rPr>
            </w:pPr>
          </w:p>
        </w:tc>
        <w:tc>
          <w:tcPr>
            <w:tcW w:w="1559" w:type="dxa"/>
            <w:vMerge w:val="restart"/>
            <w:tcBorders>
              <w:top w:val="single" w:color="auto" w:sz="4" w:space="0"/>
              <w:left w:val="single" w:color="auto" w:sz="4" w:space="0"/>
              <w:right w:val="single" w:color="auto" w:sz="4" w:space="0"/>
            </w:tcBorders>
            <w:vAlign w:val="center"/>
          </w:tcPr>
          <w:p>
            <w:pPr>
              <w:shd w:val="solid" w:color="FFFFFF" w:fill="auto"/>
              <w:autoSpaceDN w:val="0"/>
              <w:adjustRightInd w:val="0"/>
              <w:snapToGrid w:val="0"/>
              <w:jc w:val="center"/>
              <w:rPr>
                <w:rFonts w:ascii="宋体" w:hAnsi="宋体"/>
                <w:sz w:val="24"/>
                <w:szCs w:val="24"/>
                <w:shd w:val="clear" w:color="auto" w:fill="FFFFFF"/>
              </w:rPr>
            </w:pPr>
            <w:r>
              <w:rPr>
                <w:rFonts w:ascii="宋体" w:hAnsi="宋体"/>
                <w:sz w:val="24"/>
                <w:szCs w:val="24"/>
                <w:shd w:val="clear" w:color="auto" w:fill="FFFFFF"/>
              </w:rPr>
              <w:t>12:30-13:30</w:t>
            </w:r>
          </w:p>
        </w:tc>
        <w:tc>
          <w:tcPr>
            <w:tcW w:w="2442" w:type="dxa"/>
            <w:tcBorders>
              <w:top w:val="single" w:color="auto" w:sz="4" w:space="0"/>
              <w:left w:val="single" w:color="auto" w:sz="4" w:space="0"/>
              <w:bottom w:val="single" w:color="auto" w:sz="4" w:space="0"/>
              <w:right w:val="single" w:color="auto" w:sz="4" w:space="0"/>
            </w:tcBorders>
            <w:vAlign w:val="center"/>
          </w:tcPr>
          <w:p>
            <w:pPr>
              <w:shd w:val="solid" w:color="FFFFFF" w:fill="auto"/>
              <w:autoSpaceDN w:val="0"/>
              <w:adjustRightInd w:val="0"/>
              <w:snapToGrid w:val="0"/>
              <w:jc w:val="center"/>
              <w:rPr>
                <w:rFonts w:ascii="宋体" w:hAnsi="宋体"/>
                <w:b/>
                <w:sz w:val="24"/>
                <w:szCs w:val="24"/>
                <w:shd w:val="clear" w:color="auto" w:fill="FFFFFF"/>
              </w:rPr>
            </w:pPr>
            <w:r>
              <w:rPr>
                <w:rFonts w:hint="eastAsia" w:ascii="宋体" w:hAnsi="宋体"/>
                <w:b/>
                <w:sz w:val="24"/>
                <w:szCs w:val="24"/>
                <w:shd w:val="clear" w:color="auto" w:fill="FFFFFF"/>
              </w:rPr>
              <w:t>外贸英语沟通能力模块B组选手检录进场</w:t>
            </w:r>
          </w:p>
          <w:p>
            <w:pPr>
              <w:shd w:val="solid" w:color="FFFFFF" w:fill="auto"/>
              <w:autoSpaceDN w:val="0"/>
              <w:adjustRightInd w:val="0"/>
              <w:snapToGrid w:val="0"/>
              <w:jc w:val="center"/>
              <w:rPr>
                <w:rFonts w:ascii="宋体" w:hAnsi="宋体"/>
                <w:sz w:val="24"/>
                <w:szCs w:val="24"/>
                <w:shd w:val="clear" w:color="auto" w:fill="FFFFFF"/>
              </w:rPr>
            </w:pPr>
            <w:r>
              <w:rPr>
                <w:rFonts w:hint="eastAsia" w:ascii="宋体" w:hAnsi="宋体"/>
                <w:sz w:val="24"/>
                <w:szCs w:val="24"/>
                <w:shd w:val="clear" w:color="auto" w:fill="FFFFFF"/>
              </w:rPr>
              <w:t>第一次加密抽签（抽序号）</w:t>
            </w:r>
          </w:p>
        </w:tc>
        <w:tc>
          <w:tcPr>
            <w:tcW w:w="1750" w:type="dxa"/>
            <w:vMerge w:val="restart"/>
            <w:tcBorders>
              <w:top w:val="single" w:color="auto" w:sz="4" w:space="0"/>
              <w:left w:val="single" w:color="auto" w:sz="4" w:space="0"/>
              <w:right w:val="single" w:color="auto" w:sz="4" w:space="0"/>
            </w:tcBorders>
            <w:vAlign w:val="center"/>
          </w:tcPr>
          <w:p>
            <w:pPr>
              <w:shd w:val="solid" w:color="FFFFFF" w:fill="auto"/>
              <w:autoSpaceDN w:val="0"/>
              <w:adjustRightInd w:val="0"/>
              <w:snapToGrid w:val="0"/>
              <w:jc w:val="center"/>
              <w:rPr>
                <w:rFonts w:ascii="宋体" w:hAnsi="宋体"/>
                <w:sz w:val="24"/>
                <w:szCs w:val="24"/>
                <w:shd w:val="clear" w:color="auto" w:fill="FFFFFF"/>
              </w:rPr>
            </w:pPr>
            <w:r>
              <w:rPr>
                <w:rFonts w:hint="eastAsia" w:ascii="宋体" w:hAnsi="宋体"/>
                <w:sz w:val="24"/>
                <w:szCs w:val="24"/>
                <w:shd w:val="clear" w:color="auto" w:fill="FFFFFF"/>
              </w:rPr>
              <w:t>参赛选手、抽签加密裁判</w:t>
            </w:r>
          </w:p>
        </w:tc>
        <w:tc>
          <w:tcPr>
            <w:tcW w:w="1276" w:type="dxa"/>
            <w:vMerge w:val="restart"/>
            <w:tcBorders>
              <w:top w:val="single" w:color="auto" w:sz="4" w:space="0"/>
              <w:left w:val="single" w:color="auto" w:sz="4" w:space="0"/>
              <w:right w:val="single" w:color="auto" w:sz="4" w:space="0"/>
            </w:tcBorders>
            <w:vAlign w:val="center"/>
          </w:tcPr>
          <w:p>
            <w:pPr>
              <w:shd w:val="solid" w:color="FFFFFF" w:fill="auto"/>
              <w:autoSpaceDN w:val="0"/>
              <w:adjustRightInd w:val="0"/>
              <w:snapToGrid w:val="0"/>
              <w:jc w:val="center"/>
              <w:rPr>
                <w:rFonts w:ascii="宋体" w:hAnsi="宋体"/>
                <w:sz w:val="24"/>
                <w:szCs w:val="24"/>
                <w:shd w:val="clear" w:color="auto" w:fill="FFFFFF"/>
              </w:rPr>
            </w:pPr>
            <w:r>
              <w:rPr>
                <w:rFonts w:hint="eastAsia" w:ascii="宋体" w:hAnsi="宋体"/>
                <w:sz w:val="24"/>
                <w:szCs w:val="24"/>
                <w:shd w:val="clear" w:color="auto" w:fill="FFFFFF"/>
              </w:rPr>
              <w:t>赛场</w:t>
            </w:r>
          </w:p>
          <w:p>
            <w:pPr>
              <w:shd w:val="solid" w:color="FFFFFF" w:fill="auto"/>
              <w:autoSpaceDN w:val="0"/>
              <w:adjustRightInd w:val="0"/>
              <w:snapToGrid w:val="0"/>
              <w:jc w:val="center"/>
              <w:rPr>
                <w:rFonts w:ascii="宋体" w:hAnsi="宋体"/>
                <w:sz w:val="24"/>
                <w:szCs w:val="24"/>
                <w:shd w:val="clear" w:color="auto" w:fill="FFFFFF"/>
              </w:rPr>
            </w:pPr>
            <w:r>
              <w:rPr>
                <w:rFonts w:hint="eastAsia" w:ascii="宋体" w:hAnsi="宋体"/>
                <w:sz w:val="24"/>
                <w:szCs w:val="24"/>
                <w:shd w:val="clear" w:color="auto" w:fill="FFFFFF"/>
              </w:rPr>
              <w:t>抽签区域</w:t>
            </w:r>
          </w:p>
        </w:tc>
        <w:tc>
          <w:tcPr>
            <w:tcW w:w="1431" w:type="dxa"/>
            <w:tcBorders>
              <w:top w:val="single" w:color="auto" w:sz="4" w:space="0"/>
              <w:left w:val="single" w:color="auto" w:sz="4" w:space="0"/>
              <w:bottom w:val="single" w:color="auto" w:sz="4" w:space="0"/>
              <w:right w:val="single" w:color="auto" w:sz="4" w:space="0"/>
            </w:tcBorders>
            <w:vAlign w:val="center"/>
          </w:tcPr>
          <w:p>
            <w:pPr>
              <w:shd w:val="solid" w:color="FFFFFF" w:fill="auto"/>
              <w:autoSpaceDN w:val="0"/>
              <w:adjustRightInd w:val="0"/>
              <w:snapToGrid w:val="0"/>
              <w:jc w:val="center"/>
              <w:rPr>
                <w:rFonts w:ascii="宋体" w:hAnsi="宋体"/>
                <w:sz w:val="24"/>
                <w:szCs w:val="24"/>
                <w:shd w:val="clear" w:color="auto" w:fill="FFFFFF"/>
              </w:rPr>
            </w:pPr>
            <w:r>
              <w:rPr>
                <w:rFonts w:hint="eastAsia" w:ascii="宋体" w:hAnsi="宋体"/>
                <w:sz w:val="24"/>
                <w:szCs w:val="24"/>
                <w:shd w:val="clear" w:color="auto" w:fill="FFFFFF"/>
              </w:rPr>
              <w:t>按照分组抽签顺序检录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70" w:hRule="atLeast"/>
          <w:tblHeader/>
          <w:jc w:val="center"/>
        </w:trPr>
        <w:tc>
          <w:tcPr>
            <w:tcW w:w="1103" w:type="dxa"/>
            <w:vMerge w:val="continue"/>
            <w:tcBorders>
              <w:left w:val="single" w:color="auto" w:sz="4" w:space="0"/>
              <w:right w:val="single" w:color="auto" w:sz="4" w:space="0"/>
            </w:tcBorders>
            <w:vAlign w:val="center"/>
          </w:tcPr>
          <w:p>
            <w:pPr>
              <w:shd w:val="solid" w:color="FFFFFF" w:fill="auto"/>
              <w:autoSpaceDN w:val="0"/>
              <w:adjustRightInd w:val="0"/>
              <w:snapToGrid w:val="0"/>
              <w:jc w:val="center"/>
              <w:rPr>
                <w:rFonts w:ascii="宋体" w:hAnsi="宋体"/>
                <w:sz w:val="24"/>
                <w:szCs w:val="24"/>
                <w:shd w:val="clear" w:color="auto" w:fill="FFFFFF"/>
              </w:rPr>
            </w:pPr>
          </w:p>
        </w:tc>
        <w:tc>
          <w:tcPr>
            <w:tcW w:w="1559" w:type="dxa"/>
            <w:vMerge w:val="continue"/>
            <w:tcBorders>
              <w:left w:val="single" w:color="auto" w:sz="4" w:space="0"/>
              <w:bottom w:val="single" w:color="auto" w:sz="4" w:space="0"/>
              <w:right w:val="single" w:color="auto" w:sz="4" w:space="0"/>
            </w:tcBorders>
            <w:vAlign w:val="center"/>
          </w:tcPr>
          <w:p>
            <w:pPr>
              <w:shd w:val="solid" w:color="FFFFFF" w:fill="auto"/>
              <w:autoSpaceDN w:val="0"/>
              <w:adjustRightInd w:val="0"/>
              <w:snapToGrid w:val="0"/>
              <w:jc w:val="center"/>
              <w:rPr>
                <w:rFonts w:ascii="宋体" w:hAnsi="宋体"/>
                <w:sz w:val="24"/>
                <w:szCs w:val="24"/>
                <w:shd w:val="clear" w:color="auto" w:fill="FFFFFF"/>
              </w:rPr>
            </w:pPr>
          </w:p>
        </w:tc>
        <w:tc>
          <w:tcPr>
            <w:tcW w:w="2442" w:type="dxa"/>
            <w:tcBorders>
              <w:top w:val="single" w:color="auto" w:sz="4" w:space="0"/>
              <w:left w:val="single" w:color="auto" w:sz="4" w:space="0"/>
              <w:bottom w:val="single" w:color="auto" w:sz="4" w:space="0"/>
              <w:right w:val="single" w:color="auto" w:sz="4" w:space="0"/>
            </w:tcBorders>
            <w:vAlign w:val="center"/>
          </w:tcPr>
          <w:p>
            <w:pPr>
              <w:shd w:val="solid" w:color="FFFFFF" w:fill="auto"/>
              <w:autoSpaceDN w:val="0"/>
              <w:adjustRightInd w:val="0"/>
              <w:snapToGrid w:val="0"/>
              <w:jc w:val="center"/>
              <w:rPr>
                <w:rFonts w:ascii="宋体" w:hAnsi="宋体"/>
                <w:sz w:val="24"/>
                <w:szCs w:val="24"/>
                <w:shd w:val="clear" w:color="auto" w:fill="FFFFFF"/>
              </w:rPr>
            </w:pPr>
            <w:r>
              <w:rPr>
                <w:rFonts w:hint="eastAsia" w:ascii="宋体" w:hAnsi="宋体"/>
                <w:sz w:val="24"/>
                <w:szCs w:val="24"/>
                <w:shd w:val="clear" w:color="auto" w:fill="FFFFFF"/>
              </w:rPr>
              <w:t>第二次加密抽签（抽出场顺序号）</w:t>
            </w:r>
          </w:p>
        </w:tc>
        <w:tc>
          <w:tcPr>
            <w:tcW w:w="1750" w:type="dxa"/>
            <w:vMerge w:val="continue"/>
            <w:tcBorders>
              <w:left w:val="single" w:color="auto" w:sz="4" w:space="0"/>
              <w:bottom w:val="single" w:color="auto" w:sz="4" w:space="0"/>
              <w:right w:val="single" w:color="auto" w:sz="4" w:space="0"/>
            </w:tcBorders>
            <w:vAlign w:val="center"/>
          </w:tcPr>
          <w:p>
            <w:pPr>
              <w:shd w:val="solid" w:color="FFFFFF" w:fill="auto"/>
              <w:autoSpaceDN w:val="0"/>
              <w:adjustRightInd w:val="0"/>
              <w:snapToGrid w:val="0"/>
              <w:jc w:val="center"/>
              <w:rPr>
                <w:rFonts w:ascii="宋体" w:hAnsi="宋体"/>
                <w:sz w:val="24"/>
                <w:szCs w:val="24"/>
                <w:shd w:val="clear" w:color="auto" w:fill="FFFFFF"/>
              </w:rPr>
            </w:pPr>
          </w:p>
        </w:tc>
        <w:tc>
          <w:tcPr>
            <w:tcW w:w="1276" w:type="dxa"/>
            <w:vMerge w:val="continue"/>
            <w:tcBorders>
              <w:left w:val="single" w:color="auto" w:sz="4" w:space="0"/>
              <w:bottom w:val="single" w:color="auto" w:sz="4" w:space="0"/>
              <w:right w:val="single" w:color="auto" w:sz="4" w:space="0"/>
            </w:tcBorders>
            <w:vAlign w:val="center"/>
          </w:tcPr>
          <w:p>
            <w:pPr>
              <w:shd w:val="solid" w:color="FFFFFF" w:fill="auto"/>
              <w:autoSpaceDN w:val="0"/>
              <w:adjustRightInd w:val="0"/>
              <w:snapToGrid w:val="0"/>
              <w:jc w:val="center"/>
              <w:rPr>
                <w:rFonts w:ascii="宋体" w:hAnsi="宋体"/>
                <w:sz w:val="24"/>
                <w:szCs w:val="24"/>
                <w:shd w:val="clear" w:color="auto" w:fill="FFFFFF"/>
              </w:rPr>
            </w:pPr>
          </w:p>
        </w:tc>
        <w:tc>
          <w:tcPr>
            <w:tcW w:w="1431" w:type="dxa"/>
            <w:tcBorders>
              <w:top w:val="single" w:color="auto" w:sz="4" w:space="0"/>
              <w:left w:val="single" w:color="auto" w:sz="4" w:space="0"/>
              <w:bottom w:val="single" w:color="auto" w:sz="4" w:space="0"/>
              <w:right w:val="single" w:color="auto" w:sz="4" w:space="0"/>
            </w:tcBorders>
            <w:vAlign w:val="center"/>
          </w:tcPr>
          <w:p>
            <w:pPr>
              <w:shd w:val="solid" w:color="FFFFFF" w:fill="auto"/>
              <w:autoSpaceDN w:val="0"/>
              <w:adjustRightInd w:val="0"/>
              <w:snapToGrid w:val="0"/>
              <w:jc w:val="center"/>
              <w:rPr>
                <w:rFonts w:ascii="宋体" w:hAnsi="宋体"/>
                <w:sz w:val="24"/>
                <w:szCs w:val="24"/>
                <w:shd w:val="clear" w:color="auto" w:fill="FFFFFF"/>
              </w:rPr>
            </w:pPr>
            <w:r>
              <w:rPr>
                <w:rFonts w:hint="eastAsia" w:ascii="宋体" w:hAnsi="宋体"/>
                <w:sz w:val="24"/>
                <w:szCs w:val="24"/>
                <w:shd w:val="clear" w:color="auto" w:fill="FFFFFF"/>
              </w:rPr>
              <w:t>选手进入候赛室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jc w:val="center"/>
        </w:trPr>
        <w:tc>
          <w:tcPr>
            <w:tcW w:w="1103" w:type="dxa"/>
            <w:vMerge w:val="continue"/>
            <w:tcBorders>
              <w:left w:val="single" w:color="auto" w:sz="4" w:space="0"/>
              <w:right w:val="single" w:color="auto" w:sz="4" w:space="0"/>
            </w:tcBorders>
            <w:vAlign w:val="center"/>
          </w:tcPr>
          <w:p>
            <w:pPr>
              <w:shd w:val="solid" w:color="FFFFFF" w:fill="auto"/>
              <w:autoSpaceDN w:val="0"/>
              <w:adjustRightInd w:val="0"/>
              <w:snapToGrid w:val="0"/>
              <w:jc w:val="center"/>
              <w:rPr>
                <w:rFonts w:ascii="宋体" w:hAnsi="宋体"/>
                <w:sz w:val="24"/>
                <w:szCs w:val="24"/>
                <w:shd w:val="clear" w:color="auto" w:fill="FFFFFF"/>
              </w:rPr>
            </w:pPr>
          </w:p>
        </w:tc>
        <w:tc>
          <w:tcPr>
            <w:tcW w:w="1559" w:type="dxa"/>
            <w:tcBorders>
              <w:top w:val="single" w:color="auto" w:sz="4" w:space="0"/>
              <w:left w:val="single" w:color="auto" w:sz="4" w:space="0"/>
              <w:bottom w:val="single" w:color="auto" w:sz="4" w:space="0"/>
              <w:right w:val="single" w:color="auto" w:sz="4" w:space="0"/>
            </w:tcBorders>
            <w:vAlign w:val="center"/>
          </w:tcPr>
          <w:p>
            <w:pPr>
              <w:shd w:val="solid" w:color="FFFFFF" w:fill="auto"/>
              <w:autoSpaceDN w:val="0"/>
              <w:adjustRightInd w:val="0"/>
              <w:snapToGrid w:val="0"/>
              <w:jc w:val="center"/>
              <w:rPr>
                <w:rFonts w:ascii="宋体" w:hAnsi="宋体"/>
                <w:sz w:val="24"/>
                <w:szCs w:val="24"/>
                <w:shd w:val="clear" w:color="auto" w:fill="FFFFFF"/>
              </w:rPr>
            </w:pPr>
            <w:r>
              <w:rPr>
                <w:rFonts w:ascii="宋体" w:hAnsi="宋体"/>
                <w:sz w:val="24"/>
                <w:szCs w:val="24"/>
                <w:shd w:val="clear" w:color="auto" w:fill="FFFFFF"/>
              </w:rPr>
              <w:t>11:00-13:00</w:t>
            </w:r>
          </w:p>
        </w:tc>
        <w:tc>
          <w:tcPr>
            <w:tcW w:w="2442" w:type="dxa"/>
            <w:tcBorders>
              <w:top w:val="single" w:color="auto" w:sz="4" w:space="0"/>
              <w:left w:val="single" w:color="auto" w:sz="4" w:space="0"/>
              <w:bottom w:val="single" w:color="auto" w:sz="4" w:space="0"/>
              <w:right w:val="single" w:color="auto" w:sz="4" w:space="0"/>
            </w:tcBorders>
            <w:vAlign w:val="center"/>
          </w:tcPr>
          <w:p>
            <w:pPr>
              <w:shd w:val="solid" w:color="FFFFFF" w:fill="auto"/>
              <w:autoSpaceDN w:val="0"/>
              <w:adjustRightInd w:val="0"/>
              <w:snapToGrid w:val="0"/>
              <w:jc w:val="center"/>
              <w:rPr>
                <w:rFonts w:ascii="宋体" w:hAnsi="宋体"/>
                <w:sz w:val="24"/>
                <w:szCs w:val="24"/>
                <w:shd w:val="clear" w:color="auto" w:fill="FFFFFF"/>
              </w:rPr>
            </w:pPr>
            <w:r>
              <w:rPr>
                <w:rFonts w:hint="eastAsia" w:ascii="宋体" w:hAnsi="宋体"/>
                <w:sz w:val="24"/>
                <w:szCs w:val="24"/>
                <w:shd w:val="clear" w:color="auto" w:fill="FFFFFF"/>
              </w:rPr>
              <w:t>午餐</w:t>
            </w:r>
          </w:p>
        </w:tc>
        <w:tc>
          <w:tcPr>
            <w:tcW w:w="1750" w:type="dxa"/>
            <w:tcBorders>
              <w:top w:val="single" w:color="auto" w:sz="4" w:space="0"/>
              <w:left w:val="single" w:color="auto" w:sz="4" w:space="0"/>
              <w:bottom w:val="single" w:color="auto" w:sz="4" w:space="0"/>
              <w:right w:val="single" w:color="auto" w:sz="4" w:space="0"/>
            </w:tcBorders>
            <w:vAlign w:val="center"/>
          </w:tcPr>
          <w:p>
            <w:pPr>
              <w:shd w:val="solid" w:color="FFFFFF" w:fill="auto"/>
              <w:autoSpaceDN w:val="0"/>
              <w:adjustRightInd w:val="0"/>
              <w:snapToGrid w:val="0"/>
              <w:jc w:val="center"/>
              <w:rPr>
                <w:rFonts w:ascii="宋体" w:hAnsi="宋体"/>
                <w:sz w:val="24"/>
                <w:szCs w:val="24"/>
                <w:shd w:val="clear" w:color="auto" w:fill="FFFFFF"/>
              </w:rPr>
            </w:pPr>
            <w:r>
              <w:rPr>
                <w:rFonts w:hint="eastAsia" w:ascii="宋体" w:hAnsi="宋体"/>
                <w:sz w:val="24"/>
                <w:szCs w:val="24"/>
                <w:shd w:val="clear" w:color="auto" w:fill="FFFFFF"/>
              </w:rPr>
              <w:t>参赛选手、裁判、工作人员</w:t>
            </w:r>
          </w:p>
        </w:tc>
        <w:tc>
          <w:tcPr>
            <w:tcW w:w="1276" w:type="dxa"/>
            <w:tcBorders>
              <w:top w:val="single" w:color="auto" w:sz="4" w:space="0"/>
              <w:left w:val="single" w:color="auto" w:sz="4" w:space="0"/>
              <w:bottom w:val="single" w:color="auto" w:sz="4" w:space="0"/>
              <w:right w:val="single" w:color="auto" w:sz="4" w:space="0"/>
            </w:tcBorders>
            <w:vAlign w:val="center"/>
          </w:tcPr>
          <w:p>
            <w:pPr>
              <w:shd w:val="solid" w:color="FFFFFF" w:fill="auto"/>
              <w:autoSpaceDN w:val="0"/>
              <w:adjustRightInd w:val="0"/>
              <w:snapToGrid w:val="0"/>
              <w:jc w:val="center"/>
              <w:rPr>
                <w:rFonts w:ascii="宋体" w:hAnsi="宋体"/>
                <w:sz w:val="24"/>
                <w:szCs w:val="24"/>
                <w:shd w:val="clear" w:color="auto" w:fill="FFFFFF"/>
              </w:rPr>
            </w:pPr>
          </w:p>
        </w:tc>
        <w:tc>
          <w:tcPr>
            <w:tcW w:w="1431" w:type="dxa"/>
            <w:tcBorders>
              <w:top w:val="single" w:color="auto" w:sz="4" w:space="0"/>
              <w:left w:val="single" w:color="auto" w:sz="4" w:space="0"/>
              <w:bottom w:val="single" w:color="auto" w:sz="4" w:space="0"/>
              <w:right w:val="single" w:color="auto" w:sz="4" w:space="0"/>
            </w:tcBorders>
            <w:vAlign w:val="center"/>
          </w:tcPr>
          <w:p>
            <w:pPr>
              <w:shd w:val="solid" w:color="FFFFFF" w:fill="auto"/>
              <w:autoSpaceDN w:val="0"/>
              <w:adjustRightInd w:val="0"/>
              <w:snapToGrid w:val="0"/>
              <w:jc w:val="center"/>
              <w:rPr>
                <w:rFonts w:ascii="宋体" w:hAnsi="宋体"/>
                <w:sz w:val="24"/>
                <w:szCs w:val="24"/>
                <w:shd w:val="clear" w:color="auto" w:fill="FFFFFF"/>
              </w:rPr>
            </w:pPr>
            <w:r>
              <w:rPr>
                <w:rFonts w:hint="eastAsia" w:ascii="宋体" w:hAnsi="宋体"/>
                <w:sz w:val="24"/>
                <w:szCs w:val="24"/>
                <w:shd w:val="clear" w:color="auto" w:fill="FFFFFF"/>
              </w:rPr>
              <w:t>外贸英语沟通能力模块A</w:t>
            </w:r>
            <w:r>
              <w:rPr>
                <w:rFonts w:hint="eastAsia" w:asciiTheme="minorEastAsia" w:hAnsiTheme="minorEastAsia" w:eastAsiaTheme="minorEastAsia"/>
                <w:sz w:val="24"/>
                <w:szCs w:val="24"/>
                <w:shd w:val="clear" w:color="auto" w:fill="FFFFFF"/>
              </w:rPr>
              <w:t>、B</w:t>
            </w:r>
            <w:r>
              <w:rPr>
                <w:rFonts w:hint="eastAsia" w:ascii="宋体" w:hAnsi="宋体"/>
                <w:sz w:val="24"/>
                <w:szCs w:val="24"/>
                <w:shd w:val="clear" w:color="auto" w:fill="FFFFFF"/>
              </w:rPr>
              <w:t>组选手隔离用餐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77" w:hRule="atLeast"/>
          <w:tblHeader/>
          <w:jc w:val="center"/>
        </w:trPr>
        <w:tc>
          <w:tcPr>
            <w:tcW w:w="1103" w:type="dxa"/>
            <w:vMerge w:val="continue"/>
            <w:tcBorders>
              <w:left w:val="single" w:color="auto" w:sz="4" w:space="0"/>
              <w:right w:val="single" w:color="auto" w:sz="4" w:space="0"/>
            </w:tcBorders>
            <w:vAlign w:val="center"/>
          </w:tcPr>
          <w:p>
            <w:pPr>
              <w:shd w:val="solid" w:color="FFFFFF" w:fill="auto"/>
              <w:autoSpaceDN w:val="0"/>
              <w:adjustRightInd w:val="0"/>
              <w:snapToGrid w:val="0"/>
              <w:jc w:val="center"/>
              <w:rPr>
                <w:rFonts w:ascii="宋体" w:hAnsi="宋体"/>
                <w:sz w:val="24"/>
                <w:szCs w:val="24"/>
                <w:shd w:val="clear" w:color="auto" w:fill="FFFFFF"/>
              </w:rPr>
            </w:pPr>
          </w:p>
        </w:tc>
        <w:tc>
          <w:tcPr>
            <w:tcW w:w="1559" w:type="dxa"/>
            <w:tcBorders>
              <w:top w:val="single" w:color="auto" w:sz="4" w:space="0"/>
              <w:left w:val="single" w:color="auto" w:sz="4" w:space="0"/>
              <w:bottom w:val="single" w:color="auto" w:sz="4" w:space="0"/>
              <w:right w:val="single" w:color="auto" w:sz="4" w:space="0"/>
            </w:tcBorders>
            <w:vAlign w:val="center"/>
          </w:tcPr>
          <w:p>
            <w:pPr>
              <w:shd w:val="solid" w:color="FFFFFF" w:fill="auto"/>
              <w:autoSpaceDN w:val="0"/>
              <w:adjustRightInd w:val="0"/>
              <w:snapToGrid w:val="0"/>
              <w:jc w:val="center"/>
              <w:rPr>
                <w:rFonts w:ascii="宋体" w:hAnsi="宋体"/>
                <w:sz w:val="24"/>
                <w:szCs w:val="24"/>
                <w:shd w:val="clear" w:color="auto" w:fill="FFFFFF"/>
              </w:rPr>
            </w:pPr>
            <w:r>
              <w:rPr>
                <w:rFonts w:hint="eastAsia" w:ascii="宋体" w:hAnsi="宋体"/>
                <w:sz w:val="24"/>
                <w:szCs w:val="24"/>
                <w:shd w:val="clear" w:color="auto" w:fill="FFFFFF"/>
              </w:rPr>
              <w:t>13:30-17:30</w:t>
            </w:r>
          </w:p>
        </w:tc>
        <w:tc>
          <w:tcPr>
            <w:tcW w:w="2442" w:type="dxa"/>
            <w:tcBorders>
              <w:top w:val="single" w:color="auto" w:sz="4" w:space="0"/>
              <w:left w:val="single" w:color="auto" w:sz="4" w:space="0"/>
              <w:bottom w:val="single" w:color="auto" w:sz="4" w:space="0"/>
              <w:right w:val="single" w:color="auto" w:sz="4" w:space="0"/>
            </w:tcBorders>
            <w:vAlign w:val="center"/>
          </w:tcPr>
          <w:p>
            <w:pPr>
              <w:shd w:val="solid" w:color="FFFFFF" w:fill="auto"/>
              <w:autoSpaceDN w:val="0"/>
              <w:adjustRightInd w:val="0"/>
              <w:snapToGrid w:val="0"/>
              <w:jc w:val="center"/>
              <w:rPr>
                <w:rFonts w:ascii="宋体" w:hAnsi="宋体"/>
                <w:sz w:val="24"/>
                <w:szCs w:val="24"/>
                <w:shd w:val="clear" w:color="auto" w:fill="FFFFFF"/>
              </w:rPr>
            </w:pPr>
            <w:r>
              <w:rPr>
                <w:rFonts w:hint="eastAsia" w:ascii="宋体" w:hAnsi="宋体"/>
                <w:sz w:val="24"/>
                <w:szCs w:val="24"/>
                <w:shd w:val="clear" w:color="auto" w:fill="FFFFFF"/>
              </w:rPr>
              <w:t>外贸英语沟通能力模块</w:t>
            </w:r>
          </w:p>
        </w:tc>
        <w:tc>
          <w:tcPr>
            <w:tcW w:w="1750" w:type="dxa"/>
            <w:tcBorders>
              <w:top w:val="single" w:color="auto" w:sz="4" w:space="0"/>
              <w:left w:val="single" w:color="auto" w:sz="4" w:space="0"/>
              <w:bottom w:val="single" w:color="auto" w:sz="4" w:space="0"/>
              <w:right w:val="single" w:color="auto" w:sz="4" w:space="0"/>
            </w:tcBorders>
            <w:vAlign w:val="center"/>
          </w:tcPr>
          <w:p>
            <w:pPr>
              <w:shd w:val="solid" w:color="FFFFFF" w:fill="auto"/>
              <w:autoSpaceDN w:val="0"/>
              <w:adjustRightInd w:val="0"/>
              <w:snapToGrid w:val="0"/>
              <w:jc w:val="center"/>
              <w:rPr>
                <w:rFonts w:ascii="宋体" w:hAnsi="宋体"/>
                <w:sz w:val="24"/>
                <w:szCs w:val="24"/>
                <w:shd w:val="clear" w:color="auto" w:fill="FFFFFF"/>
              </w:rPr>
            </w:pPr>
            <w:r>
              <w:rPr>
                <w:rFonts w:hint="eastAsia" w:ascii="宋体" w:hAnsi="宋体"/>
                <w:sz w:val="24"/>
                <w:szCs w:val="24"/>
                <w:shd w:val="clear" w:color="auto" w:fill="FFFFFF"/>
              </w:rPr>
              <w:t>参赛选手、裁判</w:t>
            </w:r>
          </w:p>
        </w:tc>
        <w:tc>
          <w:tcPr>
            <w:tcW w:w="1276" w:type="dxa"/>
            <w:tcBorders>
              <w:top w:val="single" w:color="auto" w:sz="4" w:space="0"/>
              <w:left w:val="single" w:color="auto" w:sz="4" w:space="0"/>
              <w:bottom w:val="single" w:color="auto" w:sz="4" w:space="0"/>
              <w:right w:val="single" w:color="auto" w:sz="4" w:space="0"/>
            </w:tcBorders>
            <w:vAlign w:val="center"/>
          </w:tcPr>
          <w:p>
            <w:pPr>
              <w:shd w:val="solid" w:color="FFFFFF" w:fill="auto"/>
              <w:autoSpaceDN w:val="0"/>
              <w:adjustRightInd w:val="0"/>
              <w:snapToGrid w:val="0"/>
              <w:jc w:val="center"/>
              <w:rPr>
                <w:rFonts w:ascii="宋体" w:hAnsi="宋体"/>
                <w:sz w:val="24"/>
                <w:szCs w:val="24"/>
                <w:shd w:val="clear" w:color="auto" w:fill="FFFFFF"/>
              </w:rPr>
            </w:pPr>
            <w:r>
              <w:rPr>
                <w:rFonts w:hint="eastAsia" w:ascii="宋体" w:hAnsi="宋体"/>
                <w:sz w:val="24"/>
                <w:szCs w:val="24"/>
                <w:shd w:val="clear" w:color="auto" w:fill="FFFFFF"/>
              </w:rPr>
              <w:t>赛场</w:t>
            </w:r>
          </w:p>
        </w:tc>
        <w:tc>
          <w:tcPr>
            <w:tcW w:w="1431" w:type="dxa"/>
            <w:tcBorders>
              <w:top w:val="single" w:color="auto" w:sz="4" w:space="0"/>
              <w:left w:val="single" w:color="auto" w:sz="4" w:space="0"/>
              <w:bottom w:val="single" w:color="auto" w:sz="4" w:space="0"/>
              <w:right w:val="single" w:color="auto" w:sz="4" w:space="0"/>
            </w:tcBorders>
            <w:vAlign w:val="center"/>
          </w:tcPr>
          <w:p>
            <w:pPr>
              <w:shd w:val="solid" w:color="FFFFFF" w:fill="auto"/>
              <w:autoSpaceDN w:val="0"/>
              <w:adjustRightInd w:val="0"/>
              <w:snapToGrid w:val="0"/>
              <w:jc w:val="center"/>
              <w:rPr>
                <w:rFonts w:ascii="宋体" w:hAnsi="宋体"/>
                <w:sz w:val="24"/>
                <w:szCs w:val="24"/>
                <w:shd w:val="clear" w:color="auto" w:fill="FFFFFF"/>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3" w:hRule="atLeast"/>
          <w:tblHeader/>
          <w:jc w:val="center"/>
        </w:trPr>
        <w:tc>
          <w:tcPr>
            <w:tcW w:w="1103" w:type="dxa"/>
            <w:vMerge w:val="continue"/>
            <w:tcBorders>
              <w:left w:val="single" w:color="auto" w:sz="4" w:space="0"/>
              <w:bottom w:val="single" w:color="auto" w:sz="4" w:space="0"/>
              <w:right w:val="single" w:color="auto" w:sz="4" w:space="0"/>
            </w:tcBorders>
            <w:vAlign w:val="center"/>
          </w:tcPr>
          <w:p>
            <w:pPr>
              <w:shd w:val="solid" w:color="FFFFFF" w:fill="auto"/>
              <w:autoSpaceDN w:val="0"/>
              <w:adjustRightInd w:val="0"/>
              <w:snapToGrid w:val="0"/>
              <w:jc w:val="center"/>
              <w:rPr>
                <w:rFonts w:ascii="宋体" w:hAnsi="宋体"/>
                <w:sz w:val="24"/>
                <w:szCs w:val="24"/>
                <w:shd w:val="clear" w:color="auto" w:fill="FFFFFF"/>
              </w:rPr>
            </w:pPr>
          </w:p>
        </w:tc>
        <w:tc>
          <w:tcPr>
            <w:tcW w:w="1559" w:type="dxa"/>
            <w:tcBorders>
              <w:top w:val="single" w:color="auto" w:sz="4" w:space="0"/>
              <w:left w:val="single" w:color="auto" w:sz="4" w:space="0"/>
              <w:bottom w:val="single" w:color="auto" w:sz="4" w:space="0"/>
              <w:right w:val="single" w:color="auto" w:sz="4" w:space="0"/>
            </w:tcBorders>
            <w:vAlign w:val="center"/>
          </w:tcPr>
          <w:p>
            <w:pPr>
              <w:shd w:val="solid" w:color="FFFFFF" w:fill="auto"/>
              <w:autoSpaceDN w:val="0"/>
              <w:adjustRightInd w:val="0"/>
              <w:snapToGrid w:val="0"/>
              <w:jc w:val="center"/>
              <w:rPr>
                <w:rFonts w:ascii="宋体" w:hAnsi="宋体"/>
                <w:sz w:val="24"/>
                <w:szCs w:val="24"/>
                <w:shd w:val="clear" w:color="auto" w:fill="FFFFFF"/>
              </w:rPr>
            </w:pPr>
            <w:r>
              <w:rPr>
                <w:rFonts w:hint="eastAsia" w:ascii="宋体" w:hAnsi="宋体"/>
                <w:sz w:val="24"/>
                <w:szCs w:val="24"/>
                <w:shd w:val="clear" w:color="auto" w:fill="FFFFFF"/>
              </w:rPr>
              <w:t>17:30</w:t>
            </w:r>
          </w:p>
        </w:tc>
        <w:tc>
          <w:tcPr>
            <w:tcW w:w="2442" w:type="dxa"/>
            <w:tcBorders>
              <w:top w:val="single" w:color="auto" w:sz="4" w:space="0"/>
              <w:left w:val="single" w:color="auto" w:sz="4" w:space="0"/>
              <w:bottom w:val="single" w:color="auto" w:sz="4" w:space="0"/>
              <w:right w:val="single" w:color="auto" w:sz="4" w:space="0"/>
            </w:tcBorders>
            <w:vAlign w:val="center"/>
          </w:tcPr>
          <w:p>
            <w:pPr>
              <w:shd w:val="solid" w:color="FFFFFF" w:fill="auto"/>
              <w:autoSpaceDN w:val="0"/>
              <w:adjustRightInd w:val="0"/>
              <w:snapToGrid w:val="0"/>
              <w:jc w:val="center"/>
              <w:rPr>
                <w:rFonts w:ascii="宋体" w:hAnsi="宋体"/>
                <w:sz w:val="24"/>
                <w:szCs w:val="24"/>
                <w:shd w:val="clear" w:color="auto" w:fill="FFFFFF"/>
              </w:rPr>
            </w:pPr>
            <w:r>
              <w:rPr>
                <w:rFonts w:hint="eastAsia" w:ascii="宋体" w:hAnsi="宋体"/>
                <w:sz w:val="24"/>
                <w:szCs w:val="24"/>
                <w:shd w:val="clear" w:color="auto" w:fill="FFFFFF"/>
              </w:rPr>
              <w:t>返回住宿宾馆</w:t>
            </w:r>
          </w:p>
        </w:tc>
        <w:tc>
          <w:tcPr>
            <w:tcW w:w="1750" w:type="dxa"/>
            <w:tcBorders>
              <w:top w:val="single" w:color="auto" w:sz="4" w:space="0"/>
              <w:left w:val="single" w:color="auto" w:sz="4" w:space="0"/>
              <w:bottom w:val="single" w:color="auto" w:sz="4" w:space="0"/>
              <w:right w:val="single" w:color="auto" w:sz="4" w:space="0"/>
            </w:tcBorders>
            <w:vAlign w:val="center"/>
          </w:tcPr>
          <w:p>
            <w:pPr>
              <w:shd w:val="solid" w:color="FFFFFF" w:fill="auto"/>
              <w:autoSpaceDN w:val="0"/>
              <w:adjustRightInd w:val="0"/>
              <w:snapToGrid w:val="0"/>
              <w:jc w:val="center"/>
              <w:rPr>
                <w:rFonts w:ascii="宋体" w:hAnsi="宋体"/>
                <w:sz w:val="24"/>
                <w:szCs w:val="24"/>
                <w:shd w:val="clear" w:color="auto" w:fill="FFFFFF"/>
              </w:rPr>
            </w:pPr>
            <w:r>
              <w:rPr>
                <w:rFonts w:hint="eastAsia" w:ascii="宋体" w:hAnsi="宋体"/>
                <w:sz w:val="24"/>
                <w:szCs w:val="24"/>
                <w:shd w:val="clear" w:color="auto" w:fill="FFFFFF"/>
              </w:rPr>
              <w:t>参赛选手、领队</w:t>
            </w:r>
          </w:p>
        </w:tc>
        <w:tc>
          <w:tcPr>
            <w:tcW w:w="1276" w:type="dxa"/>
            <w:tcBorders>
              <w:top w:val="single" w:color="auto" w:sz="4" w:space="0"/>
              <w:left w:val="single" w:color="auto" w:sz="4" w:space="0"/>
              <w:bottom w:val="single" w:color="auto" w:sz="4" w:space="0"/>
              <w:right w:val="single" w:color="auto" w:sz="4" w:space="0"/>
            </w:tcBorders>
            <w:vAlign w:val="center"/>
          </w:tcPr>
          <w:p>
            <w:pPr>
              <w:shd w:val="solid" w:color="FFFFFF" w:fill="auto"/>
              <w:autoSpaceDN w:val="0"/>
              <w:adjustRightInd w:val="0"/>
              <w:snapToGrid w:val="0"/>
              <w:jc w:val="center"/>
              <w:rPr>
                <w:rFonts w:ascii="宋体" w:hAnsi="宋体"/>
                <w:sz w:val="24"/>
                <w:szCs w:val="24"/>
                <w:shd w:val="clear" w:color="auto" w:fill="FFFFFF"/>
              </w:rPr>
            </w:pPr>
            <w:r>
              <w:rPr>
                <w:rFonts w:hint="eastAsia" w:ascii="宋体" w:hAnsi="宋体"/>
                <w:sz w:val="24"/>
                <w:szCs w:val="24"/>
                <w:shd w:val="clear" w:color="auto" w:fill="FFFFFF"/>
              </w:rPr>
              <w:t>赛场</w:t>
            </w:r>
          </w:p>
        </w:tc>
        <w:tc>
          <w:tcPr>
            <w:tcW w:w="1431" w:type="dxa"/>
            <w:tcBorders>
              <w:top w:val="single" w:color="auto" w:sz="4" w:space="0"/>
              <w:left w:val="single" w:color="auto" w:sz="4" w:space="0"/>
              <w:bottom w:val="single" w:color="auto" w:sz="4" w:space="0"/>
              <w:right w:val="single" w:color="auto" w:sz="4" w:space="0"/>
            </w:tcBorders>
            <w:vAlign w:val="center"/>
          </w:tcPr>
          <w:p>
            <w:pPr>
              <w:shd w:val="solid" w:color="FFFFFF" w:fill="auto"/>
              <w:autoSpaceDN w:val="0"/>
              <w:adjustRightInd w:val="0"/>
              <w:snapToGrid w:val="0"/>
              <w:jc w:val="center"/>
              <w:rPr>
                <w:rFonts w:ascii="宋体" w:hAnsi="宋体"/>
                <w:sz w:val="24"/>
                <w:szCs w:val="24"/>
                <w:shd w:val="clear" w:color="auto" w:fill="FFFFFF"/>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99" w:hRule="atLeast"/>
          <w:tblHeader/>
          <w:jc w:val="center"/>
        </w:trPr>
        <w:tc>
          <w:tcPr>
            <w:tcW w:w="1103" w:type="dxa"/>
            <w:vMerge w:val="restart"/>
            <w:tcBorders>
              <w:top w:val="single" w:color="auto" w:sz="4" w:space="0"/>
              <w:left w:val="single" w:color="auto" w:sz="4" w:space="0"/>
              <w:right w:val="single" w:color="auto" w:sz="4" w:space="0"/>
            </w:tcBorders>
            <w:vAlign w:val="center"/>
          </w:tcPr>
          <w:p>
            <w:pPr>
              <w:shd w:val="solid" w:color="FFFFFF" w:fill="auto"/>
              <w:autoSpaceDN w:val="0"/>
              <w:adjustRightInd w:val="0"/>
              <w:snapToGrid w:val="0"/>
              <w:jc w:val="center"/>
              <w:rPr>
                <w:rFonts w:ascii="宋体" w:hAnsi="宋体"/>
                <w:sz w:val="24"/>
                <w:szCs w:val="24"/>
                <w:shd w:val="clear" w:color="auto" w:fill="FFFFFF"/>
              </w:rPr>
            </w:pPr>
            <w:r>
              <w:rPr>
                <w:rFonts w:hint="eastAsia" w:asciiTheme="minorEastAsia" w:hAnsiTheme="minorEastAsia" w:eastAsiaTheme="minorEastAsia"/>
                <w:sz w:val="24"/>
                <w:szCs w:val="24"/>
                <w:shd w:val="clear" w:color="auto" w:fill="FFFFFF"/>
              </w:rPr>
              <w:t>竞赛</w:t>
            </w:r>
            <w:r>
              <w:rPr>
                <w:rFonts w:hint="eastAsia" w:ascii="宋体" w:hAnsi="宋体"/>
                <w:sz w:val="24"/>
                <w:szCs w:val="24"/>
                <w:shd w:val="clear" w:color="auto" w:fill="FFFFFF"/>
              </w:rPr>
              <w:t>日</w:t>
            </w:r>
            <w:r>
              <w:rPr>
                <w:rFonts w:hint="eastAsia" w:asciiTheme="minorEastAsia" w:hAnsiTheme="minorEastAsia" w:eastAsiaTheme="minorEastAsia"/>
                <w:sz w:val="24"/>
                <w:szCs w:val="24"/>
                <w:shd w:val="clear" w:color="auto" w:fill="FFFFFF"/>
              </w:rPr>
              <w:t>2</w:t>
            </w:r>
          </w:p>
        </w:tc>
        <w:tc>
          <w:tcPr>
            <w:tcW w:w="1559" w:type="dxa"/>
            <w:tcBorders>
              <w:top w:val="single" w:color="auto" w:sz="4" w:space="0"/>
              <w:left w:val="single" w:color="auto" w:sz="4" w:space="0"/>
              <w:bottom w:val="single" w:color="auto" w:sz="4" w:space="0"/>
              <w:right w:val="single" w:color="auto" w:sz="4" w:space="0"/>
            </w:tcBorders>
            <w:vAlign w:val="center"/>
          </w:tcPr>
          <w:p>
            <w:pPr>
              <w:shd w:val="solid" w:color="FFFFFF" w:fill="auto"/>
              <w:autoSpaceDN w:val="0"/>
              <w:adjustRightInd w:val="0"/>
              <w:snapToGrid w:val="0"/>
              <w:jc w:val="center"/>
              <w:rPr>
                <w:rFonts w:ascii="宋体" w:hAnsi="宋体"/>
                <w:sz w:val="24"/>
                <w:szCs w:val="24"/>
                <w:shd w:val="clear" w:color="auto" w:fill="FFFFFF"/>
              </w:rPr>
            </w:pPr>
            <w:r>
              <w:rPr>
                <w:rFonts w:hint="eastAsia" w:ascii="宋体" w:hAnsi="宋体"/>
                <w:sz w:val="24"/>
                <w:szCs w:val="24"/>
                <w:shd w:val="clear" w:color="auto" w:fill="FFFFFF"/>
              </w:rPr>
              <w:t>6:45</w:t>
            </w:r>
          </w:p>
        </w:tc>
        <w:tc>
          <w:tcPr>
            <w:tcW w:w="2442" w:type="dxa"/>
            <w:tcBorders>
              <w:top w:val="single" w:color="auto" w:sz="4" w:space="0"/>
              <w:left w:val="single" w:color="auto" w:sz="4" w:space="0"/>
              <w:bottom w:val="single" w:color="auto" w:sz="4" w:space="0"/>
              <w:right w:val="single" w:color="auto" w:sz="4" w:space="0"/>
            </w:tcBorders>
            <w:vAlign w:val="center"/>
          </w:tcPr>
          <w:p>
            <w:pPr>
              <w:shd w:val="solid" w:color="FFFFFF" w:fill="auto"/>
              <w:autoSpaceDN w:val="0"/>
              <w:adjustRightInd w:val="0"/>
              <w:snapToGrid w:val="0"/>
              <w:jc w:val="center"/>
              <w:rPr>
                <w:rFonts w:ascii="宋体" w:hAnsi="宋体"/>
                <w:sz w:val="24"/>
                <w:szCs w:val="24"/>
                <w:shd w:val="clear" w:color="auto" w:fill="FFFFFF"/>
              </w:rPr>
            </w:pPr>
            <w:r>
              <w:rPr>
                <w:rFonts w:hint="eastAsia" w:ascii="宋体" w:hAnsi="宋体"/>
                <w:sz w:val="24"/>
                <w:szCs w:val="24"/>
                <w:shd w:val="clear" w:color="auto" w:fill="FFFFFF"/>
              </w:rPr>
              <w:t>参赛队住宿宾馆门口集合，集体乘车往赛场</w:t>
            </w:r>
          </w:p>
        </w:tc>
        <w:tc>
          <w:tcPr>
            <w:tcW w:w="1750" w:type="dxa"/>
            <w:tcBorders>
              <w:top w:val="single" w:color="auto" w:sz="4" w:space="0"/>
              <w:left w:val="single" w:color="auto" w:sz="4" w:space="0"/>
              <w:bottom w:val="single" w:color="auto" w:sz="4" w:space="0"/>
              <w:right w:val="single" w:color="auto" w:sz="4" w:space="0"/>
            </w:tcBorders>
            <w:vAlign w:val="center"/>
          </w:tcPr>
          <w:p>
            <w:pPr>
              <w:shd w:val="solid" w:color="FFFFFF" w:fill="auto"/>
              <w:autoSpaceDN w:val="0"/>
              <w:adjustRightInd w:val="0"/>
              <w:snapToGrid w:val="0"/>
              <w:jc w:val="center"/>
              <w:rPr>
                <w:rFonts w:ascii="宋体" w:hAnsi="宋体"/>
                <w:sz w:val="24"/>
                <w:szCs w:val="24"/>
                <w:shd w:val="clear" w:color="auto" w:fill="FFFFFF"/>
              </w:rPr>
            </w:pPr>
            <w:r>
              <w:rPr>
                <w:rFonts w:hint="eastAsia" w:ascii="宋体" w:hAnsi="宋体"/>
                <w:sz w:val="24"/>
                <w:szCs w:val="24"/>
                <w:shd w:val="clear" w:color="auto" w:fill="FFFFFF"/>
              </w:rPr>
              <w:t>各参赛队</w:t>
            </w:r>
          </w:p>
        </w:tc>
        <w:tc>
          <w:tcPr>
            <w:tcW w:w="1276" w:type="dxa"/>
            <w:tcBorders>
              <w:top w:val="single" w:color="auto" w:sz="4" w:space="0"/>
              <w:left w:val="single" w:color="auto" w:sz="4" w:space="0"/>
              <w:bottom w:val="single" w:color="auto" w:sz="4" w:space="0"/>
              <w:right w:val="single" w:color="auto" w:sz="4" w:space="0"/>
            </w:tcBorders>
            <w:vAlign w:val="center"/>
          </w:tcPr>
          <w:p>
            <w:pPr>
              <w:shd w:val="solid" w:color="FFFFFF" w:fill="auto"/>
              <w:autoSpaceDN w:val="0"/>
              <w:adjustRightInd w:val="0"/>
              <w:snapToGrid w:val="0"/>
              <w:jc w:val="center"/>
              <w:rPr>
                <w:rFonts w:ascii="宋体" w:hAnsi="宋体"/>
                <w:sz w:val="24"/>
                <w:szCs w:val="24"/>
                <w:shd w:val="clear" w:color="auto" w:fill="FFFFFF"/>
              </w:rPr>
            </w:pPr>
            <w:r>
              <w:rPr>
                <w:rFonts w:hint="eastAsia" w:ascii="宋体" w:hAnsi="宋体"/>
                <w:sz w:val="24"/>
                <w:szCs w:val="24"/>
                <w:shd w:val="clear" w:color="auto" w:fill="FFFFFF"/>
              </w:rPr>
              <w:t>住宿酒店</w:t>
            </w:r>
          </w:p>
        </w:tc>
        <w:tc>
          <w:tcPr>
            <w:tcW w:w="1431" w:type="dxa"/>
            <w:tcBorders>
              <w:top w:val="single" w:color="auto" w:sz="4" w:space="0"/>
              <w:left w:val="single" w:color="auto" w:sz="4" w:space="0"/>
              <w:bottom w:val="single" w:color="auto" w:sz="4" w:space="0"/>
              <w:right w:val="single" w:color="auto" w:sz="4" w:space="0"/>
            </w:tcBorders>
            <w:vAlign w:val="center"/>
          </w:tcPr>
          <w:p>
            <w:pPr>
              <w:shd w:val="solid" w:color="FFFFFF" w:fill="auto"/>
              <w:autoSpaceDN w:val="0"/>
              <w:adjustRightInd w:val="0"/>
              <w:snapToGrid w:val="0"/>
              <w:jc w:val="center"/>
              <w:rPr>
                <w:rFonts w:ascii="宋体" w:hAnsi="宋体"/>
                <w:sz w:val="24"/>
                <w:szCs w:val="24"/>
                <w:shd w:val="clear" w:color="auto" w:fill="FFFFFF"/>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95" w:hRule="atLeast"/>
          <w:tblHeader/>
          <w:jc w:val="center"/>
        </w:trPr>
        <w:tc>
          <w:tcPr>
            <w:tcW w:w="1103" w:type="dxa"/>
            <w:vMerge w:val="continue"/>
            <w:tcBorders>
              <w:top w:val="single" w:color="auto" w:sz="4" w:space="0"/>
              <w:left w:val="single" w:color="auto" w:sz="4" w:space="0"/>
              <w:right w:val="single" w:color="auto" w:sz="4" w:space="0"/>
            </w:tcBorders>
            <w:vAlign w:val="center"/>
          </w:tcPr>
          <w:p>
            <w:pPr>
              <w:shd w:val="solid" w:color="FFFFFF" w:fill="auto"/>
              <w:autoSpaceDN w:val="0"/>
              <w:adjustRightInd w:val="0"/>
              <w:snapToGrid w:val="0"/>
              <w:jc w:val="center"/>
              <w:rPr>
                <w:rFonts w:ascii="宋体" w:hAnsi="宋体"/>
                <w:sz w:val="24"/>
                <w:szCs w:val="24"/>
                <w:shd w:val="clear" w:color="auto" w:fill="FFFFFF"/>
              </w:rPr>
            </w:pPr>
          </w:p>
        </w:tc>
        <w:tc>
          <w:tcPr>
            <w:tcW w:w="1559" w:type="dxa"/>
            <w:tcBorders>
              <w:top w:val="single" w:color="auto" w:sz="4" w:space="0"/>
              <w:left w:val="single" w:color="auto" w:sz="4" w:space="0"/>
              <w:bottom w:val="single" w:color="auto" w:sz="4" w:space="0"/>
              <w:right w:val="single" w:color="auto" w:sz="4" w:space="0"/>
            </w:tcBorders>
            <w:vAlign w:val="center"/>
          </w:tcPr>
          <w:p>
            <w:pPr>
              <w:shd w:val="solid" w:color="FFFFFF" w:fill="auto"/>
              <w:autoSpaceDN w:val="0"/>
              <w:adjustRightInd w:val="0"/>
              <w:snapToGrid w:val="0"/>
              <w:jc w:val="center"/>
              <w:rPr>
                <w:rFonts w:ascii="宋体" w:hAnsi="宋体"/>
                <w:sz w:val="24"/>
                <w:szCs w:val="24"/>
                <w:shd w:val="clear" w:color="auto" w:fill="FFFFFF"/>
              </w:rPr>
            </w:pPr>
            <w:r>
              <w:rPr>
                <w:rFonts w:hint="eastAsia" w:ascii="宋体" w:hAnsi="宋体"/>
                <w:sz w:val="24"/>
                <w:szCs w:val="24"/>
                <w:shd w:val="clear" w:color="auto" w:fill="FFFFFF"/>
              </w:rPr>
              <w:t>7:30</w:t>
            </w:r>
          </w:p>
        </w:tc>
        <w:tc>
          <w:tcPr>
            <w:tcW w:w="2442" w:type="dxa"/>
            <w:tcBorders>
              <w:top w:val="single" w:color="auto" w:sz="4" w:space="0"/>
              <w:left w:val="single" w:color="auto" w:sz="4" w:space="0"/>
              <w:bottom w:val="single" w:color="auto" w:sz="4" w:space="0"/>
              <w:right w:val="single" w:color="auto" w:sz="4" w:space="0"/>
            </w:tcBorders>
            <w:vAlign w:val="center"/>
          </w:tcPr>
          <w:p>
            <w:pPr>
              <w:shd w:val="solid" w:color="FFFFFF" w:fill="auto"/>
              <w:autoSpaceDN w:val="0"/>
              <w:adjustRightInd w:val="0"/>
              <w:snapToGrid w:val="0"/>
              <w:jc w:val="center"/>
              <w:rPr>
                <w:rFonts w:ascii="宋体" w:hAnsi="宋体"/>
                <w:sz w:val="24"/>
                <w:szCs w:val="24"/>
                <w:shd w:val="clear" w:color="auto" w:fill="FFFFFF"/>
              </w:rPr>
            </w:pPr>
            <w:r>
              <w:rPr>
                <w:rFonts w:hint="eastAsia" w:ascii="宋体" w:hAnsi="宋体"/>
                <w:sz w:val="24"/>
                <w:szCs w:val="24"/>
                <w:shd w:val="clear" w:color="auto" w:fill="FFFFFF"/>
              </w:rPr>
              <w:t>竞赛场地前整队</w:t>
            </w:r>
          </w:p>
        </w:tc>
        <w:tc>
          <w:tcPr>
            <w:tcW w:w="1750" w:type="dxa"/>
            <w:tcBorders>
              <w:top w:val="single" w:color="auto" w:sz="4" w:space="0"/>
              <w:left w:val="single" w:color="auto" w:sz="4" w:space="0"/>
              <w:bottom w:val="single" w:color="auto" w:sz="4" w:space="0"/>
              <w:right w:val="single" w:color="auto" w:sz="4" w:space="0"/>
            </w:tcBorders>
            <w:vAlign w:val="center"/>
          </w:tcPr>
          <w:p>
            <w:pPr>
              <w:shd w:val="solid" w:color="FFFFFF" w:fill="auto"/>
              <w:autoSpaceDN w:val="0"/>
              <w:adjustRightInd w:val="0"/>
              <w:snapToGrid w:val="0"/>
              <w:jc w:val="center"/>
              <w:rPr>
                <w:rFonts w:ascii="宋体" w:hAnsi="宋体"/>
                <w:sz w:val="24"/>
                <w:szCs w:val="24"/>
                <w:shd w:val="clear" w:color="auto" w:fill="FFFFFF"/>
              </w:rPr>
            </w:pPr>
            <w:r>
              <w:rPr>
                <w:rFonts w:hint="eastAsia" w:ascii="宋体" w:hAnsi="宋体"/>
                <w:sz w:val="24"/>
                <w:szCs w:val="24"/>
                <w:shd w:val="clear" w:color="auto" w:fill="FFFFFF"/>
              </w:rPr>
              <w:t>各参赛队、工作人员</w:t>
            </w:r>
          </w:p>
        </w:tc>
        <w:tc>
          <w:tcPr>
            <w:tcW w:w="1276" w:type="dxa"/>
            <w:tcBorders>
              <w:top w:val="single" w:color="auto" w:sz="4" w:space="0"/>
              <w:left w:val="single" w:color="auto" w:sz="4" w:space="0"/>
              <w:bottom w:val="single" w:color="auto" w:sz="4" w:space="0"/>
              <w:right w:val="single" w:color="auto" w:sz="4" w:space="0"/>
            </w:tcBorders>
            <w:vAlign w:val="center"/>
          </w:tcPr>
          <w:p>
            <w:pPr>
              <w:shd w:val="solid" w:color="FFFFFF" w:fill="auto"/>
              <w:autoSpaceDN w:val="0"/>
              <w:adjustRightInd w:val="0"/>
              <w:snapToGrid w:val="0"/>
              <w:jc w:val="center"/>
              <w:rPr>
                <w:rFonts w:ascii="宋体" w:hAnsi="宋体"/>
                <w:sz w:val="24"/>
                <w:szCs w:val="24"/>
                <w:shd w:val="clear" w:color="auto" w:fill="FFFFFF"/>
              </w:rPr>
            </w:pPr>
            <w:r>
              <w:rPr>
                <w:rFonts w:hint="eastAsia" w:asciiTheme="minorEastAsia" w:hAnsiTheme="minorEastAsia" w:eastAsiaTheme="minorEastAsia"/>
                <w:sz w:val="24"/>
                <w:szCs w:val="24"/>
                <w:shd w:val="clear" w:color="auto" w:fill="FFFFFF"/>
              </w:rPr>
              <w:t>竞赛场地</w:t>
            </w:r>
          </w:p>
        </w:tc>
        <w:tc>
          <w:tcPr>
            <w:tcW w:w="1431" w:type="dxa"/>
            <w:tcBorders>
              <w:top w:val="single" w:color="auto" w:sz="4" w:space="0"/>
              <w:left w:val="single" w:color="auto" w:sz="4" w:space="0"/>
              <w:bottom w:val="single" w:color="auto" w:sz="4" w:space="0"/>
              <w:right w:val="single" w:color="auto" w:sz="4" w:space="0"/>
            </w:tcBorders>
            <w:vAlign w:val="center"/>
          </w:tcPr>
          <w:p>
            <w:pPr>
              <w:shd w:val="solid" w:color="FFFFFF" w:fill="auto"/>
              <w:autoSpaceDN w:val="0"/>
              <w:adjustRightInd w:val="0"/>
              <w:snapToGrid w:val="0"/>
              <w:jc w:val="center"/>
              <w:rPr>
                <w:rFonts w:ascii="宋体" w:hAnsi="宋体"/>
                <w:sz w:val="24"/>
                <w:szCs w:val="24"/>
                <w:shd w:val="clear" w:color="auto" w:fill="FFFFFF"/>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jc w:val="center"/>
        </w:trPr>
        <w:tc>
          <w:tcPr>
            <w:tcW w:w="1103" w:type="dxa"/>
            <w:vMerge w:val="continue"/>
            <w:tcBorders>
              <w:left w:val="single" w:color="auto" w:sz="4" w:space="0"/>
              <w:right w:val="single" w:color="auto" w:sz="4" w:space="0"/>
            </w:tcBorders>
            <w:vAlign w:val="center"/>
          </w:tcPr>
          <w:p>
            <w:pPr>
              <w:shd w:val="solid" w:color="FFFFFF" w:fill="auto"/>
              <w:autoSpaceDN w:val="0"/>
              <w:adjustRightInd w:val="0"/>
              <w:snapToGrid w:val="0"/>
              <w:jc w:val="center"/>
              <w:rPr>
                <w:rFonts w:ascii="宋体" w:hAnsi="宋体"/>
                <w:sz w:val="24"/>
                <w:szCs w:val="24"/>
                <w:shd w:val="clear" w:color="auto" w:fill="FFFFFF"/>
              </w:rPr>
            </w:pPr>
          </w:p>
        </w:tc>
        <w:tc>
          <w:tcPr>
            <w:tcW w:w="1559" w:type="dxa"/>
            <w:vMerge w:val="restart"/>
            <w:tcBorders>
              <w:top w:val="single" w:color="auto" w:sz="4" w:space="0"/>
              <w:left w:val="single" w:color="auto" w:sz="4" w:space="0"/>
              <w:right w:val="single" w:color="auto" w:sz="4" w:space="0"/>
            </w:tcBorders>
            <w:vAlign w:val="center"/>
          </w:tcPr>
          <w:p>
            <w:pPr>
              <w:shd w:val="solid" w:color="FFFFFF" w:fill="auto"/>
              <w:autoSpaceDN w:val="0"/>
              <w:adjustRightInd w:val="0"/>
              <w:snapToGrid w:val="0"/>
              <w:jc w:val="center"/>
              <w:rPr>
                <w:rFonts w:ascii="宋体" w:hAnsi="宋体"/>
                <w:sz w:val="24"/>
                <w:szCs w:val="24"/>
                <w:shd w:val="clear" w:color="auto" w:fill="FFFFFF"/>
              </w:rPr>
            </w:pPr>
            <w:r>
              <w:rPr>
                <w:rFonts w:hint="eastAsia" w:ascii="宋体" w:hAnsi="宋体"/>
                <w:sz w:val="24"/>
                <w:szCs w:val="24"/>
                <w:shd w:val="clear" w:color="auto" w:fill="FFFFFF"/>
              </w:rPr>
              <w:t>7:30-8:30</w:t>
            </w:r>
          </w:p>
        </w:tc>
        <w:tc>
          <w:tcPr>
            <w:tcW w:w="2442" w:type="dxa"/>
            <w:tcBorders>
              <w:top w:val="single" w:color="auto" w:sz="4" w:space="0"/>
              <w:left w:val="single" w:color="auto" w:sz="4" w:space="0"/>
              <w:bottom w:val="single" w:color="auto" w:sz="4" w:space="0"/>
              <w:right w:val="single" w:color="auto" w:sz="4" w:space="0"/>
            </w:tcBorders>
            <w:vAlign w:val="center"/>
          </w:tcPr>
          <w:p>
            <w:pPr>
              <w:shd w:val="solid" w:color="FFFFFF" w:fill="auto"/>
              <w:autoSpaceDN w:val="0"/>
              <w:adjustRightInd w:val="0"/>
              <w:snapToGrid w:val="0"/>
              <w:jc w:val="center"/>
              <w:rPr>
                <w:rFonts w:ascii="宋体" w:hAnsi="宋体"/>
                <w:sz w:val="24"/>
                <w:szCs w:val="24"/>
                <w:shd w:val="clear" w:color="auto" w:fill="FFFFFF"/>
              </w:rPr>
            </w:pPr>
            <w:r>
              <w:rPr>
                <w:rFonts w:hint="eastAsia" w:ascii="宋体" w:hAnsi="宋体"/>
                <w:sz w:val="24"/>
                <w:szCs w:val="24"/>
                <w:shd w:val="clear" w:color="auto" w:fill="FFFFFF"/>
              </w:rPr>
              <w:t>检录进场</w:t>
            </w:r>
          </w:p>
          <w:p>
            <w:pPr>
              <w:shd w:val="solid" w:color="FFFFFF" w:fill="auto"/>
              <w:autoSpaceDN w:val="0"/>
              <w:adjustRightInd w:val="0"/>
              <w:snapToGrid w:val="0"/>
              <w:jc w:val="center"/>
              <w:rPr>
                <w:rFonts w:ascii="宋体" w:hAnsi="宋体"/>
                <w:sz w:val="24"/>
                <w:szCs w:val="24"/>
                <w:shd w:val="clear" w:color="auto" w:fill="FFFFFF"/>
              </w:rPr>
            </w:pPr>
            <w:r>
              <w:rPr>
                <w:rFonts w:hint="eastAsia" w:ascii="宋体" w:hAnsi="宋体"/>
                <w:sz w:val="24"/>
                <w:szCs w:val="24"/>
                <w:shd w:val="clear" w:color="auto" w:fill="FFFFFF"/>
              </w:rPr>
              <w:t>第一次加密抽签（抽序号）</w:t>
            </w:r>
          </w:p>
        </w:tc>
        <w:tc>
          <w:tcPr>
            <w:tcW w:w="1750" w:type="dxa"/>
            <w:vMerge w:val="restart"/>
            <w:tcBorders>
              <w:top w:val="single" w:color="auto" w:sz="4" w:space="0"/>
              <w:left w:val="single" w:color="auto" w:sz="4" w:space="0"/>
              <w:right w:val="single" w:color="auto" w:sz="4" w:space="0"/>
            </w:tcBorders>
            <w:vAlign w:val="center"/>
          </w:tcPr>
          <w:p>
            <w:pPr>
              <w:shd w:val="solid" w:color="FFFFFF" w:fill="auto"/>
              <w:autoSpaceDN w:val="0"/>
              <w:adjustRightInd w:val="0"/>
              <w:snapToGrid w:val="0"/>
              <w:jc w:val="center"/>
              <w:rPr>
                <w:rFonts w:ascii="宋体" w:hAnsi="宋体"/>
                <w:sz w:val="24"/>
                <w:szCs w:val="24"/>
                <w:shd w:val="clear" w:color="auto" w:fill="FFFFFF"/>
              </w:rPr>
            </w:pPr>
            <w:r>
              <w:rPr>
                <w:rFonts w:hint="eastAsia" w:ascii="宋体" w:hAnsi="宋体"/>
                <w:sz w:val="24"/>
                <w:szCs w:val="24"/>
                <w:shd w:val="clear" w:color="auto" w:fill="FFFFFF"/>
              </w:rPr>
              <w:t>参赛选手、抽签加密裁判</w:t>
            </w:r>
          </w:p>
        </w:tc>
        <w:tc>
          <w:tcPr>
            <w:tcW w:w="1276" w:type="dxa"/>
            <w:vMerge w:val="restart"/>
            <w:tcBorders>
              <w:top w:val="single" w:color="auto" w:sz="4" w:space="0"/>
              <w:left w:val="single" w:color="auto" w:sz="4" w:space="0"/>
              <w:right w:val="single" w:color="auto" w:sz="4" w:space="0"/>
            </w:tcBorders>
            <w:vAlign w:val="center"/>
          </w:tcPr>
          <w:p>
            <w:pPr>
              <w:shd w:val="solid" w:color="FFFFFF" w:fill="auto"/>
              <w:autoSpaceDN w:val="0"/>
              <w:adjustRightInd w:val="0"/>
              <w:snapToGrid w:val="0"/>
              <w:jc w:val="center"/>
              <w:rPr>
                <w:rFonts w:ascii="宋体" w:hAnsi="宋体"/>
                <w:sz w:val="24"/>
                <w:szCs w:val="24"/>
                <w:shd w:val="clear" w:color="auto" w:fill="FFFFFF"/>
              </w:rPr>
            </w:pPr>
            <w:r>
              <w:rPr>
                <w:rFonts w:hint="eastAsia" w:ascii="宋体" w:hAnsi="宋体"/>
                <w:sz w:val="24"/>
                <w:szCs w:val="24"/>
                <w:shd w:val="clear" w:color="auto" w:fill="FFFFFF"/>
              </w:rPr>
              <w:t>赛场</w:t>
            </w:r>
          </w:p>
          <w:p>
            <w:pPr>
              <w:shd w:val="solid" w:color="FFFFFF" w:fill="auto"/>
              <w:autoSpaceDN w:val="0"/>
              <w:adjustRightInd w:val="0"/>
              <w:snapToGrid w:val="0"/>
              <w:jc w:val="center"/>
              <w:rPr>
                <w:rFonts w:ascii="宋体" w:hAnsi="宋体"/>
                <w:sz w:val="24"/>
                <w:szCs w:val="24"/>
                <w:shd w:val="clear" w:color="auto" w:fill="FFFFFF"/>
              </w:rPr>
            </w:pPr>
            <w:r>
              <w:rPr>
                <w:rFonts w:hint="eastAsia" w:ascii="宋体" w:hAnsi="宋体"/>
                <w:sz w:val="24"/>
                <w:szCs w:val="24"/>
                <w:shd w:val="clear" w:color="auto" w:fill="FFFFFF"/>
              </w:rPr>
              <w:t>抽签区域</w:t>
            </w:r>
          </w:p>
        </w:tc>
        <w:tc>
          <w:tcPr>
            <w:tcW w:w="1431" w:type="dxa"/>
            <w:tcBorders>
              <w:top w:val="single" w:color="auto" w:sz="4" w:space="0"/>
              <w:left w:val="single" w:color="auto" w:sz="4" w:space="0"/>
              <w:bottom w:val="single" w:color="auto" w:sz="4" w:space="0"/>
              <w:right w:val="single" w:color="auto" w:sz="4" w:space="0"/>
            </w:tcBorders>
            <w:vAlign w:val="center"/>
          </w:tcPr>
          <w:p>
            <w:pPr>
              <w:shd w:val="solid" w:color="FFFFFF" w:fill="auto"/>
              <w:autoSpaceDN w:val="0"/>
              <w:adjustRightInd w:val="0"/>
              <w:snapToGrid w:val="0"/>
              <w:jc w:val="center"/>
              <w:rPr>
                <w:rFonts w:ascii="宋体" w:hAnsi="宋体"/>
                <w:sz w:val="24"/>
                <w:szCs w:val="24"/>
                <w:shd w:val="clear" w:color="auto" w:fill="FFFFFF"/>
              </w:rPr>
            </w:pPr>
            <w:r>
              <w:rPr>
                <w:rFonts w:hint="eastAsia" w:ascii="宋体" w:hAnsi="宋体"/>
                <w:sz w:val="24"/>
                <w:szCs w:val="24"/>
                <w:shd w:val="clear" w:color="auto" w:fill="FFFFFF"/>
              </w:rPr>
              <w:t>按照竞赛指南参赛队伍名单顺序抽签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jc w:val="center"/>
        </w:trPr>
        <w:tc>
          <w:tcPr>
            <w:tcW w:w="1103" w:type="dxa"/>
            <w:vMerge w:val="continue"/>
            <w:tcBorders>
              <w:left w:val="single" w:color="auto" w:sz="4" w:space="0"/>
              <w:right w:val="single" w:color="auto" w:sz="4" w:space="0"/>
            </w:tcBorders>
            <w:vAlign w:val="center"/>
          </w:tcPr>
          <w:p>
            <w:pPr>
              <w:shd w:val="solid" w:color="FFFFFF" w:fill="auto"/>
              <w:autoSpaceDN w:val="0"/>
              <w:adjustRightInd w:val="0"/>
              <w:snapToGrid w:val="0"/>
              <w:jc w:val="center"/>
              <w:rPr>
                <w:rFonts w:ascii="宋体" w:hAnsi="宋体"/>
                <w:sz w:val="24"/>
                <w:szCs w:val="24"/>
                <w:shd w:val="clear" w:color="auto" w:fill="FFFFFF"/>
              </w:rPr>
            </w:pPr>
          </w:p>
        </w:tc>
        <w:tc>
          <w:tcPr>
            <w:tcW w:w="1559" w:type="dxa"/>
            <w:vMerge w:val="continue"/>
            <w:tcBorders>
              <w:left w:val="single" w:color="auto" w:sz="4" w:space="0"/>
              <w:bottom w:val="single" w:color="auto" w:sz="4" w:space="0"/>
              <w:right w:val="single" w:color="auto" w:sz="4" w:space="0"/>
            </w:tcBorders>
            <w:vAlign w:val="center"/>
          </w:tcPr>
          <w:p>
            <w:pPr>
              <w:shd w:val="solid" w:color="FFFFFF" w:fill="auto"/>
              <w:autoSpaceDN w:val="0"/>
              <w:adjustRightInd w:val="0"/>
              <w:snapToGrid w:val="0"/>
              <w:jc w:val="center"/>
              <w:rPr>
                <w:rFonts w:ascii="宋体" w:hAnsi="宋体"/>
                <w:sz w:val="24"/>
                <w:szCs w:val="24"/>
                <w:shd w:val="clear" w:color="auto" w:fill="FFFFFF"/>
              </w:rPr>
            </w:pPr>
          </w:p>
        </w:tc>
        <w:tc>
          <w:tcPr>
            <w:tcW w:w="2442" w:type="dxa"/>
            <w:tcBorders>
              <w:top w:val="single" w:color="auto" w:sz="4" w:space="0"/>
              <w:left w:val="single" w:color="auto" w:sz="4" w:space="0"/>
              <w:bottom w:val="single" w:color="auto" w:sz="4" w:space="0"/>
              <w:right w:val="single" w:color="auto" w:sz="4" w:space="0"/>
            </w:tcBorders>
            <w:vAlign w:val="center"/>
          </w:tcPr>
          <w:p>
            <w:pPr>
              <w:shd w:val="solid" w:color="FFFFFF" w:fill="auto"/>
              <w:autoSpaceDN w:val="0"/>
              <w:adjustRightInd w:val="0"/>
              <w:snapToGrid w:val="0"/>
              <w:jc w:val="center"/>
              <w:rPr>
                <w:rFonts w:ascii="宋体" w:hAnsi="宋体"/>
                <w:sz w:val="24"/>
                <w:szCs w:val="24"/>
                <w:shd w:val="clear" w:color="auto" w:fill="FFFFFF"/>
              </w:rPr>
            </w:pPr>
            <w:r>
              <w:rPr>
                <w:rFonts w:hint="eastAsia" w:ascii="宋体" w:hAnsi="宋体"/>
                <w:sz w:val="24"/>
                <w:szCs w:val="24"/>
                <w:shd w:val="clear" w:color="auto" w:fill="FFFFFF"/>
              </w:rPr>
              <w:t>第二次加密抽签（抽赛位号）</w:t>
            </w:r>
          </w:p>
        </w:tc>
        <w:tc>
          <w:tcPr>
            <w:tcW w:w="1750" w:type="dxa"/>
            <w:vMerge w:val="continue"/>
            <w:tcBorders>
              <w:left w:val="single" w:color="auto" w:sz="4" w:space="0"/>
              <w:bottom w:val="single" w:color="auto" w:sz="4" w:space="0"/>
              <w:right w:val="single" w:color="auto" w:sz="4" w:space="0"/>
            </w:tcBorders>
            <w:vAlign w:val="center"/>
          </w:tcPr>
          <w:p>
            <w:pPr>
              <w:shd w:val="solid" w:color="FFFFFF" w:fill="auto"/>
              <w:autoSpaceDN w:val="0"/>
              <w:adjustRightInd w:val="0"/>
              <w:snapToGrid w:val="0"/>
              <w:jc w:val="center"/>
              <w:rPr>
                <w:rFonts w:ascii="宋体" w:hAnsi="宋体"/>
                <w:sz w:val="24"/>
                <w:szCs w:val="24"/>
                <w:shd w:val="clear" w:color="auto" w:fill="FFFFFF"/>
              </w:rPr>
            </w:pPr>
          </w:p>
        </w:tc>
        <w:tc>
          <w:tcPr>
            <w:tcW w:w="1276" w:type="dxa"/>
            <w:vMerge w:val="continue"/>
            <w:tcBorders>
              <w:left w:val="single" w:color="auto" w:sz="4" w:space="0"/>
              <w:bottom w:val="single" w:color="auto" w:sz="4" w:space="0"/>
              <w:right w:val="single" w:color="auto" w:sz="4" w:space="0"/>
            </w:tcBorders>
            <w:vAlign w:val="center"/>
          </w:tcPr>
          <w:p>
            <w:pPr>
              <w:shd w:val="solid" w:color="FFFFFF" w:fill="auto"/>
              <w:autoSpaceDN w:val="0"/>
              <w:adjustRightInd w:val="0"/>
              <w:snapToGrid w:val="0"/>
              <w:jc w:val="center"/>
              <w:rPr>
                <w:rFonts w:ascii="宋体" w:hAnsi="宋体"/>
                <w:sz w:val="24"/>
                <w:szCs w:val="24"/>
                <w:shd w:val="clear" w:color="auto" w:fill="FFFFFF"/>
              </w:rPr>
            </w:pPr>
          </w:p>
        </w:tc>
        <w:tc>
          <w:tcPr>
            <w:tcW w:w="1431" w:type="dxa"/>
            <w:tcBorders>
              <w:top w:val="single" w:color="auto" w:sz="4" w:space="0"/>
              <w:left w:val="single" w:color="auto" w:sz="4" w:space="0"/>
              <w:bottom w:val="single" w:color="auto" w:sz="4" w:space="0"/>
              <w:right w:val="single" w:color="auto" w:sz="4" w:space="0"/>
            </w:tcBorders>
            <w:vAlign w:val="center"/>
          </w:tcPr>
          <w:p>
            <w:pPr>
              <w:shd w:val="solid" w:color="FFFFFF" w:fill="auto"/>
              <w:autoSpaceDN w:val="0"/>
              <w:adjustRightInd w:val="0"/>
              <w:snapToGrid w:val="0"/>
              <w:jc w:val="center"/>
              <w:rPr>
                <w:rFonts w:ascii="宋体" w:hAnsi="宋体"/>
                <w:sz w:val="24"/>
                <w:szCs w:val="24"/>
                <w:shd w:val="clear" w:color="auto" w:fill="FFFFFF"/>
              </w:rPr>
            </w:pPr>
            <w:r>
              <w:rPr>
                <w:rFonts w:hint="eastAsia" w:ascii="宋体" w:hAnsi="宋体"/>
                <w:sz w:val="24"/>
                <w:szCs w:val="24"/>
                <w:shd w:val="clear" w:color="auto" w:fill="FFFFFF"/>
              </w:rPr>
              <w:t>选手进入赛场按照赛位号就座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76" w:hRule="atLeast"/>
          <w:tblHeader/>
          <w:jc w:val="center"/>
        </w:trPr>
        <w:tc>
          <w:tcPr>
            <w:tcW w:w="1103" w:type="dxa"/>
            <w:vMerge w:val="continue"/>
            <w:tcBorders>
              <w:left w:val="single" w:color="auto" w:sz="4" w:space="0"/>
              <w:right w:val="single" w:color="auto" w:sz="4" w:space="0"/>
            </w:tcBorders>
            <w:vAlign w:val="center"/>
          </w:tcPr>
          <w:p>
            <w:pPr>
              <w:shd w:val="solid" w:color="FFFFFF" w:fill="auto"/>
              <w:autoSpaceDN w:val="0"/>
              <w:adjustRightInd w:val="0"/>
              <w:snapToGrid w:val="0"/>
              <w:jc w:val="center"/>
              <w:rPr>
                <w:rFonts w:ascii="宋体" w:hAnsi="宋体"/>
                <w:sz w:val="24"/>
                <w:szCs w:val="24"/>
                <w:shd w:val="clear" w:color="auto" w:fill="FFFFFF"/>
              </w:rPr>
            </w:pPr>
          </w:p>
        </w:tc>
        <w:tc>
          <w:tcPr>
            <w:tcW w:w="1559" w:type="dxa"/>
            <w:tcBorders>
              <w:top w:val="single" w:color="auto" w:sz="4" w:space="0"/>
              <w:left w:val="single" w:color="auto" w:sz="4" w:space="0"/>
              <w:bottom w:val="single" w:color="auto" w:sz="4" w:space="0"/>
              <w:right w:val="single" w:color="auto" w:sz="4" w:space="0"/>
            </w:tcBorders>
            <w:vAlign w:val="center"/>
          </w:tcPr>
          <w:p>
            <w:pPr>
              <w:shd w:val="solid" w:color="FFFFFF" w:fill="auto"/>
              <w:autoSpaceDN w:val="0"/>
              <w:adjustRightInd w:val="0"/>
              <w:snapToGrid w:val="0"/>
              <w:jc w:val="center"/>
              <w:rPr>
                <w:rFonts w:ascii="宋体" w:hAnsi="宋体"/>
                <w:sz w:val="24"/>
                <w:szCs w:val="24"/>
                <w:shd w:val="clear" w:color="auto" w:fill="FFFFFF"/>
              </w:rPr>
            </w:pPr>
            <w:r>
              <w:rPr>
                <w:rFonts w:hint="eastAsia" w:ascii="宋体" w:hAnsi="宋体"/>
                <w:sz w:val="24"/>
                <w:szCs w:val="24"/>
                <w:shd w:val="clear" w:color="auto" w:fill="FFFFFF"/>
              </w:rPr>
              <w:t>8:00</w:t>
            </w:r>
          </w:p>
        </w:tc>
        <w:tc>
          <w:tcPr>
            <w:tcW w:w="2442" w:type="dxa"/>
            <w:tcBorders>
              <w:top w:val="single" w:color="auto" w:sz="4" w:space="0"/>
              <w:left w:val="single" w:color="auto" w:sz="4" w:space="0"/>
              <w:bottom w:val="single" w:color="auto" w:sz="4" w:space="0"/>
              <w:right w:val="single" w:color="auto" w:sz="4" w:space="0"/>
            </w:tcBorders>
            <w:vAlign w:val="center"/>
          </w:tcPr>
          <w:p>
            <w:pPr>
              <w:shd w:val="solid" w:color="FFFFFF" w:fill="auto"/>
              <w:autoSpaceDN w:val="0"/>
              <w:adjustRightInd w:val="0"/>
              <w:snapToGrid w:val="0"/>
              <w:jc w:val="center"/>
              <w:rPr>
                <w:rFonts w:ascii="宋体" w:hAnsi="宋体"/>
                <w:sz w:val="24"/>
                <w:szCs w:val="24"/>
                <w:shd w:val="clear" w:color="auto" w:fill="FFFFFF"/>
              </w:rPr>
            </w:pPr>
            <w:r>
              <w:rPr>
                <w:rFonts w:hint="eastAsia" w:ascii="宋体" w:hAnsi="宋体"/>
                <w:sz w:val="24"/>
                <w:szCs w:val="24"/>
                <w:shd w:val="clear" w:color="auto" w:fill="FFFFFF"/>
              </w:rPr>
              <w:t>领队、指导教师入场</w:t>
            </w:r>
          </w:p>
        </w:tc>
        <w:tc>
          <w:tcPr>
            <w:tcW w:w="1750" w:type="dxa"/>
            <w:tcBorders>
              <w:top w:val="single" w:color="auto" w:sz="4" w:space="0"/>
              <w:left w:val="single" w:color="auto" w:sz="4" w:space="0"/>
              <w:bottom w:val="single" w:color="auto" w:sz="4" w:space="0"/>
              <w:right w:val="single" w:color="auto" w:sz="4" w:space="0"/>
            </w:tcBorders>
            <w:vAlign w:val="center"/>
          </w:tcPr>
          <w:p>
            <w:pPr>
              <w:shd w:val="solid" w:color="FFFFFF" w:fill="auto"/>
              <w:autoSpaceDN w:val="0"/>
              <w:adjustRightInd w:val="0"/>
              <w:snapToGrid w:val="0"/>
              <w:jc w:val="center"/>
              <w:rPr>
                <w:rFonts w:ascii="宋体" w:hAnsi="宋体"/>
                <w:sz w:val="24"/>
                <w:szCs w:val="24"/>
                <w:shd w:val="clear" w:color="auto" w:fill="FFFFFF"/>
              </w:rPr>
            </w:pPr>
          </w:p>
        </w:tc>
        <w:tc>
          <w:tcPr>
            <w:tcW w:w="1276" w:type="dxa"/>
            <w:tcBorders>
              <w:top w:val="single" w:color="auto" w:sz="4" w:space="0"/>
              <w:left w:val="single" w:color="auto" w:sz="4" w:space="0"/>
              <w:bottom w:val="single" w:color="auto" w:sz="4" w:space="0"/>
              <w:right w:val="single" w:color="auto" w:sz="4" w:space="0"/>
            </w:tcBorders>
            <w:vAlign w:val="center"/>
          </w:tcPr>
          <w:p>
            <w:pPr>
              <w:shd w:val="solid" w:color="FFFFFF" w:fill="auto"/>
              <w:autoSpaceDN w:val="0"/>
              <w:adjustRightInd w:val="0"/>
              <w:snapToGrid w:val="0"/>
              <w:jc w:val="center"/>
              <w:rPr>
                <w:rFonts w:ascii="宋体" w:hAnsi="宋体"/>
                <w:sz w:val="24"/>
                <w:szCs w:val="24"/>
                <w:shd w:val="clear" w:color="auto" w:fill="FFFFFF"/>
              </w:rPr>
            </w:pPr>
            <w:r>
              <w:rPr>
                <w:rFonts w:hint="eastAsia" w:ascii="宋体" w:hAnsi="宋体"/>
                <w:sz w:val="24"/>
                <w:szCs w:val="24"/>
                <w:shd w:val="clear" w:color="auto" w:fill="FFFFFF"/>
              </w:rPr>
              <w:t>竞赛场地观摩区</w:t>
            </w:r>
          </w:p>
        </w:tc>
        <w:tc>
          <w:tcPr>
            <w:tcW w:w="1431" w:type="dxa"/>
            <w:tcBorders>
              <w:top w:val="single" w:color="auto" w:sz="4" w:space="0"/>
              <w:left w:val="single" w:color="auto" w:sz="4" w:space="0"/>
              <w:bottom w:val="single" w:color="auto" w:sz="4" w:space="0"/>
              <w:right w:val="single" w:color="auto" w:sz="4" w:space="0"/>
            </w:tcBorders>
            <w:vAlign w:val="center"/>
          </w:tcPr>
          <w:p>
            <w:pPr>
              <w:shd w:val="solid" w:color="FFFFFF" w:fill="auto"/>
              <w:autoSpaceDN w:val="0"/>
              <w:adjustRightInd w:val="0"/>
              <w:snapToGrid w:val="0"/>
              <w:jc w:val="center"/>
              <w:rPr>
                <w:rFonts w:ascii="宋体" w:hAnsi="宋体"/>
                <w:sz w:val="24"/>
                <w:szCs w:val="24"/>
                <w:shd w:val="clear" w:color="auto" w:fill="FFFFFF"/>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6" w:hRule="atLeast"/>
          <w:tblHeader/>
          <w:jc w:val="center"/>
        </w:trPr>
        <w:tc>
          <w:tcPr>
            <w:tcW w:w="1103" w:type="dxa"/>
            <w:vMerge w:val="continue"/>
            <w:tcBorders>
              <w:left w:val="single" w:color="auto" w:sz="4" w:space="0"/>
              <w:right w:val="single" w:color="auto" w:sz="4" w:space="0"/>
            </w:tcBorders>
            <w:vAlign w:val="center"/>
          </w:tcPr>
          <w:p>
            <w:pPr>
              <w:shd w:val="solid" w:color="FFFFFF" w:fill="auto"/>
              <w:autoSpaceDN w:val="0"/>
              <w:adjustRightInd w:val="0"/>
              <w:snapToGrid w:val="0"/>
              <w:jc w:val="center"/>
              <w:rPr>
                <w:rFonts w:ascii="宋体" w:hAnsi="宋体"/>
                <w:sz w:val="24"/>
                <w:szCs w:val="24"/>
                <w:shd w:val="clear" w:color="auto" w:fill="FFFFFF"/>
              </w:rPr>
            </w:pPr>
          </w:p>
        </w:tc>
        <w:tc>
          <w:tcPr>
            <w:tcW w:w="1559" w:type="dxa"/>
            <w:tcBorders>
              <w:top w:val="single" w:color="auto" w:sz="4" w:space="0"/>
              <w:left w:val="single" w:color="auto" w:sz="4" w:space="0"/>
              <w:bottom w:val="single" w:color="auto" w:sz="4" w:space="0"/>
              <w:right w:val="single" w:color="auto" w:sz="4" w:space="0"/>
            </w:tcBorders>
            <w:vAlign w:val="center"/>
          </w:tcPr>
          <w:p>
            <w:pPr>
              <w:shd w:val="solid" w:color="FFFFFF" w:fill="auto"/>
              <w:autoSpaceDN w:val="0"/>
              <w:adjustRightInd w:val="0"/>
              <w:snapToGrid w:val="0"/>
              <w:jc w:val="center"/>
              <w:rPr>
                <w:rFonts w:ascii="宋体" w:hAnsi="宋体"/>
                <w:sz w:val="24"/>
                <w:szCs w:val="24"/>
                <w:shd w:val="clear" w:color="auto" w:fill="FFFFFF"/>
              </w:rPr>
            </w:pPr>
            <w:r>
              <w:rPr>
                <w:rFonts w:hint="eastAsia" w:ascii="宋体" w:hAnsi="宋体"/>
                <w:sz w:val="24"/>
                <w:szCs w:val="24"/>
                <w:shd w:val="clear" w:color="auto" w:fill="FFFFFF"/>
              </w:rPr>
              <w:t>8:30-12:30</w:t>
            </w:r>
          </w:p>
        </w:tc>
        <w:tc>
          <w:tcPr>
            <w:tcW w:w="2442" w:type="dxa"/>
            <w:tcBorders>
              <w:top w:val="single" w:color="auto" w:sz="4" w:space="0"/>
              <w:left w:val="single" w:color="auto" w:sz="4" w:space="0"/>
              <w:bottom w:val="single" w:color="auto" w:sz="4" w:space="0"/>
              <w:right w:val="single" w:color="auto" w:sz="4" w:space="0"/>
            </w:tcBorders>
            <w:vAlign w:val="center"/>
          </w:tcPr>
          <w:p>
            <w:pPr>
              <w:shd w:val="solid" w:color="FFFFFF" w:fill="auto"/>
              <w:autoSpaceDN w:val="0"/>
              <w:adjustRightInd w:val="0"/>
              <w:snapToGrid w:val="0"/>
              <w:jc w:val="center"/>
              <w:rPr>
                <w:rFonts w:ascii="宋体" w:hAnsi="宋体"/>
                <w:sz w:val="24"/>
                <w:szCs w:val="24"/>
                <w:shd w:val="clear" w:color="auto" w:fill="FFFFFF"/>
              </w:rPr>
            </w:pPr>
            <w:r>
              <w:rPr>
                <w:rFonts w:hint="eastAsia" w:ascii="宋体" w:hAnsi="宋体"/>
                <w:sz w:val="24"/>
                <w:szCs w:val="24"/>
                <w:shd w:val="clear" w:color="auto" w:fill="FFFFFF"/>
              </w:rPr>
              <w:t>外贸业务能力B2B模块</w:t>
            </w:r>
          </w:p>
        </w:tc>
        <w:tc>
          <w:tcPr>
            <w:tcW w:w="1750" w:type="dxa"/>
            <w:tcBorders>
              <w:top w:val="single" w:color="auto" w:sz="4" w:space="0"/>
              <w:left w:val="single" w:color="auto" w:sz="4" w:space="0"/>
              <w:bottom w:val="single" w:color="auto" w:sz="4" w:space="0"/>
              <w:right w:val="single" w:color="auto" w:sz="4" w:space="0"/>
            </w:tcBorders>
            <w:vAlign w:val="center"/>
          </w:tcPr>
          <w:p>
            <w:pPr>
              <w:shd w:val="solid" w:color="FFFFFF" w:fill="auto"/>
              <w:autoSpaceDN w:val="0"/>
              <w:adjustRightInd w:val="0"/>
              <w:snapToGrid w:val="0"/>
              <w:jc w:val="center"/>
              <w:rPr>
                <w:rFonts w:ascii="宋体" w:hAnsi="宋体"/>
                <w:sz w:val="24"/>
                <w:szCs w:val="24"/>
                <w:shd w:val="clear" w:color="auto" w:fill="FFFFFF"/>
              </w:rPr>
            </w:pPr>
            <w:r>
              <w:rPr>
                <w:rFonts w:hint="eastAsia" w:ascii="宋体" w:hAnsi="宋体"/>
                <w:sz w:val="24"/>
                <w:szCs w:val="24"/>
                <w:shd w:val="clear" w:color="auto" w:fill="FFFFFF"/>
              </w:rPr>
              <w:t>参赛选手、裁判</w:t>
            </w:r>
          </w:p>
        </w:tc>
        <w:tc>
          <w:tcPr>
            <w:tcW w:w="1276" w:type="dxa"/>
            <w:tcBorders>
              <w:top w:val="single" w:color="auto" w:sz="4" w:space="0"/>
              <w:left w:val="single" w:color="auto" w:sz="4" w:space="0"/>
              <w:bottom w:val="single" w:color="auto" w:sz="4" w:space="0"/>
              <w:right w:val="single" w:color="auto" w:sz="4" w:space="0"/>
            </w:tcBorders>
            <w:vAlign w:val="center"/>
          </w:tcPr>
          <w:p>
            <w:pPr>
              <w:shd w:val="solid" w:color="FFFFFF" w:fill="auto"/>
              <w:autoSpaceDN w:val="0"/>
              <w:adjustRightInd w:val="0"/>
              <w:snapToGrid w:val="0"/>
              <w:jc w:val="center"/>
              <w:rPr>
                <w:rFonts w:ascii="宋体" w:hAnsi="宋体"/>
                <w:sz w:val="24"/>
                <w:szCs w:val="24"/>
                <w:shd w:val="clear" w:color="auto" w:fill="FFFFFF"/>
              </w:rPr>
            </w:pPr>
            <w:r>
              <w:rPr>
                <w:rFonts w:hint="eastAsia" w:ascii="宋体" w:hAnsi="宋体"/>
                <w:sz w:val="24"/>
                <w:szCs w:val="24"/>
                <w:shd w:val="clear" w:color="auto" w:fill="FFFFFF"/>
              </w:rPr>
              <w:t>赛场</w:t>
            </w:r>
          </w:p>
        </w:tc>
        <w:tc>
          <w:tcPr>
            <w:tcW w:w="1431" w:type="dxa"/>
            <w:tcBorders>
              <w:top w:val="single" w:color="auto" w:sz="4" w:space="0"/>
              <w:left w:val="single" w:color="auto" w:sz="4" w:space="0"/>
              <w:bottom w:val="single" w:color="auto" w:sz="4" w:space="0"/>
              <w:right w:val="single" w:color="auto" w:sz="4" w:space="0"/>
            </w:tcBorders>
            <w:vAlign w:val="center"/>
          </w:tcPr>
          <w:p>
            <w:pPr>
              <w:shd w:val="solid" w:color="FFFFFF" w:fill="auto"/>
              <w:autoSpaceDN w:val="0"/>
              <w:adjustRightInd w:val="0"/>
              <w:snapToGrid w:val="0"/>
              <w:jc w:val="center"/>
              <w:rPr>
                <w:rFonts w:ascii="宋体" w:hAnsi="宋体"/>
                <w:sz w:val="24"/>
                <w:szCs w:val="24"/>
                <w:shd w:val="clear" w:color="auto" w:fill="FFFFFF"/>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jc w:val="center"/>
        </w:trPr>
        <w:tc>
          <w:tcPr>
            <w:tcW w:w="1103" w:type="dxa"/>
            <w:vMerge w:val="continue"/>
            <w:tcBorders>
              <w:left w:val="single" w:color="auto" w:sz="4" w:space="0"/>
              <w:right w:val="single" w:color="auto" w:sz="4" w:space="0"/>
            </w:tcBorders>
            <w:vAlign w:val="center"/>
          </w:tcPr>
          <w:p>
            <w:pPr>
              <w:shd w:val="solid" w:color="FFFFFF" w:fill="auto"/>
              <w:autoSpaceDN w:val="0"/>
              <w:adjustRightInd w:val="0"/>
              <w:snapToGrid w:val="0"/>
              <w:jc w:val="center"/>
              <w:rPr>
                <w:rFonts w:ascii="宋体" w:hAnsi="宋体"/>
                <w:sz w:val="24"/>
                <w:szCs w:val="24"/>
                <w:shd w:val="clear" w:color="auto" w:fill="FFFFFF"/>
              </w:rPr>
            </w:pPr>
          </w:p>
        </w:tc>
        <w:tc>
          <w:tcPr>
            <w:tcW w:w="1559" w:type="dxa"/>
            <w:tcBorders>
              <w:top w:val="single" w:color="auto" w:sz="4" w:space="0"/>
              <w:left w:val="single" w:color="auto" w:sz="4" w:space="0"/>
              <w:bottom w:val="single" w:color="auto" w:sz="4" w:space="0"/>
              <w:right w:val="single" w:color="auto" w:sz="4" w:space="0"/>
            </w:tcBorders>
            <w:vAlign w:val="center"/>
          </w:tcPr>
          <w:p>
            <w:pPr>
              <w:shd w:val="solid" w:color="FFFFFF" w:fill="auto"/>
              <w:autoSpaceDN w:val="0"/>
              <w:adjustRightInd w:val="0"/>
              <w:snapToGrid w:val="0"/>
              <w:jc w:val="center"/>
              <w:rPr>
                <w:rFonts w:ascii="宋体" w:hAnsi="宋体"/>
                <w:sz w:val="24"/>
                <w:szCs w:val="24"/>
                <w:shd w:val="clear" w:color="auto" w:fill="FFFFFF"/>
              </w:rPr>
            </w:pPr>
            <w:r>
              <w:rPr>
                <w:rFonts w:hint="eastAsia" w:ascii="宋体" w:hAnsi="宋体"/>
                <w:sz w:val="24"/>
                <w:szCs w:val="24"/>
                <w:shd w:val="clear" w:color="auto" w:fill="FFFFFF"/>
              </w:rPr>
              <w:t>12:30-13:30</w:t>
            </w:r>
          </w:p>
        </w:tc>
        <w:tc>
          <w:tcPr>
            <w:tcW w:w="2442" w:type="dxa"/>
            <w:tcBorders>
              <w:top w:val="single" w:color="auto" w:sz="4" w:space="0"/>
              <w:left w:val="single" w:color="auto" w:sz="4" w:space="0"/>
              <w:bottom w:val="single" w:color="auto" w:sz="4" w:space="0"/>
              <w:right w:val="single" w:color="auto" w:sz="4" w:space="0"/>
            </w:tcBorders>
            <w:vAlign w:val="center"/>
          </w:tcPr>
          <w:p>
            <w:pPr>
              <w:shd w:val="solid" w:color="FFFFFF" w:fill="auto"/>
              <w:autoSpaceDN w:val="0"/>
              <w:adjustRightInd w:val="0"/>
              <w:snapToGrid w:val="0"/>
              <w:jc w:val="center"/>
              <w:rPr>
                <w:rFonts w:ascii="宋体" w:hAnsi="宋体"/>
                <w:sz w:val="24"/>
                <w:szCs w:val="24"/>
                <w:shd w:val="clear" w:color="auto" w:fill="FFFFFF"/>
              </w:rPr>
            </w:pPr>
            <w:r>
              <w:rPr>
                <w:rFonts w:hint="eastAsia" w:ascii="宋体" w:hAnsi="宋体"/>
                <w:sz w:val="24"/>
                <w:szCs w:val="24"/>
                <w:shd w:val="clear" w:color="auto" w:fill="FFFFFF"/>
              </w:rPr>
              <w:t>午餐</w:t>
            </w:r>
          </w:p>
        </w:tc>
        <w:tc>
          <w:tcPr>
            <w:tcW w:w="1750" w:type="dxa"/>
            <w:tcBorders>
              <w:top w:val="single" w:color="auto" w:sz="4" w:space="0"/>
              <w:left w:val="single" w:color="auto" w:sz="4" w:space="0"/>
              <w:bottom w:val="single" w:color="auto" w:sz="4" w:space="0"/>
              <w:right w:val="single" w:color="auto" w:sz="4" w:space="0"/>
            </w:tcBorders>
            <w:vAlign w:val="center"/>
          </w:tcPr>
          <w:p>
            <w:pPr>
              <w:shd w:val="solid" w:color="FFFFFF" w:fill="auto"/>
              <w:autoSpaceDN w:val="0"/>
              <w:adjustRightInd w:val="0"/>
              <w:snapToGrid w:val="0"/>
              <w:jc w:val="center"/>
              <w:rPr>
                <w:rFonts w:ascii="宋体" w:hAnsi="宋体"/>
                <w:sz w:val="24"/>
                <w:szCs w:val="24"/>
                <w:shd w:val="clear" w:color="auto" w:fill="FFFFFF"/>
              </w:rPr>
            </w:pPr>
            <w:r>
              <w:rPr>
                <w:rFonts w:hint="eastAsia" w:ascii="宋体" w:hAnsi="宋体"/>
                <w:sz w:val="24"/>
                <w:szCs w:val="24"/>
                <w:shd w:val="clear" w:color="auto" w:fill="FFFFFF"/>
              </w:rPr>
              <w:t>参赛选手、裁判、工作人员</w:t>
            </w:r>
          </w:p>
        </w:tc>
        <w:tc>
          <w:tcPr>
            <w:tcW w:w="1276" w:type="dxa"/>
            <w:tcBorders>
              <w:top w:val="single" w:color="auto" w:sz="4" w:space="0"/>
              <w:left w:val="single" w:color="auto" w:sz="4" w:space="0"/>
              <w:bottom w:val="single" w:color="auto" w:sz="4" w:space="0"/>
              <w:right w:val="single" w:color="auto" w:sz="4" w:space="0"/>
            </w:tcBorders>
            <w:vAlign w:val="center"/>
          </w:tcPr>
          <w:p>
            <w:pPr>
              <w:shd w:val="solid" w:color="FFFFFF" w:fill="auto"/>
              <w:autoSpaceDN w:val="0"/>
              <w:adjustRightInd w:val="0"/>
              <w:snapToGrid w:val="0"/>
              <w:jc w:val="center"/>
              <w:rPr>
                <w:rFonts w:ascii="宋体" w:hAnsi="宋体"/>
                <w:sz w:val="24"/>
                <w:szCs w:val="24"/>
                <w:shd w:val="clear" w:color="auto" w:fill="FFFFFF"/>
              </w:rPr>
            </w:pPr>
            <w:r>
              <w:rPr>
                <w:rFonts w:hint="eastAsia" w:ascii="宋体" w:hAnsi="宋体"/>
                <w:sz w:val="24"/>
                <w:szCs w:val="24"/>
                <w:shd w:val="clear" w:color="auto" w:fill="FFFFFF"/>
              </w:rPr>
              <w:t>赛场</w:t>
            </w:r>
          </w:p>
        </w:tc>
        <w:tc>
          <w:tcPr>
            <w:tcW w:w="1431" w:type="dxa"/>
            <w:tcBorders>
              <w:top w:val="single" w:color="auto" w:sz="4" w:space="0"/>
              <w:left w:val="single" w:color="auto" w:sz="4" w:space="0"/>
              <w:bottom w:val="single" w:color="auto" w:sz="4" w:space="0"/>
              <w:right w:val="single" w:color="auto" w:sz="4" w:space="0"/>
            </w:tcBorders>
            <w:vAlign w:val="center"/>
          </w:tcPr>
          <w:p>
            <w:pPr>
              <w:shd w:val="solid" w:color="FFFFFF" w:fill="auto"/>
              <w:autoSpaceDN w:val="0"/>
              <w:adjustRightInd w:val="0"/>
              <w:snapToGrid w:val="0"/>
              <w:jc w:val="center"/>
              <w:rPr>
                <w:rFonts w:ascii="宋体" w:hAnsi="宋体"/>
                <w:sz w:val="24"/>
                <w:szCs w:val="24"/>
                <w:shd w:val="clear" w:color="auto" w:fill="FFFFFF"/>
              </w:rPr>
            </w:pPr>
            <w:r>
              <w:rPr>
                <w:rFonts w:hint="eastAsia" w:ascii="宋体" w:hAnsi="宋体"/>
                <w:sz w:val="24"/>
                <w:szCs w:val="24"/>
                <w:shd w:val="clear" w:color="auto" w:fill="FFFFFF"/>
              </w:rPr>
              <w:t>选手不允许离开竞赛场地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77" w:hRule="atLeast"/>
          <w:tblHeader/>
          <w:jc w:val="center"/>
        </w:trPr>
        <w:tc>
          <w:tcPr>
            <w:tcW w:w="1103" w:type="dxa"/>
            <w:vMerge w:val="continue"/>
            <w:tcBorders>
              <w:left w:val="single" w:color="auto" w:sz="4" w:space="0"/>
              <w:right w:val="single" w:color="auto" w:sz="4" w:space="0"/>
            </w:tcBorders>
            <w:vAlign w:val="center"/>
          </w:tcPr>
          <w:p>
            <w:pPr>
              <w:shd w:val="solid" w:color="FFFFFF" w:fill="auto"/>
              <w:autoSpaceDN w:val="0"/>
              <w:adjustRightInd w:val="0"/>
              <w:snapToGrid w:val="0"/>
              <w:jc w:val="center"/>
              <w:rPr>
                <w:rFonts w:ascii="宋体" w:hAnsi="宋体"/>
                <w:sz w:val="24"/>
                <w:szCs w:val="24"/>
                <w:shd w:val="clear" w:color="auto" w:fill="FFFFFF"/>
              </w:rPr>
            </w:pPr>
          </w:p>
        </w:tc>
        <w:tc>
          <w:tcPr>
            <w:tcW w:w="1559" w:type="dxa"/>
            <w:tcBorders>
              <w:top w:val="single" w:color="auto" w:sz="4" w:space="0"/>
              <w:left w:val="single" w:color="auto" w:sz="4" w:space="0"/>
              <w:bottom w:val="single" w:color="auto" w:sz="4" w:space="0"/>
              <w:right w:val="single" w:color="auto" w:sz="4" w:space="0"/>
            </w:tcBorders>
            <w:vAlign w:val="center"/>
          </w:tcPr>
          <w:p>
            <w:pPr>
              <w:shd w:val="solid" w:color="FFFFFF" w:fill="auto"/>
              <w:autoSpaceDN w:val="0"/>
              <w:adjustRightInd w:val="0"/>
              <w:snapToGrid w:val="0"/>
              <w:jc w:val="center"/>
              <w:rPr>
                <w:rFonts w:ascii="宋体" w:hAnsi="宋体"/>
                <w:sz w:val="24"/>
                <w:szCs w:val="24"/>
                <w:shd w:val="clear" w:color="auto" w:fill="FFFFFF"/>
              </w:rPr>
            </w:pPr>
            <w:r>
              <w:rPr>
                <w:rFonts w:hint="eastAsia" w:ascii="宋体" w:hAnsi="宋体"/>
                <w:sz w:val="24"/>
                <w:szCs w:val="24"/>
                <w:shd w:val="clear" w:color="auto" w:fill="FFFFFF"/>
              </w:rPr>
              <w:t>13:30-14:50</w:t>
            </w:r>
          </w:p>
        </w:tc>
        <w:tc>
          <w:tcPr>
            <w:tcW w:w="2442" w:type="dxa"/>
            <w:tcBorders>
              <w:top w:val="single" w:color="auto" w:sz="4" w:space="0"/>
              <w:left w:val="single" w:color="auto" w:sz="4" w:space="0"/>
              <w:bottom w:val="single" w:color="auto" w:sz="4" w:space="0"/>
              <w:right w:val="single" w:color="auto" w:sz="4" w:space="0"/>
            </w:tcBorders>
            <w:vAlign w:val="center"/>
          </w:tcPr>
          <w:p>
            <w:pPr>
              <w:shd w:val="solid" w:color="FFFFFF" w:fill="auto"/>
              <w:autoSpaceDN w:val="0"/>
              <w:adjustRightInd w:val="0"/>
              <w:snapToGrid w:val="0"/>
              <w:jc w:val="center"/>
              <w:rPr>
                <w:rFonts w:ascii="宋体" w:hAnsi="宋体"/>
                <w:sz w:val="24"/>
                <w:szCs w:val="24"/>
                <w:shd w:val="clear" w:color="auto" w:fill="FFFFFF"/>
              </w:rPr>
            </w:pPr>
            <w:r>
              <w:rPr>
                <w:rFonts w:hint="eastAsia" w:ascii="宋体" w:hAnsi="宋体"/>
                <w:sz w:val="24"/>
                <w:szCs w:val="24"/>
                <w:shd w:val="clear" w:color="auto" w:fill="FFFFFF"/>
              </w:rPr>
              <w:t>外贸跟单能力模块</w:t>
            </w:r>
          </w:p>
        </w:tc>
        <w:tc>
          <w:tcPr>
            <w:tcW w:w="1750" w:type="dxa"/>
            <w:tcBorders>
              <w:top w:val="single" w:color="auto" w:sz="4" w:space="0"/>
              <w:left w:val="single" w:color="auto" w:sz="4" w:space="0"/>
              <w:bottom w:val="single" w:color="auto" w:sz="4" w:space="0"/>
              <w:right w:val="single" w:color="auto" w:sz="4" w:space="0"/>
            </w:tcBorders>
            <w:vAlign w:val="center"/>
          </w:tcPr>
          <w:p>
            <w:pPr>
              <w:shd w:val="solid" w:color="FFFFFF" w:fill="auto"/>
              <w:autoSpaceDN w:val="0"/>
              <w:adjustRightInd w:val="0"/>
              <w:snapToGrid w:val="0"/>
              <w:jc w:val="center"/>
              <w:rPr>
                <w:rFonts w:ascii="宋体" w:hAnsi="宋体"/>
                <w:sz w:val="24"/>
                <w:szCs w:val="24"/>
                <w:shd w:val="clear" w:color="auto" w:fill="FFFFFF"/>
              </w:rPr>
            </w:pPr>
            <w:r>
              <w:rPr>
                <w:rFonts w:hint="eastAsia" w:ascii="宋体" w:hAnsi="宋体"/>
                <w:sz w:val="24"/>
                <w:szCs w:val="24"/>
                <w:shd w:val="clear" w:color="auto" w:fill="FFFFFF"/>
              </w:rPr>
              <w:t>参赛选手、裁判</w:t>
            </w:r>
          </w:p>
        </w:tc>
        <w:tc>
          <w:tcPr>
            <w:tcW w:w="1276" w:type="dxa"/>
            <w:tcBorders>
              <w:top w:val="single" w:color="auto" w:sz="4" w:space="0"/>
              <w:left w:val="single" w:color="auto" w:sz="4" w:space="0"/>
              <w:bottom w:val="single" w:color="auto" w:sz="4" w:space="0"/>
              <w:right w:val="single" w:color="auto" w:sz="4" w:space="0"/>
            </w:tcBorders>
            <w:vAlign w:val="center"/>
          </w:tcPr>
          <w:p>
            <w:pPr>
              <w:shd w:val="solid" w:color="FFFFFF" w:fill="auto"/>
              <w:autoSpaceDN w:val="0"/>
              <w:adjustRightInd w:val="0"/>
              <w:snapToGrid w:val="0"/>
              <w:jc w:val="center"/>
              <w:rPr>
                <w:rFonts w:ascii="宋体" w:hAnsi="宋体"/>
                <w:sz w:val="24"/>
                <w:szCs w:val="24"/>
                <w:shd w:val="clear" w:color="auto" w:fill="FFFFFF"/>
              </w:rPr>
            </w:pPr>
            <w:r>
              <w:rPr>
                <w:rFonts w:hint="eastAsia" w:ascii="宋体" w:hAnsi="宋体"/>
                <w:sz w:val="24"/>
                <w:szCs w:val="24"/>
                <w:shd w:val="clear" w:color="auto" w:fill="FFFFFF"/>
              </w:rPr>
              <w:t>赛场</w:t>
            </w:r>
          </w:p>
        </w:tc>
        <w:tc>
          <w:tcPr>
            <w:tcW w:w="1431" w:type="dxa"/>
            <w:tcBorders>
              <w:top w:val="single" w:color="auto" w:sz="4" w:space="0"/>
              <w:left w:val="single" w:color="auto" w:sz="4" w:space="0"/>
              <w:bottom w:val="single" w:color="auto" w:sz="4" w:space="0"/>
              <w:right w:val="single" w:color="auto" w:sz="4" w:space="0"/>
            </w:tcBorders>
            <w:vAlign w:val="center"/>
          </w:tcPr>
          <w:p>
            <w:pPr>
              <w:shd w:val="solid" w:color="FFFFFF" w:fill="auto"/>
              <w:autoSpaceDN w:val="0"/>
              <w:adjustRightInd w:val="0"/>
              <w:snapToGrid w:val="0"/>
              <w:jc w:val="center"/>
              <w:rPr>
                <w:rFonts w:ascii="宋体" w:hAnsi="宋体"/>
                <w:sz w:val="24"/>
                <w:szCs w:val="24"/>
                <w:shd w:val="clear" w:color="auto" w:fill="FFFFFF"/>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jc w:val="center"/>
        </w:trPr>
        <w:tc>
          <w:tcPr>
            <w:tcW w:w="1103" w:type="dxa"/>
            <w:vMerge w:val="continue"/>
            <w:tcBorders>
              <w:left w:val="single" w:color="auto" w:sz="4" w:space="0"/>
              <w:right w:val="single" w:color="auto" w:sz="4" w:space="0"/>
            </w:tcBorders>
            <w:vAlign w:val="center"/>
          </w:tcPr>
          <w:p>
            <w:pPr>
              <w:shd w:val="solid" w:color="FFFFFF" w:fill="auto"/>
              <w:autoSpaceDN w:val="0"/>
              <w:adjustRightInd w:val="0"/>
              <w:snapToGrid w:val="0"/>
              <w:jc w:val="center"/>
              <w:rPr>
                <w:rFonts w:ascii="宋体" w:hAnsi="宋体"/>
                <w:sz w:val="24"/>
                <w:szCs w:val="24"/>
                <w:shd w:val="clear" w:color="auto" w:fill="FFFFFF"/>
              </w:rPr>
            </w:pPr>
          </w:p>
        </w:tc>
        <w:tc>
          <w:tcPr>
            <w:tcW w:w="1559" w:type="dxa"/>
            <w:tcBorders>
              <w:top w:val="single" w:color="auto" w:sz="4" w:space="0"/>
              <w:left w:val="single" w:color="auto" w:sz="4" w:space="0"/>
              <w:bottom w:val="single" w:color="auto" w:sz="4" w:space="0"/>
              <w:right w:val="single" w:color="auto" w:sz="4" w:space="0"/>
            </w:tcBorders>
            <w:vAlign w:val="center"/>
          </w:tcPr>
          <w:p>
            <w:pPr>
              <w:shd w:val="solid" w:color="FFFFFF" w:fill="auto"/>
              <w:autoSpaceDN w:val="0"/>
              <w:adjustRightInd w:val="0"/>
              <w:snapToGrid w:val="0"/>
              <w:jc w:val="center"/>
              <w:rPr>
                <w:rFonts w:ascii="宋体" w:hAnsi="宋体"/>
                <w:sz w:val="24"/>
                <w:szCs w:val="24"/>
                <w:shd w:val="clear" w:color="auto" w:fill="FFFFFF"/>
              </w:rPr>
            </w:pPr>
            <w:r>
              <w:rPr>
                <w:rFonts w:hint="eastAsia" w:ascii="宋体" w:hAnsi="宋体"/>
                <w:sz w:val="24"/>
                <w:szCs w:val="24"/>
                <w:shd w:val="clear" w:color="auto" w:fill="FFFFFF"/>
              </w:rPr>
              <w:t>17:00</w:t>
            </w:r>
          </w:p>
        </w:tc>
        <w:tc>
          <w:tcPr>
            <w:tcW w:w="2442" w:type="dxa"/>
            <w:tcBorders>
              <w:top w:val="single" w:color="auto" w:sz="4" w:space="0"/>
              <w:left w:val="single" w:color="auto" w:sz="4" w:space="0"/>
              <w:bottom w:val="single" w:color="auto" w:sz="4" w:space="0"/>
              <w:right w:val="single" w:color="auto" w:sz="4" w:space="0"/>
            </w:tcBorders>
            <w:vAlign w:val="center"/>
          </w:tcPr>
          <w:p>
            <w:pPr>
              <w:shd w:val="solid" w:color="FFFFFF" w:fill="auto"/>
              <w:autoSpaceDN w:val="0"/>
              <w:adjustRightInd w:val="0"/>
              <w:snapToGrid w:val="0"/>
              <w:jc w:val="center"/>
              <w:rPr>
                <w:rFonts w:ascii="宋体" w:hAnsi="宋体"/>
                <w:sz w:val="24"/>
                <w:szCs w:val="24"/>
                <w:shd w:val="clear" w:color="auto" w:fill="FFFFFF"/>
              </w:rPr>
            </w:pPr>
            <w:r>
              <w:rPr>
                <w:rFonts w:hint="eastAsia" w:ascii="宋体" w:hAnsi="宋体"/>
                <w:sz w:val="24"/>
                <w:szCs w:val="24"/>
                <w:shd w:val="clear" w:color="auto" w:fill="FFFFFF"/>
              </w:rPr>
              <w:t>晚餐</w:t>
            </w:r>
          </w:p>
        </w:tc>
        <w:tc>
          <w:tcPr>
            <w:tcW w:w="1750" w:type="dxa"/>
            <w:tcBorders>
              <w:top w:val="single" w:color="auto" w:sz="4" w:space="0"/>
              <w:left w:val="single" w:color="auto" w:sz="4" w:space="0"/>
              <w:bottom w:val="single" w:color="auto" w:sz="4" w:space="0"/>
              <w:right w:val="single" w:color="auto" w:sz="4" w:space="0"/>
            </w:tcBorders>
            <w:vAlign w:val="center"/>
          </w:tcPr>
          <w:p>
            <w:pPr>
              <w:shd w:val="solid" w:color="FFFFFF" w:fill="auto"/>
              <w:autoSpaceDN w:val="0"/>
              <w:adjustRightInd w:val="0"/>
              <w:snapToGrid w:val="0"/>
              <w:jc w:val="center"/>
              <w:rPr>
                <w:rFonts w:ascii="宋体" w:hAnsi="宋体"/>
                <w:sz w:val="24"/>
                <w:szCs w:val="24"/>
                <w:shd w:val="clear" w:color="auto" w:fill="FFFFFF"/>
              </w:rPr>
            </w:pPr>
            <w:r>
              <w:rPr>
                <w:rFonts w:hint="eastAsia" w:ascii="宋体" w:hAnsi="宋体"/>
                <w:sz w:val="24"/>
                <w:szCs w:val="24"/>
                <w:shd w:val="clear" w:color="auto" w:fill="FFFFFF"/>
              </w:rPr>
              <w:t>参赛选手、指导教师、裁判、工作人员</w:t>
            </w:r>
          </w:p>
        </w:tc>
        <w:tc>
          <w:tcPr>
            <w:tcW w:w="1276" w:type="dxa"/>
            <w:tcBorders>
              <w:top w:val="single" w:color="auto" w:sz="4" w:space="0"/>
              <w:left w:val="single" w:color="auto" w:sz="4" w:space="0"/>
              <w:bottom w:val="single" w:color="auto" w:sz="4" w:space="0"/>
              <w:right w:val="single" w:color="auto" w:sz="4" w:space="0"/>
            </w:tcBorders>
            <w:vAlign w:val="center"/>
          </w:tcPr>
          <w:p>
            <w:pPr>
              <w:shd w:val="solid" w:color="FFFFFF" w:fill="auto"/>
              <w:autoSpaceDN w:val="0"/>
              <w:adjustRightInd w:val="0"/>
              <w:snapToGrid w:val="0"/>
              <w:jc w:val="center"/>
              <w:rPr>
                <w:rFonts w:ascii="宋体" w:hAnsi="宋体"/>
                <w:sz w:val="24"/>
                <w:szCs w:val="24"/>
                <w:shd w:val="clear" w:color="auto" w:fill="FFFFFF"/>
              </w:rPr>
            </w:pPr>
            <w:r>
              <w:rPr>
                <w:rFonts w:hint="eastAsia" w:ascii="宋体" w:hAnsi="宋体"/>
                <w:sz w:val="24"/>
                <w:szCs w:val="24"/>
                <w:shd w:val="clear" w:color="auto" w:fill="FFFFFF"/>
              </w:rPr>
              <w:t xml:space="preserve"> 赛场、</w:t>
            </w:r>
          </w:p>
          <w:p>
            <w:pPr>
              <w:shd w:val="solid" w:color="FFFFFF" w:fill="auto"/>
              <w:autoSpaceDN w:val="0"/>
              <w:adjustRightInd w:val="0"/>
              <w:snapToGrid w:val="0"/>
              <w:jc w:val="center"/>
              <w:rPr>
                <w:rFonts w:ascii="宋体" w:hAnsi="宋体"/>
                <w:sz w:val="24"/>
                <w:szCs w:val="24"/>
                <w:shd w:val="clear" w:color="auto" w:fill="FFFFFF"/>
              </w:rPr>
            </w:pPr>
            <w:r>
              <w:rPr>
                <w:rFonts w:hint="eastAsia" w:ascii="宋体" w:hAnsi="宋体"/>
                <w:sz w:val="24"/>
                <w:szCs w:val="24"/>
                <w:shd w:val="clear" w:color="auto" w:fill="FFFFFF"/>
              </w:rPr>
              <w:t>观摩区</w:t>
            </w:r>
          </w:p>
        </w:tc>
        <w:tc>
          <w:tcPr>
            <w:tcW w:w="1431" w:type="dxa"/>
            <w:tcBorders>
              <w:top w:val="single" w:color="auto" w:sz="4" w:space="0"/>
              <w:left w:val="single" w:color="auto" w:sz="4" w:space="0"/>
              <w:bottom w:val="single" w:color="auto" w:sz="4" w:space="0"/>
              <w:right w:val="single" w:color="auto" w:sz="4" w:space="0"/>
            </w:tcBorders>
            <w:vAlign w:val="center"/>
          </w:tcPr>
          <w:p>
            <w:pPr>
              <w:shd w:val="solid" w:color="FFFFFF" w:fill="auto"/>
              <w:autoSpaceDN w:val="0"/>
              <w:adjustRightInd w:val="0"/>
              <w:snapToGrid w:val="0"/>
              <w:jc w:val="center"/>
              <w:rPr>
                <w:rFonts w:ascii="宋体" w:hAnsi="宋体"/>
                <w:sz w:val="24"/>
                <w:szCs w:val="24"/>
                <w:shd w:val="clear" w:color="auto" w:fill="FFFFFF"/>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3" w:hRule="atLeast"/>
          <w:tblHeader/>
          <w:jc w:val="center"/>
        </w:trPr>
        <w:tc>
          <w:tcPr>
            <w:tcW w:w="1103" w:type="dxa"/>
            <w:vMerge w:val="continue"/>
            <w:tcBorders>
              <w:left w:val="single" w:color="auto" w:sz="4" w:space="0"/>
              <w:bottom w:val="single" w:color="auto" w:sz="4" w:space="0"/>
              <w:right w:val="single" w:color="auto" w:sz="4" w:space="0"/>
            </w:tcBorders>
            <w:vAlign w:val="center"/>
          </w:tcPr>
          <w:p>
            <w:pPr>
              <w:shd w:val="solid" w:color="FFFFFF" w:fill="auto"/>
              <w:autoSpaceDN w:val="0"/>
              <w:adjustRightInd w:val="0"/>
              <w:snapToGrid w:val="0"/>
              <w:jc w:val="center"/>
              <w:rPr>
                <w:rFonts w:ascii="宋体" w:hAnsi="宋体"/>
                <w:sz w:val="24"/>
                <w:szCs w:val="24"/>
                <w:shd w:val="clear" w:color="auto" w:fill="FFFFFF"/>
              </w:rPr>
            </w:pPr>
          </w:p>
        </w:tc>
        <w:tc>
          <w:tcPr>
            <w:tcW w:w="1559" w:type="dxa"/>
            <w:tcBorders>
              <w:top w:val="single" w:color="auto" w:sz="4" w:space="0"/>
              <w:left w:val="single" w:color="auto" w:sz="4" w:space="0"/>
              <w:bottom w:val="single" w:color="auto" w:sz="4" w:space="0"/>
              <w:right w:val="single" w:color="auto" w:sz="4" w:space="0"/>
            </w:tcBorders>
            <w:vAlign w:val="center"/>
          </w:tcPr>
          <w:p>
            <w:pPr>
              <w:shd w:val="solid" w:color="FFFFFF" w:fill="auto"/>
              <w:autoSpaceDN w:val="0"/>
              <w:adjustRightInd w:val="0"/>
              <w:snapToGrid w:val="0"/>
              <w:jc w:val="center"/>
              <w:rPr>
                <w:rFonts w:ascii="宋体" w:hAnsi="宋体"/>
                <w:sz w:val="24"/>
                <w:szCs w:val="24"/>
                <w:shd w:val="clear" w:color="auto" w:fill="FFFFFF"/>
              </w:rPr>
            </w:pPr>
            <w:r>
              <w:rPr>
                <w:rFonts w:hint="eastAsia" w:ascii="宋体" w:hAnsi="宋体"/>
                <w:sz w:val="24"/>
                <w:szCs w:val="24"/>
                <w:shd w:val="clear" w:color="auto" w:fill="FFFFFF"/>
              </w:rPr>
              <w:t>18:00-19:00</w:t>
            </w:r>
          </w:p>
        </w:tc>
        <w:tc>
          <w:tcPr>
            <w:tcW w:w="2442" w:type="dxa"/>
            <w:tcBorders>
              <w:top w:val="single" w:color="auto" w:sz="4" w:space="0"/>
              <w:left w:val="single" w:color="auto" w:sz="4" w:space="0"/>
              <w:bottom w:val="single" w:color="auto" w:sz="4" w:space="0"/>
              <w:right w:val="single" w:color="auto" w:sz="4" w:space="0"/>
            </w:tcBorders>
            <w:vAlign w:val="center"/>
          </w:tcPr>
          <w:p>
            <w:pPr>
              <w:shd w:val="solid" w:color="FFFFFF" w:fill="auto"/>
              <w:autoSpaceDN w:val="0"/>
              <w:adjustRightInd w:val="0"/>
              <w:snapToGrid w:val="0"/>
              <w:jc w:val="center"/>
              <w:rPr>
                <w:rFonts w:ascii="宋体" w:hAnsi="宋体"/>
                <w:sz w:val="24"/>
                <w:szCs w:val="24"/>
                <w:shd w:val="clear" w:color="auto" w:fill="FFFFFF"/>
              </w:rPr>
            </w:pPr>
            <w:r>
              <w:rPr>
                <w:rFonts w:hint="eastAsia" w:ascii="宋体" w:hAnsi="宋体"/>
                <w:sz w:val="24"/>
                <w:szCs w:val="24"/>
                <w:shd w:val="clear" w:color="auto" w:fill="FFFFFF"/>
              </w:rPr>
              <w:t>闭赛式</w:t>
            </w:r>
          </w:p>
        </w:tc>
        <w:tc>
          <w:tcPr>
            <w:tcW w:w="1750" w:type="dxa"/>
            <w:tcBorders>
              <w:top w:val="single" w:color="auto" w:sz="4" w:space="0"/>
              <w:left w:val="single" w:color="auto" w:sz="4" w:space="0"/>
              <w:bottom w:val="single" w:color="auto" w:sz="4" w:space="0"/>
              <w:right w:val="single" w:color="auto" w:sz="4" w:space="0"/>
            </w:tcBorders>
            <w:vAlign w:val="center"/>
          </w:tcPr>
          <w:p>
            <w:pPr>
              <w:shd w:val="solid" w:color="FFFFFF" w:fill="auto"/>
              <w:autoSpaceDN w:val="0"/>
              <w:adjustRightInd w:val="0"/>
              <w:snapToGrid w:val="0"/>
              <w:jc w:val="center"/>
              <w:rPr>
                <w:rFonts w:ascii="宋体" w:hAnsi="宋体"/>
                <w:sz w:val="24"/>
                <w:szCs w:val="24"/>
                <w:shd w:val="clear" w:color="auto" w:fill="FFFFFF"/>
              </w:rPr>
            </w:pPr>
            <w:r>
              <w:rPr>
                <w:rFonts w:hint="eastAsia" w:ascii="宋体" w:hAnsi="宋体"/>
                <w:sz w:val="24"/>
                <w:szCs w:val="24"/>
                <w:shd w:val="clear" w:color="auto" w:fill="FFFFFF"/>
              </w:rPr>
              <w:t>领导嘉宾、各工作组、各参赛队</w:t>
            </w:r>
          </w:p>
        </w:tc>
        <w:tc>
          <w:tcPr>
            <w:tcW w:w="1276" w:type="dxa"/>
            <w:tcBorders>
              <w:top w:val="single" w:color="auto" w:sz="4" w:space="0"/>
              <w:left w:val="single" w:color="auto" w:sz="4" w:space="0"/>
              <w:bottom w:val="single" w:color="auto" w:sz="4" w:space="0"/>
              <w:right w:val="single" w:color="auto" w:sz="4" w:space="0"/>
            </w:tcBorders>
            <w:vAlign w:val="center"/>
          </w:tcPr>
          <w:p>
            <w:pPr>
              <w:shd w:val="solid" w:color="FFFFFF" w:fill="auto"/>
              <w:autoSpaceDN w:val="0"/>
              <w:adjustRightInd w:val="0"/>
              <w:snapToGrid w:val="0"/>
              <w:jc w:val="center"/>
              <w:rPr>
                <w:rFonts w:ascii="宋体" w:hAnsi="宋体"/>
                <w:sz w:val="24"/>
                <w:szCs w:val="24"/>
                <w:shd w:val="clear" w:color="auto" w:fill="FFFFFF"/>
              </w:rPr>
            </w:pPr>
            <w:r>
              <w:rPr>
                <w:rFonts w:hint="eastAsia" w:ascii="宋体" w:hAnsi="宋体"/>
                <w:sz w:val="24"/>
                <w:szCs w:val="24"/>
                <w:shd w:val="clear" w:color="auto" w:fill="FFFFFF"/>
              </w:rPr>
              <w:t>赛场</w:t>
            </w:r>
          </w:p>
        </w:tc>
        <w:tc>
          <w:tcPr>
            <w:tcW w:w="1431" w:type="dxa"/>
            <w:tcBorders>
              <w:top w:val="single" w:color="auto" w:sz="4" w:space="0"/>
              <w:left w:val="single" w:color="auto" w:sz="4" w:space="0"/>
              <w:bottom w:val="single" w:color="auto" w:sz="4" w:space="0"/>
              <w:right w:val="single" w:color="auto" w:sz="4" w:space="0"/>
            </w:tcBorders>
            <w:vAlign w:val="center"/>
          </w:tcPr>
          <w:p>
            <w:pPr>
              <w:shd w:val="solid" w:color="FFFFFF" w:fill="auto"/>
              <w:autoSpaceDN w:val="0"/>
              <w:adjustRightInd w:val="0"/>
              <w:snapToGrid w:val="0"/>
              <w:jc w:val="center"/>
              <w:rPr>
                <w:rFonts w:ascii="宋体" w:hAnsi="宋体"/>
                <w:sz w:val="24"/>
                <w:szCs w:val="24"/>
                <w:shd w:val="clear" w:color="auto" w:fill="FFFFFF"/>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4" w:hRule="atLeast"/>
          <w:tblHeader/>
          <w:jc w:val="center"/>
        </w:trPr>
        <w:tc>
          <w:tcPr>
            <w:tcW w:w="1103" w:type="dxa"/>
            <w:tcBorders>
              <w:top w:val="single" w:color="auto" w:sz="4" w:space="0"/>
              <w:left w:val="single" w:color="auto" w:sz="4" w:space="0"/>
              <w:bottom w:val="single" w:color="auto" w:sz="4" w:space="0"/>
              <w:right w:val="single" w:color="auto" w:sz="4" w:space="0"/>
            </w:tcBorders>
            <w:vAlign w:val="center"/>
          </w:tcPr>
          <w:p>
            <w:pPr>
              <w:shd w:val="solid" w:color="FFFFFF" w:fill="auto"/>
              <w:autoSpaceDN w:val="0"/>
              <w:adjustRightInd w:val="0"/>
              <w:snapToGrid w:val="0"/>
              <w:jc w:val="center"/>
              <w:rPr>
                <w:rFonts w:ascii="宋体" w:hAnsi="宋体"/>
                <w:sz w:val="24"/>
                <w:szCs w:val="24"/>
                <w:shd w:val="clear" w:color="auto" w:fill="FFFFFF"/>
              </w:rPr>
            </w:pPr>
            <w:r>
              <w:rPr>
                <w:rFonts w:hint="eastAsia" w:ascii="宋体" w:hAnsi="宋体"/>
                <w:sz w:val="24"/>
                <w:szCs w:val="24"/>
                <w:shd w:val="clear" w:color="auto" w:fill="FFFFFF"/>
              </w:rPr>
              <w:t>返程日</w:t>
            </w:r>
          </w:p>
        </w:tc>
        <w:tc>
          <w:tcPr>
            <w:tcW w:w="1559" w:type="dxa"/>
            <w:tcBorders>
              <w:top w:val="single" w:color="auto" w:sz="4" w:space="0"/>
              <w:left w:val="single" w:color="auto" w:sz="4" w:space="0"/>
              <w:bottom w:val="single" w:color="auto" w:sz="4" w:space="0"/>
              <w:right w:val="single" w:color="auto" w:sz="4" w:space="0"/>
            </w:tcBorders>
            <w:vAlign w:val="center"/>
          </w:tcPr>
          <w:p>
            <w:pPr>
              <w:shd w:val="solid" w:color="FFFFFF" w:fill="auto"/>
              <w:autoSpaceDN w:val="0"/>
              <w:adjustRightInd w:val="0"/>
              <w:snapToGrid w:val="0"/>
              <w:jc w:val="center"/>
              <w:rPr>
                <w:rFonts w:ascii="宋体" w:hAnsi="宋体"/>
                <w:sz w:val="24"/>
                <w:szCs w:val="24"/>
                <w:shd w:val="clear" w:color="auto" w:fill="FFFFFF"/>
              </w:rPr>
            </w:pPr>
          </w:p>
        </w:tc>
        <w:tc>
          <w:tcPr>
            <w:tcW w:w="2442" w:type="dxa"/>
            <w:tcBorders>
              <w:top w:val="single" w:color="auto" w:sz="4" w:space="0"/>
              <w:left w:val="single" w:color="auto" w:sz="4" w:space="0"/>
              <w:bottom w:val="single" w:color="auto" w:sz="4" w:space="0"/>
              <w:right w:val="single" w:color="auto" w:sz="4" w:space="0"/>
            </w:tcBorders>
            <w:vAlign w:val="center"/>
          </w:tcPr>
          <w:p>
            <w:pPr>
              <w:shd w:val="solid" w:color="FFFFFF" w:fill="auto"/>
              <w:autoSpaceDN w:val="0"/>
              <w:adjustRightInd w:val="0"/>
              <w:snapToGrid w:val="0"/>
              <w:jc w:val="center"/>
              <w:rPr>
                <w:rFonts w:ascii="宋体" w:hAnsi="宋体"/>
                <w:sz w:val="24"/>
                <w:szCs w:val="24"/>
                <w:shd w:val="clear" w:color="auto" w:fill="FFFFFF"/>
              </w:rPr>
            </w:pPr>
            <w:r>
              <w:rPr>
                <w:rFonts w:hint="eastAsia" w:ascii="宋体" w:hAnsi="宋体"/>
                <w:sz w:val="24"/>
                <w:szCs w:val="24"/>
                <w:shd w:val="clear" w:color="auto" w:fill="FFFFFF"/>
              </w:rPr>
              <w:t>所有参赛队返程</w:t>
            </w:r>
          </w:p>
        </w:tc>
        <w:tc>
          <w:tcPr>
            <w:tcW w:w="1750" w:type="dxa"/>
            <w:tcBorders>
              <w:top w:val="single" w:color="auto" w:sz="4" w:space="0"/>
              <w:left w:val="single" w:color="auto" w:sz="4" w:space="0"/>
              <w:bottom w:val="single" w:color="auto" w:sz="4" w:space="0"/>
              <w:right w:val="single" w:color="auto" w:sz="4" w:space="0"/>
            </w:tcBorders>
            <w:vAlign w:val="center"/>
          </w:tcPr>
          <w:p>
            <w:pPr>
              <w:shd w:val="solid" w:color="FFFFFF" w:fill="auto"/>
              <w:autoSpaceDN w:val="0"/>
              <w:adjustRightInd w:val="0"/>
              <w:snapToGrid w:val="0"/>
              <w:jc w:val="center"/>
              <w:rPr>
                <w:rFonts w:ascii="宋体" w:hAnsi="宋体"/>
                <w:sz w:val="24"/>
                <w:szCs w:val="24"/>
                <w:shd w:val="clear" w:color="auto" w:fill="FFFFFF"/>
              </w:rPr>
            </w:pPr>
          </w:p>
        </w:tc>
        <w:tc>
          <w:tcPr>
            <w:tcW w:w="1276" w:type="dxa"/>
            <w:tcBorders>
              <w:top w:val="single" w:color="auto" w:sz="4" w:space="0"/>
              <w:left w:val="single" w:color="auto" w:sz="4" w:space="0"/>
              <w:bottom w:val="single" w:color="auto" w:sz="4" w:space="0"/>
              <w:right w:val="single" w:color="auto" w:sz="4" w:space="0"/>
            </w:tcBorders>
            <w:vAlign w:val="center"/>
          </w:tcPr>
          <w:p>
            <w:pPr>
              <w:shd w:val="solid" w:color="FFFFFF" w:fill="auto"/>
              <w:autoSpaceDN w:val="0"/>
              <w:adjustRightInd w:val="0"/>
              <w:snapToGrid w:val="0"/>
              <w:jc w:val="center"/>
              <w:rPr>
                <w:rFonts w:ascii="宋体" w:hAnsi="宋体"/>
                <w:sz w:val="24"/>
                <w:szCs w:val="24"/>
                <w:shd w:val="clear" w:color="auto" w:fill="FFFFFF"/>
              </w:rPr>
            </w:pPr>
          </w:p>
        </w:tc>
        <w:tc>
          <w:tcPr>
            <w:tcW w:w="1431" w:type="dxa"/>
            <w:tcBorders>
              <w:top w:val="single" w:color="auto" w:sz="4" w:space="0"/>
              <w:left w:val="single" w:color="auto" w:sz="4" w:space="0"/>
              <w:bottom w:val="single" w:color="auto" w:sz="4" w:space="0"/>
              <w:right w:val="single" w:color="auto" w:sz="4" w:space="0"/>
            </w:tcBorders>
            <w:vAlign w:val="center"/>
          </w:tcPr>
          <w:p>
            <w:pPr>
              <w:shd w:val="solid" w:color="FFFFFF" w:fill="auto"/>
              <w:autoSpaceDN w:val="0"/>
              <w:adjustRightInd w:val="0"/>
              <w:snapToGrid w:val="0"/>
              <w:jc w:val="center"/>
              <w:rPr>
                <w:rFonts w:ascii="宋体" w:hAnsi="宋体"/>
                <w:sz w:val="24"/>
                <w:szCs w:val="24"/>
                <w:shd w:val="clear" w:color="auto" w:fill="FFFFFF"/>
              </w:rPr>
            </w:pPr>
          </w:p>
        </w:tc>
      </w:tr>
    </w:tbl>
    <w:p>
      <w:pPr>
        <w:pStyle w:val="2"/>
        <w:ind w:firstLine="600"/>
        <w:rPr>
          <w:rFonts w:ascii="Arial Narrow" w:hAnsi="Arial Narrow" w:eastAsia="仿宋_GB2312" w:cs="Arial"/>
        </w:rPr>
      </w:pPr>
      <w:bookmarkStart w:id="11" w:name="_Toc522017697"/>
      <w:r>
        <w:rPr>
          <w:rFonts w:hint="eastAsia"/>
        </w:rPr>
        <w:t>九、竞赛试题</w:t>
      </w:r>
      <w:bookmarkEnd w:id="11"/>
    </w:p>
    <w:p>
      <w:pPr>
        <w:spacing w:line="560" w:lineRule="exact"/>
        <w:ind w:firstLine="600" w:firstLineChars="200"/>
        <w:rPr>
          <w:rFonts w:ascii="仿宋_GB2312" w:hAnsi="Arial Narrow" w:eastAsia="仿宋_GB2312" w:cs="Arial"/>
          <w:sz w:val="30"/>
          <w:szCs w:val="30"/>
        </w:rPr>
      </w:pPr>
      <w:r>
        <w:rPr>
          <w:rFonts w:hint="eastAsia" w:ascii="仿宋_GB2312" w:hAnsi="Arial Narrow" w:eastAsia="仿宋_GB2312" w:cs="Arial"/>
          <w:sz w:val="30"/>
          <w:szCs w:val="30"/>
        </w:rPr>
        <w:t>本赛项包括外贸业务能力B2B、外贸业务能力B2C、外贸跟单能力、外贸英语沟通能力四个模块，均备有赛题库。其中外贸业务能力B2B模块赛题库含赛卷20套，外贸业务能力B2C模块赛题库含赛卷10套，外贸跟单能力模块赛题库含赛卷20套，外贸英语沟通能力模块赛题库含赛卷10套。范例如下：</w:t>
      </w:r>
    </w:p>
    <w:p>
      <w:pPr>
        <w:spacing w:line="560" w:lineRule="exact"/>
        <w:ind w:firstLine="560" w:firstLineChars="200"/>
        <w:rPr>
          <w:rFonts w:ascii="仿宋_GB2312" w:hAnsi="仿宋" w:eastAsia="仿宋_GB2312" w:cs="宋体"/>
          <w:sz w:val="30"/>
          <w:szCs w:val="30"/>
        </w:rPr>
      </w:pPr>
      <w:r>
        <w:rPr>
          <w:rFonts w:hint="eastAsia" w:ascii="仿宋_GB2312" w:hAnsi="Arial Narrow" w:eastAsia="仿宋_GB2312" w:cs="宋体"/>
          <w:sz w:val="28"/>
          <w:szCs w:val="28"/>
        </w:rPr>
        <w:t>★</w:t>
      </w:r>
      <w:r>
        <w:rPr>
          <w:rFonts w:hint="eastAsia" w:ascii="仿宋_GB2312" w:hAnsi="仿宋" w:eastAsia="仿宋_GB2312" w:cs="宋体"/>
          <w:sz w:val="30"/>
          <w:szCs w:val="30"/>
        </w:rPr>
        <w:t>外贸业务能力B2B模块</w:t>
      </w:r>
    </w:p>
    <w:p>
      <w:pPr>
        <w:spacing w:line="560" w:lineRule="exact"/>
        <w:ind w:firstLine="600" w:firstLineChars="200"/>
        <w:rPr>
          <w:rFonts w:ascii="仿宋_GB2312" w:hAnsi="仿宋" w:eastAsia="仿宋_GB2312" w:cs="宋体"/>
          <w:sz w:val="30"/>
          <w:szCs w:val="30"/>
        </w:rPr>
      </w:pPr>
      <w:r>
        <w:rPr>
          <w:rFonts w:hint="eastAsia" w:ascii="仿宋_GB2312" w:hAnsi="仿宋" w:eastAsia="仿宋_GB2312" w:cs="宋体"/>
          <w:sz w:val="30"/>
          <w:szCs w:val="30"/>
        </w:rPr>
        <w:t>考察内容包括B2B跨境电子商务平台推广及外贸业务操作两部分。选手通过B2B跨境电子商务平台推广公司和产品，带来业务机会。</w:t>
      </w:r>
    </w:p>
    <w:p>
      <w:pPr>
        <w:spacing w:line="560" w:lineRule="exact"/>
        <w:ind w:firstLine="600" w:firstLineChars="200"/>
        <w:rPr>
          <w:rFonts w:ascii="仿宋_GB2312" w:hAnsi="仿宋" w:eastAsia="仿宋_GB2312" w:cs="宋体"/>
          <w:sz w:val="30"/>
          <w:szCs w:val="30"/>
        </w:rPr>
      </w:pPr>
      <w:r>
        <w:rPr>
          <w:rFonts w:hint="eastAsia" w:ascii="仿宋_GB2312" w:hAnsi="仿宋" w:eastAsia="仿宋_GB2312" w:cs="宋体"/>
          <w:sz w:val="30"/>
          <w:szCs w:val="30"/>
        </w:rPr>
        <w:t>背景资料：</w:t>
      </w:r>
    </w:p>
    <w:p>
      <w:pPr>
        <w:snapToGrid w:val="0"/>
        <w:spacing w:line="560" w:lineRule="exact"/>
        <w:ind w:firstLine="600" w:firstLineChars="200"/>
        <w:rPr>
          <w:rFonts w:ascii="仿宋_GB2312" w:hAnsi="仿宋" w:eastAsia="仿宋_GB2312" w:cs="Arial"/>
          <w:kern w:val="0"/>
          <w:sz w:val="30"/>
          <w:szCs w:val="30"/>
        </w:rPr>
      </w:pPr>
      <w:r>
        <w:rPr>
          <w:rFonts w:hint="eastAsia" w:ascii="仿宋_GB2312" w:hAnsi="仿宋" w:eastAsia="仿宋_GB2312" w:cs="Arial"/>
          <w:kern w:val="0"/>
          <w:sz w:val="30"/>
          <w:szCs w:val="30"/>
        </w:rPr>
        <w:t>贸易国家：中国、日本</w:t>
      </w:r>
    </w:p>
    <w:p>
      <w:pPr>
        <w:spacing w:line="560" w:lineRule="exact"/>
        <w:ind w:firstLine="600" w:firstLineChars="200"/>
        <w:rPr>
          <w:rFonts w:ascii="仿宋_GB2312" w:hAnsi="仿宋" w:eastAsia="仿宋_GB2312" w:cs="宋体"/>
          <w:sz w:val="30"/>
          <w:szCs w:val="30"/>
        </w:rPr>
      </w:pPr>
      <w:r>
        <w:rPr>
          <w:rFonts w:hint="eastAsia" w:ascii="仿宋_GB2312" w:hAnsi="仿宋" w:eastAsia="仿宋_GB2312" w:cs="宋体"/>
          <w:sz w:val="30"/>
          <w:szCs w:val="30"/>
        </w:rPr>
        <w:t>（一）注册公司</w:t>
      </w:r>
    </w:p>
    <w:p>
      <w:pPr>
        <w:spacing w:line="560" w:lineRule="exact"/>
        <w:ind w:firstLine="600" w:firstLineChars="200"/>
        <w:rPr>
          <w:rFonts w:ascii="仿宋_GB2312" w:hAnsi="仿宋" w:eastAsia="仿宋_GB2312" w:cs="宋体"/>
          <w:sz w:val="30"/>
          <w:szCs w:val="30"/>
        </w:rPr>
      </w:pPr>
      <w:r>
        <w:rPr>
          <w:rFonts w:hint="eastAsia" w:ascii="仿宋_GB2312" w:hAnsi="仿宋" w:eastAsia="仿宋_GB2312" w:cs="宋体"/>
          <w:sz w:val="30"/>
          <w:szCs w:val="30"/>
        </w:rPr>
        <w:t>公司已完成注册，无需选手自己填写。</w:t>
      </w:r>
    </w:p>
    <w:p>
      <w:pPr>
        <w:spacing w:line="560" w:lineRule="exact"/>
        <w:ind w:firstLine="600" w:firstLineChars="200"/>
        <w:rPr>
          <w:rFonts w:ascii="仿宋_GB2312" w:hAnsi="仿宋" w:eastAsia="仿宋_GB2312" w:cs="宋体"/>
          <w:sz w:val="30"/>
          <w:szCs w:val="30"/>
        </w:rPr>
      </w:pPr>
      <w:r>
        <w:rPr>
          <w:rFonts w:hint="eastAsia" w:ascii="仿宋_GB2312" w:hAnsi="仿宋" w:eastAsia="仿宋_GB2312" w:cs="宋体"/>
          <w:sz w:val="30"/>
          <w:szCs w:val="30"/>
        </w:rPr>
        <w:t>（二）业务推广</w:t>
      </w:r>
    </w:p>
    <w:p>
      <w:pPr>
        <w:spacing w:line="560" w:lineRule="exact"/>
        <w:ind w:firstLine="600" w:firstLineChars="200"/>
        <w:rPr>
          <w:rFonts w:ascii="仿宋_GB2312" w:hAnsi="仿宋" w:eastAsia="仿宋_GB2312" w:cs="宋体"/>
          <w:sz w:val="30"/>
          <w:szCs w:val="30"/>
        </w:rPr>
      </w:pPr>
      <w:r>
        <w:rPr>
          <w:rFonts w:hint="eastAsia" w:ascii="仿宋_GB2312" w:hAnsi="仿宋" w:eastAsia="仿宋_GB2312" w:cs="宋体"/>
          <w:sz w:val="30"/>
          <w:szCs w:val="30"/>
        </w:rPr>
        <w:t>通过B2B跨境电子商务平台进行公司和产品的推广和宣传，获得进出口业务机会。</w:t>
      </w:r>
    </w:p>
    <w:p>
      <w:pPr>
        <w:spacing w:line="560" w:lineRule="exact"/>
        <w:ind w:firstLine="600" w:firstLineChars="200"/>
        <w:rPr>
          <w:rFonts w:ascii="仿宋_GB2312" w:hAnsi="仿宋" w:eastAsia="仿宋_GB2312" w:cs="宋体"/>
          <w:sz w:val="30"/>
          <w:szCs w:val="30"/>
        </w:rPr>
      </w:pPr>
      <w:r>
        <w:rPr>
          <w:rFonts w:hint="eastAsia" w:ascii="仿宋_GB2312" w:hAnsi="仿宋" w:eastAsia="仿宋_GB2312" w:cs="宋体"/>
          <w:sz w:val="30"/>
          <w:szCs w:val="30"/>
        </w:rPr>
        <w:t>1.建站管理</w:t>
      </w:r>
    </w:p>
    <w:p>
      <w:pPr>
        <w:spacing w:line="560" w:lineRule="exact"/>
        <w:ind w:firstLine="600" w:firstLineChars="200"/>
        <w:rPr>
          <w:rFonts w:ascii="仿宋_GB2312" w:hAnsi="仿宋" w:eastAsia="仿宋_GB2312" w:cs="宋体"/>
          <w:sz w:val="30"/>
          <w:szCs w:val="30"/>
        </w:rPr>
      </w:pPr>
      <w:r>
        <w:rPr>
          <w:rFonts w:hint="eastAsia" w:ascii="仿宋_GB2312" w:hAnsi="仿宋" w:eastAsia="仿宋_GB2312" w:cs="宋体"/>
          <w:sz w:val="30"/>
          <w:szCs w:val="30"/>
        </w:rPr>
        <w:t>（1）管理公司信息</w:t>
      </w:r>
    </w:p>
    <w:p>
      <w:pPr>
        <w:spacing w:line="560" w:lineRule="exact"/>
        <w:ind w:firstLine="600" w:firstLineChars="200"/>
        <w:rPr>
          <w:rFonts w:ascii="仿宋_GB2312" w:hAnsi="仿宋" w:eastAsia="仿宋_GB2312" w:cs="宋体"/>
          <w:sz w:val="30"/>
          <w:szCs w:val="30"/>
        </w:rPr>
      </w:pPr>
      <w:r>
        <w:rPr>
          <w:rFonts w:hint="eastAsia" w:ascii="仿宋_GB2312" w:hAnsi="仿宋" w:eastAsia="仿宋_GB2312" w:cs="宋体"/>
          <w:sz w:val="30"/>
          <w:szCs w:val="30"/>
        </w:rPr>
        <w:t>完善自己的公司信息，需填写公司的主营业务、更多的经营产品、公司详细信息、设置公司标志、公司形象展示图。管理及查看公司的营业执照、管理体系证书、产品检测报告、荣誉证书、专利证书等。</w:t>
      </w:r>
    </w:p>
    <w:p>
      <w:pPr>
        <w:spacing w:line="560" w:lineRule="exact"/>
        <w:ind w:firstLine="600" w:firstLineChars="200"/>
        <w:rPr>
          <w:rFonts w:ascii="仿宋_GB2312" w:hAnsi="仿宋" w:eastAsia="仿宋_GB2312" w:cs="宋体"/>
          <w:sz w:val="30"/>
          <w:szCs w:val="30"/>
        </w:rPr>
      </w:pPr>
      <w:r>
        <w:rPr>
          <w:rFonts w:hint="eastAsia" w:ascii="仿宋_GB2312" w:hAnsi="仿宋" w:eastAsia="仿宋_GB2312" w:cs="宋体"/>
          <w:sz w:val="30"/>
          <w:szCs w:val="30"/>
        </w:rPr>
        <w:t>要求：</w:t>
      </w:r>
    </w:p>
    <w:p>
      <w:pPr>
        <w:spacing w:line="560" w:lineRule="exact"/>
        <w:ind w:firstLine="600" w:firstLineChars="200"/>
        <w:rPr>
          <w:rFonts w:ascii="仿宋_GB2312" w:hAnsi="仿宋" w:eastAsia="仿宋_GB2312" w:cs="宋体"/>
          <w:sz w:val="30"/>
          <w:szCs w:val="30"/>
        </w:rPr>
      </w:pPr>
      <w:r>
        <w:rPr>
          <w:rFonts w:hint="eastAsia" w:ascii="仿宋_GB2312" w:hAnsi="仿宋" w:eastAsia="仿宋_GB2312" w:cs="宋体"/>
          <w:sz w:val="30"/>
          <w:szCs w:val="30"/>
        </w:rPr>
        <w:t>①主营业务：填写公司的主营业务，要求为英文，尽量完整，至少填写1项，最多可填写5项 。</w:t>
      </w:r>
    </w:p>
    <w:p>
      <w:pPr>
        <w:spacing w:line="560" w:lineRule="exact"/>
        <w:ind w:firstLine="600" w:firstLineChars="200"/>
        <w:rPr>
          <w:rFonts w:ascii="仿宋_GB2312" w:hAnsi="仿宋" w:eastAsia="仿宋_GB2312" w:cs="宋体"/>
          <w:sz w:val="30"/>
          <w:szCs w:val="30"/>
        </w:rPr>
      </w:pPr>
      <w:r>
        <w:rPr>
          <w:rFonts w:hint="eastAsia" w:ascii="仿宋_GB2312" w:hAnsi="仿宋" w:eastAsia="仿宋_GB2312" w:cs="宋体"/>
          <w:sz w:val="30"/>
          <w:szCs w:val="30"/>
        </w:rPr>
        <w:t>②更多的经营产品：填写公司的其他经营产品，要求为英文，尽量完整，最多可填写10项。</w:t>
      </w:r>
    </w:p>
    <w:p>
      <w:pPr>
        <w:spacing w:line="560" w:lineRule="exact"/>
        <w:ind w:firstLine="600" w:firstLineChars="200"/>
        <w:rPr>
          <w:rFonts w:ascii="仿宋_GB2312" w:hAnsi="仿宋" w:eastAsia="仿宋_GB2312" w:cs="宋体"/>
          <w:sz w:val="30"/>
          <w:szCs w:val="30"/>
        </w:rPr>
      </w:pPr>
      <w:r>
        <w:rPr>
          <w:rFonts w:hint="eastAsia" w:ascii="仿宋_GB2312" w:hAnsi="仿宋" w:eastAsia="仿宋_GB2312" w:cs="宋体"/>
          <w:sz w:val="30"/>
          <w:szCs w:val="30"/>
        </w:rPr>
        <w:t>③公司详细信息：描述公司的详细信息，要求为英文，尽量填写完整。</w:t>
      </w:r>
    </w:p>
    <w:p>
      <w:pPr>
        <w:spacing w:line="560" w:lineRule="exact"/>
        <w:ind w:firstLine="600" w:firstLineChars="200"/>
        <w:rPr>
          <w:rFonts w:ascii="仿宋_GB2312" w:hAnsi="仿宋" w:eastAsia="仿宋_GB2312" w:cs="宋体"/>
          <w:sz w:val="30"/>
          <w:szCs w:val="30"/>
        </w:rPr>
      </w:pPr>
      <w:r>
        <w:rPr>
          <w:rFonts w:hint="eastAsia" w:ascii="仿宋_GB2312" w:hAnsi="仿宋" w:eastAsia="仿宋_GB2312" w:cs="宋体"/>
          <w:sz w:val="30"/>
          <w:szCs w:val="30"/>
        </w:rPr>
        <w:t>④设置公司标志：从系统给定的图片中任意选择一个作为公司标志。</w:t>
      </w:r>
    </w:p>
    <w:p>
      <w:pPr>
        <w:spacing w:line="560" w:lineRule="exact"/>
        <w:ind w:firstLine="600" w:firstLineChars="200"/>
        <w:rPr>
          <w:rFonts w:ascii="仿宋_GB2312" w:hAnsi="仿宋" w:eastAsia="仿宋_GB2312" w:cs="宋体"/>
          <w:sz w:val="30"/>
          <w:szCs w:val="30"/>
        </w:rPr>
      </w:pPr>
      <w:r>
        <w:rPr>
          <w:rFonts w:hint="eastAsia" w:ascii="仿宋_GB2312" w:hAnsi="仿宋" w:eastAsia="仿宋_GB2312" w:cs="宋体"/>
          <w:sz w:val="30"/>
          <w:szCs w:val="30"/>
        </w:rPr>
        <w:t>⑤公司形象展示图：从系统中选择图片，最多3张。</w:t>
      </w:r>
    </w:p>
    <w:p>
      <w:pPr>
        <w:spacing w:line="560" w:lineRule="exact"/>
        <w:ind w:firstLine="600" w:firstLineChars="200"/>
        <w:rPr>
          <w:rFonts w:ascii="仿宋_GB2312" w:hAnsi="仿宋" w:eastAsia="仿宋_GB2312" w:cs="宋体"/>
          <w:sz w:val="30"/>
          <w:szCs w:val="30"/>
        </w:rPr>
      </w:pPr>
      <w:r>
        <w:rPr>
          <w:rFonts w:hint="eastAsia" w:ascii="仿宋_GB2312" w:hAnsi="仿宋" w:eastAsia="仿宋_GB2312" w:cs="宋体"/>
          <w:sz w:val="30"/>
          <w:szCs w:val="30"/>
        </w:rPr>
        <w:t>（2）A&amp;V认证</w:t>
      </w:r>
    </w:p>
    <w:p>
      <w:pPr>
        <w:spacing w:line="560" w:lineRule="exact"/>
        <w:ind w:firstLine="600" w:firstLineChars="200"/>
        <w:rPr>
          <w:rFonts w:ascii="仿宋_GB2312" w:hAnsi="仿宋" w:eastAsia="仿宋_GB2312" w:cs="宋体"/>
          <w:sz w:val="30"/>
          <w:szCs w:val="30"/>
        </w:rPr>
      </w:pPr>
      <w:r>
        <w:rPr>
          <w:rFonts w:hint="eastAsia" w:ascii="仿宋_GB2312" w:hAnsi="仿宋" w:eastAsia="仿宋_GB2312" w:cs="宋体"/>
          <w:sz w:val="30"/>
          <w:szCs w:val="30"/>
        </w:rPr>
        <w:t>完成公司A&amp;V认证，获得认证标志。</w:t>
      </w:r>
    </w:p>
    <w:p>
      <w:pPr>
        <w:spacing w:line="560" w:lineRule="exact"/>
        <w:ind w:firstLine="600" w:firstLineChars="200"/>
        <w:rPr>
          <w:rFonts w:ascii="仿宋_GB2312" w:hAnsi="仿宋" w:eastAsia="仿宋_GB2312" w:cs="宋体"/>
          <w:sz w:val="30"/>
          <w:szCs w:val="30"/>
        </w:rPr>
      </w:pPr>
      <w:r>
        <w:rPr>
          <w:rFonts w:hint="eastAsia" w:ascii="仿宋_GB2312" w:hAnsi="仿宋" w:eastAsia="仿宋_GB2312" w:cs="宋体"/>
          <w:sz w:val="30"/>
          <w:szCs w:val="30"/>
        </w:rPr>
        <w:t>（3）管理能力评估</w:t>
      </w:r>
    </w:p>
    <w:p>
      <w:pPr>
        <w:spacing w:line="560" w:lineRule="exact"/>
        <w:ind w:firstLine="600" w:firstLineChars="200"/>
        <w:rPr>
          <w:rFonts w:ascii="仿宋_GB2312" w:hAnsi="仿宋" w:eastAsia="仿宋_GB2312" w:cs="宋体"/>
          <w:sz w:val="30"/>
          <w:szCs w:val="30"/>
        </w:rPr>
      </w:pPr>
      <w:r>
        <w:rPr>
          <w:rFonts w:hint="eastAsia" w:ascii="仿宋_GB2312" w:hAnsi="仿宋" w:eastAsia="仿宋_GB2312" w:cs="宋体"/>
          <w:sz w:val="30"/>
          <w:szCs w:val="30"/>
        </w:rPr>
        <w:t>加入金品诚企，管理查看管理能力评估报告（企业能力评估报告、主营产品认证报告）。</w:t>
      </w:r>
    </w:p>
    <w:p>
      <w:pPr>
        <w:spacing w:line="560" w:lineRule="exact"/>
        <w:ind w:firstLine="600" w:firstLineChars="200"/>
        <w:rPr>
          <w:rFonts w:ascii="仿宋_GB2312" w:hAnsi="仿宋" w:eastAsia="仿宋_GB2312" w:cs="宋体"/>
          <w:sz w:val="30"/>
          <w:szCs w:val="30"/>
        </w:rPr>
      </w:pPr>
      <w:r>
        <w:rPr>
          <w:rFonts w:hint="eastAsia" w:ascii="仿宋_GB2312" w:hAnsi="仿宋" w:eastAsia="仿宋_GB2312" w:cs="宋体"/>
          <w:sz w:val="30"/>
          <w:szCs w:val="30"/>
        </w:rPr>
        <w:t>（4）店铺装修</w:t>
      </w:r>
    </w:p>
    <w:p>
      <w:pPr>
        <w:spacing w:line="560" w:lineRule="exact"/>
        <w:ind w:firstLine="600" w:firstLineChars="200"/>
        <w:rPr>
          <w:rFonts w:ascii="仿宋_GB2312" w:hAnsi="仿宋" w:eastAsia="仿宋_GB2312" w:cs="宋体"/>
          <w:sz w:val="30"/>
          <w:szCs w:val="30"/>
        </w:rPr>
      </w:pPr>
      <w:r>
        <w:rPr>
          <w:rFonts w:hint="eastAsia" w:ascii="仿宋_GB2312" w:hAnsi="仿宋" w:eastAsia="仿宋_GB2312" w:cs="宋体"/>
          <w:sz w:val="30"/>
          <w:szCs w:val="30"/>
        </w:rPr>
        <w:t>从系统中选择店铺主题及设置Banner，注意店铺整体风格。</w:t>
      </w:r>
    </w:p>
    <w:p>
      <w:pPr>
        <w:spacing w:line="560" w:lineRule="exact"/>
        <w:ind w:firstLine="600" w:firstLineChars="200"/>
        <w:rPr>
          <w:rFonts w:ascii="仿宋_GB2312" w:hAnsi="仿宋" w:eastAsia="仿宋_GB2312" w:cs="宋体"/>
          <w:sz w:val="30"/>
          <w:szCs w:val="30"/>
        </w:rPr>
      </w:pPr>
      <w:r>
        <w:rPr>
          <w:rFonts w:hint="eastAsia" w:ascii="仿宋_GB2312" w:hAnsi="仿宋" w:eastAsia="仿宋_GB2312" w:cs="宋体"/>
          <w:sz w:val="30"/>
          <w:szCs w:val="30"/>
        </w:rPr>
        <w:t>2.管理产品</w:t>
      </w:r>
    </w:p>
    <w:p>
      <w:pPr>
        <w:spacing w:line="560" w:lineRule="exact"/>
        <w:ind w:firstLine="600" w:firstLineChars="200"/>
        <w:rPr>
          <w:rFonts w:ascii="仿宋_GB2312" w:hAnsi="仿宋" w:eastAsia="仿宋_GB2312" w:cs="宋体"/>
          <w:sz w:val="30"/>
          <w:szCs w:val="30"/>
        </w:rPr>
      </w:pPr>
      <w:r>
        <w:rPr>
          <w:rFonts w:hint="eastAsia" w:ascii="仿宋_GB2312" w:hAnsi="仿宋" w:eastAsia="仿宋_GB2312" w:cs="宋体"/>
          <w:sz w:val="30"/>
          <w:szCs w:val="30"/>
        </w:rPr>
        <w:t>（1）发布产品</w:t>
      </w:r>
    </w:p>
    <w:p>
      <w:pPr>
        <w:spacing w:line="560" w:lineRule="exact"/>
        <w:ind w:firstLine="600" w:firstLineChars="200"/>
        <w:rPr>
          <w:rFonts w:ascii="仿宋_GB2312" w:hAnsi="仿宋" w:eastAsia="仿宋_GB2312" w:cs="宋体"/>
          <w:sz w:val="30"/>
          <w:szCs w:val="30"/>
        </w:rPr>
      </w:pPr>
      <w:r>
        <w:rPr>
          <w:rFonts w:hint="eastAsia" w:ascii="仿宋_GB2312" w:hAnsi="仿宋" w:eastAsia="仿宋_GB2312" w:cs="宋体"/>
          <w:sz w:val="30"/>
          <w:szCs w:val="30"/>
        </w:rPr>
        <w:t>选择产品类别，填写产品详情，发布产品供进口客户搜索、查看。具体填写内容为：</w:t>
      </w:r>
    </w:p>
    <w:p>
      <w:pPr>
        <w:spacing w:line="560" w:lineRule="exact"/>
        <w:ind w:firstLine="600" w:firstLineChars="200"/>
        <w:rPr>
          <w:rFonts w:ascii="仿宋_GB2312" w:hAnsi="仿宋" w:eastAsia="仿宋_GB2312" w:cs="宋体"/>
          <w:sz w:val="30"/>
          <w:szCs w:val="30"/>
        </w:rPr>
      </w:pPr>
      <w:r>
        <w:rPr>
          <w:rFonts w:hint="eastAsia" w:ascii="仿宋_GB2312" w:hAnsi="仿宋" w:eastAsia="仿宋_GB2312" w:cs="宋体"/>
          <w:sz w:val="30"/>
          <w:szCs w:val="30"/>
        </w:rPr>
        <w:t>①产品名称：填写英文，不超过128个字符。产品名称应包含商品的英文名全称、产品特征（属性）等，避免罗列和堆砌。</w:t>
      </w:r>
    </w:p>
    <w:p>
      <w:pPr>
        <w:spacing w:line="560" w:lineRule="exact"/>
        <w:ind w:firstLine="600" w:firstLineChars="200"/>
        <w:rPr>
          <w:rFonts w:ascii="仿宋_GB2312" w:hAnsi="仿宋" w:eastAsia="仿宋_GB2312" w:cs="宋体"/>
          <w:sz w:val="30"/>
          <w:szCs w:val="30"/>
        </w:rPr>
      </w:pPr>
      <w:r>
        <w:rPr>
          <w:rFonts w:hint="eastAsia" w:ascii="仿宋_GB2312" w:hAnsi="仿宋" w:eastAsia="仿宋_GB2312" w:cs="宋体"/>
          <w:sz w:val="30"/>
          <w:szCs w:val="30"/>
        </w:rPr>
        <w:t>②产品关键词：填写英文，至少填写1个关键词，最多可填写3个。</w:t>
      </w:r>
    </w:p>
    <w:p>
      <w:pPr>
        <w:spacing w:line="560" w:lineRule="exact"/>
        <w:ind w:firstLine="600" w:firstLineChars="200"/>
        <w:rPr>
          <w:rFonts w:ascii="仿宋_GB2312" w:hAnsi="仿宋" w:eastAsia="仿宋_GB2312" w:cs="宋体"/>
          <w:sz w:val="30"/>
          <w:szCs w:val="30"/>
        </w:rPr>
      </w:pPr>
      <w:r>
        <w:rPr>
          <w:rFonts w:hint="eastAsia" w:ascii="仿宋_GB2312" w:hAnsi="仿宋" w:eastAsia="仿宋_GB2312" w:cs="宋体"/>
          <w:sz w:val="30"/>
          <w:szCs w:val="30"/>
        </w:rPr>
        <w:t>③产品图片：从图片银行中选择1-6张对应商品的图片。</w:t>
      </w:r>
    </w:p>
    <w:p>
      <w:pPr>
        <w:spacing w:line="560" w:lineRule="exact"/>
        <w:ind w:firstLine="600" w:firstLineChars="200"/>
        <w:rPr>
          <w:rFonts w:ascii="仿宋_GB2312" w:hAnsi="仿宋" w:eastAsia="仿宋_GB2312" w:cs="宋体"/>
          <w:sz w:val="30"/>
          <w:szCs w:val="30"/>
        </w:rPr>
      </w:pPr>
      <w:r>
        <w:rPr>
          <w:rFonts w:hint="eastAsia" w:ascii="仿宋_GB2312" w:hAnsi="仿宋" w:eastAsia="仿宋_GB2312" w:cs="宋体"/>
          <w:sz w:val="30"/>
          <w:szCs w:val="30"/>
        </w:rPr>
        <w:t>④产品属性：包括原产地、3个产品属性、毛净重、体积，根据系统中的商品资料填写。</w:t>
      </w:r>
    </w:p>
    <w:p>
      <w:pPr>
        <w:spacing w:line="560" w:lineRule="exact"/>
        <w:ind w:firstLine="600" w:firstLineChars="200"/>
        <w:rPr>
          <w:rFonts w:ascii="仿宋_GB2312" w:hAnsi="仿宋" w:eastAsia="仿宋_GB2312" w:cs="宋体"/>
          <w:sz w:val="30"/>
          <w:szCs w:val="30"/>
        </w:rPr>
      </w:pPr>
      <w:r>
        <w:rPr>
          <w:rFonts w:hint="eastAsia" w:ascii="仿宋_GB2312" w:hAnsi="仿宋" w:eastAsia="仿宋_GB2312" w:cs="宋体"/>
          <w:sz w:val="30"/>
          <w:szCs w:val="30"/>
        </w:rPr>
        <w:t>⑤交易信息：包括FOB价、最小起订量、结算方式，根据自己的实际需求填写。</w:t>
      </w:r>
    </w:p>
    <w:p>
      <w:pPr>
        <w:spacing w:line="560" w:lineRule="exact"/>
        <w:ind w:firstLine="600" w:firstLineChars="200"/>
        <w:rPr>
          <w:rFonts w:ascii="仿宋_GB2312" w:hAnsi="仿宋" w:eastAsia="仿宋_GB2312" w:cs="宋体"/>
          <w:sz w:val="30"/>
          <w:szCs w:val="30"/>
        </w:rPr>
      </w:pPr>
      <w:r>
        <w:rPr>
          <w:rFonts w:hint="eastAsia" w:ascii="仿宋_GB2312" w:hAnsi="仿宋" w:eastAsia="仿宋_GB2312" w:cs="宋体"/>
          <w:sz w:val="30"/>
          <w:szCs w:val="30"/>
        </w:rPr>
        <w:t>⑥物流信息：包括发货时间、港口、供货能力，根据自己的实际需求填写。</w:t>
      </w:r>
    </w:p>
    <w:p>
      <w:pPr>
        <w:spacing w:line="560" w:lineRule="exact"/>
        <w:ind w:firstLine="600" w:firstLineChars="200"/>
        <w:rPr>
          <w:rFonts w:ascii="仿宋_GB2312" w:hAnsi="仿宋" w:eastAsia="仿宋_GB2312" w:cs="宋体"/>
          <w:sz w:val="30"/>
          <w:szCs w:val="30"/>
        </w:rPr>
      </w:pPr>
      <w:r>
        <w:rPr>
          <w:rFonts w:hint="eastAsia" w:ascii="仿宋_GB2312" w:hAnsi="仿宋" w:eastAsia="仿宋_GB2312" w:cs="宋体"/>
          <w:sz w:val="30"/>
          <w:szCs w:val="30"/>
        </w:rPr>
        <w:t>⑦产品详情：使用英文进行详细描述。可包含产品标题、产品描述（具体为产品规格型号、属性等）、产品展示图、包装和运输、公司信息等内容。</w:t>
      </w:r>
    </w:p>
    <w:p>
      <w:pPr>
        <w:spacing w:line="560" w:lineRule="exact"/>
        <w:ind w:firstLine="600" w:firstLineChars="200"/>
        <w:rPr>
          <w:rFonts w:ascii="仿宋_GB2312" w:hAnsi="仿宋" w:eastAsia="仿宋_GB2312" w:cs="宋体"/>
          <w:sz w:val="30"/>
          <w:szCs w:val="30"/>
        </w:rPr>
      </w:pPr>
      <w:r>
        <w:rPr>
          <w:rFonts w:hint="eastAsia" w:ascii="仿宋_GB2312" w:hAnsi="仿宋" w:eastAsia="仿宋_GB2312" w:cs="宋体"/>
          <w:sz w:val="30"/>
          <w:szCs w:val="30"/>
        </w:rPr>
        <w:t>（2）管理产品</w:t>
      </w:r>
    </w:p>
    <w:p>
      <w:pPr>
        <w:spacing w:line="560" w:lineRule="exact"/>
        <w:ind w:firstLine="600" w:firstLineChars="200"/>
        <w:rPr>
          <w:rFonts w:ascii="仿宋_GB2312" w:hAnsi="仿宋" w:eastAsia="仿宋_GB2312" w:cs="宋体"/>
          <w:sz w:val="30"/>
          <w:szCs w:val="30"/>
        </w:rPr>
      </w:pPr>
      <w:r>
        <w:rPr>
          <w:rFonts w:hint="eastAsia" w:ascii="仿宋_GB2312" w:hAnsi="仿宋" w:eastAsia="仿宋_GB2312" w:cs="宋体"/>
          <w:sz w:val="30"/>
          <w:szCs w:val="30"/>
        </w:rPr>
        <w:t>管理已发布的产品，可对产品进行编辑、下架等操作。</w:t>
      </w:r>
    </w:p>
    <w:p>
      <w:pPr>
        <w:spacing w:line="560" w:lineRule="exact"/>
        <w:ind w:firstLine="600" w:firstLineChars="200"/>
        <w:rPr>
          <w:rFonts w:ascii="仿宋_GB2312" w:hAnsi="仿宋" w:eastAsia="仿宋_GB2312" w:cs="宋体"/>
          <w:sz w:val="30"/>
          <w:szCs w:val="30"/>
        </w:rPr>
      </w:pPr>
      <w:r>
        <w:rPr>
          <w:rFonts w:hint="eastAsia" w:ascii="仿宋_GB2312" w:hAnsi="仿宋" w:eastAsia="仿宋_GB2312" w:cs="宋体"/>
          <w:sz w:val="30"/>
          <w:szCs w:val="30"/>
        </w:rPr>
        <w:t>（3）管理认证产品</w:t>
      </w:r>
    </w:p>
    <w:p>
      <w:pPr>
        <w:spacing w:line="560" w:lineRule="exact"/>
        <w:ind w:firstLine="600" w:firstLineChars="200"/>
        <w:rPr>
          <w:rFonts w:ascii="仿宋_GB2312" w:hAnsi="仿宋" w:eastAsia="仿宋_GB2312" w:cs="宋体"/>
          <w:sz w:val="30"/>
          <w:szCs w:val="30"/>
        </w:rPr>
      </w:pPr>
      <w:r>
        <w:rPr>
          <w:rFonts w:hint="eastAsia" w:ascii="仿宋_GB2312" w:hAnsi="仿宋" w:eastAsia="仿宋_GB2312" w:cs="宋体"/>
          <w:sz w:val="30"/>
          <w:szCs w:val="30"/>
        </w:rPr>
        <w:t>加入金品诚企后，即可设置主营认证产品，最多10个。</w:t>
      </w:r>
    </w:p>
    <w:p>
      <w:pPr>
        <w:spacing w:line="560" w:lineRule="exact"/>
        <w:ind w:firstLine="600" w:firstLineChars="200"/>
        <w:rPr>
          <w:rFonts w:ascii="仿宋_GB2312" w:hAnsi="仿宋" w:eastAsia="仿宋_GB2312" w:cs="宋体"/>
          <w:sz w:val="30"/>
          <w:szCs w:val="30"/>
        </w:rPr>
      </w:pPr>
      <w:r>
        <w:rPr>
          <w:rFonts w:hint="eastAsia" w:ascii="仿宋_GB2312" w:hAnsi="仿宋" w:eastAsia="仿宋_GB2312" w:cs="宋体"/>
          <w:sz w:val="30"/>
          <w:szCs w:val="30"/>
        </w:rPr>
        <w:t>（4）管理橱窗产品</w:t>
      </w:r>
    </w:p>
    <w:p>
      <w:pPr>
        <w:spacing w:line="560" w:lineRule="exact"/>
        <w:ind w:firstLine="600" w:firstLineChars="200"/>
        <w:rPr>
          <w:rFonts w:ascii="仿宋_GB2312" w:hAnsi="仿宋" w:eastAsia="仿宋_GB2312" w:cs="宋体"/>
          <w:sz w:val="30"/>
          <w:szCs w:val="30"/>
        </w:rPr>
      </w:pPr>
      <w:r>
        <w:rPr>
          <w:rFonts w:hint="eastAsia" w:ascii="仿宋_GB2312" w:hAnsi="仿宋" w:eastAsia="仿宋_GB2312" w:cs="宋体"/>
          <w:sz w:val="30"/>
          <w:szCs w:val="30"/>
        </w:rPr>
        <w:t>加入金品诚企后，即可设置橱窗产品，最多40个。</w:t>
      </w:r>
    </w:p>
    <w:p>
      <w:pPr>
        <w:spacing w:line="560" w:lineRule="exact"/>
        <w:ind w:firstLine="600" w:firstLineChars="200"/>
        <w:rPr>
          <w:rFonts w:ascii="仿宋_GB2312" w:hAnsi="仿宋" w:eastAsia="仿宋_GB2312" w:cs="宋体"/>
          <w:sz w:val="30"/>
          <w:szCs w:val="30"/>
        </w:rPr>
      </w:pPr>
      <w:r>
        <w:rPr>
          <w:rFonts w:hint="eastAsia" w:ascii="仿宋_GB2312" w:hAnsi="仿宋" w:eastAsia="仿宋_GB2312" w:cs="宋体"/>
          <w:sz w:val="30"/>
          <w:szCs w:val="30"/>
        </w:rPr>
        <w:t>（5）产品分组与排序</w:t>
      </w:r>
    </w:p>
    <w:p>
      <w:pPr>
        <w:spacing w:line="560" w:lineRule="exact"/>
        <w:ind w:firstLine="600" w:firstLineChars="200"/>
        <w:rPr>
          <w:rFonts w:ascii="仿宋_GB2312" w:hAnsi="仿宋" w:eastAsia="仿宋_GB2312" w:cs="宋体"/>
          <w:sz w:val="30"/>
          <w:szCs w:val="30"/>
        </w:rPr>
      </w:pPr>
      <w:r>
        <w:rPr>
          <w:rFonts w:hint="eastAsia" w:ascii="仿宋_GB2312" w:hAnsi="仿宋" w:eastAsia="仿宋_GB2312" w:cs="宋体"/>
          <w:sz w:val="30"/>
          <w:szCs w:val="30"/>
        </w:rPr>
        <w:t>创建店铺内产品分组，并设置组内商品排序，使店铺内的商品排序更合理。</w:t>
      </w:r>
    </w:p>
    <w:p>
      <w:pPr>
        <w:spacing w:line="560" w:lineRule="exact"/>
        <w:ind w:firstLine="600" w:firstLineChars="200"/>
        <w:rPr>
          <w:rFonts w:ascii="仿宋_GB2312" w:hAnsi="仿宋" w:eastAsia="仿宋_GB2312" w:cs="宋体"/>
          <w:sz w:val="30"/>
          <w:szCs w:val="30"/>
        </w:rPr>
      </w:pPr>
      <w:r>
        <w:rPr>
          <w:rFonts w:hint="eastAsia" w:ascii="仿宋_GB2312" w:hAnsi="仿宋" w:eastAsia="仿宋_GB2312" w:cs="宋体"/>
          <w:sz w:val="30"/>
          <w:szCs w:val="30"/>
        </w:rPr>
        <w:t>3.采购直达</w:t>
      </w:r>
    </w:p>
    <w:p>
      <w:pPr>
        <w:spacing w:line="560" w:lineRule="exact"/>
        <w:ind w:firstLine="600" w:firstLineChars="200"/>
        <w:rPr>
          <w:rFonts w:ascii="仿宋_GB2312" w:hAnsi="仿宋" w:eastAsia="仿宋_GB2312" w:cs="宋体"/>
          <w:sz w:val="30"/>
          <w:szCs w:val="30"/>
        </w:rPr>
      </w:pPr>
      <w:r>
        <w:rPr>
          <w:rFonts w:hint="eastAsia" w:ascii="仿宋_GB2312" w:hAnsi="仿宋" w:eastAsia="仿宋_GB2312" w:cs="宋体"/>
          <w:sz w:val="30"/>
          <w:szCs w:val="30"/>
        </w:rPr>
        <w:t>发布和管理采购需求。发布的采购需求要求将产品关键词、订单需求数量和单位、采购需求详细信息、期望单价、目的港、支付方式等要素填写完整。</w:t>
      </w:r>
    </w:p>
    <w:p>
      <w:pPr>
        <w:spacing w:line="560" w:lineRule="exact"/>
        <w:ind w:firstLine="600" w:firstLineChars="200"/>
        <w:rPr>
          <w:rFonts w:ascii="仿宋_GB2312" w:hAnsi="仿宋" w:eastAsia="仿宋_GB2312" w:cs="宋体"/>
          <w:sz w:val="30"/>
          <w:szCs w:val="30"/>
        </w:rPr>
      </w:pPr>
      <w:r>
        <w:rPr>
          <w:rFonts w:hint="eastAsia" w:ascii="仿宋_GB2312" w:hAnsi="仿宋" w:eastAsia="仿宋_GB2312" w:cs="宋体"/>
          <w:sz w:val="30"/>
          <w:szCs w:val="30"/>
        </w:rPr>
        <w:t>4.公司广告推广</w:t>
      </w:r>
    </w:p>
    <w:p>
      <w:pPr>
        <w:spacing w:line="560" w:lineRule="exact"/>
        <w:ind w:firstLine="600" w:firstLineChars="200"/>
        <w:rPr>
          <w:rFonts w:ascii="仿宋_GB2312" w:hAnsi="仿宋" w:eastAsia="仿宋_GB2312" w:cs="宋体"/>
          <w:sz w:val="30"/>
          <w:szCs w:val="30"/>
        </w:rPr>
      </w:pPr>
      <w:r>
        <w:rPr>
          <w:rFonts w:hint="eastAsia" w:ascii="仿宋_GB2312" w:hAnsi="仿宋" w:eastAsia="仿宋_GB2312" w:cs="宋体"/>
          <w:sz w:val="30"/>
          <w:szCs w:val="30"/>
        </w:rPr>
        <w:t>标题和内容均要求为英文，内容尽量完整清晰。</w:t>
      </w:r>
    </w:p>
    <w:p>
      <w:pPr>
        <w:spacing w:line="560" w:lineRule="exact"/>
        <w:ind w:firstLine="600" w:firstLineChars="200"/>
        <w:rPr>
          <w:rFonts w:ascii="仿宋_GB2312" w:hAnsi="仿宋" w:eastAsia="仿宋_GB2312" w:cs="宋体"/>
          <w:sz w:val="30"/>
          <w:szCs w:val="30"/>
        </w:rPr>
      </w:pPr>
      <w:r>
        <w:rPr>
          <w:rFonts w:hint="eastAsia" w:ascii="仿宋_GB2312" w:hAnsi="仿宋" w:eastAsia="仿宋_GB2312" w:cs="宋体"/>
          <w:sz w:val="30"/>
          <w:szCs w:val="30"/>
        </w:rPr>
        <w:t>（三）寻找客户</w:t>
      </w:r>
    </w:p>
    <w:p>
      <w:pPr>
        <w:spacing w:line="560" w:lineRule="exact"/>
        <w:ind w:firstLine="600" w:firstLineChars="200"/>
        <w:rPr>
          <w:rFonts w:ascii="仿宋_GB2312" w:hAnsi="仿宋" w:eastAsia="仿宋_GB2312" w:cs="宋体"/>
          <w:sz w:val="30"/>
          <w:szCs w:val="30"/>
        </w:rPr>
      </w:pPr>
      <w:r>
        <w:rPr>
          <w:rFonts w:hint="eastAsia" w:ascii="仿宋_GB2312" w:hAnsi="仿宋" w:eastAsia="仿宋_GB2312" w:cs="宋体"/>
          <w:sz w:val="30"/>
          <w:szCs w:val="30"/>
        </w:rPr>
        <w:t>1.寻找目标客户</w:t>
      </w:r>
    </w:p>
    <w:p>
      <w:pPr>
        <w:spacing w:line="560" w:lineRule="exact"/>
        <w:ind w:firstLine="600" w:firstLineChars="200"/>
        <w:rPr>
          <w:rFonts w:ascii="仿宋_GB2312" w:hAnsi="仿宋" w:eastAsia="仿宋_GB2312" w:cs="宋体"/>
          <w:sz w:val="30"/>
          <w:szCs w:val="30"/>
        </w:rPr>
      </w:pPr>
      <w:r>
        <w:rPr>
          <w:rFonts w:hint="eastAsia" w:ascii="仿宋_GB2312" w:hAnsi="仿宋" w:eastAsia="仿宋_GB2312" w:cs="宋体"/>
          <w:sz w:val="30"/>
          <w:szCs w:val="30"/>
        </w:rPr>
        <w:t>途径一：通过在B2B跨境电子商务平台中主动搜索与查看产品、店铺、采购需求等信息，筛选出目标客户，并与其建立业务关系，获得进出口业务机会。</w:t>
      </w:r>
    </w:p>
    <w:p>
      <w:pPr>
        <w:spacing w:line="560" w:lineRule="exact"/>
        <w:ind w:firstLine="600" w:firstLineChars="200"/>
        <w:rPr>
          <w:rFonts w:ascii="仿宋_GB2312" w:hAnsi="仿宋" w:eastAsia="仿宋_GB2312" w:cs="宋体"/>
          <w:sz w:val="30"/>
          <w:szCs w:val="30"/>
        </w:rPr>
      </w:pPr>
      <w:r>
        <w:rPr>
          <w:rFonts w:hint="eastAsia" w:ascii="仿宋_GB2312" w:hAnsi="仿宋" w:eastAsia="仿宋_GB2312" w:cs="宋体"/>
          <w:sz w:val="30"/>
          <w:szCs w:val="30"/>
        </w:rPr>
        <w:t>途径二：通过发布公司广告、发布产品，推销自己的公司和产品，吸引进口商联系和询盘，获得出口业务机会。</w:t>
      </w:r>
    </w:p>
    <w:p>
      <w:pPr>
        <w:spacing w:line="560" w:lineRule="exact"/>
        <w:ind w:firstLine="600" w:firstLineChars="200"/>
        <w:rPr>
          <w:rFonts w:ascii="仿宋_GB2312" w:hAnsi="仿宋" w:eastAsia="仿宋_GB2312" w:cs="宋体"/>
          <w:sz w:val="30"/>
          <w:szCs w:val="30"/>
        </w:rPr>
      </w:pPr>
      <w:r>
        <w:rPr>
          <w:rFonts w:hint="eastAsia" w:ascii="仿宋_GB2312" w:hAnsi="仿宋" w:eastAsia="仿宋_GB2312" w:cs="宋体"/>
          <w:sz w:val="30"/>
          <w:szCs w:val="30"/>
        </w:rPr>
        <w:t>途径三：通过发布采购需求，吸引出口商前来联系和报价，获得进口业务机会。</w:t>
      </w:r>
    </w:p>
    <w:p>
      <w:pPr>
        <w:spacing w:line="560" w:lineRule="exact"/>
        <w:ind w:firstLine="600" w:firstLineChars="200"/>
        <w:rPr>
          <w:rFonts w:ascii="仿宋_GB2312" w:hAnsi="仿宋" w:eastAsia="仿宋_GB2312" w:cs="宋体"/>
          <w:sz w:val="30"/>
          <w:szCs w:val="30"/>
        </w:rPr>
      </w:pPr>
      <w:r>
        <w:rPr>
          <w:rFonts w:hint="eastAsia" w:ascii="仿宋_GB2312" w:hAnsi="仿宋" w:eastAsia="仿宋_GB2312" w:cs="宋体"/>
          <w:sz w:val="30"/>
          <w:szCs w:val="30"/>
        </w:rPr>
        <w:t>2.与客户建立业务关系</w:t>
      </w:r>
    </w:p>
    <w:p>
      <w:pPr>
        <w:spacing w:line="560" w:lineRule="exact"/>
        <w:ind w:firstLine="600" w:firstLineChars="200"/>
        <w:rPr>
          <w:rFonts w:ascii="仿宋_GB2312" w:hAnsi="仿宋" w:eastAsia="仿宋_GB2312" w:cs="宋体"/>
          <w:sz w:val="30"/>
          <w:szCs w:val="30"/>
        </w:rPr>
      </w:pPr>
      <w:r>
        <w:rPr>
          <w:rFonts w:hint="eastAsia" w:ascii="仿宋_GB2312" w:hAnsi="仿宋" w:eastAsia="仿宋_GB2312" w:cs="宋体"/>
          <w:sz w:val="30"/>
          <w:szCs w:val="30"/>
        </w:rPr>
        <w:t>开始一笔新业务，输入对方账号，选择业务类型（出口业务或进口业务），给对方发送建立业务关系的函电，待对方回复后即可进入业务磋商环节。</w:t>
      </w:r>
    </w:p>
    <w:p>
      <w:pPr>
        <w:spacing w:line="560" w:lineRule="exact"/>
        <w:ind w:firstLine="600" w:firstLineChars="200"/>
        <w:rPr>
          <w:rFonts w:ascii="仿宋_GB2312" w:hAnsi="仿宋" w:eastAsia="仿宋_GB2312" w:cs="宋体"/>
          <w:sz w:val="30"/>
          <w:szCs w:val="30"/>
        </w:rPr>
      </w:pPr>
      <w:r>
        <w:rPr>
          <w:rFonts w:hint="eastAsia" w:ascii="仿宋_GB2312" w:hAnsi="仿宋" w:eastAsia="仿宋_GB2312" w:cs="宋体"/>
          <w:sz w:val="30"/>
          <w:szCs w:val="30"/>
        </w:rPr>
        <w:t>（四）业务磋商</w:t>
      </w:r>
    </w:p>
    <w:p>
      <w:pPr>
        <w:spacing w:line="560" w:lineRule="exact"/>
        <w:ind w:firstLine="600" w:firstLineChars="200"/>
        <w:rPr>
          <w:rFonts w:ascii="仿宋_GB2312" w:hAnsi="仿宋" w:eastAsia="仿宋_GB2312" w:cs="宋体"/>
          <w:sz w:val="30"/>
          <w:szCs w:val="30"/>
        </w:rPr>
      </w:pPr>
      <w:r>
        <w:rPr>
          <w:rFonts w:hint="eastAsia" w:ascii="仿宋_GB2312" w:hAnsi="仿宋" w:eastAsia="仿宋_GB2312" w:cs="宋体"/>
          <w:sz w:val="30"/>
          <w:szCs w:val="30"/>
        </w:rPr>
        <w:t>1.流程</w:t>
      </w:r>
    </w:p>
    <w:p>
      <w:pPr>
        <w:spacing w:line="560" w:lineRule="exact"/>
        <w:ind w:firstLine="600" w:firstLineChars="200"/>
        <w:rPr>
          <w:rFonts w:ascii="仿宋_GB2312" w:hAnsi="仿宋" w:eastAsia="仿宋_GB2312" w:cs="宋体"/>
          <w:sz w:val="30"/>
          <w:szCs w:val="30"/>
        </w:rPr>
      </w:pPr>
      <w:r>
        <w:rPr>
          <w:rFonts w:hint="eastAsia" w:ascii="仿宋_GB2312" w:hAnsi="仿宋" w:eastAsia="仿宋_GB2312" w:cs="宋体"/>
          <w:sz w:val="30"/>
          <w:szCs w:val="30"/>
        </w:rPr>
        <w:t>（1）进口商发送询盘邮件。</w:t>
      </w:r>
    </w:p>
    <w:p>
      <w:pPr>
        <w:spacing w:line="560" w:lineRule="exact"/>
        <w:ind w:firstLine="600" w:firstLineChars="200"/>
        <w:rPr>
          <w:rFonts w:ascii="仿宋_GB2312" w:hAnsi="仿宋" w:eastAsia="仿宋_GB2312" w:cs="宋体"/>
          <w:sz w:val="30"/>
          <w:szCs w:val="30"/>
        </w:rPr>
      </w:pPr>
      <w:r>
        <w:rPr>
          <w:rFonts w:hint="eastAsia" w:ascii="仿宋_GB2312" w:hAnsi="仿宋" w:eastAsia="仿宋_GB2312" w:cs="宋体"/>
          <w:sz w:val="30"/>
          <w:szCs w:val="30"/>
        </w:rPr>
        <w:t>（2）出口商计算出口报价。</w:t>
      </w:r>
    </w:p>
    <w:p>
      <w:pPr>
        <w:spacing w:line="560" w:lineRule="exact"/>
        <w:ind w:firstLine="600" w:firstLineChars="200"/>
        <w:rPr>
          <w:rFonts w:ascii="仿宋_GB2312" w:hAnsi="仿宋" w:eastAsia="仿宋_GB2312" w:cs="宋体"/>
          <w:sz w:val="30"/>
          <w:szCs w:val="30"/>
        </w:rPr>
      </w:pPr>
      <w:r>
        <w:rPr>
          <w:rFonts w:hint="eastAsia" w:ascii="仿宋_GB2312" w:hAnsi="仿宋" w:eastAsia="仿宋_GB2312" w:cs="宋体"/>
          <w:sz w:val="30"/>
          <w:szCs w:val="30"/>
        </w:rPr>
        <w:t>（3）出口商发送报价邮件。</w:t>
      </w:r>
    </w:p>
    <w:p>
      <w:pPr>
        <w:spacing w:line="560" w:lineRule="exact"/>
        <w:ind w:firstLine="600" w:firstLineChars="200"/>
        <w:rPr>
          <w:rFonts w:ascii="仿宋_GB2312" w:hAnsi="仿宋" w:eastAsia="仿宋_GB2312" w:cs="宋体"/>
          <w:sz w:val="30"/>
          <w:szCs w:val="30"/>
        </w:rPr>
      </w:pPr>
      <w:r>
        <w:rPr>
          <w:rFonts w:hint="eastAsia" w:ascii="仿宋_GB2312" w:hAnsi="仿宋" w:eastAsia="仿宋_GB2312" w:cs="宋体"/>
          <w:sz w:val="30"/>
          <w:szCs w:val="30"/>
        </w:rPr>
        <w:t>（4）进口商收取出口商报价邮件，填写进口成本预算表，核算出成本与利润，确定还盘还是接受。</w:t>
      </w:r>
    </w:p>
    <w:p>
      <w:pPr>
        <w:spacing w:line="560" w:lineRule="exact"/>
        <w:ind w:firstLine="600" w:firstLineChars="200"/>
        <w:rPr>
          <w:rFonts w:ascii="仿宋_GB2312" w:hAnsi="仿宋" w:eastAsia="仿宋_GB2312" w:cs="宋体"/>
          <w:sz w:val="30"/>
          <w:szCs w:val="30"/>
        </w:rPr>
      </w:pPr>
      <w:r>
        <w:rPr>
          <w:rFonts w:hint="eastAsia" w:ascii="仿宋_GB2312" w:hAnsi="仿宋" w:eastAsia="仿宋_GB2312" w:cs="宋体"/>
          <w:sz w:val="30"/>
          <w:szCs w:val="30"/>
        </w:rPr>
        <w:t>（5）进口商发送还盘或接受邮件。</w:t>
      </w:r>
    </w:p>
    <w:p>
      <w:pPr>
        <w:spacing w:line="560" w:lineRule="exact"/>
        <w:ind w:firstLine="600" w:firstLineChars="200"/>
        <w:rPr>
          <w:rFonts w:ascii="仿宋_GB2312" w:hAnsi="仿宋" w:eastAsia="仿宋_GB2312" w:cs="宋体"/>
          <w:sz w:val="30"/>
          <w:szCs w:val="30"/>
        </w:rPr>
      </w:pPr>
      <w:r>
        <w:rPr>
          <w:rFonts w:hint="eastAsia" w:ascii="仿宋_GB2312" w:hAnsi="仿宋" w:eastAsia="仿宋_GB2312" w:cs="宋体"/>
          <w:sz w:val="30"/>
          <w:szCs w:val="30"/>
        </w:rPr>
        <w:t>2.要求</w:t>
      </w:r>
    </w:p>
    <w:p>
      <w:pPr>
        <w:spacing w:line="560" w:lineRule="exact"/>
        <w:ind w:firstLine="600" w:firstLineChars="200"/>
        <w:rPr>
          <w:rFonts w:ascii="仿宋_GB2312" w:hAnsi="仿宋" w:eastAsia="仿宋_GB2312" w:cs="宋体"/>
          <w:sz w:val="30"/>
          <w:szCs w:val="30"/>
        </w:rPr>
      </w:pPr>
      <w:r>
        <w:rPr>
          <w:rFonts w:hint="eastAsia" w:ascii="仿宋_GB2312" w:hAnsi="仿宋" w:eastAsia="仿宋_GB2312" w:cs="宋体"/>
          <w:sz w:val="30"/>
          <w:szCs w:val="30"/>
        </w:rPr>
        <w:t>（1）一笔业务的磋商过程，询盘、发盘、接受这3个环节必不可少，还盘可以没有。</w:t>
      </w:r>
    </w:p>
    <w:p>
      <w:pPr>
        <w:spacing w:line="560" w:lineRule="exact"/>
        <w:ind w:firstLine="600" w:firstLineChars="200"/>
        <w:rPr>
          <w:rFonts w:ascii="仿宋_GB2312" w:hAnsi="仿宋" w:eastAsia="仿宋_GB2312" w:cs="宋体"/>
          <w:sz w:val="30"/>
          <w:szCs w:val="30"/>
        </w:rPr>
      </w:pPr>
      <w:r>
        <w:rPr>
          <w:rFonts w:hint="eastAsia" w:ascii="仿宋_GB2312" w:hAnsi="仿宋" w:eastAsia="仿宋_GB2312" w:cs="宋体"/>
          <w:sz w:val="30"/>
          <w:szCs w:val="30"/>
        </w:rPr>
        <w:t>（2）所有函电的标题和正文必须为英文，写作格式要规范。</w:t>
      </w:r>
    </w:p>
    <w:p>
      <w:pPr>
        <w:spacing w:line="560" w:lineRule="exact"/>
        <w:ind w:firstLine="600" w:firstLineChars="200"/>
        <w:rPr>
          <w:rFonts w:ascii="仿宋_GB2312" w:hAnsi="仿宋" w:eastAsia="仿宋_GB2312" w:cs="宋体"/>
          <w:sz w:val="30"/>
          <w:szCs w:val="30"/>
        </w:rPr>
      </w:pPr>
      <w:r>
        <w:rPr>
          <w:rFonts w:hint="eastAsia" w:ascii="仿宋_GB2312" w:hAnsi="仿宋" w:eastAsia="仿宋_GB2312" w:cs="宋体"/>
          <w:sz w:val="30"/>
          <w:szCs w:val="30"/>
        </w:rPr>
        <w:t>（3）“发盘”函电的正文中需写全以下要素，错写漏写均不得分：产品编号、产品名称、数量、单价（完整的表达）、总金额、结算方式、运输方式、装运港、目的港、保险条款等；</w:t>
      </w:r>
    </w:p>
    <w:p>
      <w:pPr>
        <w:spacing w:line="560" w:lineRule="exact"/>
        <w:ind w:firstLine="600" w:firstLineChars="200"/>
        <w:rPr>
          <w:rFonts w:ascii="仿宋_GB2312" w:hAnsi="仿宋" w:eastAsia="仿宋_GB2312" w:cs="宋体"/>
          <w:sz w:val="30"/>
          <w:szCs w:val="30"/>
        </w:rPr>
      </w:pPr>
      <w:r>
        <w:rPr>
          <w:rFonts w:hint="eastAsia" w:ascii="仿宋_GB2312" w:hAnsi="仿宋" w:eastAsia="仿宋_GB2312" w:cs="宋体"/>
          <w:sz w:val="30"/>
          <w:szCs w:val="30"/>
        </w:rPr>
        <w:t>注意: 发盘要素的标题必须为英文，且与下表中“发盘要素标题（英文）”完全一致（必须包含英文半角冒号），具体内容必须与最终签订合同中的条款吻合（具体参考下表中的“内容”），否则无法得分。</w:t>
      </w:r>
    </w:p>
    <w:p>
      <w:pPr>
        <w:spacing w:line="560" w:lineRule="exact"/>
        <w:jc w:val="center"/>
        <w:rPr>
          <w:rFonts w:ascii="宋体" w:hAnsi="宋体" w:cs="宋体"/>
          <w:sz w:val="24"/>
          <w:szCs w:val="24"/>
        </w:rPr>
      </w:pPr>
      <w:r>
        <w:rPr>
          <w:rFonts w:hint="eastAsia" w:ascii="宋体" w:hAnsi="宋体" w:cs="宋体"/>
          <w:sz w:val="24"/>
          <w:szCs w:val="24"/>
        </w:rPr>
        <w:t>表5 发盘要素及要求</w:t>
      </w:r>
    </w:p>
    <w:tbl>
      <w:tblPr>
        <w:tblStyle w:val="17"/>
        <w:tblW w:w="8613" w:type="dxa"/>
        <w:tblInd w:w="0" w:type="dxa"/>
        <w:tblLayout w:type="fixed"/>
        <w:tblCellMar>
          <w:top w:w="0" w:type="dxa"/>
          <w:left w:w="108" w:type="dxa"/>
          <w:bottom w:w="0" w:type="dxa"/>
          <w:right w:w="108" w:type="dxa"/>
        </w:tblCellMar>
      </w:tblPr>
      <w:tblGrid>
        <w:gridCol w:w="1526"/>
        <w:gridCol w:w="2410"/>
        <w:gridCol w:w="4677"/>
      </w:tblGrid>
      <w:tr>
        <w:tblPrEx>
          <w:tblLayout w:type="fixed"/>
          <w:tblCellMar>
            <w:top w:w="0" w:type="dxa"/>
            <w:left w:w="108" w:type="dxa"/>
            <w:bottom w:w="0" w:type="dxa"/>
            <w:right w:w="108" w:type="dxa"/>
          </w:tblCellMar>
        </w:tblPrEx>
        <w:trPr>
          <w:trHeight w:val="515" w:hRule="atLeast"/>
          <w:tblHeader/>
        </w:trPr>
        <w:tc>
          <w:tcPr>
            <w:tcW w:w="152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color w:val="000000"/>
                <w:kern w:val="0"/>
                <w:sz w:val="24"/>
                <w:szCs w:val="24"/>
              </w:rPr>
            </w:pPr>
            <w:r>
              <w:rPr>
                <w:rFonts w:hint="eastAsia" w:ascii="宋体" w:hAnsi="宋体" w:cs="宋体"/>
                <w:b/>
                <w:color w:val="000000"/>
                <w:kern w:val="0"/>
                <w:sz w:val="24"/>
                <w:szCs w:val="24"/>
              </w:rPr>
              <w:t>发盘要素</w:t>
            </w:r>
          </w:p>
        </w:tc>
        <w:tc>
          <w:tcPr>
            <w:tcW w:w="2410"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b/>
                <w:color w:val="000000"/>
                <w:kern w:val="0"/>
                <w:sz w:val="24"/>
                <w:szCs w:val="24"/>
              </w:rPr>
            </w:pPr>
            <w:r>
              <w:rPr>
                <w:rFonts w:hint="eastAsia" w:ascii="宋体" w:hAnsi="宋体" w:cs="宋体"/>
                <w:b/>
                <w:color w:val="000000"/>
                <w:kern w:val="0"/>
                <w:sz w:val="24"/>
                <w:szCs w:val="24"/>
              </w:rPr>
              <w:t>发盘要素标题（英文）</w:t>
            </w:r>
          </w:p>
        </w:tc>
        <w:tc>
          <w:tcPr>
            <w:tcW w:w="4677"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b/>
                <w:color w:val="000000"/>
                <w:kern w:val="0"/>
                <w:sz w:val="24"/>
                <w:szCs w:val="24"/>
              </w:rPr>
            </w:pPr>
            <w:r>
              <w:rPr>
                <w:rFonts w:hint="eastAsia" w:ascii="宋体" w:hAnsi="宋体" w:cs="宋体"/>
                <w:b/>
                <w:color w:val="000000"/>
                <w:kern w:val="0"/>
                <w:sz w:val="24"/>
                <w:szCs w:val="24"/>
              </w:rPr>
              <w:t>内容</w:t>
            </w:r>
          </w:p>
        </w:tc>
      </w:tr>
      <w:tr>
        <w:tblPrEx>
          <w:tblLayout w:type="fixed"/>
          <w:tblCellMar>
            <w:top w:w="0" w:type="dxa"/>
            <w:left w:w="108" w:type="dxa"/>
            <w:bottom w:w="0" w:type="dxa"/>
            <w:right w:w="108" w:type="dxa"/>
          </w:tblCellMar>
        </w:tblPrEx>
        <w:trPr>
          <w:trHeight w:val="270" w:hRule="atLeast"/>
          <w:tblHeader/>
        </w:trPr>
        <w:tc>
          <w:tcPr>
            <w:tcW w:w="1526" w:type="dxa"/>
            <w:tcBorders>
              <w:top w:val="nil"/>
              <w:left w:val="single" w:color="auto" w:sz="4" w:space="0"/>
              <w:bottom w:val="single" w:color="auto" w:sz="4" w:space="0"/>
              <w:right w:val="single" w:color="auto" w:sz="4" w:space="0"/>
            </w:tcBorders>
            <w:shd w:val="clear" w:color="auto" w:fill="auto"/>
            <w:vAlign w:val="center"/>
          </w:tcPr>
          <w:p>
            <w:pPr>
              <w:widowControl/>
              <w:rPr>
                <w:rFonts w:ascii="宋体" w:hAnsi="宋体" w:cs="宋体"/>
                <w:color w:val="000000"/>
                <w:kern w:val="0"/>
                <w:sz w:val="24"/>
                <w:szCs w:val="24"/>
              </w:rPr>
            </w:pPr>
            <w:r>
              <w:rPr>
                <w:rFonts w:hint="eastAsia" w:ascii="宋体" w:hAnsi="宋体" w:cs="宋体"/>
                <w:color w:val="000000"/>
                <w:kern w:val="0"/>
                <w:sz w:val="24"/>
                <w:szCs w:val="24"/>
              </w:rPr>
              <w:t>产品编号</w:t>
            </w:r>
          </w:p>
        </w:tc>
        <w:tc>
          <w:tcPr>
            <w:tcW w:w="2410" w:type="dxa"/>
            <w:tcBorders>
              <w:top w:val="nil"/>
              <w:left w:val="nil"/>
              <w:bottom w:val="single" w:color="auto" w:sz="4" w:space="0"/>
              <w:right w:val="single" w:color="auto" w:sz="4" w:space="0"/>
            </w:tcBorders>
            <w:shd w:val="clear" w:color="auto" w:fill="auto"/>
            <w:vAlign w:val="center"/>
          </w:tcPr>
          <w:p>
            <w:pPr>
              <w:widowControl/>
              <w:rPr>
                <w:rFonts w:ascii="Times New Roman" w:hAnsi="Times New Roman"/>
                <w:color w:val="000000"/>
                <w:kern w:val="0"/>
                <w:sz w:val="24"/>
                <w:szCs w:val="24"/>
              </w:rPr>
            </w:pPr>
            <w:r>
              <w:rPr>
                <w:rFonts w:ascii="Times New Roman" w:hAnsi="Times New Roman"/>
                <w:color w:val="000000"/>
                <w:kern w:val="0"/>
                <w:sz w:val="24"/>
                <w:szCs w:val="24"/>
              </w:rPr>
              <w:t>Product No.:</w:t>
            </w:r>
          </w:p>
        </w:tc>
        <w:tc>
          <w:tcPr>
            <w:tcW w:w="4677" w:type="dxa"/>
            <w:tcBorders>
              <w:top w:val="nil"/>
              <w:left w:val="nil"/>
              <w:bottom w:val="single" w:color="auto" w:sz="4" w:space="0"/>
              <w:right w:val="single" w:color="auto" w:sz="4" w:space="0"/>
            </w:tcBorders>
            <w:shd w:val="clear" w:color="auto" w:fill="auto"/>
            <w:vAlign w:val="center"/>
          </w:tcPr>
          <w:p>
            <w:pPr>
              <w:widowControl/>
              <w:rPr>
                <w:rFonts w:ascii="宋体" w:hAnsi="宋体" w:cs="宋体"/>
                <w:color w:val="000000"/>
                <w:kern w:val="0"/>
                <w:sz w:val="24"/>
                <w:szCs w:val="24"/>
              </w:rPr>
            </w:pPr>
            <w:r>
              <w:rPr>
                <w:rFonts w:hint="eastAsia" w:ascii="宋体" w:hAnsi="宋体" w:cs="宋体"/>
                <w:color w:val="000000"/>
                <w:kern w:val="0"/>
                <w:sz w:val="24"/>
                <w:szCs w:val="24"/>
              </w:rPr>
              <w:t>与合同中商品编号完全一致</w:t>
            </w:r>
          </w:p>
        </w:tc>
      </w:tr>
      <w:tr>
        <w:tblPrEx>
          <w:tblLayout w:type="fixed"/>
          <w:tblCellMar>
            <w:top w:w="0" w:type="dxa"/>
            <w:left w:w="108" w:type="dxa"/>
            <w:bottom w:w="0" w:type="dxa"/>
            <w:right w:w="108" w:type="dxa"/>
          </w:tblCellMar>
        </w:tblPrEx>
        <w:trPr>
          <w:trHeight w:val="270" w:hRule="atLeast"/>
          <w:tblHeader/>
        </w:trPr>
        <w:tc>
          <w:tcPr>
            <w:tcW w:w="1526" w:type="dxa"/>
            <w:tcBorders>
              <w:top w:val="nil"/>
              <w:left w:val="single" w:color="auto" w:sz="4" w:space="0"/>
              <w:bottom w:val="single" w:color="auto" w:sz="4" w:space="0"/>
              <w:right w:val="single" w:color="auto" w:sz="4" w:space="0"/>
            </w:tcBorders>
            <w:shd w:val="clear" w:color="auto" w:fill="auto"/>
            <w:vAlign w:val="center"/>
          </w:tcPr>
          <w:p>
            <w:pPr>
              <w:widowControl/>
              <w:rPr>
                <w:rFonts w:ascii="宋体" w:hAnsi="宋体" w:cs="宋体"/>
                <w:color w:val="000000"/>
                <w:kern w:val="0"/>
                <w:sz w:val="24"/>
                <w:szCs w:val="24"/>
              </w:rPr>
            </w:pPr>
            <w:r>
              <w:rPr>
                <w:rFonts w:hint="eastAsia" w:ascii="宋体" w:hAnsi="宋体" w:cs="宋体"/>
                <w:color w:val="000000"/>
                <w:kern w:val="0"/>
                <w:sz w:val="24"/>
                <w:szCs w:val="24"/>
              </w:rPr>
              <w:t>产品名称</w:t>
            </w:r>
          </w:p>
        </w:tc>
        <w:tc>
          <w:tcPr>
            <w:tcW w:w="2410" w:type="dxa"/>
            <w:tcBorders>
              <w:top w:val="nil"/>
              <w:left w:val="nil"/>
              <w:bottom w:val="single" w:color="auto" w:sz="4" w:space="0"/>
              <w:right w:val="single" w:color="auto" w:sz="4" w:space="0"/>
            </w:tcBorders>
            <w:shd w:val="clear" w:color="auto" w:fill="auto"/>
            <w:vAlign w:val="center"/>
          </w:tcPr>
          <w:p>
            <w:pPr>
              <w:widowControl/>
              <w:rPr>
                <w:rFonts w:ascii="Times New Roman" w:hAnsi="Times New Roman"/>
                <w:color w:val="000000"/>
                <w:kern w:val="0"/>
                <w:sz w:val="24"/>
                <w:szCs w:val="24"/>
              </w:rPr>
            </w:pPr>
            <w:r>
              <w:rPr>
                <w:rFonts w:ascii="Times New Roman" w:hAnsi="Times New Roman"/>
                <w:color w:val="000000"/>
                <w:kern w:val="0"/>
                <w:sz w:val="24"/>
                <w:szCs w:val="24"/>
              </w:rPr>
              <w:t>Product Name:</w:t>
            </w:r>
          </w:p>
        </w:tc>
        <w:tc>
          <w:tcPr>
            <w:tcW w:w="4677" w:type="dxa"/>
            <w:tcBorders>
              <w:top w:val="nil"/>
              <w:left w:val="nil"/>
              <w:bottom w:val="single" w:color="auto" w:sz="4" w:space="0"/>
              <w:right w:val="single" w:color="auto" w:sz="4" w:space="0"/>
            </w:tcBorders>
            <w:shd w:val="clear" w:color="auto" w:fill="auto"/>
            <w:vAlign w:val="center"/>
          </w:tcPr>
          <w:p>
            <w:pPr>
              <w:widowControl/>
              <w:rPr>
                <w:rFonts w:ascii="宋体" w:hAnsi="宋体" w:cs="宋体"/>
                <w:color w:val="000000"/>
                <w:kern w:val="0"/>
                <w:sz w:val="24"/>
                <w:szCs w:val="24"/>
              </w:rPr>
            </w:pPr>
            <w:r>
              <w:rPr>
                <w:rFonts w:hint="eastAsia" w:ascii="宋体" w:hAnsi="宋体" w:cs="宋体"/>
                <w:color w:val="000000"/>
                <w:kern w:val="0"/>
                <w:sz w:val="24"/>
                <w:szCs w:val="24"/>
              </w:rPr>
              <w:t>与商品资料中的商品名称完全一致</w:t>
            </w:r>
          </w:p>
        </w:tc>
      </w:tr>
      <w:tr>
        <w:tblPrEx>
          <w:tblLayout w:type="fixed"/>
          <w:tblCellMar>
            <w:top w:w="0" w:type="dxa"/>
            <w:left w:w="108" w:type="dxa"/>
            <w:bottom w:w="0" w:type="dxa"/>
            <w:right w:w="108" w:type="dxa"/>
          </w:tblCellMar>
        </w:tblPrEx>
        <w:trPr>
          <w:trHeight w:val="270" w:hRule="atLeast"/>
          <w:tblHeader/>
        </w:trPr>
        <w:tc>
          <w:tcPr>
            <w:tcW w:w="1526" w:type="dxa"/>
            <w:tcBorders>
              <w:top w:val="nil"/>
              <w:left w:val="single" w:color="auto" w:sz="4" w:space="0"/>
              <w:bottom w:val="single" w:color="auto" w:sz="4" w:space="0"/>
              <w:right w:val="single" w:color="auto" w:sz="4" w:space="0"/>
            </w:tcBorders>
            <w:shd w:val="clear" w:color="auto" w:fill="auto"/>
            <w:vAlign w:val="center"/>
          </w:tcPr>
          <w:p>
            <w:pPr>
              <w:widowControl/>
              <w:rPr>
                <w:rFonts w:ascii="宋体" w:hAnsi="宋体" w:cs="宋体"/>
                <w:color w:val="000000"/>
                <w:kern w:val="0"/>
                <w:sz w:val="24"/>
                <w:szCs w:val="24"/>
              </w:rPr>
            </w:pPr>
            <w:r>
              <w:rPr>
                <w:rFonts w:hint="eastAsia" w:ascii="宋体" w:hAnsi="宋体" w:cs="宋体"/>
                <w:color w:val="000000"/>
                <w:kern w:val="0"/>
                <w:sz w:val="24"/>
                <w:szCs w:val="24"/>
              </w:rPr>
              <w:t>数量</w:t>
            </w:r>
          </w:p>
        </w:tc>
        <w:tc>
          <w:tcPr>
            <w:tcW w:w="2410" w:type="dxa"/>
            <w:tcBorders>
              <w:top w:val="nil"/>
              <w:left w:val="nil"/>
              <w:bottom w:val="single" w:color="auto" w:sz="4" w:space="0"/>
              <w:right w:val="single" w:color="auto" w:sz="4" w:space="0"/>
            </w:tcBorders>
            <w:shd w:val="clear" w:color="auto" w:fill="auto"/>
            <w:vAlign w:val="center"/>
          </w:tcPr>
          <w:p>
            <w:pPr>
              <w:widowControl/>
              <w:rPr>
                <w:rFonts w:ascii="Times New Roman" w:hAnsi="Times New Roman"/>
                <w:color w:val="000000"/>
                <w:kern w:val="0"/>
                <w:sz w:val="24"/>
                <w:szCs w:val="24"/>
              </w:rPr>
            </w:pPr>
            <w:r>
              <w:rPr>
                <w:rFonts w:ascii="Times New Roman" w:hAnsi="Times New Roman"/>
                <w:color w:val="000000"/>
                <w:kern w:val="0"/>
                <w:sz w:val="24"/>
                <w:szCs w:val="24"/>
              </w:rPr>
              <w:t>Quantity:</w:t>
            </w:r>
          </w:p>
        </w:tc>
        <w:tc>
          <w:tcPr>
            <w:tcW w:w="4677" w:type="dxa"/>
            <w:tcBorders>
              <w:top w:val="nil"/>
              <w:left w:val="nil"/>
              <w:bottom w:val="single" w:color="auto" w:sz="4" w:space="0"/>
              <w:right w:val="single" w:color="auto" w:sz="4" w:space="0"/>
            </w:tcBorders>
            <w:shd w:val="clear" w:color="auto" w:fill="auto"/>
            <w:vAlign w:val="center"/>
          </w:tcPr>
          <w:p>
            <w:pPr>
              <w:widowControl/>
              <w:rPr>
                <w:rFonts w:ascii="宋体" w:hAnsi="宋体" w:cs="宋体"/>
                <w:color w:val="000000"/>
                <w:kern w:val="0"/>
                <w:sz w:val="24"/>
                <w:szCs w:val="24"/>
              </w:rPr>
            </w:pPr>
            <w:r>
              <w:rPr>
                <w:rFonts w:hint="eastAsia" w:ascii="宋体" w:hAnsi="宋体" w:cs="宋体"/>
                <w:color w:val="000000"/>
                <w:kern w:val="0"/>
                <w:sz w:val="24"/>
                <w:szCs w:val="24"/>
              </w:rPr>
              <w:t>与合同中商品数量完全一致</w:t>
            </w:r>
          </w:p>
          <w:p>
            <w:pPr>
              <w:widowControl/>
              <w:rPr>
                <w:rFonts w:ascii="宋体" w:hAnsi="宋体" w:cs="宋体"/>
                <w:color w:val="000000"/>
                <w:kern w:val="0"/>
                <w:sz w:val="24"/>
                <w:szCs w:val="24"/>
              </w:rPr>
            </w:pPr>
            <w:r>
              <w:rPr>
                <w:rFonts w:hint="eastAsia" w:ascii="宋体" w:hAnsi="宋体" w:cs="宋体"/>
                <w:color w:val="000000"/>
                <w:kern w:val="0"/>
                <w:sz w:val="24"/>
                <w:szCs w:val="24"/>
              </w:rPr>
              <w:t>格式：数字+单位（注意单复数）</w:t>
            </w:r>
          </w:p>
          <w:p>
            <w:pPr>
              <w:widowControl/>
              <w:rPr>
                <w:rFonts w:ascii="宋体" w:hAnsi="宋体" w:cs="宋体"/>
                <w:color w:val="000000"/>
                <w:kern w:val="0"/>
                <w:sz w:val="24"/>
                <w:szCs w:val="24"/>
              </w:rPr>
            </w:pPr>
            <w:r>
              <w:rPr>
                <w:rFonts w:hint="eastAsia" w:ascii="宋体" w:hAnsi="宋体" w:cs="宋体"/>
                <w:color w:val="000000"/>
                <w:kern w:val="0"/>
                <w:sz w:val="24"/>
                <w:szCs w:val="24"/>
              </w:rPr>
              <w:t>例如：</w:t>
            </w:r>
            <w:r>
              <w:rPr>
                <w:rFonts w:ascii="宋体" w:hAnsi="宋体"/>
                <w:color w:val="000000"/>
                <w:kern w:val="0"/>
                <w:sz w:val="24"/>
                <w:szCs w:val="24"/>
              </w:rPr>
              <w:t>200 PCS</w:t>
            </w:r>
          </w:p>
        </w:tc>
      </w:tr>
      <w:tr>
        <w:tblPrEx>
          <w:tblLayout w:type="fixed"/>
          <w:tblCellMar>
            <w:top w:w="0" w:type="dxa"/>
            <w:left w:w="108" w:type="dxa"/>
            <w:bottom w:w="0" w:type="dxa"/>
            <w:right w:w="108" w:type="dxa"/>
          </w:tblCellMar>
        </w:tblPrEx>
        <w:trPr>
          <w:trHeight w:val="270" w:hRule="atLeast"/>
          <w:tblHeader/>
        </w:trPr>
        <w:tc>
          <w:tcPr>
            <w:tcW w:w="1526" w:type="dxa"/>
            <w:tcBorders>
              <w:top w:val="nil"/>
              <w:left w:val="single" w:color="auto" w:sz="4" w:space="0"/>
              <w:bottom w:val="single" w:color="auto" w:sz="4" w:space="0"/>
              <w:right w:val="single" w:color="auto" w:sz="4" w:space="0"/>
            </w:tcBorders>
            <w:shd w:val="clear" w:color="auto" w:fill="auto"/>
            <w:vAlign w:val="center"/>
          </w:tcPr>
          <w:p>
            <w:pPr>
              <w:widowControl/>
              <w:rPr>
                <w:rFonts w:ascii="宋体" w:hAnsi="宋体" w:cs="宋体"/>
                <w:color w:val="000000"/>
                <w:kern w:val="0"/>
                <w:sz w:val="24"/>
                <w:szCs w:val="24"/>
              </w:rPr>
            </w:pPr>
            <w:r>
              <w:rPr>
                <w:rFonts w:hint="eastAsia" w:ascii="宋体" w:hAnsi="宋体" w:cs="宋体"/>
                <w:color w:val="000000"/>
                <w:kern w:val="0"/>
                <w:sz w:val="24"/>
                <w:szCs w:val="24"/>
              </w:rPr>
              <w:t>单价</w:t>
            </w:r>
          </w:p>
        </w:tc>
        <w:tc>
          <w:tcPr>
            <w:tcW w:w="2410" w:type="dxa"/>
            <w:tcBorders>
              <w:top w:val="nil"/>
              <w:left w:val="nil"/>
              <w:bottom w:val="single" w:color="auto" w:sz="4" w:space="0"/>
              <w:right w:val="single" w:color="auto" w:sz="4" w:space="0"/>
            </w:tcBorders>
            <w:shd w:val="clear" w:color="auto" w:fill="auto"/>
            <w:vAlign w:val="center"/>
          </w:tcPr>
          <w:p>
            <w:pPr>
              <w:widowControl/>
              <w:rPr>
                <w:rFonts w:ascii="Times New Roman" w:hAnsi="Times New Roman"/>
                <w:color w:val="000000"/>
                <w:kern w:val="0"/>
                <w:sz w:val="24"/>
                <w:szCs w:val="24"/>
              </w:rPr>
            </w:pPr>
            <w:r>
              <w:rPr>
                <w:rFonts w:ascii="Times New Roman" w:hAnsi="Times New Roman"/>
                <w:color w:val="000000"/>
                <w:kern w:val="0"/>
                <w:sz w:val="24"/>
                <w:szCs w:val="24"/>
              </w:rPr>
              <w:t>Unit Price:</w:t>
            </w:r>
          </w:p>
        </w:tc>
        <w:tc>
          <w:tcPr>
            <w:tcW w:w="4677" w:type="dxa"/>
            <w:tcBorders>
              <w:top w:val="nil"/>
              <w:left w:val="nil"/>
              <w:bottom w:val="single" w:color="auto" w:sz="4" w:space="0"/>
              <w:right w:val="single" w:color="auto" w:sz="4" w:space="0"/>
            </w:tcBorders>
            <w:shd w:val="clear" w:color="auto" w:fill="auto"/>
            <w:vAlign w:val="center"/>
          </w:tcPr>
          <w:p>
            <w:pPr>
              <w:widowControl/>
              <w:rPr>
                <w:rFonts w:ascii="宋体" w:hAnsi="宋体" w:cs="宋体"/>
                <w:color w:val="000000"/>
                <w:kern w:val="0"/>
                <w:sz w:val="24"/>
                <w:szCs w:val="24"/>
              </w:rPr>
            </w:pPr>
            <w:r>
              <w:rPr>
                <w:rFonts w:hint="eastAsia" w:ascii="宋体" w:hAnsi="宋体" w:cs="宋体"/>
                <w:color w:val="000000"/>
                <w:kern w:val="0"/>
                <w:sz w:val="24"/>
                <w:szCs w:val="24"/>
              </w:rPr>
              <w:t>与合同中商品单价完全一致，并要表达完整</w:t>
            </w:r>
          </w:p>
          <w:p>
            <w:pPr>
              <w:widowControl/>
              <w:rPr>
                <w:rFonts w:ascii="宋体" w:hAnsi="宋体" w:cs="宋体"/>
                <w:color w:val="000000"/>
                <w:kern w:val="0"/>
                <w:sz w:val="24"/>
                <w:szCs w:val="24"/>
              </w:rPr>
            </w:pPr>
            <w:r>
              <w:rPr>
                <w:rFonts w:hint="eastAsia" w:ascii="宋体" w:hAnsi="宋体" w:cs="宋体"/>
                <w:color w:val="000000"/>
                <w:kern w:val="0"/>
                <w:sz w:val="24"/>
                <w:szCs w:val="24"/>
              </w:rPr>
              <w:t>例如：</w:t>
            </w:r>
            <w:r>
              <w:rPr>
                <w:rFonts w:ascii="宋体" w:hAnsi="宋体"/>
                <w:color w:val="000000"/>
                <w:kern w:val="0"/>
                <w:sz w:val="24"/>
                <w:szCs w:val="24"/>
              </w:rPr>
              <w:t>USD 20.5 PER CARTON CIF NEWYORK</w:t>
            </w:r>
            <w:r>
              <w:rPr>
                <w:rFonts w:hint="eastAsia" w:ascii="宋体" w:hAnsi="宋体"/>
                <w:color w:val="000000"/>
                <w:kern w:val="0"/>
                <w:sz w:val="24"/>
                <w:szCs w:val="24"/>
              </w:rPr>
              <w:t>,AMERICA</w:t>
            </w:r>
          </w:p>
        </w:tc>
      </w:tr>
      <w:tr>
        <w:tblPrEx>
          <w:tblLayout w:type="fixed"/>
          <w:tblCellMar>
            <w:top w:w="0" w:type="dxa"/>
            <w:left w:w="108" w:type="dxa"/>
            <w:bottom w:w="0" w:type="dxa"/>
            <w:right w:w="108" w:type="dxa"/>
          </w:tblCellMar>
        </w:tblPrEx>
        <w:trPr>
          <w:trHeight w:val="270" w:hRule="atLeast"/>
          <w:tblHeader/>
        </w:trPr>
        <w:tc>
          <w:tcPr>
            <w:tcW w:w="1526" w:type="dxa"/>
            <w:tcBorders>
              <w:top w:val="nil"/>
              <w:left w:val="single" w:color="auto" w:sz="4" w:space="0"/>
              <w:bottom w:val="single" w:color="auto" w:sz="4" w:space="0"/>
              <w:right w:val="single" w:color="auto" w:sz="4" w:space="0"/>
            </w:tcBorders>
            <w:shd w:val="clear" w:color="auto" w:fill="auto"/>
            <w:vAlign w:val="center"/>
          </w:tcPr>
          <w:p>
            <w:pPr>
              <w:widowControl/>
              <w:rPr>
                <w:rFonts w:ascii="宋体" w:hAnsi="宋体" w:cs="宋体"/>
                <w:color w:val="000000"/>
                <w:kern w:val="0"/>
                <w:sz w:val="24"/>
                <w:szCs w:val="24"/>
              </w:rPr>
            </w:pPr>
            <w:r>
              <w:rPr>
                <w:rFonts w:hint="eastAsia" w:ascii="宋体" w:hAnsi="宋体" w:cs="宋体"/>
                <w:color w:val="000000"/>
                <w:kern w:val="0"/>
                <w:sz w:val="24"/>
                <w:szCs w:val="24"/>
              </w:rPr>
              <w:t>总金额</w:t>
            </w:r>
          </w:p>
        </w:tc>
        <w:tc>
          <w:tcPr>
            <w:tcW w:w="2410" w:type="dxa"/>
            <w:tcBorders>
              <w:top w:val="nil"/>
              <w:left w:val="nil"/>
              <w:bottom w:val="single" w:color="auto" w:sz="4" w:space="0"/>
              <w:right w:val="single" w:color="auto" w:sz="4" w:space="0"/>
            </w:tcBorders>
            <w:shd w:val="clear" w:color="auto" w:fill="auto"/>
            <w:vAlign w:val="center"/>
          </w:tcPr>
          <w:p>
            <w:pPr>
              <w:widowControl/>
              <w:rPr>
                <w:rFonts w:ascii="Times New Roman" w:hAnsi="Times New Roman"/>
                <w:color w:val="000000"/>
                <w:kern w:val="0"/>
                <w:sz w:val="24"/>
                <w:szCs w:val="24"/>
              </w:rPr>
            </w:pPr>
            <w:r>
              <w:rPr>
                <w:rFonts w:ascii="Times New Roman" w:hAnsi="Times New Roman"/>
                <w:color w:val="000000"/>
                <w:kern w:val="0"/>
                <w:sz w:val="24"/>
                <w:szCs w:val="24"/>
              </w:rPr>
              <w:t>Amount:</w:t>
            </w:r>
          </w:p>
        </w:tc>
        <w:tc>
          <w:tcPr>
            <w:tcW w:w="4677" w:type="dxa"/>
            <w:tcBorders>
              <w:top w:val="nil"/>
              <w:left w:val="nil"/>
              <w:bottom w:val="single" w:color="auto" w:sz="4" w:space="0"/>
              <w:right w:val="single" w:color="auto" w:sz="4" w:space="0"/>
            </w:tcBorders>
            <w:shd w:val="clear" w:color="auto" w:fill="auto"/>
            <w:vAlign w:val="center"/>
          </w:tcPr>
          <w:p>
            <w:pPr>
              <w:widowControl/>
              <w:rPr>
                <w:rFonts w:ascii="宋体" w:hAnsi="宋体" w:cs="宋体"/>
                <w:color w:val="000000"/>
                <w:kern w:val="0"/>
                <w:sz w:val="24"/>
                <w:szCs w:val="24"/>
              </w:rPr>
            </w:pPr>
            <w:r>
              <w:rPr>
                <w:rFonts w:hint="eastAsia" w:ascii="宋体" w:hAnsi="宋体" w:cs="宋体"/>
                <w:color w:val="000000"/>
                <w:kern w:val="0"/>
                <w:sz w:val="24"/>
                <w:szCs w:val="24"/>
              </w:rPr>
              <w:t>与合同总金额完全一致</w:t>
            </w:r>
          </w:p>
          <w:p>
            <w:pPr>
              <w:widowControl/>
              <w:rPr>
                <w:rFonts w:ascii="宋体" w:hAnsi="宋体" w:cs="宋体"/>
                <w:color w:val="000000"/>
                <w:kern w:val="0"/>
                <w:sz w:val="24"/>
                <w:szCs w:val="24"/>
              </w:rPr>
            </w:pPr>
            <w:r>
              <w:rPr>
                <w:rFonts w:hint="eastAsia" w:ascii="宋体" w:hAnsi="宋体" w:cs="宋体"/>
                <w:color w:val="000000"/>
                <w:kern w:val="0"/>
                <w:sz w:val="24"/>
                <w:szCs w:val="24"/>
              </w:rPr>
              <w:t>格式：币别+数字</w:t>
            </w:r>
          </w:p>
          <w:p>
            <w:pPr>
              <w:widowControl/>
              <w:rPr>
                <w:rFonts w:ascii="宋体" w:hAnsi="宋体" w:cs="宋体"/>
                <w:color w:val="000000"/>
                <w:kern w:val="0"/>
                <w:sz w:val="24"/>
                <w:szCs w:val="24"/>
              </w:rPr>
            </w:pPr>
            <w:r>
              <w:rPr>
                <w:rFonts w:hint="eastAsia" w:ascii="宋体" w:hAnsi="宋体" w:cs="宋体"/>
                <w:color w:val="000000"/>
                <w:kern w:val="0"/>
                <w:sz w:val="24"/>
                <w:szCs w:val="24"/>
              </w:rPr>
              <w:t>例如：</w:t>
            </w:r>
            <w:r>
              <w:rPr>
                <w:rFonts w:ascii="宋体" w:hAnsi="宋体"/>
                <w:color w:val="000000"/>
                <w:kern w:val="0"/>
                <w:sz w:val="24"/>
                <w:szCs w:val="24"/>
              </w:rPr>
              <w:t>GBP 35000</w:t>
            </w:r>
          </w:p>
        </w:tc>
      </w:tr>
      <w:tr>
        <w:tblPrEx>
          <w:tblLayout w:type="fixed"/>
          <w:tblCellMar>
            <w:top w:w="0" w:type="dxa"/>
            <w:left w:w="108" w:type="dxa"/>
            <w:bottom w:w="0" w:type="dxa"/>
            <w:right w:w="108" w:type="dxa"/>
          </w:tblCellMar>
        </w:tblPrEx>
        <w:trPr>
          <w:trHeight w:val="270" w:hRule="atLeast"/>
          <w:tblHeader/>
        </w:trPr>
        <w:tc>
          <w:tcPr>
            <w:tcW w:w="1526" w:type="dxa"/>
            <w:tcBorders>
              <w:top w:val="nil"/>
              <w:left w:val="single" w:color="auto" w:sz="4" w:space="0"/>
              <w:bottom w:val="single" w:color="auto" w:sz="4" w:space="0"/>
              <w:right w:val="single" w:color="auto" w:sz="4" w:space="0"/>
            </w:tcBorders>
            <w:shd w:val="clear" w:color="auto" w:fill="auto"/>
            <w:vAlign w:val="center"/>
          </w:tcPr>
          <w:p>
            <w:pPr>
              <w:widowControl/>
              <w:rPr>
                <w:rFonts w:ascii="宋体" w:hAnsi="宋体" w:cs="宋体"/>
                <w:color w:val="000000"/>
                <w:kern w:val="0"/>
                <w:sz w:val="24"/>
                <w:szCs w:val="24"/>
              </w:rPr>
            </w:pPr>
            <w:r>
              <w:rPr>
                <w:rFonts w:hint="eastAsia" w:ascii="宋体" w:hAnsi="宋体" w:cs="宋体"/>
                <w:color w:val="000000"/>
                <w:kern w:val="0"/>
                <w:sz w:val="24"/>
                <w:szCs w:val="24"/>
              </w:rPr>
              <w:t>结算方式</w:t>
            </w:r>
          </w:p>
        </w:tc>
        <w:tc>
          <w:tcPr>
            <w:tcW w:w="2410" w:type="dxa"/>
            <w:tcBorders>
              <w:top w:val="nil"/>
              <w:left w:val="nil"/>
              <w:bottom w:val="single" w:color="auto" w:sz="4" w:space="0"/>
              <w:right w:val="single" w:color="auto" w:sz="4" w:space="0"/>
            </w:tcBorders>
            <w:shd w:val="clear" w:color="auto" w:fill="auto"/>
            <w:vAlign w:val="center"/>
          </w:tcPr>
          <w:p>
            <w:pPr>
              <w:widowControl/>
              <w:rPr>
                <w:rFonts w:ascii="Times New Roman" w:hAnsi="Times New Roman"/>
                <w:color w:val="000000"/>
                <w:kern w:val="0"/>
                <w:sz w:val="24"/>
                <w:szCs w:val="24"/>
              </w:rPr>
            </w:pPr>
            <w:r>
              <w:rPr>
                <w:rFonts w:ascii="Times New Roman" w:hAnsi="Times New Roman"/>
                <w:color w:val="000000"/>
                <w:kern w:val="0"/>
                <w:sz w:val="24"/>
                <w:szCs w:val="24"/>
              </w:rPr>
              <w:t>Payment:</w:t>
            </w:r>
          </w:p>
        </w:tc>
        <w:tc>
          <w:tcPr>
            <w:tcW w:w="4677" w:type="dxa"/>
            <w:tcBorders>
              <w:top w:val="nil"/>
              <w:left w:val="nil"/>
              <w:bottom w:val="single" w:color="auto" w:sz="4" w:space="0"/>
              <w:right w:val="single" w:color="auto" w:sz="4" w:space="0"/>
            </w:tcBorders>
            <w:shd w:val="clear" w:color="auto" w:fill="auto"/>
            <w:vAlign w:val="center"/>
          </w:tcPr>
          <w:p>
            <w:pPr>
              <w:widowControl/>
              <w:rPr>
                <w:rFonts w:ascii="宋体" w:hAnsi="宋体" w:cs="宋体"/>
                <w:color w:val="000000"/>
                <w:kern w:val="0"/>
                <w:sz w:val="24"/>
                <w:szCs w:val="24"/>
              </w:rPr>
            </w:pPr>
            <w:r>
              <w:rPr>
                <w:rFonts w:hint="eastAsia" w:ascii="宋体" w:hAnsi="宋体" w:cs="宋体"/>
                <w:color w:val="000000"/>
                <w:kern w:val="0"/>
                <w:sz w:val="24"/>
                <w:szCs w:val="24"/>
              </w:rPr>
              <w:t>与合同中结算方式完全一致，必须完整表达</w:t>
            </w:r>
          </w:p>
          <w:p>
            <w:pPr>
              <w:widowControl/>
              <w:rPr>
                <w:rFonts w:ascii="宋体" w:hAnsi="宋体" w:cs="宋体"/>
                <w:color w:val="000000"/>
                <w:kern w:val="0"/>
                <w:sz w:val="24"/>
                <w:szCs w:val="24"/>
              </w:rPr>
            </w:pPr>
            <w:r>
              <w:rPr>
                <w:rFonts w:hint="eastAsia" w:ascii="宋体" w:hAnsi="宋体" w:cs="宋体"/>
                <w:color w:val="000000"/>
                <w:kern w:val="0"/>
                <w:sz w:val="24"/>
                <w:szCs w:val="24"/>
              </w:rPr>
              <w:t>例如：</w:t>
            </w:r>
            <w:r>
              <w:rPr>
                <w:rFonts w:ascii="宋体" w:hAnsi="宋体"/>
                <w:color w:val="000000"/>
                <w:kern w:val="0"/>
                <w:sz w:val="24"/>
                <w:szCs w:val="24"/>
              </w:rPr>
              <w:t>T/T 30% IN ADVANCE AND 70% WITHIN 30 DAYS AFTER SHIPMENT DATE</w:t>
            </w:r>
          </w:p>
        </w:tc>
      </w:tr>
      <w:tr>
        <w:tblPrEx>
          <w:tblLayout w:type="fixed"/>
          <w:tblCellMar>
            <w:top w:w="0" w:type="dxa"/>
            <w:left w:w="108" w:type="dxa"/>
            <w:bottom w:w="0" w:type="dxa"/>
            <w:right w:w="108" w:type="dxa"/>
          </w:tblCellMar>
        </w:tblPrEx>
        <w:trPr>
          <w:trHeight w:val="270" w:hRule="atLeast"/>
          <w:tblHeader/>
        </w:trPr>
        <w:tc>
          <w:tcPr>
            <w:tcW w:w="1526" w:type="dxa"/>
            <w:tcBorders>
              <w:top w:val="nil"/>
              <w:left w:val="single" w:color="auto" w:sz="4" w:space="0"/>
              <w:bottom w:val="single" w:color="auto" w:sz="4" w:space="0"/>
              <w:right w:val="single" w:color="auto" w:sz="4" w:space="0"/>
            </w:tcBorders>
            <w:shd w:val="clear" w:color="auto" w:fill="auto"/>
            <w:vAlign w:val="center"/>
          </w:tcPr>
          <w:p>
            <w:pPr>
              <w:widowControl/>
              <w:rPr>
                <w:rFonts w:ascii="宋体" w:hAnsi="宋体" w:cs="宋体"/>
                <w:color w:val="000000"/>
                <w:kern w:val="0"/>
                <w:sz w:val="24"/>
                <w:szCs w:val="24"/>
              </w:rPr>
            </w:pPr>
            <w:r>
              <w:rPr>
                <w:rFonts w:hint="eastAsia" w:ascii="宋体" w:hAnsi="宋体" w:cs="宋体"/>
                <w:color w:val="000000"/>
                <w:kern w:val="0"/>
                <w:sz w:val="24"/>
                <w:szCs w:val="24"/>
              </w:rPr>
              <w:t>运输方式</w:t>
            </w:r>
          </w:p>
        </w:tc>
        <w:tc>
          <w:tcPr>
            <w:tcW w:w="2410" w:type="dxa"/>
            <w:tcBorders>
              <w:top w:val="nil"/>
              <w:left w:val="nil"/>
              <w:bottom w:val="single" w:color="auto" w:sz="4" w:space="0"/>
              <w:right w:val="single" w:color="auto" w:sz="4" w:space="0"/>
            </w:tcBorders>
            <w:shd w:val="clear" w:color="auto" w:fill="auto"/>
            <w:vAlign w:val="center"/>
          </w:tcPr>
          <w:p>
            <w:pPr>
              <w:widowControl/>
              <w:rPr>
                <w:rFonts w:ascii="Times New Roman" w:hAnsi="Times New Roman"/>
                <w:color w:val="000000"/>
                <w:kern w:val="0"/>
                <w:sz w:val="24"/>
                <w:szCs w:val="24"/>
              </w:rPr>
            </w:pPr>
            <w:r>
              <w:rPr>
                <w:rFonts w:ascii="Times New Roman" w:hAnsi="Times New Roman"/>
                <w:color w:val="000000"/>
                <w:kern w:val="0"/>
                <w:sz w:val="24"/>
                <w:szCs w:val="24"/>
              </w:rPr>
              <w:t>Means of Transport:</w:t>
            </w:r>
          </w:p>
        </w:tc>
        <w:tc>
          <w:tcPr>
            <w:tcW w:w="4677" w:type="dxa"/>
            <w:tcBorders>
              <w:top w:val="nil"/>
              <w:left w:val="nil"/>
              <w:bottom w:val="single" w:color="auto" w:sz="4" w:space="0"/>
              <w:right w:val="single" w:color="auto" w:sz="4" w:space="0"/>
            </w:tcBorders>
            <w:shd w:val="clear" w:color="auto" w:fill="auto"/>
            <w:vAlign w:val="center"/>
          </w:tcPr>
          <w:p>
            <w:pPr>
              <w:widowControl/>
              <w:rPr>
                <w:rFonts w:ascii="宋体" w:hAnsi="宋体" w:cs="宋体"/>
                <w:color w:val="000000"/>
                <w:kern w:val="0"/>
                <w:sz w:val="24"/>
                <w:szCs w:val="24"/>
              </w:rPr>
            </w:pPr>
            <w:r>
              <w:rPr>
                <w:rFonts w:hint="eastAsia" w:ascii="宋体" w:hAnsi="宋体" w:cs="宋体"/>
                <w:color w:val="000000"/>
                <w:kern w:val="0"/>
                <w:sz w:val="24"/>
                <w:szCs w:val="24"/>
              </w:rPr>
              <w:t>与合同中运输方式完全一致，具体为</w:t>
            </w:r>
            <w:r>
              <w:rPr>
                <w:rFonts w:hint="eastAsia" w:ascii="宋体" w:hAnsi="宋体"/>
                <w:color w:val="000000"/>
                <w:kern w:val="0"/>
                <w:sz w:val="24"/>
                <w:szCs w:val="24"/>
              </w:rPr>
              <w:t>BY VESSEL</w:t>
            </w:r>
            <w:r>
              <w:rPr>
                <w:rFonts w:hint="eastAsia" w:ascii="宋体" w:hAnsi="宋体" w:cs="宋体"/>
                <w:color w:val="000000"/>
                <w:kern w:val="0"/>
                <w:sz w:val="24"/>
                <w:szCs w:val="24"/>
              </w:rPr>
              <w:t>或</w:t>
            </w:r>
            <w:r>
              <w:rPr>
                <w:rFonts w:hint="eastAsia" w:ascii="宋体" w:hAnsi="宋体"/>
                <w:color w:val="000000"/>
                <w:kern w:val="0"/>
                <w:sz w:val="24"/>
                <w:szCs w:val="24"/>
              </w:rPr>
              <w:t>BY AIR</w:t>
            </w:r>
          </w:p>
        </w:tc>
      </w:tr>
      <w:tr>
        <w:tblPrEx>
          <w:tblLayout w:type="fixed"/>
          <w:tblCellMar>
            <w:top w:w="0" w:type="dxa"/>
            <w:left w:w="108" w:type="dxa"/>
            <w:bottom w:w="0" w:type="dxa"/>
            <w:right w:w="108" w:type="dxa"/>
          </w:tblCellMar>
        </w:tblPrEx>
        <w:trPr>
          <w:trHeight w:val="270" w:hRule="atLeast"/>
          <w:tblHeader/>
        </w:trPr>
        <w:tc>
          <w:tcPr>
            <w:tcW w:w="1526" w:type="dxa"/>
            <w:tcBorders>
              <w:top w:val="nil"/>
              <w:left w:val="single" w:color="auto" w:sz="4" w:space="0"/>
              <w:bottom w:val="single" w:color="auto" w:sz="4" w:space="0"/>
              <w:right w:val="single" w:color="auto" w:sz="4" w:space="0"/>
            </w:tcBorders>
            <w:shd w:val="clear" w:color="auto" w:fill="auto"/>
            <w:vAlign w:val="center"/>
          </w:tcPr>
          <w:p>
            <w:pPr>
              <w:widowControl/>
              <w:rPr>
                <w:rFonts w:ascii="宋体" w:hAnsi="宋体" w:cs="宋体"/>
                <w:color w:val="000000"/>
                <w:kern w:val="0"/>
                <w:sz w:val="24"/>
                <w:szCs w:val="24"/>
              </w:rPr>
            </w:pPr>
            <w:r>
              <w:rPr>
                <w:rFonts w:hint="eastAsia" w:ascii="宋体" w:hAnsi="宋体" w:cs="宋体"/>
                <w:color w:val="000000"/>
                <w:kern w:val="0"/>
                <w:sz w:val="24"/>
                <w:szCs w:val="24"/>
              </w:rPr>
              <w:t>装运港</w:t>
            </w:r>
          </w:p>
        </w:tc>
        <w:tc>
          <w:tcPr>
            <w:tcW w:w="2410" w:type="dxa"/>
            <w:tcBorders>
              <w:top w:val="nil"/>
              <w:left w:val="nil"/>
              <w:bottom w:val="single" w:color="auto" w:sz="4" w:space="0"/>
              <w:right w:val="single" w:color="auto" w:sz="4" w:space="0"/>
            </w:tcBorders>
            <w:shd w:val="clear" w:color="auto" w:fill="auto"/>
            <w:vAlign w:val="center"/>
          </w:tcPr>
          <w:p>
            <w:pPr>
              <w:widowControl/>
              <w:rPr>
                <w:rFonts w:ascii="Times New Roman" w:hAnsi="Times New Roman"/>
                <w:color w:val="000000"/>
                <w:kern w:val="0"/>
                <w:sz w:val="24"/>
                <w:szCs w:val="24"/>
              </w:rPr>
            </w:pPr>
            <w:r>
              <w:rPr>
                <w:rFonts w:ascii="Times New Roman" w:hAnsi="Times New Roman"/>
                <w:color w:val="000000"/>
                <w:kern w:val="0"/>
                <w:sz w:val="24"/>
                <w:szCs w:val="24"/>
              </w:rPr>
              <w:t>Port of Shipment:</w:t>
            </w:r>
          </w:p>
        </w:tc>
        <w:tc>
          <w:tcPr>
            <w:tcW w:w="4677" w:type="dxa"/>
            <w:tcBorders>
              <w:top w:val="nil"/>
              <w:left w:val="nil"/>
              <w:bottom w:val="single" w:color="auto" w:sz="4" w:space="0"/>
              <w:right w:val="single" w:color="auto" w:sz="4" w:space="0"/>
            </w:tcBorders>
            <w:shd w:val="clear" w:color="auto" w:fill="auto"/>
            <w:vAlign w:val="center"/>
          </w:tcPr>
          <w:p>
            <w:pPr>
              <w:widowControl/>
              <w:rPr>
                <w:rFonts w:ascii="宋体" w:hAnsi="宋体" w:cs="宋体"/>
                <w:color w:val="000000"/>
                <w:kern w:val="0"/>
                <w:sz w:val="24"/>
                <w:szCs w:val="24"/>
              </w:rPr>
            </w:pPr>
            <w:r>
              <w:rPr>
                <w:rFonts w:hint="eastAsia" w:ascii="宋体" w:hAnsi="宋体" w:cs="宋体"/>
                <w:color w:val="000000"/>
                <w:kern w:val="0"/>
                <w:sz w:val="24"/>
                <w:szCs w:val="24"/>
              </w:rPr>
              <w:t>与合同中装运港完全一致</w:t>
            </w:r>
          </w:p>
          <w:p>
            <w:pPr>
              <w:widowControl/>
              <w:rPr>
                <w:rFonts w:ascii="宋体" w:hAnsi="宋体" w:cs="宋体"/>
                <w:color w:val="000000"/>
                <w:kern w:val="0"/>
                <w:sz w:val="24"/>
                <w:szCs w:val="24"/>
              </w:rPr>
            </w:pPr>
            <w:r>
              <w:rPr>
                <w:rFonts w:hint="eastAsia" w:ascii="宋体" w:hAnsi="宋体" w:cs="宋体"/>
                <w:color w:val="000000"/>
                <w:kern w:val="0"/>
                <w:sz w:val="24"/>
                <w:szCs w:val="24"/>
              </w:rPr>
              <w:t>格式：港口,国家</w:t>
            </w:r>
          </w:p>
          <w:p>
            <w:pPr>
              <w:widowControl/>
              <w:rPr>
                <w:rFonts w:ascii="宋体" w:hAnsi="宋体" w:cs="宋体"/>
                <w:color w:val="000000"/>
                <w:kern w:val="0"/>
                <w:sz w:val="24"/>
                <w:szCs w:val="24"/>
              </w:rPr>
            </w:pPr>
            <w:r>
              <w:rPr>
                <w:rFonts w:hint="eastAsia" w:ascii="宋体" w:hAnsi="宋体" w:cs="宋体"/>
                <w:color w:val="000000"/>
                <w:kern w:val="0"/>
                <w:sz w:val="24"/>
                <w:szCs w:val="24"/>
              </w:rPr>
              <w:t>例如：</w:t>
            </w:r>
            <w:r>
              <w:rPr>
                <w:rFonts w:ascii="宋体" w:hAnsi="宋体"/>
                <w:color w:val="000000"/>
                <w:kern w:val="0"/>
                <w:sz w:val="24"/>
                <w:szCs w:val="24"/>
              </w:rPr>
              <w:t>HAMBURG,GERMANY</w:t>
            </w:r>
          </w:p>
        </w:tc>
      </w:tr>
      <w:tr>
        <w:tblPrEx>
          <w:tblLayout w:type="fixed"/>
          <w:tblCellMar>
            <w:top w:w="0" w:type="dxa"/>
            <w:left w:w="108" w:type="dxa"/>
            <w:bottom w:w="0" w:type="dxa"/>
            <w:right w:w="108" w:type="dxa"/>
          </w:tblCellMar>
        </w:tblPrEx>
        <w:trPr>
          <w:trHeight w:val="270" w:hRule="atLeast"/>
          <w:tblHeader/>
        </w:trPr>
        <w:tc>
          <w:tcPr>
            <w:tcW w:w="1526" w:type="dxa"/>
            <w:tcBorders>
              <w:top w:val="nil"/>
              <w:left w:val="single" w:color="auto" w:sz="4" w:space="0"/>
              <w:bottom w:val="single" w:color="auto" w:sz="4" w:space="0"/>
              <w:right w:val="single" w:color="auto" w:sz="4" w:space="0"/>
            </w:tcBorders>
            <w:shd w:val="clear" w:color="auto" w:fill="auto"/>
            <w:vAlign w:val="center"/>
          </w:tcPr>
          <w:p>
            <w:pPr>
              <w:widowControl/>
              <w:rPr>
                <w:rFonts w:ascii="宋体" w:hAnsi="宋体" w:cs="宋体"/>
                <w:color w:val="000000"/>
                <w:kern w:val="0"/>
                <w:sz w:val="24"/>
                <w:szCs w:val="24"/>
              </w:rPr>
            </w:pPr>
            <w:r>
              <w:rPr>
                <w:rFonts w:hint="eastAsia" w:ascii="宋体" w:hAnsi="宋体" w:cs="宋体"/>
                <w:color w:val="000000"/>
                <w:kern w:val="0"/>
                <w:sz w:val="24"/>
                <w:szCs w:val="24"/>
              </w:rPr>
              <w:t>目的港</w:t>
            </w:r>
          </w:p>
        </w:tc>
        <w:tc>
          <w:tcPr>
            <w:tcW w:w="2410" w:type="dxa"/>
            <w:tcBorders>
              <w:top w:val="nil"/>
              <w:left w:val="nil"/>
              <w:bottom w:val="single" w:color="auto" w:sz="4" w:space="0"/>
              <w:right w:val="single" w:color="auto" w:sz="4" w:space="0"/>
            </w:tcBorders>
            <w:shd w:val="clear" w:color="auto" w:fill="auto"/>
            <w:vAlign w:val="center"/>
          </w:tcPr>
          <w:p>
            <w:pPr>
              <w:widowControl/>
              <w:rPr>
                <w:rFonts w:ascii="Times New Roman" w:hAnsi="Times New Roman"/>
                <w:color w:val="000000"/>
                <w:kern w:val="0"/>
                <w:sz w:val="24"/>
                <w:szCs w:val="24"/>
              </w:rPr>
            </w:pPr>
            <w:r>
              <w:rPr>
                <w:rFonts w:ascii="Times New Roman" w:hAnsi="Times New Roman"/>
                <w:color w:val="000000"/>
                <w:kern w:val="0"/>
                <w:sz w:val="24"/>
                <w:szCs w:val="24"/>
              </w:rPr>
              <w:t>Port of Destination:</w:t>
            </w:r>
          </w:p>
        </w:tc>
        <w:tc>
          <w:tcPr>
            <w:tcW w:w="4677" w:type="dxa"/>
            <w:tcBorders>
              <w:top w:val="nil"/>
              <w:left w:val="nil"/>
              <w:bottom w:val="single" w:color="auto" w:sz="4" w:space="0"/>
              <w:right w:val="single" w:color="auto" w:sz="4" w:space="0"/>
            </w:tcBorders>
            <w:shd w:val="clear" w:color="auto" w:fill="auto"/>
            <w:vAlign w:val="center"/>
          </w:tcPr>
          <w:p>
            <w:pPr>
              <w:widowControl/>
              <w:rPr>
                <w:rFonts w:ascii="宋体" w:hAnsi="宋体" w:cs="宋体"/>
                <w:color w:val="000000"/>
                <w:kern w:val="0"/>
                <w:sz w:val="24"/>
                <w:szCs w:val="24"/>
              </w:rPr>
            </w:pPr>
            <w:r>
              <w:rPr>
                <w:rFonts w:hint="eastAsia" w:ascii="宋体" w:hAnsi="宋体" w:cs="宋体"/>
                <w:color w:val="000000"/>
                <w:kern w:val="0"/>
                <w:sz w:val="24"/>
                <w:szCs w:val="24"/>
              </w:rPr>
              <w:t>与合同中目的港完全一致,格式同装运港</w:t>
            </w:r>
          </w:p>
        </w:tc>
      </w:tr>
      <w:tr>
        <w:tblPrEx>
          <w:tblLayout w:type="fixed"/>
          <w:tblCellMar>
            <w:top w:w="0" w:type="dxa"/>
            <w:left w:w="108" w:type="dxa"/>
            <w:bottom w:w="0" w:type="dxa"/>
            <w:right w:w="108" w:type="dxa"/>
          </w:tblCellMar>
        </w:tblPrEx>
        <w:trPr>
          <w:trHeight w:val="270" w:hRule="atLeast"/>
          <w:tblHeader/>
        </w:trPr>
        <w:tc>
          <w:tcPr>
            <w:tcW w:w="1526" w:type="dxa"/>
            <w:tcBorders>
              <w:top w:val="nil"/>
              <w:left w:val="single" w:color="auto" w:sz="4" w:space="0"/>
              <w:bottom w:val="single" w:color="auto" w:sz="4" w:space="0"/>
              <w:right w:val="single" w:color="auto" w:sz="4" w:space="0"/>
            </w:tcBorders>
            <w:shd w:val="clear" w:color="auto" w:fill="auto"/>
            <w:vAlign w:val="center"/>
          </w:tcPr>
          <w:p>
            <w:pPr>
              <w:widowControl/>
              <w:rPr>
                <w:rFonts w:ascii="宋体" w:hAnsi="宋体" w:cs="宋体"/>
                <w:color w:val="000000"/>
                <w:kern w:val="0"/>
                <w:sz w:val="24"/>
                <w:szCs w:val="24"/>
              </w:rPr>
            </w:pPr>
            <w:r>
              <w:rPr>
                <w:rFonts w:hint="eastAsia" w:ascii="宋体" w:hAnsi="宋体" w:cs="宋体"/>
                <w:color w:val="000000"/>
                <w:kern w:val="0"/>
                <w:sz w:val="24"/>
                <w:szCs w:val="24"/>
              </w:rPr>
              <w:t>保险条款</w:t>
            </w:r>
          </w:p>
        </w:tc>
        <w:tc>
          <w:tcPr>
            <w:tcW w:w="2410" w:type="dxa"/>
            <w:tcBorders>
              <w:top w:val="nil"/>
              <w:left w:val="nil"/>
              <w:bottom w:val="single" w:color="auto" w:sz="4" w:space="0"/>
              <w:right w:val="single" w:color="auto" w:sz="4" w:space="0"/>
            </w:tcBorders>
            <w:shd w:val="clear" w:color="auto" w:fill="auto"/>
            <w:vAlign w:val="center"/>
          </w:tcPr>
          <w:p>
            <w:pPr>
              <w:widowControl/>
              <w:rPr>
                <w:rFonts w:ascii="Times New Roman" w:hAnsi="Times New Roman"/>
                <w:color w:val="000000"/>
                <w:kern w:val="0"/>
                <w:sz w:val="24"/>
                <w:szCs w:val="24"/>
              </w:rPr>
            </w:pPr>
            <w:r>
              <w:rPr>
                <w:rFonts w:ascii="Times New Roman" w:hAnsi="Times New Roman"/>
                <w:color w:val="000000"/>
                <w:kern w:val="0"/>
                <w:sz w:val="24"/>
                <w:szCs w:val="24"/>
              </w:rPr>
              <w:t>Insurance:</w:t>
            </w:r>
          </w:p>
        </w:tc>
        <w:tc>
          <w:tcPr>
            <w:tcW w:w="4677" w:type="dxa"/>
            <w:tcBorders>
              <w:top w:val="nil"/>
              <w:left w:val="nil"/>
              <w:bottom w:val="single" w:color="auto" w:sz="4" w:space="0"/>
              <w:right w:val="single" w:color="auto" w:sz="4" w:space="0"/>
            </w:tcBorders>
            <w:shd w:val="clear" w:color="auto" w:fill="auto"/>
            <w:vAlign w:val="center"/>
          </w:tcPr>
          <w:p>
            <w:pPr>
              <w:widowControl/>
              <w:rPr>
                <w:rFonts w:ascii="宋体" w:hAnsi="宋体" w:cs="宋体"/>
                <w:color w:val="000000"/>
                <w:kern w:val="0"/>
                <w:sz w:val="24"/>
                <w:szCs w:val="24"/>
              </w:rPr>
            </w:pPr>
            <w:r>
              <w:rPr>
                <w:rFonts w:hint="eastAsia" w:ascii="宋体" w:hAnsi="宋体" w:cs="宋体"/>
                <w:color w:val="000000"/>
                <w:kern w:val="0"/>
                <w:sz w:val="24"/>
                <w:szCs w:val="24"/>
              </w:rPr>
              <w:t>与合同中保险条款完全一致</w:t>
            </w:r>
          </w:p>
          <w:p>
            <w:pPr>
              <w:widowControl/>
              <w:rPr>
                <w:rFonts w:ascii="宋体" w:hAnsi="宋体" w:cs="宋体"/>
                <w:color w:val="000000"/>
                <w:kern w:val="0"/>
                <w:sz w:val="24"/>
                <w:szCs w:val="24"/>
              </w:rPr>
            </w:pPr>
            <w:r>
              <w:rPr>
                <w:rFonts w:hint="eastAsia" w:ascii="宋体" w:hAnsi="宋体" w:cs="宋体"/>
                <w:color w:val="000000"/>
                <w:kern w:val="0"/>
                <w:sz w:val="24"/>
                <w:szCs w:val="24"/>
              </w:rPr>
              <w:t>例如</w:t>
            </w:r>
            <w:r>
              <w:rPr>
                <w:rFonts w:ascii="宋体" w:hAnsi="宋体"/>
                <w:color w:val="000000"/>
                <w:kern w:val="0"/>
                <w:sz w:val="24"/>
                <w:szCs w:val="24"/>
              </w:rPr>
              <w:t>FOB</w:t>
            </w:r>
            <w:r>
              <w:rPr>
                <w:rFonts w:hint="eastAsia" w:ascii="宋体" w:hAnsi="宋体" w:cs="宋体"/>
                <w:color w:val="000000"/>
                <w:kern w:val="0"/>
                <w:sz w:val="24"/>
                <w:szCs w:val="24"/>
              </w:rPr>
              <w:t>方式下保险条款如下：</w:t>
            </w:r>
          </w:p>
          <w:p>
            <w:pPr>
              <w:widowControl/>
              <w:rPr>
                <w:rFonts w:ascii="宋体" w:hAnsi="宋体"/>
                <w:kern w:val="0"/>
                <w:sz w:val="24"/>
                <w:szCs w:val="24"/>
              </w:rPr>
            </w:pPr>
            <w:r>
              <w:rPr>
                <w:rFonts w:ascii="宋体" w:hAnsi="宋体"/>
                <w:color w:val="000000"/>
                <w:kern w:val="0"/>
                <w:sz w:val="24"/>
                <w:szCs w:val="24"/>
              </w:rPr>
              <w:t>TO BE COVERED BY THE BUYER.</w:t>
            </w:r>
          </w:p>
        </w:tc>
      </w:tr>
    </w:tbl>
    <w:p>
      <w:pPr>
        <w:spacing w:line="560" w:lineRule="exact"/>
        <w:rPr>
          <w:rFonts w:ascii="仿宋_GB2312" w:hAnsi="仿宋" w:eastAsia="仿宋_GB2312" w:cs="宋体"/>
          <w:sz w:val="30"/>
          <w:szCs w:val="30"/>
        </w:rPr>
      </w:pPr>
      <w:r>
        <w:rPr>
          <w:rFonts w:hint="eastAsia" w:ascii="仿宋_GB2312" w:hAnsi="仿宋" w:eastAsia="仿宋_GB2312" w:cs="宋体"/>
          <w:sz w:val="30"/>
          <w:szCs w:val="30"/>
        </w:rPr>
        <w:t>参考范例：</w:t>
      </w:r>
    </w:p>
    <w:p>
      <w:pPr>
        <w:snapToGrid w:val="0"/>
        <w:spacing w:line="560" w:lineRule="exact"/>
        <w:rPr>
          <w:rFonts w:ascii="Times New Roman" w:hAnsi="Times New Roman" w:eastAsia="仿宋"/>
          <w:color w:val="000000"/>
          <w:kern w:val="0"/>
          <w:sz w:val="28"/>
          <w:szCs w:val="28"/>
        </w:rPr>
      </w:pPr>
      <w:r>
        <w:rPr>
          <w:rFonts w:ascii="Times New Roman" w:hAnsi="Times New Roman" w:eastAsia="仿宋"/>
          <w:color w:val="000000"/>
          <w:kern w:val="0"/>
          <w:sz w:val="28"/>
          <w:szCs w:val="28"/>
        </w:rPr>
        <w:t>Product No.:01005</w:t>
      </w:r>
    </w:p>
    <w:p>
      <w:pPr>
        <w:snapToGrid w:val="0"/>
        <w:spacing w:line="560" w:lineRule="exact"/>
        <w:rPr>
          <w:rFonts w:ascii="Times New Roman" w:hAnsi="Times New Roman" w:eastAsia="仿宋"/>
          <w:color w:val="000000"/>
          <w:kern w:val="0"/>
          <w:sz w:val="28"/>
          <w:szCs w:val="28"/>
        </w:rPr>
      </w:pPr>
      <w:r>
        <w:rPr>
          <w:rFonts w:ascii="Times New Roman" w:hAnsi="Times New Roman" w:eastAsia="仿宋"/>
          <w:color w:val="000000"/>
          <w:kern w:val="0"/>
          <w:sz w:val="28"/>
          <w:szCs w:val="28"/>
        </w:rPr>
        <w:t>Product Name: CANNED SWEET CORN</w:t>
      </w:r>
    </w:p>
    <w:p>
      <w:pPr>
        <w:snapToGrid w:val="0"/>
        <w:spacing w:line="560" w:lineRule="exact"/>
        <w:rPr>
          <w:rFonts w:ascii="Times New Roman" w:hAnsi="Times New Roman" w:eastAsia="仿宋"/>
          <w:color w:val="000000"/>
          <w:kern w:val="0"/>
          <w:sz w:val="28"/>
          <w:szCs w:val="28"/>
        </w:rPr>
      </w:pPr>
      <w:r>
        <w:rPr>
          <w:rFonts w:ascii="Times New Roman" w:hAnsi="Times New Roman" w:eastAsia="仿宋"/>
          <w:color w:val="000000"/>
          <w:kern w:val="0"/>
          <w:sz w:val="28"/>
          <w:szCs w:val="28"/>
        </w:rPr>
        <w:t>Quantity:</w:t>
      </w:r>
      <w:r>
        <w:rPr>
          <w:rFonts w:hint="eastAsia" w:ascii="Times New Roman" w:hAnsi="Times New Roman" w:eastAsia="仿宋"/>
          <w:color w:val="000000"/>
          <w:kern w:val="0"/>
          <w:sz w:val="28"/>
          <w:szCs w:val="28"/>
        </w:rPr>
        <w:t xml:space="preserve"> </w:t>
      </w:r>
      <w:r>
        <w:rPr>
          <w:rFonts w:ascii="Times New Roman" w:hAnsi="Times New Roman" w:eastAsia="仿宋"/>
          <w:color w:val="000000"/>
          <w:kern w:val="0"/>
          <w:sz w:val="28"/>
          <w:szCs w:val="28"/>
        </w:rPr>
        <w:t>10000 CARTONS</w:t>
      </w:r>
    </w:p>
    <w:p>
      <w:pPr>
        <w:snapToGrid w:val="0"/>
        <w:spacing w:line="560" w:lineRule="exact"/>
        <w:rPr>
          <w:rFonts w:ascii="Times New Roman" w:hAnsi="Times New Roman" w:eastAsia="仿宋"/>
          <w:color w:val="000000"/>
          <w:kern w:val="0"/>
          <w:sz w:val="28"/>
          <w:szCs w:val="28"/>
        </w:rPr>
      </w:pPr>
      <w:r>
        <w:rPr>
          <w:rFonts w:ascii="Times New Roman" w:hAnsi="Times New Roman" w:eastAsia="仿宋"/>
          <w:color w:val="000000"/>
          <w:kern w:val="0"/>
          <w:sz w:val="28"/>
          <w:szCs w:val="28"/>
        </w:rPr>
        <w:t>Unit Price:</w:t>
      </w:r>
      <w:r>
        <w:rPr>
          <w:rFonts w:hint="eastAsia" w:ascii="Times New Roman" w:hAnsi="Times New Roman" w:eastAsia="仿宋"/>
          <w:color w:val="000000"/>
          <w:kern w:val="0"/>
          <w:sz w:val="28"/>
          <w:szCs w:val="28"/>
        </w:rPr>
        <w:t xml:space="preserve"> </w:t>
      </w:r>
      <w:r>
        <w:rPr>
          <w:rFonts w:ascii="Times New Roman" w:hAnsi="Times New Roman" w:eastAsia="仿宋"/>
          <w:color w:val="000000"/>
          <w:kern w:val="0"/>
          <w:sz w:val="28"/>
          <w:szCs w:val="28"/>
        </w:rPr>
        <w:t>USD 5.3 PER CARTON CIF NEW</w:t>
      </w:r>
      <w:r>
        <w:rPr>
          <w:rFonts w:hint="eastAsia" w:ascii="Times New Roman" w:hAnsi="Times New Roman" w:eastAsia="仿宋"/>
          <w:color w:val="000000"/>
          <w:kern w:val="0"/>
          <w:sz w:val="28"/>
          <w:szCs w:val="28"/>
        </w:rPr>
        <w:t xml:space="preserve"> </w:t>
      </w:r>
      <w:r>
        <w:rPr>
          <w:rFonts w:ascii="Times New Roman" w:hAnsi="Times New Roman" w:eastAsia="仿宋"/>
          <w:color w:val="000000"/>
          <w:kern w:val="0"/>
          <w:sz w:val="28"/>
          <w:szCs w:val="28"/>
        </w:rPr>
        <w:t>YORK</w:t>
      </w:r>
      <w:r>
        <w:rPr>
          <w:rFonts w:hint="eastAsia" w:ascii="Times New Roman" w:hAnsi="Times New Roman" w:eastAsia="仿宋"/>
          <w:color w:val="000000"/>
          <w:kern w:val="0"/>
          <w:sz w:val="28"/>
          <w:szCs w:val="28"/>
        </w:rPr>
        <w:t>, AMERICA</w:t>
      </w:r>
    </w:p>
    <w:p>
      <w:pPr>
        <w:snapToGrid w:val="0"/>
        <w:spacing w:line="560" w:lineRule="exact"/>
        <w:rPr>
          <w:rFonts w:ascii="Times New Roman" w:hAnsi="Times New Roman" w:eastAsia="仿宋"/>
          <w:color w:val="000000"/>
          <w:kern w:val="0"/>
          <w:sz w:val="28"/>
          <w:szCs w:val="28"/>
        </w:rPr>
      </w:pPr>
      <w:r>
        <w:rPr>
          <w:rFonts w:ascii="Times New Roman" w:hAnsi="Times New Roman" w:eastAsia="仿宋"/>
          <w:color w:val="000000"/>
          <w:kern w:val="0"/>
          <w:sz w:val="28"/>
          <w:szCs w:val="28"/>
        </w:rPr>
        <w:t>Amount:</w:t>
      </w:r>
      <w:r>
        <w:rPr>
          <w:rFonts w:hint="eastAsia" w:ascii="Times New Roman" w:hAnsi="Times New Roman" w:eastAsia="仿宋"/>
          <w:color w:val="000000"/>
          <w:kern w:val="0"/>
          <w:sz w:val="28"/>
          <w:szCs w:val="28"/>
        </w:rPr>
        <w:t xml:space="preserve"> </w:t>
      </w:r>
      <w:r>
        <w:rPr>
          <w:rFonts w:ascii="Times New Roman" w:hAnsi="Times New Roman" w:eastAsia="仿宋"/>
          <w:color w:val="000000"/>
          <w:kern w:val="0"/>
          <w:sz w:val="28"/>
          <w:szCs w:val="28"/>
        </w:rPr>
        <w:t>USD53000</w:t>
      </w:r>
    </w:p>
    <w:p>
      <w:pPr>
        <w:snapToGrid w:val="0"/>
        <w:spacing w:line="560" w:lineRule="exact"/>
        <w:rPr>
          <w:rFonts w:ascii="Times New Roman" w:hAnsi="Times New Roman" w:eastAsia="仿宋"/>
          <w:color w:val="000000"/>
          <w:kern w:val="0"/>
          <w:sz w:val="28"/>
          <w:szCs w:val="28"/>
        </w:rPr>
      </w:pPr>
      <w:r>
        <w:rPr>
          <w:rFonts w:ascii="Times New Roman" w:hAnsi="Times New Roman" w:eastAsia="仿宋"/>
          <w:color w:val="000000"/>
          <w:kern w:val="0"/>
          <w:sz w:val="28"/>
          <w:szCs w:val="28"/>
        </w:rPr>
        <w:t>Payment:</w:t>
      </w:r>
      <w:r>
        <w:rPr>
          <w:rFonts w:hint="eastAsia" w:ascii="Times New Roman" w:hAnsi="Times New Roman" w:eastAsia="仿宋"/>
          <w:color w:val="000000"/>
          <w:kern w:val="0"/>
          <w:sz w:val="28"/>
          <w:szCs w:val="28"/>
        </w:rPr>
        <w:t xml:space="preserve"> </w:t>
      </w:r>
      <w:r>
        <w:rPr>
          <w:rFonts w:ascii="Times New Roman" w:hAnsi="Times New Roman" w:eastAsia="仿宋"/>
          <w:color w:val="000000"/>
          <w:kern w:val="0"/>
          <w:sz w:val="28"/>
          <w:szCs w:val="28"/>
        </w:rPr>
        <w:t>L/C AT 30 DAYS AFTER SIGHT</w:t>
      </w:r>
    </w:p>
    <w:p>
      <w:pPr>
        <w:snapToGrid w:val="0"/>
        <w:spacing w:line="560" w:lineRule="exact"/>
        <w:rPr>
          <w:rFonts w:ascii="Times New Roman" w:hAnsi="Times New Roman" w:eastAsia="仿宋"/>
          <w:color w:val="000000"/>
          <w:kern w:val="0"/>
          <w:sz w:val="28"/>
          <w:szCs w:val="28"/>
        </w:rPr>
      </w:pPr>
      <w:r>
        <w:rPr>
          <w:rFonts w:ascii="Times New Roman" w:hAnsi="Times New Roman" w:eastAsia="仿宋"/>
          <w:color w:val="000000"/>
          <w:kern w:val="0"/>
          <w:sz w:val="28"/>
          <w:szCs w:val="28"/>
        </w:rPr>
        <w:t>Means of Transport:</w:t>
      </w:r>
      <w:r>
        <w:rPr>
          <w:rFonts w:hint="eastAsia" w:ascii="Times New Roman" w:hAnsi="Times New Roman" w:eastAsia="仿宋"/>
          <w:color w:val="000000"/>
          <w:kern w:val="0"/>
          <w:sz w:val="28"/>
          <w:szCs w:val="28"/>
        </w:rPr>
        <w:t xml:space="preserve"> </w:t>
      </w:r>
      <w:r>
        <w:rPr>
          <w:rFonts w:ascii="Times New Roman" w:hAnsi="Times New Roman" w:eastAsia="仿宋"/>
          <w:color w:val="000000"/>
          <w:kern w:val="0"/>
          <w:sz w:val="28"/>
          <w:szCs w:val="28"/>
        </w:rPr>
        <w:t>BY VESSEL</w:t>
      </w:r>
    </w:p>
    <w:p>
      <w:pPr>
        <w:snapToGrid w:val="0"/>
        <w:spacing w:line="560" w:lineRule="exact"/>
        <w:rPr>
          <w:rFonts w:ascii="Times New Roman" w:hAnsi="Times New Roman" w:eastAsia="仿宋"/>
          <w:color w:val="000000"/>
          <w:kern w:val="0"/>
          <w:sz w:val="28"/>
          <w:szCs w:val="28"/>
        </w:rPr>
      </w:pPr>
      <w:r>
        <w:rPr>
          <w:rFonts w:ascii="Times New Roman" w:hAnsi="Times New Roman" w:eastAsia="仿宋"/>
          <w:color w:val="000000"/>
          <w:kern w:val="0"/>
          <w:sz w:val="28"/>
          <w:szCs w:val="28"/>
        </w:rPr>
        <w:t>Port of Shipment:</w:t>
      </w:r>
      <w:r>
        <w:rPr>
          <w:rFonts w:hint="eastAsia" w:ascii="Times New Roman" w:hAnsi="Times New Roman" w:eastAsia="仿宋"/>
          <w:color w:val="000000"/>
          <w:kern w:val="0"/>
          <w:sz w:val="28"/>
          <w:szCs w:val="28"/>
        </w:rPr>
        <w:t xml:space="preserve"> </w:t>
      </w:r>
      <w:r>
        <w:rPr>
          <w:rFonts w:ascii="Times New Roman" w:hAnsi="Times New Roman" w:eastAsia="仿宋"/>
          <w:color w:val="000000"/>
          <w:kern w:val="0"/>
          <w:sz w:val="28"/>
          <w:szCs w:val="28"/>
        </w:rPr>
        <w:t>SHANGHAI</w:t>
      </w:r>
      <w:r>
        <w:rPr>
          <w:rFonts w:hint="eastAsia" w:ascii="Times New Roman" w:hAnsi="Times New Roman" w:eastAsia="仿宋"/>
          <w:color w:val="000000"/>
          <w:kern w:val="0"/>
          <w:sz w:val="28"/>
          <w:szCs w:val="28"/>
        </w:rPr>
        <w:t>, CHINA</w:t>
      </w:r>
    </w:p>
    <w:p>
      <w:pPr>
        <w:snapToGrid w:val="0"/>
        <w:spacing w:line="560" w:lineRule="exact"/>
        <w:rPr>
          <w:rFonts w:ascii="Times New Roman" w:hAnsi="Times New Roman" w:eastAsia="仿宋"/>
          <w:color w:val="000000"/>
          <w:kern w:val="0"/>
          <w:sz w:val="28"/>
          <w:szCs w:val="28"/>
        </w:rPr>
      </w:pPr>
      <w:r>
        <w:rPr>
          <w:rFonts w:ascii="Times New Roman" w:hAnsi="Times New Roman" w:eastAsia="仿宋"/>
          <w:color w:val="000000"/>
          <w:kern w:val="0"/>
          <w:sz w:val="28"/>
          <w:szCs w:val="28"/>
        </w:rPr>
        <w:t>Port of Destination:</w:t>
      </w:r>
      <w:r>
        <w:rPr>
          <w:rFonts w:hint="eastAsia" w:ascii="Times New Roman" w:hAnsi="Times New Roman" w:eastAsia="仿宋"/>
          <w:color w:val="000000"/>
          <w:kern w:val="0"/>
          <w:sz w:val="28"/>
          <w:szCs w:val="28"/>
        </w:rPr>
        <w:t xml:space="preserve"> </w:t>
      </w:r>
      <w:r>
        <w:rPr>
          <w:rFonts w:ascii="Times New Roman" w:hAnsi="Times New Roman" w:eastAsia="仿宋"/>
          <w:color w:val="000000"/>
          <w:kern w:val="0"/>
          <w:sz w:val="28"/>
          <w:szCs w:val="28"/>
        </w:rPr>
        <w:t>NEW</w:t>
      </w:r>
      <w:r>
        <w:rPr>
          <w:rFonts w:hint="eastAsia" w:ascii="Times New Roman" w:hAnsi="Times New Roman" w:eastAsia="仿宋"/>
          <w:color w:val="000000"/>
          <w:kern w:val="0"/>
          <w:sz w:val="28"/>
          <w:szCs w:val="28"/>
        </w:rPr>
        <w:t xml:space="preserve"> </w:t>
      </w:r>
      <w:r>
        <w:rPr>
          <w:rFonts w:ascii="Times New Roman" w:hAnsi="Times New Roman" w:eastAsia="仿宋"/>
          <w:color w:val="000000"/>
          <w:kern w:val="0"/>
          <w:sz w:val="28"/>
          <w:szCs w:val="28"/>
        </w:rPr>
        <w:t>YORK</w:t>
      </w:r>
      <w:r>
        <w:rPr>
          <w:rFonts w:hint="eastAsia" w:ascii="Times New Roman" w:hAnsi="Times New Roman" w:eastAsia="仿宋"/>
          <w:color w:val="000000"/>
          <w:kern w:val="0"/>
          <w:sz w:val="28"/>
          <w:szCs w:val="28"/>
        </w:rPr>
        <w:t>, AMERICA</w:t>
      </w:r>
    </w:p>
    <w:p>
      <w:pPr>
        <w:snapToGrid w:val="0"/>
        <w:spacing w:line="560" w:lineRule="exact"/>
        <w:rPr>
          <w:rFonts w:ascii="Times New Roman" w:hAnsi="Times New Roman" w:eastAsia="仿宋"/>
          <w:color w:val="000000"/>
          <w:kern w:val="0"/>
          <w:sz w:val="28"/>
          <w:szCs w:val="28"/>
        </w:rPr>
      </w:pPr>
      <w:r>
        <w:rPr>
          <w:rFonts w:ascii="Times New Roman" w:hAnsi="Times New Roman" w:eastAsia="仿宋"/>
          <w:color w:val="000000"/>
          <w:kern w:val="0"/>
          <w:sz w:val="28"/>
          <w:szCs w:val="28"/>
        </w:rPr>
        <w:t>Insurance:</w:t>
      </w:r>
      <w:r>
        <w:rPr>
          <w:rFonts w:hint="eastAsia" w:ascii="Times New Roman" w:hAnsi="Times New Roman" w:eastAsia="仿宋"/>
          <w:color w:val="000000"/>
          <w:kern w:val="0"/>
          <w:sz w:val="28"/>
          <w:szCs w:val="28"/>
        </w:rPr>
        <w:t xml:space="preserve"> </w:t>
      </w:r>
      <w:r>
        <w:rPr>
          <w:rFonts w:ascii="Times New Roman" w:hAnsi="Times New Roman" w:eastAsia="仿宋"/>
          <w:color w:val="000000"/>
          <w:kern w:val="0"/>
          <w:sz w:val="28"/>
          <w:szCs w:val="28"/>
        </w:rPr>
        <w:t>FOR 110 PERCENT OF THE INVOICE VALUE COVERING INSTITUTE CARGO CLAUSES(A),</w:t>
      </w:r>
      <w:r>
        <w:rPr>
          <w:rFonts w:hint="eastAsia" w:ascii="Times New Roman" w:hAnsi="Times New Roman" w:eastAsia="仿宋"/>
          <w:color w:val="000000"/>
          <w:kern w:val="0"/>
          <w:sz w:val="28"/>
          <w:szCs w:val="28"/>
        </w:rPr>
        <w:t xml:space="preserve"> </w:t>
      </w:r>
      <w:r>
        <w:rPr>
          <w:rFonts w:ascii="Times New Roman" w:hAnsi="Times New Roman" w:eastAsia="仿宋"/>
          <w:color w:val="000000"/>
          <w:kern w:val="0"/>
          <w:sz w:val="28"/>
          <w:szCs w:val="28"/>
        </w:rPr>
        <w:t>INSTITUTE WAR CLAUSES,INSTITUTE STRIKES CLAUSES.</w:t>
      </w:r>
    </w:p>
    <w:p>
      <w:pPr>
        <w:spacing w:line="560" w:lineRule="exact"/>
        <w:ind w:firstLine="600" w:firstLineChars="200"/>
        <w:rPr>
          <w:rFonts w:ascii="仿宋_GB2312" w:hAnsi="仿宋" w:eastAsia="仿宋_GB2312" w:cs="宋体"/>
          <w:sz w:val="30"/>
          <w:szCs w:val="30"/>
        </w:rPr>
      </w:pPr>
      <w:r>
        <w:rPr>
          <w:rFonts w:hint="eastAsia" w:ascii="仿宋_GB2312" w:hAnsi="仿宋" w:eastAsia="仿宋_GB2312" w:cs="宋体"/>
          <w:sz w:val="30"/>
          <w:szCs w:val="30"/>
        </w:rPr>
        <w:t>（4）交易磋商的结果必须与正式签订的合同一致。</w:t>
      </w:r>
    </w:p>
    <w:p>
      <w:pPr>
        <w:spacing w:line="560" w:lineRule="exact"/>
        <w:ind w:firstLine="600" w:firstLineChars="200"/>
        <w:rPr>
          <w:rFonts w:ascii="仿宋_GB2312" w:hAnsi="仿宋" w:eastAsia="仿宋_GB2312" w:cs="宋体"/>
          <w:sz w:val="30"/>
          <w:szCs w:val="30"/>
        </w:rPr>
      </w:pPr>
      <w:r>
        <w:rPr>
          <w:rFonts w:hint="eastAsia" w:ascii="仿宋_GB2312" w:hAnsi="仿宋" w:eastAsia="仿宋_GB2312" w:cs="宋体"/>
          <w:sz w:val="30"/>
          <w:szCs w:val="30"/>
        </w:rPr>
        <w:t>（5）“接受”函电的正文中包含关键词“</w:t>
      </w:r>
      <w:r>
        <w:rPr>
          <w:rFonts w:hint="eastAsia" w:ascii="仿宋_GB2312" w:hAnsi="仿宋" w:eastAsia="仿宋_GB2312"/>
          <w:sz w:val="30"/>
          <w:szCs w:val="30"/>
        </w:rPr>
        <w:t>accept</w:t>
      </w:r>
      <w:r>
        <w:rPr>
          <w:rFonts w:hint="eastAsia" w:ascii="仿宋_GB2312" w:hAnsi="仿宋" w:eastAsia="仿宋_GB2312" w:cs="宋体"/>
          <w:sz w:val="30"/>
          <w:szCs w:val="30"/>
        </w:rPr>
        <w:t>”或“</w:t>
      </w:r>
      <w:r>
        <w:rPr>
          <w:rFonts w:hint="eastAsia" w:ascii="仿宋_GB2312" w:hAnsi="仿宋" w:eastAsia="仿宋_GB2312"/>
          <w:sz w:val="30"/>
          <w:szCs w:val="30"/>
        </w:rPr>
        <w:t>accepted</w:t>
      </w:r>
      <w:r>
        <w:rPr>
          <w:rFonts w:hint="eastAsia" w:ascii="仿宋_GB2312" w:hAnsi="仿宋" w:eastAsia="仿宋_GB2312" w:cs="宋体"/>
          <w:sz w:val="30"/>
          <w:szCs w:val="30"/>
        </w:rPr>
        <w:t>”。</w:t>
      </w:r>
    </w:p>
    <w:p>
      <w:pPr>
        <w:spacing w:line="560" w:lineRule="exact"/>
        <w:ind w:firstLine="600" w:firstLineChars="200"/>
        <w:rPr>
          <w:rFonts w:ascii="仿宋_GB2312" w:hAnsi="仿宋" w:eastAsia="仿宋_GB2312" w:cs="宋体"/>
          <w:sz w:val="30"/>
          <w:szCs w:val="30"/>
        </w:rPr>
      </w:pPr>
      <w:r>
        <w:rPr>
          <w:rFonts w:hint="eastAsia" w:ascii="仿宋_GB2312" w:hAnsi="仿宋" w:eastAsia="仿宋_GB2312" w:cs="宋体"/>
          <w:sz w:val="30"/>
          <w:szCs w:val="30"/>
        </w:rPr>
        <w:t>（五）填写进出口成本预算表</w:t>
      </w:r>
    </w:p>
    <w:p>
      <w:pPr>
        <w:spacing w:line="560" w:lineRule="exact"/>
        <w:ind w:firstLine="600" w:firstLineChars="200"/>
        <w:rPr>
          <w:rFonts w:ascii="仿宋_GB2312" w:hAnsi="仿宋" w:eastAsia="仿宋_GB2312" w:cs="宋体"/>
          <w:sz w:val="30"/>
          <w:szCs w:val="30"/>
        </w:rPr>
      </w:pPr>
      <w:r>
        <w:rPr>
          <w:rFonts w:hint="eastAsia" w:ascii="仿宋_GB2312" w:hAnsi="仿宋" w:eastAsia="仿宋_GB2312" w:cs="宋体"/>
          <w:sz w:val="30"/>
          <w:szCs w:val="30"/>
        </w:rPr>
        <w:t>进出口双方都必须严格依照双方最终商定的各项条款在系统中填写最终的成本预算表。合同签订完成后，进出口成本预算表会显示“实际发生额”，即为正确答案。</w:t>
      </w:r>
    </w:p>
    <w:p>
      <w:pPr>
        <w:spacing w:line="560" w:lineRule="exact"/>
        <w:ind w:firstLine="600" w:firstLineChars="200"/>
        <w:rPr>
          <w:rFonts w:ascii="仿宋_GB2312" w:hAnsi="仿宋" w:eastAsia="仿宋_GB2312" w:cs="宋体"/>
          <w:sz w:val="30"/>
          <w:szCs w:val="30"/>
        </w:rPr>
      </w:pPr>
    </w:p>
    <w:p>
      <w:pPr>
        <w:spacing w:line="560" w:lineRule="exact"/>
        <w:ind w:firstLine="600" w:firstLineChars="200"/>
        <w:rPr>
          <w:rFonts w:ascii="仿宋_GB2312" w:hAnsi="仿宋" w:eastAsia="仿宋_GB2312" w:cs="宋体"/>
          <w:sz w:val="30"/>
          <w:szCs w:val="30"/>
        </w:rPr>
      </w:pPr>
    </w:p>
    <w:p>
      <w:pPr>
        <w:spacing w:line="560" w:lineRule="exact"/>
        <w:ind w:firstLine="600" w:firstLineChars="200"/>
        <w:rPr>
          <w:rFonts w:ascii="仿宋_GB2312" w:hAnsi="仿宋" w:eastAsia="仿宋_GB2312" w:cs="宋体"/>
          <w:sz w:val="30"/>
          <w:szCs w:val="30"/>
        </w:rPr>
      </w:pPr>
    </w:p>
    <w:p>
      <w:pPr>
        <w:spacing w:line="560" w:lineRule="exact"/>
        <w:ind w:firstLine="600" w:firstLineChars="200"/>
        <w:rPr>
          <w:rFonts w:ascii="仿宋_GB2312" w:hAnsi="仿宋" w:eastAsia="仿宋_GB2312" w:cs="宋体"/>
          <w:sz w:val="30"/>
          <w:szCs w:val="30"/>
        </w:rPr>
      </w:pPr>
    </w:p>
    <w:p>
      <w:pPr>
        <w:spacing w:line="560" w:lineRule="exact"/>
        <w:ind w:firstLine="600" w:firstLineChars="200"/>
        <w:rPr>
          <w:rFonts w:ascii="仿宋_GB2312" w:hAnsi="仿宋" w:eastAsia="仿宋_GB2312" w:cs="宋体"/>
          <w:sz w:val="30"/>
          <w:szCs w:val="30"/>
        </w:rPr>
      </w:pPr>
    </w:p>
    <w:p>
      <w:pPr>
        <w:spacing w:line="560" w:lineRule="exact"/>
        <w:ind w:firstLine="600" w:firstLineChars="200"/>
        <w:rPr>
          <w:rFonts w:ascii="仿宋_GB2312" w:hAnsi="仿宋" w:eastAsia="仿宋_GB2312" w:cs="宋体"/>
          <w:sz w:val="30"/>
          <w:szCs w:val="30"/>
        </w:rPr>
      </w:pPr>
    </w:p>
    <w:p>
      <w:pPr>
        <w:spacing w:line="560" w:lineRule="exact"/>
        <w:ind w:firstLine="600" w:firstLineChars="200"/>
        <w:rPr>
          <w:rFonts w:ascii="仿宋_GB2312" w:hAnsi="仿宋" w:eastAsia="仿宋_GB2312" w:cs="宋体"/>
          <w:sz w:val="30"/>
          <w:szCs w:val="30"/>
        </w:rPr>
      </w:pPr>
    </w:p>
    <w:p>
      <w:pPr>
        <w:spacing w:line="560" w:lineRule="exact"/>
        <w:ind w:firstLine="600" w:firstLineChars="200"/>
        <w:rPr>
          <w:rFonts w:ascii="仿宋_GB2312" w:hAnsi="仿宋" w:eastAsia="仿宋_GB2312" w:cs="宋体"/>
          <w:sz w:val="30"/>
          <w:szCs w:val="30"/>
        </w:rPr>
      </w:pPr>
    </w:p>
    <w:p>
      <w:pPr>
        <w:spacing w:line="560" w:lineRule="exact"/>
        <w:ind w:firstLine="600" w:firstLineChars="200"/>
        <w:rPr>
          <w:rFonts w:ascii="仿宋_GB2312" w:hAnsi="仿宋" w:eastAsia="仿宋_GB2312" w:cs="宋体"/>
          <w:sz w:val="30"/>
          <w:szCs w:val="30"/>
        </w:rPr>
      </w:pPr>
    </w:p>
    <w:p>
      <w:pPr>
        <w:spacing w:line="560" w:lineRule="exact"/>
        <w:ind w:firstLine="600" w:firstLineChars="200"/>
        <w:rPr>
          <w:rFonts w:ascii="仿宋_GB2312" w:hAnsi="仿宋" w:eastAsia="仿宋_GB2312" w:cs="宋体"/>
          <w:sz w:val="30"/>
          <w:szCs w:val="30"/>
        </w:rPr>
      </w:pPr>
    </w:p>
    <w:p>
      <w:pPr>
        <w:spacing w:line="560" w:lineRule="exact"/>
        <w:ind w:firstLine="600" w:firstLineChars="200"/>
        <w:rPr>
          <w:rFonts w:ascii="仿宋_GB2312" w:hAnsi="仿宋" w:eastAsia="仿宋_GB2312" w:cs="宋体"/>
          <w:sz w:val="30"/>
          <w:szCs w:val="30"/>
        </w:rPr>
      </w:pPr>
    </w:p>
    <w:p>
      <w:pPr>
        <w:spacing w:line="560" w:lineRule="exact"/>
        <w:ind w:firstLine="600" w:firstLineChars="200"/>
        <w:rPr>
          <w:rFonts w:ascii="仿宋_GB2312" w:hAnsi="仿宋" w:eastAsia="仿宋_GB2312" w:cs="宋体"/>
          <w:sz w:val="30"/>
          <w:szCs w:val="30"/>
        </w:rPr>
      </w:pPr>
    </w:p>
    <w:p>
      <w:pPr>
        <w:spacing w:line="560" w:lineRule="exact"/>
        <w:ind w:firstLine="600" w:firstLineChars="200"/>
        <w:rPr>
          <w:rFonts w:ascii="仿宋_GB2312" w:hAnsi="仿宋" w:eastAsia="仿宋_GB2312" w:cs="宋体"/>
          <w:sz w:val="30"/>
          <w:szCs w:val="30"/>
        </w:rPr>
      </w:pPr>
    </w:p>
    <w:p>
      <w:pPr>
        <w:spacing w:line="560" w:lineRule="exact"/>
        <w:ind w:firstLine="600" w:firstLineChars="200"/>
        <w:rPr>
          <w:rFonts w:ascii="仿宋_GB2312" w:hAnsi="仿宋" w:eastAsia="仿宋_GB2312" w:cs="宋体"/>
          <w:sz w:val="30"/>
          <w:szCs w:val="30"/>
        </w:rPr>
      </w:pPr>
    </w:p>
    <w:p>
      <w:pPr>
        <w:spacing w:line="560" w:lineRule="exact"/>
        <w:ind w:firstLine="600" w:firstLineChars="200"/>
        <w:rPr>
          <w:rFonts w:ascii="仿宋_GB2312" w:hAnsi="仿宋" w:eastAsia="仿宋_GB2312" w:cs="宋体"/>
          <w:sz w:val="30"/>
          <w:szCs w:val="30"/>
        </w:rPr>
      </w:pPr>
    </w:p>
    <w:p>
      <w:pPr>
        <w:spacing w:line="560" w:lineRule="exact"/>
        <w:ind w:firstLine="600" w:firstLineChars="200"/>
        <w:rPr>
          <w:rFonts w:ascii="仿宋_GB2312" w:hAnsi="仿宋" w:eastAsia="仿宋_GB2312" w:cs="宋体"/>
          <w:sz w:val="30"/>
          <w:szCs w:val="30"/>
        </w:rPr>
      </w:pPr>
    </w:p>
    <w:p>
      <w:pPr>
        <w:spacing w:line="560" w:lineRule="exact"/>
        <w:ind w:firstLine="600" w:firstLineChars="200"/>
        <w:rPr>
          <w:rFonts w:ascii="仿宋_GB2312" w:hAnsi="仿宋" w:eastAsia="仿宋_GB2312" w:cs="宋体"/>
          <w:sz w:val="30"/>
          <w:szCs w:val="30"/>
        </w:rPr>
      </w:pPr>
    </w:p>
    <w:p>
      <w:pPr>
        <w:spacing w:line="560" w:lineRule="exact"/>
        <w:ind w:firstLine="600" w:firstLineChars="200"/>
        <w:rPr>
          <w:rFonts w:ascii="仿宋_GB2312" w:hAnsi="仿宋" w:eastAsia="仿宋_GB2312" w:cs="宋体"/>
          <w:sz w:val="30"/>
          <w:szCs w:val="30"/>
        </w:rPr>
      </w:pPr>
    </w:p>
    <w:p>
      <w:pPr>
        <w:ind w:firstLine="600" w:firstLineChars="200"/>
        <w:rPr>
          <w:rFonts w:ascii="仿宋_GB2312" w:hAnsi="仿宋" w:eastAsia="仿宋_GB2312" w:cs="宋体"/>
          <w:sz w:val="30"/>
          <w:szCs w:val="30"/>
        </w:rPr>
      </w:pPr>
    </w:p>
    <w:p>
      <w:pPr>
        <w:ind w:firstLine="600" w:firstLineChars="200"/>
        <w:rPr>
          <w:rFonts w:ascii="仿宋_GB2312" w:hAnsi="仿宋" w:eastAsia="仿宋_GB2312" w:cs="宋体"/>
          <w:sz w:val="30"/>
          <w:szCs w:val="30"/>
        </w:rPr>
      </w:pPr>
    </w:p>
    <w:p>
      <w:pPr>
        <w:ind w:firstLine="600" w:firstLineChars="200"/>
        <w:rPr>
          <w:rFonts w:ascii="仿宋_GB2312" w:hAnsi="仿宋" w:eastAsia="仿宋_GB2312" w:cs="宋体"/>
          <w:sz w:val="30"/>
          <w:szCs w:val="30"/>
        </w:rPr>
      </w:pPr>
      <w:r>
        <w:rPr>
          <w:rFonts w:hint="eastAsia" w:ascii="仿宋_GB2312" w:hAnsi="仿宋" w:eastAsia="仿宋_GB2312" w:cs="宋体"/>
          <w:sz w:val="30"/>
          <w:szCs w:val="30"/>
        </w:rPr>
        <w:t>1.出口商填写出口成本预算表</w:t>
      </w:r>
    </w:p>
    <w:p>
      <w:pPr>
        <w:rPr>
          <w:rFonts w:ascii="仿宋" w:hAnsi="仿宋" w:eastAsia="仿宋" w:cs="宋体"/>
          <w:sz w:val="28"/>
          <w:szCs w:val="28"/>
        </w:rPr>
      </w:pPr>
    </w:p>
    <w:p>
      <w:pPr>
        <w:rPr>
          <w:rFonts w:ascii="仿宋" w:hAnsi="仿宋" w:eastAsia="仿宋" w:cs="宋体"/>
          <w:sz w:val="28"/>
          <w:szCs w:val="28"/>
        </w:rPr>
      </w:pPr>
      <w:r>
        <w:rPr>
          <w:rFonts w:ascii="仿宋" w:hAnsi="仿宋" w:eastAsia="仿宋" w:cs="宋体"/>
          <w:sz w:val="28"/>
          <w:szCs w:val="28"/>
        </w:rPr>
        <w:drawing>
          <wp:anchor distT="0" distB="0" distL="114300" distR="114300" simplePos="0" relativeHeight="251664384" behindDoc="1" locked="0" layoutInCell="1" allowOverlap="1">
            <wp:simplePos x="0" y="0"/>
            <wp:positionH relativeFrom="column">
              <wp:posOffset>19050</wp:posOffset>
            </wp:positionH>
            <wp:positionV relativeFrom="paragraph">
              <wp:posOffset>22860</wp:posOffset>
            </wp:positionV>
            <wp:extent cx="5143500" cy="7219950"/>
            <wp:effectExtent l="19050" t="0" r="0" b="0"/>
            <wp:wrapTight wrapText="bothSides">
              <wp:wrapPolygon>
                <wp:start x="-80" y="0"/>
                <wp:lineTo x="-80" y="21543"/>
                <wp:lineTo x="21600" y="21543"/>
                <wp:lineTo x="21600" y="0"/>
                <wp:lineTo x="-80" y="0"/>
              </wp:wrapPolygon>
            </wp:wrapTight>
            <wp:docPr id="265" name="图片 265" descr="D:\比赛\国赛\方案\截图\出口预算表.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图片 265" descr="D:\比赛\国赛\方案\截图\出口预算表.png"/>
                    <pic:cNvPicPr>
                      <a:picLocks noChangeAspect="1" noChangeArrowheads="1"/>
                    </pic:cNvPicPr>
                  </pic:nvPicPr>
                  <pic:blipFill>
                    <a:blip r:embed="rId6"/>
                    <a:srcRect/>
                    <a:stretch>
                      <a:fillRect/>
                    </a:stretch>
                  </pic:blipFill>
                  <pic:spPr>
                    <a:xfrm>
                      <a:off x="0" y="0"/>
                      <a:ext cx="5143500" cy="7219950"/>
                    </a:xfrm>
                    <a:prstGeom prst="rect">
                      <a:avLst/>
                    </a:prstGeom>
                    <a:noFill/>
                    <a:ln w="9525">
                      <a:noFill/>
                      <a:miter lim="800000"/>
                      <a:headEnd/>
                      <a:tailEnd/>
                    </a:ln>
                  </pic:spPr>
                </pic:pic>
              </a:graphicData>
            </a:graphic>
          </wp:anchor>
        </w:drawing>
      </w:r>
    </w:p>
    <w:p>
      <w:pPr>
        <w:ind w:firstLine="600" w:firstLineChars="200"/>
        <w:rPr>
          <w:rFonts w:ascii="仿宋_GB2312" w:hAnsi="仿宋" w:eastAsia="仿宋_GB2312" w:cs="宋体"/>
          <w:sz w:val="30"/>
          <w:szCs w:val="30"/>
        </w:rPr>
      </w:pPr>
      <w:r>
        <w:rPr>
          <w:rFonts w:hint="eastAsia" w:ascii="仿宋_GB2312" w:hAnsi="仿宋" w:eastAsia="仿宋_GB2312" w:cs="宋体"/>
          <w:sz w:val="30"/>
          <w:szCs w:val="30"/>
        </w:rPr>
        <w:t>2.进口商填写进口成本预算表</w:t>
      </w:r>
    </w:p>
    <w:p>
      <w:pPr>
        <w:ind w:firstLine="600" w:firstLineChars="200"/>
        <w:rPr>
          <w:rFonts w:ascii="仿宋_GB2312" w:hAnsi="仿宋" w:eastAsia="仿宋_GB2312" w:cs="宋体"/>
          <w:sz w:val="30"/>
          <w:szCs w:val="30"/>
        </w:rPr>
      </w:pPr>
    </w:p>
    <w:p>
      <w:pPr>
        <w:ind w:firstLine="600" w:firstLineChars="200"/>
        <w:rPr>
          <w:rFonts w:ascii="仿宋_GB2312" w:hAnsi="Arial Narrow" w:eastAsia="仿宋_GB2312" w:cs="Arial"/>
          <w:sz w:val="30"/>
          <w:szCs w:val="30"/>
        </w:rPr>
      </w:pPr>
      <w:r>
        <w:rPr>
          <w:rFonts w:ascii="仿宋_GB2312" w:hAnsi="Arial Narrow" w:eastAsia="仿宋_GB2312" w:cs="Arial"/>
          <w:sz w:val="30"/>
          <w:szCs w:val="30"/>
        </w:rPr>
        <w:drawing>
          <wp:inline distT="0" distB="0" distL="0" distR="0">
            <wp:extent cx="5274310" cy="7650480"/>
            <wp:effectExtent l="19050" t="0" r="2540" b="0"/>
            <wp:docPr id="1" name="图片 1" descr="C:\Users\Administrator\Desktop\预算表日本.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strator\Desktop\预算表日本.png"/>
                    <pic:cNvPicPr>
                      <a:picLocks noChangeAspect="1" noChangeArrowheads="1"/>
                    </pic:cNvPicPr>
                  </pic:nvPicPr>
                  <pic:blipFill>
                    <a:blip r:embed="rId7"/>
                    <a:srcRect/>
                    <a:stretch>
                      <a:fillRect/>
                    </a:stretch>
                  </pic:blipFill>
                  <pic:spPr>
                    <a:xfrm>
                      <a:off x="0" y="0"/>
                      <a:ext cx="5274804" cy="7647710"/>
                    </a:xfrm>
                    <a:prstGeom prst="rect">
                      <a:avLst/>
                    </a:prstGeom>
                    <a:noFill/>
                    <a:ln w="9525">
                      <a:noFill/>
                      <a:miter lim="800000"/>
                      <a:headEnd/>
                      <a:tailEnd/>
                    </a:ln>
                  </pic:spPr>
                </pic:pic>
              </a:graphicData>
            </a:graphic>
          </wp:inline>
        </w:drawing>
      </w:r>
    </w:p>
    <w:p>
      <w:pPr>
        <w:spacing w:line="560" w:lineRule="exact"/>
        <w:ind w:firstLine="600" w:firstLineChars="200"/>
        <w:rPr>
          <w:rFonts w:ascii="仿宋_GB2312" w:hAnsi="仿宋" w:eastAsia="仿宋_GB2312" w:cs="宋体"/>
          <w:sz w:val="30"/>
          <w:szCs w:val="30"/>
        </w:rPr>
      </w:pPr>
      <w:bookmarkStart w:id="12" w:name="_Toc460925239"/>
      <w:r>
        <w:rPr>
          <w:rFonts w:hint="eastAsia" w:ascii="仿宋_GB2312" w:hAnsi="仿宋" w:eastAsia="仿宋_GB2312" w:cs="宋体"/>
          <w:sz w:val="30"/>
          <w:szCs w:val="30"/>
        </w:rPr>
        <w:t>（六）签订合同</w:t>
      </w:r>
    </w:p>
    <w:p>
      <w:pPr>
        <w:spacing w:line="560" w:lineRule="exact"/>
        <w:ind w:firstLine="600" w:firstLineChars="200"/>
        <w:rPr>
          <w:rFonts w:ascii="仿宋_GB2312" w:hAnsi="仿宋" w:eastAsia="仿宋_GB2312" w:cs="宋体"/>
          <w:sz w:val="30"/>
          <w:szCs w:val="30"/>
        </w:rPr>
      </w:pPr>
      <w:r>
        <w:rPr>
          <w:rFonts w:hint="eastAsia" w:ascii="仿宋_GB2312" w:hAnsi="仿宋" w:eastAsia="仿宋_GB2312" w:cs="宋体"/>
          <w:sz w:val="30"/>
          <w:szCs w:val="30"/>
        </w:rPr>
        <w:t>根据进出口双方的磋商结果由出口商起草合同，检查无误后签字盖章并发送给进口商确认。进口商须仔细检查合同各项条款，如有异议，应拒绝合同，并联系出口商要求其尽快修改；如无异议，即可确认合同，则该笔业务会进入到“历史业务”中，标志着该业务全部完成。</w:t>
      </w:r>
    </w:p>
    <w:p>
      <w:pPr>
        <w:rPr>
          <w:rFonts w:ascii="仿宋" w:hAnsi="仿宋" w:eastAsia="仿宋"/>
          <w:sz w:val="28"/>
          <w:szCs w:val="28"/>
        </w:rPr>
      </w:pPr>
    </w:p>
    <w:p>
      <w:pPr>
        <w:widowControl/>
        <w:jc w:val="left"/>
        <w:rPr>
          <w:rFonts w:ascii="仿宋" w:hAnsi="仿宋" w:eastAsia="仿宋"/>
          <w:sz w:val="28"/>
          <w:szCs w:val="28"/>
        </w:rPr>
      </w:pPr>
      <w:r>
        <w:rPr>
          <w:rFonts w:ascii="仿宋" w:hAnsi="仿宋" w:eastAsia="仿宋"/>
          <w:sz w:val="28"/>
          <w:szCs w:val="28"/>
        </w:rPr>
        <w:br w:type="page"/>
      </w:r>
    </w:p>
    <w:p>
      <w:pPr>
        <w:jc w:val="center"/>
        <w:rPr>
          <w:rFonts w:ascii="仿宋" w:hAnsi="仿宋" w:eastAsia="仿宋"/>
          <w:sz w:val="28"/>
          <w:szCs w:val="28"/>
        </w:rPr>
      </w:pPr>
      <w:r>
        <w:rPr>
          <w:rFonts w:ascii="仿宋" w:hAnsi="仿宋" w:eastAsia="仿宋"/>
          <w:sz w:val="28"/>
          <w:szCs w:val="28"/>
        </w:rPr>
        <w:drawing>
          <wp:anchor distT="0" distB="0" distL="114300" distR="114300" simplePos="0" relativeHeight="251666432" behindDoc="0" locked="0" layoutInCell="1" allowOverlap="1">
            <wp:simplePos x="0" y="0"/>
            <wp:positionH relativeFrom="column">
              <wp:posOffset>-328930</wp:posOffset>
            </wp:positionH>
            <wp:positionV relativeFrom="paragraph">
              <wp:posOffset>-119380</wp:posOffset>
            </wp:positionV>
            <wp:extent cx="5835015" cy="9618980"/>
            <wp:effectExtent l="19050" t="0" r="0" b="0"/>
            <wp:wrapSquare wrapText="bothSides"/>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8"/>
                    <a:srcRect/>
                    <a:stretch>
                      <a:fillRect/>
                    </a:stretch>
                  </pic:blipFill>
                  <pic:spPr>
                    <a:xfrm>
                      <a:off x="0" y="0"/>
                      <a:ext cx="5835015" cy="9618980"/>
                    </a:xfrm>
                    <a:prstGeom prst="rect">
                      <a:avLst/>
                    </a:prstGeom>
                    <a:noFill/>
                  </pic:spPr>
                </pic:pic>
              </a:graphicData>
            </a:graphic>
          </wp:anchor>
        </w:drawing>
      </w:r>
    </w:p>
    <w:p>
      <w:pPr>
        <w:spacing w:line="560" w:lineRule="exact"/>
        <w:ind w:firstLine="600" w:firstLineChars="200"/>
        <w:rPr>
          <w:rFonts w:ascii="仿宋_GB2312" w:hAnsi="仿宋" w:eastAsia="仿宋_GB2312" w:cs="宋体"/>
          <w:sz w:val="30"/>
          <w:szCs w:val="30"/>
        </w:rPr>
      </w:pPr>
      <w:r>
        <w:rPr>
          <w:rFonts w:hint="eastAsia" w:ascii="仿宋_GB2312" w:hAnsi="仿宋" w:eastAsia="仿宋_GB2312" w:cs="宋体"/>
          <w:sz w:val="30"/>
          <w:szCs w:val="30"/>
        </w:rPr>
        <w:t>★外贸业务能力B2C模块</w:t>
      </w:r>
    </w:p>
    <w:bookmarkEnd w:id="12"/>
    <w:p>
      <w:pPr>
        <w:spacing w:line="560" w:lineRule="exact"/>
        <w:ind w:firstLine="600" w:firstLineChars="200"/>
        <w:rPr>
          <w:rFonts w:ascii="仿宋_GB2312" w:hAnsi="仿宋" w:eastAsia="仿宋_GB2312" w:cs="宋体"/>
          <w:sz w:val="30"/>
          <w:szCs w:val="30"/>
        </w:rPr>
      </w:pPr>
      <w:r>
        <w:rPr>
          <w:rFonts w:hint="eastAsia" w:ascii="仿宋_GB2312" w:hAnsi="仿宋" w:eastAsia="仿宋_GB2312" w:cs="宋体"/>
          <w:sz w:val="30"/>
          <w:szCs w:val="30"/>
        </w:rPr>
        <w:t>考察内容包括B2C跨境电子商务平台产品推广、</w:t>
      </w:r>
      <w:r>
        <w:rPr>
          <w:rFonts w:hint="eastAsia" w:ascii="仿宋_GB2312" w:hAnsi="Arial Narrow" w:eastAsia="仿宋_GB2312" w:cs="Arial"/>
          <w:sz w:val="30"/>
          <w:szCs w:val="30"/>
        </w:rPr>
        <w:t>产品开发、</w:t>
      </w:r>
      <w:r>
        <w:rPr>
          <w:rFonts w:hint="eastAsia" w:ascii="仿宋_GB2312" w:hAnsi="仿宋" w:eastAsia="仿宋_GB2312" w:cs="宋体"/>
          <w:sz w:val="30"/>
          <w:szCs w:val="30"/>
        </w:rPr>
        <w:t>价格核算、运费模板设置、</w:t>
      </w:r>
      <w:r>
        <w:rPr>
          <w:rFonts w:hint="eastAsia" w:ascii="仿宋_GB2312" w:hAnsi="Arial Narrow" w:eastAsia="仿宋_GB2312" w:cs="Arial"/>
          <w:sz w:val="30"/>
          <w:szCs w:val="30"/>
        </w:rPr>
        <w:t>数据挖掘与分析、引流营销、客户服务、纠纷处理、平台规则、物流采购</w:t>
      </w:r>
      <w:r>
        <w:rPr>
          <w:rFonts w:hint="eastAsia" w:ascii="仿宋_GB2312" w:hAnsi="仿宋" w:eastAsia="仿宋_GB2312" w:cs="宋体"/>
          <w:sz w:val="30"/>
          <w:szCs w:val="30"/>
        </w:rPr>
        <w:t>等。选手通过竞赛系统完成作答，题目类型包含单项选择题、多项选择题、填空题、拖拽题、图形选择题等。</w:t>
      </w:r>
    </w:p>
    <w:p>
      <w:pPr>
        <w:spacing w:line="560" w:lineRule="exact"/>
        <w:ind w:firstLine="600" w:firstLineChars="200"/>
        <w:rPr>
          <w:rFonts w:ascii="仿宋_GB2312" w:hAnsi="仿宋" w:eastAsia="仿宋_GB2312" w:cs="宋体"/>
          <w:sz w:val="30"/>
          <w:szCs w:val="30"/>
        </w:rPr>
      </w:pPr>
      <w:r>
        <w:rPr>
          <w:rFonts w:hint="eastAsia" w:ascii="仿宋_GB2312" w:hAnsi="仿宋" w:eastAsia="仿宋_GB2312" w:cs="宋体"/>
          <w:sz w:val="30"/>
          <w:szCs w:val="30"/>
        </w:rPr>
        <w:t>（一）单项选择题</w:t>
      </w:r>
    </w:p>
    <w:p>
      <w:pPr>
        <w:spacing w:line="560" w:lineRule="exact"/>
        <w:ind w:firstLine="600" w:firstLineChars="200"/>
        <w:rPr>
          <w:rFonts w:ascii="仿宋_GB2312" w:hAnsi="仿宋" w:eastAsia="仿宋_GB2312" w:cs="宋体"/>
          <w:sz w:val="30"/>
          <w:szCs w:val="30"/>
        </w:rPr>
      </w:pPr>
      <w:r>
        <w:rPr>
          <w:rFonts w:hint="eastAsia" w:ascii="仿宋_GB2312" w:hAnsi="仿宋" w:eastAsia="仿宋_GB2312" w:cs="宋体"/>
          <w:sz w:val="30"/>
          <w:szCs w:val="30"/>
        </w:rPr>
        <w:t>1.</w:t>
      </w:r>
      <w:r>
        <w:rPr>
          <w:rFonts w:hint="eastAsia"/>
        </w:rPr>
        <w:t xml:space="preserve"> </w:t>
      </w:r>
      <w:r>
        <w:rPr>
          <w:rFonts w:hint="eastAsia" w:ascii="仿宋_GB2312" w:hAnsi="仿宋" w:eastAsia="仿宋_GB2312" w:cs="宋体"/>
          <w:sz w:val="30"/>
          <w:szCs w:val="30"/>
        </w:rPr>
        <w:t>9月23日，来自美国的买家A在W平台下单购买了一款带有流苏装饰的手提包，并给在中国的卖家B留言，希望在9月27日能够收到货物。此时你建议卖家B为买家A选择哪种物流方式最为妥当？</w:t>
      </w:r>
    </w:p>
    <w:p>
      <w:pPr>
        <w:spacing w:line="560" w:lineRule="exact"/>
        <w:ind w:firstLine="600" w:firstLineChars="200"/>
        <w:rPr>
          <w:rFonts w:ascii="Times New Roman" w:hAnsi="Times New Roman" w:eastAsia="仿宋_GB2312"/>
          <w:sz w:val="30"/>
          <w:szCs w:val="30"/>
        </w:rPr>
      </w:pPr>
      <w:r>
        <w:rPr>
          <w:rFonts w:ascii="Times New Roman" w:hAnsi="Times New Roman" w:eastAsia="仿宋_GB2312"/>
          <w:sz w:val="30"/>
          <w:szCs w:val="30"/>
        </w:rPr>
        <w:t>A.</w:t>
      </w:r>
      <w:r>
        <w:rPr>
          <w:rFonts w:hint="eastAsia" w:ascii="Times New Roman" w:hAnsi="Times New Roman" w:eastAsia="仿宋_GB2312"/>
          <w:sz w:val="30"/>
          <w:szCs w:val="30"/>
        </w:rPr>
        <w:t>中国邮政航空挂号小包</w:t>
      </w:r>
      <w:r>
        <w:rPr>
          <w:rFonts w:ascii="Times New Roman" w:hAnsi="Times New Roman" w:eastAsia="仿宋_GB2312"/>
          <w:sz w:val="30"/>
          <w:szCs w:val="30"/>
        </w:rPr>
        <w:tab/>
      </w:r>
      <w:r>
        <w:rPr>
          <w:rFonts w:ascii="Times New Roman" w:hAnsi="Times New Roman" w:eastAsia="仿宋_GB2312"/>
          <w:sz w:val="30"/>
          <w:szCs w:val="30"/>
        </w:rPr>
        <w:tab/>
      </w:r>
      <w:r>
        <w:rPr>
          <w:rFonts w:ascii="Times New Roman" w:hAnsi="Times New Roman" w:eastAsia="仿宋_GB2312"/>
          <w:sz w:val="30"/>
          <w:szCs w:val="30"/>
        </w:rPr>
        <w:t>B.</w:t>
      </w:r>
      <w:r>
        <w:rPr>
          <w:rFonts w:hint="eastAsia" w:ascii="Times New Roman" w:hAnsi="Times New Roman" w:eastAsia="仿宋_GB2312"/>
          <w:sz w:val="30"/>
          <w:szCs w:val="30"/>
        </w:rPr>
        <w:t>新加坡邮政航空挂号小包</w:t>
      </w:r>
    </w:p>
    <w:p>
      <w:pPr>
        <w:spacing w:line="560" w:lineRule="exact"/>
        <w:ind w:firstLine="600" w:firstLineChars="200"/>
        <w:rPr>
          <w:rFonts w:ascii="Times New Roman" w:hAnsi="Times New Roman" w:eastAsia="仿宋_GB2312"/>
          <w:sz w:val="30"/>
          <w:szCs w:val="30"/>
        </w:rPr>
      </w:pPr>
      <w:r>
        <w:rPr>
          <w:rFonts w:ascii="Times New Roman" w:hAnsi="Times New Roman" w:eastAsia="仿宋_GB2312"/>
          <w:sz w:val="30"/>
          <w:szCs w:val="30"/>
        </w:rPr>
        <w:t>C.</w:t>
      </w:r>
      <w:r>
        <w:rPr>
          <w:rFonts w:hint="eastAsia" w:ascii="Times New Roman" w:hAnsi="Times New Roman" w:eastAsia="仿宋_GB2312"/>
          <w:sz w:val="30"/>
          <w:szCs w:val="30"/>
        </w:rPr>
        <w:t>ePacket</w:t>
      </w:r>
      <w:r>
        <w:rPr>
          <w:rFonts w:ascii="Times New Roman" w:hAnsi="Times New Roman" w:eastAsia="仿宋_GB2312"/>
          <w:sz w:val="30"/>
          <w:szCs w:val="30"/>
        </w:rPr>
        <w:tab/>
      </w:r>
      <w:r>
        <w:rPr>
          <w:rFonts w:ascii="Times New Roman" w:hAnsi="Times New Roman" w:eastAsia="仿宋_GB2312"/>
          <w:sz w:val="30"/>
          <w:szCs w:val="30"/>
        </w:rPr>
        <w:tab/>
      </w:r>
      <w:r>
        <w:rPr>
          <w:rFonts w:hint="eastAsia" w:ascii="Times New Roman" w:hAnsi="Times New Roman" w:eastAsia="仿宋_GB2312"/>
          <w:sz w:val="30"/>
          <w:szCs w:val="30"/>
        </w:rPr>
        <w:tab/>
      </w:r>
      <w:r>
        <w:rPr>
          <w:rFonts w:hint="eastAsia" w:ascii="Times New Roman" w:hAnsi="Times New Roman" w:eastAsia="仿宋_GB2312"/>
          <w:sz w:val="30"/>
          <w:szCs w:val="30"/>
        </w:rPr>
        <w:tab/>
      </w:r>
      <w:r>
        <w:rPr>
          <w:rFonts w:hint="eastAsia" w:ascii="Times New Roman" w:hAnsi="Times New Roman" w:eastAsia="仿宋_GB2312"/>
          <w:sz w:val="30"/>
          <w:szCs w:val="30"/>
        </w:rPr>
        <w:tab/>
      </w:r>
      <w:r>
        <w:rPr>
          <w:rFonts w:hint="eastAsia" w:ascii="Times New Roman" w:hAnsi="Times New Roman" w:eastAsia="仿宋_GB2312"/>
          <w:sz w:val="30"/>
          <w:szCs w:val="30"/>
        </w:rPr>
        <w:tab/>
      </w:r>
      <w:r>
        <w:rPr>
          <w:rFonts w:hint="eastAsia" w:ascii="Times New Roman" w:hAnsi="Times New Roman" w:eastAsia="仿宋_GB2312"/>
          <w:sz w:val="30"/>
          <w:szCs w:val="30"/>
        </w:rPr>
        <w:tab/>
      </w:r>
      <w:r>
        <w:rPr>
          <w:rFonts w:ascii="Times New Roman" w:hAnsi="Times New Roman" w:eastAsia="仿宋_GB2312"/>
          <w:sz w:val="30"/>
          <w:szCs w:val="30"/>
        </w:rPr>
        <w:t>D.</w:t>
      </w:r>
      <w:r>
        <w:rPr>
          <w:rFonts w:hint="eastAsia" w:ascii="Times New Roman" w:hAnsi="Times New Roman" w:eastAsia="仿宋_GB2312"/>
          <w:sz w:val="30"/>
          <w:szCs w:val="30"/>
        </w:rPr>
        <w:t>DHL</w:t>
      </w:r>
    </w:p>
    <w:p>
      <w:pPr>
        <w:spacing w:line="560" w:lineRule="exact"/>
        <w:ind w:firstLine="600" w:firstLineChars="200"/>
        <w:rPr>
          <w:rFonts w:ascii="仿宋_GB2312" w:hAnsi="仿宋" w:eastAsia="仿宋_GB2312" w:cs="宋体"/>
          <w:sz w:val="30"/>
          <w:szCs w:val="30"/>
        </w:rPr>
      </w:pPr>
      <w:r>
        <w:rPr>
          <w:rFonts w:hint="eastAsia" w:ascii="仿宋_GB2312" w:hAnsi="仿宋" w:eastAsia="仿宋_GB2312" w:cs="宋体"/>
          <w:sz w:val="30"/>
          <w:szCs w:val="30"/>
        </w:rPr>
        <w:t>2.</w:t>
      </w:r>
      <w:r>
        <w:rPr>
          <w:rFonts w:ascii="仿宋_GB2312" w:hAnsi="仿宋" w:eastAsia="仿宋_GB2312" w:cs="宋体"/>
          <w:sz w:val="30"/>
          <w:szCs w:val="30"/>
        </w:rPr>
        <w:t xml:space="preserve"> 以下行为请排序：</w:t>
      </w:r>
      <w:r>
        <w:rPr>
          <w:rFonts w:hint="eastAsia" w:ascii="仿宋_GB2312" w:hAnsi="仿宋" w:eastAsia="仿宋_GB2312" w:cs="宋体"/>
          <w:sz w:val="30"/>
          <w:szCs w:val="30"/>
        </w:rPr>
        <w:t>①</w:t>
      </w:r>
      <w:r>
        <w:rPr>
          <w:rFonts w:ascii="仿宋_GB2312" w:hAnsi="仿宋" w:eastAsia="仿宋_GB2312" w:cs="宋体"/>
          <w:sz w:val="30"/>
          <w:szCs w:val="30"/>
        </w:rPr>
        <w:t>买家确认收货且平台查询物流妥投，</w:t>
      </w:r>
      <w:r>
        <w:rPr>
          <w:rFonts w:hint="eastAsia" w:ascii="仿宋_GB2312" w:hAnsi="仿宋" w:eastAsia="仿宋_GB2312" w:cs="宋体"/>
          <w:sz w:val="30"/>
          <w:szCs w:val="30"/>
        </w:rPr>
        <w:t>②</w:t>
      </w:r>
      <w:r>
        <w:rPr>
          <w:rFonts w:ascii="仿宋_GB2312" w:hAnsi="仿宋" w:eastAsia="仿宋_GB2312" w:cs="宋体"/>
          <w:sz w:val="30"/>
          <w:szCs w:val="30"/>
        </w:rPr>
        <w:t>卖家发货，</w:t>
      </w:r>
      <w:r>
        <w:rPr>
          <w:rFonts w:hint="eastAsia" w:ascii="仿宋_GB2312" w:hAnsi="仿宋" w:eastAsia="仿宋_GB2312" w:cs="宋体"/>
          <w:sz w:val="30"/>
          <w:szCs w:val="30"/>
        </w:rPr>
        <w:t>③</w:t>
      </w:r>
      <w:r>
        <w:rPr>
          <w:rFonts w:ascii="仿宋_GB2312" w:hAnsi="仿宋" w:eastAsia="仿宋_GB2312" w:cs="宋体"/>
          <w:sz w:val="30"/>
          <w:szCs w:val="30"/>
        </w:rPr>
        <w:t>款项到速卖通的第三方担保账户，</w:t>
      </w:r>
      <w:r>
        <w:rPr>
          <w:rFonts w:hint="eastAsia" w:ascii="仿宋_GB2312" w:hAnsi="仿宋" w:eastAsia="仿宋_GB2312" w:cs="宋体"/>
          <w:sz w:val="30"/>
          <w:szCs w:val="30"/>
        </w:rPr>
        <w:t>④</w:t>
      </w:r>
      <w:r>
        <w:rPr>
          <w:rFonts w:ascii="仿宋_GB2312" w:hAnsi="仿宋" w:eastAsia="仿宋_GB2312" w:cs="宋体"/>
          <w:sz w:val="30"/>
          <w:szCs w:val="30"/>
        </w:rPr>
        <w:t>平台为卖家放款，</w:t>
      </w:r>
      <w:r>
        <w:rPr>
          <w:rFonts w:hint="eastAsia" w:ascii="仿宋_GB2312" w:hAnsi="仿宋" w:eastAsia="仿宋_GB2312" w:cs="宋体"/>
          <w:sz w:val="30"/>
          <w:szCs w:val="30"/>
        </w:rPr>
        <w:t>⑤</w:t>
      </w:r>
      <w:r>
        <w:rPr>
          <w:rFonts w:ascii="仿宋_GB2312" w:hAnsi="仿宋" w:eastAsia="仿宋_GB2312" w:cs="宋体"/>
          <w:sz w:val="30"/>
          <w:szCs w:val="30"/>
        </w:rPr>
        <w:t>买家拍下产品付款</w:t>
      </w:r>
      <w:r>
        <w:rPr>
          <w:rFonts w:hint="eastAsia" w:ascii="仿宋_GB2312" w:hAnsi="仿宋" w:eastAsia="仿宋_GB2312" w:cs="宋体"/>
          <w:sz w:val="30"/>
          <w:szCs w:val="30"/>
        </w:rPr>
        <w:t>。</w:t>
      </w:r>
    </w:p>
    <w:p>
      <w:pPr>
        <w:spacing w:line="560" w:lineRule="exact"/>
        <w:ind w:firstLine="600" w:firstLineChars="200"/>
        <w:rPr>
          <w:rFonts w:ascii="Times New Roman" w:hAnsi="Times New Roman" w:eastAsia="仿宋_GB2312"/>
          <w:color w:val="383838"/>
          <w:sz w:val="30"/>
          <w:szCs w:val="30"/>
          <w:shd w:val="clear" w:color="auto" w:fill="FFFFFF"/>
        </w:rPr>
      </w:pPr>
      <w:r>
        <w:rPr>
          <w:rFonts w:ascii="Times New Roman" w:hAnsi="Times New Roman" w:eastAsia="仿宋_GB2312"/>
          <w:sz w:val="30"/>
          <w:szCs w:val="30"/>
        </w:rPr>
        <w:t>A.</w:t>
      </w:r>
      <w:r>
        <w:rPr>
          <w:rFonts w:ascii="Times New Roman" w:hAnsi="Times New Roman" w:eastAsia="仿宋_GB2312"/>
          <w:color w:val="383838"/>
          <w:sz w:val="30"/>
          <w:szCs w:val="30"/>
          <w:shd w:val="clear" w:color="auto" w:fill="FFFFFF"/>
        </w:rPr>
        <w:t xml:space="preserve"> ①②③④⑤</w:t>
      </w:r>
      <w:r>
        <w:rPr>
          <w:rFonts w:ascii="Times New Roman" w:hAnsi="Times New Roman" w:eastAsia="仿宋_GB2312"/>
          <w:color w:val="383838"/>
          <w:sz w:val="30"/>
          <w:szCs w:val="30"/>
          <w:shd w:val="clear" w:color="auto" w:fill="FFFFFF"/>
        </w:rPr>
        <w:tab/>
      </w:r>
      <w:r>
        <w:rPr>
          <w:rFonts w:ascii="Times New Roman" w:hAnsi="Times New Roman" w:eastAsia="仿宋_GB2312"/>
          <w:color w:val="383838"/>
          <w:sz w:val="30"/>
          <w:szCs w:val="30"/>
          <w:shd w:val="clear" w:color="auto" w:fill="FFFFFF"/>
        </w:rPr>
        <w:tab/>
      </w:r>
      <w:r>
        <w:rPr>
          <w:rFonts w:ascii="Times New Roman" w:hAnsi="Times New Roman" w:eastAsia="仿宋_GB2312"/>
          <w:color w:val="383838"/>
          <w:sz w:val="30"/>
          <w:szCs w:val="30"/>
          <w:shd w:val="clear" w:color="auto" w:fill="FFFFFF"/>
        </w:rPr>
        <w:t>B.⑤③④②①</w:t>
      </w:r>
    </w:p>
    <w:p>
      <w:pPr>
        <w:spacing w:line="560" w:lineRule="exact"/>
        <w:ind w:firstLine="600" w:firstLineChars="200"/>
        <w:rPr>
          <w:rFonts w:ascii="Times New Roman" w:hAnsi="Times New Roman" w:eastAsia="仿宋_GB2312"/>
          <w:sz w:val="30"/>
          <w:szCs w:val="30"/>
        </w:rPr>
      </w:pPr>
      <w:r>
        <w:rPr>
          <w:rFonts w:ascii="Times New Roman" w:hAnsi="Times New Roman" w:eastAsia="仿宋_GB2312"/>
          <w:sz w:val="30"/>
          <w:szCs w:val="30"/>
        </w:rPr>
        <w:t>C. ⑤③②①④</w:t>
      </w:r>
      <w:r>
        <w:rPr>
          <w:rFonts w:ascii="Times New Roman" w:hAnsi="Times New Roman" w:eastAsia="仿宋_GB2312"/>
          <w:sz w:val="30"/>
          <w:szCs w:val="30"/>
        </w:rPr>
        <w:tab/>
      </w:r>
      <w:r>
        <w:rPr>
          <w:rFonts w:ascii="Times New Roman" w:hAnsi="Times New Roman" w:eastAsia="仿宋_GB2312"/>
          <w:sz w:val="30"/>
          <w:szCs w:val="30"/>
        </w:rPr>
        <w:tab/>
      </w:r>
      <w:r>
        <w:rPr>
          <w:rFonts w:ascii="Times New Roman" w:hAnsi="Times New Roman" w:eastAsia="仿宋_GB2312"/>
          <w:sz w:val="30"/>
          <w:szCs w:val="30"/>
        </w:rPr>
        <w:t>D.③④⑤①②</w:t>
      </w:r>
    </w:p>
    <w:p>
      <w:pPr>
        <w:spacing w:line="560" w:lineRule="exact"/>
        <w:ind w:firstLine="600" w:firstLineChars="200"/>
        <w:rPr>
          <w:rFonts w:ascii="仿宋_GB2312" w:hAnsi="仿宋" w:eastAsia="仿宋_GB2312" w:cs="宋体"/>
          <w:sz w:val="30"/>
          <w:szCs w:val="30"/>
        </w:rPr>
      </w:pPr>
      <w:r>
        <w:rPr>
          <w:rFonts w:hint="eastAsia" w:ascii="仿宋_GB2312" w:hAnsi="仿宋" w:eastAsia="仿宋_GB2312" w:cs="宋体"/>
          <w:sz w:val="30"/>
          <w:szCs w:val="30"/>
        </w:rPr>
        <w:t>（二）多项选择题</w:t>
      </w:r>
    </w:p>
    <w:p>
      <w:pPr>
        <w:spacing w:line="560" w:lineRule="exact"/>
        <w:ind w:firstLine="600" w:firstLineChars="200"/>
        <w:rPr>
          <w:rFonts w:ascii="仿宋_GB2312" w:hAnsi="仿宋" w:eastAsia="仿宋_GB2312" w:cs="宋体"/>
          <w:sz w:val="30"/>
          <w:szCs w:val="30"/>
        </w:rPr>
      </w:pPr>
      <w:r>
        <w:rPr>
          <w:rFonts w:hint="eastAsia" w:ascii="仿宋_GB2312" w:hAnsi="仿宋" w:eastAsia="仿宋_GB2312" w:cs="宋体"/>
          <w:sz w:val="30"/>
          <w:szCs w:val="30"/>
        </w:rPr>
        <w:t>1.以下哪个平台属于跨境电商平台？</w:t>
      </w:r>
    </w:p>
    <w:p>
      <w:pPr>
        <w:spacing w:line="560" w:lineRule="exact"/>
        <w:ind w:firstLine="600" w:firstLineChars="200"/>
        <w:rPr>
          <w:rFonts w:ascii="仿宋_GB2312" w:hAnsi="仿宋" w:eastAsia="仿宋_GB2312" w:cs="宋体"/>
          <w:sz w:val="30"/>
          <w:szCs w:val="30"/>
        </w:rPr>
      </w:pPr>
      <w:r>
        <w:rPr>
          <w:rFonts w:ascii="Times New Roman" w:hAnsi="Times New Roman" w:eastAsia="仿宋_GB2312"/>
          <w:sz w:val="30"/>
          <w:szCs w:val="30"/>
        </w:rPr>
        <w:t>A.</w:t>
      </w:r>
      <w:r>
        <w:rPr>
          <w:rFonts w:hint="eastAsia" w:ascii="仿宋_GB2312" w:hAnsi="仿宋" w:eastAsia="仿宋_GB2312" w:cs="宋体"/>
          <w:sz w:val="30"/>
          <w:szCs w:val="30"/>
        </w:rPr>
        <w:t>速卖通</w:t>
      </w:r>
      <w:r>
        <w:rPr>
          <w:rFonts w:hint="eastAsia" w:ascii="仿宋_GB2312" w:hAnsi="仿宋" w:eastAsia="仿宋_GB2312" w:cs="宋体"/>
          <w:sz w:val="30"/>
          <w:szCs w:val="30"/>
        </w:rPr>
        <w:tab/>
      </w:r>
      <w:r>
        <w:rPr>
          <w:rFonts w:hint="eastAsia" w:ascii="仿宋_GB2312" w:hAnsi="仿宋" w:eastAsia="仿宋_GB2312" w:cs="宋体"/>
          <w:sz w:val="30"/>
          <w:szCs w:val="30"/>
        </w:rPr>
        <w:tab/>
      </w:r>
      <w:r>
        <w:rPr>
          <w:rFonts w:hint="eastAsia" w:ascii="Times New Roman" w:hAnsi="Times New Roman" w:eastAsia="仿宋_GB2312"/>
          <w:sz w:val="30"/>
          <w:szCs w:val="30"/>
        </w:rPr>
        <w:t>B.</w:t>
      </w:r>
      <w:r>
        <w:rPr>
          <w:rFonts w:hint="eastAsia" w:ascii="仿宋_GB2312" w:hAnsi="仿宋" w:eastAsia="仿宋_GB2312" w:cs="宋体"/>
          <w:sz w:val="30"/>
          <w:szCs w:val="30"/>
        </w:rPr>
        <w:t>亚马逊</w:t>
      </w:r>
      <w:r>
        <w:rPr>
          <w:rFonts w:hint="eastAsia" w:ascii="仿宋_GB2312" w:hAnsi="仿宋" w:eastAsia="仿宋_GB2312" w:cs="宋体"/>
          <w:sz w:val="30"/>
          <w:szCs w:val="30"/>
        </w:rPr>
        <w:tab/>
      </w:r>
      <w:r>
        <w:rPr>
          <w:rFonts w:hint="eastAsia" w:ascii="仿宋_GB2312" w:hAnsi="仿宋" w:eastAsia="仿宋_GB2312" w:cs="宋体"/>
          <w:sz w:val="30"/>
          <w:szCs w:val="30"/>
        </w:rPr>
        <w:tab/>
      </w:r>
      <w:r>
        <w:rPr>
          <w:rFonts w:hint="eastAsia" w:ascii="仿宋_GB2312" w:hAnsi="仿宋" w:eastAsia="仿宋_GB2312" w:cs="宋体"/>
          <w:sz w:val="30"/>
          <w:szCs w:val="30"/>
        </w:rPr>
        <w:tab/>
      </w:r>
      <w:r>
        <w:rPr>
          <w:rFonts w:hint="eastAsia" w:ascii="Times New Roman" w:hAnsi="Times New Roman" w:eastAsia="仿宋_GB2312"/>
          <w:sz w:val="30"/>
          <w:szCs w:val="30"/>
        </w:rPr>
        <w:t>C.</w:t>
      </w:r>
      <w:r>
        <w:rPr>
          <w:rFonts w:hint="eastAsia" w:ascii="仿宋_GB2312" w:hAnsi="仿宋" w:eastAsia="仿宋_GB2312" w:cs="宋体"/>
          <w:sz w:val="30"/>
          <w:szCs w:val="30"/>
        </w:rPr>
        <w:t>淘宝</w:t>
      </w:r>
      <w:r>
        <w:rPr>
          <w:rFonts w:hint="eastAsia" w:ascii="仿宋_GB2312" w:hAnsi="仿宋" w:eastAsia="仿宋_GB2312" w:cs="宋体"/>
          <w:sz w:val="30"/>
          <w:szCs w:val="30"/>
        </w:rPr>
        <w:tab/>
      </w:r>
      <w:r>
        <w:rPr>
          <w:rFonts w:hint="eastAsia" w:ascii="仿宋_GB2312" w:hAnsi="仿宋" w:eastAsia="仿宋_GB2312" w:cs="宋体"/>
          <w:sz w:val="30"/>
          <w:szCs w:val="30"/>
        </w:rPr>
        <w:tab/>
      </w:r>
      <w:r>
        <w:rPr>
          <w:rFonts w:hint="eastAsia" w:ascii="Times New Roman" w:hAnsi="Times New Roman" w:eastAsia="仿宋_GB2312"/>
          <w:sz w:val="30"/>
          <w:szCs w:val="30"/>
        </w:rPr>
        <w:t>D.</w:t>
      </w:r>
      <w:r>
        <w:rPr>
          <w:rFonts w:hint="eastAsia" w:ascii="仿宋_GB2312" w:hAnsi="仿宋" w:eastAsia="仿宋_GB2312" w:cs="宋体"/>
          <w:sz w:val="30"/>
          <w:szCs w:val="30"/>
        </w:rPr>
        <w:t>阿里国际站</w:t>
      </w:r>
    </w:p>
    <w:p>
      <w:pPr>
        <w:spacing w:line="560" w:lineRule="exact"/>
        <w:ind w:firstLine="600" w:firstLineChars="200"/>
        <w:rPr>
          <w:rFonts w:ascii="仿宋_GB2312" w:hAnsi="仿宋" w:eastAsia="仿宋_GB2312" w:cs="宋体"/>
          <w:sz w:val="30"/>
          <w:szCs w:val="30"/>
        </w:rPr>
      </w:pPr>
      <w:r>
        <w:rPr>
          <w:rFonts w:hint="eastAsia" w:ascii="仿宋_GB2312" w:hAnsi="仿宋" w:eastAsia="仿宋_GB2312" w:cs="宋体"/>
          <w:sz w:val="30"/>
          <w:szCs w:val="30"/>
        </w:rPr>
        <w:t>2.以下列出的物流方式中哪些属于邮政物流？</w:t>
      </w:r>
    </w:p>
    <w:p>
      <w:pPr>
        <w:spacing w:line="560" w:lineRule="exact"/>
        <w:ind w:firstLine="600" w:firstLineChars="200"/>
        <w:rPr>
          <w:rFonts w:ascii="仿宋_GB2312" w:hAnsi="仿宋" w:eastAsia="仿宋_GB2312" w:cs="宋体"/>
          <w:sz w:val="30"/>
          <w:szCs w:val="30"/>
        </w:rPr>
      </w:pPr>
      <w:r>
        <w:rPr>
          <w:rFonts w:ascii="Times New Roman" w:hAnsi="Times New Roman" w:eastAsia="仿宋_GB2312"/>
          <w:sz w:val="30"/>
          <w:szCs w:val="30"/>
        </w:rPr>
        <w:t>A.</w:t>
      </w:r>
      <w:r>
        <w:rPr>
          <w:rFonts w:ascii="Times New Roman" w:hAnsi="Times New Roman"/>
        </w:rPr>
        <w:t xml:space="preserve"> </w:t>
      </w:r>
      <w:r>
        <w:rPr>
          <w:rFonts w:ascii="Times New Roman" w:hAnsi="Times New Roman" w:eastAsia="仿宋_GB2312"/>
          <w:sz w:val="30"/>
          <w:szCs w:val="30"/>
        </w:rPr>
        <w:t>China Post Air Mail</w:t>
      </w:r>
      <w:r>
        <w:rPr>
          <w:rFonts w:hint="eastAsia" w:ascii="仿宋_GB2312" w:hAnsi="仿宋" w:eastAsia="仿宋_GB2312" w:cs="宋体"/>
          <w:sz w:val="30"/>
          <w:szCs w:val="30"/>
        </w:rPr>
        <w:tab/>
      </w:r>
      <w:r>
        <w:rPr>
          <w:rFonts w:hint="eastAsia" w:ascii="仿宋_GB2312" w:hAnsi="仿宋" w:eastAsia="仿宋_GB2312" w:cs="宋体"/>
          <w:sz w:val="30"/>
          <w:szCs w:val="30"/>
        </w:rPr>
        <w:tab/>
      </w:r>
      <w:r>
        <w:rPr>
          <w:rFonts w:hint="eastAsia" w:ascii="Times New Roman" w:hAnsi="Times New Roman" w:eastAsia="仿宋_GB2312"/>
          <w:sz w:val="30"/>
          <w:szCs w:val="30"/>
        </w:rPr>
        <w:t>B.</w:t>
      </w:r>
      <w:r>
        <w:t xml:space="preserve"> </w:t>
      </w:r>
      <w:r>
        <w:rPr>
          <w:rFonts w:ascii="Times New Roman" w:hAnsi="Times New Roman" w:eastAsia="仿宋_GB2312"/>
          <w:sz w:val="30"/>
          <w:szCs w:val="30"/>
        </w:rPr>
        <w:t>ePacket</w:t>
      </w:r>
    </w:p>
    <w:p>
      <w:pPr>
        <w:spacing w:line="560" w:lineRule="exact"/>
        <w:ind w:firstLine="600" w:firstLineChars="200"/>
        <w:rPr>
          <w:rFonts w:ascii="Times New Roman" w:hAnsi="Times New Roman" w:eastAsia="仿宋_GB2312"/>
          <w:sz w:val="30"/>
          <w:szCs w:val="30"/>
        </w:rPr>
      </w:pPr>
      <w:r>
        <w:rPr>
          <w:rFonts w:hint="eastAsia" w:ascii="Times New Roman" w:hAnsi="Times New Roman" w:eastAsia="仿宋_GB2312"/>
          <w:sz w:val="30"/>
          <w:szCs w:val="30"/>
        </w:rPr>
        <w:t>C.</w:t>
      </w:r>
      <w:r>
        <w:rPr>
          <w:rFonts w:ascii="Times New Roman" w:hAnsi="Times New Roman" w:eastAsia="仿宋_GB2312"/>
          <w:sz w:val="30"/>
          <w:szCs w:val="30"/>
        </w:rPr>
        <w:t xml:space="preserve"> EMS</w:t>
      </w:r>
      <w:r>
        <w:rPr>
          <w:rFonts w:hint="eastAsia" w:ascii="Times New Roman" w:hAnsi="Times New Roman" w:eastAsia="仿宋_GB2312"/>
          <w:sz w:val="30"/>
          <w:szCs w:val="30"/>
        </w:rPr>
        <w:tab/>
      </w:r>
      <w:r>
        <w:rPr>
          <w:rFonts w:hint="eastAsia" w:ascii="Times New Roman" w:hAnsi="Times New Roman" w:eastAsia="仿宋_GB2312"/>
          <w:sz w:val="30"/>
          <w:szCs w:val="30"/>
        </w:rPr>
        <w:tab/>
      </w:r>
      <w:r>
        <w:rPr>
          <w:rFonts w:hint="eastAsia" w:ascii="Times New Roman" w:hAnsi="Times New Roman" w:eastAsia="仿宋_GB2312"/>
          <w:sz w:val="30"/>
          <w:szCs w:val="30"/>
        </w:rPr>
        <w:tab/>
      </w:r>
      <w:r>
        <w:rPr>
          <w:rFonts w:hint="eastAsia" w:ascii="Times New Roman" w:hAnsi="Times New Roman" w:eastAsia="仿宋_GB2312"/>
          <w:sz w:val="30"/>
          <w:szCs w:val="30"/>
        </w:rPr>
        <w:tab/>
      </w:r>
      <w:r>
        <w:rPr>
          <w:rFonts w:hint="eastAsia" w:ascii="Times New Roman" w:hAnsi="Times New Roman" w:eastAsia="仿宋_GB2312"/>
          <w:sz w:val="30"/>
          <w:szCs w:val="30"/>
        </w:rPr>
        <w:tab/>
      </w:r>
      <w:r>
        <w:rPr>
          <w:rFonts w:hint="eastAsia" w:ascii="Times New Roman" w:hAnsi="Times New Roman" w:eastAsia="仿宋_GB2312"/>
          <w:sz w:val="30"/>
          <w:szCs w:val="30"/>
        </w:rPr>
        <w:tab/>
      </w:r>
      <w:r>
        <w:rPr>
          <w:rFonts w:hint="eastAsia" w:ascii="Times New Roman" w:hAnsi="Times New Roman" w:eastAsia="仿宋_GB2312"/>
          <w:sz w:val="30"/>
          <w:szCs w:val="30"/>
        </w:rPr>
        <w:t>D.</w:t>
      </w:r>
      <w:r>
        <w:t xml:space="preserve"> </w:t>
      </w:r>
      <w:r>
        <w:rPr>
          <w:rFonts w:ascii="Times New Roman" w:hAnsi="Times New Roman" w:eastAsia="仿宋_GB2312"/>
          <w:sz w:val="30"/>
          <w:szCs w:val="30"/>
        </w:rPr>
        <w:t>HongKong Post Air Mail</w:t>
      </w:r>
    </w:p>
    <w:p>
      <w:pPr>
        <w:spacing w:line="560" w:lineRule="exact"/>
        <w:ind w:firstLine="600" w:firstLineChars="200"/>
        <w:rPr>
          <w:rFonts w:ascii="仿宋_GB2312" w:hAnsi="仿宋" w:eastAsia="仿宋_GB2312" w:cs="宋体"/>
          <w:sz w:val="30"/>
          <w:szCs w:val="30"/>
        </w:rPr>
      </w:pPr>
      <w:r>
        <w:rPr>
          <w:rFonts w:hint="eastAsia" w:ascii="仿宋_GB2312" w:hAnsi="仿宋" w:eastAsia="仿宋_GB2312" w:cs="宋体"/>
          <w:sz w:val="30"/>
          <w:szCs w:val="30"/>
        </w:rPr>
        <w:t>（三）填空题</w:t>
      </w:r>
    </w:p>
    <w:p>
      <w:pPr>
        <w:spacing w:line="560" w:lineRule="exact"/>
        <w:ind w:firstLine="600" w:firstLineChars="200"/>
        <w:rPr>
          <w:rFonts w:ascii="仿宋_GB2312" w:hAnsi="仿宋" w:eastAsia="仿宋_GB2312" w:cs="宋体"/>
          <w:sz w:val="30"/>
          <w:szCs w:val="30"/>
        </w:rPr>
      </w:pPr>
      <w:r>
        <w:rPr>
          <w:rFonts w:hint="eastAsia" w:ascii="仿宋_GB2312" w:hAnsi="仿宋" w:eastAsia="仿宋_GB2312" w:cs="宋体"/>
          <w:sz w:val="30"/>
          <w:szCs w:val="30"/>
        </w:rPr>
        <w:t>1.</w:t>
      </w:r>
      <w:r>
        <w:rPr>
          <w:rFonts w:ascii="仿宋_GB2312" w:hAnsi="仿宋" w:eastAsia="仿宋_GB2312" w:cs="宋体"/>
          <w:sz w:val="30"/>
          <w:szCs w:val="30"/>
        </w:rPr>
        <w:t xml:space="preserve"> 一条裙子，成本为100元人民币，包装重量：200g，使用中邮小包，五区包邮，利润率30%，美元兑人民币汇率为1:6，定价应</w:t>
      </w:r>
      <w:r>
        <w:rPr>
          <w:rFonts w:hint="eastAsia" w:ascii="仿宋_GB2312" w:hAnsi="仿宋" w:eastAsia="仿宋_GB2312" w:cs="宋体"/>
          <w:sz w:val="30"/>
          <w:szCs w:val="30"/>
        </w:rPr>
        <w:t>为</w:t>
      </w:r>
      <w:r>
        <w:rPr>
          <w:rFonts w:hint="eastAsia" w:ascii="仿宋_GB2312" w:hAnsi="仿宋" w:eastAsia="仿宋_GB2312" w:cs="宋体"/>
          <w:sz w:val="30"/>
          <w:szCs w:val="30"/>
          <w:u w:val="single"/>
        </w:rPr>
        <w:t xml:space="preserve">        </w:t>
      </w:r>
      <w:r>
        <w:rPr>
          <w:rFonts w:ascii="仿宋_GB2312" w:hAnsi="仿宋" w:eastAsia="仿宋_GB2312" w:cs="宋体"/>
          <w:sz w:val="30"/>
          <w:szCs w:val="30"/>
        </w:rPr>
        <w:t>美元？</w:t>
      </w:r>
      <w:r>
        <w:rPr>
          <w:rFonts w:hint="eastAsia" w:ascii="仿宋_GB2312" w:hAnsi="仿宋" w:eastAsia="仿宋_GB2312" w:cs="宋体"/>
          <w:sz w:val="30"/>
          <w:szCs w:val="30"/>
        </w:rPr>
        <w:t>（答案保留两位小数，如1.23）</w:t>
      </w:r>
    </w:p>
    <w:p>
      <w:pPr>
        <w:spacing w:line="560" w:lineRule="exact"/>
        <w:ind w:firstLine="600" w:firstLineChars="200"/>
        <w:rPr>
          <w:rFonts w:ascii="仿宋_GB2312" w:hAnsi="仿宋" w:eastAsia="仿宋_GB2312" w:cs="宋体"/>
          <w:sz w:val="30"/>
          <w:szCs w:val="30"/>
        </w:rPr>
      </w:pPr>
      <w:r>
        <w:rPr>
          <w:rFonts w:hint="eastAsia" w:ascii="仿宋_GB2312" w:hAnsi="仿宋" w:eastAsia="仿宋_GB2312" w:cs="宋体"/>
          <w:sz w:val="30"/>
          <w:szCs w:val="30"/>
        </w:rPr>
        <w:t>2.</w:t>
      </w:r>
      <w:r>
        <w:rPr>
          <w:rFonts w:ascii="仿宋_GB2312" w:hAnsi="仿宋" w:eastAsia="仿宋_GB2312" w:cs="宋体"/>
          <w:sz w:val="30"/>
          <w:szCs w:val="30"/>
        </w:rPr>
        <w:t>小明准备在敦煌网上传一款女士手提包，重1.5kg，成本</w:t>
      </w:r>
      <w:r>
        <w:rPr>
          <w:rFonts w:hint="eastAsia" w:ascii="仿宋_GB2312" w:hAnsi="仿宋" w:eastAsia="仿宋_GB2312" w:cs="宋体"/>
          <w:sz w:val="30"/>
          <w:szCs w:val="30"/>
        </w:rPr>
        <w:t>为人民币</w:t>
      </w:r>
      <w:r>
        <w:rPr>
          <w:rFonts w:ascii="仿宋_GB2312" w:hAnsi="仿宋" w:eastAsia="仿宋_GB2312" w:cs="宋体"/>
          <w:sz w:val="30"/>
          <w:szCs w:val="30"/>
        </w:rPr>
        <w:t>50元，中国邮政小包5区包邮，利润率为10%，预留折扣为7折，美元兑人民币汇率为</w:t>
      </w:r>
      <w:r>
        <w:rPr>
          <w:rFonts w:hint="eastAsia" w:ascii="仿宋_GB2312" w:hAnsi="仿宋" w:eastAsia="仿宋_GB2312" w:cs="宋体"/>
          <w:sz w:val="30"/>
          <w:szCs w:val="30"/>
        </w:rPr>
        <w:t>1:</w:t>
      </w:r>
      <w:r>
        <w:rPr>
          <w:rFonts w:ascii="仿宋_GB2312" w:hAnsi="仿宋" w:eastAsia="仿宋_GB2312" w:cs="宋体"/>
          <w:sz w:val="30"/>
          <w:szCs w:val="30"/>
        </w:rPr>
        <w:t>6.4，那么这款女士手提包的售价为</w:t>
      </w:r>
      <w:r>
        <w:rPr>
          <w:rFonts w:hint="eastAsia" w:ascii="仿宋_GB2312" w:hAnsi="仿宋" w:eastAsia="仿宋_GB2312" w:cs="宋体"/>
          <w:sz w:val="30"/>
          <w:szCs w:val="30"/>
          <w:u w:val="single"/>
        </w:rPr>
        <w:t xml:space="preserve">     </w:t>
      </w:r>
      <w:r>
        <w:rPr>
          <w:rFonts w:hint="eastAsia" w:ascii="仿宋_GB2312" w:hAnsi="仿宋" w:eastAsia="仿宋_GB2312" w:cs="宋体"/>
          <w:sz w:val="30"/>
          <w:szCs w:val="30"/>
        </w:rPr>
        <w:t>美元。（答案保留两位小数，如1.23）</w:t>
      </w:r>
    </w:p>
    <w:p>
      <w:pPr>
        <w:spacing w:line="560" w:lineRule="exact"/>
        <w:ind w:firstLine="600" w:firstLineChars="200"/>
        <w:rPr>
          <w:rFonts w:ascii="仿宋_GB2312" w:hAnsi="仿宋" w:eastAsia="仿宋_GB2312" w:cs="宋体"/>
          <w:sz w:val="30"/>
          <w:szCs w:val="30"/>
        </w:rPr>
      </w:pPr>
      <w:r>
        <w:rPr>
          <w:rFonts w:hint="eastAsia" w:ascii="仿宋_GB2312" w:hAnsi="仿宋" w:eastAsia="仿宋_GB2312" w:cs="宋体"/>
          <w:sz w:val="30"/>
          <w:szCs w:val="30"/>
        </w:rPr>
        <w:t>（四）拖拽题</w:t>
      </w:r>
    </w:p>
    <w:p>
      <w:pPr>
        <w:spacing w:line="360" w:lineRule="auto"/>
        <w:rPr>
          <w:rFonts w:ascii="仿宋_GB2312" w:hAnsi="仿宋" w:eastAsia="仿宋_GB2312" w:cs="宋体"/>
          <w:sz w:val="30"/>
          <w:szCs w:val="30"/>
        </w:rPr>
      </w:pPr>
      <w:r>
        <w:rPr>
          <w:rFonts w:hint="eastAsia" w:ascii="仿宋_GB2312" w:hAnsi="仿宋" w:eastAsia="仿宋_GB2312" w:cs="宋体"/>
          <w:sz w:val="30"/>
          <w:szCs w:val="30"/>
        </w:rPr>
        <w:t>1.请拖拽匹配wish平台5个垂直App的图标所代表的分类。</w:t>
      </w:r>
    </w:p>
    <w:p>
      <w:pPr>
        <w:spacing w:line="360" w:lineRule="auto"/>
        <w:rPr>
          <w:rFonts w:ascii="仿宋_GB2312" w:hAnsi="仿宋" w:eastAsia="仿宋_GB2312" w:cs="宋体"/>
          <w:sz w:val="30"/>
          <w:szCs w:val="30"/>
        </w:rPr>
      </w:pPr>
      <w:r>
        <w:rPr>
          <w:rFonts w:hint="eastAsia" w:ascii="仿宋_GB2312" w:hAnsi="仿宋" w:eastAsia="仿宋_GB2312" w:cs="宋体"/>
          <w:sz w:val="30"/>
          <w:szCs w:val="30"/>
        </w:rPr>
        <w:drawing>
          <wp:inline distT="0" distB="0" distL="0" distR="0">
            <wp:extent cx="5274310" cy="3277870"/>
            <wp:effectExtent l="19050" t="0" r="2540" b="0"/>
            <wp:docPr id="2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4"/>
                    <pic:cNvPicPr>
                      <a:picLocks noChangeAspect="1" noChangeArrowheads="1"/>
                    </pic:cNvPicPr>
                  </pic:nvPicPr>
                  <pic:blipFill>
                    <a:blip r:embed="rId9"/>
                    <a:srcRect/>
                    <a:stretch>
                      <a:fillRect/>
                    </a:stretch>
                  </pic:blipFill>
                  <pic:spPr>
                    <a:xfrm>
                      <a:off x="0" y="0"/>
                      <a:ext cx="5274310" cy="3278181"/>
                    </a:xfrm>
                    <a:prstGeom prst="rect">
                      <a:avLst/>
                    </a:prstGeom>
                    <a:noFill/>
                    <a:ln w="9525">
                      <a:noFill/>
                      <a:miter lim="800000"/>
                      <a:headEnd/>
                      <a:tailEnd/>
                    </a:ln>
                  </pic:spPr>
                </pic:pic>
              </a:graphicData>
            </a:graphic>
          </wp:inline>
        </w:drawing>
      </w:r>
    </w:p>
    <w:p>
      <w:pPr>
        <w:spacing w:line="360" w:lineRule="auto"/>
        <w:rPr>
          <w:rFonts w:ascii="仿宋_GB2312" w:hAnsi="仿宋" w:eastAsia="仿宋_GB2312" w:cs="宋体"/>
          <w:sz w:val="30"/>
          <w:szCs w:val="30"/>
        </w:rPr>
      </w:pPr>
      <w:r>
        <w:rPr>
          <w:rFonts w:hint="eastAsia" w:ascii="仿宋_GB2312" w:hAnsi="仿宋" w:eastAsia="仿宋_GB2312" w:cs="宋体"/>
          <w:sz w:val="30"/>
          <w:szCs w:val="30"/>
        </w:rPr>
        <w:t>2.根据邮件内容匹配对应邮件主题。</w:t>
      </w:r>
    </w:p>
    <w:p>
      <w:pPr>
        <w:spacing w:line="360" w:lineRule="auto"/>
        <w:rPr>
          <w:rFonts w:ascii="仿宋_GB2312" w:hAnsi="仿宋" w:eastAsia="仿宋_GB2312" w:cs="宋体"/>
          <w:sz w:val="30"/>
          <w:szCs w:val="30"/>
        </w:rPr>
      </w:pPr>
      <w:r>
        <w:rPr>
          <w:rFonts w:ascii="仿宋_GB2312" w:hAnsi="仿宋" w:eastAsia="仿宋_GB2312" w:cs="宋体"/>
          <w:sz w:val="30"/>
          <w:szCs w:val="30"/>
        </w:rPr>
        <w:drawing>
          <wp:inline distT="0" distB="0" distL="0" distR="0">
            <wp:extent cx="5274310" cy="3041015"/>
            <wp:effectExtent l="19050" t="0" r="2540" b="0"/>
            <wp:docPr id="2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3"/>
                    <pic:cNvPicPr>
                      <a:picLocks noChangeAspect="1" noChangeArrowheads="1"/>
                    </pic:cNvPicPr>
                  </pic:nvPicPr>
                  <pic:blipFill>
                    <a:blip r:embed="rId10"/>
                    <a:srcRect/>
                    <a:stretch>
                      <a:fillRect/>
                    </a:stretch>
                  </pic:blipFill>
                  <pic:spPr>
                    <a:xfrm>
                      <a:off x="0" y="0"/>
                      <a:ext cx="5274310" cy="3041136"/>
                    </a:xfrm>
                    <a:prstGeom prst="rect">
                      <a:avLst/>
                    </a:prstGeom>
                    <a:noFill/>
                    <a:ln w="9525">
                      <a:noFill/>
                      <a:miter lim="800000"/>
                      <a:headEnd/>
                      <a:tailEnd/>
                    </a:ln>
                  </pic:spPr>
                </pic:pic>
              </a:graphicData>
            </a:graphic>
          </wp:inline>
        </w:drawing>
      </w:r>
    </w:p>
    <w:p>
      <w:pPr>
        <w:spacing w:line="560" w:lineRule="exact"/>
        <w:rPr>
          <w:rFonts w:ascii="仿宋_GB2312" w:hAnsi="仿宋" w:eastAsia="仿宋_GB2312" w:cs="宋体"/>
          <w:sz w:val="30"/>
          <w:szCs w:val="30"/>
        </w:rPr>
      </w:pPr>
      <w:r>
        <w:rPr>
          <w:rFonts w:hint="eastAsia" w:ascii="仿宋_GB2312" w:hAnsi="仿宋" w:eastAsia="仿宋_GB2312" w:cs="宋体"/>
          <w:sz w:val="30"/>
          <w:szCs w:val="30"/>
        </w:rPr>
        <w:t>（五）图形选择题</w:t>
      </w:r>
    </w:p>
    <w:p>
      <w:pPr>
        <w:spacing w:line="560" w:lineRule="exact"/>
        <w:rPr>
          <w:rFonts w:ascii="仿宋_GB2312" w:hAnsi="仿宋" w:eastAsia="仿宋_GB2312" w:cs="宋体"/>
          <w:sz w:val="30"/>
          <w:szCs w:val="30"/>
        </w:rPr>
      </w:pPr>
      <w:r>
        <w:rPr>
          <w:rFonts w:hint="eastAsia" w:ascii="仿宋_GB2312" w:hAnsi="仿宋" w:eastAsia="仿宋_GB2312" w:cs="宋体"/>
          <w:sz w:val="30"/>
          <w:szCs w:val="30"/>
        </w:rPr>
        <w:t>1.请根据产品资料，添加“image”部分信息。（点击选择正确图片）</w:t>
      </w:r>
    </w:p>
    <w:p>
      <w:pPr>
        <w:spacing w:line="360" w:lineRule="auto"/>
        <w:jc w:val="center"/>
        <w:rPr>
          <w:rFonts w:ascii="仿宋_GB2312" w:hAnsi="仿宋" w:eastAsia="仿宋_GB2312" w:cs="宋体"/>
          <w:sz w:val="30"/>
          <w:szCs w:val="30"/>
        </w:rPr>
      </w:pPr>
      <w:r>
        <w:rPr>
          <w:rFonts w:ascii="仿宋_GB2312" w:hAnsi="仿宋" w:eastAsia="仿宋_GB2312" w:cs="宋体"/>
          <w:sz w:val="30"/>
          <w:szCs w:val="30"/>
        </w:rPr>
        <w:drawing>
          <wp:inline distT="0" distB="0" distL="0" distR="0">
            <wp:extent cx="5273675" cy="4298950"/>
            <wp:effectExtent l="19050" t="0" r="3109" b="0"/>
            <wp:docPr id="27"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6"/>
                    <pic:cNvPicPr>
                      <a:picLocks noChangeAspect="1" noChangeArrowheads="1"/>
                    </pic:cNvPicPr>
                  </pic:nvPicPr>
                  <pic:blipFill>
                    <a:blip r:embed="rId11"/>
                    <a:srcRect/>
                    <a:stretch>
                      <a:fillRect/>
                    </a:stretch>
                  </pic:blipFill>
                  <pic:spPr>
                    <a:xfrm>
                      <a:off x="0" y="0"/>
                      <a:ext cx="5274310" cy="4299509"/>
                    </a:xfrm>
                    <a:prstGeom prst="rect">
                      <a:avLst/>
                    </a:prstGeom>
                    <a:noFill/>
                    <a:ln w="9525">
                      <a:noFill/>
                      <a:miter lim="800000"/>
                      <a:headEnd/>
                      <a:tailEnd/>
                    </a:ln>
                  </pic:spPr>
                </pic:pic>
              </a:graphicData>
            </a:graphic>
          </wp:inline>
        </w:drawing>
      </w:r>
    </w:p>
    <w:p>
      <w:pPr>
        <w:spacing w:line="560" w:lineRule="exact"/>
        <w:jc w:val="left"/>
        <w:rPr>
          <w:rFonts w:ascii="仿宋_GB2312" w:hAnsi="仿宋" w:eastAsia="仿宋_GB2312" w:cs="宋体"/>
          <w:sz w:val="30"/>
          <w:szCs w:val="30"/>
        </w:rPr>
      </w:pPr>
      <w:r>
        <w:rPr>
          <w:rFonts w:hint="eastAsia" w:ascii="仿宋_GB2312" w:hAnsi="仿宋" w:eastAsia="仿宋_GB2312" w:cs="宋体"/>
          <w:sz w:val="30"/>
          <w:szCs w:val="30"/>
        </w:rPr>
        <w:t>2.请根据图中信息判断该产品的发货途径，点选正确答案。</w:t>
      </w:r>
    </w:p>
    <w:p>
      <w:pPr>
        <w:spacing w:line="360" w:lineRule="auto"/>
        <w:jc w:val="left"/>
        <w:rPr>
          <w:rFonts w:ascii="仿宋_GB2312" w:hAnsi="仿宋" w:eastAsia="仿宋_GB2312" w:cs="宋体"/>
          <w:sz w:val="30"/>
          <w:szCs w:val="30"/>
        </w:rPr>
      </w:pPr>
      <w:r>
        <w:rPr>
          <w:rFonts w:ascii="仿宋_GB2312" w:hAnsi="仿宋" w:eastAsia="仿宋_GB2312" w:cs="宋体"/>
          <w:sz w:val="30"/>
          <w:szCs w:val="30"/>
        </w:rPr>
        <w:drawing>
          <wp:inline distT="0" distB="0" distL="0" distR="0">
            <wp:extent cx="5269230" cy="3234055"/>
            <wp:effectExtent l="19050" t="0" r="7554" b="0"/>
            <wp:docPr id="28"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9"/>
                    <pic:cNvPicPr>
                      <a:picLocks noChangeAspect="1" noChangeArrowheads="1"/>
                    </pic:cNvPicPr>
                  </pic:nvPicPr>
                  <pic:blipFill>
                    <a:blip r:embed="rId12"/>
                    <a:srcRect/>
                    <a:stretch>
                      <a:fillRect/>
                    </a:stretch>
                  </pic:blipFill>
                  <pic:spPr>
                    <a:xfrm>
                      <a:off x="0" y="0"/>
                      <a:ext cx="5274310" cy="3237598"/>
                    </a:xfrm>
                    <a:prstGeom prst="rect">
                      <a:avLst/>
                    </a:prstGeom>
                    <a:noFill/>
                    <a:ln w="9525">
                      <a:noFill/>
                      <a:miter lim="800000"/>
                      <a:headEnd/>
                      <a:tailEnd/>
                    </a:ln>
                  </pic:spPr>
                </pic:pic>
              </a:graphicData>
            </a:graphic>
          </wp:inline>
        </w:drawing>
      </w:r>
    </w:p>
    <w:p>
      <w:pPr>
        <w:spacing w:line="560" w:lineRule="exact"/>
        <w:ind w:firstLine="600" w:firstLineChars="200"/>
        <w:rPr>
          <w:rFonts w:ascii="仿宋_GB2312" w:hAnsi="仿宋" w:eastAsia="仿宋_GB2312" w:cs="宋体"/>
          <w:sz w:val="30"/>
          <w:szCs w:val="30"/>
        </w:rPr>
      </w:pPr>
      <w:r>
        <w:rPr>
          <w:rFonts w:hint="eastAsia" w:ascii="仿宋_GB2312" w:hAnsi="仿宋" w:eastAsia="仿宋_GB2312" w:cs="宋体"/>
          <w:sz w:val="30"/>
          <w:szCs w:val="30"/>
        </w:rPr>
        <w:t>★外贸跟单能力模块</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系统给定一笔已签订完成的出口业务合同与一笔进口业务合同，选手需完成这两笔业务的单证制作及业务履约的全部流程。</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业务背景资料：</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贸易国家：美国、中国</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贸易术语：FOB</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支付方式：T/T（定金+尾款）</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运输方式：海运</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（一）出口业务部分</w:t>
      </w:r>
    </w:p>
    <w:p>
      <w:pPr>
        <w:snapToGrid w:val="0"/>
        <w:spacing w:line="560" w:lineRule="exact"/>
        <w:ind w:firstLine="600" w:firstLineChars="200"/>
        <w:rPr>
          <w:rFonts w:ascii="仿宋_GB2312" w:hAnsi="Arial Narrow" w:eastAsia="仿宋_GB2312" w:cs="Arial"/>
          <w:sz w:val="30"/>
          <w:szCs w:val="30"/>
        </w:rPr>
      </w:pPr>
      <w:r>
        <w:rPr>
          <w:rFonts w:hint="eastAsia" w:ascii="仿宋_GB2312" w:hAnsi="Arial Narrow" w:eastAsia="仿宋_GB2312" w:cs="Arial"/>
          <w:sz w:val="30"/>
          <w:szCs w:val="30"/>
        </w:rPr>
        <w:t>1.缮制出口业务中的各种外贸单证，具体如下：</w:t>
      </w:r>
    </w:p>
    <w:p>
      <w:pPr>
        <w:snapToGrid w:val="0"/>
        <w:spacing w:line="560" w:lineRule="exact"/>
        <w:ind w:firstLine="600" w:firstLineChars="200"/>
        <w:rPr>
          <w:rFonts w:ascii="仿宋_GB2312" w:hAnsi="Arial Narrow" w:eastAsia="仿宋_GB2312" w:cs="Arial"/>
          <w:sz w:val="30"/>
          <w:szCs w:val="30"/>
        </w:rPr>
      </w:pPr>
      <w:r>
        <w:rPr>
          <w:rFonts w:hint="eastAsia" w:ascii="仿宋_GB2312" w:hAnsi="Arial Narrow" w:eastAsia="仿宋_GB2312" w:cs="Arial"/>
          <w:sz w:val="30"/>
          <w:szCs w:val="30"/>
        </w:rPr>
        <w:t>（1）商业发票</w:t>
      </w:r>
    </w:p>
    <w:p>
      <w:pPr>
        <w:snapToGrid w:val="0"/>
        <w:spacing w:line="560" w:lineRule="exact"/>
        <w:ind w:firstLine="600" w:firstLineChars="200"/>
        <w:rPr>
          <w:rFonts w:ascii="仿宋_GB2312" w:hAnsi="Arial Narrow" w:eastAsia="仿宋_GB2312" w:cs="Arial"/>
          <w:sz w:val="30"/>
          <w:szCs w:val="30"/>
        </w:rPr>
      </w:pPr>
      <w:r>
        <w:rPr>
          <w:rFonts w:hint="eastAsia" w:ascii="仿宋_GB2312" w:hAnsi="Arial Narrow" w:eastAsia="仿宋_GB2312" w:cs="Arial"/>
          <w:sz w:val="30"/>
          <w:szCs w:val="30"/>
        </w:rPr>
        <w:t>（2）装箱单</w:t>
      </w:r>
    </w:p>
    <w:p>
      <w:pPr>
        <w:snapToGrid w:val="0"/>
        <w:spacing w:line="560" w:lineRule="exact"/>
        <w:ind w:firstLine="600" w:firstLineChars="200"/>
        <w:rPr>
          <w:rFonts w:ascii="仿宋_GB2312" w:hAnsi="Arial Narrow" w:eastAsia="仿宋_GB2312" w:cs="Arial"/>
          <w:sz w:val="30"/>
          <w:szCs w:val="30"/>
        </w:rPr>
      </w:pPr>
      <w:r>
        <w:rPr>
          <w:rFonts w:hint="eastAsia" w:ascii="仿宋_GB2312" w:hAnsi="Arial Narrow" w:eastAsia="仿宋_GB2312" w:cs="Arial"/>
          <w:sz w:val="30"/>
          <w:szCs w:val="30"/>
        </w:rPr>
        <w:t>（3）国际海运委托书</w:t>
      </w:r>
    </w:p>
    <w:p>
      <w:pPr>
        <w:snapToGrid w:val="0"/>
        <w:spacing w:line="560" w:lineRule="exact"/>
        <w:ind w:firstLine="600" w:firstLineChars="200"/>
        <w:rPr>
          <w:rFonts w:ascii="仿宋_GB2312" w:hAnsi="Arial Narrow" w:eastAsia="仿宋_GB2312" w:cs="Arial"/>
          <w:sz w:val="30"/>
          <w:szCs w:val="30"/>
        </w:rPr>
      </w:pPr>
      <w:r>
        <w:rPr>
          <w:rFonts w:hint="eastAsia" w:ascii="仿宋_GB2312" w:hAnsi="Arial Narrow" w:eastAsia="仿宋_GB2312" w:cs="Arial"/>
          <w:sz w:val="30"/>
          <w:szCs w:val="30"/>
        </w:rPr>
        <w:t>（4）出境货物报检单（根据商品监管条件以及合同所选商检证书判断是否需要填写）</w:t>
      </w:r>
    </w:p>
    <w:p>
      <w:pPr>
        <w:snapToGrid w:val="0"/>
        <w:spacing w:line="560" w:lineRule="exact"/>
        <w:ind w:firstLine="600" w:firstLineChars="200"/>
        <w:rPr>
          <w:rFonts w:ascii="仿宋_GB2312" w:hAnsi="Arial Narrow" w:eastAsia="仿宋_GB2312" w:cs="Arial"/>
          <w:sz w:val="30"/>
          <w:szCs w:val="30"/>
        </w:rPr>
      </w:pPr>
      <w:r>
        <w:rPr>
          <w:rFonts w:hint="eastAsia" w:ascii="仿宋_GB2312" w:hAnsi="Arial Narrow" w:eastAsia="仿宋_GB2312" w:cs="Arial"/>
          <w:sz w:val="30"/>
          <w:szCs w:val="30"/>
        </w:rPr>
        <w:t>（5）一般原产地证/普惠制产地证</w:t>
      </w:r>
    </w:p>
    <w:p>
      <w:pPr>
        <w:snapToGrid w:val="0"/>
        <w:spacing w:line="560" w:lineRule="exact"/>
        <w:ind w:firstLine="600" w:firstLineChars="200"/>
        <w:rPr>
          <w:rFonts w:ascii="仿宋_GB2312" w:hAnsi="Arial Narrow" w:eastAsia="仿宋_GB2312" w:cs="Arial"/>
          <w:sz w:val="30"/>
          <w:szCs w:val="30"/>
        </w:rPr>
      </w:pPr>
      <w:r>
        <w:rPr>
          <w:rFonts w:hint="eastAsia" w:ascii="仿宋_GB2312" w:hAnsi="Arial Narrow" w:eastAsia="仿宋_GB2312" w:cs="Arial"/>
          <w:sz w:val="30"/>
          <w:szCs w:val="30"/>
        </w:rPr>
        <w:t>（6）出口货物报关单</w:t>
      </w:r>
    </w:p>
    <w:p>
      <w:pPr>
        <w:snapToGrid w:val="0"/>
        <w:spacing w:line="560" w:lineRule="exact"/>
        <w:ind w:firstLine="600" w:firstLineChars="200"/>
        <w:rPr>
          <w:rFonts w:ascii="仿宋_GB2312" w:hAnsi="Arial Narrow" w:eastAsia="仿宋_GB2312" w:cs="Arial"/>
          <w:sz w:val="30"/>
          <w:szCs w:val="30"/>
        </w:rPr>
      </w:pPr>
      <w:r>
        <w:rPr>
          <w:rFonts w:hint="eastAsia" w:ascii="仿宋_GB2312" w:hAnsi="Arial Narrow" w:eastAsia="仿宋_GB2312" w:cs="Arial"/>
          <w:sz w:val="30"/>
          <w:szCs w:val="30"/>
        </w:rPr>
        <w:t xml:space="preserve"> 2.完成出口业务流程，具体如下：</w:t>
      </w:r>
    </w:p>
    <w:p>
      <w:pPr>
        <w:snapToGrid w:val="0"/>
        <w:jc w:val="center"/>
        <w:rPr>
          <w:rFonts w:ascii="仿宋_GB2312" w:hAnsi="Arial Narrow" w:eastAsia="仿宋_GB2312" w:cs="Arial"/>
          <w:sz w:val="30"/>
          <w:szCs w:val="30"/>
        </w:rPr>
      </w:pPr>
      <w:r>
        <w:rPr>
          <w:rFonts w:hint="eastAsia" w:ascii="宋体" w:hAnsi="宋体"/>
          <w:szCs w:val="21"/>
          <w:bdr w:val="single" w:color="auto" w:sz="4" w:space="0"/>
        </w:rPr>
        <w:drawing>
          <wp:inline distT="0" distB="0" distL="0" distR="0">
            <wp:extent cx="5267325" cy="3343275"/>
            <wp:effectExtent l="19050" t="0" r="9525"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13"/>
                    <a:srcRect/>
                    <a:stretch>
                      <a:fillRect/>
                    </a:stretch>
                  </pic:blipFill>
                  <pic:spPr>
                    <a:xfrm>
                      <a:off x="0" y="0"/>
                      <a:ext cx="5267325" cy="3343275"/>
                    </a:xfrm>
                    <a:prstGeom prst="rect">
                      <a:avLst/>
                    </a:prstGeom>
                    <a:noFill/>
                    <a:ln w="9525">
                      <a:noFill/>
                      <a:miter lim="800000"/>
                      <a:headEnd/>
                      <a:tailEnd/>
                    </a:ln>
                  </pic:spPr>
                </pic:pic>
              </a:graphicData>
            </a:graphic>
          </wp:inline>
        </w:drawing>
      </w:r>
    </w:p>
    <w:p>
      <w:pPr>
        <w:snapToGrid w:val="0"/>
        <w:spacing w:line="560" w:lineRule="exact"/>
        <w:ind w:firstLine="600" w:firstLineChars="200"/>
        <w:rPr>
          <w:rFonts w:ascii="仿宋_GB2312" w:hAnsi="Arial Narrow" w:eastAsia="仿宋_GB2312" w:cs="Arial"/>
          <w:sz w:val="30"/>
          <w:szCs w:val="30"/>
        </w:rPr>
      </w:pPr>
      <w:r>
        <w:rPr>
          <w:rFonts w:hint="eastAsia" w:ascii="仿宋_GB2312" w:hAnsi="Arial Narrow" w:eastAsia="仿宋_GB2312" w:cs="Arial"/>
          <w:sz w:val="30"/>
          <w:szCs w:val="30"/>
        </w:rPr>
        <w:t>（1）订舱</w:t>
      </w:r>
    </w:p>
    <w:p>
      <w:pPr>
        <w:snapToGrid w:val="0"/>
        <w:spacing w:line="560" w:lineRule="exact"/>
        <w:ind w:firstLine="600" w:firstLineChars="200"/>
        <w:rPr>
          <w:rFonts w:ascii="仿宋_GB2312" w:hAnsi="Arial Narrow" w:eastAsia="仿宋_GB2312" w:cs="Arial"/>
          <w:sz w:val="30"/>
          <w:szCs w:val="30"/>
        </w:rPr>
      </w:pPr>
      <w:r>
        <w:rPr>
          <w:rFonts w:hint="eastAsia" w:ascii="仿宋_GB2312" w:hAnsi="Arial Narrow" w:eastAsia="仿宋_GB2312" w:cs="Arial"/>
          <w:sz w:val="30"/>
          <w:szCs w:val="30"/>
        </w:rPr>
        <w:t>（2）购货</w:t>
      </w:r>
    </w:p>
    <w:p>
      <w:pPr>
        <w:snapToGrid w:val="0"/>
        <w:spacing w:line="560" w:lineRule="exact"/>
        <w:ind w:firstLine="600" w:firstLineChars="200"/>
        <w:rPr>
          <w:rFonts w:ascii="仿宋_GB2312" w:hAnsi="Arial Narrow" w:eastAsia="仿宋_GB2312" w:cs="Arial"/>
          <w:sz w:val="30"/>
          <w:szCs w:val="30"/>
        </w:rPr>
      </w:pPr>
      <w:r>
        <w:rPr>
          <w:rFonts w:hint="eastAsia" w:ascii="仿宋_GB2312" w:hAnsi="Arial Narrow" w:eastAsia="仿宋_GB2312" w:cs="Arial"/>
          <w:sz w:val="30"/>
          <w:szCs w:val="30"/>
        </w:rPr>
        <w:t>（3）出口报检（根据商品监管条件以及合同所选商检证书判断是否需要办理）</w:t>
      </w:r>
    </w:p>
    <w:p>
      <w:pPr>
        <w:snapToGrid w:val="0"/>
        <w:spacing w:line="560" w:lineRule="exact"/>
        <w:ind w:firstLine="600" w:firstLineChars="200"/>
        <w:rPr>
          <w:rFonts w:ascii="仿宋_GB2312" w:hAnsi="Arial Narrow" w:eastAsia="仿宋_GB2312" w:cs="Arial"/>
          <w:sz w:val="30"/>
          <w:szCs w:val="30"/>
        </w:rPr>
      </w:pPr>
      <w:r>
        <w:rPr>
          <w:rFonts w:hint="eastAsia" w:ascii="仿宋_GB2312" w:hAnsi="Arial Narrow" w:eastAsia="仿宋_GB2312" w:cs="Arial"/>
          <w:sz w:val="30"/>
          <w:szCs w:val="30"/>
        </w:rPr>
        <w:t>（4）申请产地证</w:t>
      </w:r>
    </w:p>
    <w:p>
      <w:pPr>
        <w:snapToGrid w:val="0"/>
        <w:spacing w:line="560" w:lineRule="exact"/>
        <w:ind w:firstLine="600" w:firstLineChars="200"/>
        <w:rPr>
          <w:rFonts w:ascii="仿宋_GB2312" w:hAnsi="Arial Narrow" w:eastAsia="仿宋_GB2312" w:cs="Arial"/>
          <w:sz w:val="30"/>
          <w:szCs w:val="30"/>
        </w:rPr>
      </w:pPr>
      <w:r>
        <w:rPr>
          <w:rFonts w:hint="eastAsia" w:ascii="仿宋_GB2312" w:hAnsi="Arial Narrow" w:eastAsia="仿宋_GB2312" w:cs="Arial"/>
          <w:sz w:val="30"/>
          <w:szCs w:val="30"/>
        </w:rPr>
        <w:t>（5）送货</w:t>
      </w:r>
    </w:p>
    <w:p>
      <w:pPr>
        <w:snapToGrid w:val="0"/>
        <w:spacing w:line="560" w:lineRule="exact"/>
        <w:ind w:firstLine="600" w:firstLineChars="200"/>
        <w:rPr>
          <w:rFonts w:ascii="仿宋_GB2312" w:hAnsi="Arial Narrow" w:eastAsia="仿宋_GB2312" w:cs="Arial"/>
          <w:sz w:val="30"/>
          <w:szCs w:val="30"/>
        </w:rPr>
      </w:pPr>
      <w:r>
        <w:rPr>
          <w:rFonts w:hint="eastAsia" w:ascii="仿宋_GB2312" w:hAnsi="Arial Narrow" w:eastAsia="仿宋_GB2312" w:cs="Arial"/>
          <w:sz w:val="30"/>
          <w:szCs w:val="30"/>
        </w:rPr>
        <w:t>（6）出口报关</w:t>
      </w:r>
    </w:p>
    <w:p>
      <w:pPr>
        <w:snapToGrid w:val="0"/>
        <w:spacing w:line="560" w:lineRule="exact"/>
        <w:ind w:firstLine="600" w:firstLineChars="200"/>
        <w:rPr>
          <w:rFonts w:ascii="仿宋_GB2312" w:hAnsi="Arial Narrow" w:eastAsia="仿宋_GB2312" w:cs="Arial"/>
          <w:sz w:val="30"/>
          <w:szCs w:val="30"/>
        </w:rPr>
      </w:pPr>
      <w:r>
        <w:rPr>
          <w:rFonts w:hint="eastAsia" w:ascii="仿宋_GB2312" w:hAnsi="Arial Narrow" w:eastAsia="仿宋_GB2312" w:cs="Arial"/>
          <w:sz w:val="30"/>
          <w:szCs w:val="30"/>
        </w:rPr>
        <w:t>（7）取回提单</w:t>
      </w:r>
    </w:p>
    <w:p>
      <w:pPr>
        <w:snapToGrid w:val="0"/>
        <w:spacing w:line="560" w:lineRule="exact"/>
        <w:ind w:firstLine="600" w:firstLineChars="200"/>
        <w:rPr>
          <w:rFonts w:ascii="仿宋_GB2312" w:hAnsi="Arial Narrow" w:eastAsia="仿宋_GB2312" w:cs="Arial"/>
          <w:sz w:val="30"/>
          <w:szCs w:val="30"/>
        </w:rPr>
      </w:pPr>
      <w:r>
        <w:rPr>
          <w:rFonts w:hint="eastAsia" w:ascii="仿宋_GB2312" w:hAnsi="Arial Narrow" w:eastAsia="仿宋_GB2312" w:cs="Arial"/>
          <w:sz w:val="30"/>
          <w:szCs w:val="30"/>
        </w:rPr>
        <w:t>（8）通知装运</w:t>
      </w:r>
    </w:p>
    <w:p>
      <w:pPr>
        <w:snapToGrid w:val="0"/>
        <w:spacing w:line="560" w:lineRule="exact"/>
        <w:ind w:firstLine="600" w:firstLineChars="200"/>
        <w:rPr>
          <w:rFonts w:ascii="仿宋_GB2312" w:hAnsi="Arial Narrow" w:eastAsia="仿宋_GB2312" w:cs="Arial"/>
          <w:sz w:val="30"/>
          <w:szCs w:val="30"/>
        </w:rPr>
      </w:pPr>
      <w:r>
        <w:rPr>
          <w:rFonts w:hint="eastAsia" w:ascii="仿宋_GB2312" w:hAnsi="Arial Narrow" w:eastAsia="仿宋_GB2312" w:cs="Arial"/>
          <w:sz w:val="30"/>
          <w:szCs w:val="30"/>
        </w:rPr>
        <w:t>（9）寄送货运单据</w:t>
      </w:r>
    </w:p>
    <w:p>
      <w:pPr>
        <w:snapToGrid w:val="0"/>
        <w:spacing w:line="560" w:lineRule="exact"/>
        <w:ind w:firstLine="600" w:firstLineChars="200"/>
        <w:rPr>
          <w:rFonts w:ascii="仿宋_GB2312" w:hAnsi="Arial Narrow" w:eastAsia="仿宋_GB2312" w:cs="Arial"/>
          <w:sz w:val="30"/>
          <w:szCs w:val="30"/>
        </w:rPr>
      </w:pPr>
      <w:r>
        <w:rPr>
          <w:rFonts w:hint="eastAsia" w:ascii="仿宋_GB2312" w:hAnsi="Arial Narrow" w:eastAsia="仿宋_GB2312" w:cs="Arial"/>
          <w:sz w:val="30"/>
          <w:szCs w:val="30"/>
        </w:rPr>
        <w:t>（10）国际收支网上申报</w:t>
      </w:r>
    </w:p>
    <w:p>
      <w:pPr>
        <w:snapToGrid w:val="0"/>
        <w:spacing w:line="560" w:lineRule="exact"/>
        <w:ind w:firstLine="600" w:firstLineChars="200"/>
        <w:rPr>
          <w:rFonts w:ascii="仿宋_GB2312" w:hAnsi="Arial Narrow" w:eastAsia="仿宋_GB2312" w:cs="Arial"/>
          <w:sz w:val="30"/>
          <w:szCs w:val="30"/>
        </w:rPr>
      </w:pPr>
      <w:r>
        <w:rPr>
          <w:rFonts w:hint="eastAsia" w:ascii="仿宋_GB2312" w:hAnsi="Arial Narrow" w:eastAsia="仿宋_GB2312" w:cs="Arial"/>
          <w:sz w:val="30"/>
          <w:szCs w:val="30"/>
        </w:rPr>
        <w:t>（11）申请出口退税（根据商品退税率，判断是否需要办理）</w:t>
      </w:r>
    </w:p>
    <w:p>
      <w:pPr>
        <w:snapToGrid w:val="0"/>
        <w:spacing w:line="560" w:lineRule="exact"/>
        <w:ind w:firstLine="600" w:firstLineChars="200"/>
        <w:rPr>
          <w:rFonts w:ascii="仿宋_GB2312" w:hAnsi="Arial Narrow" w:eastAsia="仿宋_GB2312" w:cs="Arial"/>
          <w:sz w:val="30"/>
          <w:szCs w:val="30"/>
        </w:rPr>
      </w:pPr>
      <w:r>
        <w:rPr>
          <w:rFonts w:hint="eastAsia" w:ascii="仿宋_GB2312" w:hAnsi="Arial Narrow" w:eastAsia="仿宋_GB2312" w:cs="Arial"/>
          <w:sz w:val="30"/>
          <w:szCs w:val="30"/>
        </w:rPr>
        <w:t>（二）进口业务部分</w:t>
      </w:r>
    </w:p>
    <w:p>
      <w:pPr>
        <w:snapToGrid w:val="0"/>
        <w:spacing w:line="560" w:lineRule="exact"/>
        <w:ind w:firstLine="600" w:firstLineChars="200"/>
        <w:rPr>
          <w:rFonts w:ascii="仿宋_GB2312" w:hAnsi="Arial Narrow" w:eastAsia="仿宋_GB2312" w:cs="Arial"/>
          <w:sz w:val="30"/>
          <w:szCs w:val="30"/>
        </w:rPr>
      </w:pPr>
      <w:r>
        <w:rPr>
          <w:rFonts w:hint="eastAsia" w:ascii="仿宋_GB2312" w:hAnsi="Arial Narrow" w:eastAsia="仿宋_GB2312" w:cs="Arial"/>
          <w:sz w:val="30"/>
          <w:szCs w:val="30"/>
        </w:rPr>
        <w:t>1.缮制进口业务中的各种外贸单证，具体如下：</w:t>
      </w:r>
    </w:p>
    <w:p>
      <w:pPr>
        <w:snapToGrid w:val="0"/>
        <w:spacing w:line="560" w:lineRule="exact"/>
        <w:ind w:firstLine="600" w:firstLineChars="200"/>
        <w:rPr>
          <w:rFonts w:ascii="仿宋_GB2312" w:hAnsi="Arial Narrow" w:eastAsia="仿宋_GB2312" w:cs="Arial"/>
          <w:sz w:val="30"/>
          <w:szCs w:val="30"/>
        </w:rPr>
      </w:pPr>
      <w:r>
        <w:rPr>
          <w:rFonts w:hint="eastAsia" w:ascii="仿宋_GB2312" w:hAnsi="Arial Narrow" w:eastAsia="仿宋_GB2312" w:cs="Arial"/>
          <w:sz w:val="30"/>
          <w:szCs w:val="30"/>
        </w:rPr>
        <w:t>（1）境外汇款申请书（支付定金）</w:t>
      </w:r>
    </w:p>
    <w:p>
      <w:pPr>
        <w:snapToGrid w:val="0"/>
        <w:spacing w:line="560" w:lineRule="exact"/>
        <w:ind w:firstLine="600" w:firstLineChars="200"/>
        <w:rPr>
          <w:rFonts w:ascii="仿宋_GB2312" w:hAnsi="Arial Narrow" w:eastAsia="仿宋_GB2312" w:cs="Arial"/>
          <w:sz w:val="30"/>
          <w:szCs w:val="30"/>
        </w:rPr>
      </w:pPr>
      <w:r>
        <w:rPr>
          <w:rFonts w:hint="eastAsia" w:ascii="仿宋_GB2312" w:hAnsi="Arial Narrow" w:eastAsia="仿宋_GB2312" w:cs="Arial"/>
          <w:sz w:val="30"/>
          <w:szCs w:val="30"/>
        </w:rPr>
        <w:t>（2）投保单</w:t>
      </w:r>
    </w:p>
    <w:p>
      <w:pPr>
        <w:snapToGrid w:val="0"/>
        <w:spacing w:line="560" w:lineRule="exact"/>
        <w:ind w:firstLine="600" w:firstLineChars="200"/>
        <w:rPr>
          <w:rFonts w:ascii="仿宋_GB2312" w:hAnsi="Arial Narrow" w:eastAsia="仿宋_GB2312" w:cs="Arial"/>
          <w:sz w:val="30"/>
          <w:szCs w:val="30"/>
        </w:rPr>
      </w:pPr>
      <w:r>
        <w:rPr>
          <w:rFonts w:hint="eastAsia" w:ascii="仿宋_GB2312" w:hAnsi="Arial Narrow" w:eastAsia="仿宋_GB2312" w:cs="Arial"/>
          <w:sz w:val="30"/>
          <w:szCs w:val="30"/>
        </w:rPr>
        <w:t>（3）境外汇款申请书（支付尾款）</w:t>
      </w:r>
    </w:p>
    <w:p>
      <w:pPr>
        <w:snapToGrid w:val="0"/>
        <w:spacing w:line="560" w:lineRule="exact"/>
        <w:ind w:firstLine="600" w:firstLineChars="200"/>
        <w:rPr>
          <w:rFonts w:ascii="仿宋_GB2312" w:hAnsi="Arial Narrow" w:eastAsia="仿宋_GB2312" w:cs="Arial"/>
          <w:sz w:val="30"/>
          <w:szCs w:val="30"/>
        </w:rPr>
      </w:pPr>
      <w:r>
        <w:rPr>
          <w:rFonts w:hint="eastAsia" w:ascii="仿宋_GB2312" w:hAnsi="Arial Narrow" w:eastAsia="仿宋_GB2312" w:cs="Arial"/>
          <w:sz w:val="30"/>
          <w:szCs w:val="30"/>
        </w:rPr>
        <w:t>（4）境内汇款申请书</w:t>
      </w:r>
    </w:p>
    <w:p>
      <w:pPr>
        <w:snapToGrid w:val="0"/>
        <w:spacing w:line="560" w:lineRule="exact"/>
        <w:ind w:firstLine="600" w:firstLineChars="200"/>
        <w:rPr>
          <w:rFonts w:ascii="仿宋_GB2312" w:hAnsi="Arial Narrow" w:eastAsia="仿宋_GB2312" w:cs="Arial"/>
          <w:sz w:val="30"/>
          <w:szCs w:val="30"/>
        </w:rPr>
      </w:pPr>
      <w:r>
        <w:rPr>
          <w:rFonts w:hint="eastAsia" w:ascii="仿宋_GB2312" w:hAnsi="Arial Narrow" w:eastAsia="仿宋_GB2312" w:cs="Arial"/>
          <w:sz w:val="30"/>
          <w:szCs w:val="30"/>
        </w:rPr>
        <w:t>（5）入境货物报检单（根据商品监管条件判断是否需要填写）</w:t>
      </w:r>
    </w:p>
    <w:p>
      <w:pPr>
        <w:snapToGrid w:val="0"/>
        <w:spacing w:line="560" w:lineRule="exact"/>
        <w:ind w:firstLine="600" w:firstLineChars="200"/>
        <w:rPr>
          <w:rFonts w:ascii="仿宋_GB2312" w:hAnsi="Arial Narrow" w:eastAsia="仿宋_GB2312" w:cs="Arial"/>
          <w:sz w:val="30"/>
          <w:szCs w:val="30"/>
        </w:rPr>
      </w:pPr>
      <w:r>
        <w:rPr>
          <w:rFonts w:hint="eastAsia" w:ascii="仿宋_GB2312" w:hAnsi="Arial Narrow" w:eastAsia="仿宋_GB2312" w:cs="Arial"/>
          <w:sz w:val="30"/>
          <w:szCs w:val="30"/>
        </w:rPr>
        <w:t>（6）进口货物报关单</w:t>
      </w:r>
    </w:p>
    <w:p>
      <w:pPr>
        <w:snapToGrid w:val="0"/>
        <w:spacing w:line="560" w:lineRule="exact"/>
        <w:ind w:firstLine="600" w:firstLineChars="200"/>
        <w:rPr>
          <w:rFonts w:ascii="仿宋_GB2312" w:hAnsi="Arial Narrow" w:eastAsia="仿宋_GB2312" w:cs="Arial"/>
          <w:sz w:val="30"/>
          <w:szCs w:val="30"/>
        </w:rPr>
      </w:pPr>
      <w:r>
        <w:rPr>
          <w:rFonts w:hint="eastAsia" w:ascii="仿宋_GB2312" w:hAnsi="Arial Narrow" w:eastAsia="仿宋_GB2312" w:cs="Arial"/>
          <w:sz w:val="30"/>
          <w:szCs w:val="30"/>
        </w:rPr>
        <w:t>2.完成进口业务流程，具体如下：</w:t>
      </w:r>
    </w:p>
    <w:p>
      <w:pPr>
        <w:snapToGrid w:val="0"/>
        <w:rPr>
          <w:rFonts w:ascii="仿宋_GB2312" w:hAnsi="Arial Narrow" w:eastAsia="仿宋_GB2312" w:cs="Arial"/>
          <w:sz w:val="30"/>
          <w:szCs w:val="30"/>
        </w:rPr>
      </w:pPr>
      <w:r>
        <w:rPr>
          <w:rFonts w:hint="eastAsia" w:ascii="宋体" w:hAnsi="宋体"/>
          <w:szCs w:val="21"/>
          <w:bdr w:val="single" w:color="auto" w:sz="4" w:space="0"/>
        </w:rPr>
        <w:drawing>
          <wp:inline distT="0" distB="0" distL="0" distR="0">
            <wp:extent cx="5272405" cy="3348990"/>
            <wp:effectExtent l="19050" t="0" r="4445"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13"/>
                    <a:srcRect/>
                    <a:stretch>
                      <a:fillRect/>
                    </a:stretch>
                  </pic:blipFill>
                  <pic:spPr>
                    <a:xfrm>
                      <a:off x="0" y="0"/>
                      <a:ext cx="5272405" cy="3348990"/>
                    </a:xfrm>
                    <a:prstGeom prst="rect">
                      <a:avLst/>
                    </a:prstGeom>
                    <a:noFill/>
                    <a:ln w="9525">
                      <a:noFill/>
                      <a:miter lim="800000"/>
                      <a:headEnd/>
                      <a:tailEnd/>
                    </a:ln>
                  </pic:spPr>
                </pic:pic>
              </a:graphicData>
            </a:graphic>
          </wp:inline>
        </w:drawing>
      </w:r>
    </w:p>
    <w:p>
      <w:pPr>
        <w:snapToGrid w:val="0"/>
        <w:spacing w:line="560" w:lineRule="exact"/>
        <w:ind w:firstLine="600" w:firstLineChars="200"/>
        <w:rPr>
          <w:rFonts w:ascii="仿宋_GB2312" w:hAnsi="仿宋" w:eastAsia="仿宋_GB2312" w:cs="Arial"/>
          <w:kern w:val="0"/>
          <w:sz w:val="30"/>
          <w:szCs w:val="30"/>
        </w:rPr>
      </w:pPr>
      <w:r>
        <w:rPr>
          <w:rFonts w:hint="eastAsia" w:ascii="仿宋_GB2312" w:hAnsi="仿宋" w:eastAsia="仿宋_GB2312" w:cs="Arial"/>
          <w:kern w:val="0"/>
          <w:sz w:val="30"/>
          <w:szCs w:val="30"/>
        </w:rPr>
        <w:t>（1）支付定金</w:t>
      </w:r>
    </w:p>
    <w:p>
      <w:pPr>
        <w:snapToGrid w:val="0"/>
        <w:spacing w:line="560" w:lineRule="exact"/>
        <w:ind w:firstLine="600" w:firstLineChars="200"/>
        <w:rPr>
          <w:rFonts w:ascii="仿宋_GB2312" w:hAnsi="仿宋" w:eastAsia="仿宋_GB2312" w:cs="Arial"/>
          <w:kern w:val="0"/>
          <w:sz w:val="30"/>
          <w:szCs w:val="30"/>
        </w:rPr>
      </w:pPr>
      <w:r>
        <w:rPr>
          <w:rFonts w:hint="eastAsia" w:ascii="仿宋_GB2312" w:hAnsi="仿宋" w:eastAsia="仿宋_GB2312" w:cs="Arial"/>
          <w:kern w:val="0"/>
          <w:sz w:val="30"/>
          <w:szCs w:val="30"/>
        </w:rPr>
        <w:t>（2）指定外运公司</w:t>
      </w:r>
    </w:p>
    <w:p>
      <w:pPr>
        <w:snapToGrid w:val="0"/>
        <w:spacing w:line="560" w:lineRule="exact"/>
        <w:ind w:firstLine="600" w:firstLineChars="200"/>
        <w:rPr>
          <w:rFonts w:ascii="仿宋_GB2312" w:hAnsi="仿宋" w:eastAsia="仿宋_GB2312" w:cs="Arial"/>
          <w:kern w:val="0"/>
          <w:sz w:val="30"/>
          <w:szCs w:val="30"/>
        </w:rPr>
      </w:pPr>
      <w:r>
        <w:rPr>
          <w:rFonts w:hint="eastAsia" w:ascii="仿宋_GB2312" w:hAnsi="仿宋" w:eastAsia="仿宋_GB2312" w:cs="Arial"/>
          <w:kern w:val="0"/>
          <w:sz w:val="30"/>
          <w:szCs w:val="30"/>
        </w:rPr>
        <w:t>（3）办理保险</w:t>
      </w:r>
    </w:p>
    <w:p>
      <w:pPr>
        <w:snapToGrid w:val="0"/>
        <w:spacing w:line="560" w:lineRule="exact"/>
        <w:ind w:firstLine="600" w:firstLineChars="200"/>
        <w:rPr>
          <w:rFonts w:ascii="仿宋_GB2312" w:hAnsi="仿宋" w:eastAsia="仿宋_GB2312" w:cs="Arial"/>
          <w:kern w:val="0"/>
          <w:sz w:val="30"/>
          <w:szCs w:val="30"/>
        </w:rPr>
      </w:pPr>
      <w:r>
        <w:rPr>
          <w:rFonts w:hint="eastAsia" w:ascii="仿宋_GB2312" w:hAnsi="仿宋" w:eastAsia="仿宋_GB2312" w:cs="Arial"/>
          <w:kern w:val="0"/>
          <w:sz w:val="30"/>
          <w:szCs w:val="30"/>
        </w:rPr>
        <w:t>（4）支付尾款</w:t>
      </w:r>
    </w:p>
    <w:p>
      <w:pPr>
        <w:snapToGrid w:val="0"/>
        <w:spacing w:line="560" w:lineRule="exact"/>
        <w:ind w:firstLine="600" w:firstLineChars="200"/>
        <w:rPr>
          <w:rFonts w:ascii="仿宋_GB2312" w:hAnsi="仿宋" w:eastAsia="仿宋_GB2312" w:cs="Arial"/>
          <w:kern w:val="0"/>
          <w:sz w:val="30"/>
          <w:szCs w:val="30"/>
        </w:rPr>
      </w:pPr>
      <w:r>
        <w:rPr>
          <w:rFonts w:hint="eastAsia" w:ascii="仿宋_GB2312" w:hAnsi="仿宋" w:eastAsia="仿宋_GB2312" w:cs="Arial"/>
          <w:kern w:val="0"/>
          <w:sz w:val="30"/>
          <w:szCs w:val="30"/>
        </w:rPr>
        <w:t>（5）支付运费</w:t>
      </w:r>
    </w:p>
    <w:p>
      <w:pPr>
        <w:snapToGrid w:val="0"/>
        <w:spacing w:line="560" w:lineRule="exact"/>
        <w:ind w:firstLine="600" w:firstLineChars="200"/>
        <w:rPr>
          <w:rFonts w:ascii="仿宋_GB2312" w:hAnsi="仿宋" w:eastAsia="仿宋_GB2312" w:cs="Arial"/>
          <w:kern w:val="0"/>
          <w:sz w:val="30"/>
          <w:szCs w:val="30"/>
        </w:rPr>
      </w:pPr>
      <w:r>
        <w:rPr>
          <w:rFonts w:hint="eastAsia" w:ascii="仿宋_GB2312" w:hAnsi="仿宋" w:eastAsia="仿宋_GB2312" w:cs="Arial"/>
          <w:kern w:val="0"/>
          <w:sz w:val="30"/>
          <w:szCs w:val="30"/>
        </w:rPr>
        <w:t>（6）取提货单</w:t>
      </w:r>
    </w:p>
    <w:p>
      <w:pPr>
        <w:snapToGrid w:val="0"/>
        <w:spacing w:line="560" w:lineRule="exact"/>
        <w:ind w:firstLine="600" w:firstLineChars="200"/>
        <w:rPr>
          <w:rFonts w:ascii="仿宋_GB2312" w:hAnsi="仿宋" w:eastAsia="仿宋_GB2312" w:cs="Arial"/>
          <w:kern w:val="0"/>
          <w:sz w:val="30"/>
          <w:szCs w:val="30"/>
        </w:rPr>
      </w:pPr>
      <w:r>
        <w:rPr>
          <w:rFonts w:hint="eastAsia" w:ascii="仿宋_GB2312" w:hAnsi="仿宋" w:eastAsia="仿宋_GB2312" w:cs="Arial"/>
          <w:kern w:val="0"/>
          <w:sz w:val="30"/>
          <w:szCs w:val="30"/>
        </w:rPr>
        <w:t>（7）进口报检（根据商品监管条件判断是否需要办理）</w:t>
      </w:r>
    </w:p>
    <w:p>
      <w:pPr>
        <w:snapToGrid w:val="0"/>
        <w:spacing w:line="560" w:lineRule="exact"/>
        <w:ind w:firstLine="600" w:firstLineChars="200"/>
        <w:rPr>
          <w:rFonts w:ascii="仿宋_GB2312" w:hAnsi="仿宋" w:eastAsia="仿宋_GB2312" w:cs="Arial"/>
          <w:kern w:val="0"/>
          <w:sz w:val="30"/>
          <w:szCs w:val="30"/>
        </w:rPr>
      </w:pPr>
      <w:r>
        <w:rPr>
          <w:rFonts w:hint="eastAsia" w:ascii="仿宋_GB2312" w:hAnsi="仿宋" w:eastAsia="仿宋_GB2312" w:cs="Arial"/>
          <w:kern w:val="0"/>
          <w:sz w:val="30"/>
          <w:szCs w:val="30"/>
        </w:rPr>
        <w:t>（8）进口报关</w:t>
      </w:r>
    </w:p>
    <w:p>
      <w:pPr>
        <w:snapToGrid w:val="0"/>
        <w:spacing w:line="560" w:lineRule="exact"/>
        <w:ind w:firstLine="600" w:firstLineChars="200"/>
        <w:rPr>
          <w:rFonts w:ascii="仿宋_GB2312" w:hAnsi="仿宋" w:eastAsia="仿宋_GB2312" w:cs="Arial"/>
          <w:kern w:val="0"/>
          <w:sz w:val="30"/>
          <w:szCs w:val="30"/>
        </w:rPr>
      </w:pPr>
      <w:r>
        <w:rPr>
          <w:rFonts w:hint="eastAsia" w:ascii="仿宋_GB2312" w:hAnsi="仿宋" w:eastAsia="仿宋_GB2312" w:cs="Arial"/>
          <w:kern w:val="0"/>
          <w:sz w:val="30"/>
          <w:szCs w:val="30"/>
        </w:rPr>
        <w:t>（9）缴税</w:t>
      </w:r>
    </w:p>
    <w:p>
      <w:pPr>
        <w:snapToGrid w:val="0"/>
        <w:spacing w:line="560" w:lineRule="exact"/>
        <w:ind w:firstLine="600" w:firstLineChars="200"/>
        <w:rPr>
          <w:rFonts w:ascii="仿宋_GB2312" w:hAnsi="仿宋" w:eastAsia="仿宋_GB2312" w:cs="Arial"/>
          <w:kern w:val="0"/>
          <w:sz w:val="30"/>
          <w:szCs w:val="30"/>
        </w:rPr>
      </w:pPr>
      <w:r>
        <w:rPr>
          <w:rFonts w:hint="eastAsia" w:ascii="仿宋_GB2312" w:hAnsi="仿宋" w:eastAsia="仿宋_GB2312" w:cs="Arial"/>
          <w:kern w:val="0"/>
          <w:sz w:val="30"/>
          <w:szCs w:val="30"/>
        </w:rPr>
        <w:t>（10）提货</w:t>
      </w:r>
    </w:p>
    <w:p>
      <w:pPr>
        <w:snapToGrid w:val="0"/>
        <w:spacing w:line="560" w:lineRule="exact"/>
        <w:ind w:firstLine="600" w:firstLineChars="200"/>
        <w:rPr>
          <w:rFonts w:ascii="仿宋_GB2312" w:hAnsi="仿宋" w:eastAsia="仿宋_GB2312" w:cs="Arial"/>
          <w:kern w:val="0"/>
          <w:sz w:val="30"/>
          <w:szCs w:val="30"/>
        </w:rPr>
      </w:pPr>
      <w:r>
        <w:rPr>
          <w:rFonts w:hint="eastAsia" w:ascii="仿宋_GB2312" w:hAnsi="仿宋" w:eastAsia="仿宋_GB2312" w:cs="Arial"/>
          <w:kern w:val="0"/>
          <w:sz w:val="30"/>
          <w:szCs w:val="30"/>
        </w:rPr>
        <w:t>（11）外汇监测系统网上申报</w:t>
      </w:r>
    </w:p>
    <w:p>
      <w:pPr>
        <w:snapToGrid w:val="0"/>
        <w:spacing w:line="560" w:lineRule="exact"/>
        <w:ind w:firstLine="600" w:firstLineChars="200"/>
        <w:rPr>
          <w:rFonts w:ascii="仿宋_GB2312" w:hAnsi="仿宋" w:eastAsia="仿宋_GB2312" w:cs="Arial"/>
          <w:kern w:val="0"/>
          <w:sz w:val="30"/>
          <w:szCs w:val="30"/>
        </w:rPr>
      </w:pPr>
      <w:r>
        <w:rPr>
          <w:rFonts w:hint="eastAsia" w:ascii="仿宋_GB2312" w:hAnsi="仿宋" w:eastAsia="仿宋_GB2312" w:cs="Arial"/>
          <w:kern w:val="0"/>
          <w:sz w:val="30"/>
          <w:szCs w:val="30"/>
        </w:rPr>
        <w:t>（三）外贸单证模板</w:t>
      </w:r>
    </w:p>
    <w:p>
      <w:pPr>
        <w:snapToGrid w:val="0"/>
        <w:spacing w:line="560" w:lineRule="exact"/>
        <w:ind w:firstLine="600" w:firstLineChars="200"/>
        <w:rPr>
          <w:rFonts w:ascii="仿宋_GB2312" w:hAnsi="仿宋" w:eastAsia="仿宋_GB2312" w:cs="Arial"/>
          <w:kern w:val="0"/>
          <w:sz w:val="30"/>
          <w:szCs w:val="30"/>
        </w:rPr>
      </w:pPr>
      <w:r>
        <w:rPr>
          <w:rFonts w:hint="eastAsia" w:ascii="仿宋_GB2312" w:hAnsi="仿宋" w:eastAsia="仿宋_GB2312" w:cs="Arial"/>
          <w:kern w:val="0"/>
          <w:sz w:val="30"/>
          <w:szCs w:val="30"/>
        </w:rPr>
        <w:t>1.出口单证模板</w:t>
      </w:r>
    </w:p>
    <w:p>
      <w:pPr>
        <w:snapToGrid w:val="0"/>
        <w:spacing w:line="560" w:lineRule="exact"/>
        <w:ind w:firstLine="600" w:firstLineChars="200"/>
        <w:rPr>
          <w:rFonts w:ascii="仿宋_GB2312" w:hAnsi="仿宋" w:eastAsia="仿宋_GB2312" w:cs="Arial"/>
          <w:kern w:val="0"/>
          <w:sz w:val="30"/>
          <w:szCs w:val="30"/>
        </w:rPr>
      </w:pPr>
      <w:r>
        <w:rPr>
          <w:rFonts w:hint="eastAsia" w:ascii="仿宋_GB2312" w:hAnsi="仿宋" w:eastAsia="仿宋_GB2312" w:cs="Arial"/>
          <w:kern w:val="0"/>
          <w:sz w:val="30"/>
          <w:szCs w:val="30"/>
        </w:rPr>
        <w:t>（1）商业发票</w:t>
      </w:r>
    </w:p>
    <w:p>
      <w:pPr>
        <w:snapToGrid w:val="0"/>
        <w:rPr>
          <w:rFonts w:ascii="仿宋_GB2312" w:hAnsi="仿宋" w:eastAsia="仿宋_GB2312" w:cs="Arial"/>
          <w:kern w:val="0"/>
          <w:sz w:val="30"/>
          <w:szCs w:val="30"/>
        </w:rPr>
      </w:pPr>
      <w:r>
        <w:rPr>
          <w:bdr w:val="single" w:color="auto" w:sz="4" w:space="0"/>
        </w:rPr>
        <w:drawing>
          <wp:inline distT="0" distB="0" distL="0" distR="0">
            <wp:extent cx="5274310" cy="3961130"/>
            <wp:effectExtent l="19050" t="0" r="2540" b="0"/>
            <wp:docPr id="15" name="图片 1" descr="发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descr="发票"/>
                    <pic:cNvPicPr>
                      <a:picLocks noChangeAspect="1" noChangeArrowheads="1"/>
                    </pic:cNvPicPr>
                  </pic:nvPicPr>
                  <pic:blipFill>
                    <a:blip r:embed="rId14"/>
                    <a:srcRect/>
                    <a:stretch>
                      <a:fillRect/>
                    </a:stretch>
                  </pic:blipFill>
                  <pic:spPr>
                    <a:xfrm>
                      <a:off x="0" y="0"/>
                      <a:ext cx="5274310" cy="3961634"/>
                    </a:xfrm>
                    <a:prstGeom prst="rect">
                      <a:avLst/>
                    </a:prstGeom>
                    <a:noFill/>
                    <a:ln w="9525">
                      <a:noFill/>
                      <a:miter lim="800000"/>
                      <a:headEnd/>
                      <a:tailEnd/>
                    </a:ln>
                  </pic:spPr>
                </pic:pic>
              </a:graphicData>
            </a:graphic>
          </wp:inline>
        </w:drawing>
      </w:r>
    </w:p>
    <w:p>
      <w:pPr>
        <w:snapToGrid w:val="0"/>
        <w:ind w:firstLine="585"/>
        <w:rPr>
          <w:rFonts w:ascii="仿宋_GB2312" w:hAnsi="仿宋" w:eastAsia="仿宋_GB2312" w:cs="Arial"/>
          <w:kern w:val="0"/>
          <w:sz w:val="30"/>
          <w:szCs w:val="30"/>
        </w:rPr>
      </w:pPr>
    </w:p>
    <w:p>
      <w:pPr>
        <w:snapToGrid w:val="0"/>
        <w:ind w:firstLine="585"/>
        <w:rPr>
          <w:rFonts w:ascii="仿宋_GB2312" w:hAnsi="仿宋" w:eastAsia="仿宋_GB2312" w:cs="Arial"/>
          <w:kern w:val="0"/>
          <w:sz w:val="30"/>
          <w:szCs w:val="30"/>
        </w:rPr>
      </w:pPr>
    </w:p>
    <w:p>
      <w:pPr>
        <w:snapToGrid w:val="0"/>
        <w:ind w:firstLine="585"/>
        <w:rPr>
          <w:rFonts w:ascii="仿宋_GB2312" w:hAnsi="仿宋" w:eastAsia="仿宋_GB2312" w:cs="Arial"/>
          <w:kern w:val="0"/>
          <w:sz w:val="30"/>
          <w:szCs w:val="30"/>
        </w:rPr>
      </w:pPr>
    </w:p>
    <w:p>
      <w:pPr>
        <w:snapToGrid w:val="0"/>
        <w:ind w:firstLine="585"/>
        <w:rPr>
          <w:rFonts w:ascii="仿宋_GB2312" w:hAnsi="仿宋" w:eastAsia="仿宋_GB2312" w:cs="Arial"/>
          <w:kern w:val="0"/>
          <w:sz w:val="30"/>
          <w:szCs w:val="30"/>
        </w:rPr>
      </w:pPr>
    </w:p>
    <w:p>
      <w:pPr>
        <w:snapToGrid w:val="0"/>
        <w:ind w:firstLine="585"/>
        <w:rPr>
          <w:rFonts w:ascii="仿宋_GB2312" w:hAnsi="仿宋" w:eastAsia="仿宋_GB2312" w:cs="Arial"/>
          <w:kern w:val="0"/>
          <w:sz w:val="30"/>
          <w:szCs w:val="30"/>
        </w:rPr>
      </w:pPr>
    </w:p>
    <w:p>
      <w:pPr>
        <w:snapToGrid w:val="0"/>
        <w:ind w:firstLine="585"/>
        <w:rPr>
          <w:rFonts w:ascii="仿宋_GB2312" w:hAnsi="仿宋" w:eastAsia="仿宋_GB2312" w:cs="Arial"/>
          <w:kern w:val="0"/>
          <w:sz w:val="30"/>
          <w:szCs w:val="30"/>
        </w:rPr>
      </w:pPr>
      <w:r>
        <w:rPr>
          <w:rFonts w:hint="eastAsia" w:ascii="仿宋_GB2312" w:hAnsi="仿宋" w:eastAsia="仿宋_GB2312" w:cs="Arial"/>
          <w:kern w:val="0"/>
          <w:sz w:val="30"/>
          <w:szCs w:val="30"/>
        </w:rPr>
        <w:t>（2）装箱单</w:t>
      </w:r>
    </w:p>
    <w:p>
      <w:pPr>
        <w:snapToGrid w:val="0"/>
        <w:ind w:firstLine="585"/>
        <w:rPr>
          <w:rFonts w:ascii="仿宋_GB2312" w:hAnsi="仿宋" w:eastAsia="仿宋_GB2312" w:cs="Arial"/>
          <w:kern w:val="0"/>
          <w:sz w:val="30"/>
          <w:szCs w:val="30"/>
        </w:rPr>
      </w:pPr>
    </w:p>
    <w:p>
      <w:pPr>
        <w:snapToGrid w:val="0"/>
        <w:rPr>
          <w:rFonts w:ascii="仿宋_GB2312" w:hAnsi="仿宋" w:eastAsia="仿宋_GB2312" w:cs="Arial"/>
          <w:kern w:val="0"/>
          <w:sz w:val="30"/>
          <w:szCs w:val="30"/>
        </w:rPr>
      </w:pPr>
      <w:r>
        <w:rPr>
          <w:rFonts w:ascii="宋体" w:hAnsi="宋体"/>
          <w:szCs w:val="21"/>
          <w:bdr w:val="single" w:color="auto" w:sz="4" w:space="0"/>
        </w:rPr>
        <w:drawing>
          <wp:inline distT="0" distB="0" distL="0" distR="0">
            <wp:extent cx="5274310" cy="3860165"/>
            <wp:effectExtent l="19050" t="0" r="2540" b="0"/>
            <wp:docPr id="18" name="图片 2" descr="装箱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 descr="装箱单"/>
                    <pic:cNvPicPr>
                      <a:picLocks noChangeAspect="1" noChangeArrowheads="1"/>
                    </pic:cNvPicPr>
                  </pic:nvPicPr>
                  <pic:blipFill>
                    <a:blip r:embed="rId15"/>
                    <a:srcRect/>
                    <a:stretch>
                      <a:fillRect/>
                    </a:stretch>
                  </pic:blipFill>
                  <pic:spPr>
                    <a:xfrm>
                      <a:off x="0" y="0"/>
                      <a:ext cx="5274310" cy="3860430"/>
                    </a:xfrm>
                    <a:prstGeom prst="rect">
                      <a:avLst/>
                    </a:prstGeom>
                    <a:noFill/>
                    <a:ln w="9525">
                      <a:noFill/>
                      <a:miter lim="800000"/>
                      <a:headEnd/>
                      <a:tailEnd/>
                    </a:ln>
                  </pic:spPr>
                </pic:pic>
              </a:graphicData>
            </a:graphic>
          </wp:inline>
        </w:drawing>
      </w:r>
    </w:p>
    <w:p>
      <w:pPr>
        <w:widowControl/>
        <w:jc w:val="left"/>
        <w:rPr>
          <w:rFonts w:ascii="仿宋_GB2312" w:hAnsi="仿宋" w:eastAsia="仿宋_GB2312" w:cs="Arial"/>
          <w:kern w:val="0"/>
          <w:sz w:val="30"/>
          <w:szCs w:val="30"/>
        </w:rPr>
      </w:pPr>
      <w:r>
        <w:rPr>
          <w:rFonts w:ascii="仿宋_GB2312" w:hAnsi="仿宋" w:eastAsia="仿宋_GB2312" w:cs="Arial"/>
          <w:kern w:val="0"/>
          <w:sz w:val="30"/>
          <w:szCs w:val="30"/>
        </w:rPr>
        <w:br w:type="page"/>
      </w:r>
    </w:p>
    <w:p>
      <w:pPr>
        <w:snapToGrid w:val="0"/>
        <w:spacing w:line="560" w:lineRule="exact"/>
        <w:ind w:firstLine="600" w:firstLineChars="200"/>
        <w:rPr>
          <w:rFonts w:ascii="仿宋_GB2312" w:hAnsi="仿宋" w:eastAsia="仿宋_GB2312" w:cs="Arial"/>
          <w:kern w:val="0"/>
          <w:sz w:val="30"/>
          <w:szCs w:val="30"/>
        </w:rPr>
      </w:pPr>
      <w:r>
        <w:rPr>
          <w:rFonts w:hint="eastAsia" w:ascii="仿宋_GB2312" w:hAnsi="仿宋" w:eastAsia="仿宋_GB2312" w:cs="Arial"/>
          <w:kern w:val="0"/>
          <w:sz w:val="30"/>
          <w:szCs w:val="30"/>
        </w:rPr>
        <w:t>（3）国际海运委托书</w:t>
      </w:r>
    </w:p>
    <w:p>
      <w:pPr>
        <w:snapToGrid w:val="0"/>
        <w:spacing w:line="560" w:lineRule="exact"/>
        <w:ind w:firstLine="600" w:firstLineChars="200"/>
        <w:rPr>
          <w:rFonts w:ascii="仿宋_GB2312" w:hAnsi="仿宋" w:eastAsia="仿宋_GB2312" w:cs="Arial"/>
          <w:kern w:val="0"/>
          <w:sz w:val="30"/>
          <w:szCs w:val="30"/>
        </w:rPr>
      </w:pPr>
    </w:p>
    <w:p>
      <w:pPr>
        <w:snapToGrid w:val="0"/>
        <w:rPr>
          <w:rFonts w:ascii="仿宋_GB2312" w:hAnsi="仿宋" w:eastAsia="仿宋_GB2312" w:cs="Arial"/>
          <w:kern w:val="0"/>
          <w:sz w:val="30"/>
          <w:szCs w:val="30"/>
        </w:rPr>
      </w:pPr>
      <w:r>
        <w:rPr>
          <w:rFonts w:ascii="宋体" w:hAnsi="宋体"/>
          <w:szCs w:val="21"/>
          <w:bdr w:val="single" w:color="auto" w:sz="4" w:space="0"/>
        </w:rPr>
        <w:drawing>
          <wp:inline distT="0" distB="0" distL="0" distR="0">
            <wp:extent cx="5274310" cy="6282690"/>
            <wp:effectExtent l="19050" t="0" r="2540" b="0"/>
            <wp:docPr id="21" name="图片 3" descr="海运委托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3" descr="海运委托书"/>
                    <pic:cNvPicPr>
                      <a:picLocks noChangeAspect="1" noChangeArrowheads="1"/>
                    </pic:cNvPicPr>
                  </pic:nvPicPr>
                  <pic:blipFill>
                    <a:blip r:embed="rId16"/>
                    <a:srcRect/>
                    <a:stretch>
                      <a:fillRect/>
                    </a:stretch>
                  </pic:blipFill>
                  <pic:spPr>
                    <a:xfrm>
                      <a:off x="0" y="0"/>
                      <a:ext cx="5274310" cy="6282807"/>
                    </a:xfrm>
                    <a:prstGeom prst="rect">
                      <a:avLst/>
                    </a:prstGeom>
                    <a:noFill/>
                    <a:ln w="9525">
                      <a:noFill/>
                      <a:miter lim="800000"/>
                      <a:headEnd/>
                      <a:tailEnd/>
                    </a:ln>
                  </pic:spPr>
                </pic:pic>
              </a:graphicData>
            </a:graphic>
          </wp:inline>
        </w:drawing>
      </w:r>
    </w:p>
    <w:p>
      <w:pPr>
        <w:widowControl/>
        <w:jc w:val="left"/>
        <w:rPr>
          <w:rFonts w:ascii="仿宋_GB2312" w:hAnsi="仿宋" w:eastAsia="仿宋_GB2312" w:cs="Arial"/>
          <w:kern w:val="0"/>
          <w:sz w:val="30"/>
          <w:szCs w:val="30"/>
        </w:rPr>
      </w:pPr>
      <w:r>
        <w:rPr>
          <w:rFonts w:ascii="仿宋_GB2312" w:hAnsi="仿宋" w:eastAsia="仿宋_GB2312" w:cs="Arial"/>
          <w:kern w:val="0"/>
          <w:sz w:val="30"/>
          <w:szCs w:val="30"/>
        </w:rPr>
        <w:br w:type="page"/>
      </w:r>
    </w:p>
    <w:p>
      <w:pPr>
        <w:snapToGrid w:val="0"/>
        <w:ind w:firstLine="585"/>
        <w:rPr>
          <w:rFonts w:ascii="仿宋_GB2312" w:hAnsi="仿宋" w:eastAsia="仿宋_GB2312" w:cs="Arial"/>
          <w:kern w:val="0"/>
          <w:sz w:val="30"/>
          <w:szCs w:val="30"/>
        </w:rPr>
      </w:pPr>
      <w:r>
        <w:rPr>
          <w:rFonts w:hint="eastAsia" w:ascii="仿宋_GB2312" w:hAnsi="仿宋" w:eastAsia="仿宋_GB2312" w:cs="Arial"/>
          <w:kern w:val="0"/>
          <w:sz w:val="30"/>
          <w:szCs w:val="30"/>
        </w:rPr>
        <w:t>（4）出境货物报检单</w:t>
      </w:r>
    </w:p>
    <w:p>
      <w:pPr>
        <w:snapToGrid w:val="0"/>
        <w:rPr>
          <w:rFonts w:ascii="仿宋_GB2312" w:hAnsi="仿宋" w:eastAsia="仿宋_GB2312" w:cs="Arial"/>
          <w:kern w:val="0"/>
          <w:sz w:val="30"/>
          <w:szCs w:val="30"/>
        </w:rPr>
      </w:pPr>
    </w:p>
    <w:p>
      <w:pPr>
        <w:snapToGrid w:val="0"/>
        <w:rPr>
          <w:rFonts w:ascii="仿宋_GB2312" w:hAnsi="仿宋" w:eastAsia="仿宋_GB2312" w:cs="Arial"/>
          <w:kern w:val="0"/>
          <w:sz w:val="30"/>
          <w:szCs w:val="30"/>
        </w:rPr>
      </w:pPr>
      <w:r>
        <w:rPr>
          <w:rFonts w:ascii="宋体" w:hAnsi="宋体"/>
          <w:szCs w:val="21"/>
          <w:bdr w:val="single" w:color="auto" w:sz="4" w:space="0"/>
        </w:rPr>
        <w:drawing>
          <wp:inline distT="0" distB="0" distL="0" distR="0">
            <wp:extent cx="5272405" cy="6709410"/>
            <wp:effectExtent l="19050" t="0" r="4445" b="0"/>
            <wp:docPr id="8"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4"/>
                    <pic:cNvPicPr>
                      <a:picLocks noChangeAspect="1" noChangeArrowheads="1"/>
                    </pic:cNvPicPr>
                  </pic:nvPicPr>
                  <pic:blipFill>
                    <a:blip r:embed="rId17"/>
                    <a:srcRect/>
                    <a:stretch>
                      <a:fillRect/>
                    </a:stretch>
                  </pic:blipFill>
                  <pic:spPr>
                    <a:xfrm>
                      <a:off x="0" y="0"/>
                      <a:ext cx="5272405" cy="6709410"/>
                    </a:xfrm>
                    <a:prstGeom prst="rect">
                      <a:avLst/>
                    </a:prstGeom>
                    <a:noFill/>
                    <a:ln w="9525">
                      <a:noFill/>
                      <a:miter lim="800000"/>
                      <a:headEnd/>
                      <a:tailEnd/>
                    </a:ln>
                  </pic:spPr>
                </pic:pic>
              </a:graphicData>
            </a:graphic>
          </wp:inline>
        </w:drawing>
      </w:r>
    </w:p>
    <w:p>
      <w:pPr>
        <w:widowControl/>
        <w:jc w:val="left"/>
        <w:rPr>
          <w:rFonts w:ascii="仿宋_GB2312" w:hAnsi="仿宋" w:eastAsia="仿宋_GB2312" w:cs="Arial"/>
          <w:kern w:val="0"/>
          <w:sz w:val="30"/>
          <w:szCs w:val="30"/>
        </w:rPr>
      </w:pPr>
      <w:r>
        <w:rPr>
          <w:rFonts w:ascii="仿宋_GB2312" w:hAnsi="仿宋" w:eastAsia="仿宋_GB2312" w:cs="Arial"/>
          <w:kern w:val="0"/>
          <w:sz w:val="30"/>
          <w:szCs w:val="30"/>
        </w:rPr>
        <w:br w:type="page"/>
      </w:r>
    </w:p>
    <w:p>
      <w:pPr>
        <w:snapToGrid w:val="0"/>
        <w:ind w:firstLine="585"/>
        <w:rPr>
          <w:rFonts w:ascii="仿宋_GB2312" w:hAnsi="仿宋" w:eastAsia="仿宋_GB2312" w:cs="Arial"/>
          <w:kern w:val="0"/>
          <w:sz w:val="30"/>
          <w:szCs w:val="30"/>
        </w:rPr>
      </w:pPr>
      <w:r>
        <w:rPr>
          <w:rFonts w:hint="eastAsia" w:ascii="仿宋_GB2312" w:hAnsi="仿宋" w:eastAsia="仿宋_GB2312" w:cs="Arial"/>
          <w:kern w:val="0"/>
          <w:sz w:val="30"/>
          <w:szCs w:val="30"/>
        </w:rPr>
        <w:t>（5）一般原产地证/普惠制产地证</w:t>
      </w:r>
    </w:p>
    <w:p>
      <w:pPr>
        <w:snapToGrid w:val="0"/>
        <w:rPr>
          <w:rFonts w:ascii="仿宋_GB2312" w:hAnsi="仿宋" w:eastAsia="仿宋_GB2312" w:cs="Arial"/>
          <w:kern w:val="0"/>
          <w:sz w:val="30"/>
          <w:szCs w:val="30"/>
        </w:rPr>
      </w:pPr>
    </w:p>
    <w:p>
      <w:pPr>
        <w:snapToGrid w:val="0"/>
        <w:rPr>
          <w:rFonts w:ascii="仿宋_GB2312" w:hAnsi="仿宋" w:eastAsia="仿宋_GB2312" w:cs="Arial"/>
          <w:kern w:val="0"/>
          <w:sz w:val="30"/>
          <w:szCs w:val="30"/>
        </w:rPr>
      </w:pPr>
      <w:r>
        <w:rPr>
          <w:rFonts w:ascii="宋体" w:hAnsi="宋体"/>
          <w:szCs w:val="21"/>
          <w:bdr w:val="single" w:color="auto" w:sz="4" w:space="0"/>
        </w:rPr>
        <w:drawing>
          <wp:inline distT="0" distB="0" distL="0" distR="0">
            <wp:extent cx="5274310" cy="6873875"/>
            <wp:effectExtent l="19050" t="0" r="2540" b="0"/>
            <wp:docPr id="10" name="图片 5" descr="一般原产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descr="一般原产地"/>
                    <pic:cNvPicPr>
                      <a:picLocks noChangeAspect="1" noChangeArrowheads="1"/>
                    </pic:cNvPicPr>
                  </pic:nvPicPr>
                  <pic:blipFill>
                    <a:blip r:embed="rId18"/>
                    <a:srcRect/>
                    <a:stretch>
                      <a:fillRect/>
                    </a:stretch>
                  </pic:blipFill>
                  <pic:spPr>
                    <a:xfrm>
                      <a:off x="0" y="0"/>
                      <a:ext cx="5274310" cy="6874145"/>
                    </a:xfrm>
                    <a:prstGeom prst="rect">
                      <a:avLst/>
                    </a:prstGeom>
                    <a:noFill/>
                    <a:ln w="9525">
                      <a:noFill/>
                      <a:miter lim="800000"/>
                      <a:headEnd/>
                      <a:tailEnd/>
                    </a:ln>
                  </pic:spPr>
                </pic:pic>
              </a:graphicData>
            </a:graphic>
          </wp:inline>
        </w:drawing>
      </w:r>
    </w:p>
    <w:p>
      <w:pPr>
        <w:widowControl/>
        <w:jc w:val="left"/>
        <w:rPr>
          <w:rFonts w:ascii="仿宋_GB2312" w:hAnsi="仿宋" w:eastAsia="仿宋_GB2312" w:cs="Arial"/>
          <w:kern w:val="0"/>
          <w:sz w:val="30"/>
          <w:szCs w:val="30"/>
        </w:rPr>
      </w:pPr>
      <w:r>
        <w:rPr>
          <w:rFonts w:ascii="仿宋_GB2312" w:hAnsi="仿宋" w:eastAsia="仿宋_GB2312" w:cs="Arial"/>
          <w:kern w:val="0"/>
          <w:sz w:val="30"/>
          <w:szCs w:val="30"/>
        </w:rPr>
        <w:br w:type="page"/>
      </w:r>
    </w:p>
    <w:p>
      <w:pPr>
        <w:widowControl/>
        <w:jc w:val="left"/>
        <w:rPr>
          <w:rFonts w:ascii="仿宋_GB2312" w:hAnsi="仿宋" w:eastAsia="仿宋_GB2312" w:cs="Arial"/>
          <w:kern w:val="0"/>
          <w:sz w:val="30"/>
          <w:szCs w:val="30"/>
        </w:rPr>
      </w:pPr>
    </w:p>
    <w:p>
      <w:pPr>
        <w:snapToGrid w:val="0"/>
        <w:rPr>
          <w:rFonts w:ascii="仿宋_GB2312" w:hAnsi="仿宋" w:eastAsia="仿宋_GB2312" w:cs="Arial"/>
          <w:kern w:val="0"/>
          <w:sz w:val="30"/>
          <w:szCs w:val="30"/>
        </w:rPr>
      </w:pPr>
      <w:r>
        <w:rPr>
          <w:rFonts w:ascii="宋体" w:hAnsi="宋体"/>
          <w:szCs w:val="21"/>
          <w:bdr w:val="single" w:color="auto" w:sz="4" w:space="0"/>
        </w:rPr>
        <w:drawing>
          <wp:inline distT="0" distB="0" distL="0" distR="0">
            <wp:extent cx="5274310" cy="6502400"/>
            <wp:effectExtent l="19050" t="0" r="2540" b="0"/>
            <wp:docPr id="30" name="图片 6" descr="普惠制产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6" descr="普惠制产地"/>
                    <pic:cNvPicPr>
                      <a:picLocks noChangeAspect="1" noChangeArrowheads="1"/>
                    </pic:cNvPicPr>
                  </pic:nvPicPr>
                  <pic:blipFill>
                    <a:blip r:embed="rId19"/>
                    <a:srcRect/>
                    <a:stretch>
                      <a:fillRect/>
                    </a:stretch>
                  </pic:blipFill>
                  <pic:spPr>
                    <a:xfrm>
                      <a:off x="0" y="0"/>
                      <a:ext cx="5274310" cy="6502854"/>
                    </a:xfrm>
                    <a:prstGeom prst="rect">
                      <a:avLst/>
                    </a:prstGeom>
                    <a:noFill/>
                    <a:ln w="9525">
                      <a:noFill/>
                      <a:miter lim="800000"/>
                      <a:headEnd/>
                      <a:tailEnd/>
                    </a:ln>
                  </pic:spPr>
                </pic:pic>
              </a:graphicData>
            </a:graphic>
          </wp:inline>
        </w:drawing>
      </w:r>
      <w:r>
        <w:rPr>
          <w:rFonts w:hint="eastAsia" w:ascii="仿宋_GB2312" w:hAnsi="仿宋" w:eastAsia="仿宋_GB2312" w:cs="Arial"/>
          <w:kern w:val="0"/>
          <w:sz w:val="30"/>
          <w:szCs w:val="30"/>
        </w:rPr>
        <w:t xml:space="preserve">    </w:t>
      </w:r>
    </w:p>
    <w:p>
      <w:pPr>
        <w:widowControl/>
        <w:jc w:val="left"/>
        <w:rPr>
          <w:rFonts w:ascii="仿宋_GB2312" w:hAnsi="仿宋" w:eastAsia="仿宋_GB2312" w:cs="Arial"/>
          <w:kern w:val="0"/>
          <w:sz w:val="30"/>
          <w:szCs w:val="30"/>
        </w:rPr>
      </w:pPr>
      <w:r>
        <w:rPr>
          <w:rFonts w:ascii="仿宋_GB2312" w:hAnsi="仿宋" w:eastAsia="仿宋_GB2312" w:cs="Arial"/>
          <w:kern w:val="0"/>
          <w:sz w:val="30"/>
          <w:szCs w:val="30"/>
        </w:rPr>
        <w:br w:type="page"/>
      </w:r>
    </w:p>
    <w:p>
      <w:pPr>
        <w:snapToGrid w:val="0"/>
        <w:ind w:firstLine="600" w:firstLineChars="200"/>
        <w:rPr>
          <w:rFonts w:ascii="仿宋_GB2312" w:hAnsi="仿宋" w:eastAsia="仿宋_GB2312" w:cs="Arial"/>
          <w:kern w:val="0"/>
          <w:sz w:val="30"/>
          <w:szCs w:val="30"/>
        </w:rPr>
      </w:pPr>
      <w:r>
        <w:rPr>
          <w:rFonts w:hint="eastAsia" w:ascii="仿宋_GB2312" w:hAnsi="仿宋" w:eastAsia="仿宋_GB2312" w:cs="Arial"/>
          <w:kern w:val="0"/>
          <w:sz w:val="30"/>
          <w:szCs w:val="30"/>
        </w:rPr>
        <w:t>（6）出口货物报关单</w:t>
      </w:r>
    </w:p>
    <w:p>
      <w:pPr>
        <w:snapToGrid w:val="0"/>
        <w:rPr>
          <w:rFonts w:ascii="仿宋_GB2312" w:hAnsi="仿宋" w:eastAsia="仿宋_GB2312" w:cs="Arial"/>
          <w:kern w:val="0"/>
          <w:sz w:val="30"/>
          <w:szCs w:val="30"/>
        </w:rPr>
      </w:pPr>
    </w:p>
    <w:p>
      <w:pPr>
        <w:snapToGrid w:val="0"/>
        <w:rPr>
          <w:rFonts w:ascii="仿宋_GB2312" w:hAnsi="仿宋" w:eastAsia="仿宋_GB2312" w:cs="Arial"/>
          <w:kern w:val="0"/>
          <w:sz w:val="30"/>
          <w:szCs w:val="30"/>
        </w:rPr>
      </w:pPr>
      <w:r>
        <w:rPr>
          <w:rFonts w:ascii="宋体" w:hAnsi="宋体"/>
          <w:szCs w:val="21"/>
          <w:bdr w:val="single" w:color="auto" w:sz="4" w:space="0"/>
        </w:rPr>
        <w:drawing>
          <wp:inline distT="0" distB="0" distL="0" distR="0">
            <wp:extent cx="5272405" cy="3170555"/>
            <wp:effectExtent l="19050" t="0" r="4445"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noChangeArrowheads="1"/>
                    </pic:cNvPicPr>
                  </pic:nvPicPr>
                  <pic:blipFill>
                    <a:blip r:embed="rId20"/>
                    <a:srcRect/>
                    <a:stretch>
                      <a:fillRect/>
                    </a:stretch>
                  </pic:blipFill>
                  <pic:spPr>
                    <a:xfrm>
                      <a:off x="0" y="0"/>
                      <a:ext cx="5272405" cy="3170555"/>
                    </a:xfrm>
                    <a:prstGeom prst="rect">
                      <a:avLst/>
                    </a:prstGeom>
                    <a:noFill/>
                    <a:ln w="9525">
                      <a:noFill/>
                      <a:miter lim="800000"/>
                      <a:headEnd/>
                      <a:tailEnd/>
                    </a:ln>
                  </pic:spPr>
                </pic:pic>
              </a:graphicData>
            </a:graphic>
          </wp:inline>
        </w:drawing>
      </w:r>
    </w:p>
    <w:p>
      <w:pPr>
        <w:widowControl/>
        <w:jc w:val="left"/>
        <w:rPr>
          <w:rFonts w:ascii="仿宋_GB2312" w:hAnsi="仿宋" w:eastAsia="仿宋_GB2312" w:cs="Arial"/>
          <w:kern w:val="0"/>
          <w:sz w:val="30"/>
          <w:szCs w:val="30"/>
        </w:rPr>
      </w:pPr>
      <w:r>
        <w:rPr>
          <w:rFonts w:ascii="仿宋_GB2312" w:hAnsi="仿宋" w:eastAsia="仿宋_GB2312" w:cs="Arial"/>
          <w:kern w:val="0"/>
          <w:sz w:val="30"/>
          <w:szCs w:val="30"/>
        </w:rPr>
        <w:br w:type="page"/>
      </w:r>
    </w:p>
    <w:p>
      <w:pPr>
        <w:snapToGrid w:val="0"/>
        <w:spacing w:line="560" w:lineRule="exact"/>
        <w:ind w:firstLine="585"/>
        <w:rPr>
          <w:rFonts w:ascii="仿宋_GB2312" w:hAnsi="仿宋" w:eastAsia="仿宋_GB2312" w:cs="Arial"/>
          <w:kern w:val="0"/>
          <w:sz w:val="30"/>
          <w:szCs w:val="30"/>
        </w:rPr>
      </w:pPr>
      <w:r>
        <w:rPr>
          <w:rFonts w:hint="eastAsia" w:ascii="仿宋_GB2312" w:hAnsi="仿宋" w:eastAsia="仿宋_GB2312" w:cs="Arial"/>
          <w:kern w:val="0"/>
          <w:sz w:val="30"/>
          <w:szCs w:val="30"/>
        </w:rPr>
        <w:t>2.进口单证模板</w:t>
      </w:r>
    </w:p>
    <w:p>
      <w:pPr>
        <w:snapToGrid w:val="0"/>
        <w:spacing w:line="560" w:lineRule="exact"/>
        <w:ind w:firstLine="585"/>
        <w:rPr>
          <w:rFonts w:ascii="仿宋_GB2312" w:hAnsi="仿宋" w:eastAsia="仿宋_GB2312" w:cs="Arial"/>
          <w:kern w:val="0"/>
          <w:sz w:val="30"/>
          <w:szCs w:val="30"/>
        </w:rPr>
      </w:pPr>
      <w:r>
        <w:rPr>
          <w:rFonts w:hint="eastAsia" w:ascii="仿宋_GB2312" w:hAnsi="仿宋" w:eastAsia="仿宋_GB2312" w:cs="Arial"/>
          <w:kern w:val="0"/>
          <w:sz w:val="30"/>
          <w:szCs w:val="30"/>
        </w:rPr>
        <w:t>（1）境外汇款申请书（支付定金）</w:t>
      </w:r>
    </w:p>
    <w:p>
      <w:pPr>
        <w:snapToGrid w:val="0"/>
        <w:rPr>
          <w:rFonts w:ascii="仿宋_GB2312" w:hAnsi="仿宋" w:eastAsia="仿宋_GB2312" w:cs="Arial"/>
          <w:kern w:val="0"/>
          <w:sz w:val="30"/>
          <w:szCs w:val="30"/>
        </w:rPr>
      </w:pPr>
      <w:r>
        <w:rPr>
          <w:rFonts w:ascii="宋体" w:hAnsi="宋体"/>
          <w:szCs w:val="21"/>
          <w:bdr w:val="single" w:color="auto" w:sz="4" w:space="0"/>
        </w:rPr>
        <w:drawing>
          <wp:inline distT="0" distB="0" distL="0" distR="0">
            <wp:extent cx="5074920" cy="7844790"/>
            <wp:effectExtent l="19050" t="0" r="0" b="0"/>
            <wp:docPr id="36" name="图片 50" descr="境外汇款申请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50" descr="境外汇款申请书"/>
                    <pic:cNvPicPr>
                      <a:picLocks noChangeAspect="1" noChangeArrowheads="1"/>
                    </pic:cNvPicPr>
                  </pic:nvPicPr>
                  <pic:blipFill>
                    <a:blip r:embed="rId21"/>
                    <a:srcRect/>
                    <a:stretch>
                      <a:fillRect/>
                    </a:stretch>
                  </pic:blipFill>
                  <pic:spPr>
                    <a:xfrm>
                      <a:off x="0" y="0"/>
                      <a:ext cx="5078418" cy="7849906"/>
                    </a:xfrm>
                    <a:prstGeom prst="rect">
                      <a:avLst/>
                    </a:prstGeom>
                    <a:noFill/>
                    <a:ln w="9525">
                      <a:noFill/>
                      <a:miter lim="800000"/>
                      <a:headEnd/>
                      <a:tailEnd/>
                    </a:ln>
                  </pic:spPr>
                </pic:pic>
              </a:graphicData>
            </a:graphic>
          </wp:inline>
        </w:drawing>
      </w:r>
    </w:p>
    <w:p>
      <w:pPr>
        <w:snapToGrid w:val="0"/>
        <w:rPr>
          <w:rFonts w:ascii="仿宋_GB2312" w:hAnsi="仿宋" w:eastAsia="仿宋_GB2312" w:cs="Arial"/>
          <w:kern w:val="0"/>
          <w:sz w:val="30"/>
          <w:szCs w:val="30"/>
        </w:rPr>
      </w:pPr>
    </w:p>
    <w:p>
      <w:pPr>
        <w:snapToGrid w:val="0"/>
        <w:ind w:firstLine="585"/>
        <w:rPr>
          <w:rFonts w:ascii="仿宋_GB2312" w:hAnsi="仿宋" w:eastAsia="仿宋_GB2312" w:cs="Arial"/>
          <w:kern w:val="0"/>
          <w:sz w:val="30"/>
          <w:szCs w:val="30"/>
        </w:rPr>
      </w:pPr>
      <w:r>
        <w:rPr>
          <w:rFonts w:hint="eastAsia" w:ascii="仿宋_GB2312" w:hAnsi="仿宋" w:eastAsia="仿宋_GB2312" w:cs="Arial"/>
          <w:kern w:val="0"/>
          <w:sz w:val="30"/>
          <w:szCs w:val="30"/>
        </w:rPr>
        <w:t>（2）投保单</w:t>
      </w:r>
    </w:p>
    <w:p>
      <w:pPr>
        <w:snapToGrid w:val="0"/>
        <w:ind w:firstLine="585"/>
        <w:rPr>
          <w:rFonts w:ascii="仿宋_GB2312" w:hAnsi="仿宋" w:eastAsia="仿宋_GB2312" w:cs="Arial"/>
          <w:kern w:val="0"/>
          <w:sz w:val="30"/>
          <w:szCs w:val="30"/>
        </w:rPr>
      </w:pPr>
    </w:p>
    <w:p>
      <w:pPr>
        <w:snapToGrid w:val="0"/>
        <w:rPr>
          <w:rFonts w:ascii="仿宋_GB2312" w:hAnsi="仿宋" w:eastAsia="仿宋_GB2312" w:cs="Arial"/>
          <w:kern w:val="0"/>
          <w:sz w:val="30"/>
          <w:szCs w:val="30"/>
        </w:rPr>
      </w:pPr>
      <w:r>
        <w:rPr>
          <w:rFonts w:ascii="宋体" w:hAnsi="宋体"/>
          <w:szCs w:val="21"/>
          <w:bdr w:val="single" w:color="auto" w:sz="4" w:space="0"/>
        </w:rPr>
        <w:drawing>
          <wp:inline distT="0" distB="0" distL="0" distR="0">
            <wp:extent cx="4880610" cy="7350760"/>
            <wp:effectExtent l="19050" t="0" r="0" b="0"/>
            <wp:docPr id="39" name="图片 1" descr="tb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 descr="tbd.png"/>
                    <pic:cNvPicPr>
                      <a:picLocks noChangeAspect="1" noChangeArrowheads="1"/>
                    </pic:cNvPicPr>
                  </pic:nvPicPr>
                  <pic:blipFill>
                    <a:blip r:embed="rId22"/>
                    <a:srcRect/>
                    <a:stretch>
                      <a:fillRect/>
                    </a:stretch>
                  </pic:blipFill>
                  <pic:spPr>
                    <a:xfrm>
                      <a:off x="0" y="0"/>
                      <a:ext cx="4880610" cy="7350760"/>
                    </a:xfrm>
                    <a:prstGeom prst="rect">
                      <a:avLst/>
                    </a:prstGeom>
                    <a:noFill/>
                    <a:ln w="9525">
                      <a:noFill/>
                      <a:miter lim="800000"/>
                      <a:headEnd/>
                      <a:tailEnd/>
                    </a:ln>
                  </pic:spPr>
                </pic:pic>
              </a:graphicData>
            </a:graphic>
          </wp:inline>
        </w:drawing>
      </w:r>
    </w:p>
    <w:p>
      <w:pPr>
        <w:widowControl/>
        <w:jc w:val="left"/>
        <w:rPr>
          <w:rFonts w:ascii="仿宋_GB2312" w:hAnsi="仿宋" w:eastAsia="仿宋_GB2312" w:cs="Arial"/>
          <w:kern w:val="0"/>
          <w:sz w:val="30"/>
          <w:szCs w:val="30"/>
        </w:rPr>
      </w:pPr>
      <w:r>
        <w:rPr>
          <w:rFonts w:ascii="仿宋_GB2312" w:hAnsi="仿宋" w:eastAsia="仿宋_GB2312" w:cs="Arial"/>
          <w:kern w:val="0"/>
          <w:sz w:val="30"/>
          <w:szCs w:val="30"/>
        </w:rPr>
        <w:br w:type="page"/>
      </w:r>
    </w:p>
    <w:p>
      <w:pPr>
        <w:snapToGrid w:val="0"/>
        <w:ind w:firstLine="585"/>
        <w:rPr>
          <w:rFonts w:ascii="仿宋_GB2312" w:hAnsi="仿宋" w:eastAsia="仿宋_GB2312" w:cs="Arial"/>
          <w:kern w:val="0"/>
          <w:sz w:val="30"/>
          <w:szCs w:val="30"/>
        </w:rPr>
      </w:pPr>
      <w:r>
        <w:rPr>
          <w:rFonts w:hint="eastAsia" w:ascii="仿宋_GB2312" w:hAnsi="仿宋" w:eastAsia="仿宋_GB2312" w:cs="Arial"/>
          <w:kern w:val="0"/>
          <w:sz w:val="30"/>
          <w:szCs w:val="30"/>
        </w:rPr>
        <w:t>（3）境外汇款申请书（支付尾款）</w:t>
      </w:r>
    </w:p>
    <w:p>
      <w:pPr>
        <w:snapToGrid w:val="0"/>
        <w:ind w:firstLine="585"/>
        <w:rPr>
          <w:rFonts w:ascii="仿宋_GB2312" w:hAnsi="仿宋" w:eastAsia="仿宋_GB2312" w:cs="Arial"/>
          <w:kern w:val="0"/>
          <w:sz w:val="30"/>
          <w:szCs w:val="30"/>
        </w:rPr>
      </w:pPr>
    </w:p>
    <w:p>
      <w:pPr>
        <w:snapToGrid w:val="0"/>
        <w:ind w:firstLine="585"/>
        <w:rPr>
          <w:rFonts w:ascii="仿宋_GB2312" w:hAnsi="仿宋" w:eastAsia="仿宋_GB2312" w:cs="Arial"/>
          <w:kern w:val="0"/>
          <w:sz w:val="30"/>
          <w:szCs w:val="30"/>
        </w:rPr>
      </w:pPr>
      <w:r>
        <w:rPr>
          <w:rFonts w:ascii="宋体" w:hAnsi="宋体"/>
          <w:szCs w:val="21"/>
          <w:bdr w:val="single" w:color="auto" w:sz="4" w:space="0"/>
        </w:rPr>
        <w:drawing>
          <wp:inline distT="0" distB="0" distL="0" distR="0">
            <wp:extent cx="5274310" cy="8185785"/>
            <wp:effectExtent l="19050" t="0" r="2540" b="0"/>
            <wp:docPr id="42" name="图片 52" descr="境外汇款申请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52" descr="境外汇款申请书"/>
                    <pic:cNvPicPr>
                      <a:picLocks noChangeAspect="1" noChangeArrowheads="1"/>
                    </pic:cNvPicPr>
                  </pic:nvPicPr>
                  <pic:blipFill>
                    <a:blip r:embed="rId21"/>
                    <a:srcRect/>
                    <a:stretch>
                      <a:fillRect/>
                    </a:stretch>
                  </pic:blipFill>
                  <pic:spPr>
                    <a:xfrm>
                      <a:off x="0" y="0"/>
                      <a:ext cx="5274310" cy="8185878"/>
                    </a:xfrm>
                    <a:prstGeom prst="rect">
                      <a:avLst/>
                    </a:prstGeom>
                    <a:noFill/>
                    <a:ln w="9525">
                      <a:noFill/>
                      <a:miter lim="800000"/>
                      <a:headEnd/>
                      <a:tailEnd/>
                    </a:ln>
                  </pic:spPr>
                </pic:pic>
              </a:graphicData>
            </a:graphic>
          </wp:inline>
        </w:drawing>
      </w:r>
    </w:p>
    <w:p>
      <w:pPr>
        <w:snapToGrid w:val="0"/>
        <w:ind w:firstLine="585"/>
        <w:rPr>
          <w:rFonts w:ascii="仿宋_GB2312" w:hAnsi="仿宋" w:eastAsia="仿宋_GB2312" w:cs="Arial"/>
          <w:kern w:val="0"/>
          <w:sz w:val="30"/>
          <w:szCs w:val="30"/>
        </w:rPr>
      </w:pPr>
      <w:r>
        <w:rPr>
          <w:rFonts w:hint="eastAsia" w:ascii="仿宋_GB2312" w:hAnsi="仿宋" w:eastAsia="仿宋_GB2312" w:cs="Arial"/>
          <w:kern w:val="0"/>
          <w:sz w:val="30"/>
          <w:szCs w:val="30"/>
        </w:rPr>
        <w:t>（4）境内汇款申请书</w:t>
      </w:r>
    </w:p>
    <w:p>
      <w:pPr>
        <w:snapToGrid w:val="0"/>
        <w:rPr>
          <w:rFonts w:ascii="仿宋_GB2312" w:hAnsi="仿宋" w:eastAsia="仿宋_GB2312" w:cs="Arial"/>
          <w:kern w:val="0"/>
          <w:sz w:val="30"/>
          <w:szCs w:val="30"/>
        </w:rPr>
      </w:pPr>
    </w:p>
    <w:p>
      <w:pPr>
        <w:snapToGrid w:val="0"/>
        <w:rPr>
          <w:rFonts w:ascii="仿宋_GB2312" w:hAnsi="仿宋" w:eastAsia="仿宋_GB2312" w:cs="Arial"/>
          <w:kern w:val="0"/>
          <w:sz w:val="30"/>
          <w:szCs w:val="30"/>
        </w:rPr>
      </w:pPr>
      <w:r>
        <w:rPr>
          <w:rFonts w:ascii="宋体" w:hAnsi="宋体"/>
          <w:szCs w:val="21"/>
          <w:bdr w:val="single" w:color="auto" w:sz="4" w:space="0"/>
        </w:rPr>
        <w:drawing>
          <wp:inline distT="0" distB="0" distL="0" distR="0">
            <wp:extent cx="5274310" cy="8044815"/>
            <wp:effectExtent l="19050" t="0" r="2540" b="0"/>
            <wp:docPr id="45" name="图片 5" descr="jnh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5" descr="jnhk.png"/>
                    <pic:cNvPicPr>
                      <a:picLocks noChangeAspect="1" noChangeArrowheads="1"/>
                    </pic:cNvPicPr>
                  </pic:nvPicPr>
                  <pic:blipFill>
                    <a:blip r:embed="rId23"/>
                    <a:srcRect/>
                    <a:stretch>
                      <a:fillRect/>
                    </a:stretch>
                  </pic:blipFill>
                  <pic:spPr>
                    <a:xfrm>
                      <a:off x="0" y="0"/>
                      <a:ext cx="5274310" cy="8045043"/>
                    </a:xfrm>
                    <a:prstGeom prst="rect">
                      <a:avLst/>
                    </a:prstGeom>
                    <a:noFill/>
                    <a:ln w="9525">
                      <a:noFill/>
                      <a:miter lim="800000"/>
                      <a:headEnd/>
                      <a:tailEnd/>
                    </a:ln>
                  </pic:spPr>
                </pic:pic>
              </a:graphicData>
            </a:graphic>
          </wp:inline>
        </w:drawing>
      </w:r>
    </w:p>
    <w:p>
      <w:pPr>
        <w:snapToGrid w:val="0"/>
        <w:rPr>
          <w:rFonts w:ascii="仿宋_GB2312" w:hAnsi="仿宋" w:eastAsia="仿宋_GB2312" w:cs="Arial"/>
          <w:kern w:val="0"/>
          <w:sz w:val="30"/>
          <w:szCs w:val="30"/>
        </w:rPr>
      </w:pPr>
    </w:p>
    <w:p>
      <w:pPr>
        <w:snapToGrid w:val="0"/>
        <w:ind w:firstLine="585"/>
        <w:rPr>
          <w:rFonts w:ascii="仿宋_GB2312" w:hAnsi="仿宋" w:eastAsia="仿宋_GB2312" w:cs="Arial"/>
          <w:kern w:val="0"/>
          <w:sz w:val="30"/>
          <w:szCs w:val="30"/>
        </w:rPr>
      </w:pPr>
      <w:r>
        <w:rPr>
          <w:rFonts w:hint="eastAsia" w:ascii="仿宋_GB2312" w:hAnsi="仿宋" w:eastAsia="仿宋_GB2312" w:cs="Arial"/>
          <w:kern w:val="0"/>
          <w:sz w:val="30"/>
          <w:szCs w:val="30"/>
        </w:rPr>
        <w:t>（5）入境货物报检单</w:t>
      </w:r>
    </w:p>
    <w:p>
      <w:pPr>
        <w:snapToGrid w:val="0"/>
        <w:rPr>
          <w:rFonts w:ascii="仿宋_GB2312" w:hAnsi="仿宋" w:eastAsia="仿宋_GB2312" w:cs="Arial"/>
          <w:kern w:val="0"/>
          <w:sz w:val="30"/>
          <w:szCs w:val="30"/>
        </w:rPr>
      </w:pPr>
    </w:p>
    <w:p>
      <w:pPr>
        <w:snapToGrid w:val="0"/>
        <w:rPr>
          <w:rFonts w:ascii="仿宋_GB2312" w:hAnsi="仿宋" w:eastAsia="仿宋_GB2312" w:cs="Arial"/>
          <w:kern w:val="0"/>
          <w:sz w:val="30"/>
          <w:szCs w:val="30"/>
        </w:rPr>
      </w:pPr>
      <w:r>
        <w:rPr>
          <w:rFonts w:hint="eastAsia" w:ascii="宋体" w:hAnsi="宋体"/>
          <w:szCs w:val="21"/>
          <w:bdr w:val="single" w:color="auto" w:sz="4" w:space="0"/>
        </w:rPr>
        <w:drawing>
          <wp:inline distT="0" distB="0" distL="0" distR="0">
            <wp:extent cx="5267325" cy="5505450"/>
            <wp:effectExtent l="19050" t="0" r="9525"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noChangeArrowheads="1"/>
                    </pic:cNvPicPr>
                  </pic:nvPicPr>
                  <pic:blipFill>
                    <a:blip r:embed="rId24"/>
                    <a:srcRect/>
                    <a:stretch>
                      <a:fillRect/>
                    </a:stretch>
                  </pic:blipFill>
                  <pic:spPr>
                    <a:xfrm>
                      <a:off x="0" y="0"/>
                      <a:ext cx="5267325" cy="5505450"/>
                    </a:xfrm>
                    <a:prstGeom prst="rect">
                      <a:avLst/>
                    </a:prstGeom>
                    <a:noFill/>
                    <a:ln w="9525">
                      <a:noFill/>
                      <a:miter lim="800000"/>
                      <a:headEnd/>
                      <a:tailEnd/>
                    </a:ln>
                  </pic:spPr>
                </pic:pic>
              </a:graphicData>
            </a:graphic>
          </wp:inline>
        </w:drawing>
      </w:r>
    </w:p>
    <w:p>
      <w:pPr>
        <w:widowControl/>
        <w:jc w:val="left"/>
        <w:rPr>
          <w:rFonts w:ascii="仿宋_GB2312" w:hAnsi="仿宋" w:eastAsia="仿宋_GB2312" w:cs="Arial"/>
          <w:kern w:val="0"/>
          <w:sz w:val="30"/>
          <w:szCs w:val="30"/>
        </w:rPr>
      </w:pPr>
      <w:r>
        <w:rPr>
          <w:rFonts w:ascii="仿宋_GB2312" w:hAnsi="仿宋" w:eastAsia="仿宋_GB2312" w:cs="Arial"/>
          <w:kern w:val="0"/>
          <w:sz w:val="30"/>
          <w:szCs w:val="30"/>
        </w:rPr>
        <w:br w:type="page"/>
      </w:r>
    </w:p>
    <w:p>
      <w:pPr>
        <w:snapToGrid w:val="0"/>
        <w:ind w:firstLine="585"/>
        <w:rPr>
          <w:rFonts w:ascii="仿宋_GB2312" w:hAnsi="仿宋" w:eastAsia="仿宋_GB2312" w:cs="Arial"/>
          <w:kern w:val="0"/>
          <w:sz w:val="30"/>
          <w:szCs w:val="30"/>
        </w:rPr>
      </w:pPr>
      <w:r>
        <w:rPr>
          <w:rFonts w:hint="eastAsia" w:ascii="仿宋_GB2312" w:hAnsi="仿宋" w:eastAsia="仿宋_GB2312" w:cs="Arial"/>
          <w:kern w:val="0"/>
          <w:sz w:val="30"/>
          <w:szCs w:val="30"/>
        </w:rPr>
        <w:t>（6）进口货物报关单</w:t>
      </w:r>
    </w:p>
    <w:p>
      <w:pPr>
        <w:snapToGrid w:val="0"/>
        <w:rPr>
          <w:rFonts w:ascii="仿宋_GB2312" w:hAnsi="仿宋" w:eastAsia="仿宋_GB2312" w:cs="Arial"/>
          <w:kern w:val="0"/>
          <w:sz w:val="30"/>
          <w:szCs w:val="30"/>
        </w:rPr>
      </w:pPr>
    </w:p>
    <w:p>
      <w:pPr>
        <w:snapToGrid w:val="0"/>
        <w:rPr>
          <w:rFonts w:ascii="仿宋_GB2312" w:hAnsi="仿宋" w:eastAsia="仿宋_GB2312" w:cs="Arial"/>
          <w:kern w:val="0"/>
          <w:sz w:val="30"/>
          <w:szCs w:val="30"/>
        </w:rPr>
      </w:pPr>
      <w:r>
        <w:rPr>
          <w:rFonts w:ascii="宋体" w:hAnsi="宋体"/>
          <w:szCs w:val="21"/>
          <w:bdr w:val="single" w:color="auto" w:sz="4" w:space="0"/>
        </w:rPr>
        <w:drawing>
          <wp:inline distT="0" distB="0" distL="0" distR="0">
            <wp:extent cx="5260975" cy="3159125"/>
            <wp:effectExtent l="19050" t="0" r="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noChangeArrowheads="1"/>
                    </pic:cNvPicPr>
                  </pic:nvPicPr>
                  <pic:blipFill>
                    <a:blip r:embed="rId25"/>
                    <a:srcRect/>
                    <a:stretch>
                      <a:fillRect/>
                    </a:stretch>
                  </pic:blipFill>
                  <pic:spPr>
                    <a:xfrm>
                      <a:off x="0" y="0"/>
                      <a:ext cx="5260975" cy="3159125"/>
                    </a:xfrm>
                    <a:prstGeom prst="rect">
                      <a:avLst/>
                    </a:prstGeom>
                    <a:noFill/>
                    <a:ln w="9525">
                      <a:noFill/>
                      <a:miter lim="800000"/>
                      <a:headEnd/>
                      <a:tailEnd/>
                    </a:ln>
                  </pic:spPr>
                </pic:pic>
              </a:graphicData>
            </a:graphic>
          </wp:inline>
        </w:drawing>
      </w:r>
    </w:p>
    <w:p>
      <w:pPr>
        <w:snapToGrid w:val="0"/>
        <w:spacing w:line="560" w:lineRule="exact"/>
        <w:ind w:firstLine="600" w:firstLineChars="200"/>
        <w:rPr>
          <w:rFonts w:ascii="仿宋_GB2312" w:hAnsi="仿宋" w:eastAsia="仿宋_GB2312" w:cs="Arial"/>
          <w:kern w:val="0"/>
          <w:sz w:val="30"/>
          <w:szCs w:val="30"/>
        </w:rPr>
      </w:pPr>
    </w:p>
    <w:p>
      <w:pPr>
        <w:snapToGrid w:val="0"/>
        <w:spacing w:line="560" w:lineRule="exact"/>
        <w:ind w:firstLine="600" w:firstLineChars="200"/>
        <w:rPr>
          <w:rFonts w:ascii="仿宋_GB2312" w:hAnsi="仿宋" w:eastAsia="仿宋_GB2312" w:cs="Arial"/>
          <w:kern w:val="0"/>
          <w:sz w:val="30"/>
          <w:szCs w:val="30"/>
        </w:rPr>
      </w:pPr>
      <w:r>
        <w:rPr>
          <w:rFonts w:hint="eastAsia" w:ascii="仿宋_GB2312" w:hAnsi="仿宋" w:eastAsia="仿宋_GB2312" w:cs="Arial"/>
          <w:kern w:val="0"/>
          <w:sz w:val="30"/>
          <w:szCs w:val="30"/>
        </w:rPr>
        <w:t>★外贸英语沟通能力模块</w:t>
      </w:r>
    </w:p>
    <w:p>
      <w:pPr>
        <w:snapToGrid w:val="0"/>
        <w:spacing w:line="560" w:lineRule="exact"/>
        <w:ind w:firstLine="600" w:firstLineChars="200"/>
        <w:rPr>
          <w:rFonts w:ascii="仿宋_GB2312" w:hAnsi="仿宋" w:eastAsia="仿宋_GB2312" w:cs="Arial"/>
          <w:kern w:val="0"/>
          <w:sz w:val="30"/>
          <w:szCs w:val="30"/>
        </w:rPr>
      </w:pPr>
      <w:r>
        <w:rPr>
          <w:rFonts w:hint="eastAsia" w:ascii="仿宋_GB2312" w:hAnsi="仿宋" w:eastAsia="仿宋_GB2312" w:cs="Arial"/>
          <w:kern w:val="0"/>
          <w:sz w:val="30"/>
          <w:szCs w:val="30"/>
        </w:rPr>
        <w:t>本部分考察内容基于</w:t>
      </w:r>
      <w:r>
        <w:rPr>
          <w:rFonts w:hint="eastAsia" w:ascii="仿宋_GB2312" w:hAnsi="Arial Narrow" w:eastAsia="仿宋_GB2312" w:cs="Arial"/>
          <w:sz w:val="30"/>
          <w:szCs w:val="30"/>
        </w:rPr>
        <w:t>外贸业务流程、商务接待、商务谈判等</w:t>
      </w:r>
      <w:r>
        <w:rPr>
          <w:rFonts w:hint="eastAsia" w:ascii="仿宋_GB2312" w:hAnsi="仿宋" w:eastAsia="仿宋_GB2312" w:cs="Arial"/>
          <w:kern w:val="0"/>
          <w:sz w:val="30"/>
          <w:szCs w:val="30"/>
        </w:rPr>
        <w:t>情境下的外贸英语沟通。共分为两部分：</w:t>
      </w:r>
    </w:p>
    <w:p>
      <w:pPr>
        <w:snapToGrid w:val="0"/>
        <w:spacing w:line="560" w:lineRule="exact"/>
        <w:ind w:firstLine="600" w:firstLineChars="200"/>
        <w:rPr>
          <w:rFonts w:ascii="仿宋_GB2312" w:hAnsi="仿宋" w:eastAsia="仿宋_GB2312" w:cs="Arial"/>
          <w:kern w:val="0"/>
          <w:sz w:val="30"/>
          <w:szCs w:val="30"/>
        </w:rPr>
      </w:pPr>
      <w:r>
        <w:rPr>
          <w:rFonts w:hint="eastAsia" w:ascii="仿宋_GB2312" w:hAnsi="仿宋" w:eastAsia="仿宋_GB2312" w:cs="Arial"/>
          <w:kern w:val="0"/>
          <w:sz w:val="30"/>
          <w:szCs w:val="30"/>
        </w:rPr>
        <w:t>第一部分：复述</w:t>
      </w:r>
    </w:p>
    <w:p>
      <w:pPr>
        <w:snapToGrid w:val="0"/>
        <w:spacing w:line="560" w:lineRule="exact"/>
        <w:ind w:firstLine="600" w:firstLineChars="200"/>
        <w:rPr>
          <w:rFonts w:ascii="仿宋_GB2312" w:hAnsi="仿宋" w:eastAsia="仿宋_GB2312" w:cs="Arial"/>
          <w:kern w:val="0"/>
          <w:sz w:val="30"/>
          <w:szCs w:val="30"/>
        </w:rPr>
      </w:pPr>
      <w:r>
        <w:rPr>
          <w:rFonts w:hint="eastAsia" w:ascii="仿宋_GB2312" w:hAnsi="仿宋" w:eastAsia="仿宋_GB2312" w:cs="Arial"/>
          <w:kern w:val="0"/>
          <w:sz w:val="30"/>
          <w:szCs w:val="30"/>
        </w:rPr>
        <w:t>参赛选手在规定时间内，根据给定的资料进行脱稿复述（200-250个英语单词左右），内容包括致欢迎辞、致答谢辞、会议主持人讲话、日程安排、介绍景点、介绍产品、介绍公司、介绍生产流程、参观工厂、展会接待、贸易磋商、物流安排、客户服务、纠纷解决、说明市场行情等。主要考察选手在外贸业务情境下的英语口语表达能力。</w:t>
      </w:r>
    </w:p>
    <w:p>
      <w:pPr>
        <w:snapToGrid w:val="0"/>
        <w:spacing w:line="560" w:lineRule="exact"/>
        <w:ind w:firstLine="600" w:firstLineChars="200"/>
        <w:rPr>
          <w:rFonts w:ascii="仿宋_GB2312" w:hAnsi="仿宋" w:eastAsia="仿宋_GB2312" w:cs="Arial"/>
          <w:kern w:val="0"/>
          <w:sz w:val="30"/>
          <w:szCs w:val="30"/>
        </w:rPr>
      </w:pPr>
      <w:r>
        <w:rPr>
          <w:rFonts w:hint="eastAsia" w:ascii="仿宋_GB2312" w:hAnsi="仿宋" w:eastAsia="仿宋_GB2312" w:cs="Arial"/>
          <w:kern w:val="0"/>
          <w:sz w:val="30"/>
          <w:szCs w:val="30"/>
        </w:rPr>
        <w:t>第二部分：问答</w:t>
      </w:r>
    </w:p>
    <w:p>
      <w:pPr>
        <w:snapToGrid w:val="0"/>
        <w:spacing w:line="560" w:lineRule="exact"/>
        <w:ind w:firstLine="600" w:firstLineChars="200"/>
        <w:rPr>
          <w:rFonts w:ascii="仿宋_GB2312" w:hAnsi="仿宋" w:eastAsia="仿宋_GB2312" w:cs="Arial"/>
          <w:kern w:val="0"/>
          <w:sz w:val="30"/>
          <w:szCs w:val="30"/>
        </w:rPr>
      </w:pPr>
      <w:r>
        <w:rPr>
          <w:rFonts w:hint="eastAsia" w:ascii="仿宋_GB2312" w:hAnsi="仿宋" w:eastAsia="仿宋_GB2312" w:cs="Arial"/>
          <w:kern w:val="0"/>
          <w:sz w:val="30"/>
          <w:szCs w:val="30"/>
        </w:rPr>
        <w:t>参赛选手在规定时间内就提出的问题进行作答。内容包括国际贸易活动中商务接待、磋商谈判、物流采购、贸易流程等相关专业问题，以及宏观经济分析、市场环境分析、相关法律法规及国际惯例等。主要考察选手在外贸业务情境下的英语理解能力、现场反应速度及表现力。</w:t>
      </w:r>
    </w:p>
    <w:p>
      <w:pPr>
        <w:snapToGrid w:val="0"/>
        <w:spacing w:line="560" w:lineRule="exact"/>
        <w:ind w:firstLine="600" w:firstLineChars="200"/>
        <w:rPr>
          <w:rFonts w:ascii="仿宋_GB2312" w:hAnsi="仿宋" w:eastAsia="仿宋_GB2312" w:cs="Arial"/>
          <w:kern w:val="0"/>
          <w:sz w:val="30"/>
          <w:szCs w:val="30"/>
        </w:rPr>
      </w:pPr>
      <w:r>
        <w:rPr>
          <w:rFonts w:hint="eastAsia" w:ascii="仿宋_GB2312" w:hAnsi="仿宋" w:eastAsia="仿宋_GB2312" w:cs="Arial"/>
          <w:kern w:val="0"/>
          <w:sz w:val="30"/>
          <w:szCs w:val="30"/>
        </w:rPr>
        <w:t>（一）第一部分内容参考范例：</w:t>
      </w:r>
    </w:p>
    <w:p>
      <w:pPr>
        <w:spacing w:line="560" w:lineRule="exact"/>
        <w:rPr>
          <w:rFonts w:ascii="Times New Roman" w:hAnsi="Times New Roman"/>
          <w:b/>
          <w:sz w:val="28"/>
          <w:szCs w:val="28"/>
        </w:rPr>
      </w:pPr>
      <w:r>
        <w:rPr>
          <w:rFonts w:ascii="Times New Roman" w:hAnsi="Times New Roman"/>
          <w:b/>
          <w:sz w:val="28"/>
          <w:szCs w:val="28"/>
        </w:rPr>
        <w:t>Part I - Retell  (3 minutes)</w:t>
      </w:r>
    </w:p>
    <w:tbl>
      <w:tblPr>
        <w:tblStyle w:val="17"/>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22" w:type="dxa"/>
            <w:shd w:val="clear" w:color="auto" w:fill="C0C0C0"/>
          </w:tcPr>
          <w:p>
            <w:pPr>
              <w:spacing w:line="560" w:lineRule="exact"/>
              <w:rPr>
                <w:rFonts w:ascii="Times New Roman" w:hAnsi="Times New Roman"/>
                <w:b/>
                <w:sz w:val="28"/>
                <w:szCs w:val="28"/>
              </w:rPr>
            </w:pPr>
            <w:r>
              <w:rPr>
                <w:rFonts w:ascii="Times New Roman" w:hAnsi="Times New Roman"/>
                <w:b/>
                <w:sz w:val="28"/>
                <w:szCs w:val="28"/>
                <w:u w:val="single"/>
              </w:rPr>
              <w:t>Task:</w:t>
            </w:r>
            <w:r>
              <w:rPr>
                <w:rFonts w:ascii="Times New Roman" w:hAnsi="Times New Roman"/>
                <w:b/>
                <w:sz w:val="28"/>
                <w:szCs w:val="28"/>
              </w:rPr>
              <w:br w:type="textWrapping"/>
            </w:r>
            <w:r>
              <w:rPr>
                <w:rFonts w:ascii="Times New Roman" w:hAnsi="Times New Roman"/>
                <w:b/>
                <w:sz w:val="28"/>
                <w:szCs w:val="28"/>
              </w:rPr>
              <w:t>-- You are required to re</w:t>
            </w:r>
            <w:r>
              <w:rPr>
                <w:rFonts w:hint="eastAsia" w:ascii="Times New Roman" w:hAnsi="Times New Roman"/>
                <w:b/>
                <w:sz w:val="28"/>
                <w:szCs w:val="28"/>
              </w:rPr>
              <w:t>tell</w:t>
            </w:r>
            <w:r>
              <w:rPr>
                <w:rFonts w:ascii="Times New Roman" w:hAnsi="Times New Roman"/>
                <w:b/>
                <w:sz w:val="28"/>
                <w:szCs w:val="28"/>
              </w:rPr>
              <w:t xml:space="preserve"> the following short speech. </w:t>
            </w:r>
          </w:p>
        </w:tc>
      </w:tr>
    </w:tbl>
    <w:p>
      <w:pPr>
        <w:snapToGrid w:val="0"/>
        <w:spacing w:line="560" w:lineRule="exact"/>
        <w:rPr>
          <w:rFonts w:ascii="Times New Roman" w:hAnsi="Times New Roman"/>
          <w:sz w:val="28"/>
          <w:szCs w:val="28"/>
        </w:rPr>
      </w:pPr>
      <w:r>
        <w:rPr>
          <w:rFonts w:ascii="Times New Roman" w:hAnsi="Times New Roman"/>
          <w:sz w:val="28"/>
          <w:szCs w:val="28"/>
        </w:rPr>
        <w:t>L</w:t>
      </w:r>
      <w:r>
        <w:rPr>
          <w:rFonts w:hint="eastAsia" w:ascii="Times New Roman" w:hAnsi="Times New Roman"/>
          <w:sz w:val="28"/>
          <w:szCs w:val="28"/>
        </w:rPr>
        <w:t>adies and Gentlemen:</w:t>
      </w:r>
    </w:p>
    <w:p>
      <w:pPr>
        <w:snapToGrid w:val="0"/>
        <w:spacing w:line="560" w:lineRule="exact"/>
        <w:ind w:firstLine="560" w:firstLineChars="200"/>
        <w:rPr>
          <w:rFonts w:ascii="Times New Roman" w:hAnsi="Times New Roman"/>
          <w:sz w:val="28"/>
          <w:szCs w:val="28"/>
        </w:rPr>
      </w:pPr>
      <w:r>
        <w:rPr>
          <w:rFonts w:ascii="Times New Roman" w:hAnsi="Times New Roman"/>
          <w:sz w:val="28"/>
          <w:szCs w:val="28"/>
        </w:rPr>
        <w:t xml:space="preserve">Tonight, it is a great honor for us to have the presence of Mr. Miller and his delegation here. On behalf of our company, I would like to extend our warm welcome to you all. </w:t>
      </w:r>
    </w:p>
    <w:p>
      <w:pPr>
        <w:snapToGrid w:val="0"/>
        <w:spacing w:line="560" w:lineRule="exact"/>
        <w:ind w:firstLine="560" w:firstLineChars="200"/>
        <w:rPr>
          <w:rFonts w:ascii="Times New Roman" w:hAnsi="Times New Roman"/>
          <w:sz w:val="28"/>
          <w:szCs w:val="28"/>
        </w:rPr>
      </w:pPr>
      <w:r>
        <w:rPr>
          <w:rFonts w:ascii="Times New Roman" w:hAnsi="Times New Roman"/>
          <w:sz w:val="28"/>
          <w:szCs w:val="28"/>
        </w:rPr>
        <w:t xml:space="preserve">IDC and Super Vision have been long standing partners. For eight years, our relationship has proved strong, lasting and fruitful, despite many difficulties both of us have gone through. Both companies are growing rapidly, thanks to the support we give to each other. For this, I must say thank you to everyone from IDC. </w:t>
      </w:r>
    </w:p>
    <w:p>
      <w:pPr>
        <w:snapToGrid w:val="0"/>
        <w:spacing w:line="560" w:lineRule="exact"/>
        <w:ind w:firstLine="560" w:firstLineChars="200"/>
        <w:rPr>
          <w:rFonts w:ascii="Times New Roman" w:hAnsi="Times New Roman"/>
          <w:sz w:val="28"/>
          <w:szCs w:val="28"/>
        </w:rPr>
      </w:pPr>
      <w:r>
        <w:rPr>
          <w:rFonts w:ascii="Times New Roman" w:hAnsi="Times New Roman"/>
          <w:sz w:val="28"/>
          <w:szCs w:val="28"/>
        </w:rPr>
        <w:t xml:space="preserve">Today, we are especially happy to receive Mr. Miller and his colleagues, who have come to work out a plan to expand our cooperation. I believe, with strong determination to strengthen our partnership, and wisdom and vision of our two teams, we must be able to come up with great ideas and plans that will contribute to further growth of both companies. </w:t>
      </w:r>
    </w:p>
    <w:p>
      <w:pPr>
        <w:snapToGrid w:val="0"/>
        <w:spacing w:line="560" w:lineRule="exact"/>
        <w:ind w:firstLine="560" w:firstLineChars="200"/>
        <w:rPr>
          <w:rFonts w:ascii="Times New Roman" w:hAnsi="Times New Roman"/>
          <w:sz w:val="28"/>
          <w:szCs w:val="28"/>
        </w:rPr>
      </w:pPr>
      <w:r>
        <w:rPr>
          <w:rFonts w:ascii="Times New Roman" w:hAnsi="Times New Roman"/>
          <w:sz w:val="28"/>
          <w:szCs w:val="28"/>
        </w:rPr>
        <w:t>To that end, and to the health of all of us, may I ask you to raise your glasses for a toast? Cheers! Thank you!</w:t>
      </w:r>
    </w:p>
    <w:p>
      <w:pPr>
        <w:snapToGrid w:val="0"/>
        <w:spacing w:line="560" w:lineRule="exact"/>
        <w:ind w:firstLine="600" w:firstLineChars="200"/>
        <w:rPr>
          <w:rFonts w:ascii="仿宋_GB2312" w:hAnsi="仿宋" w:eastAsia="仿宋_GB2312" w:cs="Arial"/>
          <w:kern w:val="0"/>
          <w:sz w:val="30"/>
          <w:szCs w:val="30"/>
        </w:rPr>
      </w:pPr>
      <w:r>
        <w:rPr>
          <w:rFonts w:hint="eastAsia" w:ascii="仿宋_GB2312" w:hAnsi="仿宋" w:eastAsia="仿宋_GB2312" w:cs="Arial"/>
          <w:kern w:val="0"/>
          <w:sz w:val="30"/>
          <w:szCs w:val="30"/>
        </w:rPr>
        <w:t>（二）第二部分内容参考范例：</w:t>
      </w:r>
    </w:p>
    <w:p>
      <w:pPr>
        <w:spacing w:line="560" w:lineRule="exact"/>
        <w:rPr>
          <w:rFonts w:ascii="Times New Roman" w:hAnsi="Times New Roman"/>
          <w:b/>
          <w:sz w:val="28"/>
          <w:szCs w:val="28"/>
        </w:rPr>
      </w:pPr>
      <w:r>
        <w:rPr>
          <w:rFonts w:ascii="Times New Roman" w:hAnsi="Times New Roman"/>
          <w:b/>
          <w:sz w:val="28"/>
          <w:szCs w:val="28"/>
        </w:rPr>
        <w:t xml:space="preserve">Part </w:t>
      </w:r>
      <w:r>
        <w:rPr>
          <w:rFonts w:hint="eastAsia" w:ascii="Times New Roman" w:hAnsi="Times New Roman"/>
          <w:b/>
          <w:sz w:val="28"/>
          <w:szCs w:val="28"/>
        </w:rPr>
        <w:t>II</w:t>
      </w:r>
      <w:r>
        <w:rPr>
          <w:rFonts w:ascii="Times New Roman" w:hAnsi="Times New Roman"/>
          <w:b/>
          <w:sz w:val="28"/>
          <w:szCs w:val="28"/>
        </w:rPr>
        <w:t xml:space="preserve"> – </w:t>
      </w:r>
      <w:r>
        <w:rPr>
          <w:rFonts w:hint="eastAsia" w:ascii="Times New Roman" w:hAnsi="Times New Roman"/>
          <w:b/>
          <w:sz w:val="28"/>
          <w:szCs w:val="28"/>
        </w:rPr>
        <w:t>Q&amp;A</w:t>
      </w:r>
      <w:r>
        <w:rPr>
          <w:rFonts w:ascii="Times New Roman" w:hAnsi="Times New Roman"/>
          <w:b/>
          <w:sz w:val="28"/>
          <w:szCs w:val="28"/>
        </w:rPr>
        <w:t xml:space="preserve">  (</w:t>
      </w:r>
      <w:r>
        <w:rPr>
          <w:rFonts w:hint="eastAsia" w:ascii="Times New Roman" w:hAnsi="Times New Roman"/>
          <w:b/>
          <w:sz w:val="28"/>
          <w:szCs w:val="28"/>
        </w:rPr>
        <w:t>2</w:t>
      </w:r>
      <w:r>
        <w:rPr>
          <w:rFonts w:ascii="Times New Roman" w:hAnsi="Times New Roman"/>
          <w:b/>
          <w:sz w:val="28"/>
          <w:szCs w:val="28"/>
        </w:rPr>
        <w:t xml:space="preserve"> minutes)</w:t>
      </w:r>
    </w:p>
    <w:tbl>
      <w:tblPr>
        <w:tblStyle w:val="17"/>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22" w:type="dxa"/>
            <w:shd w:val="clear" w:color="auto" w:fill="C0C0C0"/>
          </w:tcPr>
          <w:p>
            <w:pPr>
              <w:spacing w:line="560" w:lineRule="exact"/>
              <w:rPr>
                <w:rFonts w:ascii="Times New Roman" w:hAnsi="Times New Roman"/>
                <w:b/>
                <w:sz w:val="28"/>
                <w:szCs w:val="28"/>
              </w:rPr>
            </w:pPr>
            <w:r>
              <w:rPr>
                <w:rFonts w:ascii="Times New Roman" w:hAnsi="Times New Roman"/>
                <w:b/>
                <w:sz w:val="28"/>
                <w:szCs w:val="28"/>
              </w:rPr>
              <w:t>Task:</w:t>
            </w:r>
            <w:r>
              <w:rPr>
                <w:rFonts w:ascii="Times New Roman" w:hAnsi="Times New Roman"/>
                <w:b/>
                <w:sz w:val="28"/>
                <w:szCs w:val="28"/>
              </w:rPr>
              <w:br w:type="textWrapping"/>
            </w:r>
            <w:r>
              <w:rPr>
                <w:rFonts w:ascii="Times New Roman" w:hAnsi="Times New Roman"/>
                <w:b/>
                <w:sz w:val="28"/>
                <w:szCs w:val="28"/>
              </w:rPr>
              <w:t xml:space="preserve">-- You are required to answer the following question. </w:t>
            </w:r>
          </w:p>
        </w:tc>
      </w:tr>
    </w:tbl>
    <w:p>
      <w:pPr>
        <w:spacing w:line="560" w:lineRule="exact"/>
        <w:rPr>
          <w:rFonts w:ascii="Times New Roman" w:hAnsi="Times New Roman"/>
          <w:sz w:val="28"/>
          <w:szCs w:val="28"/>
        </w:rPr>
      </w:pPr>
      <w:r>
        <w:rPr>
          <w:rFonts w:ascii="Times New Roman" w:hAnsi="Times New Roman"/>
          <w:sz w:val="28"/>
          <w:szCs w:val="28"/>
        </w:rPr>
        <w:t>Q：</w:t>
      </w:r>
      <w:r>
        <w:rPr>
          <w:rFonts w:hint="eastAsia" w:ascii="Times New Roman" w:hAnsi="Times New Roman"/>
          <w:sz w:val="28"/>
          <w:szCs w:val="28"/>
        </w:rPr>
        <w:t>Please d</w:t>
      </w:r>
      <w:r>
        <w:rPr>
          <w:rFonts w:ascii="Times New Roman" w:hAnsi="Times New Roman"/>
          <w:sz w:val="28"/>
          <w:szCs w:val="28"/>
        </w:rPr>
        <w:t>escribe the difference between the CIF term and the FOB term</w:t>
      </w:r>
      <w:r>
        <w:rPr>
          <w:rFonts w:hint="eastAsia" w:ascii="Times New Roman" w:hAnsi="Times New Roman"/>
          <w:sz w:val="28"/>
          <w:szCs w:val="28"/>
        </w:rPr>
        <w:t>.</w:t>
      </w:r>
    </w:p>
    <w:p>
      <w:pPr>
        <w:pStyle w:val="2"/>
        <w:ind w:firstLine="600"/>
        <w:rPr>
          <w:rFonts w:ascii="Arial Narrow" w:hAnsi="Arial Narrow" w:eastAsia="仿宋_GB2312" w:cs="Arial"/>
        </w:rPr>
      </w:pPr>
      <w:bookmarkStart w:id="13" w:name="_Toc522017698"/>
      <w:r>
        <w:rPr>
          <w:rFonts w:hint="eastAsia"/>
        </w:rPr>
        <w:t>十、评分标准制定原则、评分方法、评分细则</w:t>
      </w:r>
      <w:bookmarkEnd w:id="13"/>
    </w:p>
    <w:p>
      <w:pPr>
        <w:snapToGrid w:val="0"/>
        <w:spacing w:line="560" w:lineRule="exact"/>
        <w:ind w:firstLine="600" w:firstLineChars="200"/>
        <w:rPr>
          <w:rFonts w:ascii="仿宋_GB2312" w:hAnsi="仿宋" w:eastAsia="仿宋_GB2312" w:cs="Arial"/>
          <w:kern w:val="0"/>
          <w:sz w:val="30"/>
          <w:szCs w:val="30"/>
        </w:rPr>
      </w:pPr>
      <w:bookmarkStart w:id="14" w:name="_Toc460925245"/>
      <w:r>
        <w:rPr>
          <w:rFonts w:hint="eastAsia" w:ascii="仿宋_GB2312" w:hAnsi="仿宋" w:eastAsia="仿宋_GB2312" w:cs="Arial"/>
          <w:kern w:val="0"/>
          <w:sz w:val="30"/>
          <w:szCs w:val="30"/>
        </w:rPr>
        <w:t>（一）制定原则</w:t>
      </w:r>
      <w:bookmarkEnd w:id="14"/>
    </w:p>
    <w:p>
      <w:pPr>
        <w:snapToGrid w:val="0"/>
        <w:spacing w:line="560" w:lineRule="exact"/>
        <w:ind w:firstLine="600" w:firstLineChars="200"/>
        <w:rPr>
          <w:rFonts w:ascii="仿宋_GB2312" w:hAnsi="仿宋" w:eastAsia="仿宋_GB2312" w:cs="Arial"/>
          <w:kern w:val="0"/>
          <w:sz w:val="30"/>
          <w:szCs w:val="30"/>
        </w:rPr>
      </w:pPr>
      <w:r>
        <w:rPr>
          <w:rFonts w:hint="eastAsia" w:ascii="仿宋_GB2312" w:hAnsi="仿宋" w:eastAsia="仿宋_GB2312" w:cs="Arial"/>
          <w:kern w:val="0"/>
          <w:sz w:val="30"/>
          <w:szCs w:val="30"/>
        </w:rPr>
        <w:t>评分标准由赛项专家组根据《2017年全国职业院校技能大赛成绩管理办法》的相关要求制定。</w:t>
      </w:r>
    </w:p>
    <w:p>
      <w:pPr>
        <w:snapToGrid w:val="0"/>
        <w:spacing w:line="560" w:lineRule="exact"/>
        <w:ind w:firstLine="600" w:firstLineChars="200"/>
        <w:rPr>
          <w:rFonts w:ascii="仿宋_GB2312" w:hAnsi="仿宋" w:eastAsia="仿宋_GB2312" w:cs="Arial"/>
          <w:kern w:val="0"/>
          <w:sz w:val="30"/>
          <w:szCs w:val="30"/>
        </w:rPr>
      </w:pPr>
      <w:bookmarkStart w:id="15" w:name="_Toc460925246"/>
      <w:r>
        <w:rPr>
          <w:rFonts w:hint="eastAsia" w:ascii="仿宋_GB2312" w:hAnsi="仿宋" w:eastAsia="仿宋_GB2312" w:cs="Arial"/>
          <w:kern w:val="0"/>
          <w:sz w:val="30"/>
          <w:szCs w:val="30"/>
        </w:rPr>
        <w:t>（二）评分方法</w:t>
      </w:r>
      <w:bookmarkEnd w:id="15"/>
    </w:p>
    <w:p>
      <w:pPr>
        <w:snapToGrid w:val="0"/>
        <w:spacing w:line="560" w:lineRule="exact"/>
        <w:ind w:firstLine="600" w:firstLineChars="200"/>
        <w:rPr>
          <w:rFonts w:ascii="仿宋_GB2312" w:hAnsi="仿宋" w:eastAsia="仿宋_GB2312" w:cs="Arial"/>
          <w:kern w:val="0"/>
          <w:sz w:val="30"/>
          <w:szCs w:val="30"/>
        </w:rPr>
      </w:pPr>
      <w:r>
        <w:rPr>
          <w:rFonts w:hint="eastAsia" w:ascii="仿宋_GB2312" w:hAnsi="仿宋" w:eastAsia="仿宋_GB2312" w:cs="Arial"/>
          <w:kern w:val="0"/>
          <w:sz w:val="30"/>
          <w:szCs w:val="30"/>
        </w:rPr>
        <w:t>参赛队的竞赛总分=外贸业务能力B2B模块得分×50%+外贸业务能力B2C模块得分×15%+外贸跟单能力模块得分×15%+外贸英语沟通能力模块得分×20%</w:t>
      </w:r>
    </w:p>
    <w:p>
      <w:pPr>
        <w:snapToGrid w:val="0"/>
        <w:spacing w:line="560" w:lineRule="exact"/>
        <w:ind w:firstLine="600" w:firstLineChars="200"/>
        <w:rPr>
          <w:rFonts w:ascii="仿宋_GB2312" w:hAnsi="仿宋" w:eastAsia="仿宋_GB2312" w:cs="Arial"/>
          <w:kern w:val="0"/>
          <w:sz w:val="30"/>
          <w:szCs w:val="30"/>
        </w:rPr>
      </w:pPr>
      <w:r>
        <w:rPr>
          <w:rFonts w:hint="eastAsia" w:ascii="仿宋_GB2312" w:hAnsi="仿宋" w:eastAsia="仿宋_GB2312" w:cs="Arial"/>
          <w:kern w:val="0"/>
          <w:sz w:val="30"/>
          <w:szCs w:val="30"/>
        </w:rPr>
        <w:t>注：参赛队的竞赛总分四舍五入保留两位小数。</w:t>
      </w:r>
    </w:p>
    <w:p>
      <w:pPr>
        <w:snapToGrid w:val="0"/>
        <w:spacing w:line="560" w:lineRule="exact"/>
        <w:ind w:firstLine="600" w:firstLineChars="200"/>
        <w:rPr>
          <w:rFonts w:ascii="仿宋_GB2312" w:hAnsi="仿宋" w:eastAsia="仿宋_GB2312" w:cs="Arial"/>
          <w:kern w:val="0"/>
          <w:sz w:val="30"/>
          <w:szCs w:val="30"/>
        </w:rPr>
      </w:pPr>
      <w:r>
        <w:rPr>
          <w:rFonts w:hint="eastAsia" w:ascii="仿宋_GB2312" w:hAnsi="仿宋" w:eastAsia="仿宋_GB2312" w:cs="Arial"/>
          <w:kern w:val="0"/>
          <w:sz w:val="30"/>
          <w:szCs w:val="30"/>
        </w:rPr>
        <w:t>参赛队各模块得分公式如下：</w:t>
      </w:r>
    </w:p>
    <w:p>
      <w:pPr>
        <w:snapToGrid w:val="0"/>
        <w:spacing w:line="560" w:lineRule="exact"/>
        <w:ind w:firstLine="600" w:firstLineChars="200"/>
        <w:rPr>
          <w:rFonts w:ascii="仿宋_GB2312" w:hAnsi="仿宋" w:eastAsia="仿宋_GB2312" w:cs="Arial"/>
          <w:kern w:val="0"/>
          <w:sz w:val="30"/>
          <w:szCs w:val="30"/>
        </w:rPr>
      </w:pPr>
      <w:r>
        <w:rPr>
          <w:rFonts w:hint="eastAsia" w:ascii="仿宋_GB2312" w:hAnsi="仿宋" w:eastAsia="仿宋_GB2312" w:cs="Arial"/>
          <w:kern w:val="0"/>
          <w:sz w:val="30"/>
          <w:szCs w:val="30"/>
        </w:rPr>
        <w:t>外贸业务能力B2B模块得分=参赛队2组选手得分的平均分（四舍五入保留两位小数）</w:t>
      </w:r>
    </w:p>
    <w:p>
      <w:pPr>
        <w:snapToGrid w:val="0"/>
        <w:spacing w:line="560" w:lineRule="exact"/>
        <w:ind w:firstLine="600" w:firstLineChars="200"/>
        <w:rPr>
          <w:rFonts w:ascii="仿宋_GB2312" w:hAnsi="仿宋" w:eastAsia="仿宋_GB2312" w:cs="Arial"/>
          <w:kern w:val="0"/>
          <w:sz w:val="30"/>
          <w:szCs w:val="30"/>
        </w:rPr>
      </w:pPr>
      <w:r>
        <w:rPr>
          <w:rFonts w:hint="eastAsia" w:ascii="仿宋_GB2312" w:hAnsi="仿宋" w:eastAsia="仿宋_GB2312" w:cs="Arial"/>
          <w:kern w:val="0"/>
          <w:sz w:val="30"/>
          <w:szCs w:val="30"/>
        </w:rPr>
        <w:t>外贸业务能力B2C模块得分=参赛队1组选手得分</w:t>
      </w:r>
    </w:p>
    <w:p>
      <w:pPr>
        <w:snapToGrid w:val="0"/>
        <w:spacing w:line="560" w:lineRule="exact"/>
        <w:ind w:firstLine="600" w:firstLineChars="200"/>
        <w:rPr>
          <w:rFonts w:ascii="仿宋_GB2312" w:hAnsi="仿宋" w:eastAsia="仿宋_GB2312" w:cs="Arial"/>
          <w:kern w:val="0"/>
          <w:sz w:val="30"/>
          <w:szCs w:val="30"/>
        </w:rPr>
      </w:pPr>
      <w:r>
        <w:rPr>
          <w:rFonts w:hint="eastAsia" w:ascii="仿宋_GB2312" w:hAnsi="仿宋" w:eastAsia="仿宋_GB2312" w:cs="Arial"/>
          <w:kern w:val="0"/>
          <w:sz w:val="30"/>
          <w:szCs w:val="30"/>
        </w:rPr>
        <w:t>外贸跟单能力模块得分=参赛队2组选手得分的平均分（四舍五入保留两位小数）</w:t>
      </w:r>
    </w:p>
    <w:p>
      <w:pPr>
        <w:snapToGrid w:val="0"/>
        <w:spacing w:line="560" w:lineRule="exact"/>
        <w:ind w:firstLine="600" w:firstLineChars="200"/>
        <w:rPr>
          <w:rFonts w:ascii="仿宋_GB2312" w:hAnsi="仿宋" w:eastAsia="仿宋_GB2312" w:cs="Arial"/>
          <w:kern w:val="0"/>
          <w:sz w:val="30"/>
          <w:szCs w:val="30"/>
        </w:rPr>
      </w:pPr>
      <w:r>
        <w:rPr>
          <w:rFonts w:hint="eastAsia" w:ascii="仿宋_GB2312" w:hAnsi="仿宋" w:eastAsia="仿宋_GB2312" w:cs="Arial"/>
          <w:kern w:val="0"/>
          <w:sz w:val="30"/>
          <w:szCs w:val="30"/>
        </w:rPr>
        <w:t>外贸英语沟通能力模块得分=参赛队1组选手得分</w:t>
      </w:r>
    </w:p>
    <w:p>
      <w:pPr>
        <w:spacing w:line="560" w:lineRule="exact"/>
        <w:ind w:firstLine="600" w:firstLineChars="200"/>
        <w:rPr>
          <w:rFonts w:ascii="仿宋_GB2312" w:hAnsi="Arial Narrow" w:eastAsia="仿宋_GB2312" w:cs="宋体"/>
          <w:sz w:val="30"/>
          <w:szCs w:val="30"/>
        </w:rPr>
      </w:pPr>
      <w:r>
        <w:rPr>
          <w:rFonts w:hint="eastAsia" w:ascii="仿宋_GB2312" w:hAnsi="Arial Narrow" w:eastAsia="仿宋_GB2312" w:cs="宋体"/>
          <w:sz w:val="30"/>
          <w:szCs w:val="30"/>
        </w:rPr>
        <w:t>（三）评分细则</w:t>
      </w:r>
    </w:p>
    <w:p>
      <w:pPr>
        <w:spacing w:line="560" w:lineRule="exact"/>
        <w:ind w:firstLine="600" w:firstLineChars="200"/>
        <w:rPr>
          <w:rFonts w:ascii="仿宋_GB2312" w:hAnsi="Arial Narrow" w:eastAsia="仿宋_GB2312" w:cs="宋体"/>
          <w:sz w:val="30"/>
          <w:szCs w:val="30"/>
        </w:rPr>
      </w:pPr>
      <w:bookmarkStart w:id="16" w:name="_Toc460925247"/>
      <w:r>
        <w:rPr>
          <w:rFonts w:hint="eastAsia" w:ascii="仿宋_GB2312" w:hAnsi="Arial Narrow" w:eastAsia="仿宋_GB2312" w:cs="宋体"/>
          <w:sz w:val="30"/>
          <w:szCs w:val="30"/>
        </w:rPr>
        <w:t>竞赛各模块评分</w:t>
      </w:r>
      <w:bookmarkEnd w:id="16"/>
      <w:r>
        <w:rPr>
          <w:rFonts w:hint="eastAsia" w:ascii="仿宋_GB2312" w:hAnsi="Arial Narrow" w:eastAsia="仿宋_GB2312" w:cs="宋体"/>
          <w:sz w:val="30"/>
          <w:szCs w:val="30"/>
        </w:rPr>
        <w:t>细则如下：</w:t>
      </w:r>
    </w:p>
    <w:p>
      <w:pPr>
        <w:spacing w:line="560" w:lineRule="exact"/>
        <w:ind w:firstLine="600" w:firstLineChars="200"/>
        <w:rPr>
          <w:rFonts w:ascii="仿宋_GB2312" w:hAnsi="Arial Narrow" w:eastAsia="仿宋_GB2312" w:cs="宋体"/>
          <w:sz w:val="30"/>
          <w:szCs w:val="30"/>
        </w:rPr>
      </w:pPr>
      <w:bookmarkStart w:id="17" w:name="_Toc460924406"/>
      <w:bookmarkStart w:id="18" w:name="_Toc460925248"/>
      <w:r>
        <w:rPr>
          <w:rFonts w:hint="eastAsia" w:ascii="仿宋_GB2312" w:hAnsi="Arial Narrow" w:eastAsia="仿宋_GB2312" w:cs="宋体"/>
          <w:sz w:val="30"/>
          <w:szCs w:val="30"/>
        </w:rPr>
        <w:t>★外贸业务能力B2B模块</w:t>
      </w:r>
      <w:bookmarkEnd w:id="17"/>
      <w:bookmarkEnd w:id="18"/>
    </w:p>
    <w:p>
      <w:pPr>
        <w:spacing w:line="560" w:lineRule="exact"/>
        <w:jc w:val="center"/>
        <w:rPr>
          <w:rFonts w:ascii="宋体" w:hAnsi="宋体" w:cs="宋体"/>
          <w:sz w:val="24"/>
          <w:szCs w:val="24"/>
        </w:rPr>
      </w:pPr>
      <w:r>
        <w:rPr>
          <w:rFonts w:hint="eastAsia" w:ascii="宋体" w:hAnsi="宋体" w:cs="宋体"/>
          <w:sz w:val="24"/>
          <w:szCs w:val="24"/>
        </w:rPr>
        <w:t>表6 外贸业务能力B2B模块评分细则</w:t>
      </w:r>
    </w:p>
    <w:tbl>
      <w:tblPr>
        <w:tblStyle w:val="17"/>
        <w:tblW w:w="818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58"/>
        <w:gridCol w:w="1658"/>
        <w:gridCol w:w="4497"/>
        <w:gridCol w:w="6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5" w:hRule="atLeast"/>
          <w:tblHeader/>
          <w:jc w:val="center"/>
        </w:trPr>
        <w:tc>
          <w:tcPr>
            <w:tcW w:w="1358" w:type="dxa"/>
            <w:shd w:val="clear" w:color="auto" w:fill="auto"/>
            <w:vAlign w:val="center"/>
          </w:tcPr>
          <w:p>
            <w:pPr>
              <w:widowControl/>
              <w:jc w:val="center"/>
              <w:rPr>
                <w:rFonts w:cs="宋体" w:asciiTheme="minorEastAsia" w:hAnsiTheme="minorEastAsia" w:eastAsiaTheme="minorEastAsia"/>
                <w:b/>
                <w:kern w:val="0"/>
                <w:sz w:val="24"/>
                <w:szCs w:val="24"/>
              </w:rPr>
            </w:pPr>
            <w:r>
              <w:rPr>
                <w:rFonts w:hint="eastAsia" w:cs="宋体" w:asciiTheme="minorEastAsia" w:hAnsiTheme="minorEastAsia" w:eastAsiaTheme="minorEastAsia"/>
                <w:b/>
                <w:kern w:val="0"/>
                <w:sz w:val="24"/>
                <w:szCs w:val="24"/>
              </w:rPr>
              <w:t>项目</w:t>
            </w:r>
          </w:p>
        </w:tc>
        <w:tc>
          <w:tcPr>
            <w:tcW w:w="1658" w:type="dxa"/>
            <w:shd w:val="clear" w:color="auto" w:fill="auto"/>
            <w:vAlign w:val="center"/>
          </w:tcPr>
          <w:p>
            <w:pPr>
              <w:widowControl/>
              <w:jc w:val="center"/>
              <w:rPr>
                <w:rFonts w:cs="宋体" w:asciiTheme="minorEastAsia" w:hAnsiTheme="minorEastAsia" w:eastAsiaTheme="minorEastAsia"/>
                <w:b/>
                <w:kern w:val="0"/>
                <w:sz w:val="24"/>
                <w:szCs w:val="24"/>
              </w:rPr>
            </w:pPr>
            <w:r>
              <w:rPr>
                <w:rFonts w:hint="eastAsia" w:cs="宋体" w:asciiTheme="minorEastAsia" w:hAnsiTheme="minorEastAsia" w:eastAsiaTheme="minorEastAsia"/>
                <w:b/>
                <w:kern w:val="0"/>
                <w:sz w:val="24"/>
                <w:szCs w:val="24"/>
              </w:rPr>
              <w:t>要素</w:t>
            </w:r>
          </w:p>
        </w:tc>
        <w:tc>
          <w:tcPr>
            <w:tcW w:w="4497" w:type="dxa"/>
            <w:shd w:val="clear" w:color="auto" w:fill="auto"/>
            <w:vAlign w:val="center"/>
          </w:tcPr>
          <w:p>
            <w:pPr>
              <w:widowControl/>
              <w:jc w:val="center"/>
              <w:rPr>
                <w:rFonts w:cs="宋体" w:asciiTheme="minorEastAsia" w:hAnsiTheme="minorEastAsia" w:eastAsiaTheme="minorEastAsia"/>
                <w:b/>
                <w:kern w:val="0"/>
                <w:sz w:val="24"/>
                <w:szCs w:val="24"/>
              </w:rPr>
            </w:pPr>
            <w:r>
              <w:rPr>
                <w:rFonts w:hint="eastAsia" w:cs="宋体" w:asciiTheme="minorEastAsia" w:hAnsiTheme="minorEastAsia" w:eastAsiaTheme="minorEastAsia"/>
                <w:b/>
                <w:kern w:val="0"/>
                <w:sz w:val="24"/>
                <w:szCs w:val="24"/>
              </w:rPr>
              <w:t>评分细则</w:t>
            </w:r>
          </w:p>
        </w:tc>
        <w:tc>
          <w:tcPr>
            <w:tcW w:w="669" w:type="dxa"/>
            <w:shd w:val="clear" w:color="auto" w:fill="auto"/>
            <w:vAlign w:val="center"/>
          </w:tcPr>
          <w:p>
            <w:pPr>
              <w:widowControl/>
              <w:jc w:val="center"/>
              <w:rPr>
                <w:rFonts w:cs="宋体" w:asciiTheme="minorEastAsia" w:hAnsiTheme="minorEastAsia" w:eastAsiaTheme="minorEastAsia"/>
                <w:b/>
                <w:kern w:val="0"/>
                <w:sz w:val="24"/>
                <w:szCs w:val="24"/>
              </w:rPr>
            </w:pPr>
            <w:r>
              <w:rPr>
                <w:rFonts w:hint="eastAsia" w:cs="宋体" w:asciiTheme="minorEastAsia" w:hAnsiTheme="minorEastAsia" w:eastAsiaTheme="minorEastAsia"/>
                <w:b/>
                <w:kern w:val="0"/>
                <w:sz w:val="24"/>
                <w:szCs w:val="24"/>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jc w:val="center"/>
        </w:trPr>
        <w:tc>
          <w:tcPr>
            <w:tcW w:w="1358" w:type="dxa"/>
            <w:vMerge w:val="restart"/>
            <w:shd w:val="clear" w:color="auto" w:fill="auto"/>
            <w:vAlign w:val="center"/>
          </w:tcPr>
          <w:p>
            <w:pPr>
              <w:widowControl/>
              <w:jc w:val="center"/>
              <w:rPr>
                <w:rFonts w:cs="宋体" w:asciiTheme="minorEastAsia" w:hAnsiTheme="minorEastAsia" w:eastAsiaTheme="minorEastAsia"/>
                <w:kern w:val="0"/>
                <w:sz w:val="24"/>
                <w:szCs w:val="24"/>
              </w:rPr>
            </w:pPr>
            <w:r>
              <w:rPr>
                <w:rFonts w:hint="eastAsia" w:cs="宋体" w:asciiTheme="minorEastAsia" w:hAnsiTheme="minorEastAsia" w:eastAsiaTheme="minorEastAsia"/>
                <w:kern w:val="0"/>
                <w:sz w:val="24"/>
                <w:szCs w:val="24"/>
              </w:rPr>
              <w:t>业务推广</w:t>
            </w:r>
          </w:p>
          <w:p>
            <w:pPr>
              <w:widowControl/>
              <w:jc w:val="center"/>
              <w:rPr>
                <w:rFonts w:cs="宋体" w:asciiTheme="minorEastAsia" w:hAnsiTheme="minorEastAsia" w:eastAsiaTheme="minorEastAsia"/>
                <w:kern w:val="0"/>
                <w:sz w:val="24"/>
                <w:szCs w:val="24"/>
              </w:rPr>
            </w:pPr>
            <w:r>
              <w:rPr>
                <w:rFonts w:hint="eastAsia" w:cs="宋体" w:asciiTheme="minorEastAsia" w:hAnsiTheme="minorEastAsia" w:eastAsiaTheme="minorEastAsia"/>
                <w:kern w:val="0"/>
                <w:sz w:val="24"/>
                <w:szCs w:val="24"/>
              </w:rPr>
              <w:t>（共10分）</w:t>
            </w:r>
          </w:p>
        </w:tc>
        <w:tc>
          <w:tcPr>
            <w:tcW w:w="1658" w:type="dxa"/>
            <w:vMerge w:val="restart"/>
            <w:shd w:val="clear" w:color="auto" w:fill="auto"/>
            <w:vAlign w:val="center"/>
          </w:tcPr>
          <w:p>
            <w:pPr>
              <w:widowControl/>
              <w:jc w:val="center"/>
              <w:rPr>
                <w:rFonts w:cs="宋体" w:asciiTheme="minorEastAsia" w:hAnsiTheme="minorEastAsia" w:eastAsiaTheme="minorEastAsia"/>
                <w:kern w:val="0"/>
                <w:sz w:val="24"/>
                <w:szCs w:val="24"/>
              </w:rPr>
            </w:pPr>
            <w:r>
              <w:rPr>
                <w:rFonts w:hint="eastAsia" w:cs="宋体" w:asciiTheme="minorEastAsia" w:hAnsiTheme="minorEastAsia" w:eastAsiaTheme="minorEastAsia"/>
                <w:kern w:val="0"/>
                <w:sz w:val="24"/>
                <w:szCs w:val="24"/>
              </w:rPr>
              <w:t>建站管理</w:t>
            </w:r>
          </w:p>
        </w:tc>
        <w:tc>
          <w:tcPr>
            <w:tcW w:w="4497" w:type="dxa"/>
            <w:shd w:val="clear" w:color="auto" w:fill="auto"/>
            <w:vAlign w:val="center"/>
          </w:tcPr>
          <w:p>
            <w:pPr>
              <w:widowControl/>
              <w:rPr>
                <w:rFonts w:cs="宋体" w:asciiTheme="minorEastAsia" w:hAnsiTheme="minorEastAsia" w:eastAsiaTheme="minorEastAsia"/>
                <w:kern w:val="0"/>
                <w:sz w:val="24"/>
                <w:szCs w:val="24"/>
              </w:rPr>
            </w:pPr>
            <w:r>
              <w:rPr>
                <w:rFonts w:hint="eastAsia" w:cs="宋体" w:asciiTheme="minorEastAsia" w:hAnsiTheme="minorEastAsia" w:eastAsiaTheme="minorEastAsia"/>
                <w:kern w:val="0"/>
                <w:sz w:val="24"/>
                <w:szCs w:val="24"/>
              </w:rPr>
              <w:t>管理公司信息：</w:t>
            </w:r>
          </w:p>
          <w:p>
            <w:pPr>
              <w:widowControl/>
              <w:rPr>
                <w:rFonts w:cs="宋体" w:asciiTheme="minorEastAsia" w:hAnsiTheme="minorEastAsia" w:eastAsiaTheme="minorEastAsia"/>
                <w:kern w:val="0"/>
                <w:sz w:val="24"/>
                <w:szCs w:val="24"/>
              </w:rPr>
            </w:pPr>
            <w:r>
              <w:rPr>
                <w:rFonts w:hint="eastAsia" w:cs="宋体" w:asciiTheme="minorEastAsia" w:hAnsiTheme="minorEastAsia" w:eastAsiaTheme="minorEastAsia"/>
                <w:kern w:val="0"/>
                <w:sz w:val="24"/>
                <w:szCs w:val="24"/>
              </w:rPr>
              <w:t>须完善公司信息，全部填写完整则得满分0.8分，具体包括5个主营业务(每个0.04分）、10个更多经营产品（每个0.016分）、设置公司标志（0.088分）、设置3个公司形象展示图（每个0.088分）及公司详细信息的填写（0.088分）。</w:t>
            </w:r>
          </w:p>
        </w:tc>
        <w:tc>
          <w:tcPr>
            <w:tcW w:w="669" w:type="dxa"/>
            <w:shd w:val="clear" w:color="auto" w:fill="auto"/>
            <w:vAlign w:val="center"/>
          </w:tcPr>
          <w:p>
            <w:pPr>
              <w:widowControl/>
              <w:jc w:val="center"/>
              <w:rPr>
                <w:rFonts w:cs="宋体" w:asciiTheme="minorEastAsia" w:hAnsiTheme="minorEastAsia" w:eastAsiaTheme="minorEastAsia"/>
                <w:kern w:val="0"/>
                <w:sz w:val="24"/>
                <w:szCs w:val="24"/>
              </w:rPr>
            </w:pPr>
            <w:r>
              <w:rPr>
                <w:rFonts w:hint="eastAsia" w:cs="宋体" w:asciiTheme="minorEastAsia" w:hAnsiTheme="minorEastAsia" w:eastAsiaTheme="minorEastAsia"/>
                <w:kern w:val="0"/>
                <w:sz w:val="24"/>
                <w:szCs w:val="24"/>
              </w:rPr>
              <w:t>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jc w:val="center"/>
        </w:trPr>
        <w:tc>
          <w:tcPr>
            <w:tcW w:w="1358" w:type="dxa"/>
            <w:vMerge w:val="continue"/>
            <w:vAlign w:val="center"/>
          </w:tcPr>
          <w:p>
            <w:pPr>
              <w:widowControl/>
              <w:jc w:val="center"/>
              <w:rPr>
                <w:rFonts w:cs="宋体" w:asciiTheme="minorEastAsia" w:hAnsiTheme="minorEastAsia" w:eastAsiaTheme="minorEastAsia"/>
                <w:kern w:val="0"/>
                <w:sz w:val="24"/>
                <w:szCs w:val="24"/>
              </w:rPr>
            </w:pPr>
          </w:p>
        </w:tc>
        <w:tc>
          <w:tcPr>
            <w:tcW w:w="1658" w:type="dxa"/>
            <w:vMerge w:val="continue"/>
            <w:vAlign w:val="center"/>
          </w:tcPr>
          <w:p>
            <w:pPr>
              <w:widowControl/>
              <w:jc w:val="center"/>
              <w:rPr>
                <w:rFonts w:cs="宋体" w:asciiTheme="minorEastAsia" w:hAnsiTheme="minorEastAsia" w:eastAsiaTheme="minorEastAsia"/>
                <w:kern w:val="0"/>
                <w:sz w:val="24"/>
                <w:szCs w:val="24"/>
              </w:rPr>
            </w:pPr>
          </w:p>
        </w:tc>
        <w:tc>
          <w:tcPr>
            <w:tcW w:w="4497" w:type="dxa"/>
            <w:shd w:val="clear" w:color="auto" w:fill="auto"/>
            <w:vAlign w:val="center"/>
          </w:tcPr>
          <w:p>
            <w:pPr>
              <w:widowControl/>
              <w:rPr>
                <w:rFonts w:cs="宋体" w:asciiTheme="minorEastAsia" w:hAnsiTheme="minorEastAsia" w:eastAsiaTheme="minorEastAsia"/>
                <w:kern w:val="0"/>
                <w:sz w:val="24"/>
                <w:szCs w:val="24"/>
              </w:rPr>
            </w:pPr>
            <w:r>
              <w:rPr>
                <w:rFonts w:hint="eastAsia" w:cs="宋体" w:asciiTheme="minorEastAsia" w:hAnsiTheme="minorEastAsia" w:eastAsiaTheme="minorEastAsia"/>
                <w:kern w:val="0"/>
                <w:sz w:val="24"/>
                <w:szCs w:val="24"/>
              </w:rPr>
              <w:t>完成A&amp;V认证得0.2分。</w:t>
            </w:r>
          </w:p>
        </w:tc>
        <w:tc>
          <w:tcPr>
            <w:tcW w:w="669" w:type="dxa"/>
            <w:shd w:val="clear" w:color="auto" w:fill="auto"/>
            <w:vAlign w:val="center"/>
          </w:tcPr>
          <w:p>
            <w:pPr>
              <w:widowControl/>
              <w:jc w:val="center"/>
              <w:rPr>
                <w:rFonts w:cs="宋体" w:asciiTheme="minorEastAsia" w:hAnsiTheme="minorEastAsia" w:eastAsiaTheme="minorEastAsia"/>
                <w:kern w:val="0"/>
                <w:sz w:val="24"/>
                <w:szCs w:val="24"/>
              </w:rPr>
            </w:pPr>
            <w:r>
              <w:rPr>
                <w:rFonts w:hint="eastAsia" w:cs="宋体" w:asciiTheme="minorEastAsia" w:hAnsiTheme="minorEastAsia" w:eastAsiaTheme="minorEastAsia"/>
                <w:kern w:val="0"/>
                <w:sz w:val="24"/>
                <w:szCs w:val="24"/>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jc w:val="center"/>
        </w:trPr>
        <w:tc>
          <w:tcPr>
            <w:tcW w:w="1358" w:type="dxa"/>
            <w:vMerge w:val="continue"/>
            <w:vAlign w:val="center"/>
          </w:tcPr>
          <w:p>
            <w:pPr>
              <w:widowControl/>
              <w:jc w:val="center"/>
              <w:rPr>
                <w:rFonts w:cs="宋体" w:asciiTheme="minorEastAsia" w:hAnsiTheme="minorEastAsia" w:eastAsiaTheme="minorEastAsia"/>
                <w:kern w:val="0"/>
                <w:sz w:val="24"/>
                <w:szCs w:val="24"/>
              </w:rPr>
            </w:pPr>
          </w:p>
        </w:tc>
        <w:tc>
          <w:tcPr>
            <w:tcW w:w="1658" w:type="dxa"/>
            <w:vMerge w:val="continue"/>
            <w:vAlign w:val="center"/>
          </w:tcPr>
          <w:p>
            <w:pPr>
              <w:widowControl/>
              <w:jc w:val="center"/>
              <w:rPr>
                <w:rFonts w:cs="宋体" w:asciiTheme="minorEastAsia" w:hAnsiTheme="minorEastAsia" w:eastAsiaTheme="minorEastAsia"/>
                <w:kern w:val="0"/>
                <w:sz w:val="24"/>
                <w:szCs w:val="24"/>
              </w:rPr>
            </w:pPr>
          </w:p>
        </w:tc>
        <w:tc>
          <w:tcPr>
            <w:tcW w:w="4497" w:type="dxa"/>
            <w:shd w:val="clear" w:color="auto" w:fill="auto"/>
            <w:vAlign w:val="center"/>
          </w:tcPr>
          <w:p>
            <w:pPr>
              <w:widowControl/>
              <w:rPr>
                <w:rFonts w:cs="宋体" w:asciiTheme="minorEastAsia" w:hAnsiTheme="minorEastAsia" w:eastAsiaTheme="minorEastAsia"/>
                <w:kern w:val="0"/>
                <w:sz w:val="24"/>
                <w:szCs w:val="24"/>
              </w:rPr>
            </w:pPr>
            <w:r>
              <w:rPr>
                <w:rFonts w:hint="eastAsia" w:cs="宋体" w:asciiTheme="minorEastAsia" w:hAnsiTheme="minorEastAsia" w:eastAsiaTheme="minorEastAsia"/>
                <w:kern w:val="0"/>
                <w:sz w:val="24"/>
                <w:szCs w:val="24"/>
              </w:rPr>
              <w:t>加入金品诚企并完成管理能力评估得0.2分。</w:t>
            </w:r>
          </w:p>
        </w:tc>
        <w:tc>
          <w:tcPr>
            <w:tcW w:w="669" w:type="dxa"/>
            <w:shd w:val="clear" w:color="auto" w:fill="auto"/>
            <w:vAlign w:val="center"/>
          </w:tcPr>
          <w:p>
            <w:pPr>
              <w:widowControl/>
              <w:jc w:val="center"/>
              <w:rPr>
                <w:rFonts w:cs="宋体" w:asciiTheme="minorEastAsia" w:hAnsiTheme="minorEastAsia" w:eastAsiaTheme="minorEastAsia"/>
                <w:kern w:val="0"/>
                <w:sz w:val="24"/>
                <w:szCs w:val="24"/>
              </w:rPr>
            </w:pPr>
            <w:r>
              <w:rPr>
                <w:rFonts w:hint="eastAsia" w:cs="宋体" w:asciiTheme="minorEastAsia" w:hAnsiTheme="minorEastAsia" w:eastAsiaTheme="minorEastAsia"/>
                <w:kern w:val="0"/>
                <w:sz w:val="24"/>
                <w:szCs w:val="24"/>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jc w:val="center"/>
        </w:trPr>
        <w:tc>
          <w:tcPr>
            <w:tcW w:w="1358" w:type="dxa"/>
            <w:vMerge w:val="continue"/>
            <w:vAlign w:val="center"/>
          </w:tcPr>
          <w:p>
            <w:pPr>
              <w:widowControl/>
              <w:jc w:val="center"/>
              <w:rPr>
                <w:rFonts w:cs="宋体" w:asciiTheme="minorEastAsia" w:hAnsiTheme="minorEastAsia" w:eastAsiaTheme="minorEastAsia"/>
                <w:kern w:val="0"/>
                <w:sz w:val="24"/>
                <w:szCs w:val="24"/>
              </w:rPr>
            </w:pPr>
          </w:p>
        </w:tc>
        <w:tc>
          <w:tcPr>
            <w:tcW w:w="1658" w:type="dxa"/>
            <w:vMerge w:val="continue"/>
            <w:vAlign w:val="center"/>
          </w:tcPr>
          <w:p>
            <w:pPr>
              <w:widowControl/>
              <w:jc w:val="center"/>
              <w:rPr>
                <w:rFonts w:cs="宋体" w:asciiTheme="minorEastAsia" w:hAnsiTheme="minorEastAsia" w:eastAsiaTheme="minorEastAsia"/>
                <w:kern w:val="0"/>
                <w:sz w:val="24"/>
                <w:szCs w:val="24"/>
              </w:rPr>
            </w:pPr>
          </w:p>
        </w:tc>
        <w:tc>
          <w:tcPr>
            <w:tcW w:w="4497" w:type="dxa"/>
            <w:shd w:val="clear" w:color="auto" w:fill="auto"/>
            <w:vAlign w:val="center"/>
          </w:tcPr>
          <w:p>
            <w:pPr>
              <w:widowControl/>
              <w:rPr>
                <w:rFonts w:cs="宋体" w:asciiTheme="minorEastAsia" w:hAnsiTheme="minorEastAsia" w:eastAsiaTheme="minorEastAsia"/>
                <w:kern w:val="0"/>
                <w:sz w:val="24"/>
                <w:szCs w:val="24"/>
              </w:rPr>
            </w:pPr>
            <w:r>
              <w:rPr>
                <w:rFonts w:hint="eastAsia" w:cs="宋体" w:asciiTheme="minorEastAsia" w:hAnsiTheme="minorEastAsia" w:eastAsiaTheme="minorEastAsia"/>
                <w:kern w:val="0"/>
                <w:sz w:val="24"/>
                <w:szCs w:val="24"/>
              </w:rPr>
              <w:t>完成店铺装修，包括更换主题和Banner，各0.2分。</w:t>
            </w:r>
          </w:p>
        </w:tc>
        <w:tc>
          <w:tcPr>
            <w:tcW w:w="669" w:type="dxa"/>
            <w:shd w:val="clear" w:color="auto" w:fill="auto"/>
            <w:vAlign w:val="center"/>
          </w:tcPr>
          <w:p>
            <w:pPr>
              <w:widowControl/>
              <w:jc w:val="center"/>
              <w:rPr>
                <w:rFonts w:cs="宋体" w:asciiTheme="minorEastAsia" w:hAnsiTheme="minorEastAsia" w:eastAsiaTheme="minorEastAsia"/>
                <w:kern w:val="0"/>
                <w:sz w:val="24"/>
                <w:szCs w:val="24"/>
              </w:rPr>
            </w:pPr>
            <w:r>
              <w:rPr>
                <w:rFonts w:hint="eastAsia" w:cs="宋体" w:asciiTheme="minorEastAsia" w:hAnsiTheme="minorEastAsia" w:eastAsiaTheme="minorEastAsia"/>
                <w:kern w:val="0"/>
                <w:sz w:val="24"/>
                <w:szCs w:val="24"/>
              </w:rPr>
              <w:t>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jc w:val="center"/>
        </w:trPr>
        <w:tc>
          <w:tcPr>
            <w:tcW w:w="1358" w:type="dxa"/>
            <w:vMerge w:val="continue"/>
            <w:vAlign w:val="center"/>
          </w:tcPr>
          <w:p>
            <w:pPr>
              <w:widowControl/>
              <w:jc w:val="center"/>
              <w:rPr>
                <w:rFonts w:cs="宋体" w:asciiTheme="minorEastAsia" w:hAnsiTheme="minorEastAsia" w:eastAsiaTheme="minorEastAsia"/>
                <w:kern w:val="0"/>
                <w:sz w:val="24"/>
                <w:szCs w:val="24"/>
              </w:rPr>
            </w:pPr>
          </w:p>
        </w:tc>
        <w:tc>
          <w:tcPr>
            <w:tcW w:w="1658" w:type="dxa"/>
            <w:vMerge w:val="restart"/>
            <w:shd w:val="clear" w:color="auto" w:fill="auto"/>
            <w:vAlign w:val="center"/>
          </w:tcPr>
          <w:p>
            <w:pPr>
              <w:widowControl/>
              <w:jc w:val="center"/>
              <w:rPr>
                <w:rFonts w:cs="宋体" w:asciiTheme="minorEastAsia" w:hAnsiTheme="minorEastAsia" w:eastAsiaTheme="minorEastAsia"/>
                <w:kern w:val="0"/>
                <w:sz w:val="24"/>
                <w:szCs w:val="24"/>
              </w:rPr>
            </w:pPr>
            <w:r>
              <w:rPr>
                <w:rFonts w:hint="eastAsia" w:cs="宋体" w:asciiTheme="minorEastAsia" w:hAnsiTheme="minorEastAsia" w:eastAsiaTheme="minorEastAsia"/>
                <w:kern w:val="0"/>
                <w:sz w:val="24"/>
                <w:szCs w:val="24"/>
              </w:rPr>
              <w:t>产品管理</w:t>
            </w:r>
          </w:p>
        </w:tc>
        <w:tc>
          <w:tcPr>
            <w:tcW w:w="4497" w:type="dxa"/>
            <w:shd w:val="clear" w:color="auto" w:fill="auto"/>
            <w:vAlign w:val="center"/>
          </w:tcPr>
          <w:p>
            <w:pPr>
              <w:widowControl/>
              <w:rPr>
                <w:rFonts w:cs="宋体" w:asciiTheme="minorEastAsia" w:hAnsiTheme="minorEastAsia" w:eastAsiaTheme="minorEastAsia"/>
                <w:kern w:val="0"/>
                <w:sz w:val="24"/>
                <w:szCs w:val="24"/>
              </w:rPr>
            </w:pPr>
            <w:r>
              <w:rPr>
                <w:rFonts w:hint="eastAsia" w:cs="宋体" w:asciiTheme="minorEastAsia" w:hAnsiTheme="minorEastAsia" w:eastAsiaTheme="minorEastAsia"/>
                <w:kern w:val="0"/>
                <w:sz w:val="24"/>
                <w:szCs w:val="24"/>
              </w:rPr>
              <w:t>发布产品的数量，发布1个产品得0.4分，5个满分。</w:t>
            </w:r>
          </w:p>
        </w:tc>
        <w:tc>
          <w:tcPr>
            <w:tcW w:w="669" w:type="dxa"/>
            <w:shd w:val="clear" w:color="auto" w:fill="auto"/>
            <w:vAlign w:val="center"/>
          </w:tcPr>
          <w:p>
            <w:pPr>
              <w:widowControl/>
              <w:jc w:val="center"/>
              <w:rPr>
                <w:rFonts w:cs="宋体" w:asciiTheme="minorEastAsia" w:hAnsiTheme="minorEastAsia" w:eastAsiaTheme="minorEastAsia"/>
                <w:kern w:val="0"/>
                <w:sz w:val="24"/>
                <w:szCs w:val="24"/>
              </w:rPr>
            </w:pPr>
            <w:r>
              <w:rPr>
                <w:rFonts w:hint="eastAsia" w:cs="宋体" w:asciiTheme="minorEastAsia" w:hAnsiTheme="minorEastAsia" w:eastAsiaTheme="minorEastAsia"/>
                <w:kern w:val="0"/>
                <w:sz w:val="24"/>
                <w:szCs w:val="24"/>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jc w:val="center"/>
        </w:trPr>
        <w:tc>
          <w:tcPr>
            <w:tcW w:w="1358" w:type="dxa"/>
            <w:vMerge w:val="continue"/>
            <w:vAlign w:val="center"/>
          </w:tcPr>
          <w:p>
            <w:pPr>
              <w:widowControl/>
              <w:jc w:val="center"/>
              <w:rPr>
                <w:rFonts w:cs="宋体" w:asciiTheme="minorEastAsia" w:hAnsiTheme="minorEastAsia" w:eastAsiaTheme="minorEastAsia"/>
                <w:kern w:val="0"/>
                <w:sz w:val="24"/>
                <w:szCs w:val="24"/>
              </w:rPr>
            </w:pPr>
          </w:p>
        </w:tc>
        <w:tc>
          <w:tcPr>
            <w:tcW w:w="1658" w:type="dxa"/>
            <w:vMerge w:val="continue"/>
            <w:vAlign w:val="center"/>
          </w:tcPr>
          <w:p>
            <w:pPr>
              <w:widowControl/>
              <w:jc w:val="center"/>
              <w:rPr>
                <w:rFonts w:cs="宋体" w:asciiTheme="minorEastAsia" w:hAnsiTheme="minorEastAsia" w:eastAsiaTheme="minorEastAsia"/>
                <w:kern w:val="0"/>
                <w:sz w:val="24"/>
                <w:szCs w:val="24"/>
              </w:rPr>
            </w:pPr>
          </w:p>
        </w:tc>
        <w:tc>
          <w:tcPr>
            <w:tcW w:w="4497" w:type="dxa"/>
            <w:shd w:val="clear" w:color="auto" w:fill="auto"/>
            <w:vAlign w:val="center"/>
          </w:tcPr>
          <w:p>
            <w:pPr>
              <w:widowControl/>
              <w:rPr>
                <w:rFonts w:cs="宋体" w:asciiTheme="minorEastAsia" w:hAnsiTheme="minorEastAsia" w:eastAsiaTheme="minorEastAsia"/>
                <w:kern w:val="0"/>
                <w:sz w:val="24"/>
                <w:szCs w:val="24"/>
              </w:rPr>
            </w:pPr>
            <w:r>
              <w:rPr>
                <w:rFonts w:hint="eastAsia" w:cs="宋体" w:asciiTheme="minorEastAsia" w:hAnsiTheme="minorEastAsia" w:eastAsiaTheme="minorEastAsia"/>
                <w:kern w:val="0"/>
                <w:sz w:val="24"/>
                <w:szCs w:val="24"/>
              </w:rPr>
              <w:t>发布产品的质量，包括产品标题、关键词、产品图片、原产地等产品属性、物流信息（包括发货期、港口等）、产品详情等，此项得分取所有产品页面的平均分。</w:t>
            </w:r>
          </w:p>
        </w:tc>
        <w:tc>
          <w:tcPr>
            <w:tcW w:w="669" w:type="dxa"/>
            <w:shd w:val="clear" w:color="auto" w:fill="auto"/>
            <w:vAlign w:val="center"/>
          </w:tcPr>
          <w:p>
            <w:pPr>
              <w:widowControl/>
              <w:jc w:val="center"/>
              <w:rPr>
                <w:rFonts w:cs="宋体" w:asciiTheme="minorEastAsia" w:hAnsiTheme="minorEastAsia" w:eastAsiaTheme="minorEastAsia"/>
                <w:kern w:val="0"/>
                <w:sz w:val="24"/>
                <w:szCs w:val="24"/>
              </w:rPr>
            </w:pPr>
            <w:r>
              <w:rPr>
                <w:rFonts w:hint="eastAsia" w:cs="宋体" w:asciiTheme="minorEastAsia" w:hAnsiTheme="minorEastAsia" w:eastAsiaTheme="minorEastAsia"/>
                <w:kern w:val="0"/>
                <w:sz w:val="24"/>
                <w:szCs w:val="24"/>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jc w:val="center"/>
        </w:trPr>
        <w:tc>
          <w:tcPr>
            <w:tcW w:w="1358" w:type="dxa"/>
            <w:vMerge w:val="continue"/>
            <w:vAlign w:val="center"/>
          </w:tcPr>
          <w:p>
            <w:pPr>
              <w:widowControl/>
              <w:jc w:val="center"/>
              <w:rPr>
                <w:rFonts w:cs="宋体" w:asciiTheme="minorEastAsia" w:hAnsiTheme="minorEastAsia" w:eastAsiaTheme="minorEastAsia"/>
                <w:kern w:val="0"/>
                <w:sz w:val="24"/>
                <w:szCs w:val="24"/>
              </w:rPr>
            </w:pPr>
          </w:p>
        </w:tc>
        <w:tc>
          <w:tcPr>
            <w:tcW w:w="1658" w:type="dxa"/>
            <w:vMerge w:val="continue"/>
            <w:vAlign w:val="center"/>
          </w:tcPr>
          <w:p>
            <w:pPr>
              <w:widowControl/>
              <w:jc w:val="center"/>
              <w:rPr>
                <w:rFonts w:cs="宋体" w:asciiTheme="minorEastAsia" w:hAnsiTheme="minorEastAsia" w:eastAsiaTheme="minorEastAsia"/>
                <w:kern w:val="0"/>
                <w:sz w:val="24"/>
                <w:szCs w:val="24"/>
              </w:rPr>
            </w:pPr>
          </w:p>
        </w:tc>
        <w:tc>
          <w:tcPr>
            <w:tcW w:w="4497" w:type="dxa"/>
            <w:shd w:val="clear" w:color="auto" w:fill="auto"/>
            <w:vAlign w:val="center"/>
          </w:tcPr>
          <w:p>
            <w:pPr>
              <w:widowControl/>
              <w:rPr>
                <w:rFonts w:cs="宋体" w:asciiTheme="minorEastAsia" w:hAnsiTheme="minorEastAsia" w:eastAsiaTheme="minorEastAsia"/>
                <w:kern w:val="0"/>
                <w:sz w:val="24"/>
                <w:szCs w:val="24"/>
              </w:rPr>
            </w:pPr>
            <w:r>
              <w:rPr>
                <w:rFonts w:hint="eastAsia" w:cs="宋体" w:asciiTheme="minorEastAsia" w:hAnsiTheme="minorEastAsia" w:eastAsiaTheme="minorEastAsia"/>
                <w:kern w:val="0"/>
                <w:sz w:val="24"/>
                <w:szCs w:val="24"/>
              </w:rPr>
              <w:t>认证商品个数，每个0.08分，5个得满分。</w:t>
            </w:r>
          </w:p>
        </w:tc>
        <w:tc>
          <w:tcPr>
            <w:tcW w:w="669" w:type="dxa"/>
            <w:shd w:val="clear" w:color="auto" w:fill="auto"/>
            <w:vAlign w:val="center"/>
          </w:tcPr>
          <w:p>
            <w:pPr>
              <w:widowControl/>
              <w:jc w:val="center"/>
              <w:rPr>
                <w:rFonts w:cs="宋体" w:asciiTheme="minorEastAsia" w:hAnsiTheme="minorEastAsia" w:eastAsiaTheme="minorEastAsia"/>
                <w:kern w:val="0"/>
                <w:sz w:val="24"/>
                <w:szCs w:val="24"/>
              </w:rPr>
            </w:pPr>
            <w:r>
              <w:rPr>
                <w:rFonts w:hint="eastAsia" w:cs="宋体" w:asciiTheme="minorEastAsia" w:hAnsiTheme="minorEastAsia" w:eastAsiaTheme="minorEastAsia"/>
                <w:kern w:val="0"/>
                <w:sz w:val="24"/>
                <w:szCs w:val="24"/>
              </w:rPr>
              <w:t>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jc w:val="center"/>
        </w:trPr>
        <w:tc>
          <w:tcPr>
            <w:tcW w:w="1358" w:type="dxa"/>
            <w:vMerge w:val="continue"/>
            <w:vAlign w:val="center"/>
          </w:tcPr>
          <w:p>
            <w:pPr>
              <w:widowControl/>
              <w:jc w:val="center"/>
              <w:rPr>
                <w:rFonts w:cs="宋体" w:asciiTheme="minorEastAsia" w:hAnsiTheme="minorEastAsia" w:eastAsiaTheme="minorEastAsia"/>
                <w:kern w:val="0"/>
                <w:sz w:val="24"/>
                <w:szCs w:val="24"/>
              </w:rPr>
            </w:pPr>
          </w:p>
        </w:tc>
        <w:tc>
          <w:tcPr>
            <w:tcW w:w="1658" w:type="dxa"/>
            <w:vMerge w:val="continue"/>
            <w:vAlign w:val="center"/>
          </w:tcPr>
          <w:p>
            <w:pPr>
              <w:widowControl/>
              <w:jc w:val="center"/>
              <w:rPr>
                <w:rFonts w:cs="宋体" w:asciiTheme="minorEastAsia" w:hAnsiTheme="minorEastAsia" w:eastAsiaTheme="minorEastAsia"/>
                <w:kern w:val="0"/>
                <w:sz w:val="24"/>
                <w:szCs w:val="24"/>
              </w:rPr>
            </w:pPr>
          </w:p>
        </w:tc>
        <w:tc>
          <w:tcPr>
            <w:tcW w:w="4497" w:type="dxa"/>
            <w:shd w:val="clear" w:color="auto" w:fill="auto"/>
            <w:vAlign w:val="center"/>
          </w:tcPr>
          <w:p>
            <w:pPr>
              <w:widowControl/>
              <w:rPr>
                <w:rFonts w:cs="宋体" w:asciiTheme="minorEastAsia" w:hAnsiTheme="minorEastAsia" w:eastAsiaTheme="minorEastAsia"/>
                <w:kern w:val="0"/>
                <w:sz w:val="24"/>
                <w:szCs w:val="24"/>
              </w:rPr>
            </w:pPr>
            <w:r>
              <w:rPr>
                <w:rFonts w:hint="eastAsia" w:cs="宋体" w:asciiTheme="minorEastAsia" w:hAnsiTheme="minorEastAsia" w:eastAsiaTheme="minorEastAsia"/>
                <w:kern w:val="0"/>
                <w:sz w:val="24"/>
                <w:szCs w:val="24"/>
              </w:rPr>
              <w:t>橱窗产品个数，每个0.08分，5个得满分。</w:t>
            </w:r>
          </w:p>
        </w:tc>
        <w:tc>
          <w:tcPr>
            <w:tcW w:w="669" w:type="dxa"/>
            <w:shd w:val="clear" w:color="auto" w:fill="auto"/>
            <w:vAlign w:val="center"/>
          </w:tcPr>
          <w:p>
            <w:pPr>
              <w:widowControl/>
              <w:jc w:val="center"/>
              <w:rPr>
                <w:rFonts w:cs="宋体" w:asciiTheme="minorEastAsia" w:hAnsiTheme="minorEastAsia" w:eastAsiaTheme="minorEastAsia"/>
                <w:kern w:val="0"/>
                <w:sz w:val="24"/>
                <w:szCs w:val="24"/>
              </w:rPr>
            </w:pPr>
            <w:r>
              <w:rPr>
                <w:rFonts w:hint="eastAsia" w:cs="宋体" w:asciiTheme="minorEastAsia" w:hAnsiTheme="minorEastAsia" w:eastAsiaTheme="minorEastAsia"/>
                <w:kern w:val="0"/>
                <w:sz w:val="24"/>
                <w:szCs w:val="24"/>
              </w:rPr>
              <w:t>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jc w:val="center"/>
        </w:trPr>
        <w:tc>
          <w:tcPr>
            <w:tcW w:w="1358" w:type="dxa"/>
            <w:vMerge w:val="continue"/>
            <w:vAlign w:val="center"/>
          </w:tcPr>
          <w:p>
            <w:pPr>
              <w:widowControl/>
              <w:jc w:val="center"/>
              <w:rPr>
                <w:rFonts w:cs="宋体" w:asciiTheme="minorEastAsia" w:hAnsiTheme="minorEastAsia" w:eastAsiaTheme="minorEastAsia"/>
                <w:kern w:val="0"/>
                <w:sz w:val="24"/>
                <w:szCs w:val="24"/>
              </w:rPr>
            </w:pPr>
          </w:p>
        </w:tc>
        <w:tc>
          <w:tcPr>
            <w:tcW w:w="1658" w:type="dxa"/>
            <w:vMerge w:val="continue"/>
            <w:vAlign w:val="center"/>
          </w:tcPr>
          <w:p>
            <w:pPr>
              <w:widowControl/>
              <w:jc w:val="center"/>
              <w:rPr>
                <w:rFonts w:cs="宋体" w:asciiTheme="minorEastAsia" w:hAnsiTheme="minorEastAsia" w:eastAsiaTheme="minorEastAsia"/>
                <w:kern w:val="0"/>
                <w:sz w:val="24"/>
                <w:szCs w:val="24"/>
              </w:rPr>
            </w:pPr>
          </w:p>
        </w:tc>
        <w:tc>
          <w:tcPr>
            <w:tcW w:w="4497" w:type="dxa"/>
            <w:shd w:val="clear" w:color="auto" w:fill="auto"/>
            <w:vAlign w:val="center"/>
          </w:tcPr>
          <w:p>
            <w:pPr>
              <w:widowControl/>
              <w:rPr>
                <w:rFonts w:cs="宋体" w:asciiTheme="minorEastAsia" w:hAnsiTheme="minorEastAsia" w:eastAsiaTheme="minorEastAsia"/>
                <w:kern w:val="0"/>
                <w:sz w:val="24"/>
                <w:szCs w:val="24"/>
              </w:rPr>
            </w:pPr>
            <w:r>
              <w:rPr>
                <w:rFonts w:hint="eastAsia" w:cs="宋体" w:asciiTheme="minorEastAsia" w:hAnsiTheme="minorEastAsia" w:eastAsiaTheme="minorEastAsia"/>
                <w:kern w:val="0"/>
                <w:sz w:val="24"/>
                <w:szCs w:val="24"/>
              </w:rPr>
              <w:t>创建产品分组的个数，每创建一个一级分组得0.08分，5个得满分。</w:t>
            </w:r>
          </w:p>
        </w:tc>
        <w:tc>
          <w:tcPr>
            <w:tcW w:w="669" w:type="dxa"/>
            <w:shd w:val="clear" w:color="auto" w:fill="auto"/>
            <w:vAlign w:val="center"/>
          </w:tcPr>
          <w:p>
            <w:pPr>
              <w:widowControl/>
              <w:jc w:val="center"/>
              <w:rPr>
                <w:rFonts w:cs="宋体" w:asciiTheme="minorEastAsia" w:hAnsiTheme="minorEastAsia" w:eastAsiaTheme="minorEastAsia"/>
                <w:kern w:val="0"/>
                <w:sz w:val="24"/>
                <w:szCs w:val="24"/>
              </w:rPr>
            </w:pPr>
            <w:r>
              <w:rPr>
                <w:rFonts w:hint="eastAsia" w:cs="宋体" w:asciiTheme="minorEastAsia" w:hAnsiTheme="minorEastAsia" w:eastAsiaTheme="minorEastAsia"/>
                <w:kern w:val="0"/>
                <w:sz w:val="24"/>
                <w:szCs w:val="24"/>
              </w:rPr>
              <w:t>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jc w:val="center"/>
        </w:trPr>
        <w:tc>
          <w:tcPr>
            <w:tcW w:w="1358" w:type="dxa"/>
            <w:vMerge w:val="continue"/>
            <w:vAlign w:val="center"/>
          </w:tcPr>
          <w:p>
            <w:pPr>
              <w:widowControl/>
              <w:jc w:val="center"/>
              <w:rPr>
                <w:rFonts w:cs="宋体" w:asciiTheme="minorEastAsia" w:hAnsiTheme="minorEastAsia" w:eastAsiaTheme="minorEastAsia"/>
                <w:kern w:val="0"/>
                <w:sz w:val="24"/>
                <w:szCs w:val="24"/>
              </w:rPr>
            </w:pPr>
          </w:p>
        </w:tc>
        <w:tc>
          <w:tcPr>
            <w:tcW w:w="1658" w:type="dxa"/>
            <w:vMerge w:val="restart"/>
            <w:shd w:val="clear" w:color="auto" w:fill="auto"/>
            <w:vAlign w:val="center"/>
          </w:tcPr>
          <w:p>
            <w:pPr>
              <w:widowControl/>
              <w:jc w:val="center"/>
              <w:rPr>
                <w:rFonts w:cs="宋体" w:asciiTheme="minorEastAsia" w:hAnsiTheme="minorEastAsia" w:eastAsiaTheme="minorEastAsia"/>
                <w:kern w:val="0"/>
                <w:sz w:val="24"/>
                <w:szCs w:val="24"/>
              </w:rPr>
            </w:pPr>
            <w:r>
              <w:rPr>
                <w:rFonts w:hint="eastAsia" w:cs="宋体" w:asciiTheme="minorEastAsia" w:hAnsiTheme="minorEastAsia" w:eastAsiaTheme="minorEastAsia"/>
                <w:kern w:val="0"/>
                <w:sz w:val="24"/>
                <w:szCs w:val="24"/>
              </w:rPr>
              <w:t>采购直达</w:t>
            </w:r>
          </w:p>
        </w:tc>
        <w:tc>
          <w:tcPr>
            <w:tcW w:w="4497" w:type="dxa"/>
            <w:shd w:val="clear" w:color="auto" w:fill="auto"/>
            <w:vAlign w:val="center"/>
          </w:tcPr>
          <w:p>
            <w:pPr>
              <w:widowControl/>
              <w:rPr>
                <w:rFonts w:cs="宋体" w:asciiTheme="minorEastAsia" w:hAnsiTheme="minorEastAsia" w:eastAsiaTheme="minorEastAsia"/>
                <w:kern w:val="0"/>
                <w:sz w:val="24"/>
                <w:szCs w:val="24"/>
              </w:rPr>
            </w:pPr>
            <w:r>
              <w:rPr>
                <w:rFonts w:hint="eastAsia" w:cs="宋体" w:asciiTheme="minorEastAsia" w:hAnsiTheme="minorEastAsia" w:eastAsiaTheme="minorEastAsia"/>
                <w:kern w:val="0"/>
                <w:sz w:val="24"/>
                <w:szCs w:val="24"/>
              </w:rPr>
              <w:t>发布采购需求数量，每个0.08分，5个满分。</w:t>
            </w:r>
          </w:p>
        </w:tc>
        <w:tc>
          <w:tcPr>
            <w:tcW w:w="669" w:type="dxa"/>
            <w:shd w:val="clear" w:color="auto" w:fill="auto"/>
            <w:vAlign w:val="center"/>
          </w:tcPr>
          <w:p>
            <w:pPr>
              <w:widowControl/>
              <w:jc w:val="center"/>
              <w:rPr>
                <w:rFonts w:cs="宋体" w:asciiTheme="minorEastAsia" w:hAnsiTheme="minorEastAsia" w:eastAsiaTheme="minorEastAsia"/>
                <w:kern w:val="0"/>
                <w:sz w:val="24"/>
                <w:szCs w:val="24"/>
              </w:rPr>
            </w:pPr>
            <w:r>
              <w:rPr>
                <w:rFonts w:hint="eastAsia" w:cs="宋体" w:asciiTheme="minorEastAsia" w:hAnsiTheme="minorEastAsia" w:eastAsiaTheme="minorEastAsia"/>
                <w:kern w:val="0"/>
                <w:sz w:val="24"/>
                <w:szCs w:val="24"/>
              </w:rPr>
              <w:t>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jc w:val="center"/>
        </w:trPr>
        <w:tc>
          <w:tcPr>
            <w:tcW w:w="1358" w:type="dxa"/>
            <w:vMerge w:val="continue"/>
            <w:vAlign w:val="center"/>
          </w:tcPr>
          <w:p>
            <w:pPr>
              <w:widowControl/>
              <w:jc w:val="center"/>
              <w:rPr>
                <w:rFonts w:cs="宋体" w:asciiTheme="minorEastAsia" w:hAnsiTheme="minorEastAsia" w:eastAsiaTheme="minorEastAsia"/>
                <w:kern w:val="0"/>
                <w:sz w:val="24"/>
                <w:szCs w:val="24"/>
              </w:rPr>
            </w:pPr>
          </w:p>
        </w:tc>
        <w:tc>
          <w:tcPr>
            <w:tcW w:w="1658" w:type="dxa"/>
            <w:vMerge w:val="continue"/>
            <w:vAlign w:val="center"/>
          </w:tcPr>
          <w:p>
            <w:pPr>
              <w:widowControl/>
              <w:jc w:val="center"/>
              <w:rPr>
                <w:rFonts w:cs="宋体" w:asciiTheme="minorEastAsia" w:hAnsiTheme="minorEastAsia" w:eastAsiaTheme="minorEastAsia"/>
                <w:kern w:val="0"/>
                <w:sz w:val="24"/>
                <w:szCs w:val="24"/>
              </w:rPr>
            </w:pPr>
          </w:p>
        </w:tc>
        <w:tc>
          <w:tcPr>
            <w:tcW w:w="4497" w:type="dxa"/>
            <w:shd w:val="clear" w:color="auto" w:fill="auto"/>
            <w:vAlign w:val="center"/>
          </w:tcPr>
          <w:p>
            <w:pPr>
              <w:widowControl/>
              <w:rPr>
                <w:rFonts w:cs="宋体" w:asciiTheme="minorEastAsia" w:hAnsiTheme="minorEastAsia" w:eastAsiaTheme="minorEastAsia"/>
                <w:kern w:val="0"/>
                <w:sz w:val="24"/>
                <w:szCs w:val="24"/>
              </w:rPr>
            </w:pPr>
            <w:r>
              <w:rPr>
                <w:rFonts w:hint="eastAsia" w:cs="宋体" w:asciiTheme="minorEastAsia" w:hAnsiTheme="minorEastAsia" w:eastAsiaTheme="minorEastAsia"/>
                <w:kern w:val="0"/>
                <w:sz w:val="24"/>
                <w:szCs w:val="24"/>
              </w:rPr>
              <w:t>采购需求的内容，主要考量填写的完整性和正确性，此项得分取所有采购需求的平均分。</w:t>
            </w:r>
          </w:p>
        </w:tc>
        <w:tc>
          <w:tcPr>
            <w:tcW w:w="669" w:type="dxa"/>
            <w:shd w:val="clear" w:color="auto" w:fill="auto"/>
            <w:vAlign w:val="center"/>
          </w:tcPr>
          <w:p>
            <w:pPr>
              <w:widowControl/>
              <w:jc w:val="center"/>
              <w:rPr>
                <w:rFonts w:cs="宋体" w:asciiTheme="minorEastAsia" w:hAnsiTheme="minorEastAsia" w:eastAsiaTheme="minorEastAsia"/>
                <w:kern w:val="0"/>
                <w:sz w:val="24"/>
                <w:szCs w:val="24"/>
              </w:rPr>
            </w:pPr>
            <w:r>
              <w:rPr>
                <w:rFonts w:hint="eastAsia" w:cs="宋体" w:asciiTheme="minorEastAsia" w:hAnsiTheme="minorEastAsia" w:eastAsiaTheme="minorEastAsia"/>
                <w:kern w:val="0"/>
                <w:sz w:val="24"/>
                <w:szCs w:val="24"/>
              </w:rPr>
              <w:t>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 w:hRule="atLeast"/>
          <w:tblHeader/>
          <w:jc w:val="center"/>
        </w:trPr>
        <w:tc>
          <w:tcPr>
            <w:tcW w:w="1358" w:type="dxa"/>
            <w:vMerge w:val="continue"/>
            <w:vAlign w:val="center"/>
          </w:tcPr>
          <w:p>
            <w:pPr>
              <w:widowControl/>
              <w:jc w:val="center"/>
              <w:rPr>
                <w:rFonts w:cs="宋体" w:asciiTheme="minorEastAsia" w:hAnsiTheme="minorEastAsia" w:eastAsiaTheme="minorEastAsia"/>
                <w:kern w:val="0"/>
                <w:sz w:val="24"/>
                <w:szCs w:val="24"/>
              </w:rPr>
            </w:pPr>
          </w:p>
        </w:tc>
        <w:tc>
          <w:tcPr>
            <w:tcW w:w="1658" w:type="dxa"/>
            <w:vMerge w:val="restart"/>
            <w:shd w:val="clear" w:color="auto" w:fill="auto"/>
            <w:vAlign w:val="center"/>
          </w:tcPr>
          <w:p>
            <w:pPr>
              <w:widowControl/>
              <w:jc w:val="center"/>
              <w:rPr>
                <w:rFonts w:cs="宋体" w:asciiTheme="minorEastAsia" w:hAnsiTheme="minorEastAsia" w:eastAsiaTheme="minorEastAsia"/>
                <w:kern w:val="0"/>
                <w:sz w:val="24"/>
                <w:szCs w:val="24"/>
              </w:rPr>
            </w:pPr>
            <w:r>
              <w:rPr>
                <w:rFonts w:hint="eastAsia" w:cs="宋体" w:asciiTheme="minorEastAsia" w:hAnsiTheme="minorEastAsia" w:eastAsiaTheme="minorEastAsia"/>
                <w:kern w:val="0"/>
                <w:sz w:val="24"/>
                <w:szCs w:val="24"/>
              </w:rPr>
              <w:t>公司广告推广</w:t>
            </w:r>
          </w:p>
        </w:tc>
        <w:tc>
          <w:tcPr>
            <w:tcW w:w="4497" w:type="dxa"/>
            <w:shd w:val="clear" w:color="auto" w:fill="auto"/>
            <w:vAlign w:val="center"/>
          </w:tcPr>
          <w:p>
            <w:pPr>
              <w:widowControl/>
              <w:rPr>
                <w:rFonts w:cs="宋体" w:asciiTheme="minorEastAsia" w:hAnsiTheme="minorEastAsia" w:eastAsiaTheme="minorEastAsia"/>
                <w:kern w:val="0"/>
                <w:sz w:val="24"/>
                <w:szCs w:val="24"/>
              </w:rPr>
            </w:pPr>
            <w:r>
              <w:rPr>
                <w:rFonts w:hint="eastAsia" w:cs="宋体" w:asciiTheme="minorEastAsia" w:hAnsiTheme="minorEastAsia" w:eastAsiaTheme="minorEastAsia"/>
                <w:kern w:val="0"/>
                <w:sz w:val="24"/>
                <w:szCs w:val="24"/>
              </w:rPr>
              <w:t>发布公司广告的数量，每条0.2分，3条满分。</w:t>
            </w:r>
          </w:p>
        </w:tc>
        <w:tc>
          <w:tcPr>
            <w:tcW w:w="669" w:type="dxa"/>
            <w:shd w:val="clear" w:color="auto" w:fill="auto"/>
            <w:vAlign w:val="center"/>
          </w:tcPr>
          <w:p>
            <w:pPr>
              <w:widowControl/>
              <w:jc w:val="center"/>
              <w:rPr>
                <w:rFonts w:cs="宋体" w:asciiTheme="minorEastAsia" w:hAnsiTheme="minorEastAsia" w:eastAsiaTheme="minorEastAsia"/>
                <w:kern w:val="0"/>
                <w:sz w:val="24"/>
                <w:szCs w:val="24"/>
              </w:rPr>
            </w:pPr>
            <w:r>
              <w:rPr>
                <w:rFonts w:hint="eastAsia" w:cs="宋体" w:asciiTheme="minorEastAsia" w:hAnsiTheme="minorEastAsia" w:eastAsiaTheme="minorEastAsia"/>
                <w:kern w:val="0"/>
                <w:sz w:val="24"/>
                <w:szCs w:val="24"/>
              </w:rPr>
              <w:t>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jc w:val="center"/>
        </w:trPr>
        <w:tc>
          <w:tcPr>
            <w:tcW w:w="1358" w:type="dxa"/>
            <w:vMerge w:val="continue"/>
            <w:vAlign w:val="center"/>
          </w:tcPr>
          <w:p>
            <w:pPr>
              <w:widowControl/>
              <w:jc w:val="center"/>
              <w:rPr>
                <w:rFonts w:cs="宋体" w:asciiTheme="minorEastAsia" w:hAnsiTheme="minorEastAsia" w:eastAsiaTheme="minorEastAsia"/>
                <w:kern w:val="0"/>
                <w:sz w:val="24"/>
                <w:szCs w:val="24"/>
              </w:rPr>
            </w:pPr>
          </w:p>
        </w:tc>
        <w:tc>
          <w:tcPr>
            <w:tcW w:w="1658" w:type="dxa"/>
            <w:vMerge w:val="continue"/>
            <w:vAlign w:val="center"/>
          </w:tcPr>
          <w:p>
            <w:pPr>
              <w:widowControl/>
              <w:jc w:val="center"/>
              <w:rPr>
                <w:rFonts w:cs="宋体" w:asciiTheme="minorEastAsia" w:hAnsiTheme="minorEastAsia" w:eastAsiaTheme="minorEastAsia"/>
                <w:kern w:val="0"/>
                <w:sz w:val="24"/>
                <w:szCs w:val="24"/>
              </w:rPr>
            </w:pPr>
          </w:p>
        </w:tc>
        <w:tc>
          <w:tcPr>
            <w:tcW w:w="4497" w:type="dxa"/>
            <w:shd w:val="clear" w:color="auto" w:fill="auto"/>
            <w:vAlign w:val="center"/>
          </w:tcPr>
          <w:p>
            <w:pPr>
              <w:widowControl/>
              <w:rPr>
                <w:rFonts w:cs="宋体" w:asciiTheme="minorEastAsia" w:hAnsiTheme="minorEastAsia" w:eastAsiaTheme="minorEastAsia"/>
                <w:kern w:val="0"/>
                <w:sz w:val="24"/>
                <w:szCs w:val="24"/>
              </w:rPr>
            </w:pPr>
            <w:r>
              <w:rPr>
                <w:rFonts w:hint="eastAsia" w:cs="宋体" w:asciiTheme="minorEastAsia" w:hAnsiTheme="minorEastAsia" w:eastAsiaTheme="minorEastAsia"/>
                <w:kern w:val="0"/>
                <w:sz w:val="24"/>
                <w:szCs w:val="24"/>
              </w:rPr>
              <w:t>发布公司广告的质量，标题和内容要求均为英文，能较好地展示公司，突出公司的主营产品等。此项得分取所有公司广告的平均分。</w:t>
            </w:r>
          </w:p>
        </w:tc>
        <w:tc>
          <w:tcPr>
            <w:tcW w:w="669" w:type="dxa"/>
            <w:shd w:val="clear" w:color="auto" w:fill="auto"/>
            <w:vAlign w:val="center"/>
          </w:tcPr>
          <w:p>
            <w:pPr>
              <w:widowControl/>
              <w:jc w:val="center"/>
              <w:rPr>
                <w:rFonts w:cs="宋体" w:asciiTheme="minorEastAsia" w:hAnsiTheme="minorEastAsia" w:eastAsiaTheme="minorEastAsia"/>
                <w:kern w:val="0"/>
                <w:sz w:val="24"/>
                <w:szCs w:val="24"/>
              </w:rPr>
            </w:pPr>
            <w:r>
              <w:rPr>
                <w:rFonts w:hint="eastAsia" w:cs="宋体" w:asciiTheme="minorEastAsia" w:hAnsiTheme="minorEastAsia" w:eastAsiaTheme="minorEastAsia"/>
                <w:kern w:val="0"/>
                <w:sz w:val="24"/>
                <w:szCs w:val="24"/>
              </w:rPr>
              <w:t>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jc w:val="center"/>
        </w:trPr>
        <w:tc>
          <w:tcPr>
            <w:tcW w:w="1358" w:type="dxa"/>
            <w:shd w:val="clear" w:color="auto" w:fill="auto"/>
            <w:vAlign w:val="center"/>
          </w:tcPr>
          <w:p>
            <w:pPr>
              <w:widowControl/>
              <w:jc w:val="center"/>
              <w:rPr>
                <w:rFonts w:cs="宋体" w:asciiTheme="minorEastAsia" w:hAnsiTheme="minorEastAsia" w:eastAsiaTheme="minorEastAsia"/>
                <w:kern w:val="0"/>
                <w:sz w:val="24"/>
                <w:szCs w:val="24"/>
              </w:rPr>
            </w:pPr>
            <w:r>
              <w:rPr>
                <w:rFonts w:hint="eastAsia" w:cs="宋体" w:asciiTheme="minorEastAsia" w:hAnsiTheme="minorEastAsia" w:eastAsiaTheme="minorEastAsia"/>
                <w:kern w:val="0"/>
                <w:sz w:val="24"/>
                <w:szCs w:val="24"/>
              </w:rPr>
              <w:t>寻找客户</w:t>
            </w:r>
          </w:p>
          <w:p>
            <w:pPr>
              <w:widowControl/>
              <w:jc w:val="center"/>
              <w:rPr>
                <w:rFonts w:cs="宋体" w:asciiTheme="minorEastAsia" w:hAnsiTheme="minorEastAsia" w:eastAsiaTheme="minorEastAsia"/>
                <w:kern w:val="0"/>
                <w:sz w:val="24"/>
                <w:szCs w:val="24"/>
              </w:rPr>
            </w:pPr>
            <w:r>
              <w:rPr>
                <w:rFonts w:hint="eastAsia" w:cs="宋体" w:asciiTheme="minorEastAsia" w:hAnsiTheme="minorEastAsia" w:eastAsiaTheme="minorEastAsia"/>
                <w:kern w:val="0"/>
                <w:sz w:val="24"/>
                <w:szCs w:val="24"/>
              </w:rPr>
              <w:t>（共14分）</w:t>
            </w:r>
          </w:p>
        </w:tc>
        <w:tc>
          <w:tcPr>
            <w:tcW w:w="1658" w:type="dxa"/>
            <w:shd w:val="clear" w:color="auto" w:fill="auto"/>
            <w:vAlign w:val="center"/>
          </w:tcPr>
          <w:p>
            <w:pPr>
              <w:widowControl/>
              <w:jc w:val="center"/>
              <w:rPr>
                <w:rFonts w:cs="宋体" w:asciiTheme="minorEastAsia" w:hAnsiTheme="minorEastAsia" w:eastAsiaTheme="minorEastAsia"/>
                <w:kern w:val="0"/>
                <w:sz w:val="24"/>
                <w:szCs w:val="24"/>
              </w:rPr>
            </w:pPr>
            <w:r>
              <w:rPr>
                <w:rFonts w:hint="eastAsia" w:cs="宋体" w:asciiTheme="minorEastAsia" w:hAnsiTheme="minorEastAsia" w:eastAsiaTheme="minorEastAsia"/>
                <w:kern w:val="0"/>
                <w:sz w:val="24"/>
                <w:szCs w:val="24"/>
              </w:rPr>
              <w:t>客户群的多样化</w:t>
            </w:r>
          </w:p>
        </w:tc>
        <w:tc>
          <w:tcPr>
            <w:tcW w:w="4497" w:type="dxa"/>
            <w:shd w:val="clear" w:color="auto" w:fill="auto"/>
            <w:vAlign w:val="center"/>
          </w:tcPr>
          <w:p>
            <w:pPr>
              <w:widowControl/>
              <w:rPr>
                <w:rFonts w:cs="宋体" w:asciiTheme="minorEastAsia" w:hAnsiTheme="minorEastAsia" w:eastAsiaTheme="minorEastAsia"/>
                <w:kern w:val="0"/>
                <w:sz w:val="24"/>
                <w:szCs w:val="24"/>
              </w:rPr>
            </w:pPr>
            <w:r>
              <w:rPr>
                <w:rFonts w:hint="eastAsia" w:cs="宋体" w:asciiTheme="minorEastAsia" w:hAnsiTheme="minorEastAsia" w:eastAsiaTheme="minorEastAsia"/>
                <w:kern w:val="0"/>
                <w:sz w:val="24"/>
                <w:szCs w:val="24"/>
              </w:rPr>
              <w:t>考核“历史业务”中交易的客户数，每个客户1分，14个不同的客户得满分。</w:t>
            </w:r>
          </w:p>
        </w:tc>
        <w:tc>
          <w:tcPr>
            <w:tcW w:w="669" w:type="dxa"/>
            <w:shd w:val="clear" w:color="auto" w:fill="auto"/>
            <w:vAlign w:val="center"/>
          </w:tcPr>
          <w:p>
            <w:pPr>
              <w:widowControl/>
              <w:jc w:val="center"/>
              <w:rPr>
                <w:rFonts w:cs="宋体" w:asciiTheme="minorEastAsia" w:hAnsiTheme="minorEastAsia" w:eastAsiaTheme="minorEastAsia"/>
                <w:kern w:val="0"/>
                <w:sz w:val="24"/>
                <w:szCs w:val="24"/>
              </w:rPr>
            </w:pPr>
            <w:r>
              <w:rPr>
                <w:rFonts w:hint="eastAsia" w:cs="宋体" w:asciiTheme="minorEastAsia" w:hAnsiTheme="minorEastAsia" w:eastAsiaTheme="minorEastAsia"/>
                <w:kern w:val="0"/>
                <w:sz w:val="24"/>
                <w:szCs w:val="24"/>
              </w:rPr>
              <w:t>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jc w:val="center"/>
        </w:trPr>
        <w:tc>
          <w:tcPr>
            <w:tcW w:w="1358" w:type="dxa"/>
            <w:vMerge w:val="restart"/>
            <w:shd w:val="clear" w:color="auto" w:fill="auto"/>
            <w:vAlign w:val="center"/>
          </w:tcPr>
          <w:p>
            <w:pPr>
              <w:widowControl/>
              <w:jc w:val="center"/>
              <w:rPr>
                <w:rFonts w:cs="宋体" w:asciiTheme="minorEastAsia" w:hAnsiTheme="minorEastAsia" w:eastAsiaTheme="minorEastAsia"/>
                <w:kern w:val="0"/>
                <w:sz w:val="24"/>
                <w:szCs w:val="24"/>
              </w:rPr>
            </w:pPr>
            <w:r>
              <w:rPr>
                <w:rFonts w:hint="eastAsia" w:cs="宋体" w:asciiTheme="minorEastAsia" w:hAnsiTheme="minorEastAsia" w:eastAsiaTheme="minorEastAsia"/>
                <w:kern w:val="0"/>
                <w:sz w:val="24"/>
                <w:szCs w:val="24"/>
              </w:rPr>
              <w:t>业务磋商</w:t>
            </w:r>
          </w:p>
          <w:p>
            <w:pPr>
              <w:widowControl/>
              <w:jc w:val="center"/>
              <w:rPr>
                <w:rFonts w:cs="宋体" w:asciiTheme="minorEastAsia" w:hAnsiTheme="minorEastAsia" w:eastAsiaTheme="minorEastAsia"/>
                <w:kern w:val="0"/>
                <w:sz w:val="24"/>
                <w:szCs w:val="24"/>
              </w:rPr>
            </w:pPr>
            <w:r>
              <w:rPr>
                <w:rFonts w:hint="eastAsia" w:cs="宋体" w:asciiTheme="minorEastAsia" w:hAnsiTheme="minorEastAsia" w:eastAsiaTheme="minorEastAsia"/>
                <w:kern w:val="0"/>
                <w:sz w:val="24"/>
                <w:szCs w:val="24"/>
              </w:rPr>
              <w:t>（共6分）</w:t>
            </w:r>
          </w:p>
        </w:tc>
        <w:tc>
          <w:tcPr>
            <w:tcW w:w="1658" w:type="dxa"/>
            <w:shd w:val="clear" w:color="auto" w:fill="auto"/>
            <w:vAlign w:val="center"/>
          </w:tcPr>
          <w:p>
            <w:pPr>
              <w:widowControl/>
              <w:jc w:val="center"/>
              <w:rPr>
                <w:rFonts w:cs="宋体" w:asciiTheme="minorEastAsia" w:hAnsiTheme="minorEastAsia" w:eastAsiaTheme="minorEastAsia"/>
                <w:kern w:val="0"/>
                <w:sz w:val="24"/>
                <w:szCs w:val="24"/>
              </w:rPr>
            </w:pPr>
            <w:r>
              <w:rPr>
                <w:rFonts w:hint="eastAsia" w:cs="宋体" w:asciiTheme="minorEastAsia" w:hAnsiTheme="minorEastAsia" w:eastAsiaTheme="minorEastAsia"/>
                <w:kern w:val="0"/>
                <w:sz w:val="24"/>
                <w:szCs w:val="24"/>
              </w:rPr>
              <w:t>出口业务磋商</w:t>
            </w:r>
          </w:p>
        </w:tc>
        <w:tc>
          <w:tcPr>
            <w:tcW w:w="4497" w:type="dxa"/>
            <w:shd w:val="clear" w:color="auto" w:fill="auto"/>
            <w:vAlign w:val="center"/>
          </w:tcPr>
          <w:p>
            <w:pPr>
              <w:widowControl/>
              <w:rPr>
                <w:rFonts w:cs="宋体" w:asciiTheme="minorEastAsia" w:hAnsiTheme="minorEastAsia" w:eastAsiaTheme="minorEastAsia"/>
                <w:kern w:val="0"/>
                <w:sz w:val="24"/>
                <w:szCs w:val="24"/>
              </w:rPr>
            </w:pPr>
            <w:r>
              <w:rPr>
                <w:rFonts w:hint="eastAsia" w:cs="宋体" w:asciiTheme="minorEastAsia" w:hAnsiTheme="minorEastAsia" w:eastAsiaTheme="minorEastAsia"/>
                <w:kern w:val="0"/>
                <w:sz w:val="24"/>
                <w:szCs w:val="24"/>
              </w:rPr>
              <w:t>此项得分为“历史业务”中的每笔出口业务的“出口业务磋商”得分的平均分。具体每笔业务的评分如下：</w:t>
            </w:r>
          </w:p>
          <w:p>
            <w:pPr>
              <w:widowControl/>
              <w:rPr>
                <w:rFonts w:cs="宋体" w:asciiTheme="minorEastAsia" w:hAnsiTheme="minorEastAsia" w:eastAsiaTheme="minorEastAsia"/>
                <w:kern w:val="0"/>
                <w:sz w:val="24"/>
                <w:szCs w:val="24"/>
              </w:rPr>
            </w:pPr>
            <w:r>
              <w:rPr>
                <w:rFonts w:hint="eastAsia" w:cs="宋体" w:asciiTheme="minorEastAsia" w:hAnsiTheme="minorEastAsia" w:eastAsiaTheme="minorEastAsia"/>
                <w:kern w:val="0"/>
                <w:sz w:val="24"/>
                <w:szCs w:val="24"/>
              </w:rPr>
              <w:t>1、发出的函电中须有类型为“发盘”的函电，有则得0.5分，否则不得分；</w:t>
            </w:r>
          </w:p>
          <w:p>
            <w:pPr>
              <w:widowControl/>
              <w:rPr>
                <w:rFonts w:cs="宋体" w:asciiTheme="minorEastAsia" w:hAnsiTheme="minorEastAsia" w:eastAsiaTheme="minorEastAsia"/>
                <w:kern w:val="0"/>
                <w:sz w:val="24"/>
                <w:szCs w:val="24"/>
              </w:rPr>
            </w:pPr>
            <w:r>
              <w:rPr>
                <w:rFonts w:hint="eastAsia" w:cs="宋体" w:asciiTheme="minorEastAsia" w:hAnsiTheme="minorEastAsia" w:eastAsiaTheme="minorEastAsia"/>
                <w:kern w:val="0"/>
                <w:sz w:val="24"/>
                <w:szCs w:val="24"/>
              </w:rPr>
              <w:t>2、发出的“发盘”函电的正文中须包含以下要素：产品编号、产品名称、数量、单价（完整的表达）、总金额、结算方式、运输方式、装运港、目的港、保险条款（每个要素0.15分，共1.5分），错写或漏写则该要素不得分；</w:t>
            </w:r>
          </w:p>
          <w:p>
            <w:pPr>
              <w:widowControl/>
              <w:rPr>
                <w:rFonts w:cs="宋体" w:asciiTheme="minorEastAsia" w:hAnsiTheme="minorEastAsia" w:eastAsiaTheme="minorEastAsia"/>
                <w:kern w:val="0"/>
                <w:sz w:val="24"/>
                <w:szCs w:val="24"/>
              </w:rPr>
            </w:pPr>
            <w:r>
              <w:rPr>
                <w:rFonts w:hint="eastAsia" w:cs="宋体" w:asciiTheme="minorEastAsia" w:hAnsiTheme="minorEastAsia" w:eastAsiaTheme="minorEastAsia"/>
                <w:kern w:val="0"/>
                <w:sz w:val="24"/>
                <w:szCs w:val="24"/>
              </w:rPr>
              <w:t>注意：</w:t>
            </w:r>
          </w:p>
          <w:p>
            <w:pPr>
              <w:widowControl/>
              <w:rPr>
                <w:rFonts w:cs="宋体" w:asciiTheme="minorEastAsia" w:hAnsiTheme="minorEastAsia" w:eastAsiaTheme="minorEastAsia"/>
                <w:kern w:val="0"/>
                <w:sz w:val="24"/>
                <w:szCs w:val="24"/>
              </w:rPr>
            </w:pPr>
            <w:r>
              <w:rPr>
                <w:rFonts w:hint="eastAsia" w:cs="宋体" w:asciiTheme="minorEastAsia" w:hAnsiTheme="minorEastAsia" w:eastAsiaTheme="minorEastAsia"/>
                <w:kern w:val="0"/>
                <w:sz w:val="24"/>
                <w:szCs w:val="24"/>
              </w:rPr>
              <w:t>（1）发盘要素的标题必须与范例（详见“竞赛试题”）完全一致，否则不得分；</w:t>
            </w:r>
          </w:p>
          <w:p>
            <w:pPr>
              <w:widowControl/>
              <w:rPr>
                <w:rFonts w:cs="宋体" w:asciiTheme="minorEastAsia" w:hAnsiTheme="minorEastAsia" w:eastAsiaTheme="minorEastAsia"/>
                <w:kern w:val="0"/>
                <w:sz w:val="24"/>
                <w:szCs w:val="24"/>
              </w:rPr>
            </w:pPr>
            <w:r>
              <w:rPr>
                <w:rFonts w:hint="eastAsia" w:cs="宋体" w:asciiTheme="minorEastAsia" w:hAnsiTheme="minorEastAsia" w:eastAsiaTheme="minorEastAsia"/>
                <w:kern w:val="0"/>
                <w:sz w:val="24"/>
                <w:szCs w:val="24"/>
              </w:rPr>
              <w:t>（2）如有多次“发盘”，无须每封函电都写全所有要素，这些要素可分布在不同的函电中；</w:t>
            </w:r>
          </w:p>
          <w:p>
            <w:pPr>
              <w:widowControl/>
              <w:rPr>
                <w:rFonts w:cs="宋体" w:asciiTheme="minorEastAsia" w:hAnsiTheme="minorEastAsia" w:eastAsiaTheme="minorEastAsia"/>
                <w:kern w:val="0"/>
                <w:sz w:val="24"/>
                <w:szCs w:val="24"/>
              </w:rPr>
            </w:pPr>
            <w:r>
              <w:rPr>
                <w:rFonts w:hint="eastAsia" w:cs="宋体" w:asciiTheme="minorEastAsia" w:hAnsiTheme="minorEastAsia" w:eastAsiaTheme="minorEastAsia"/>
                <w:kern w:val="0"/>
                <w:sz w:val="24"/>
                <w:szCs w:val="24"/>
              </w:rPr>
              <w:t>3、所有函电的标题和正文必须为英文，符合要求得0.5分，否则不得分。</w:t>
            </w:r>
          </w:p>
          <w:p>
            <w:pPr>
              <w:widowControl/>
              <w:rPr>
                <w:rFonts w:cs="宋体" w:asciiTheme="minorEastAsia" w:hAnsiTheme="minorEastAsia" w:eastAsiaTheme="minorEastAsia"/>
                <w:kern w:val="0"/>
                <w:sz w:val="24"/>
                <w:szCs w:val="24"/>
              </w:rPr>
            </w:pPr>
            <w:r>
              <w:rPr>
                <w:rFonts w:hint="eastAsia" w:cs="宋体" w:asciiTheme="minorEastAsia" w:hAnsiTheme="minorEastAsia" w:eastAsiaTheme="minorEastAsia"/>
                <w:kern w:val="0"/>
                <w:sz w:val="24"/>
                <w:szCs w:val="24"/>
              </w:rPr>
              <w:t>4、所有发出的函电正文平均字数（包括标点）达到400个字符则得0.5分，不达标不得分。</w:t>
            </w:r>
          </w:p>
        </w:tc>
        <w:tc>
          <w:tcPr>
            <w:tcW w:w="669" w:type="dxa"/>
            <w:shd w:val="clear" w:color="auto" w:fill="auto"/>
            <w:vAlign w:val="center"/>
          </w:tcPr>
          <w:p>
            <w:pPr>
              <w:widowControl/>
              <w:jc w:val="center"/>
              <w:rPr>
                <w:rFonts w:cs="宋体" w:asciiTheme="minorEastAsia" w:hAnsiTheme="minorEastAsia" w:eastAsiaTheme="minorEastAsia"/>
                <w:kern w:val="0"/>
                <w:sz w:val="24"/>
                <w:szCs w:val="24"/>
              </w:rPr>
            </w:pPr>
            <w:r>
              <w:rPr>
                <w:rFonts w:hint="eastAsia" w:cs="宋体" w:asciiTheme="minorEastAsia" w:hAnsiTheme="minorEastAsia" w:eastAsiaTheme="minorEastAsia"/>
                <w:kern w:val="0"/>
                <w:sz w:val="24"/>
                <w:szCs w:val="24"/>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jc w:val="center"/>
        </w:trPr>
        <w:tc>
          <w:tcPr>
            <w:tcW w:w="1358" w:type="dxa"/>
            <w:vMerge w:val="continue"/>
            <w:vAlign w:val="center"/>
          </w:tcPr>
          <w:p>
            <w:pPr>
              <w:widowControl/>
              <w:jc w:val="center"/>
              <w:rPr>
                <w:rFonts w:cs="宋体" w:asciiTheme="minorEastAsia" w:hAnsiTheme="minorEastAsia" w:eastAsiaTheme="minorEastAsia"/>
                <w:kern w:val="0"/>
                <w:sz w:val="24"/>
                <w:szCs w:val="24"/>
              </w:rPr>
            </w:pPr>
          </w:p>
        </w:tc>
        <w:tc>
          <w:tcPr>
            <w:tcW w:w="1658" w:type="dxa"/>
            <w:shd w:val="clear" w:color="auto" w:fill="auto"/>
            <w:vAlign w:val="center"/>
          </w:tcPr>
          <w:p>
            <w:pPr>
              <w:widowControl/>
              <w:jc w:val="center"/>
              <w:rPr>
                <w:rFonts w:cs="宋体" w:asciiTheme="minorEastAsia" w:hAnsiTheme="minorEastAsia" w:eastAsiaTheme="minorEastAsia"/>
                <w:kern w:val="0"/>
                <w:sz w:val="24"/>
                <w:szCs w:val="24"/>
              </w:rPr>
            </w:pPr>
            <w:r>
              <w:rPr>
                <w:rFonts w:hint="eastAsia" w:cs="宋体" w:asciiTheme="minorEastAsia" w:hAnsiTheme="minorEastAsia" w:eastAsiaTheme="minorEastAsia"/>
                <w:kern w:val="0"/>
                <w:sz w:val="24"/>
                <w:szCs w:val="24"/>
              </w:rPr>
              <w:t>进口业务磋商</w:t>
            </w:r>
          </w:p>
        </w:tc>
        <w:tc>
          <w:tcPr>
            <w:tcW w:w="4497" w:type="dxa"/>
            <w:shd w:val="clear" w:color="auto" w:fill="auto"/>
            <w:vAlign w:val="center"/>
          </w:tcPr>
          <w:p>
            <w:pPr>
              <w:widowControl/>
              <w:rPr>
                <w:rFonts w:cs="宋体" w:asciiTheme="minorEastAsia" w:hAnsiTheme="minorEastAsia" w:eastAsiaTheme="minorEastAsia"/>
                <w:kern w:val="0"/>
                <w:sz w:val="24"/>
                <w:szCs w:val="24"/>
              </w:rPr>
            </w:pPr>
            <w:r>
              <w:rPr>
                <w:rFonts w:hint="eastAsia" w:cs="宋体" w:asciiTheme="minorEastAsia" w:hAnsiTheme="minorEastAsia" w:eastAsiaTheme="minorEastAsia"/>
                <w:kern w:val="0"/>
                <w:sz w:val="24"/>
                <w:szCs w:val="24"/>
              </w:rPr>
              <w:t>此项得分为“历史业务”中的每笔进口业务的“进口业务磋商”得分的平均分。具体每笔业务的评分如下：</w:t>
            </w:r>
          </w:p>
          <w:p>
            <w:pPr>
              <w:widowControl/>
              <w:rPr>
                <w:rFonts w:cs="宋体" w:asciiTheme="minorEastAsia" w:hAnsiTheme="minorEastAsia" w:eastAsiaTheme="minorEastAsia"/>
                <w:kern w:val="0"/>
                <w:sz w:val="24"/>
                <w:szCs w:val="24"/>
              </w:rPr>
            </w:pPr>
            <w:r>
              <w:rPr>
                <w:rFonts w:hint="eastAsia" w:cs="宋体" w:asciiTheme="minorEastAsia" w:hAnsiTheme="minorEastAsia" w:eastAsiaTheme="minorEastAsia"/>
                <w:kern w:val="0"/>
                <w:sz w:val="24"/>
                <w:szCs w:val="24"/>
              </w:rPr>
              <w:t>1、发出的函电中须有“询盘”和“接受”两种类型的函电，每个类型各0.5分，有则得分，否则不得分，共1分；</w:t>
            </w:r>
          </w:p>
          <w:p>
            <w:pPr>
              <w:widowControl/>
              <w:rPr>
                <w:rFonts w:cs="宋体" w:asciiTheme="minorEastAsia" w:hAnsiTheme="minorEastAsia" w:eastAsiaTheme="minorEastAsia"/>
                <w:kern w:val="0"/>
                <w:sz w:val="24"/>
                <w:szCs w:val="24"/>
              </w:rPr>
            </w:pPr>
            <w:r>
              <w:rPr>
                <w:rFonts w:hint="eastAsia" w:cs="宋体" w:asciiTheme="minorEastAsia" w:hAnsiTheme="minorEastAsia" w:eastAsiaTheme="minorEastAsia"/>
                <w:kern w:val="0"/>
                <w:sz w:val="24"/>
                <w:szCs w:val="24"/>
              </w:rPr>
              <w:t>2、发出的“询盘”函电的正文中包含产品名称则得0.5分，否则不得分；</w:t>
            </w:r>
          </w:p>
          <w:p>
            <w:pPr>
              <w:widowControl/>
              <w:rPr>
                <w:rFonts w:cs="宋体" w:asciiTheme="minorEastAsia" w:hAnsiTheme="minorEastAsia" w:eastAsiaTheme="minorEastAsia"/>
                <w:kern w:val="0"/>
                <w:sz w:val="24"/>
                <w:szCs w:val="24"/>
              </w:rPr>
            </w:pPr>
            <w:r>
              <w:rPr>
                <w:rFonts w:hint="eastAsia" w:cs="宋体" w:asciiTheme="minorEastAsia" w:hAnsiTheme="minorEastAsia" w:eastAsiaTheme="minorEastAsia"/>
                <w:kern w:val="0"/>
                <w:sz w:val="24"/>
                <w:szCs w:val="24"/>
              </w:rPr>
              <w:t>3、发出的“接受”函电的正文中包含关键词“accept”或“accepted”，包含2个关键词中的任意1个则得0.5分，否则不得分；</w:t>
            </w:r>
          </w:p>
          <w:p>
            <w:pPr>
              <w:widowControl/>
              <w:rPr>
                <w:rFonts w:cs="宋体" w:asciiTheme="minorEastAsia" w:hAnsiTheme="minorEastAsia" w:eastAsiaTheme="minorEastAsia"/>
                <w:kern w:val="0"/>
                <w:sz w:val="24"/>
                <w:szCs w:val="24"/>
              </w:rPr>
            </w:pPr>
            <w:r>
              <w:rPr>
                <w:rFonts w:hint="eastAsia" w:cs="宋体" w:asciiTheme="minorEastAsia" w:hAnsiTheme="minorEastAsia" w:eastAsiaTheme="minorEastAsia"/>
                <w:kern w:val="0"/>
                <w:sz w:val="24"/>
                <w:szCs w:val="24"/>
              </w:rPr>
              <w:t>4、所有函电的标题和正文必须为英文，符合要求得0.5分，否则不得分。</w:t>
            </w:r>
          </w:p>
          <w:p>
            <w:pPr>
              <w:widowControl/>
              <w:rPr>
                <w:rFonts w:cs="宋体" w:asciiTheme="minorEastAsia" w:hAnsiTheme="minorEastAsia" w:eastAsiaTheme="minorEastAsia"/>
                <w:kern w:val="0"/>
                <w:sz w:val="24"/>
                <w:szCs w:val="24"/>
              </w:rPr>
            </w:pPr>
            <w:r>
              <w:rPr>
                <w:rFonts w:hint="eastAsia" w:cs="宋体" w:asciiTheme="minorEastAsia" w:hAnsiTheme="minorEastAsia" w:eastAsiaTheme="minorEastAsia"/>
                <w:kern w:val="0"/>
                <w:sz w:val="24"/>
                <w:szCs w:val="24"/>
              </w:rPr>
              <w:t>5、所有发出的函电正文平均字数（包括标点）达到400个字符则得0.5分，不达标不得分。</w:t>
            </w:r>
          </w:p>
        </w:tc>
        <w:tc>
          <w:tcPr>
            <w:tcW w:w="669" w:type="dxa"/>
            <w:shd w:val="clear" w:color="auto" w:fill="auto"/>
            <w:vAlign w:val="center"/>
          </w:tcPr>
          <w:p>
            <w:pPr>
              <w:widowControl/>
              <w:jc w:val="center"/>
              <w:rPr>
                <w:rFonts w:cs="宋体" w:asciiTheme="minorEastAsia" w:hAnsiTheme="minorEastAsia" w:eastAsiaTheme="minorEastAsia"/>
                <w:kern w:val="0"/>
                <w:sz w:val="24"/>
                <w:szCs w:val="24"/>
              </w:rPr>
            </w:pPr>
            <w:r>
              <w:rPr>
                <w:rFonts w:hint="eastAsia" w:cs="宋体" w:asciiTheme="minorEastAsia" w:hAnsiTheme="minorEastAsia" w:eastAsiaTheme="minorEastAsia"/>
                <w:kern w:val="0"/>
                <w:sz w:val="24"/>
                <w:szCs w:val="24"/>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jc w:val="center"/>
        </w:trPr>
        <w:tc>
          <w:tcPr>
            <w:tcW w:w="1358" w:type="dxa"/>
            <w:vMerge w:val="restart"/>
            <w:shd w:val="clear" w:color="auto" w:fill="auto"/>
            <w:vAlign w:val="center"/>
          </w:tcPr>
          <w:p>
            <w:pPr>
              <w:widowControl/>
              <w:jc w:val="center"/>
              <w:rPr>
                <w:rFonts w:cs="宋体" w:asciiTheme="minorEastAsia" w:hAnsiTheme="minorEastAsia" w:eastAsiaTheme="minorEastAsia"/>
                <w:kern w:val="0"/>
                <w:sz w:val="24"/>
                <w:szCs w:val="24"/>
              </w:rPr>
            </w:pPr>
            <w:r>
              <w:rPr>
                <w:rFonts w:hint="eastAsia" w:cs="宋体" w:asciiTheme="minorEastAsia" w:hAnsiTheme="minorEastAsia" w:eastAsiaTheme="minorEastAsia"/>
                <w:kern w:val="0"/>
                <w:sz w:val="24"/>
                <w:szCs w:val="24"/>
              </w:rPr>
              <w:t>进出口价格核算</w:t>
            </w:r>
          </w:p>
          <w:p>
            <w:pPr>
              <w:widowControl/>
              <w:jc w:val="center"/>
              <w:rPr>
                <w:rFonts w:cs="宋体" w:asciiTheme="minorEastAsia" w:hAnsiTheme="minorEastAsia" w:eastAsiaTheme="minorEastAsia"/>
                <w:kern w:val="0"/>
                <w:sz w:val="24"/>
                <w:szCs w:val="24"/>
              </w:rPr>
            </w:pPr>
            <w:r>
              <w:rPr>
                <w:rFonts w:hint="eastAsia" w:cs="宋体" w:asciiTheme="minorEastAsia" w:hAnsiTheme="minorEastAsia" w:eastAsiaTheme="minorEastAsia"/>
                <w:kern w:val="0"/>
                <w:sz w:val="24"/>
                <w:szCs w:val="24"/>
              </w:rPr>
              <w:t>（共14分）</w:t>
            </w:r>
          </w:p>
        </w:tc>
        <w:tc>
          <w:tcPr>
            <w:tcW w:w="1658" w:type="dxa"/>
            <w:shd w:val="clear" w:color="auto" w:fill="auto"/>
            <w:vAlign w:val="center"/>
          </w:tcPr>
          <w:p>
            <w:pPr>
              <w:widowControl/>
              <w:jc w:val="center"/>
              <w:rPr>
                <w:rFonts w:cs="宋体" w:asciiTheme="minorEastAsia" w:hAnsiTheme="minorEastAsia" w:eastAsiaTheme="minorEastAsia"/>
                <w:kern w:val="0"/>
                <w:sz w:val="24"/>
                <w:szCs w:val="24"/>
              </w:rPr>
            </w:pPr>
            <w:r>
              <w:rPr>
                <w:rFonts w:hint="eastAsia" w:cs="宋体" w:asciiTheme="minorEastAsia" w:hAnsiTheme="minorEastAsia" w:eastAsiaTheme="minorEastAsia"/>
                <w:kern w:val="0"/>
                <w:sz w:val="24"/>
                <w:szCs w:val="24"/>
              </w:rPr>
              <w:t>出口成本预算</w:t>
            </w:r>
          </w:p>
        </w:tc>
        <w:tc>
          <w:tcPr>
            <w:tcW w:w="4497" w:type="dxa"/>
            <w:shd w:val="clear" w:color="auto" w:fill="auto"/>
            <w:vAlign w:val="center"/>
          </w:tcPr>
          <w:p>
            <w:pPr>
              <w:widowControl/>
              <w:rPr>
                <w:rFonts w:cs="宋体" w:asciiTheme="minorEastAsia" w:hAnsiTheme="minorEastAsia" w:eastAsiaTheme="minorEastAsia"/>
                <w:kern w:val="0"/>
                <w:sz w:val="24"/>
                <w:szCs w:val="24"/>
              </w:rPr>
            </w:pPr>
            <w:r>
              <w:rPr>
                <w:rFonts w:hint="eastAsia" w:cs="宋体" w:asciiTheme="minorEastAsia" w:hAnsiTheme="minorEastAsia" w:eastAsiaTheme="minorEastAsia"/>
                <w:kern w:val="0"/>
                <w:sz w:val="24"/>
                <w:szCs w:val="24"/>
              </w:rPr>
              <w:t>此项得分为：“历史业务”中出口成本预算表的平均得分×7%。</w:t>
            </w:r>
          </w:p>
        </w:tc>
        <w:tc>
          <w:tcPr>
            <w:tcW w:w="669" w:type="dxa"/>
            <w:shd w:val="clear" w:color="auto" w:fill="auto"/>
            <w:vAlign w:val="center"/>
          </w:tcPr>
          <w:p>
            <w:pPr>
              <w:widowControl/>
              <w:jc w:val="center"/>
              <w:rPr>
                <w:rFonts w:cs="宋体" w:asciiTheme="minorEastAsia" w:hAnsiTheme="minorEastAsia" w:eastAsiaTheme="minorEastAsia"/>
                <w:kern w:val="0"/>
                <w:sz w:val="24"/>
                <w:szCs w:val="24"/>
              </w:rPr>
            </w:pPr>
            <w:r>
              <w:rPr>
                <w:rFonts w:hint="eastAsia" w:cs="宋体" w:asciiTheme="minorEastAsia" w:hAnsiTheme="minorEastAsia" w:eastAsiaTheme="minorEastAsia"/>
                <w:kern w:val="0"/>
                <w:sz w:val="24"/>
                <w:szCs w:val="24"/>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jc w:val="center"/>
        </w:trPr>
        <w:tc>
          <w:tcPr>
            <w:tcW w:w="1358" w:type="dxa"/>
            <w:vMerge w:val="continue"/>
            <w:vAlign w:val="center"/>
          </w:tcPr>
          <w:p>
            <w:pPr>
              <w:widowControl/>
              <w:jc w:val="center"/>
              <w:rPr>
                <w:rFonts w:cs="宋体" w:asciiTheme="minorEastAsia" w:hAnsiTheme="minorEastAsia" w:eastAsiaTheme="minorEastAsia"/>
                <w:kern w:val="0"/>
                <w:sz w:val="24"/>
                <w:szCs w:val="24"/>
              </w:rPr>
            </w:pPr>
          </w:p>
        </w:tc>
        <w:tc>
          <w:tcPr>
            <w:tcW w:w="1658" w:type="dxa"/>
            <w:shd w:val="clear" w:color="auto" w:fill="auto"/>
            <w:vAlign w:val="center"/>
          </w:tcPr>
          <w:p>
            <w:pPr>
              <w:widowControl/>
              <w:jc w:val="center"/>
              <w:rPr>
                <w:rFonts w:cs="宋体" w:asciiTheme="minorEastAsia" w:hAnsiTheme="minorEastAsia" w:eastAsiaTheme="minorEastAsia"/>
                <w:kern w:val="0"/>
                <w:sz w:val="24"/>
                <w:szCs w:val="24"/>
              </w:rPr>
            </w:pPr>
            <w:r>
              <w:rPr>
                <w:rFonts w:hint="eastAsia" w:cs="宋体" w:asciiTheme="minorEastAsia" w:hAnsiTheme="minorEastAsia" w:eastAsiaTheme="minorEastAsia"/>
                <w:kern w:val="0"/>
                <w:sz w:val="24"/>
                <w:szCs w:val="24"/>
              </w:rPr>
              <w:t>进口成本预算</w:t>
            </w:r>
          </w:p>
        </w:tc>
        <w:tc>
          <w:tcPr>
            <w:tcW w:w="4497" w:type="dxa"/>
            <w:shd w:val="clear" w:color="auto" w:fill="auto"/>
            <w:vAlign w:val="center"/>
          </w:tcPr>
          <w:p>
            <w:pPr>
              <w:widowControl/>
              <w:rPr>
                <w:rFonts w:cs="宋体" w:asciiTheme="minorEastAsia" w:hAnsiTheme="minorEastAsia" w:eastAsiaTheme="minorEastAsia"/>
                <w:kern w:val="0"/>
                <w:sz w:val="24"/>
                <w:szCs w:val="24"/>
              </w:rPr>
            </w:pPr>
            <w:r>
              <w:rPr>
                <w:rFonts w:hint="eastAsia" w:cs="宋体" w:asciiTheme="minorEastAsia" w:hAnsiTheme="minorEastAsia" w:eastAsiaTheme="minorEastAsia"/>
                <w:kern w:val="0"/>
                <w:sz w:val="24"/>
                <w:szCs w:val="24"/>
              </w:rPr>
              <w:t>此项得分为：“历史业务”中进口成本预算表的平均得分×7%。</w:t>
            </w:r>
          </w:p>
        </w:tc>
        <w:tc>
          <w:tcPr>
            <w:tcW w:w="669" w:type="dxa"/>
            <w:shd w:val="clear" w:color="auto" w:fill="auto"/>
            <w:vAlign w:val="center"/>
          </w:tcPr>
          <w:p>
            <w:pPr>
              <w:widowControl/>
              <w:jc w:val="center"/>
              <w:rPr>
                <w:rFonts w:cs="宋体" w:asciiTheme="minorEastAsia" w:hAnsiTheme="minorEastAsia" w:eastAsiaTheme="minorEastAsia"/>
                <w:kern w:val="0"/>
                <w:sz w:val="24"/>
                <w:szCs w:val="24"/>
              </w:rPr>
            </w:pPr>
            <w:r>
              <w:rPr>
                <w:rFonts w:hint="eastAsia" w:cs="宋体" w:asciiTheme="minorEastAsia" w:hAnsiTheme="minorEastAsia" w:eastAsiaTheme="minorEastAsia"/>
                <w:kern w:val="0"/>
                <w:sz w:val="24"/>
                <w:szCs w:val="24"/>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jc w:val="center"/>
        </w:trPr>
        <w:tc>
          <w:tcPr>
            <w:tcW w:w="1358" w:type="dxa"/>
            <w:shd w:val="clear" w:color="auto" w:fill="auto"/>
            <w:vAlign w:val="center"/>
          </w:tcPr>
          <w:p>
            <w:pPr>
              <w:widowControl/>
              <w:jc w:val="center"/>
              <w:rPr>
                <w:rFonts w:cs="宋体" w:asciiTheme="minorEastAsia" w:hAnsiTheme="minorEastAsia" w:eastAsiaTheme="minorEastAsia"/>
                <w:kern w:val="0"/>
                <w:sz w:val="24"/>
                <w:szCs w:val="24"/>
              </w:rPr>
            </w:pPr>
            <w:r>
              <w:rPr>
                <w:rFonts w:hint="eastAsia" w:cs="宋体" w:asciiTheme="minorEastAsia" w:hAnsiTheme="minorEastAsia" w:eastAsiaTheme="minorEastAsia"/>
                <w:kern w:val="0"/>
                <w:sz w:val="24"/>
                <w:szCs w:val="24"/>
              </w:rPr>
              <w:t>签订合同</w:t>
            </w:r>
          </w:p>
          <w:p>
            <w:pPr>
              <w:widowControl/>
              <w:jc w:val="center"/>
              <w:rPr>
                <w:rFonts w:cs="宋体" w:asciiTheme="minorEastAsia" w:hAnsiTheme="minorEastAsia" w:eastAsiaTheme="minorEastAsia"/>
                <w:kern w:val="0"/>
                <w:sz w:val="24"/>
                <w:szCs w:val="24"/>
              </w:rPr>
            </w:pPr>
            <w:r>
              <w:rPr>
                <w:rFonts w:hint="eastAsia" w:cs="宋体" w:asciiTheme="minorEastAsia" w:hAnsiTheme="minorEastAsia" w:eastAsiaTheme="minorEastAsia"/>
                <w:kern w:val="0"/>
                <w:sz w:val="24"/>
                <w:szCs w:val="24"/>
              </w:rPr>
              <w:t>（共3.5分）</w:t>
            </w:r>
          </w:p>
        </w:tc>
        <w:tc>
          <w:tcPr>
            <w:tcW w:w="1658" w:type="dxa"/>
            <w:shd w:val="clear" w:color="auto" w:fill="auto"/>
            <w:vAlign w:val="center"/>
          </w:tcPr>
          <w:p>
            <w:pPr>
              <w:widowControl/>
              <w:jc w:val="center"/>
              <w:rPr>
                <w:rFonts w:cs="宋体" w:asciiTheme="minorEastAsia" w:hAnsiTheme="minorEastAsia" w:eastAsiaTheme="minorEastAsia"/>
                <w:kern w:val="0"/>
                <w:sz w:val="24"/>
                <w:szCs w:val="24"/>
              </w:rPr>
            </w:pPr>
            <w:r>
              <w:rPr>
                <w:rFonts w:hint="eastAsia" w:cs="宋体" w:asciiTheme="minorEastAsia" w:hAnsiTheme="minorEastAsia" w:eastAsiaTheme="minorEastAsia"/>
                <w:kern w:val="0"/>
                <w:sz w:val="24"/>
                <w:szCs w:val="24"/>
              </w:rPr>
              <w:t>进出口合同订立</w:t>
            </w:r>
          </w:p>
        </w:tc>
        <w:tc>
          <w:tcPr>
            <w:tcW w:w="4497" w:type="dxa"/>
            <w:shd w:val="clear" w:color="auto" w:fill="auto"/>
            <w:vAlign w:val="center"/>
          </w:tcPr>
          <w:p>
            <w:pPr>
              <w:widowControl/>
              <w:rPr>
                <w:rFonts w:cs="宋体" w:asciiTheme="minorEastAsia" w:hAnsiTheme="minorEastAsia" w:eastAsiaTheme="minorEastAsia"/>
                <w:kern w:val="0"/>
                <w:sz w:val="24"/>
                <w:szCs w:val="24"/>
              </w:rPr>
            </w:pPr>
            <w:r>
              <w:rPr>
                <w:rFonts w:hint="eastAsia" w:cs="宋体" w:asciiTheme="minorEastAsia" w:hAnsiTheme="minorEastAsia" w:eastAsiaTheme="minorEastAsia"/>
                <w:kern w:val="0"/>
                <w:sz w:val="24"/>
                <w:szCs w:val="24"/>
              </w:rPr>
              <w:t>“历史业务”中每笔进出口业务得0.25分，14笔满分。</w:t>
            </w:r>
          </w:p>
        </w:tc>
        <w:tc>
          <w:tcPr>
            <w:tcW w:w="669" w:type="dxa"/>
            <w:shd w:val="clear" w:color="auto" w:fill="auto"/>
            <w:vAlign w:val="center"/>
          </w:tcPr>
          <w:p>
            <w:pPr>
              <w:widowControl/>
              <w:jc w:val="center"/>
              <w:rPr>
                <w:rFonts w:cs="宋体" w:asciiTheme="minorEastAsia" w:hAnsiTheme="minorEastAsia" w:eastAsiaTheme="minorEastAsia"/>
                <w:kern w:val="0"/>
                <w:sz w:val="24"/>
                <w:szCs w:val="24"/>
              </w:rPr>
            </w:pPr>
            <w:r>
              <w:rPr>
                <w:rFonts w:hint="eastAsia" w:cs="宋体" w:asciiTheme="minorEastAsia" w:hAnsiTheme="minorEastAsia" w:eastAsiaTheme="minorEastAsia"/>
                <w:kern w:val="0"/>
                <w:sz w:val="24"/>
                <w:szCs w:val="24"/>
              </w:rPr>
              <w:t>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jc w:val="center"/>
        </w:trPr>
        <w:tc>
          <w:tcPr>
            <w:tcW w:w="1358" w:type="dxa"/>
            <w:vMerge w:val="restart"/>
            <w:shd w:val="clear" w:color="auto" w:fill="auto"/>
            <w:vAlign w:val="center"/>
          </w:tcPr>
          <w:p>
            <w:pPr>
              <w:widowControl/>
              <w:jc w:val="center"/>
              <w:rPr>
                <w:rFonts w:cs="宋体" w:asciiTheme="minorEastAsia" w:hAnsiTheme="minorEastAsia" w:eastAsiaTheme="minorEastAsia"/>
                <w:kern w:val="0"/>
                <w:sz w:val="24"/>
                <w:szCs w:val="24"/>
              </w:rPr>
            </w:pPr>
            <w:r>
              <w:rPr>
                <w:rFonts w:hint="eastAsia" w:cs="宋体" w:asciiTheme="minorEastAsia" w:hAnsiTheme="minorEastAsia" w:eastAsiaTheme="minorEastAsia"/>
                <w:kern w:val="0"/>
                <w:sz w:val="24"/>
                <w:szCs w:val="24"/>
              </w:rPr>
              <w:t>业务多样性</w:t>
            </w:r>
          </w:p>
          <w:p>
            <w:pPr>
              <w:widowControl/>
              <w:jc w:val="center"/>
              <w:rPr>
                <w:rFonts w:cs="宋体" w:asciiTheme="minorEastAsia" w:hAnsiTheme="minorEastAsia" w:eastAsiaTheme="minorEastAsia"/>
                <w:kern w:val="0"/>
                <w:sz w:val="24"/>
                <w:szCs w:val="24"/>
              </w:rPr>
            </w:pPr>
            <w:r>
              <w:rPr>
                <w:rFonts w:hint="eastAsia" w:cs="宋体" w:asciiTheme="minorEastAsia" w:hAnsiTheme="minorEastAsia" w:eastAsiaTheme="minorEastAsia"/>
                <w:kern w:val="0"/>
                <w:sz w:val="24"/>
                <w:szCs w:val="24"/>
              </w:rPr>
              <w:t>（共32.5分）</w:t>
            </w:r>
          </w:p>
        </w:tc>
        <w:tc>
          <w:tcPr>
            <w:tcW w:w="1658" w:type="dxa"/>
            <w:vMerge w:val="restart"/>
            <w:shd w:val="clear" w:color="auto" w:fill="auto"/>
            <w:vAlign w:val="center"/>
          </w:tcPr>
          <w:p>
            <w:pPr>
              <w:widowControl/>
              <w:jc w:val="center"/>
              <w:rPr>
                <w:rFonts w:cs="宋体" w:asciiTheme="minorEastAsia" w:hAnsiTheme="minorEastAsia" w:eastAsiaTheme="minorEastAsia"/>
                <w:kern w:val="0"/>
                <w:sz w:val="24"/>
                <w:szCs w:val="24"/>
              </w:rPr>
            </w:pPr>
            <w:r>
              <w:rPr>
                <w:rFonts w:hint="eastAsia" w:cs="宋体" w:asciiTheme="minorEastAsia" w:hAnsiTheme="minorEastAsia" w:eastAsiaTheme="minorEastAsia"/>
                <w:kern w:val="0"/>
                <w:sz w:val="24"/>
                <w:szCs w:val="24"/>
              </w:rPr>
              <w:t>成交产品数</w:t>
            </w:r>
          </w:p>
        </w:tc>
        <w:tc>
          <w:tcPr>
            <w:tcW w:w="4497" w:type="dxa"/>
            <w:shd w:val="clear" w:color="auto" w:fill="auto"/>
            <w:vAlign w:val="center"/>
          </w:tcPr>
          <w:p>
            <w:pPr>
              <w:widowControl/>
              <w:rPr>
                <w:rFonts w:cs="宋体" w:asciiTheme="minorEastAsia" w:hAnsiTheme="minorEastAsia" w:eastAsiaTheme="minorEastAsia"/>
                <w:kern w:val="0"/>
                <w:sz w:val="24"/>
                <w:szCs w:val="24"/>
              </w:rPr>
            </w:pPr>
            <w:r>
              <w:rPr>
                <w:rFonts w:hint="eastAsia" w:cs="宋体" w:asciiTheme="minorEastAsia" w:hAnsiTheme="minorEastAsia" w:eastAsiaTheme="minorEastAsia"/>
                <w:kern w:val="0"/>
                <w:sz w:val="24"/>
                <w:szCs w:val="24"/>
              </w:rPr>
              <w:t>“历史业务”中出口产品应多样化，每个不同的产品（按产品编号）得1分，7个满分。</w:t>
            </w:r>
          </w:p>
        </w:tc>
        <w:tc>
          <w:tcPr>
            <w:tcW w:w="669" w:type="dxa"/>
            <w:shd w:val="clear" w:color="auto" w:fill="auto"/>
            <w:vAlign w:val="center"/>
          </w:tcPr>
          <w:p>
            <w:pPr>
              <w:widowControl/>
              <w:jc w:val="center"/>
              <w:rPr>
                <w:rFonts w:cs="宋体" w:asciiTheme="minorEastAsia" w:hAnsiTheme="minorEastAsia" w:eastAsiaTheme="minorEastAsia"/>
                <w:kern w:val="0"/>
                <w:sz w:val="24"/>
                <w:szCs w:val="24"/>
              </w:rPr>
            </w:pPr>
            <w:r>
              <w:rPr>
                <w:rFonts w:hint="eastAsia" w:cs="宋体" w:asciiTheme="minorEastAsia" w:hAnsiTheme="minorEastAsia" w:eastAsiaTheme="minorEastAsia"/>
                <w:kern w:val="0"/>
                <w:sz w:val="24"/>
                <w:szCs w:val="24"/>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jc w:val="center"/>
        </w:trPr>
        <w:tc>
          <w:tcPr>
            <w:tcW w:w="1358" w:type="dxa"/>
            <w:vMerge w:val="continue"/>
            <w:vAlign w:val="center"/>
          </w:tcPr>
          <w:p>
            <w:pPr>
              <w:widowControl/>
              <w:jc w:val="center"/>
              <w:rPr>
                <w:rFonts w:cs="宋体" w:asciiTheme="minorEastAsia" w:hAnsiTheme="minorEastAsia" w:eastAsiaTheme="minorEastAsia"/>
                <w:kern w:val="0"/>
                <w:sz w:val="24"/>
                <w:szCs w:val="24"/>
              </w:rPr>
            </w:pPr>
          </w:p>
        </w:tc>
        <w:tc>
          <w:tcPr>
            <w:tcW w:w="1658" w:type="dxa"/>
            <w:vMerge w:val="continue"/>
            <w:vAlign w:val="center"/>
          </w:tcPr>
          <w:p>
            <w:pPr>
              <w:widowControl/>
              <w:jc w:val="center"/>
              <w:rPr>
                <w:rFonts w:cs="宋体" w:asciiTheme="minorEastAsia" w:hAnsiTheme="minorEastAsia" w:eastAsiaTheme="minorEastAsia"/>
                <w:kern w:val="0"/>
                <w:sz w:val="24"/>
                <w:szCs w:val="24"/>
              </w:rPr>
            </w:pPr>
          </w:p>
        </w:tc>
        <w:tc>
          <w:tcPr>
            <w:tcW w:w="4497" w:type="dxa"/>
            <w:shd w:val="clear" w:color="auto" w:fill="auto"/>
            <w:vAlign w:val="center"/>
          </w:tcPr>
          <w:p>
            <w:pPr>
              <w:widowControl/>
              <w:rPr>
                <w:rFonts w:cs="宋体" w:asciiTheme="minorEastAsia" w:hAnsiTheme="minorEastAsia" w:eastAsiaTheme="minorEastAsia"/>
                <w:kern w:val="0"/>
                <w:sz w:val="24"/>
                <w:szCs w:val="24"/>
              </w:rPr>
            </w:pPr>
            <w:r>
              <w:rPr>
                <w:rFonts w:hint="eastAsia" w:cs="宋体" w:asciiTheme="minorEastAsia" w:hAnsiTheme="minorEastAsia" w:eastAsiaTheme="minorEastAsia"/>
                <w:kern w:val="0"/>
                <w:sz w:val="24"/>
                <w:szCs w:val="24"/>
              </w:rPr>
              <w:t>“历史业务”中进口产品应多样化，每个不同的产品（按产品编号）得1分，7个满分。</w:t>
            </w:r>
          </w:p>
        </w:tc>
        <w:tc>
          <w:tcPr>
            <w:tcW w:w="669" w:type="dxa"/>
            <w:shd w:val="clear" w:color="auto" w:fill="auto"/>
            <w:vAlign w:val="center"/>
          </w:tcPr>
          <w:p>
            <w:pPr>
              <w:widowControl/>
              <w:jc w:val="center"/>
              <w:rPr>
                <w:rFonts w:cs="宋体" w:asciiTheme="minorEastAsia" w:hAnsiTheme="minorEastAsia" w:eastAsiaTheme="minorEastAsia"/>
                <w:kern w:val="0"/>
                <w:sz w:val="24"/>
                <w:szCs w:val="24"/>
              </w:rPr>
            </w:pPr>
            <w:r>
              <w:rPr>
                <w:rFonts w:hint="eastAsia" w:cs="宋体" w:asciiTheme="minorEastAsia" w:hAnsiTheme="minorEastAsia" w:eastAsiaTheme="minorEastAsia"/>
                <w:kern w:val="0"/>
                <w:sz w:val="24"/>
                <w:szCs w:val="24"/>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jc w:val="center"/>
        </w:trPr>
        <w:tc>
          <w:tcPr>
            <w:tcW w:w="1358" w:type="dxa"/>
            <w:vMerge w:val="continue"/>
            <w:vAlign w:val="center"/>
          </w:tcPr>
          <w:p>
            <w:pPr>
              <w:widowControl/>
              <w:jc w:val="center"/>
              <w:rPr>
                <w:rFonts w:cs="宋体" w:asciiTheme="minorEastAsia" w:hAnsiTheme="minorEastAsia" w:eastAsiaTheme="minorEastAsia"/>
                <w:kern w:val="0"/>
                <w:sz w:val="24"/>
                <w:szCs w:val="24"/>
              </w:rPr>
            </w:pPr>
          </w:p>
        </w:tc>
        <w:tc>
          <w:tcPr>
            <w:tcW w:w="1658" w:type="dxa"/>
            <w:vMerge w:val="restart"/>
            <w:shd w:val="clear" w:color="auto" w:fill="auto"/>
            <w:vAlign w:val="center"/>
          </w:tcPr>
          <w:p>
            <w:pPr>
              <w:widowControl/>
              <w:jc w:val="center"/>
              <w:rPr>
                <w:rFonts w:cs="宋体" w:asciiTheme="minorEastAsia" w:hAnsiTheme="minorEastAsia" w:eastAsiaTheme="minorEastAsia"/>
                <w:kern w:val="0"/>
                <w:sz w:val="24"/>
                <w:szCs w:val="24"/>
              </w:rPr>
            </w:pPr>
            <w:r>
              <w:rPr>
                <w:rFonts w:hint="eastAsia" w:cs="宋体" w:asciiTheme="minorEastAsia" w:hAnsiTheme="minorEastAsia" w:eastAsiaTheme="minorEastAsia"/>
                <w:kern w:val="0"/>
                <w:sz w:val="24"/>
                <w:szCs w:val="24"/>
              </w:rPr>
              <w:t>主要贸易术语的掌握和运用</w:t>
            </w:r>
          </w:p>
        </w:tc>
        <w:tc>
          <w:tcPr>
            <w:tcW w:w="4497" w:type="dxa"/>
            <w:shd w:val="clear" w:color="auto" w:fill="auto"/>
            <w:vAlign w:val="center"/>
          </w:tcPr>
          <w:p>
            <w:pPr>
              <w:widowControl/>
              <w:rPr>
                <w:rFonts w:cs="宋体" w:asciiTheme="minorEastAsia" w:hAnsiTheme="minorEastAsia" w:eastAsiaTheme="minorEastAsia"/>
                <w:kern w:val="0"/>
                <w:sz w:val="24"/>
                <w:szCs w:val="24"/>
              </w:rPr>
            </w:pPr>
            <w:r>
              <w:rPr>
                <w:rFonts w:hint="eastAsia" w:cs="宋体" w:asciiTheme="minorEastAsia" w:hAnsiTheme="minorEastAsia" w:eastAsiaTheme="minorEastAsia"/>
                <w:kern w:val="0"/>
                <w:sz w:val="24"/>
                <w:szCs w:val="24"/>
              </w:rPr>
              <w:t>“历史业务”中出口业务贸易术语使用种类数量，使用一种得0.5分，6种得满分。</w:t>
            </w:r>
          </w:p>
        </w:tc>
        <w:tc>
          <w:tcPr>
            <w:tcW w:w="669" w:type="dxa"/>
            <w:shd w:val="clear" w:color="auto" w:fill="auto"/>
            <w:vAlign w:val="center"/>
          </w:tcPr>
          <w:p>
            <w:pPr>
              <w:widowControl/>
              <w:jc w:val="center"/>
              <w:rPr>
                <w:rFonts w:cs="宋体" w:asciiTheme="minorEastAsia" w:hAnsiTheme="minorEastAsia" w:eastAsiaTheme="minorEastAsia"/>
                <w:kern w:val="0"/>
                <w:sz w:val="24"/>
                <w:szCs w:val="24"/>
              </w:rPr>
            </w:pPr>
            <w:r>
              <w:rPr>
                <w:rFonts w:hint="eastAsia" w:cs="宋体" w:asciiTheme="minorEastAsia" w:hAnsiTheme="minorEastAsia" w:eastAsiaTheme="minorEastAsia"/>
                <w:kern w:val="0"/>
                <w:sz w:val="24"/>
                <w:szCs w:val="24"/>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jc w:val="center"/>
        </w:trPr>
        <w:tc>
          <w:tcPr>
            <w:tcW w:w="1358" w:type="dxa"/>
            <w:vMerge w:val="continue"/>
            <w:vAlign w:val="center"/>
          </w:tcPr>
          <w:p>
            <w:pPr>
              <w:widowControl/>
              <w:jc w:val="center"/>
              <w:rPr>
                <w:rFonts w:cs="宋体" w:asciiTheme="minorEastAsia" w:hAnsiTheme="minorEastAsia" w:eastAsiaTheme="minorEastAsia"/>
                <w:kern w:val="0"/>
                <w:sz w:val="24"/>
                <w:szCs w:val="24"/>
              </w:rPr>
            </w:pPr>
          </w:p>
        </w:tc>
        <w:tc>
          <w:tcPr>
            <w:tcW w:w="1658" w:type="dxa"/>
            <w:vMerge w:val="continue"/>
            <w:vAlign w:val="center"/>
          </w:tcPr>
          <w:p>
            <w:pPr>
              <w:widowControl/>
              <w:jc w:val="center"/>
              <w:rPr>
                <w:rFonts w:cs="宋体" w:asciiTheme="minorEastAsia" w:hAnsiTheme="minorEastAsia" w:eastAsiaTheme="minorEastAsia"/>
                <w:kern w:val="0"/>
                <w:sz w:val="24"/>
                <w:szCs w:val="24"/>
              </w:rPr>
            </w:pPr>
          </w:p>
        </w:tc>
        <w:tc>
          <w:tcPr>
            <w:tcW w:w="4497" w:type="dxa"/>
            <w:shd w:val="clear" w:color="auto" w:fill="auto"/>
            <w:vAlign w:val="center"/>
          </w:tcPr>
          <w:p>
            <w:pPr>
              <w:widowControl/>
              <w:rPr>
                <w:rFonts w:cs="宋体" w:asciiTheme="minorEastAsia" w:hAnsiTheme="minorEastAsia" w:eastAsiaTheme="minorEastAsia"/>
                <w:kern w:val="0"/>
                <w:sz w:val="24"/>
                <w:szCs w:val="24"/>
              </w:rPr>
            </w:pPr>
            <w:r>
              <w:rPr>
                <w:rFonts w:hint="eastAsia" w:cs="宋体" w:asciiTheme="minorEastAsia" w:hAnsiTheme="minorEastAsia" w:eastAsiaTheme="minorEastAsia"/>
                <w:kern w:val="0"/>
                <w:sz w:val="24"/>
                <w:szCs w:val="24"/>
              </w:rPr>
              <w:t>“历史业务”中进口业务贸易术语使用种类数量，使用一种得0.5分，6种得满分。</w:t>
            </w:r>
          </w:p>
        </w:tc>
        <w:tc>
          <w:tcPr>
            <w:tcW w:w="669" w:type="dxa"/>
            <w:shd w:val="clear" w:color="auto" w:fill="auto"/>
            <w:vAlign w:val="center"/>
          </w:tcPr>
          <w:p>
            <w:pPr>
              <w:widowControl/>
              <w:jc w:val="center"/>
              <w:rPr>
                <w:rFonts w:cs="宋体" w:asciiTheme="minorEastAsia" w:hAnsiTheme="minorEastAsia" w:eastAsiaTheme="minorEastAsia"/>
                <w:kern w:val="0"/>
                <w:sz w:val="24"/>
                <w:szCs w:val="24"/>
              </w:rPr>
            </w:pPr>
            <w:r>
              <w:rPr>
                <w:rFonts w:hint="eastAsia" w:cs="宋体" w:asciiTheme="minorEastAsia" w:hAnsiTheme="minorEastAsia" w:eastAsiaTheme="minorEastAsia"/>
                <w:kern w:val="0"/>
                <w:sz w:val="24"/>
                <w:szCs w:val="24"/>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jc w:val="center"/>
        </w:trPr>
        <w:tc>
          <w:tcPr>
            <w:tcW w:w="1358" w:type="dxa"/>
            <w:vMerge w:val="continue"/>
            <w:vAlign w:val="center"/>
          </w:tcPr>
          <w:p>
            <w:pPr>
              <w:widowControl/>
              <w:jc w:val="center"/>
              <w:rPr>
                <w:rFonts w:cs="宋体" w:asciiTheme="minorEastAsia" w:hAnsiTheme="minorEastAsia" w:eastAsiaTheme="minorEastAsia"/>
                <w:kern w:val="0"/>
                <w:sz w:val="24"/>
                <w:szCs w:val="24"/>
              </w:rPr>
            </w:pPr>
          </w:p>
        </w:tc>
        <w:tc>
          <w:tcPr>
            <w:tcW w:w="1658" w:type="dxa"/>
            <w:vMerge w:val="restart"/>
            <w:shd w:val="clear" w:color="auto" w:fill="auto"/>
            <w:vAlign w:val="center"/>
          </w:tcPr>
          <w:p>
            <w:pPr>
              <w:widowControl/>
              <w:jc w:val="center"/>
              <w:rPr>
                <w:rFonts w:cs="宋体" w:asciiTheme="minorEastAsia" w:hAnsiTheme="minorEastAsia" w:eastAsiaTheme="minorEastAsia"/>
                <w:kern w:val="0"/>
                <w:sz w:val="24"/>
                <w:szCs w:val="24"/>
              </w:rPr>
            </w:pPr>
            <w:r>
              <w:rPr>
                <w:rFonts w:hint="eastAsia" w:cs="宋体" w:asciiTheme="minorEastAsia" w:hAnsiTheme="minorEastAsia" w:eastAsiaTheme="minorEastAsia"/>
                <w:kern w:val="0"/>
                <w:sz w:val="24"/>
                <w:szCs w:val="24"/>
              </w:rPr>
              <w:t>主要结算方式的掌握和运用</w:t>
            </w:r>
          </w:p>
        </w:tc>
        <w:tc>
          <w:tcPr>
            <w:tcW w:w="4497" w:type="dxa"/>
            <w:shd w:val="clear" w:color="auto" w:fill="auto"/>
            <w:vAlign w:val="center"/>
          </w:tcPr>
          <w:p>
            <w:pPr>
              <w:widowControl/>
              <w:rPr>
                <w:rFonts w:cs="宋体" w:asciiTheme="minorEastAsia" w:hAnsiTheme="minorEastAsia" w:eastAsiaTheme="minorEastAsia"/>
                <w:kern w:val="0"/>
                <w:sz w:val="24"/>
                <w:szCs w:val="24"/>
              </w:rPr>
            </w:pPr>
            <w:r>
              <w:rPr>
                <w:rFonts w:hint="eastAsia" w:cs="宋体" w:asciiTheme="minorEastAsia" w:hAnsiTheme="minorEastAsia" w:eastAsiaTheme="minorEastAsia"/>
                <w:kern w:val="0"/>
                <w:sz w:val="24"/>
                <w:szCs w:val="24"/>
              </w:rPr>
              <w:t>“历史业务”中出口业务结算方式使用种类数量，使用一种得0.5分，5种得满分。</w:t>
            </w:r>
          </w:p>
        </w:tc>
        <w:tc>
          <w:tcPr>
            <w:tcW w:w="669" w:type="dxa"/>
            <w:shd w:val="clear" w:color="auto" w:fill="auto"/>
            <w:vAlign w:val="center"/>
          </w:tcPr>
          <w:p>
            <w:pPr>
              <w:widowControl/>
              <w:jc w:val="center"/>
              <w:rPr>
                <w:rFonts w:cs="宋体" w:asciiTheme="minorEastAsia" w:hAnsiTheme="minorEastAsia" w:eastAsiaTheme="minorEastAsia"/>
                <w:kern w:val="0"/>
                <w:sz w:val="24"/>
                <w:szCs w:val="24"/>
              </w:rPr>
            </w:pPr>
            <w:r>
              <w:rPr>
                <w:rFonts w:hint="eastAsia" w:cs="宋体" w:asciiTheme="minorEastAsia" w:hAnsiTheme="minorEastAsia" w:eastAsiaTheme="minorEastAsia"/>
                <w:kern w:val="0"/>
                <w:sz w:val="24"/>
                <w:szCs w:val="24"/>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jc w:val="center"/>
        </w:trPr>
        <w:tc>
          <w:tcPr>
            <w:tcW w:w="1358" w:type="dxa"/>
            <w:vMerge w:val="continue"/>
            <w:vAlign w:val="center"/>
          </w:tcPr>
          <w:p>
            <w:pPr>
              <w:widowControl/>
              <w:jc w:val="center"/>
              <w:rPr>
                <w:rFonts w:cs="宋体" w:asciiTheme="minorEastAsia" w:hAnsiTheme="minorEastAsia" w:eastAsiaTheme="minorEastAsia"/>
                <w:kern w:val="0"/>
                <w:sz w:val="24"/>
                <w:szCs w:val="24"/>
              </w:rPr>
            </w:pPr>
          </w:p>
        </w:tc>
        <w:tc>
          <w:tcPr>
            <w:tcW w:w="1658" w:type="dxa"/>
            <w:vMerge w:val="continue"/>
            <w:vAlign w:val="center"/>
          </w:tcPr>
          <w:p>
            <w:pPr>
              <w:widowControl/>
              <w:jc w:val="center"/>
              <w:rPr>
                <w:rFonts w:cs="宋体" w:asciiTheme="minorEastAsia" w:hAnsiTheme="minorEastAsia" w:eastAsiaTheme="minorEastAsia"/>
                <w:kern w:val="0"/>
                <w:sz w:val="24"/>
                <w:szCs w:val="24"/>
              </w:rPr>
            </w:pPr>
          </w:p>
        </w:tc>
        <w:tc>
          <w:tcPr>
            <w:tcW w:w="4497" w:type="dxa"/>
            <w:shd w:val="clear" w:color="auto" w:fill="auto"/>
            <w:vAlign w:val="center"/>
          </w:tcPr>
          <w:p>
            <w:pPr>
              <w:widowControl/>
              <w:rPr>
                <w:rFonts w:cs="宋体" w:asciiTheme="minorEastAsia" w:hAnsiTheme="minorEastAsia" w:eastAsiaTheme="minorEastAsia"/>
                <w:kern w:val="0"/>
                <w:sz w:val="24"/>
                <w:szCs w:val="24"/>
              </w:rPr>
            </w:pPr>
            <w:r>
              <w:rPr>
                <w:rFonts w:hint="eastAsia" w:cs="宋体" w:asciiTheme="minorEastAsia" w:hAnsiTheme="minorEastAsia" w:eastAsiaTheme="minorEastAsia"/>
                <w:kern w:val="0"/>
                <w:sz w:val="24"/>
                <w:szCs w:val="24"/>
              </w:rPr>
              <w:t>“历史业务”中进口业务结算方式使用种类数量，使用一种得0.5分，5种得满分。</w:t>
            </w:r>
          </w:p>
        </w:tc>
        <w:tc>
          <w:tcPr>
            <w:tcW w:w="669" w:type="dxa"/>
            <w:shd w:val="clear" w:color="auto" w:fill="auto"/>
            <w:vAlign w:val="center"/>
          </w:tcPr>
          <w:p>
            <w:pPr>
              <w:widowControl/>
              <w:jc w:val="center"/>
              <w:rPr>
                <w:rFonts w:cs="宋体" w:asciiTheme="minorEastAsia" w:hAnsiTheme="minorEastAsia" w:eastAsiaTheme="minorEastAsia"/>
                <w:kern w:val="0"/>
                <w:sz w:val="24"/>
                <w:szCs w:val="24"/>
              </w:rPr>
            </w:pPr>
            <w:r>
              <w:rPr>
                <w:rFonts w:hint="eastAsia" w:cs="宋体" w:asciiTheme="minorEastAsia" w:hAnsiTheme="minorEastAsia" w:eastAsiaTheme="minorEastAsia"/>
                <w:kern w:val="0"/>
                <w:sz w:val="24"/>
                <w:szCs w:val="24"/>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jc w:val="center"/>
        </w:trPr>
        <w:tc>
          <w:tcPr>
            <w:tcW w:w="1358" w:type="dxa"/>
            <w:vMerge w:val="continue"/>
            <w:vAlign w:val="center"/>
          </w:tcPr>
          <w:p>
            <w:pPr>
              <w:widowControl/>
              <w:jc w:val="center"/>
              <w:rPr>
                <w:rFonts w:cs="宋体" w:asciiTheme="minorEastAsia" w:hAnsiTheme="minorEastAsia" w:eastAsiaTheme="minorEastAsia"/>
                <w:kern w:val="0"/>
                <w:sz w:val="24"/>
                <w:szCs w:val="24"/>
              </w:rPr>
            </w:pPr>
          </w:p>
        </w:tc>
        <w:tc>
          <w:tcPr>
            <w:tcW w:w="1658" w:type="dxa"/>
            <w:vMerge w:val="restart"/>
            <w:shd w:val="clear" w:color="auto" w:fill="auto"/>
            <w:vAlign w:val="center"/>
          </w:tcPr>
          <w:p>
            <w:pPr>
              <w:widowControl/>
              <w:jc w:val="center"/>
              <w:rPr>
                <w:rFonts w:cs="宋体" w:asciiTheme="minorEastAsia" w:hAnsiTheme="minorEastAsia" w:eastAsiaTheme="minorEastAsia"/>
                <w:kern w:val="0"/>
                <w:sz w:val="24"/>
                <w:szCs w:val="24"/>
              </w:rPr>
            </w:pPr>
            <w:r>
              <w:rPr>
                <w:rFonts w:hint="eastAsia" w:cs="宋体" w:asciiTheme="minorEastAsia" w:hAnsiTheme="minorEastAsia" w:eastAsiaTheme="minorEastAsia"/>
                <w:kern w:val="0"/>
                <w:sz w:val="24"/>
                <w:szCs w:val="24"/>
              </w:rPr>
              <w:t>海运、空运两种运输方式的合理运用</w:t>
            </w:r>
          </w:p>
        </w:tc>
        <w:tc>
          <w:tcPr>
            <w:tcW w:w="4497" w:type="dxa"/>
            <w:shd w:val="clear" w:color="auto" w:fill="auto"/>
            <w:vAlign w:val="center"/>
          </w:tcPr>
          <w:p>
            <w:pPr>
              <w:widowControl/>
              <w:rPr>
                <w:rFonts w:cs="宋体" w:asciiTheme="minorEastAsia" w:hAnsiTheme="minorEastAsia" w:eastAsiaTheme="minorEastAsia"/>
                <w:kern w:val="0"/>
                <w:sz w:val="24"/>
                <w:szCs w:val="24"/>
              </w:rPr>
            </w:pPr>
            <w:r>
              <w:rPr>
                <w:rFonts w:hint="eastAsia" w:cs="宋体" w:asciiTheme="minorEastAsia" w:hAnsiTheme="minorEastAsia" w:eastAsiaTheme="minorEastAsia"/>
                <w:kern w:val="0"/>
                <w:sz w:val="24"/>
                <w:szCs w:val="24"/>
              </w:rPr>
              <w:t>“历史业务”中海运业务的数量，每笔0.5分，9笔满分。</w:t>
            </w:r>
          </w:p>
        </w:tc>
        <w:tc>
          <w:tcPr>
            <w:tcW w:w="669" w:type="dxa"/>
            <w:shd w:val="clear" w:color="auto" w:fill="auto"/>
            <w:vAlign w:val="center"/>
          </w:tcPr>
          <w:p>
            <w:pPr>
              <w:widowControl/>
              <w:jc w:val="center"/>
              <w:rPr>
                <w:rFonts w:cs="宋体" w:asciiTheme="minorEastAsia" w:hAnsiTheme="minorEastAsia" w:eastAsiaTheme="minorEastAsia"/>
                <w:kern w:val="0"/>
                <w:sz w:val="24"/>
                <w:szCs w:val="24"/>
              </w:rPr>
            </w:pPr>
            <w:r>
              <w:rPr>
                <w:rFonts w:hint="eastAsia" w:cs="宋体" w:asciiTheme="minorEastAsia" w:hAnsiTheme="minorEastAsia" w:eastAsiaTheme="minorEastAsia"/>
                <w:kern w:val="0"/>
                <w:sz w:val="24"/>
                <w:szCs w:val="24"/>
              </w:rPr>
              <w:t>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jc w:val="center"/>
        </w:trPr>
        <w:tc>
          <w:tcPr>
            <w:tcW w:w="1358" w:type="dxa"/>
            <w:vMerge w:val="continue"/>
            <w:vAlign w:val="center"/>
          </w:tcPr>
          <w:p>
            <w:pPr>
              <w:widowControl/>
              <w:jc w:val="center"/>
              <w:rPr>
                <w:rFonts w:cs="宋体" w:asciiTheme="minorEastAsia" w:hAnsiTheme="minorEastAsia" w:eastAsiaTheme="minorEastAsia"/>
                <w:kern w:val="0"/>
                <w:sz w:val="24"/>
                <w:szCs w:val="24"/>
              </w:rPr>
            </w:pPr>
          </w:p>
        </w:tc>
        <w:tc>
          <w:tcPr>
            <w:tcW w:w="1658" w:type="dxa"/>
            <w:vMerge w:val="continue"/>
            <w:vAlign w:val="center"/>
          </w:tcPr>
          <w:p>
            <w:pPr>
              <w:widowControl/>
              <w:jc w:val="center"/>
              <w:rPr>
                <w:rFonts w:cs="宋体" w:asciiTheme="minorEastAsia" w:hAnsiTheme="minorEastAsia" w:eastAsiaTheme="minorEastAsia"/>
                <w:kern w:val="0"/>
                <w:sz w:val="24"/>
                <w:szCs w:val="24"/>
              </w:rPr>
            </w:pPr>
          </w:p>
        </w:tc>
        <w:tc>
          <w:tcPr>
            <w:tcW w:w="4497" w:type="dxa"/>
            <w:shd w:val="clear" w:color="auto" w:fill="auto"/>
            <w:vAlign w:val="center"/>
          </w:tcPr>
          <w:p>
            <w:pPr>
              <w:widowControl/>
              <w:rPr>
                <w:rFonts w:cs="宋体" w:asciiTheme="minorEastAsia" w:hAnsiTheme="minorEastAsia" w:eastAsiaTheme="minorEastAsia"/>
                <w:kern w:val="0"/>
                <w:sz w:val="24"/>
                <w:szCs w:val="24"/>
              </w:rPr>
            </w:pPr>
            <w:r>
              <w:rPr>
                <w:rFonts w:hint="eastAsia" w:cs="宋体" w:asciiTheme="minorEastAsia" w:hAnsiTheme="minorEastAsia" w:eastAsiaTheme="minorEastAsia"/>
                <w:kern w:val="0"/>
                <w:sz w:val="24"/>
                <w:szCs w:val="24"/>
              </w:rPr>
              <w:t>“历史业务”中空运业务的数量，每笔0.6分，5笔满分。</w:t>
            </w:r>
          </w:p>
        </w:tc>
        <w:tc>
          <w:tcPr>
            <w:tcW w:w="669" w:type="dxa"/>
            <w:shd w:val="clear" w:color="auto" w:fill="auto"/>
            <w:vAlign w:val="center"/>
          </w:tcPr>
          <w:p>
            <w:pPr>
              <w:widowControl/>
              <w:jc w:val="center"/>
              <w:rPr>
                <w:rFonts w:cs="宋体" w:asciiTheme="minorEastAsia" w:hAnsiTheme="minorEastAsia" w:eastAsiaTheme="minorEastAsia"/>
                <w:kern w:val="0"/>
                <w:sz w:val="24"/>
                <w:szCs w:val="24"/>
              </w:rPr>
            </w:pPr>
            <w:r>
              <w:rPr>
                <w:rFonts w:hint="eastAsia" w:cs="宋体" w:asciiTheme="minorEastAsia" w:hAnsiTheme="minorEastAsia" w:eastAsiaTheme="minorEastAsia"/>
                <w:kern w:val="0"/>
                <w:sz w:val="24"/>
                <w:szCs w:val="24"/>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jc w:val="center"/>
        </w:trPr>
        <w:tc>
          <w:tcPr>
            <w:tcW w:w="1358" w:type="dxa"/>
            <w:vMerge w:val="restart"/>
            <w:shd w:val="clear" w:color="auto" w:fill="auto"/>
            <w:vAlign w:val="center"/>
          </w:tcPr>
          <w:p>
            <w:pPr>
              <w:widowControl/>
              <w:jc w:val="center"/>
              <w:rPr>
                <w:rFonts w:cs="宋体" w:asciiTheme="minorEastAsia" w:hAnsiTheme="minorEastAsia" w:eastAsiaTheme="minorEastAsia"/>
                <w:kern w:val="0"/>
                <w:sz w:val="24"/>
                <w:szCs w:val="24"/>
              </w:rPr>
            </w:pPr>
            <w:r>
              <w:rPr>
                <w:rFonts w:hint="eastAsia" w:cs="宋体" w:asciiTheme="minorEastAsia" w:hAnsiTheme="minorEastAsia" w:eastAsiaTheme="minorEastAsia"/>
                <w:kern w:val="0"/>
                <w:sz w:val="24"/>
                <w:szCs w:val="24"/>
              </w:rPr>
              <w:t>盈利能力</w:t>
            </w:r>
          </w:p>
          <w:p>
            <w:pPr>
              <w:widowControl/>
              <w:jc w:val="center"/>
              <w:rPr>
                <w:rFonts w:cs="宋体" w:asciiTheme="minorEastAsia" w:hAnsiTheme="minorEastAsia" w:eastAsiaTheme="minorEastAsia"/>
                <w:kern w:val="0"/>
                <w:sz w:val="24"/>
                <w:szCs w:val="24"/>
              </w:rPr>
            </w:pPr>
            <w:r>
              <w:rPr>
                <w:rFonts w:hint="eastAsia" w:cs="宋体" w:asciiTheme="minorEastAsia" w:hAnsiTheme="minorEastAsia" w:eastAsiaTheme="minorEastAsia"/>
                <w:kern w:val="0"/>
                <w:sz w:val="24"/>
                <w:szCs w:val="24"/>
              </w:rPr>
              <w:t>（共20分）</w:t>
            </w:r>
          </w:p>
        </w:tc>
        <w:tc>
          <w:tcPr>
            <w:tcW w:w="1658" w:type="dxa"/>
            <w:shd w:val="clear" w:color="auto" w:fill="auto"/>
            <w:vAlign w:val="center"/>
          </w:tcPr>
          <w:p>
            <w:pPr>
              <w:widowControl/>
              <w:jc w:val="center"/>
              <w:rPr>
                <w:rFonts w:cs="宋体" w:asciiTheme="minorEastAsia" w:hAnsiTheme="minorEastAsia" w:eastAsiaTheme="minorEastAsia"/>
                <w:kern w:val="0"/>
                <w:sz w:val="24"/>
                <w:szCs w:val="24"/>
              </w:rPr>
            </w:pPr>
            <w:r>
              <w:rPr>
                <w:rFonts w:hint="eastAsia" w:cs="宋体" w:asciiTheme="minorEastAsia" w:hAnsiTheme="minorEastAsia" w:eastAsiaTheme="minorEastAsia"/>
                <w:kern w:val="0"/>
                <w:sz w:val="24"/>
                <w:szCs w:val="24"/>
              </w:rPr>
              <w:t>公司盈利能力</w:t>
            </w:r>
          </w:p>
        </w:tc>
        <w:tc>
          <w:tcPr>
            <w:tcW w:w="4497" w:type="dxa"/>
            <w:shd w:val="clear" w:color="auto" w:fill="auto"/>
            <w:vAlign w:val="center"/>
          </w:tcPr>
          <w:p>
            <w:pPr>
              <w:widowControl/>
              <w:rPr>
                <w:rFonts w:cs="宋体" w:asciiTheme="minorEastAsia" w:hAnsiTheme="minorEastAsia" w:eastAsiaTheme="minorEastAsia"/>
                <w:kern w:val="0"/>
                <w:sz w:val="24"/>
                <w:szCs w:val="24"/>
              </w:rPr>
            </w:pPr>
            <w:r>
              <w:rPr>
                <w:rFonts w:hint="eastAsia" w:cs="宋体" w:asciiTheme="minorEastAsia" w:hAnsiTheme="minorEastAsia" w:eastAsiaTheme="minorEastAsia"/>
                <w:kern w:val="0"/>
                <w:sz w:val="24"/>
                <w:szCs w:val="24"/>
              </w:rPr>
              <w:t>公司盈利率=（当前资金-初始资金）/初始资金=每笔业务盈亏额之和/初始资金</w:t>
            </w:r>
          </w:p>
          <w:p>
            <w:pPr>
              <w:widowControl/>
              <w:rPr>
                <w:rFonts w:cs="宋体" w:asciiTheme="minorEastAsia" w:hAnsiTheme="minorEastAsia" w:eastAsiaTheme="minorEastAsia"/>
                <w:kern w:val="0"/>
                <w:sz w:val="24"/>
                <w:szCs w:val="24"/>
              </w:rPr>
            </w:pPr>
            <w:r>
              <w:rPr>
                <w:rFonts w:hint="eastAsia" w:cs="宋体" w:asciiTheme="minorEastAsia" w:hAnsiTheme="minorEastAsia" w:eastAsiaTheme="minorEastAsia"/>
                <w:kern w:val="0"/>
                <w:sz w:val="24"/>
                <w:szCs w:val="24"/>
              </w:rPr>
              <w:t>每笔业务盈亏额为“历史业务”中预算表实际发生额一栏的“预期盈亏额”。</w:t>
            </w:r>
          </w:p>
          <w:p>
            <w:pPr>
              <w:widowControl/>
              <w:rPr>
                <w:rFonts w:cs="宋体" w:asciiTheme="minorEastAsia" w:hAnsiTheme="minorEastAsia" w:eastAsiaTheme="minorEastAsia"/>
                <w:kern w:val="0"/>
                <w:sz w:val="24"/>
                <w:szCs w:val="24"/>
              </w:rPr>
            </w:pPr>
            <w:r>
              <w:rPr>
                <w:rFonts w:hint="eastAsia" w:cs="宋体" w:asciiTheme="minorEastAsia" w:hAnsiTheme="minorEastAsia" w:eastAsiaTheme="minorEastAsia"/>
                <w:kern w:val="0"/>
                <w:sz w:val="24"/>
                <w:szCs w:val="24"/>
              </w:rPr>
              <w:t>公司盈利率小于等于0则此项得分为0；公司盈利率越高，此项得分越高，达到450%得满分。</w:t>
            </w:r>
          </w:p>
          <w:p>
            <w:pPr>
              <w:widowControl/>
              <w:rPr>
                <w:rFonts w:cs="宋体" w:asciiTheme="minorEastAsia" w:hAnsiTheme="minorEastAsia" w:eastAsiaTheme="minorEastAsia"/>
                <w:kern w:val="0"/>
                <w:sz w:val="24"/>
                <w:szCs w:val="24"/>
              </w:rPr>
            </w:pPr>
          </w:p>
          <w:p>
            <w:pPr>
              <w:widowControl/>
              <w:rPr>
                <w:rFonts w:cs="宋体" w:asciiTheme="minorEastAsia" w:hAnsiTheme="minorEastAsia" w:eastAsiaTheme="minorEastAsia"/>
                <w:kern w:val="0"/>
                <w:sz w:val="24"/>
                <w:szCs w:val="24"/>
              </w:rPr>
            </w:pPr>
            <w:r>
              <w:rPr>
                <w:rFonts w:hint="eastAsia" w:cs="宋体" w:asciiTheme="minorEastAsia" w:hAnsiTheme="minorEastAsia" w:eastAsiaTheme="minorEastAsia"/>
                <w:kern w:val="0"/>
                <w:sz w:val="24"/>
                <w:szCs w:val="24"/>
              </w:rPr>
              <w:t>评分结果举例：</w:t>
            </w:r>
          </w:p>
          <w:p>
            <w:pPr>
              <w:widowControl/>
              <w:rPr>
                <w:rFonts w:cs="宋体" w:asciiTheme="minorEastAsia" w:hAnsiTheme="minorEastAsia" w:eastAsiaTheme="minorEastAsia"/>
                <w:kern w:val="0"/>
                <w:sz w:val="24"/>
                <w:szCs w:val="24"/>
              </w:rPr>
            </w:pPr>
            <w:r>
              <w:rPr>
                <w:rFonts w:hint="eastAsia" w:cs="宋体" w:asciiTheme="minorEastAsia" w:hAnsiTheme="minorEastAsia" w:eastAsiaTheme="minorEastAsia"/>
                <w:kern w:val="0"/>
                <w:sz w:val="24"/>
                <w:szCs w:val="24"/>
              </w:rPr>
              <w:t>公司盈利率为50%，得1.11分</w:t>
            </w:r>
          </w:p>
          <w:p>
            <w:pPr>
              <w:widowControl/>
              <w:rPr>
                <w:rFonts w:cs="宋体" w:asciiTheme="minorEastAsia" w:hAnsiTheme="minorEastAsia" w:eastAsiaTheme="minorEastAsia"/>
                <w:kern w:val="0"/>
                <w:sz w:val="24"/>
                <w:szCs w:val="24"/>
              </w:rPr>
            </w:pPr>
            <w:r>
              <w:rPr>
                <w:rFonts w:hint="eastAsia" w:cs="宋体" w:asciiTheme="minorEastAsia" w:hAnsiTheme="minorEastAsia" w:eastAsiaTheme="minorEastAsia"/>
                <w:kern w:val="0"/>
                <w:sz w:val="24"/>
                <w:szCs w:val="24"/>
              </w:rPr>
              <w:t>公司盈利率为100%，得2.07分</w:t>
            </w:r>
          </w:p>
          <w:p>
            <w:pPr>
              <w:widowControl/>
              <w:rPr>
                <w:rFonts w:cs="宋体" w:asciiTheme="minorEastAsia" w:hAnsiTheme="minorEastAsia" w:eastAsiaTheme="minorEastAsia"/>
                <w:kern w:val="0"/>
                <w:sz w:val="24"/>
                <w:szCs w:val="24"/>
              </w:rPr>
            </w:pPr>
            <w:r>
              <w:rPr>
                <w:rFonts w:hint="eastAsia" w:cs="宋体" w:asciiTheme="minorEastAsia" w:hAnsiTheme="minorEastAsia" w:eastAsiaTheme="minorEastAsia"/>
                <w:kern w:val="0"/>
                <w:sz w:val="24"/>
                <w:szCs w:val="24"/>
              </w:rPr>
              <w:t>公司盈利率为150%，得2.98分</w:t>
            </w:r>
          </w:p>
          <w:p>
            <w:pPr>
              <w:widowControl/>
              <w:rPr>
                <w:rFonts w:cs="宋体" w:asciiTheme="minorEastAsia" w:hAnsiTheme="minorEastAsia" w:eastAsiaTheme="minorEastAsia"/>
                <w:kern w:val="0"/>
                <w:sz w:val="24"/>
                <w:szCs w:val="24"/>
              </w:rPr>
            </w:pPr>
            <w:r>
              <w:rPr>
                <w:rFonts w:hint="eastAsia" w:cs="宋体" w:asciiTheme="minorEastAsia" w:hAnsiTheme="minorEastAsia" w:eastAsiaTheme="minorEastAsia"/>
                <w:kern w:val="0"/>
                <w:sz w:val="24"/>
                <w:szCs w:val="24"/>
              </w:rPr>
              <w:t>公司盈利率为200%，得3.86分</w:t>
            </w:r>
          </w:p>
          <w:p>
            <w:pPr>
              <w:widowControl/>
              <w:rPr>
                <w:rFonts w:cs="宋体" w:asciiTheme="minorEastAsia" w:hAnsiTheme="minorEastAsia" w:eastAsiaTheme="minorEastAsia"/>
                <w:kern w:val="0"/>
                <w:sz w:val="24"/>
                <w:szCs w:val="24"/>
              </w:rPr>
            </w:pPr>
            <w:r>
              <w:rPr>
                <w:rFonts w:hint="eastAsia" w:cs="宋体" w:asciiTheme="minorEastAsia" w:hAnsiTheme="minorEastAsia" w:eastAsiaTheme="minorEastAsia"/>
                <w:kern w:val="0"/>
                <w:sz w:val="24"/>
                <w:szCs w:val="24"/>
              </w:rPr>
              <w:t>公司盈利率为300%，得5.55分</w:t>
            </w:r>
          </w:p>
          <w:p>
            <w:pPr>
              <w:widowControl/>
              <w:rPr>
                <w:rFonts w:cs="宋体" w:asciiTheme="minorEastAsia" w:hAnsiTheme="minorEastAsia" w:eastAsiaTheme="minorEastAsia"/>
                <w:kern w:val="0"/>
                <w:sz w:val="24"/>
                <w:szCs w:val="24"/>
              </w:rPr>
            </w:pPr>
            <w:r>
              <w:rPr>
                <w:rFonts w:hint="eastAsia" w:cs="宋体" w:asciiTheme="minorEastAsia" w:hAnsiTheme="minorEastAsia" w:eastAsiaTheme="minorEastAsia"/>
                <w:kern w:val="0"/>
                <w:sz w:val="24"/>
                <w:szCs w:val="24"/>
              </w:rPr>
              <w:t>公司盈利率为350%，得6.38分</w:t>
            </w:r>
          </w:p>
          <w:p>
            <w:pPr>
              <w:widowControl/>
              <w:rPr>
                <w:rFonts w:cs="宋体" w:asciiTheme="minorEastAsia" w:hAnsiTheme="minorEastAsia" w:eastAsiaTheme="minorEastAsia"/>
                <w:kern w:val="0"/>
                <w:sz w:val="24"/>
                <w:szCs w:val="24"/>
              </w:rPr>
            </w:pPr>
            <w:r>
              <w:rPr>
                <w:rFonts w:hint="eastAsia" w:cs="宋体" w:asciiTheme="minorEastAsia" w:hAnsiTheme="minorEastAsia" w:eastAsiaTheme="minorEastAsia"/>
                <w:kern w:val="0"/>
                <w:sz w:val="24"/>
                <w:szCs w:val="24"/>
              </w:rPr>
              <w:t>公司盈利率为400%，得7.20分</w:t>
            </w:r>
          </w:p>
          <w:p>
            <w:pPr>
              <w:widowControl/>
              <w:rPr>
                <w:rFonts w:cs="宋体" w:asciiTheme="minorEastAsia" w:hAnsiTheme="minorEastAsia" w:eastAsiaTheme="minorEastAsia"/>
                <w:kern w:val="0"/>
                <w:sz w:val="24"/>
                <w:szCs w:val="24"/>
              </w:rPr>
            </w:pPr>
            <w:r>
              <w:rPr>
                <w:rFonts w:hint="eastAsia" w:cs="宋体" w:asciiTheme="minorEastAsia" w:hAnsiTheme="minorEastAsia" w:eastAsiaTheme="minorEastAsia"/>
                <w:kern w:val="0"/>
                <w:sz w:val="24"/>
                <w:szCs w:val="24"/>
              </w:rPr>
              <w:t>公司盈利率为450%，得8分</w:t>
            </w:r>
          </w:p>
        </w:tc>
        <w:tc>
          <w:tcPr>
            <w:tcW w:w="669" w:type="dxa"/>
            <w:shd w:val="clear" w:color="auto" w:fill="auto"/>
            <w:vAlign w:val="center"/>
          </w:tcPr>
          <w:p>
            <w:pPr>
              <w:widowControl/>
              <w:jc w:val="center"/>
              <w:rPr>
                <w:rFonts w:cs="宋体" w:asciiTheme="minorEastAsia" w:hAnsiTheme="minorEastAsia" w:eastAsiaTheme="minorEastAsia"/>
                <w:kern w:val="0"/>
                <w:sz w:val="24"/>
                <w:szCs w:val="24"/>
              </w:rPr>
            </w:pPr>
            <w:r>
              <w:rPr>
                <w:rFonts w:hint="eastAsia" w:cs="宋体" w:asciiTheme="minorEastAsia" w:hAnsiTheme="minorEastAsia" w:eastAsiaTheme="minorEastAsia"/>
                <w:kern w:val="0"/>
                <w:sz w:val="24"/>
                <w:szCs w:val="24"/>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jc w:val="center"/>
        </w:trPr>
        <w:tc>
          <w:tcPr>
            <w:tcW w:w="1358" w:type="dxa"/>
            <w:vMerge w:val="continue"/>
            <w:vAlign w:val="center"/>
          </w:tcPr>
          <w:p>
            <w:pPr>
              <w:widowControl/>
              <w:jc w:val="center"/>
              <w:rPr>
                <w:rFonts w:cs="宋体" w:asciiTheme="minorEastAsia" w:hAnsiTheme="minorEastAsia" w:eastAsiaTheme="minorEastAsia"/>
                <w:kern w:val="0"/>
                <w:sz w:val="24"/>
                <w:szCs w:val="24"/>
              </w:rPr>
            </w:pPr>
          </w:p>
        </w:tc>
        <w:tc>
          <w:tcPr>
            <w:tcW w:w="1658" w:type="dxa"/>
            <w:shd w:val="clear" w:color="auto" w:fill="auto"/>
            <w:vAlign w:val="center"/>
          </w:tcPr>
          <w:p>
            <w:pPr>
              <w:widowControl/>
              <w:jc w:val="center"/>
              <w:rPr>
                <w:rFonts w:cs="宋体" w:asciiTheme="minorEastAsia" w:hAnsiTheme="minorEastAsia" w:eastAsiaTheme="minorEastAsia"/>
                <w:kern w:val="0"/>
                <w:sz w:val="24"/>
                <w:szCs w:val="24"/>
              </w:rPr>
            </w:pPr>
            <w:r>
              <w:rPr>
                <w:rFonts w:hint="eastAsia" w:cs="宋体" w:asciiTheme="minorEastAsia" w:hAnsiTheme="minorEastAsia" w:eastAsiaTheme="minorEastAsia"/>
                <w:kern w:val="0"/>
                <w:sz w:val="24"/>
                <w:szCs w:val="24"/>
              </w:rPr>
              <w:t>业务利润率</w:t>
            </w:r>
          </w:p>
        </w:tc>
        <w:tc>
          <w:tcPr>
            <w:tcW w:w="4497" w:type="dxa"/>
            <w:shd w:val="clear" w:color="auto" w:fill="auto"/>
            <w:vAlign w:val="center"/>
          </w:tcPr>
          <w:p>
            <w:pPr>
              <w:widowControl/>
              <w:rPr>
                <w:rFonts w:cs="宋体" w:asciiTheme="minorEastAsia" w:hAnsiTheme="minorEastAsia" w:eastAsiaTheme="minorEastAsia"/>
                <w:kern w:val="0"/>
                <w:sz w:val="24"/>
                <w:szCs w:val="24"/>
              </w:rPr>
            </w:pPr>
            <w:r>
              <w:rPr>
                <w:rFonts w:hint="eastAsia" w:cs="宋体" w:asciiTheme="minorEastAsia" w:hAnsiTheme="minorEastAsia" w:eastAsiaTheme="minorEastAsia"/>
                <w:kern w:val="0"/>
                <w:sz w:val="24"/>
                <w:szCs w:val="24"/>
              </w:rPr>
              <w:t>此项得分为“历史业务”中的每笔进出口业务的“业务利润率”得分的平均分。</w:t>
            </w:r>
          </w:p>
          <w:p>
            <w:pPr>
              <w:widowControl/>
              <w:rPr>
                <w:rFonts w:cs="宋体" w:asciiTheme="minorEastAsia" w:hAnsiTheme="minorEastAsia" w:eastAsiaTheme="minorEastAsia"/>
                <w:kern w:val="0"/>
                <w:sz w:val="24"/>
                <w:szCs w:val="24"/>
              </w:rPr>
            </w:pPr>
            <w:r>
              <w:rPr>
                <w:rFonts w:hint="eastAsia" w:cs="宋体" w:asciiTheme="minorEastAsia" w:hAnsiTheme="minorEastAsia" w:eastAsiaTheme="minorEastAsia"/>
                <w:kern w:val="0"/>
                <w:sz w:val="24"/>
                <w:szCs w:val="24"/>
              </w:rPr>
              <w:t>每笔业务的“业务利润率”得分根据该业务预算表实际发生额一栏中“预期盈亏率”来评分，数值越大则分数越高，达到40%得满分。</w:t>
            </w:r>
          </w:p>
          <w:p>
            <w:pPr>
              <w:widowControl/>
              <w:rPr>
                <w:rFonts w:cs="宋体" w:asciiTheme="minorEastAsia" w:hAnsiTheme="minorEastAsia" w:eastAsiaTheme="minorEastAsia"/>
                <w:kern w:val="0"/>
                <w:sz w:val="24"/>
                <w:szCs w:val="24"/>
              </w:rPr>
            </w:pPr>
          </w:p>
          <w:p>
            <w:pPr>
              <w:widowControl/>
              <w:rPr>
                <w:rFonts w:cs="宋体" w:asciiTheme="minorEastAsia" w:hAnsiTheme="minorEastAsia" w:eastAsiaTheme="minorEastAsia"/>
                <w:kern w:val="0"/>
                <w:sz w:val="24"/>
                <w:szCs w:val="24"/>
              </w:rPr>
            </w:pPr>
            <w:r>
              <w:rPr>
                <w:rFonts w:hint="eastAsia" w:cs="宋体" w:asciiTheme="minorEastAsia" w:hAnsiTheme="minorEastAsia" w:eastAsiaTheme="minorEastAsia"/>
                <w:kern w:val="0"/>
                <w:sz w:val="24"/>
                <w:szCs w:val="24"/>
              </w:rPr>
              <w:t>每笔业务的评分结果举例：</w:t>
            </w:r>
          </w:p>
          <w:p>
            <w:pPr>
              <w:widowControl/>
              <w:rPr>
                <w:rFonts w:cs="宋体" w:asciiTheme="minorEastAsia" w:hAnsiTheme="minorEastAsia" w:eastAsiaTheme="minorEastAsia"/>
                <w:kern w:val="0"/>
                <w:sz w:val="24"/>
                <w:szCs w:val="24"/>
              </w:rPr>
            </w:pPr>
            <w:r>
              <w:rPr>
                <w:rFonts w:hint="eastAsia" w:cs="宋体" w:asciiTheme="minorEastAsia" w:hAnsiTheme="minorEastAsia" w:eastAsiaTheme="minorEastAsia"/>
                <w:kern w:val="0"/>
                <w:sz w:val="24"/>
                <w:szCs w:val="24"/>
              </w:rPr>
              <w:t>业务利润率为5%，得1.85分</w:t>
            </w:r>
          </w:p>
          <w:p>
            <w:pPr>
              <w:widowControl/>
              <w:rPr>
                <w:rFonts w:cs="宋体" w:asciiTheme="minorEastAsia" w:hAnsiTheme="minorEastAsia" w:eastAsiaTheme="minorEastAsia"/>
                <w:kern w:val="0"/>
                <w:sz w:val="24"/>
                <w:szCs w:val="24"/>
              </w:rPr>
            </w:pPr>
            <w:r>
              <w:rPr>
                <w:rFonts w:hint="eastAsia" w:cs="宋体" w:asciiTheme="minorEastAsia" w:hAnsiTheme="minorEastAsia" w:eastAsiaTheme="minorEastAsia"/>
                <w:kern w:val="0"/>
                <w:sz w:val="24"/>
                <w:szCs w:val="24"/>
              </w:rPr>
              <w:t>业务利润率为10%，得3.45分</w:t>
            </w:r>
          </w:p>
          <w:p>
            <w:pPr>
              <w:widowControl/>
              <w:rPr>
                <w:rFonts w:cs="宋体" w:asciiTheme="minorEastAsia" w:hAnsiTheme="minorEastAsia" w:eastAsiaTheme="minorEastAsia"/>
                <w:kern w:val="0"/>
                <w:sz w:val="24"/>
                <w:szCs w:val="24"/>
              </w:rPr>
            </w:pPr>
            <w:r>
              <w:rPr>
                <w:rFonts w:hint="eastAsia" w:cs="宋体" w:asciiTheme="minorEastAsia" w:hAnsiTheme="minorEastAsia" w:eastAsiaTheme="minorEastAsia"/>
                <w:kern w:val="0"/>
                <w:sz w:val="24"/>
                <w:szCs w:val="24"/>
              </w:rPr>
              <w:t>业务利润率为15%，得4.96分</w:t>
            </w:r>
          </w:p>
          <w:p>
            <w:pPr>
              <w:widowControl/>
              <w:rPr>
                <w:rFonts w:cs="宋体" w:asciiTheme="minorEastAsia" w:hAnsiTheme="minorEastAsia" w:eastAsiaTheme="minorEastAsia"/>
                <w:kern w:val="0"/>
                <w:sz w:val="24"/>
                <w:szCs w:val="24"/>
              </w:rPr>
            </w:pPr>
            <w:r>
              <w:rPr>
                <w:rFonts w:hint="eastAsia" w:cs="宋体" w:asciiTheme="minorEastAsia" w:hAnsiTheme="minorEastAsia" w:eastAsiaTheme="minorEastAsia"/>
                <w:kern w:val="0"/>
                <w:sz w:val="24"/>
                <w:szCs w:val="24"/>
              </w:rPr>
              <w:t>业务利润率为20%，得6.43分</w:t>
            </w:r>
          </w:p>
          <w:p>
            <w:pPr>
              <w:widowControl/>
              <w:rPr>
                <w:rFonts w:cs="宋体" w:asciiTheme="minorEastAsia" w:hAnsiTheme="minorEastAsia" w:eastAsiaTheme="minorEastAsia"/>
                <w:kern w:val="0"/>
                <w:sz w:val="24"/>
                <w:szCs w:val="24"/>
              </w:rPr>
            </w:pPr>
            <w:r>
              <w:rPr>
                <w:rFonts w:hint="eastAsia" w:cs="宋体" w:asciiTheme="minorEastAsia" w:hAnsiTheme="minorEastAsia" w:eastAsiaTheme="minorEastAsia"/>
                <w:kern w:val="0"/>
                <w:sz w:val="24"/>
                <w:szCs w:val="24"/>
              </w:rPr>
              <w:t>业务利润率为25%，得7.86分</w:t>
            </w:r>
          </w:p>
          <w:p>
            <w:pPr>
              <w:widowControl/>
              <w:rPr>
                <w:rFonts w:cs="宋体" w:asciiTheme="minorEastAsia" w:hAnsiTheme="minorEastAsia" w:eastAsiaTheme="minorEastAsia"/>
                <w:kern w:val="0"/>
                <w:sz w:val="24"/>
                <w:szCs w:val="24"/>
              </w:rPr>
            </w:pPr>
            <w:r>
              <w:rPr>
                <w:rFonts w:hint="eastAsia" w:cs="宋体" w:asciiTheme="minorEastAsia" w:hAnsiTheme="minorEastAsia" w:eastAsiaTheme="minorEastAsia"/>
                <w:kern w:val="0"/>
                <w:sz w:val="24"/>
                <w:szCs w:val="24"/>
              </w:rPr>
              <w:t>业务利润率为30%，得9.26分</w:t>
            </w:r>
          </w:p>
          <w:p>
            <w:pPr>
              <w:widowControl/>
              <w:rPr>
                <w:rFonts w:cs="宋体" w:asciiTheme="minorEastAsia" w:hAnsiTheme="minorEastAsia" w:eastAsiaTheme="minorEastAsia"/>
                <w:kern w:val="0"/>
                <w:sz w:val="24"/>
                <w:szCs w:val="24"/>
              </w:rPr>
            </w:pPr>
            <w:r>
              <w:rPr>
                <w:rFonts w:hint="eastAsia" w:cs="宋体" w:asciiTheme="minorEastAsia" w:hAnsiTheme="minorEastAsia" w:eastAsiaTheme="minorEastAsia"/>
                <w:kern w:val="0"/>
                <w:sz w:val="24"/>
                <w:szCs w:val="24"/>
              </w:rPr>
              <w:t>业务利润率为35%，得10.64分</w:t>
            </w:r>
          </w:p>
          <w:p>
            <w:pPr>
              <w:widowControl/>
              <w:rPr>
                <w:rFonts w:cs="宋体" w:asciiTheme="minorEastAsia" w:hAnsiTheme="minorEastAsia" w:eastAsiaTheme="minorEastAsia"/>
                <w:kern w:val="0"/>
                <w:sz w:val="24"/>
                <w:szCs w:val="24"/>
              </w:rPr>
            </w:pPr>
            <w:r>
              <w:rPr>
                <w:rFonts w:hint="eastAsia" w:cs="宋体" w:asciiTheme="minorEastAsia" w:hAnsiTheme="minorEastAsia" w:eastAsiaTheme="minorEastAsia"/>
                <w:kern w:val="0"/>
                <w:sz w:val="24"/>
                <w:szCs w:val="24"/>
              </w:rPr>
              <w:t>业务利润率为40%，得12分</w:t>
            </w:r>
          </w:p>
          <w:p>
            <w:pPr>
              <w:widowControl/>
              <w:rPr>
                <w:rFonts w:cs="宋体" w:asciiTheme="minorEastAsia" w:hAnsiTheme="minorEastAsia" w:eastAsiaTheme="minorEastAsia"/>
                <w:kern w:val="0"/>
                <w:sz w:val="24"/>
                <w:szCs w:val="24"/>
              </w:rPr>
            </w:pPr>
          </w:p>
          <w:p>
            <w:pPr>
              <w:widowControl/>
              <w:rPr>
                <w:rFonts w:cs="宋体" w:asciiTheme="minorEastAsia" w:hAnsiTheme="minorEastAsia" w:eastAsiaTheme="minorEastAsia"/>
                <w:kern w:val="0"/>
                <w:sz w:val="24"/>
                <w:szCs w:val="24"/>
              </w:rPr>
            </w:pPr>
            <w:r>
              <w:rPr>
                <w:rFonts w:hint="eastAsia" w:cs="宋体" w:asciiTheme="minorEastAsia" w:hAnsiTheme="minorEastAsia" w:eastAsiaTheme="minorEastAsia"/>
                <w:kern w:val="0"/>
                <w:sz w:val="24"/>
                <w:szCs w:val="24"/>
              </w:rPr>
              <w:t>例如：某同学一共完成3笔业务，业务一盈亏率为15%，业务二盈亏率为20%，业务三盈亏率为30%，则：</w:t>
            </w:r>
          </w:p>
          <w:p>
            <w:pPr>
              <w:widowControl/>
              <w:rPr>
                <w:rFonts w:cs="宋体" w:asciiTheme="minorEastAsia" w:hAnsiTheme="minorEastAsia" w:eastAsiaTheme="minorEastAsia"/>
                <w:kern w:val="0"/>
                <w:sz w:val="24"/>
                <w:szCs w:val="24"/>
              </w:rPr>
            </w:pPr>
            <w:r>
              <w:rPr>
                <w:rFonts w:hint="eastAsia" w:cs="宋体" w:asciiTheme="minorEastAsia" w:hAnsiTheme="minorEastAsia" w:eastAsiaTheme="minorEastAsia"/>
                <w:kern w:val="0"/>
                <w:sz w:val="24"/>
                <w:szCs w:val="24"/>
              </w:rPr>
              <w:t>业务利润率得分=（4.96+6.43+9.26）/3=6.88分</w:t>
            </w:r>
          </w:p>
        </w:tc>
        <w:tc>
          <w:tcPr>
            <w:tcW w:w="669" w:type="dxa"/>
            <w:shd w:val="clear" w:color="auto" w:fill="auto"/>
            <w:vAlign w:val="center"/>
          </w:tcPr>
          <w:p>
            <w:pPr>
              <w:widowControl/>
              <w:jc w:val="center"/>
              <w:rPr>
                <w:rFonts w:cs="宋体" w:asciiTheme="minorEastAsia" w:hAnsiTheme="minorEastAsia" w:eastAsiaTheme="minorEastAsia"/>
                <w:kern w:val="0"/>
                <w:sz w:val="24"/>
                <w:szCs w:val="24"/>
              </w:rPr>
            </w:pPr>
            <w:r>
              <w:rPr>
                <w:rFonts w:hint="eastAsia" w:cs="宋体" w:asciiTheme="minorEastAsia" w:hAnsiTheme="minorEastAsia" w:eastAsiaTheme="minorEastAsia"/>
                <w:kern w:val="0"/>
                <w:sz w:val="24"/>
                <w:szCs w:val="24"/>
              </w:rPr>
              <w:t>12</w:t>
            </w:r>
          </w:p>
        </w:tc>
      </w:tr>
    </w:tbl>
    <w:p>
      <w:pPr>
        <w:tabs>
          <w:tab w:val="right" w:pos="8306"/>
        </w:tabs>
        <w:snapToGrid w:val="0"/>
        <w:spacing w:line="560" w:lineRule="exact"/>
        <w:ind w:firstLine="600" w:firstLineChars="200"/>
        <w:rPr>
          <w:rFonts w:ascii="仿宋_GB2312" w:hAnsi="仿宋" w:eastAsia="仿宋_GB2312" w:cs="Arial"/>
          <w:kern w:val="0"/>
          <w:sz w:val="30"/>
          <w:szCs w:val="30"/>
        </w:rPr>
      </w:pPr>
      <w:r>
        <w:rPr>
          <w:rFonts w:hint="eastAsia" w:ascii="仿宋_GB2312" w:hAnsi="仿宋" w:eastAsia="仿宋_GB2312" w:cs="Arial"/>
          <w:kern w:val="0"/>
          <w:sz w:val="30"/>
          <w:szCs w:val="30"/>
        </w:rPr>
        <w:t>6种贸易术语为：CIF、FOB、CFR、CIP、FCA、CPT</w:t>
      </w:r>
    </w:p>
    <w:p>
      <w:pPr>
        <w:tabs>
          <w:tab w:val="right" w:pos="8306"/>
        </w:tabs>
        <w:snapToGrid w:val="0"/>
        <w:spacing w:line="560" w:lineRule="exact"/>
        <w:ind w:firstLine="600" w:firstLineChars="200"/>
        <w:rPr>
          <w:rFonts w:ascii="仿宋_GB2312" w:hAnsi="仿宋" w:eastAsia="仿宋_GB2312" w:cs="Arial"/>
          <w:kern w:val="0"/>
          <w:sz w:val="30"/>
          <w:szCs w:val="30"/>
        </w:rPr>
      </w:pPr>
      <w:r>
        <w:rPr>
          <w:rFonts w:hint="eastAsia" w:ascii="仿宋_GB2312" w:hAnsi="仿宋" w:eastAsia="仿宋_GB2312" w:cs="Arial"/>
          <w:kern w:val="0"/>
          <w:sz w:val="30"/>
          <w:szCs w:val="30"/>
        </w:rPr>
        <w:t>5种结算方式为：100%T/T、T/T（定金+尾款）、L/C、D/P、D/A</w:t>
      </w:r>
    </w:p>
    <w:p>
      <w:pPr>
        <w:snapToGrid w:val="0"/>
        <w:spacing w:line="560" w:lineRule="exact"/>
        <w:ind w:firstLine="600" w:firstLineChars="200"/>
        <w:rPr>
          <w:rFonts w:ascii="仿宋_GB2312" w:hAnsi="仿宋" w:eastAsia="仿宋_GB2312" w:cs="Arial"/>
          <w:kern w:val="0"/>
          <w:sz w:val="30"/>
          <w:szCs w:val="30"/>
        </w:rPr>
      </w:pPr>
      <w:r>
        <w:rPr>
          <w:rFonts w:hint="eastAsia" w:ascii="仿宋_GB2312" w:hAnsi="仿宋" w:eastAsia="仿宋_GB2312" w:cs="Arial"/>
          <w:kern w:val="0"/>
          <w:sz w:val="30"/>
          <w:szCs w:val="30"/>
        </w:rPr>
        <w:t>★外贸业务能力B2C模块</w:t>
      </w:r>
    </w:p>
    <w:p>
      <w:pPr>
        <w:snapToGrid w:val="0"/>
        <w:spacing w:line="560" w:lineRule="exact"/>
        <w:ind w:firstLine="600" w:firstLineChars="200"/>
        <w:rPr>
          <w:rFonts w:ascii="仿宋_GB2312" w:hAnsi="仿宋" w:eastAsia="仿宋_GB2312" w:cs="Arial"/>
          <w:kern w:val="0"/>
          <w:sz w:val="30"/>
          <w:szCs w:val="30"/>
        </w:rPr>
      </w:pPr>
      <w:r>
        <w:rPr>
          <w:rFonts w:hint="eastAsia" w:ascii="仿宋_GB2312" w:hAnsi="仿宋" w:eastAsia="仿宋_GB2312" w:cs="Arial"/>
          <w:kern w:val="0"/>
          <w:sz w:val="30"/>
          <w:szCs w:val="30"/>
        </w:rPr>
        <w:t>客观题，按实际得分计算。</w:t>
      </w:r>
    </w:p>
    <w:p>
      <w:pPr>
        <w:snapToGrid w:val="0"/>
        <w:spacing w:line="560" w:lineRule="exact"/>
        <w:jc w:val="center"/>
        <w:rPr>
          <w:rFonts w:cs="Arial" w:asciiTheme="minorEastAsia" w:hAnsiTheme="minorEastAsia"/>
          <w:kern w:val="0"/>
          <w:sz w:val="24"/>
          <w:szCs w:val="24"/>
        </w:rPr>
      </w:pPr>
      <w:r>
        <w:rPr>
          <w:rFonts w:hint="eastAsia" w:cs="Arial" w:asciiTheme="minorEastAsia" w:hAnsiTheme="minorEastAsia"/>
          <w:kern w:val="0"/>
          <w:sz w:val="24"/>
          <w:szCs w:val="24"/>
        </w:rPr>
        <w:t>表7 外贸业务能力B2C模块评分细则</w:t>
      </w:r>
    </w:p>
    <w:tbl>
      <w:tblPr>
        <w:tblStyle w:val="17"/>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60"/>
        <w:gridCol w:w="4678"/>
        <w:gridCol w:w="11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1" w:hRule="atLeast"/>
        </w:trPr>
        <w:tc>
          <w:tcPr>
            <w:tcW w:w="2660" w:type="dxa"/>
            <w:vAlign w:val="center"/>
          </w:tcPr>
          <w:p>
            <w:pPr>
              <w:jc w:val="center"/>
              <w:rPr>
                <w:rFonts w:ascii="宋体" w:hAnsi="宋体"/>
                <w:b/>
                <w:sz w:val="24"/>
                <w:szCs w:val="24"/>
              </w:rPr>
            </w:pPr>
            <w:r>
              <w:rPr>
                <w:rFonts w:hint="eastAsia" w:ascii="宋体" w:hAnsi="宋体"/>
                <w:b/>
                <w:sz w:val="24"/>
                <w:szCs w:val="24"/>
              </w:rPr>
              <w:t>题型</w:t>
            </w:r>
          </w:p>
        </w:tc>
        <w:tc>
          <w:tcPr>
            <w:tcW w:w="4678" w:type="dxa"/>
            <w:vAlign w:val="center"/>
          </w:tcPr>
          <w:p>
            <w:pPr>
              <w:jc w:val="center"/>
              <w:rPr>
                <w:rFonts w:ascii="宋体" w:hAnsi="宋体"/>
                <w:b/>
                <w:sz w:val="24"/>
                <w:szCs w:val="24"/>
              </w:rPr>
            </w:pPr>
            <w:r>
              <w:rPr>
                <w:rFonts w:hint="eastAsia" w:ascii="宋体" w:hAnsi="宋体"/>
                <w:b/>
                <w:sz w:val="24"/>
                <w:szCs w:val="24"/>
              </w:rPr>
              <w:t>评分标准</w:t>
            </w:r>
          </w:p>
        </w:tc>
        <w:tc>
          <w:tcPr>
            <w:tcW w:w="1184" w:type="dxa"/>
            <w:vAlign w:val="center"/>
          </w:tcPr>
          <w:p>
            <w:pPr>
              <w:jc w:val="center"/>
              <w:rPr>
                <w:rFonts w:ascii="宋体" w:hAnsi="宋体"/>
                <w:b/>
                <w:sz w:val="24"/>
                <w:szCs w:val="24"/>
              </w:rPr>
            </w:pPr>
            <w:r>
              <w:rPr>
                <w:rFonts w:hint="eastAsia" w:ascii="宋体" w:hAnsi="宋体"/>
                <w:b/>
                <w:sz w:val="24"/>
                <w:szCs w:val="24"/>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 w:hRule="atLeast"/>
        </w:trPr>
        <w:tc>
          <w:tcPr>
            <w:tcW w:w="2660" w:type="dxa"/>
            <w:vAlign w:val="center"/>
          </w:tcPr>
          <w:p>
            <w:pPr>
              <w:jc w:val="center"/>
              <w:rPr>
                <w:rFonts w:ascii="宋体" w:hAnsi="宋体"/>
                <w:sz w:val="24"/>
                <w:szCs w:val="24"/>
              </w:rPr>
            </w:pPr>
            <w:r>
              <w:rPr>
                <w:rFonts w:hint="eastAsia" w:ascii="宋体" w:hAnsi="宋体"/>
                <w:sz w:val="24"/>
                <w:szCs w:val="24"/>
              </w:rPr>
              <w:t>单项选择题</w:t>
            </w:r>
          </w:p>
        </w:tc>
        <w:tc>
          <w:tcPr>
            <w:tcW w:w="4678" w:type="dxa"/>
            <w:vAlign w:val="center"/>
          </w:tcPr>
          <w:p>
            <w:pPr>
              <w:jc w:val="center"/>
              <w:rPr>
                <w:rFonts w:ascii="宋体" w:hAnsi="宋体"/>
                <w:sz w:val="24"/>
                <w:szCs w:val="24"/>
              </w:rPr>
            </w:pPr>
            <w:r>
              <w:rPr>
                <w:rFonts w:hint="eastAsia" w:ascii="宋体" w:hAnsi="宋体"/>
                <w:sz w:val="24"/>
                <w:szCs w:val="24"/>
              </w:rPr>
              <w:t>每题1分，共10题</w:t>
            </w:r>
          </w:p>
        </w:tc>
        <w:tc>
          <w:tcPr>
            <w:tcW w:w="1184" w:type="dxa"/>
            <w:vAlign w:val="center"/>
          </w:tcPr>
          <w:p>
            <w:pPr>
              <w:jc w:val="center"/>
              <w:rPr>
                <w:rFonts w:ascii="宋体" w:hAnsi="宋体"/>
                <w:sz w:val="24"/>
                <w:szCs w:val="24"/>
              </w:rPr>
            </w:pPr>
            <w:r>
              <w:rPr>
                <w:rFonts w:hint="eastAsia" w:ascii="宋体" w:hAnsi="宋体"/>
                <w:sz w:val="24"/>
                <w:szCs w:val="24"/>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1" w:hRule="atLeast"/>
        </w:trPr>
        <w:tc>
          <w:tcPr>
            <w:tcW w:w="2660" w:type="dxa"/>
            <w:vAlign w:val="center"/>
          </w:tcPr>
          <w:p>
            <w:pPr>
              <w:jc w:val="center"/>
              <w:rPr>
                <w:rFonts w:ascii="宋体" w:hAnsi="宋体"/>
                <w:sz w:val="24"/>
                <w:szCs w:val="24"/>
              </w:rPr>
            </w:pPr>
            <w:r>
              <w:rPr>
                <w:rFonts w:hint="eastAsia" w:ascii="宋体" w:hAnsi="宋体"/>
                <w:sz w:val="24"/>
                <w:szCs w:val="24"/>
              </w:rPr>
              <w:t>多项选择题</w:t>
            </w:r>
          </w:p>
        </w:tc>
        <w:tc>
          <w:tcPr>
            <w:tcW w:w="4678" w:type="dxa"/>
            <w:vAlign w:val="center"/>
          </w:tcPr>
          <w:p>
            <w:pPr>
              <w:jc w:val="center"/>
              <w:rPr>
                <w:rFonts w:ascii="宋体" w:hAnsi="宋体"/>
                <w:sz w:val="24"/>
                <w:szCs w:val="24"/>
              </w:rPr>
            </w:pPr>
            <w:r>
              <w:rPr>
                <w:rFonts w:hint="eastAsia" w:ascii="宋体" w:hAnsi="宋体"/>
                <w:sz w:val="24"/>
                <w:szCs w:val="24"/>
              </w:rPr>
              <w:t>每题3分，共10题</w:t>
            </w:r>
          </w:p>
        </w:tc>
        <w:tc>
          <w:tcPr>
            <w:tcW w:w="1184" w:type="dxa"/>
            <w:vAlign w:val="center"/>
          </w:tcPr>
          <w:p>
            <w:pPr>
              <w:jc w:val="center"/>
              <w:rPr>
                <w:rFonts w:ascii="宋体" w:hAnsi="宋体"/>
                <w:sz w:val="24"/>
                <w:szCs w:val="24"/>
              </w:rPr>
            </w:pPr>
            <w:r>
              <w:rPr>
                <w:rFonts w:hint="eastAsia" w:ascii="宋体" w:hAnsi="宋体"/>
                <w:sz w:val="24"/>
                <w:szCs w:val="24"/>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1" w:hRule="atLeast"/>
        </w:trPr>
        <w:tc>
          <w:tcPr>
            <w:tcW w:w="2660" w:type="dxa"/>
            <w:vAlign w:val="center"/>
          </w:tcPr>
          <w:p>
            <w:pPr>
              <w:jc w:val="center"/>
              <w:rPr>
                <w:rFonts w:ascii="宋体" w:hAnsi="宋体"/>
                <w:sz w:val="24"/>
                <w:szCs w:val="24"/>
              </w:rPr>
            </w:pPr>
            <w:r>
              <w:rPr>
                <w:rFonts w:hint="eastAsia" w:ascii="宋体" w:hAnsi="宋体"/>
                <w:sz w:val="24"/>
                <w:szCs w:val="24"/>
              </w:rPr>
              <w:t>填空题</w:t>
            </w:r>
          </w:p>
        </w:tc>
        <w:tc>
          <w:tcPr>
            <w:tcW w:w="4678" w:type="dxa"/>
            <w:vAlign w:val="center"/>
          </w:tcPr>
          <w:p>
            <w:pPr>
              <w:jc w:val="center"/>
              <w:rPr>
                <w:rFonts w:ascii="宋体" w:hAnsi="宋体"/>
                <w:sz w:val="24"/>
                <w:szCs w:val="24"/>
              </w:rPr>
            </w:pPr>
            <w:r>
              <w:rPr>
                <w:rFonts w:hint="eastAsia" w:ascii="宋体" w:hAnsi="宋体"/>
                <w:sz w:val="24"/>
                <w:szCs w:val="24"/>
              </w:rPr>
              <w:t>每题2分，共10题</w:t>
            </w:r>
          </w:p>
        </w:tc>
        <w:tc>
          <w:tcPr>
            <w:tcW w:w="1184" w:type="dxa"/>
            <w:vAlign w:val="center"/>
          </w:tcPr>
          <w:p>
            <w:pPr>
              <w:jc w:val="center"/>
              <w:rPr>
                <w:rFonts w:ascii="宋体" w:hAnsi="宋体"/>
                <w:sz w:val="24"/>
                <w:szCs w:val="24"/>
              </w:rPr>
            </w:pPr>
            <w:r>
              <w:rPr>
                <w:rFonts w:hint="eastAsia" w:ascii="宋体" w:hAnsi="宋体"/>
                <w:sz w:val="24"/>
                <w:szCs w:val="24"/>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1" w:hRule="atLeast"/>
        </w:trPr>
        <w:tc>
          <w:tcPr>
            <w:tcW w:w="2660" w:type="dxa"/>
            <w:vAlign w:val="center"/>
          </w:tcPr>
          <w:p>
            <w:pPr>
              <w:jc w:val="center"/>
              <w:rPr>
                <w:rFonts w:ascii="宋体" w:hAnsi="宋体"/>
                <w:sz w:val="24"/>
                <w:szCs w:val="24"/>
              </w:rPr>
            </w:pPr>
            <w:r>
              <w:rPr>
                <w:rFonts w:hint="eastAsia" w:ascii="宋体" w:hAnsi="宋体"/>
                <w:sz w:val="24"/>
                <w:szCs w:val="24"/>
              </w:rPr>
              <w:t>拖拽题</w:t>
            </w:r>
          </w:p>
        </w:tc>
        <w:tc>
          <w:tcPr>
            <w:tcW w:w="4678" w:type="dxa"/>
            <w:vAlign w:val="center"/>
          </w:tcPr>
          <w:p>
            <w:pPr>
              <w:jc w:val="center"/>
              <w:rPr>
                <w:rFonts w:ascii="宋体" w:hAnsi="宋体"/>
                <w:sz w:val="24"/>
                <w:szCs w:val="24"/>
              </w:rPr>
            </w:pPr>
            <w:r>
              <w:rPr>
                <w:rFonts w:hint="eastAsia" w:ascii="宋体" w:hAnsi="宋体"/>
                <w:sz w:val="24"/>
                <w:szCs w:val="24"/>
              </w:rPr>
              <w:t>每题2分，共10题</w:t>
            </w:r>
          </w:p>
        </w:tc>
        <w:tc>
          <w:tcPr>
            <w:tcW w:w="1184" w:type="dxa"/>
            <w:vAlign w:val="center"/>
          </w:tcPr>
          <w:p>
            <w:pPr>
              <w:jc w:val="center"/>
              <w:rPr>
                <w:rFonts w:ascii="宋体" w:hAnsi="宋体"/>
                <w:sz w:val="24"/>
                <w:szCs w:val="24"/>
              </w:rPr>
            </w:pPr>
            <w:r>
              <w:rPr>
                <w:rFonts w:hint="eastAsia" w:ascii="宋体" w:hAnsi="宋体"/>
                <w:sz w:val="24"/>
                <w:szCs w:val="24"/>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1" w:hRule="atLeast"/>
        </w:trPr>
        <w:tc>
          <w:tcPr>
            <w:tcW w:w="2660" w:type="dxa"/>
            <w:vAlign w:val="center"/>
          </w:tcPr>
          <w:p>
            <w:pPr>
              <w:jc w:val="center"/>
              <w:rPr>
                <w:rFonts w:ascii="宋体" w:hAnsi="宋体"/>
                <w:sz w:val="24"/>
                <w:szCs w:val="24"/>
              </w:rPr>
            </w:pPr>
            <w:r>
              <w:rPr>
                <w:rFonts w:hint="eastAsia" w:ascii="宋体" w:hAnsi="宋体"/>
                <w:sz w:val="24"/>
                <w:szCs w:val="24"/>
              </w:rPr>
              <w:t>图形选择题</w:t>
            </w:r>
          </w:p>
        </w:tc>
        <w:tc>
          <w:tcPr>
            <w:tcW w:w="4678" w:type="dxa"/>
            <w:vAlign w:val="center"/>
          </w:tcPr>
          <w:p>
            <w:pPr>
              <w:jc w:val="center"/>
              <w:rPr>
                <w:rFonts w:ascii="宋体" w:hAnsi="宋体"/>
                <w:sz w:val="24"/>
                <w:szCs w:val="24"/>
              </w:rPr>
            </w:pPr>
            <w:r>
              <w:rPr>
                <w:rFonts w:hint="eastAsia" w:ascii="宋体" w:hAnsi="宋体"/>
                <w:sz w:val="24"/>
                <w:szCs w:val="24"/>
              </w:rPr>
              <w:t>每题2分，共10题</w:t>
            </w:r>
          </w:p>
        </w:tc>
        <w:tc>
          <w:tcPr>
            <w:tcW w:w="1184" w:type="dxa"/>
            <w:vAlign w:val="center"/>
          </w:tcPr>
          <w:p>
            <w:pPr>
              <w:jc w:val="center"/>
              <w:rPr>
                <w:rFonts w:ascii="宋体" w:hAnsi="宋体"/>
                <w:sz w:val="24"/>
                <w:szCs w:val="24"/>
              </w:rPr>
            </w:pPr>
            <w:r>
              <w:rPr>
                <w:rFonts w:hint="eastAsia" w:ascii="宋体" w:hAnsi="宋体"/>
                <w:sz w:val="24"/>
                <w:szCs w:val="24"/>
              </w:rPr>
              <w:t>20</w:t>
            </w:r>
          </w:p>
        </w:tc>
      </w:tr>
    </w:tbl>
    <w:p>
      <w:pPr>
        <w:snapToGrid w:val="0"/>
        <w:spacing w:line="560" w:lineRule="exact"/>
        <w:ind w:firstLine="600" w:firstLineChars="200"/>
        <w:rPr>
          <w:rFonts w:ascii="仿宋_GB2312" w:hAnsi="仿宋" w:eastAsia="仿宋_GB2312" w:cs="Arial"/>
          <w:kern w:val="0"/>
          <w:sz w:val="30"/>
          <w:szCs w:val="30"/>
        </w:rPr>
      </w:pPr>
      <w:r>
        <w:rPr>
          <w:rFonts w:hint="eastAsia" w:ascii="仿宋_GB2312" w:hAnsi="仿宋" w:eastAsia="仿宋_GB2312" w:cs="Arial"/>
          <w:kern w:val="0"/>
          <w:sz w:val="30"/>
          <w:szCs w:val="30"/>
        </w:rPr>
        <w:t>★外贸跟单能力模块</w:t>
      </w:r>
    </w:p>
    <w:p>
      <w:pPr>
        <w:snapToGrid w:val="0"/>
        <w:spacing w:line="560" w:lineRule="exact"/>
        <w:ind w:firstLine="600" w:firstLineChars="200"/>
        <w:rPr>
          <w:rFonts w:ascii="仿宋_GB2312" w:hAnsi="仿宋" w:eastAsia="仿宋_GB2312" w:cs="Arial"/>
          <w:kern w:val="0"/>
          <w:sz w:val="30"/>
          <w:szCs w:val="30"/>
        </w:rPr>
      </w:pPr>
      <w:r>
        <w:rPr>
          <w:rFonts w:hint="eastAsia" w:ascii="仿宋_GB2312" w:hAnsi="仿宋" w:eastAsia="仿宋_GB2312" w:cs="Arial"/>
          <w:kern w:val="0"/>
          <w:sz w:val="30"/>
          <w:szCs w:val="30"/>
        </w:rPr>
        <w:t>选手外贸跟单能力模块得分=跟单操作得分×70%+跟单时间得分×30%</w:t>
      </w:r>
    </w:p>
    <w:p>
      <w:pPr>
        <w:snapToGrid w:val="0"/>
        <w:spacing w:line="560" w:lineRule="exact"/>
        <w:ind w:firstLine="600" w:firstLineChars="200"/>
        <w:rPr>
          <w:rFonts w:ascii="仿宋_GB2312" w:hAnsi="仿宋" w:eastAsia="仿宋_GB2312" w:cs="Arial"/>
          <w:kern w:val="0"/>
          <w:sz w:val="30"/>
          <w:szCs w:val="30"/>
        </w:rPr>
      </w:pPr>
      <w:r>
        <w:rPr>
          <w:rFonts w:hint="eastAsia" w:ascii="仿宋_GB2312" w:hAnsi="仿宋" w:eastAsia="仿宋_GB2312" w:cs="Arial"/>
          <w:kern w:val="0"/>
          <w:sz w:val="30"/>
          <w:szCs w:val="30"/>
        </w:rPr>
        <w:t>（1）跟单操作得分详细评分标准如下（满分100分）：</w:t>
      </w:r>
    </w:p>
    <w:p>
      <w:pPr>
        <w:snapToGrid w:val="0"/>
        <w:spacing w:line="560" w:lineRule="exact"/>
        <w:jc w:val="center"/>
        <w:rPr>
          <w:rFonts w:ascii="仿宋_GB2312" w:hAnsi="仿宋" w:eastAsia="仿宋_GB2312" w:cs="Arial"/>
          <w:kern w:val="0"/>
          <w:sz w:val="30"/>
          <w:szCs w:val="30"/>
        </w:rPr>
      </w:pPr>
      <w:r>
        <w:rPr>
          <w:rFonts w:hint="eastAsia" w:cs="Arial" w:asciiTheme="minorEastAsia" w:hAnsiTheme="minorEastAsia"/>
          <w:kern w:val="0"/>
          <w:sz w:val="24"/>
          <w:szCs w:val="24"/>
        </w:rPr>
        <w:t>表8 外贸跟单能力模块评分细则</w:t>
      </w:r>
    </w:p>
    <w:tbl>
      <w:tblPr>
        <w:tblStyle w:val="17"/>
        <w:tblW w:w="818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32"/>
        <w:gridCol w:w="5176"/>
        <w:gridCol w:w="9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3" w:hRule="atLeast"/>
          <w:tblHeader/>
          <w:jc w:val="center"/>
        </w:trPr>
        <w:tc>
          <w:tcPr>
            <w:tcW w:w="2032" w:type="dxa"/>
            <w:shd w:val="clear" w:color="auto" w:fill="auto"/>
            <w:vAlign w:val="center"/>
          </w:tcPr>
          <w:p>
            <w:pPr>
              <w:widowControl/>
              <w:jc w:val="center"/>
              <w:rPr>
                <w:rFonts w:cs="宋体" w:asciiTheme="minorEastAsia" w:hAnsiTheme="minorEastAsia" w:eastAsiaTheme="minorEastAsia"/>
                <w:b/>
                <w:kern w:val="0"/>
                <w:sz w:val="24"/>
              </w:rPr>
            </w:pPr>
            <w:r>
              <w:rPr>
                <w:rFonts w:hint="eastAsia" w:cs="宋体" w:asciiTheme="minorEastAsia" w:hAnsiTheme="minorEastAsia" w:eastAsiaTheme="minorEastAsia"/>
                <w:b/>
                <w:kern w:val="0"/>
                <w:sz w:val="24"/>
              </w:rPr>
              <w:t>项目</w:t>
            </w:r>
          </w:p>
        </w:tc>
        <w:tc>
          <w:tcPr>
            <w:tcW w:w="5176" w:type="dxa"/>
            <w:shd w:val="clear" w:color="auto" w:fill="auto"/>
            <w:vAlign w:val="center"/>
          </w:tcPr>
          <w:p>
            <w:pPr>
              <w:widowControl/>
              <w:jc w:val="center"/>
              <w:rPr>
                <w:rFonts w:cs="宋体" w:asciiTheme="minorEastAsia" w:hAnsiTheme="minorEastAsia" w:eastAsiaTheme="minorEastAsia"/>
                <w:b/>
                <w:kern w:val="0"/>
                <w:sz w:val="24"/>
              </w:rPr>
            </w:pPr>
            <w:r>
              <w:rPr>
                <w:rFonts w:hint="eastAsia" w:cs="宋体" w:asciiTheme="minorEastAsia" w:hAnsiTheme="minorEastAsia" w:eastAsiaTheme="minorEastAsia"/>
                <w:b/>
                <w:kern w:val="0"/>
                <w:sz w:val="24"/>
              </w:rPr>
              <w:t>评分细则</w:t>
            </w:r>
          </w:p>
        </w:tc>
        <w:tc>
          <w:tcPr>
            <w:tcW w:w="974" w:type="dxa"/>
            <w:shd w:val="clear" w:color="auto" w:fill="auto"/>
            <w:vAlign w:val="center"/>
          </w:tcPr>
          <w:p>
            <w:pPr>
              <w:widowControl/>
              <w:jc w:val="center"/>
              <w:rPr>
                <w:rFonts w:cs="宋体" w:asciiTheme="minorEastAsia" w:hAnsiTheme="minorEastAsia" w:eastAsiaTheme="minorEastAsia"/>
                <w:b/>
                <w:kern w:val="0"/>
                <w:sz w:val="24"/>
              </w:rPr>
            </w:pPr>
            <w:r>
              <w:rPr>
                <w:rFonts w:hint="eastAsia" w:cs="宋体" w:asciiTheme="minorEastAsia" w:hAnsiTheme="minorEastAsia" w:eastAsiaTheme="minorEastAsia"/>
                <w:b/>
                <w:kern w:val="0"/>
                <w:sz w:val="24"/>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5" w:hRule="atLeast"/>
          <w:tblHeader/>
          <w:jc w:val="center"/>
        </w:trPr>
        <w:tc>
          <w:tcPr>
            <w:tcW w:w="2032" w:type="dxa"/>
            <w:shd w:val="clear" w:color="auto" w:fill="auto"/>
            <w:vAlign w:val="center"/>
          </w:tcPr>
          <w:p>
            <w:pPr>
              <w:widowControl/>
              <w:jc w:val="center"/>
              <w:rPr>
                <w:rFonts w:cs="宋体" w:asciiTheme="minorEastAsia" w:hAnsiTheme="minorEastAsia" w:eastAsiaTheme="minorEastAsia"/>
                <w:kern w:val="0"/>
                <w:sz w:val="24"/>
              </w:rPr>
            </w:pPr>
            <w:r>
              <w:rPr>
                <w:rFonts w:hint="eastAsia" w:cs="宋体" w:asciiTheme="minorEastAsia" w:hAnsiTheme="minorEastAsia" w:eastAsiaTheme="minorEastAsia"/>
                <w:kern w:val="0"/>
                <w:sz w:val="24"/>
              </w:rPr>
              <w:t>商业发票的缮制</w:t>
            </w:r>
          </w:p>
        </w:tc>
        <w:tc>
          <w:tcPr>
            <w:tcW w:w="5176" w:type="dxa"/>
            <w:shd w:val="clear" w:color="auto" w:fill="auto"/>
            <w:vAlign w:val="center"/>
          </w:tcPr>
          <w:p>
            <w:pPr>
              <w:widowControl/>
              <w:rPr>
                <w:rFonts w:cs="宋体" w:asciiTheme="minorEastAsia" w:hAnsiTheme="minorEastAsia" w:eastAsiaTheme="minorEastAsia"/>
                <w:kern w:val="0"/>
                <w:sz w:val="24"/>
              </w:rPr>
            </w:pPr>
            <w:r>
              <w:rPr>
                <w:rFonts w:hint="eastAsia" w:cs="宋体" w:asciiTheme="minorEastAsia" w:hAnsiTheme="minorEastAsia" w:eastAsiaTheme="minorEastAsia"/>
                <w:kern w:val="0"/>
                <w:sz w:val="24"/>
              </w:rPr>
              <w:t>单据正确率越高、检查次数越少，得分越高。</w:t>
            </w:r>
          </w:p>
        </w:tc>
        <w:tc>
          <w:tcPr>
            <w:tcW w:w="974" w:type="dxa"/>
            <w:shd w:val="clear" w:color="auto" w:fill="auto"/>
            <w:vAlign w:val="center"/>
          </w:tcPr>
          <w:p>
            <w:pPr>
              <w:widowControl/>
              <w:jc w:val="center"/>
              <w:rPr>
                <w:rFonts w:cs="宋体" w:asciiTheme="minorEastAsia" w:hAnsiTheme="minorEastAsia" w:eastAsiaTheme="minorEastAsia"/>
                <w:kern w:val="0"/>
                <w:sz w:val="24"/>
              </w:rPr>
            </w:pPr>
            <w:r>
              <w:rPr>
                <w:rFonts w:hint="eastAsia" w:cs="宋体" w:asciiTheme="minorEastAsia" w:hAnsiTheme="minorEastAsia" w:eastAsiaTheme="minorEastAsia"/>
                <w:kern w:val="0"/>
                <w:sz w:val="24"/>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1" w:hRule="atLeast"/>
          <w:tblHeader/>
          <w:jc w:val="center"/>
        </w:trPr>
        <w:tc>
          <w:tcPr>
            <w:tcW w:w="2032" w:type="dxa"/>
            <w:shd w:val="clear" w:color="auto" w:fill="auto"/>
            <w:vAlign w:val="center"/>
          </w:tcPr>
          <w:p>
            <w:pPr>
              <w:widowControl/>
              <w:jc w:val="center"/>
              <w:rPr>
                <w:rFonts w:cs="宋体" w:asciiTheme="minorEastAsia" w:hAnsiTheme="minorEastAsia" w:eastAsiaTheme="minorEastAsia"/>
                <w:kern w:val="0"/>
                <w:sz w:val="24"/>
              </w:rPr>
            </w:pPr>
            <w:r>
              <w:rPr>
                <w:rFonts w:hint="eastAsia" w:cs="宋体" w:asciiTheme="minorEastAsia" w:hAnsiTheme="minorEastAsia" w:eastAsiaTheme="minorEastAsia"/>
                <w:kern w:val="0"/>
                <w:sz w:val="24"/>
              </w:rPr>
              <w:t>装箱单的缮制</w:t>
            </w:r>
          </w:p>
        </w:tc>
        <w:tc>
          <w:tcPr>
            <w:tcW w:w="5176" w:type="dxa"/>
            <w:shd w:val="clear" w:color="auto" w:fill="auto"/>
            <w:vAlign w:val="center"/>
          </w:tcPr>
          <w:p>
            <w:pPr>
              <w:widowControl/>
              <w:rPr>
                <w:rFonts w:cs="宋体" w:asciiTheme="minorEastAsia" w:hAnsiTheme="minorEastAsia" w:eastAsiaTheme="minorEastAsia"/>
                <w:kern w:val="0"/>
                <w:sz w:val="24"/>
              </w:rPr>
            </w:pPr>
            <w:r>
              <w:rPr>
                <w:rFonts w:hint="eastAsia" w:cs="宋体" w:asciiTheme="minorEastAsia" w:hAnsiTheme="minorEastAsia" w:eastAsiaTheme="minorEastAsia"/>
                <w:kern w:val="0"/>
                <w:sz w:val="24"/>
              </w:rPr>
              <w:t>单据正确率越高、检查次数越少，得分越高。</w:t>
            </w:r>
          </w:p>
        </w:tc>
        <w:tc>
          <w:tcPr>
            <w:tcW w:w="974" w:type="dxa"/>
            <w:shd w:val="clear" w:color="auto" w:fill="auto"/>
            <w:vAlign w:val="center"/>
          </w:tcPr>
          <w:p>
            <w:pPr>
              <w:widowControl/>
              <w:jc w:val="center"/>
              <w:rPr>
                <w:rFonts w:cs="宋体" w:asciiTheme="minorEastAsia" w:hAnsiTheme="minorEastAsia" w:eastAsiaTheme="minorEastAsia"/>
                <w:kern w:val="0"/>
                <w:sz w:val="24"/>
              </w:rPr>
            </w:pPr>
            <w:r>
              <w:rPr>
                <w:rFonts w:hint="eastAsia" w:cs="宋体" w:asciiTheme="minorEastAsia" w:hAnsiTheme="minorEastAsia" w:eastAsiaTheme="minorEastAsia"/>
                <w:kern w:val="0"/>
                <w:sz w:val="24"/>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0" w:hRule="atLeast"/>
          <w:tblHeader/>
          <w:jc w:val="center"/>
        </w:trPr>
        <w:tc>
          <w:tcPr>
            <w:tcW w:w="2032" w:type="dxa"/>
            <w:vMerge w:val="restart"/>
            <w:shd w:val="clear" w:color="auto" w:fill="auto"/>
            <w:vAlign w:val="center"/>
          </w:tcPr>
          <w:p>
            <w:pPr>
              <w:widowControl/>
              <w:jc w:val="center"/>
              <w:rPr>
                <w:rFonts w:cs="宋体" w:asciiTheme="minorEastAsia" w:hAnsiTheme="minorEastAsia" w:eastAsiaTheme="minorEastAsia"/>
                <w:kern w:val="0"/>
                <w:sz w:val="24"/>
              </w:rPr>
            </w:pPr>
            <w:r>
              <w:rPr>
                <w:rFonts w:hint="eastAsia" w:cs="宋体" w:asciiTheme="minorEastAsia" w:hAnsiTheme="minorEastAsia" w:eastAsiaTheme="minorEastAsia"/>
                <w:kern w:val="0"/>
                <w:sz w:val="24"/>
              </w:rPr>
              <w:t>出口海运订舱</w:t>
            </w:r>
          </w:p>
        </w:tc>
        <w:tc>
          <w:tcPr>
            <w:tcW w:w="5176" w:type="dxa"/>
            <w:shd w:val="clear" w:color="auto" w:fill="auto"/>
            <w:vAlign w:val="center"/>
          </w:tcPr>
          <w:p>
            <w:pPr>
              <w:widowControl/>
              <w:rPr>
                <w:rFonts w:cs="宋体" w:asciiTheme="minorEastAsia" w:hAnsiTheme="minorEastAsia" w:eastAsiaTheme="minorEastAsia"/>
                <w:kern w:val="0"/>
                <w:sz w:val="24"/>
              </w:rPr>
            </w:pPr>
            <w:r>
              <w:rPr>
                <w:rFonts w:hint="eastAsia" w:cs="宋体" w:asciiTheme="minorEastAsia" w:hAnsiTheme="minorEastAsia" w:eastAsiaTheme="minorEastAsia"/>
                <w:kern w:val="0"/>
                <w:sz w:val="24"/>
              </w:rPr>
              <w:t>国际海运委托书的缮制：</w:t>
            </w:r>
          </w:p>
          <w:p>
            <w:pPr>
              <w:widowControl/>
              <w:rPr>
                <w:rFonts w:cs="宋体" w:asciiTheme="minorEastAsia" w:hAnsiTheme="minorEastAsia" w:eastAsiaTheme="minorEastAsia"/>
                <w:kern w:val="0"/>
                <w:sz w:val="24"/>
              </w:rPr>
            </w:pPr>
            <w:r>
              <w:rPr>
                <w:rFonts w:hint="eastAsia" w:cs="宋体" w:asciiTheme="minorEastAsia" w:hAnsiTheme="minorEastAsia" w:eastAsiaTheme="minorEastAsia"/>
                <w:kern w:val="0"/>
                <w:sz w:val="24"/>
              </w:rPr>
              <w:t>单据正确率越高、检查次数越少，得分越高。</w:t>
            </w:r>
          </w:p>
        </w:tc>
        <w:tc>
          <w:tcPr>
            <w:tcW w:w="974" w:type="dxa"/>
            <w:shd w:val="clear" w:color="auto" w:fill="auto"/>
            <w:vAlign w:val="center"/>
          </w:tcPr>
          <w:p>
            <w:pPr>
              <w:widowControl/>
              <w:jc w:val="center"/>
              <w:rPr>
                <w:rFonts w:cs="宋体" w:asciiTheme="minorEastAsia" w:hAnsiTheme="minorEastAsia" w:eastAsiaTheme="minorEastAsia"/>
                <w:kern w:val="0"/>
                <w:sz w:val="24"/>
              </w:rPr>
            </w:pPr>
            <w:r>
              <w:rPr>
                <w:rFonts w:hint="eastAsia" w:cs="宋体" w:asciiTheme="minorEastAsia" w:hAnsiTheme="minorEastAsia" w:eastAsiaTheme="minorEastAsia"/>
                <w:kern w:val="0"/>
                <w:sz w:val="24"/>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10" w:hRule="atLeast"/>
          <w:tblHeader/>
          <w:jc w:val="center"/>
        </w:trPr>
        <w:tc>
          <w:tcPr>
            <w:tcW w:w="2032" w:type="dxa"/>
            <w:vMerge w:val="continue"/>
            <w:vAlign w:val="center"/>
          </w:tcPr>
          <w:p>
            <w:pPr>
              <w:widowControl/>
              <w:jc w:val="center"/>
              <w:rPr>
                <w:rFonts w:cs="宋体" w:asciiTheme="minorEastAsia" w:hAnsiTheme="minorEastAsia" w:eastAsiaTheme="minorEastAsia"/>
                <w:kern w:val="0"/>
                <w:sz w:val="24"/>
              </w:rPr>
            </w:pPr>
          </w:p>
        </w:tc>
        <w:tc>
          <w:tcPr>
            <w:tcW w:w="5176" w:type="dxa"/>
            <w:shd w:val="clear" w:color="auto" w:fill="auto"/>
            <w:vAlign w:val="center"/>
          </w:tcPr>
          <w:p>
            <w:pPr>
              <w:widowControl/>
              <w:rPr>
                <w:rFonts w:cs="宋体" w:asciiTheme="minorEastAsia" w:hAnsiTheme="minorEastAsia" w:eastAsiaTheme="minorEastAsia"/>
                <w:kern w:val="0"/>
                <w:sz w:val="24"/>
              </w:rPr>
            </w:pPr>
            <w:r>
              <w:rPr>
                <w:rFonts w:hint="eastAsia" w:cs="宋体" w:asciiTheme="minorEastAsia" w:hAnsiTheme="minorEastAsia" w:eastAsiaTheme="minorEastAsia"/>
                <w:kern w:val="0"/>
                <w:sz w:val="24"/>
              </w:rPr>
              <w:t>海运方式下办理订舱无操作错误得满分，有操作错误（如提交的单据不正确、流程顺序错误等）则扣分，扣完为止。</w:t>
            </w:r>
          </w:p>
        </w:tc>
        <w:tc>
          <w:tcPr>
            <w:tcW w:w="974" w:type="dxa"/>
            <w:shd w:val="clear" w:color="auto" w:fill="auto"/>
            <w:vAlign w:val="center"/>
          </w:tcPr>
          <w:p>
            <w:pPr>
              <w:widowControl/>
              <w:jc w:val="center"/>
              <w:rPr>
                <w:rFonts w:cs="宋体" w:asciiTheme="minorEastAsia" w:hAnsiTheme="minorEastAsia" w:eastAsiaTheme="minorEastAsia"/>
                <w:kern w:val="0"/>
                <w:sz w:val="24"/>
              </w:rPr>
            </w:pPr>
            <w:r>
              <w:rPr>
                <w:rFonts w:hint="eastAsia" w:cs="宋体" w:asciiTheme="minorEastAsia" w:hAnsiTheme="minorEastAsia" w:eastAsiaTheme="minorEastAsia"/>
                <w:kern w:val="0"/>
                <w:sz w:val="24"/>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0" w:hRule="atLeast"/>
          <w:tblHeader/>
          <w:jc w:val="center"/>
        </w:trPr>
        <w:tc>
          <w:tcPr>
            <w:tcW w:w="2032" w:type="dxa"/>
            <w:vMerge w:val="restart"/>
            <w:shd w:val="clear" w:color="auto" w:fill="auto"/>
            <w:vAlign w:val="center"/>
          </w:tcPr>
          <w:p>
            <w:pPr>
              <w:widowControl/>
              <w:jc w:val="center"/>
              <w:rPr>
                <w:rFonts w:cs="宋体" w:asciiTheme="minorEastAsia" w:hAnsiTheme="minorEastAsia" w:eastAsiaTheme="minorEastAsia"/>
                <w:kern w:val="0"/>
                <w:sz w:val="24"/>
              </w:rPr>
            </w:pPr>
            <w:r>
              <w:rPr>
                <w:rFonts w:hint="eastAsia" w:cs="宋体" w:asciiTheme="minorEastAsia" w:hAnsiTheme="minorEastAsia" w:eastAsiaTheme="minorEastAsia"/>
                <w:kern w:val="0"/>
                <w:sz w:val="24"/>
              </w:rPr>
              <w:t>出口空运订舱</w:t>
            </w:r>
          </w:p>
        </w:tc>
        <w:tc>
          <w:tcPr>
            <w:tcW w:w="5176" w:type="dxa"/>
            <w:shd w:val="clear" w:color="auto" w:fill="auto"/>
            <w:vAlign w:val="center"/>
          </w:tcPr>
          <w:p>
            <w:pPr>
              <w:widowControl/>
              <w:rPr>
                <w:rFonts w:cs="宋体" w:asciiTheme="minorEastAsia" w:hAnsiTheme="minorEastAsia" w:eastAsiaTheme="minorEastAsia"/>
                <w:kern w:val="0"/>
                <w:sz w:val="24"/>
              </w:rPr>
            </w:pPr>
            <w:r>
              <w:rPr>
                <w:rFonts w:hint="eastAsia" w:cs="宋体" w:asciiTheme="minorEastAsia" w:hAnsiTheme="minorEastAsia" w:eastAsiaTheme="minorEastAsia"/>
                <w:kern w:val="0"/>
                <w:sz w:val="24"/>
              </w:rPr>
              <w:t>国际空运委托书的缮制：</w:t>
            </w:r>
          </w:p>
          <w:p>
            <w:pPr>
              <w:widowControl/>
              <w:rPr>
                <w:rFonts w:cs="宋体" w:asciiTheme="minorEastAsia" w:hAnsiTheme="minorEastAsia" w:eastAsiaTheme="minorEastAsia"/>
                <w:kern w:val="0"/>
                <w:sz w:val="24"/>
              </w:rPr>
            </w:pPr>
            <w:r>
              <w:rPr>
                <w:rFonts w:hint="eastAsia" w:cs="宋体" w:asciiTheme="minorEastAsia" w:hAnsiTheme="minorEastAsia" w:eastAsiaTheme="minorEastAsia"/>
                <w:kern w:val="0"/>
                <w:sz w:val="24"/>
              </w:rPr>
              <w:t>单据正确率越高、检查次数越少，得分越高。</w:t>
            </w:r>
          </w:p>
        </w:tc>
        <w:tc>
          <w:tcPr>
            <w:tcW w:w="974" w:type="dxa"/>
            <w:shd w:val="clear" w:color="auto" w:fill="auto"/>
            <w:vAlign w:val="center"/>
          </w:tcPr>
          <w:p>
            <w:pPr>
              <w:widowControl/>
              <w:jc w:val="center"/>
              <w:rPr>
                <w:rFonts w:cs="宋体" w:asciiTheme="minorEastAsia" w:hAnsiTheme="minorEastAsia" w:eastAsiaTheme="minorEastAsia"/>
                <w:kern w:val="0"/>
                <w:sz w:val="24"/>
              </w:rPr>
            </w:pPr>
            <w:r>
              <w:rPr>
                <w:rFonts w:hint="eastAsia" w:cs="宋体" w:asciiTheme="minorEastAsia" w:hAnsiTheme="minorEastAsia" w:eastAsiaTheme="minorEastAsia"/>
                <w:kern w:val="0"/>
                <w:sz w:val="24"/>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9" w:hRule="atLeast"/>
          <w:tblHeader/>
          <w:jc w:val="center"/>
        </w:trPr>
        <w:tc>
          <w:tcPr>
            <w:tcW w:w="2032" w:type="dxa"/>
            <w:vMerge w:val="continue"/>
            <w:vAlign w:val="center"/>
          </w:tcPr>
          <w:p>
            <w:pPr>
              <w:widowControl/>
              <w:jc w:val="center"/>
              <w:rPr>
                <w:rFonts w:cs="宋体" w:asciiTheme="minorEastAsia" w:hAnsiTheme="minorEastAsia" w:eastAsiaTheme="minorEastAsia"/>
                <w:kern w:val="0"/>
                <w:sz w:val="24"/>
              </w:rPr>
            </w:pPr>
          </w:p>
        </w:tc>
        <w:tc>
          <w:tcPr>
            <w:tcW w:w="5176" w:type="dxa"/>
            <w:shd w:val="clear" w:color="auto" w:fill="auto"/>
            <w:vAlign w:val="center"/>
          </w:tcPr>
          <w:p>
            <w:pPr>
              <w:widowControl/>
              <w:rPr>
                <w:rFonts w:cs="宋体" w:asciiTheme="minorEastAsia" w:hAnsiTheme="minorEastAsia" w:eastAsiaTheme="minorEastAsia"/>
                <w:kern w:val="0"/>
                <w:sz w:val="24"/>
              </w:rPr>
            </w:pPr>
            <w:r>
              <w:rPr>
                <w:rFonts w:hint="eastAsia" w:cs="宋体" w:asciiTheme="minorEastAsia" w:hAnsiTheme="minorEastAsia" w:eastAsiaTheme="minorEastAsia"/>
                <w:kern w:val="0"/>
                <w:sz w:val="24"/>
              </w:rPr>
              <w:t>空运方式下办理订舱无操作错误得满分，有操作错误（如提交的单据不正确、流程顺序错误等）则扣分，扣完为止。</w:t>
            </w:r>
          </w:p>
        </w:tc>
        <w:tc>
          <w:tcPr>
            <w:tcW w:w="974" w:type="dxa"/>
            <w:shd w:val="clear" w:color="auto" w:fill="auto"/>
            <w:vAlign w:val="center"/>
          </w:tcPr>
          <w:p>
            <w:pPr>
              <w:widowControl/>
              <w:jc w:val="center"/>
              <w:rPr>
                <w:rFonts w:cs="宋体" w:asciiTheme="minorEastAsia" w:hAnsiTheme="minorEastAsia" w:eastAsiaTheme="minorEastAsia"/>
                <w:kern w:val="0"/>
                <w:sz w:val="24"/>
              </w:rPr>
            </w:pPr>
            <w:r>
              <w:rPr>
                <w:rFonts w:hint="eastAsia" w:cs="宋体" w:asciiTheme="minorEastAsia" w:hAnsiTheme="minorEastAsia" w:eastAsiaTheme="minorEastAsia"/>
                <w:kern w:val="0"/>
                <w:sz w:val="24"/>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0" w:hRule="atLeast"/>
          <w:tblHeader/>
          <w:jc w:val="center"/>
        </w:trPr>
        <w:tc>
          <w:tcPr>
            <w:tcW w:w="2032" w:type="dxa"/>
            <w:vMerge w:val="restart"/>
            <w:shd w:val="clear" w:color="auto" w:fill="auto"/>
            <w:vAlign w:val="center"/>
          </w:tcPr>
          <w:p>
            <w:pPr>
              <w:widowControl/>
              <w:jc w:val="center"/>
              <w:rPr>
                <w:rFonts w:cs="宋体" w:asciiTheme="minorEastAsia" w:hAnsiTheme="minorEastAsia" w:eastAsiaTheme="minorEastAsia"/>
                <w:kern w:val="0"/>
                <w:sz w:val="24"/>
              </w:rPr>
            </w:pPr>
            <w:r>
              <w:rPr>
                <w:rFonts w:hint="eastAsia" w:cs="宋体" w:asciiTheme="minorEastAsia" w:hAnsiTheme="minorEastAsia" w:eastAsiaTheme="minorEastAsia"/>
                <w:kern w:val="0"/>
                <w:sz w:val="24"/>
              </w:rPr>
              <w:t>出口申请产地证书</w:t>
            </w:r>
          </w:p>
        </w:tc>
        <w:tc>
          <w:tcPr>
            <w:tcW w:w="5176" w:type="dxa"/>
            <w:shd w:val="clear" w:color="auto" w:fill="auto"/>
            <w:vAlign w:val="center"/>
          </w:tcPr>
          <w:p>
            <w:pPr>
              <w:widowControl/>
              <w:rPr>
                <w:rFonts w:cs="宋体" w:asciiTheme="minorEastAsia" w:hAnsiTheme="minorEastAsia" w:eastAsiaTheme="minorEastAsia"/>
                <w:kern w:val="0"/>
                <w:sz w:val="24"/>
              </w:rPr>
            </w:pPr>
            <w:r>
              <w:rPr>
                <w:rFonts w:hint="eastAsia" w:cs="宋体" w:asciiTheme="minorEastAsia" w:hAnsiTheme="minorEastAsia" w:eastAsiaTheme="minorEastAsia"/>
                <w:kern w:val="0"/>
                <w:sz w:val="24"/>
              </w:rPr>
              <w:t>普惠制产地证/一般原产地证的缮制：</w:t>
            </w:r>
          </w:p>
          <w:p>
            <w:pPr>
              <w:widowControl/>
              <w:rPr>
                <w:rFonts w:cs="宋体" w:asciiTheme="minorEastAsia" w:hAnsiTheme="minorEastAsia" w:eastAsiaTheme="minorEastAsia"/>
                <w:kern w:val="0"/>
                <w:sz w:val="24"/>
              </w:rPr>
            </w:pPr>
            <w:r>
              <w:rPr>
                <w:rFonts w:hint="eastAsia" w:cs="宋体" w:asciiTheme="minorEastAsia" w:hAnsiTheme="minorEastAsia" w:eastAsiaTheme="minorEastAsia"/>
                <w:kern w:val="0"/>
                <w:sz w:val="24"/>
              </w:rPr>
              <w:t>单据正确率越高、检查次数越少，得分越高。</w:t>
            </w:r>
          </w:p>
        </w:tc>
        <w:tc>
          <w:tcPr>
            <w:tcW w:w="974" w:type="dxa"/>
            <w:shd w:val="clear" w:color="auto" w:fill="auto"/>
            <w:vAlign w:val="center"/>
          </w:tcPr>
          <w:p>
            <w:pPr>
              <w:widowControl/>
              <w:jc w:val="center"/>
              <w:rPr>
                <w:rFonts w:cs="宋体" w:asciiTheme="minorEastAsia" w:hAnsiTheme="minorEastAsia" w:eastAsiaTheme="minorEastAsia"/>
                <w:kern w:val="0"/>
                <w:sz w:val="24"/>
              </w:rPr>
            </w:pPr>
            <w:r>
              <w:rPr>
                <w:rFonts w:hint="eastAsia" w:cs="宋体" w:asciiTheme="minorEastAsia" w:hAnsiTheme="minorEastAsia" w:eastAsiaTheme="minorEastAsia"/>
                <w:kern w:val="0"/>
                <w:sz w:val="24"/>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10" w:hRule="atLeast"/>
          <w:tblHeader/>
          <w:jc w:val="center"/>
        </w:trPr>
        <w:tc>
          <w:tcPr>
            <w:tcW w:w="2032" w:type="dxa"/>
            <w:vMerge w:val="continue"/>
            <w:vAlign w:val="center"/>
          </w:tcPr>
          <w:p>
            <w:pPr>
              <w:widowControl/>
              <w:jc w:val="center"/>
              <w:rPr>
                <w:rFonts w:cs="宋体" w:asciiTheme="minorEastAsia" w:hAnsiTheme="minorEastAsia" w:eastAsiaTheme="minorEastAsia"/>
                <w:kern w:val="0"/>
                <w:sz w:val="24"/>
              </w:rPr>
            </w:pPr>
          </w:p>
        </w:tc>
        <w:tc>
          <w:tcPr>
            <w:tcW w:w="5176" w:type="dxa"/>
            <w:shd w:val="clear" w:color="auto" w:fill="auto"/>
            <w:vAlign w:val="center"/>
          </w:tcPr>
          <w:p>
            <w:pPr>
              <w:widowControl/>
              <w:rPr>
                <w:rFonts w:cs="宋体" w:asciiTheme="minorEastAsia" w:hAnsiTheme="minorEastAsia" w:eastAsiaTheme="minorEastAsia"/>
                <w:kern w:val="0"/>
                <w:sz w:val="24"/>
              </w:rPr>
            </w:pPr>
            <w:r>
              <w:rPr>
                <w:rFonts w:hint="eastAsia" w:cs="宋体" w:asciiTheme="minorEastAsia" w:hAnsiTheme="minorEastAsia" w:eastAsiaTheme="minorEastAsia"/>
                <w:kern w:val="0"/>
                <w:sz w:val="24"/>
              </w:rPr>
              <w:t>申请普惠制产地证/一般原产地证时无操作错误得满分，有操作错误（如提交的单据不正确、流程顺序错误等）则扣分，扣完为止。</w:t>
            </w:r>
          </w:p>
        </w:tc>
        <w:tc>
          <w:tcPr>
            <w:tcW w:w="974" w:type="dxa"/>
            <w:shd w:val="clear" w:color="auto" w:fill="auto"/>
            <w:vAlign w:val="center"/>
          </w:tcPr>
          <w:p>
            <w:pPr>
              <w:widowControl/>
              <w:jc w:val="center"/>
              <w:rPr>
                <w:rFonts w:cs="宋体" w:asciiTheme="minorEastAsia" w:hAnsiTheme="minorEastAsia" w:eastAsiaTheme="minorEastAsia"/>
                <w:kern w:val="0"/>
                <w:sz w:val="24"/>
              </w:rPr>
            </w:pPr>
            <w:r>
              <w:rPr>
                <w:rFonts w:hint="eastAsia" w:cs="宋体" w:asciiTheme="minorEastAsia" w:hAnsiTheme="minorEastAsia" w:eastAsiaTheme="minorEastAsia"/>
                <w:kern w:val="0"/>
                <w:sz w:val="24"/>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0" w:hRule="atLeast"/>
          <w:tblHeader/>
          <w:jc w:val="center"/>
        </w:trPr>
        <w:tc>
          <w:tcPr>
            <w:tcW w:w="2032" w:type="dxa"/>
            <w:vMerge w:val="restart"/>
            <w:shd w:val="clear" w:color="auto" w:fill="auto"/>
            <w:vAlign w:val="center"/>
          </w:tcPr>
          <w:p>
            <w:pPr>
              <w:widowControl/>
              <w:jc w:val="center"/>
              <w:rPr>
                <w:rFonts w:cs="宋体" w:asciiTheme="minorEastAsia" w:hAnsiTheme="minorEastAsia" w:eastAsiaTheme="minorEastAsia"/>
                <w:kern w:val="0"/>
                <w:sz w:val="24"/>
              </w:rPr>
            </w:pPr>
            <w:r>
              <w:rPr>
                <w:rFonts w:hint="eastAsia" w:cs="宋体" w:asciiTheme="minorEastAsia" w:hAnsiTheme="minorEastAsia" w:eastAsiaTheme="minorEastAsia"/>
                <w:kern w:val="0"/>
                <w:sz w:val="24"/>
              </w:rPr>
              <w:t>进出口报检</w:t>
            </w:r>
          </w:p>
        </w:tc>
        <w:tc>
          <w:tcPr>
            <w:tcW w:w="5176" w:type="dxa"/>
            <w:shd w:val="clear" w:color="auto" w:fill="auto"/>
            <w:vAlign w:val="center"/>
          </w:tcPr>
          <w:p>
            <w:pPr>
              <w:widowControl/>
              <w:rPr>
                <w:rFonts w:cs="宋体" w:asciiTheme="minorEastAsia" w:hAnsiTheme="minorEastAsia" w:eastAsiaTheme="minorEastAsia"/>
                <w:kern w:val="0"/>
                <w:sz w:val="24"/>
              </w:rPr>
            </w:pPr>
            <w:r>
              <w:rPr>
                <w:rFonts w:hint="eastAsia" w:cs="宋体" w:asciiTheme="minorEastAsia" w:hAnsiTheme="minorEastAsia" w:eastAsiaTheme="minorEastAsia"/>
                <w:kern w:val="0"/>
                <w:sz w:val="24"/>
              </w:rPr>
              <w:t>出境货物报检单、入境货物报检单的缮制：</w:t>
            </w:r>
          </w:p>
          <w:p>
            <w:pPr>
              <w:widowControl/>
              <w:rPr>
                <w:rFonts w:cs="宋体" w:asciiTheme="minorEastAsia" w:hAnsiTheme="minorEastAsia" w:eastAsiaTheme="minorEastAsia"/>
                <w:kern w:val="0"/>
                <w:sz w:val="24"/>
              </w:rPr>
            </w:pPr>
            <w:r>
              <w:rPr>
                <w:rFonts w:hint="eastAsia" w:cs="宋体" w:asciiTheme="minorEastAsia" w:hAnsiTheme="minorEastAsia" w:eastAsiaTheme="minorEastAsia"/>
                <w:kern w:val="0"/>
                <w:sz w:val="24"/>
              </w:rPr>
              <w:t>单据正确率越高、检查次数越少，得分越高。</w:t>
            </w:r>
          </w:p>
        </w:tc>
        <w:tc>
          <w:tcPr>
            <w:tcW w:w="974" w:type="dxa"/>
            <w:shd w:val="clear" w:color="auto" w:fill="auto"/>
            <w:vAlign w:val="center"/>
          </w:tcPr>
          <w:p>
            <w:pPr>
              <w:widowControl/>
              <w:jc w:val="center"/>
              <w:rPr>
                <w:rFonts w:cs="宋体" w:asciiTheme="minorEastAsia" w:hAnsiTheme="minorEastAsia" w:eastAsiaTheme="minorEastAsia"/>
                <w:kern w:val="0"/>
                <w:sz w:val="24"/>
              </w:rPr>
            </w:pPr>
            <w:r>
              <w:rPr>
                <w:rFonts w:hint="eastAsia" w:cs="宋体" w:asciiTheme="minorEastAsia" w:hAnsiTheme="minorEastAsia" w:eastAsiaTheme="minorEastAsia"/>
                <w:kern w:val="0"/>
                <w:sz w:val="24"/>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10" w:hRule="atLeast"/>
          <w:tblHeader/>
          <w:jc w:val="center"/>
        </w:trPr>
        <w:tc>
          <w:tcPr>
            <w:tcW w:w="2032" w:type="dxa"/>
            <w:vMerge w:val="continue"/>
            <w:vAlign w:val="center"/>
          </w:tcPr>
          <w:p>
            <w:pPr>
              <w:widowControl/>
              <w:jc w:val="center"/>
              <w:rPr>
                <w:rFonts w:cs="宋体" w:asciiTheme="minorEastAsia" w:hAnsiTheme="minorEastAsia" w:eastAsiaTheme="minorEastAsia"/>
                <w:kern w:val="0"/>
                <w:sz w:val="24"/>
              </w:rPr>
            </w:pPr>
          </w:p>
        </w:tc>
        <w:tc>
          <w:tcPr>
            <w:tcW w:w="5176" w:type="dxa"/>
            <w:shd w:val="clear" w:color="auto" w:fill="auto"/>
            <w:vAlign w:val="center"/>
          </w:tcPr>
          <w:p>
            <w:pPr>
              <w:widowControl/>
              <w:rPr>
                <w:rFonts w:cs="宋体" w:asciiTheme="minorEastAsia" w:hAnsiTheme="minorEastAsia" w:eastAsiaTheme="minorEastAsia"/>
                <w:kern w:val="0"/>
                <w:sz w:val="24"/>
              </w:rPr>
            </w:pPr>
            <w:r>
              <w:rPr>
                <w:rFonts w:hint="eastAsia" w:cs="宋体" w:asciiTheme="minorEastAsia" w:hAnsiTheme="minorEastAsia" w:eastAsiaTheme="minorEastAsia"/>
                <w:kern w:val="0"/>
                <w:sz w:val="24"/>
              </w:rPr>
              <w:t>办理出口报检和进口报检无操作错误得满分，有操作错误（如提交的单据不正确、流程顺序错误等）则扣分，扣完为止。</w:t>
            </w:r>
          </w:p>
        </w:tc>
        <w:tc>
          <w:tcPr>
            <w:tcW w:w="974" w:type="dxa"/>
            <w:shd w:val="clear" w:color="auto" w:fill="auto"/>
            <w:vAlign w:val="center"/>
          </w:tcPr>
          <w:p>
            <w:pPr>
              <w:widowControl/>
              <w:jc w:val="center"/>
              <w:rPr>
                <w:rFonts w:cs="宋体" w:asciiTheme="minorEastAsia" w:hAnsiTheme="minorEastAsia" w:eastAsiaTheme="minorEastAsia"/>
                <w:kern w:val="0"/>
                <w:sz w:val="24"/>
              </w:rPr>
            </w:pPr>
            <w:r>
              <w:rPr>
                <w:rFonts w:hint="eastAsia" w:cs="宋体" w:asciiTheme="minorEastAsia" w:hAnsiTheme="minorEastAsia" w:eastAsiaTheme="minorEastAsia"/>
                <w:kern w:val="0"/>
                <w:sz w:val="24"/>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0" w:hRule="atLeast"/>
          <w:tblHeader/>
          <w:jc w:val="center"/>
        </w:trPr>
        <w:tc>
          <w:tcPr>
            <w:tcW w:w="2032" w:type="dxa"/>
            <w:vMerge w:val="restart"/>
            <w:shd w:val="clear" w:color="auto" w:fill="auto"/>
            <w:vAlign w:val="center"/>
          </w:tcPr>
          <w:p>
            <w:pPr>
              <w:widowControl/>
              <w:jc w:val="center"/>
              <w:rPr>
                <w:rFonts w:cs="宋体" w:asciiTheme="minorEastAsia" w:hAnsiTheme="minorEastAsia" w:eastAsiaTheme="minorEastAsia"/>
                <w:kern w:val="0"/>
                <w:sz w:val="24"/>
              </w:rPr>
            </w:pPr>
            <w:r>
              <w:rPr>
                <w:rFonts w:hint="eastAsia" w:cs="宋体" w:asciiTheme="minorEastAsia" w:hAnsiTheme="minorEastAsia" w:eastAsiaTheme="minorEastAsia"/>
                <w:kern w:val="0"/>
                <w:sz w:val="24"/>
              </w:rPr>
              <w:t>进出口报关</w:t>
            </w:r>
          </w:p>
        </w:tc>
        <w:tc>
          <w:tcPr>
            <w:tcW w:w="5176" w:type="dxa"/>
            <w:shd w:val="clear" w:color="auto" w:fill="auto"/>
            <w:vAlign w:val="center"/>
          </w:tcPr>
          <w:p>
            <w:pPr>
              <w:widowControl/>
              <w:rPr>
                <w:rFonts w:cs="宋体" w:asciiTheme="minorEastAsia" w:hAnsiTheme="minorEastAsia" w:eastAsiaTheme="minorEastAsia"/>
                <w:kern w:val="0"/>
                <w:sz w:val="24"/>
              </w:rPr>
            </w:pPr>
            <w:r>
              <w:rPr>
                <w:rFonts w:hint="eastAsia" w:cs="宋体" w:asciiTheme="minorEastAsia" w:hAnsiTheme="minorEastAsia" w:eastAsiaTheme="minorEastAsia"/>
                <w:kern w:val="0"/>
                <w:sz w:val="24"/>
              </w:rPr>
              <w:t>出口货物报关单、进口货物报关单的缮制：</w:t>
            </w:r>
          </w:p>
          <w:p>
            <w:pPr>
              <w:widowControl/>
              <w:rPr>
                <w:rFonts w:cs="宋体" w:asciiTheme="minorEastAsia" w:hAnsiTheme="minorEastAsia" w:eastAsiaTheme="minorEastAsia"/>
                <w:kern w:val="0"/>
                <w:sz w:val="24"/>
              </w:rPr>
            </w:pPr>
            <w:r>
              <w:rPr>
                <w:rFonts w:hint="eastAsia" w:cs="宋体" w:asciiTheme="minorEastAsia" w:hAnsiTheme="minorEastAsia" w:eastAsiaTheme="minorEastAsia"/>
                <w:kern w:val="0"/>
                <w:sz w:val="24"/>
              </w:rPr>
              <w:t>单据正确率越高、检查次数越少，得分越高。</w:t>
            </w:r>
          </w:p>
        </w:tc>
        <w:tc>
          <w:tcPr>
            <w:tcW w:w="974" w:type="dxa"/>
            <w:shd w:val="clear" w:color="auto" w:fill="auto"/>
            <w:vAlign w:val="center"/>
          </w:tcPr>
          <w:p>
            <w:pPr>
              <w:widowControl/>
              <w:jc w:val="center"/>
              <w:rPr>
                <w:rFonts w:cs="宋体" w:asciiTheme="minorEastAsia" w:hAnsiTheme="minorEastAsia" w:eastAsiaTheme="minorEastAsia"/>
                <w:kern w:val="0"/>
                <w:sz w:val="24"/>
              </w:rPr>
            </w:pPr>
            <w:r>
              <w:rPr>
                <w:rFonts w:hint="eastAsia" w:cs="宋体" w:asciiTheme="minorEastAsia" w:hAnsiTheme="minorEastAsia" w:eastAsiaTheme="minorEastAsia"/>
                <w:kern w:val="0"/>
                <w:sz w:val="24"/>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10" w:hRule="atLeast"/>
          <w:tblHeader/>
          <w:jc w:val="center"/>
        </w:trPr>
        <w:tc>
          <w:tcPr>
            <w:tcW w:w="2032" w:type="dxa"/>
            <w:vMerge w:val="continue"/>
            <w:vAlign w:val="center"/>
          </w:tcPr>
          <w:p>
            <w:pPr>
              <w:widowControl/>
              <w:jc w:val="center"/>
              <w:rPr>
                <w:rFonts w:cs="宋体" w:asciiTheme="minorEastAsia" w:hAnsiTheme="minorEastAsia" w:eastAsiaTheme="minorEastAsia"/>
                <w:kern w:val="0"/>
                <w:sz w:val="24"/>
              </w:rPr>
            </w:pPr>
          </w:p>
        </w:tc>
        <w:tc>
          <w:tcPr>
            <w:tcW w:w="5176" w:type="dxa"/>
            <w:shd w:val="clear" w:color="auto" w:fill="auto"/>
            <w:vAlign w:val="center"/>
          </w:tcPr>
          <w:p>
            <w:pPr>
              <w:widowControl/>
              <w:rPr>
                <w:rFonts w:cs="宋体" w:asciiTheme="minorEastAsia" w:hAnsiTheme="minorEastAsia" w:eastAsiaTheme="minorEastAsia"/>
                <w:kern w:val="0"/>
                <w:sz w:val="24"/>
              </w:rPr>
            </w:pPr>
            <w:r>
              <w:rPr>
                <w:rFonts w:hint="eastAsia" w:cs="宋体" w:asciiTheme="minorEastAsia" w:hAnsiTheme="minorEastAsia" w:eastAsiaTheme="minorEastAsia"/>
                <w:kern w:val="0"/>
                <w:sz w:val="24"/>
              </w:rPr>
              <w:t>办理出口报关、进口报关、缴税无操作错误得满分，有操作错误（如提交的单据不正确、流程顺序错误等）则扣分，扣完为止。</w:t>
            </w:r>
          </w:p>
        </w:tc>
        <w:tc>
          <w:tcPr>
            <w:tcW w:w="974" w:type="dxa"/>
            <w:shd w:val="clear" w:color="auto" w:fill="auto"/>
            <w:vAlign w:val="center"/>
          </w:tcPr>
          <w:p>
            <w:pPr>
              <w:widowControl/>
              <w:jc w:val="center"/>
              <w:rPr>
                <w:rFonts w:cs="宋体" w:asciiTheme="minorEastAsia" w:hAnsiTheme="minorEastAsia" w:eastAsiaTheme="minorEastAsia"/>
                <w:kern w:val="0"/>
                <w:sz w:val="24"/>
              </w:rPr>
            </w:pPr>
            <w:r>
              <w:rPr>
                <w:rFonts w:hint="eastAsia" w:cs="宋体" w:asciiTheme="minorEastAsia" w:hAnsiTheme="minorEastAsia" w:eastAsiaTheme="minorEastAsia"/>
                <w:kern w:val="0"/>
                <w:sz w:val="24"/>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76" w:hRule="atLeast"/>
          <w:tblHeader/>
          <w:jc w:val="center"/>
        </w:trPr>
        <w:tc>
          <w:tcPr>
            <w:tcW w:w="2032" w:type="dxa"/>
            <w:shd w:val="clear" w:color="auto" w:fill="auto"/>
            <w:vAlign w:val="center"/>
          </w:tcPr>
          <w:p>
            <w:pPr>
              <w:widowControl/>
              <w:jc w:val="center"/>
              <w:rPr>
                <w:rFonts w:cs="宋体" w:asciiTheme="minorEastAsia" w:hAnsiTheme="minorEastAsia" w:eastAsiaTheme="minorEastAsia"/>
                <w:kern w:val="0"/>
                <w:sz w:val="24"/>
              </w:rPr>
            </w:pPr>
            <w:r>
              <w:rPr>
                <w:rFonts w:hint="eastAsia" w:cs="宋体" w:asciiTheme="minorEastAsia" w:hAnsiTheme="minorEastAsia" w:eastAsiaTheme="minorEastAsia"/>
                <w:kern w:val="0"/>
                <w:sz w:val="24"/>
              </w:rPr>
              <w:t>出口退税、进口缴税</w:t>
            </w:r>
          </w:p>
        </w:tc>
        <w:tc>
          <w:tcPr>
            <w:tcW w:w="5176" w:type="dxa"/>
            <w:shd w:val="clear" w:color="auto" w:fill="auto"/>
            <w:vAlign w:val="center"/>
          </w:tcPr>
          <w:p>
            <w:pPr>
              <w:widowControl/>
              <w:rPr>
                <w:rFonts w:cs="宋体" w:asciiTheme="minorEastAsia" w:hAnsiTheme="minorEastAsia" w:eastAsiaTheme="minorEastAsia"/>
                <w:kern w:val="0"/>
                <w:sz w:val="24"/>
              </w:rPr>
            </w:pPr>
            <w:r>
              <w:rPr>
                <w:rFonts w:hint="eastAsia" w:cs="宋体" w:asciiTheme="minorEastAsia" w:hAnsiTheme="minorEastAsia" w:eastAsiaTheme="minorEastAsia"/>
                <w:kern w:val="0"/>
                <w:sz w:val="24"/>
              </w:rPr>
              <w:t>办理出口退税、进口缴税无操作错误得满分，有操作错误（如提交的单据不正确、流程顺序错误等）则扣分，扣完为止。</w:t>
            </w:r>
          </w:p>
        </w:tc>
        <w:tc>
          <w:tcPr>
            <w:tcW w:w="974" w:type="dxa"/>
            <w:shd w:val="clear" w:color="auto" w:fill="auto"/>
            <w:vAlign w:val="center"/>
          </w:tcPr>
          <w:p>
            <w:pPr>
              <w:widowControl/>
              <w:jc w:val="center"/>
              <w:rPr>
                <w:rFonts w:cs="宋体" w:asciiTheme="minorEastAsia" w:hAnsiTheme="minorEastAsia" w:eastAsiaTheme="minorEastAsia"/>
                <w:kern w:val="0"/>
                <w:sz w:val="24"/>
              </w:rPr>
            </w:pPr>
            <w:r>
              <w:rPr>
                <w:rFonts w:hint="eastAsia" w:cs="宋体" w:asciiTheme="minorEastAsia" w:hAnsiTheme="minorEastAsia" w:eastAsiaTheme="minorEastAsia"/>
                <w:kern w:val="0"/>
                <w:sz w:val="24"/>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0" w:hRule="atLeast"/>
          <w:tblHeader/>
          <w:jc w:val="center"/>
        </w:trPr>
        <w:tc>
          <w:tcPr>
            <w:tcW w:w="2032" w:type="dxa"/>
            <w:vMerge w:val="restart"/>
            <w:shd w:val="clear" w:color="auto" w:fill="auto"/>
            <w:vAlign w:val="center"/>
          </w:tcPr>
          <w:p>
            <w:pPr>
              <w:widowControl/>
              <w:jc w:val="center"/>
              <w:rPr>
                <w:rFonts w:cs="宋体" w:asciiTheme="minorEastAsia" w:hAnsiTheme="minorEastAsia" w:eastAsiaTheme="minorEastAsia"/>
                <w:kern w:val="0"/>
                <w:sz w:val="24"/>
              </w:rPr>
            </w:pPr>
            <w:r>
              <w:rPr>
                <w:rFonts w:hint="eastAsia" w:cs="宋体" w:asciiTheme="minorEastAsia" w:hAnsiTheme="minorEastAsia" w:eastAsiaTheme="minorEastAsia"/>
                <w:kern w:val="0"/>
                <w:sz w:val="24"/>
              </w:rPr>
              <w:t>支付运费</w:t>
            </w:r>
          </w:p>
        </w:tc>
        <w:tc>
          <w:tcPr>
            <w:tcW w:w="5176" w:type="dxa"/>
            <w:shd w:val="clear" w:color="auto" w:fill="auto"/>
            <w:vAlign w:val="center"/>
          </w:tcPr>
          <w:p>
            <w:pPr>
              <w:widowControl/>
              <w:rPr>
                <w:rFonts w:cs="宋体" w:asciiTheme="minorEastAsia" w:hAnsiTheme="minorEastAsia" w:eastAsiaTheme="minorEastAsia"/>
                <w:kern w:val="0"/>
                <w:sz w:val="24"/>
              </w:rPr>
            </w:pPr>
            <w:r>
              <w:rPr>
                <w:rFonts w:hint="eastAsia" w:cs="宋体" w:asciiTheme="minorEastAsia" w:hAnsiTheme="minorEastAsia" w:eastAsiaTheme="minorEastAsia"/>
                <w:kern w:val="0"/>
                <w:sz w:val="24"/>
              </w:rPr>
              <w:t>境内汇款申请书的缮制：</w:t>
            </w:r>
          </w:p>
          <w:p>
            <w:pPr>
              <w:widowControl/>
              <w:rPr>
                <w:rFonts w:cs="宋体" w:asciiTheme="minorEastAsia" w:hAnsiTheme="minorEastAsia" w:eastAsiaTheme="minorEastAsia"/>
                <w:kern w:val="0"/>
                <w:sz w:val="24"/>
              </w:rPr>
            </w:pPr>
            <w:r>
              <w:rPr>
                <w:rFonts w:hint="eastAsia" w:cs="宋体" w:asciiTheme="minorEastAsia" w:hAnsiTheme="minorEastAsia" w:eastAsiaTheme="minorEastAsia"/>
                <w:kern w:val="0"/>
                <w:sz w:val="24"/>
              </w:rPr>
              <w:t>单据正确率越高、检查次数越少，得分越高。</w:t>
            </w:r>
          </w:p>
        </w:tc>
        <w:tc>
          <w:tcPr>
            <w:tcW w:w="974" w:type="dxa"/>
            <w:shd w:val="clear" w:color="auto" w:fill="auto"/>
            <w:vAlign w:val="center"/>
          </w:tcPr>
          <w:p>
            <w:pPr>
              <w:widowControl/>
              <w:jc w:val="center"/>
              <w:rPr>
                <w:rFonts w:cs="宋体" w:asciiTheme="minorEastAsia" w:hAnsiTheme="minorEastAsia" w:eastAsiaTheme="minorEastAsia"/>
                <w:kern w:val="0"/>
                <w:sz w:val="24"/>
              </w:rPr>
            </w:pPr>
            <w:r>
              <w:rPr>
                <w:rFonts w:hint="eastAsia" w:cs="宋体" w:asciiTheme="minorEastAsia" w:hAnsiTheme="minorEastAsia" w:eastAsiaTheme="minorEastAsia"/>
                <w:kern w:val="0"/>
                <w:sz w:val="24"/>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90" w:hRule="atLeast"/>
          <w:tblHeader/>
          <w:jc w:val="center"/>
        </w:trPr>
        <w:tc>
          <w:tcPr>
            <w:tcW w:w="2032" w:type="dxa"/>
            <w:vMerge w:val="continue"/>
            <w:vAlign w:val="center"/>
          </w:tcPr>
          <w:p>
            <w:pPr>
              <w:widowControl/>
              <w:jc w:val="center"/>
              <w:rPr>
                <w:rFonts w:cs="宋体" w:asciiTheme="minorEastAsia" w:hAnsiTheme="minorEastAsia" w:eastAsiaTheme="minorEastAsia"/>
                <w:kern w:val="0"/>
                <w:sz w:val="24"/>
              </w:rPr>
            </w:pPr>
          </w:p>
        </w:tc>
        <w:tc>
          <w:tcPr>
            <w:tcW w:w="5176" w:type="dxa"/>
            <w:shd w:val="clear" w:color="auto" w:fill="auto"/>
            <w:vAlign w:val="center"/>
          </w:tcPr>
          <w:p>
            <w:pPr>
              <w:widowControl/>
              <w:rPr>
                <w:rFonts w:cs="宋体" w:asciiTheme="minorEastAsia" w:hAnsiTheme="minorEastAsia" w:eastAsiaTheme="minorEastAsia"/>
                <w:kern w:val="0"/>
                <w:sz w:val="24"/>
              </w:rPr>
            </w:pPr>
            <w:r>
              <w:rPr>
                <w:rFonts w:hint="eastAsia" w:cs="宋体" w:asciiTheme="minorEastAsia" w:hAnsiTheme="minorEastAsia" w:eastAsiaTheme="minorEastAsia"/>
                <w:kern w:val="0"/>
                <w:sz w:val="24"/>
              </w:rPr>
              <w:t>办理支付运费无操作错误得满分，有操作错误（如提交的单据不正确、流程顺序错误等）则扣分，扣完为止。</w:t>
            </w:r>
          </w:p>
          <w:p>
            <w:pPr>
              <w:widowControl/>
              <w:rPr>
                <w:rFonts w:cs="宋体" w:asciiTheme="minorEastAsia" w:hAnsiTheme="minorEastAsia" w:eastAsiaTheme="minorEastAsia"/>
                <w:kern w:val="0"/>
                <w:sz w:val="24"/>
              </w:rPr>
            </w:pPr>
            <w:r>
              <w:rPr>
                <w:rFonts w:hint="eastAsia" w:cs="宋体" w:asciiTheme="minorEastAsia" w:hAnsiTheme="minorEastAsia" w:eastAsiaTheme="minorEastAsia"/>
                <w:kern w:val="0"/>
                <w:sz w:val="24"/>
              </w:rPr>
              <w:t>注：</w:t>
            </w:r>
          </w:p>
          <w:p>
            <w:pPr>
              <w:widowControl/>
              <w:rPr>
                <w:rFonts w:cs="宋体" w:asciiTheme="minorEastAsia" w:hAnsiTheme="minorEastAsia" w:eastAsiaTheme="minorEastAsia"/>
                <w:kern w:val="0"/>
                <w:sz w:val="24"/>
              </w:rPr>
            </w:pPr>
            <w:r>
              <w:rPr>
                <w:rFonts w:hint="eastAsia" w:cs="宋体" w:asciiTheme="minorEastAsia" w:hAnsiTheme="minorEastAsia" w:eastAsiaTheme="minorEastAsia"/>
                <w:kern w:val="0"/>
                <w:sz w:val="24"/>
              </w:rPr>
              <w:t>1、出口业务在CIF、CFR、CIP、CPT情况下办理支付运费。</w:t>
            </w:r>
          </w:p>
          <w:p>
            <w:pPr>
              <w:widowControl/>
              <w:rPr>
                <w:rFonts w:cs="宋体" w:asciiTheme="minorEastAsia" w:hAnsiTheme="minorEastAsia" w:eastAsiaTheme="minorEastAsia"/>
                <w:kern w:val="0"/>
                <w:sz w:val="24"/>
              </w:rPr>
            </w:pPr>
            <w:r>
              <w:rPr>
                <w:rFonts w:hint="eastAsia" w:cs="宋体" w:asciiTheme="minorEastAsia" w:hAnsiTheme="minorEastAsia" w:eastAsiaTheme="minorEastAsia"/>
                <w:kern w:val="0"/>
                <w:sz w:val="24"/>
              </w:rPr>
              <w:t>2、进口业务在FOB、FCA情况下办理支付运费。</w:t>
            </w:r>
          </w:p>
        </w:tc>
        <w:tc>
          <w:tcPr>
            <w:tcW w:w="974" w:type="dxa"/>
            <w:shd w:val="clear" w:color="auto" w:fill="auto"/>
            <w:vAlign w:val="center"/>
          </w:tcPr>
          <w:p>
            <w:pPr>
              <w:widowControl/>
              <w:jc w:val="center"/>
              <w:rPr>
                <w:rFonts w:cs="宋体" w:asciiTheme="minorEastAsia" w:hAnsiTheme="minorEastAsia" w:eastAsiaTheme="minorEastAsia"/>
                <w:kern w:val="0"/>
                <w:sz w:val="24"/>
              </w:rPr>
            </w:pPr>
            <w:r>
              <w:rPr>
                <w:rFonts w:hint="eastAsia" w:cs="宋体" w:asciiTheme="minorEastAsia" w:hAnsiTheme="minorEastAsia" w:eastAsiaTheme="minorEastAsia"/>
                <w:kern w:val="0"/>
                <w:sz w:val="24"/>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0" w:hRule="atLeast"/>
          <w:tblHeader/>
          <w:jc w:val="center"/>
        </w:trPr>
        <w:tc>
          <w:tcPr>
            <w:tcW w:w="2032" w:type="dxa"/>
            <w:vMerge w:val="restart"/>
            <w:shd w:val="clear" w:color="auto" w:fill="auto"/>
            <w:vAlign w:val="center"/>
          </w:tcPr>
          <w:p>
            <w:pPr>
              <w:widowControl/>
              <w:jc w:val="center"/>
              <w:rPr>
                <w:rFonts w:cs="宋体" w:asciiTheme="minorEastAsia" w:hAnsiTheme="minorEastAsia" w:eastAsiaTheme="minorEastAsia"/>
                <w:kern w:val="0"/>
                <w:sz w:val="24"/>
              </w:rPr>
            </w:pPr>
            <w:r>
              <w:rPr>
                <w:rFonts w:hint="eastAsia" w:cs="宋体" w:asciiTheme="minorEastAsia" w:hAnsiTheme="minorEastAsia" w:eastAsiaTheme="minorEastAsia"/>
                <w:kern w:val="0"/>
                <w:sz w:val="24"/>
              </w:rPr>
              <w:t>货物运输保险</w:t>
            </w:r>
          </w:p>
        </w:tc>
        <w:tc>
          <w:tcPr>
            <w:tcW w:w="5176" w:type="dxa"/>
            <w:shd w:val="clear" w:color="auto" w:fill="auto"/>
            <w:vAlign w:val="center"/>
          </w:tcPr>
          <w:p>
            <w:pPr>
              <w:widowControl/>
              <w:rPr>
                <w:rFonts w:cs="宋体" w:asciiTheme="minorEastAsia" w:hAnsiTheme="minorEastAsia" w:eastAsiaTheme="minorEastAsia"/>
                <w:kern w:val="0"/>
                <w:sz w:val="24"/>
              </w:rPr>
            </w:pPr>
            <w:r>
              <w:rPr>
                <w:rFonts w:hint="eastAsia" w:cs="宋体" w:asciiTheme="minorEastAsia" w:hAnsiTheme="minorEastAsia" w:eastAsiaTheme="minorEastAsia"/>
                <w:kern w:val="0"/>
                <w:sz w:val="24"/>
              </w:rPr>
              <w:t>投保单的缮制：</w:t>
            </w:r>
          </w:p>
          <w:p>
            <w:pPr>
              <w:widowControl/>
              <w:rPr>
                <w:rFonts w:cs="宋体" w:asciiTheme="minorEastAsia" w:hAnsiTheme="minorEastAsia" w:eastAsiaTheme="minorEastAsia"/>
                <w:kern w:val="0"/>
                <w:sz w:val="24"/>
              </w:rPr>
            </w:pPr>
            <w:r>
              <w:rPr>
                <w:rFonts w:hint="eastAsia" w:cs="宋体" w:asciiTheme="minorEastAsia" w:hAnsiTheme="minorEastAsia" w:eastAsiaTheme="minorEastAsia"/>
                <w:kern w:val="0"/>
                <w:sz w:val="24"/>
              </w:rPr>
              <w:t>单据正确率越高、检查次数越少，得分越高。</w:t>
            </w:r>
          </w:p>
        </w:tc>
        <w:tc>
          <w:tcPr>
            <w:tcW w:w="974" w:type="dxa"/>
            <w:shd w:val="clear" w:color="auto" w:fill="auto"/>
            <w:vAlign w:val="center"/>
          </w:tcPr>
          <w:p>
            <w:pPr>
              <w:widowControl/>
              <w:jc w:val="center"/>
              <w:rPr>
                <w:rFonts w:cs="宋体" w:asciiTheme="minorEastAsia" w:hAnsiTheme="minorEastAsia" w:eastAsiaTheme="minorEastAsia"/>
                <w:kern w:val="0"/>
                <w:sz w:val="24"/>
              </w:rPr>
            </w:pPr>
            <w:r>
              <w:rPr>
                <w:rFonts w:hint="eastAsia" w:cs="宋体" w:asciiTheme="minorEastAsia" w:hAnsiTheme="minorEastAsia" w:eastAsiaTheme="minorEastAsia"/>
                <w:kern w:val="0"/>
                <w:sz w:val="24"/>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90" w:hRule="atLeast"/>
          <w:tblHeader/>
          <w:jc w:val="center"/>
        </w:trPr>
        <w:tc>
          <w:tcPr>
            <w:tcW w:w="2032" w:type="dxa"/>
            <w:vMerge w:val="continue"/>
            <w:vAlign w:val="center"/>
          </w:tcPr>
          <w:p>
            <w:pPr>
              <w:widowControl/>
              <w:jc w:val="center"/>
              <w:rPr>
                <w:rFonts w:cs="宋体" w:asciiTheme="minorEastAsia" w:hAnsiTheme="minorEastAsia" w:eastAsiaTheme="minorEastAsia"/>
                <w:kern w:val="0"/>
                <w:sz w:val="24"/>
              </w:rPr>
            </w:pPr>
          </w:p>
        </w:tc>
        <w:tc>
          <w:tcPr>
            <w:tcW w:w="5176" w:type="dxa"/>
            <w:shd w:val="clear" w:color="auto" w:fill="auto"/>
            <w:vAlign w:val="center"/>
          </w:tcPr>
          <w:p>
            <w:pPr>
              <w:widowControl/>
              <w:rPr>
                <w:rFonts w:cs="宋体" w:asciiTheme="minorEastAsia" w:hAnsiTheme="minorEastAsia" w:eastAsiaTheme="minorEastAsia"/>
                <w:kern w:val="0"/>
                <w:sz w:val="24"/>
              </w:rPr>
            </w:pPr>
            <w:r>
              <w:rPr>
                <w:rFonts w:hint="eastAsia" w:cs="宋体" w:asciiTheme="minorEastAsia" w:hAnsiTheme="minorEastAsia" w:eastAsiaTheme="minorEastAsia"/>
                <w:kern w:val="0"/>
                <w:sz w:val="24"/>
              </w:rPr>
              <w:t>办理保险无操作错误得满分，有操作错误（如提交的单据不正确、流程顺序错误等）则扣分，扣完为止。</w:t>
            </w:r>
          </w:p>
          <w:p>
            <w:pPr>
              <w:widowControl/>
              <w:rPr>
                <w:rFonts w:cs="宋体" w:asciiTheme="minorEastAsia" w:hAnsiTheme="minorEastAsia" w:eastAsiaTheme="minorEastAsia"/>
                <w:kern w:val="0"/>
                <w:sz w:val="24"/>
              </w:rPr>
            </w:pPr>
            <w:r>
              <w:rPr>
                <w:rFonts w:hint="eastAsia" w:cs="宋体" w:asciiTheme="minorEastAsia" w:hAnsiTheme="minorEastAsia" w:eastAsiaTheme="minorEastAsia"/>
                <w:kern w:val="0"/>
                <w:sz w:val="24"/>
              </w:rPr>
              <w:t>注：</w:t>
            </w:r>
          </w:p>
          <w:p>
            <w:pPr>
              <w:widowControl/>
              <w:rPr>
                <w:rFonts w:cs="宋体" w:asciiTheme="minorEastAsia" w:hAnsiTheme="minorEastAsia" w:eastAsiaTheme="minorEastAsia"/>
                <w:kern w:val="0"/>
                <w:sz w:val="24"/>
              </w:rPr>
            </w:pPr>
            <w:r>
              <w:rPr>
                <w:rFonts w:hint="eastAsia" w:cs="宋体" w:asciiTheme="minorEastAsia" w:hAnsiTheme="minorEastAsia" w:eastAsiaTheme="minorEastAsia"/>
                <w:kern w:val="0"/>
                <w:sz w:val="24"/>
              </w:rPr>
              <w:t>1、出口业务在CIF、CIP情况下办理保险。</w:t>
            </w:r>
          </w:p>
          <w:p>
            <w:pPr>
              <w:widowControl/>
              <w:rPr>
                <w:rFonts w:cs="宋体" w:asciiTheme="minorEastAsia" w:hAnsiTheme="minorEastAsia" w:eastAsiaTheme="minorEastAsia"/>
                <w:kern w:val="0"/>
                <w:sz w:val="24"/>
              </w:rPr>
            </w:pPr>
            <w:r>
              <w:rPr>
                <w:rFonts w:hint="eastAsia" w:cs="宋体" w:asciiTheme="minorEastAsia" w:hAnsiTheme="minorEastAsia" w:eastAsiaTheme="minorEastAsia"/>
                <w:kern w:val="0"/>
                <w:sz w:val="24"/>
              </w:rPr>
              <w:t>2、进口业务在FOB、CFR、FCA、CPT情况下办理保险。</w:t>
            </w:r>
          </w:p>
        </w:tc>
        <w:tc>
          <w:tcPr>
            <w:tcW w:w="974" w:type="dxa"/>
            <w:shd w:val="clear" w:color="auto" w:fill="auto"/>
            <w:vAlign w:val="center"/>
          </w:tcPr>
          <w:p>
            <w:pPr>
              <w:widowControl/>
              <w:jc w:val="center"/>
              <w:rPr>
                <w:rFonts w:cs="宋体" w:asciiTheme="minorEastAsia" w:hAnsiTheme="minorEastAsia" w:eastAsiaTheme="minorEastAsia"/>
                <w:kern w:val="0"/>
                <w:sz w:val="24"/>
              </w:rPr>
            </w:pPr>
            <w:r>
              <w:rPr>
                <w:rFonts w:hint="eastAsia" w:cs="宋体" w:asciiTheme="minorEastAsia" w:hAnsiTheme="minorEastAsia" w:eastAsiaTheme="minorEastAsia"/>
                <w:kern w:val="0"/>
                <w:sz w:val="24"/>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80" w:hRule="atLeast"/>
          <w:tblHeader/>
          <w:jc w:val="center"/>
        </w:trPr>
        <w:tc>
          <w:tcPr>
            <w:tcW w:w="2032" w:type="dxa"/>
            <w:vMerge w:val="restart"/>
            <w:shd w:val="clear" w:color="auto" w:fill="auto"/>
            <w:vAlign w:val="center"/>
          </w:tcPr>
          <w:p>
            <w:pPr>
              <w:widowControl/>
              <w:jc w:val="center"/>
              <w:rPr>
                <w:rFonts w:cs="宋体" w:asciiTheme="minorEastAsia" w:hAnsiTheme="minorEastAsia" w:eastAsiaTheme="minorEastAsia"/>
                <w:kern w:val="0"/>
                <w:sz w:val="24"/>
              </w:rPr>
            </w:pPr>
            <w:r>
              <w:rPr>
                <w:rFonts w:hint="eastAsia" w:cs="宋体" w:asciiTheme="minorEastAsia" w:hAnsiTheme="minorEastAsia" w:eastAsiaTheme="minorEastAsia"/>
                <w:kern w:val="0"/>
                <w:sz w:val="24"/>
              </w:rPr>
              <w:t>处理信用证</w:t>
            </w:r>
          </w:p>
        </w:tc>
        <w:tc>
          <w:tcPr>
            <w:tcW w:w="5176" w:type="dxa"/>
            <w:shd w:val="clear" w:color="auto" w:fill="auto"/>
            <w:vAlign w:val="center"/>
          </w:tcPr>
          <w:p>
            <w:pPr>
              <w:widowControl/>
              <w:rPr>
                <w:rFonts w:cs="宋体" w:asciiTheme="minorEastAsia" w:hAnsiTheme="minorEastAsia" w:eastAsiaTheme="minorEastAsia"/>
                <w:kern w:val="0"/>
                <w:sz w:val="24"/>
              </w:rPr>
            </w:pPr>
            <w:r>
              <w:rPr>
                <w:rFonts w:hint="eastAsia" w:cs="宋体" w:asciiTheme="minorEastAsia" w:hAnsiTheme="minorEastAsia" w:eastAsiaTheme="minorEastAsia"/>
                <w:kern w:val="0"/>
                <w:sz w:val="24"/>
              </w:rPr>
              <w:t>L/C方式下信用证开证申请书的缮制：</w:t>
            </w:r>
          </w:p>
          <w:p>
            <w:pPr>
              <w:widowControl/>
              <w:rPr>
                <w:rFonts w:cs="宋体" w:asciiTheme="minorEastAsia" w:hAnsiTheme="minorEastAsia" w:eastAsiaTheme="minorEastAsia"/>
                <w:kern w:val="0"/>
                <w:sz w:val="24"/>
              </w:rPr>
            </w:pPr>
            <w:r>
              <w:rPr>
                <w:rFonts w:hint="eastAsia" w:cs="宋体" w:asciiTheme="minorEastAsia" w:hAnsiTheme="minorEastAsia" w:eastAsiaTheme="minorEastAsia"/>
                <w:kern w:val="0"/>
                <w:sz w:val="24"/>
              </w:rPr>
              <w:t>单据正确率越高、检查次数越少，得分越高。</w:t>
            </w:r>
          </w:p>
          <w:p>
            <w:pPr>
              <w:widowControl/>
              <w:rPr>
                <w:rFonts w:cs="宋体" w:asciiTheme="minorEastAsia" w:hAnsiTheme="minorEastAsia" w:eastAsiaTheme="minorEastAsia"/>
                <w:kern w:val="0"/>
                <w:sz w:val="24"/>
              </w:rPr>
            </w:pPr>
            <w:r>
              <w:rPr>
                <w:rFonts w:hint="eastAsia" w:cs="宋体" w:asciiTheme="minorEastAsia" w:hAnsiTheme="minorEastAsia" w:eastAsiaTheme="minorEastAsia"/>
                <w:kern w:val="0"/>
                <w:sz w:val="24"/>
              </w:rPr>
              <w:t>注：信用证修改流程根据业务需要选择是否操作，不操作不影响得分。</w:t>
            </w:r>
          </w:p>
        </w:tc>
        <w:tc>
          <w:tcPr>
            <w:tcW w:w="974" w:type="dxa"/>
            <w:shd w:val="clear" w:color="auto" w:fill="auto"/>
            <w:vAlign w:val="center"/>
          </w:tcPr>
          <w:p>
            <w:pPr>
              <w:widowControl/>
              <w:jc w:val="center"/>
              <w:rPr>
                <w:rFonts w:cs="宋体" w:asciiTheme="minorEastAsia" w:hAnsiTheme="minorEastAsia" w:eastAsiaTheme="minorEastAsia"/>
                <w:kern w:val="0"/>
                <w:sz w:val="24"/>
              </w:rPr>
            </w:pPr>
            <w:r>
              <w:rPr>
                <w:rFonts w:hint="eastAsia" w:cs="宋体" w:asciiTheme="minorEastAsia" w:hAnsiTheme="minorEastAsia" w:eastAsiaTheme="minorEastAsia"/>
                <w:kern w:val="0"/>
                <w:sz w:val="24"/>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80" w:hRule="atLeast"/>
          <w:tblHeader/>
          <w:jc w:val="center"/>
        </w:trPr>
        <w:tc>
          <w:tcPr>
            <w:tcW w:w="2032" w:type="dxa"/>
            <w:vMerge w:val="continue"/>
            <w:vAlign w:val="center"/>
          </w:tcPr>
          <w:p>
            <w:pPr>
              <w:widowControl/>
              <w:jc w:val="center"/>
              <w:rPr>
                <w:rFonts w:cs="宋体" w:asciiTheme="minorEastAsia" w:hAnsiTheme="minorEastAsia" w:eastAsiaTheme="minorEastAsia"/>
                <w:kern w:val="0"/>
                <w:sz w:val="24"/>
              </w:rPr>
            </w:pPr>
          </w:p>
        </w:tc>
        <w:tc>
          <w:tcPr>
            <w:tcW w:w="5176" w:type="dxa"/>
            <w:shd w:val="clear" w:color="auto" w:fill="auto"/>
            <w:vAlign w:val="center"/>
          </w:tcPr>
          <w:p>
            <w:pPr>
              <w:widowControl/>
              <w:rPr>
                <w:rFonts w:cs="宋体" w:asciiTheme="minorEastAsia" w:hAnsiTheme="minorEastAsia" w:eastAsiaTheme="minorEastAsia"/>
                <w:kern w:val="0"/>
                <w:sz w:val="24"/>
              </w:rPr>
            </w:pPr>
            <w:r>
              <w:rPr>
                <w:rFonts w:hint="eastAsia" w:cs="宋体" w:asciiTheme="minorEastAsia" w:hAnsiTheme="minorEastAsia" w:eastAsiaTheme="minorEastAsia"/>
                <w:kern w:val="0"/>
                <w:sz w:val="24"/>
              </w:rPr>
              <w:t>L/C方式下的出口业务办理领取信用证、交单，进口业务办理申请开证无操作错误得满分，有操作错误（如提交的单据不正确、流程顺序错误等）则扣分，扣完为止。</w:t>
            </w:r>
          </w:p>
        </w:tc>
        <w:tc>
          <w:tcPr>
            <w:tcW w:w="974" w:type="dxa"/>
            <w:shd w:val="clear" w:color="auto" w:fill="auto"/>
            <w:vAlign w:val="center"/>
          </w:tcPr>
          <w:p>
            <w:pPr>
              <w:widowControl/>
              <w:jc w:val="center"/>
              <w:rPr>
                <w:rFonts w:cs="宋体" w:asciiTheme="minorEastAsia" w:hAnsiTheme="minorEastAsia" w:eastAsiaTheme="minorEastAsia"/>
                <w:kern w:val="0"/>
                <w:sz w:val="24"/>
              </w:rPr>
            </w:pPr>
            <w:r>
              <w:rPr>
                <w:rFonts w:hint="eastAsia" w:cs="宋体" w:asciiTheme="minorEastAsia" w:hAnsiTheme="minorEastAsia" w:eastAsiaTheme="minorEastAsia"/>
                <w:kern w:val="0"/>
                <w:sz w:val="24"/>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0" w:hRule="atLeast"/>
          <w:tblHeader/>
          <w:jc w:val="center"/>
        </w:trPr>
        <w:tc>
          <w:tcPr>
            <w:tcW w:w="2032" w:type="dxa"/>
            <w:vMerge w:val="restart"/>
            <w:shd w:val="clear" w:color="auto" w:fill="auto"/>
            <w:vAlign w:val="center"/>
          </w:tcPr>
          <w:p>
            <w:pPr>
              <w:widowControl/>
              <w:jc w:val="center"/>
              <w:rPr>
                <w:rFonts w:cs="宋体" w:asciiTheme="minorEastAsia" w:hAnsiTheme="minorEastAsia" w:eastAsiaTheme="minorEastAsia"/>
                <w:kern w:val="0"/>
                <w:sz w:val="24"/>
              </w:rPr>
            </w:pPr>
            <w:r>
              <w:rPr>
                <w:rFonts w:hint="eastAsia" w:cs="宋体" w:asciiTheme="minorEastAsia" w:hAnsiTheme="minorEastAsia" w:eastAsiaTheme="minorEastAsia"/>
                <w:kern w:val="0"/>
                <w:sz w:val="24"/>
              </w:rPr>
              <w:t>处理银行托收</w:t>
            </w:r>
          </w:p>
        </w:tc>
        <w:tc>
          <w:tcPr>
            <w:tcW w:w="5176" w:type="dxa"/>
            <w:shd w:val="clear" w:color="auto" w:fill="auto"/>
            <w:vAlign w:val="center"/>
          </w:tcPr>
          <w:p>
            <w:pPr>
              <w:widowControl/>
              <w:rPr>
                <w:rFonts w:cs="宋体" w:asciiTheme="minorEastAsia" w:hAnsiTheme="minorEastAsia" w:eastAsiaTheme="minorEastAsia"/>
                <w:kern w:val="0"/>
                <w:sz w:val="24"/>
              </w:rPr>
            </w:pPr>
            <w:r>
              <w:rPr>
                <w:rFonts w:hint="eastAsia" w:cs="宋体" w:asciiTheme="minorEastAsia" w:hAnsiTheme="minorEastAsia" w:eastAsiaTheme="minorEastAsia"/>
                <w:kern w:val="0"/>
                <w:sz w:val="24"/>
              </w:rPr>
              <w:t>D/P和D/A方式下托收委托书的缮制：</w:t>
            </w:r>
          </w:p>
          <w:p>
            <w:pPr>
              <w:widowControl/>
              <w:rPr>
                <w:rFonts w:cs="宋体" w:asciiTheme="minorEastAsia" w:hAnsiTheme="minorEastAsia" w:eastAsiaTheme="minorEastAsia"/>
                <w:kern w:val="0"/>
                <w:sz w:val="24"/>
              </w:rPr>
            </w:pPr>
            <w:r>
              <w:rPr>
                <w:rFonts w:hint="eastAsia" w:cs="宋体" w:asciiTheme="minorEastAsia" w:hAnsiTheme="minorEastAsia" w:eastAsiaTheme="minorEastAsia"/>
                <w:kern w:val="0"/>
                <w:sz w:val="24"/>
              </w:rPr>
              <w:t>单据正确率越高、检查次数越少，得分越高。</w:t>
            </w:r>
          </w:p>
        </w:tc>
        <w:tc>
          <w:tcPr>
            <w:tcW w:w="974" w:type="dxa"/>
            <w:shd w:val="clear" w:color="auto" w:fill="auto"/>
            <w:vAlign w:val="center"/>
          </w:tcPr>
          <w:p>
            <w:pPr>
              <w:widowControl/>
              <w:jc w:val="center"/>
              <w:rPr>
                <w:rFonts w:cs="宋体" w:asciiTheme="minorEastAsia" w:hAnsiTheme="minorEastAsia" w:eastAsiaTheme="minorEastAsia"/>
                <w:kern w:val="0"/>
                <w:sz w:val="24"/>
              </w:rPr>
            </w:pPr>
            <w:r>
              <w:rPr>
                <w:rFonts w:hint="eastAsia" w:cs="宋体" w:asciiTheme="minorEastAsia" w:hAnsiTheme="minorEastAsia" w:eastAsiaTheme="minorEastAsia"/>
                <w:kern w:val="0"/>
                <w:sz w:val="24"/>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80" w:hRule="atLeast"/>
          <w:tblHeader/>
          <w:jc w:val="center"/>
        </w:trPr>
        <w:tc>
          <w:tcPr>
            <w:tcW w:w="2032" w:type="dxa"/>
            <w:vMerge w:val="continue"/>
            <w:vAlign w:val="center"/>
          </w:tcPr>
          <w:p>
            <w:pPr>
              <w:widowControl/>
              <w:jc w:val="center"/>
              <w:rPr>
                <w:rFonts w:cs="宋体" w:asciiTheme="minorEastAsia" w:hAnsiTheme="minorEastAsia" w:eastAsiaTheme="minorEastAsia"/>
                <w:kern w:val="0"/>
                <w:sz w:val="24"/>
              </w:rPr>
            </w:pPr>
          </w:p>
        </w:tc>
        <w:tc>
          <w:tcPr>
            <w:tcW w:w="5176" w:type="dxa"/>
            <w:shd w:val="clear" w:color="auto" w:fill="auto"/>
            <w:vAlign w:val="center"/>
          </w:tcPr>
          <w:p>
            <w:pPr>
              <w:widowControl/>
              <w:rPr>
                <w:rFonts w:cs="宋体" w:asciiTheme="minorEastAsia" w:hAnsiTheme="minorEastAsia" w:eastAsiaTheme="minorEastAsia"/>
                <w:kern w:val="0"/>
                <w:sz w:val="24"/>
              </w:rPr>
            </w:pPr>
            <w:r>
              <w:rPr>
                <w:rFonts w:hint="eastAsia" w:cs="宋体" w:asciiTheme="minorEastAsia" w:hAnsiTheme="minorEastAsia" w:eastAsiaTheme="minorEastAsia"/>
                <w:kern w:val="0"/>
                <w:sz w:val="24"/>
              </w:rPr>
              <w:t>D/P和D/A方式下的出口业务办理托收、进口业务办理付款无操作错误得满分，有操作错误（如提交的单据不正确、流程顺序错误等）则扣分，扣完为止。</w:t>
            </w:r>
          </w:p>
        </w:tc>
        <w:tc>
          <w:tcPr>
            <w:tcW w:w="974" w:type="dxa"/>
            <w:shd w:val="clear" w:color="auto" w:fill="auto"/>
            <w:vAlign w:val="center"/>
          </w:tcPr>
          <w:p>
            <w:pPr>
              <w:widowControl/>
              <w:jc w:val="center"/>
              <w:rPr>
                <w:rFonts w:cs="宋体" w:asciiTheme="minorEastAsia" w:hAnsiTheme="minorEastAsia" w:eastAsiaTheme="minorEastAsia"/>
                <w:kern w:val="0"/>
                <w:sz w:val="24"/>
              </w:rPr>
            </w:pPr>
            <w:r>
              <w:rPr>
                <w:rFonts w:hint="eastAsia" w:cs="宋体" w:asciiTheme="minorEastAsia" w:hAnsiTheme="minorEastAsia" w:eastAsiaTheme="minorEastAsia"/>
                <w:kern w:val="0"/>
                <w:sz w:val="24"/>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20" w:hRule="atLeast"/>
          <w:tblHeader/>
          <w:jc w:val="center"/>
        </w:trPr>
        <w:tc>
          <w:tcPr>
            <w:tcW w:w="2032" w:type="dxa"/>
            <w:vMerge w:val="restart"/>
            <w:shd w:val="clear" w:color="auto" w:fill="auto"/>
            <w:vAlign w:val="center"/>
          </w:tcPr>
          <w:p>
            <w:pPr>
              <w:widowControl/>
              <w:jc w:val="center"/>
              <w:rPr>
                <w:rFonts w:cs="宋体" w:asciiTheme="minorEastAsia" w:hAnsiTheme="minorEastAsia" w:eastAsiaTheme="minorEastAsia"/>
                <w:kern w:val="0"/>
                <w:sz w:val="24"/>
              </w:rPr>
            </w:pPr>
            <w:r>
              <w:rPr>
                <w:rFonts w:hint="eastAsia" w:cs="宋体" w:asciiTheme="minorEastAsia" w:hAnsiTheme="minorEastAsia" w:eastAsiaTheme="minorEastAsia"/>
                <w:kern w:val="0"/>
                <w:sz w:val="24"/>
              </w:rPr>
              <w:t>处理电汇</w:t>
            </w:r>
          </w:p>
        </w:tc>
        <w:tc>
          <w:tcPr>
            <w:tcW w:w="5176" w:type="dxa"/>
            <w:shd w:val="clear" w:color="auto" w:fill="auto"/>
            <w:vAlign w:val="center"/>
          </w:tcPr>
          <w:p>
            <w:pPr>
              <w:widowControl/>
              <w:rPr>
                <w:rFonts w:cs="宋体" w:asciiTheme="minorEastAsia" w:hAnsiTheme="minorEastAsia" w:eastAsiaTheme="minorEastAsia"/>
                <w:kern w:val="0"/>
                <w:sz w:val="24"/>
              </w:rPr>
            </w:pPr>
            <w:r>
              <w:rPr>
                <w:rFonts w:hint="eastAsia" w:cs="宋体" w:asciiTheme="minorEastAsia" w:hAnsiTheme="minorEastAsia" w:eastAsiaTheme="minorEastAsia"/>
                <w:kern w:val="0"/>
                <w:sz w:val="24"/>
              </w:rPr>
              <w:t>T/T方式下境外汇款申请书的缮制：</w:t>
            </w:r>
          </w:p>
          <w:p>
            <w:pPr>
              <w:widowControl/>
              <w:rPr>
                <w:rFonts w:cs="宋体" w:asciiTheme="minorEastAsia" w:hAnsiTheme="minorEastAsia" w:eastAsiaTheme="minorEastAsia"/>
                <w:kern w:val="0"/>
                <w:sz w:val="24"/>
              </w:rPr>
            </w:pPr>
            <w:r>
              <w:rPr>
                <w:rFonts w:hint="eastAsia" w:cs="宋体" w:asciiTheme="minorEastAsia" w:hAnsiTheme="minorEastAsia" w:eastAsiaTheme="minorEastAsia"/>
                <w:kern w:val="0"/>
                <w:sz w:val="24"/>
              </w:rPr>
              <w:t>单据正确率越高、检查次数越少，得分越高。</w:t>
            </w:r>
          </w:p>
          <w:p>
            <w:pPr>
              <w:widowControl/>
              <w:rPr>
                <w:rFonts w:cs="宋体" w:asciiTheme="minorEastAsia" w:hAnsiTheme="minorEastAsia" w:eastAsiaTheme="minorEastAsia"/>
                <w:kern w:val="0"/>
                <w:sz w:val="24"/>
              </w:rPr>
            </w:pPr>
            <w:r>
              <w:rPr>
                <w:rFonts w:hint="eastAsia" w:cs="宋体" w:asciiTheme="minorEastAsia" w:hAnsiTheme="minorEastAsia" w:eastAsiaTheme="minorEastAsia"/>
                <w:kern w:val="0"/>
                <w:sz w:val="24"/>
              </w:rPr>
              <w:t>注：</w:t>
            </w:r>
          </w:p>
          <w:p>
            <w:pPr>
              <w:widowControl/>
              <w:rPr>
                <w:rFonts w:cs="宋体" w:asciiTheme="minorEastAsia" w:hAnsiTheme="minorEastAsia" w:eastAsiaTheme="minorEastAsia"/>
                <w:kern w:val="0"/>
                <w:sz w:val="24"/>
              </w:rPr>
            </w:pPr>
            <w:r>
              <w:rPr>
                <w:rFonts w:hint="eastAsia" w:cs="宋体" w:asciiTheme="minorEastAsia" w:hAnsiTheme="minorEastAsia" w:eastAsiaTheme="minorEastAsia"/>
                <w:kern w:val="0"/>
                <w:sz w:val="24"/>
              </w:rPr>
              <w:t>1、100%T/T方式下缮制境外汇款申请书</w:t>
            </w:r>
          </w:p>
          <w:p>
            <w:pPr>
              <w:widowControl/>
              <w:rPr>
                <w:rFonts w:cs="宋体" w:asciiTheme="minorEastAsia" w:hAnsiTheme="minorEastAsia" w:eastAsiaTheme="minorEastAsia"/>
                <w:kern w:val="0"/>
                <w:sz w:val="24"/>
              </w:rPr>
            </w:pPr>
            <w:r>
              <w:rPr>
                <w:rFonts w:hint="eastAsia" w:cs="宋体" w:asciiTheme="minorEastAsia" w:hAnsiTheme="minorEastAsia" w:eastAsiaTheme="minorEastAsia"/>
                <w:kern w:val="0"/>
                <w:sz w:val="24"/>
              </w:rPr>
              <w:t>2、定金+尾款方式下缮制境外汇款申请书（付定金）与境外汇款申请书（付尾款）</w:t>
            </w:r>
          </w:p>
        </w:tc>
        <w:tc>
          <w:tcPr>
            <w:tcW w:w="974" w:type="dxa"/>
            <w:shd w:val="clear" w:color="auto" w:fill="auto"/>
            <w:vAlign w:val="center"/>
          </w:tcPr>
          <w:p>
            <w:pPr>
              <w:widowControl/>
              <w:jc w:val="center"/>
              <w:rPr>
                <w:rFonts w:cs="宋体" w:asciiTheme="minorEastAsia" w:hAnsiTheme="minorEastAsia" w:eastAsiaTheme="minorEastAsia"/>
                <w:kern w:val="0"/>
                <w:sz w:val="24"/>
              </w:rPr>
            </w:pPr>
            <w:r>
              <w:rPr>
                <w:rFonts w:hint="eastAsia" w:cs="宋体" w:asciiTheme="minorEastAsia" w:hAnsiTheme="minorEastAsia" w:eastAsiaTheme="minorEastAsia"/>
                <w:kern w:val="0"/>
                <w:sz w:val="24"/>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80" w:hRule="atLeast"/>
          <w:tblHeader/>
          <w:jc w:val="center"/>
        </w:trPr>
        <w:tc>
          <w:tcPr>
            <w:tcW w:w="2032" w:type="dxa"/>
            <w:vMerge w:val="continue"/>
            <w:vAlign w:val="center"/>
          </w:tcPr>
          <w:p>
            <w:pPr>
              <w:widowControl/>
              <w:jc w:val="center"/>
              <w:rPr>
                <w:rFonts w:cs="宋体" w:asciiTheme="minorEastAsia" w:hAnsiTheme="minorEastAsia" w:eastAsiaTheme="minorEastAsia"/>
                <w:kern w:val="0"/>
                <w:sz w:val="24"/>
              </w:rPr>
            </w:pPr>
          </w:p>
        </w:tc>
        <w:tc>
          <w:tcPr>
            <w:tcW w:w="5176" w:type="dxa"/>
            <w:shd w:val="clear" w:color="auto" w:fill="auto"/>
            <w:vAlign w:val="center"/>
          </w:tcPr>
          <w:p>
            <w:pPr>
              <w:widowControl/>
              <w:rPr>
                <w:rFonts w:cs="宋体" w:asciiTheme="minorEastAsia" w:hAnsiTheme="minorEastAsia" w:eastAsiaTheme="minorEastAsia"/>
                <w:kern w:val="0"/>
                <w:sz w:val="24"/>
              </w:rPr>
            </w:pPr>
            <w:r>
              <w:rPr>
                <w:rFonts w:hint="eastAsia" w:cs="宋体" w:asciiTheme="minorEastAsia" w:hAnsiTheme="minorEastAsia" w:eastAsiaTheme="minorEastAsia"/>
                <w:kern w:val="0"/>
                <w:sz w:val="24"/>
              </w:rPr>
              <w:t>T/T方式下的出口业务办理T/T寄单、进口业务办理付款无操作错误得满分，有操作错误（如提交的单据不正确、流程顺序错误等）则扣分，扣完为止。</w:t>
            </w:r>
          </w:p>
        </w:tc>
        <w:tc>
          <w:tcPr>
            <w:tcW w:w="974" w:type="dxa"/>
            <w:shd w:val="clear" w:color="auto" w:fill="auto"/>
            <w:vAlign w:val="center"/>
          </w:tcPr>
          <w:p>
            <w:pPr>
              <w:widowControl/>
              <w:jc w:val="center"/>
              <w:rPr>
                <w:rFonts w:cs="宋体" w:asciiTheme="minorEastAsia" w:hAnsiTheme="minorEastAsia" w:eastAsiaTheme="minorEastAsia"/>
                <w:kern w:val="0"/>
                <w:sz w:val="24"/>
              </w:rPr>
            </w:pPr>
            <w:r>
              <w:rPr>
                <w:rFonts w:hint="eastAsia" w:cs="宋体" w:asciiTheme="minorEastAsia" w:hAnsiTheme="minorEastAsia" w:eastAsiaTheme="minorEastAsia"/>
                <w:kern w:val="0"/>
                <w:sz w:val="24"/>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50" w:hRule="atLeast"/>
          <w:tblHeader/>
          <w:jc w:val="center"/>
        </w:trPr>
        <w:tc>
          <w:tcPr>
            <w:tcW w:w="2032" w:type="dxa"/>
            <w:shd w:val="clear" w:color="auto" w:fill="auto"/>
            <w:vAlign w:val="center"/>
          </w:tcPr>
          <w:p>
            <w:pPr>
              <w:widowControl/>
              <w:jc w:val="center"/>
              <w:rPr>
                <w:rFonts w:cs="宋体" w:asciiTheme="minorEastAsia" w:hAnsiTheme="minorEastAsia" w:eastAsiaTheme="minorEastAsia"/>
                <w:kern w:val="0"/>
                <w:sz w:val="24"/>
              </w:rPr>
            </w:pPr>
            <w:r>
              <w:rPr>
                <w:rFonts w:hint="eastAsia" w:cs="宋体" w:asciiTheme="minorEastAsia" w:hAnsiTheme="minorEastAsia" w:eastAsiaTheme="minorEastAsia"/>
                <w:kern w:val="0"/>
                <w:sz w:val="24"/>
              </w:rPr>
              <w:t>汇票的缮制</w:t>
            </w:r>
          </w:p>
        </w:tc>
        <w:tc>
          <w:tcPr>
            <w:tcW w:w="5176" w:type="dxa"/>
            <w:shd w:val="clear" w:color="auto" w:fill="auto"/>
            <w:vAlign w:val="center"/>
          </w:tcPr>
          <w:p>
            <w:pPr>
              <w:widowControl/>
              <w:rPr>
                <w:rFonts w:cs="宋体" w:asciiTheme="minorEastAsia" w:hAnsiTheme="minorEastAsia" w:eastAsiaTheme="minorEastAsia"/>
                <w:kern w:val="0"/>
                <w:sz w:val="24"/>
              </w:rPr>
            </w:pPr>
            <w:r>
              <w:rPr>
                <w:rFonts w:hint="eastAsia" w:cs="宋体" w:asciiTheme="minorEastAsia" w:hAnsiTheme="minorEastAsia" w:eastAsiaTheme="minorEastAsia"/>
                <w:kern w:val="0"/>
                <w:sz w:val="24"/>
              </w:rPr>
              <w:t>单据正确率越高、检查次数越少，得分越高。</w:t>
            </w:r>
          </w:p>
        </w:tc>
        <w:tc>
          <w:tcPr>
            <w:tcW w:w="974" w:type="dxa"/>
            <w:shd w:val="clear" w:color="auto" w:fill="auto"/>
            <w:vAlign w:val="center"/>
          </w:tcPr>
          <w:p>
            <w:pPr>
              <w:widowControl/>
              <w:jc w:val="center"/>
              <w:rPr>
                <w:rFonts w:cs="宋体" w:asciiTheme="minorEastAsia" w:hAnsiTheme="minorEastAsia" w:eastAsiaTheme="minorEastAsia"/>
                <w:kern w:val="0"/>
                <w:sz w:val="24"/>
              </w:rPr>
            </w:pPr>
            <w:r>
              <w:rPr>
                <w:rFonts w:hint="eastAsia" w:cs="宋体" w:asciiTheme="minorEastAsia" w:hAnsiTheme="minorEastAsia" w:eastAsiaTheme="minorEastAsia"/>
                <w:kern w:val="0"/>
                <w:sz w:val="24"/>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0" w:hRule="atLeast"/>
          <w:tblHeader/>
          <w:jc w:val="center"/>
        </w:trPr>
        <w:tc>
          <w:tcPr>
            <w:tcW w:w="2032" w:type="dxa"/>
            <w:vMerge w:val="restart"/>
            <w:shd w:val="clear" w:color="auto" w:fill="auto"/>
            <w:vAlign w:val="center"/>
          </w:tcPr>
          <w:p>
            <w:pPr>
              <w:widowControl/>
              <w:jc w:val="center"/>
              <w:rPr>
                <w:rFonts w:cs="宋体" w:asciiTheme="minorEastAsia" w:hAnsiTheme="minorEastAsia" w:eastAsiaTheme="minorEastAsia"/>
                <w:kern w:val="0"/>
                <w:sz w:val="24"/>
              </w:rPr>
            </w:pPr>
            <w:r>
              <w:rPr>
                <w:rFonts w:hint="eastAsia" w:cs="宋体" w:asciiTheme="minorEastAsia" w:hAnsiTheme="minorEastAsia" w:eastAsiaTheme="minorEastAsia"/>
                <w:kern w:val="0"/>
                <w:sz w:val="24"/>
              </w:rPr>
              <w:t>业务履约完成</w:t>
            </w:r>
          </w:p>
        </w:tc>
        <w:tc>
          <w:tcPr>
            <w:tcW w:w="5176" w:type="dxa"/>
            <w:shd w:val="clear" w:color="auto" w:fill="auto"/>
            <w:vAlign w:val="center"/>
          </w:tcPr>
          <w:p>
            <w:pPr>
              <w:widowControl/>
              <w:rPr>
                <w:rFonts w:cs="宋体" w:asciiTheme="minorEastAsia" w:hAnsiTheme="minorEastAsia" w:eastAsiaTheme="minorEastAsia"/>
                <w:kern w:val="0"/>
                <w:sz w:val="24"/>
              </w:rPr>
            </w:pPr>
            <w:r>
              <w:rPr>
                <w:rFonts w:hint="eastAsia" w:cs="宋体" w:asciiTheme="minorEastAsia" w:hAnsiTheme="minorEastAsia" w:eastAsiaTheme="minorEastAsia"/>
                <w:kern w:val="0"/>
                <w:sz w:val="24"/>
              </w:rPr>
              <w:t>完成一笔出口业务（进入“历史业务”阶段）得满分</w:t>
            </w:r>
          </w:p>
        </w:tc>
        <w:tc>
          <w:tcPr>
            <w:tcW w:w="974" w:type="dxa"/>
            <w:shd w:val="clear" w:color="auto" w:fill="auto"/>
            <w:vAlign w:val="center"/>
          </w:tcPr>
          <w:p>
            <w:pPr>
              <w:widowControl/>
              <w:jc w:val="center"/>
              <w:rPr>
                <w:rFonts w:cs="宋体" w:asciiTheme="minorEastAsia" w:hAnsiTheme="minorEastAsia" w:eastAsiaTheme="minorEastAsia"/>
                <w:kern w:val="0"/>
                <w:sz w:val="24"/>
              </w:rPr>
            </w:pPr>
            <w:r>
              <w:rPr>
                <w:rFonts w:hint="eastAsia" w:cs="宋体" w:asciiTheme="minorEastAsia" w:hAnsiTheme="minorEastAsia" w:eastAsiaTheme="minorEastAsia"/>
                <w:kern w:val="0"/>
                <w:sz w:val="24"/>
              </w:rPr>
              <w:t>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0" w:hRule="atLeast"/>
          <w:tblHeader/>
          <w:jc w:val="center"/>
        </w:trPr>
        <w:tc>
          <w:tcPr>
            <w:tcW w:w="2032" w:type="dxa"/>
            <w:vMerge w:val="continue"/>
            <w:vAlign w:val="center"/>
          </w:tcPr>
          <w:p>
            <w:pPr>
              <w:widowControl/>
              <w:rPr>
                <w:rFonts w:cs="宋体" w:asciiTheme="minorEastAsia" w:hAnsiTheme="minorEastAsia" w:eastAsiaTheme="minorEastAsia"/>
                <w:kern w:val="0"/>
                <w:sz w:val="24"/>
              </w:rPr>
            </w:pPr>
          </w:p>
        </w:tc>
        <w:tc>
          <w:tcPr>
            <w:tcW w:w="5176" w:type="dxa"/>
            <w:shd w:val="clear" w:color="auto" w:fill="auto"/>
            <w:vAlign w:val="center"/>
          </w:tcPr>
          <w:p>
            <w:pPr>
              <w:widowControl/>
              <w:rPr>
                <w:rFonts w:cs="宋体" w:asciiTheme="minorEastAsia" w:hAnsiTheme="minorEastAsia" w:eastAsiaTheme="minorEastAsia"/>
                <w:kern w:val="0"/>
                <w:sz w:val="24"/>
              </w:rPr>
            </w:pPr>
            <w:r>
              <w:rPr>
                <w:rFonts w:hint="eastAsia" w:cs="宋体" w:asciiTheme="minorEastAsia" w:hAnsiTheme="minorEastAsia" w:eastAsiaTheme="minorEastAsia"/>
                <w:kern w:val="0"/>
                <w:sz w:val="24"/>
              </w:rPr>
              <w:t>完成一笔进口业务（进入“历史业务”阶段）得满分</w:t>
            </w:r>
          </w:p>
        </w:tc>
        <w:tc>
          <w:tcPr>
            <w:tcW w:w="974" w:type="dxa"/>
            <w:shd w:val="clear" w:color="auto" w:fill="auto"/>
            <w:vAlign w:val="center"/>
          </w:tcPr>
          <w:p>
            <w:pPr>
              <w:widowControl/>
              <w:jc w:val="center"/>
              <w:rPr>
                <w:rFonts w:cs="宋体" w:asciiTheme="minorEastAsia" w:hAnsiTheme="minorEastAsia" w:eastAsiaTheme="minorEastAsia"/>
                <w:kern w:val="0"/>
                <w:sz w:val="24"/>
              </w:rPr>
            </w:pPr>
            <w:r>
              <w:rPr>
                <w:rFonts w:hint="eastAsia" w:cs="宋体" w:asciiTheme="minorEastAsia" w:hAnsiTheme="minorEastAsia" w:eastAsiaTheme="minorEastAsia"/>
                <w:kern w:val="0"/>
                <w:sz w:val="24"/>
              </w:rPr>
              <w:t>18</w:t>
            </w:r>
          </w:p>
        </w:tc>
      </w:tr>
    </w:tbl>
    <w:p>
      <w:pPr>
        <w:spacing w:line="560" w:lineRule="exact"/>
        <w:ind w:firstLine="600" w:firstLineChars="200"/>
        <w:rPr>
          <w:rFonts w:ascii="仿宋_GB2312" w:hAnsi="Arial Narrow" w:eastAsia="仿宋_GB2312" w:cs="宋体"/>
          <w:sz w:val="30"/>
          <w:szCs w:val="30"/>
        </w:rPr>
      </w:pPr>
      <w:r>
        <w:rPr>
          <w:rFonts w:hint="eastAsia" w:ascii="仿宋_GB2312" w:hAnsi="Arial Narrow" w:eastAsia="仿宋_GB2312" w:cs="宋体"/>
          <w:sz w:val="30"/>
          <w:szCs w:val="30"/>
        </w:rPr>
        <w:t>各单据缮制后必须完成相对应的业务办理方可计入得分。</w:t>
      </w:r>
    </w:p>
    <w:p>
      <w:pPr>
        <w:spacing w:line="560" w:lineRule="exact"/>
        <w:ind w:firstLine="600" w:firstLineChars="200"/>
        <w:rPr>
          <w:rFonts w:ascii="仿宋_GB2312" w:hAnsi="Arial Narrow" w:eastAsia="仿宋_GB2312" w:cs="宋体"/>
          <w:sz w:val="30"/>
          <w:szCs w:val="30"/>
        </w:rPr>
      </w:pPr>
      <w:r>
        <w:rPr>
          <w:rFonts w:hint="eastAsia" w:ascii="仿宋_GB2312" w:hAnsi="Arial Narrow" w:eastAsia="仿宋_GB2312" w:cs="宋体"/>
          <w:sz w:val="30"/>
          <w:szCs w:val="30"/>
        </w:rPr>
        <w:t>跟单操作实际得分=选手卷面得分/试卷的最高总分值×100</w:t>
      </w:r>
    </w:p>
    <w:p>
      <w:pPr>
        <w:spacing w:line="560" w:lineRule="exact"/>
        <w:ind w:firstLine="600" w:firstLineChars="200"/>
        <w:rPr>
          <w:rFonts w:ascii="仿宋_GB2312" w:hAnsi="Arial Narrow" w:eastAsia="仿宋_GB2312" w:cs="宋体"/>
          <w:sz w:val="30"/>
          <w:szCs w:val="30"/>
        </w:rPr>
      </w:pPr>
      <w:r>
        <w:rPr>
          <w:rFonts w:hint="eastAsia" w:ascii="仿宋_GB2312" w:hAnsi="Arial Narrow" w:eastAsia="仿宋_GB2312" w:cs="宋体"/>
          <w:sz w:val="30"/>
          <w:szCs w:val="30"/>
        </w:rPr>
        <w:t>（2）跟单完成时间得分评分标准如下（满分100分）：</w:t>
      </w:r>
    </w:p>
    <w:p>
      <w:pPr>
        <w:spacing w:line="560" w:lineRule="exact"/>
        <w:ind w:firstLine="600" w:firstLineChars="200"/>
        <w:rPr>
          <w:rFonts w:ascii="仿宋_GB2312" w:hAnsi="Arial Narrow" w:eastAsia="仿宋_GB2312" w:cs="宋体"/>
          <w:sz w:val="30"/>
          <w:szCs w:val="30"/>
        </w:rPr>
      </w:pPr>
      <w:r>
        <w:rPr>
          <w:rFonts w:hint="eastAsia" w:ascii="仿宋_GB2312" w:hAnsi="Arial Narrow" w:eastAsia="仿宋_GB2312" w:cs="宋体"/>
          <w:sz w:val="30"/>
          <w:szCs w:val="30"/>
        </w:rPr>
        <w:t>①1笔出口业务和1笔进口业务都完成（业务进入“历史业务”阶段）才能得到跟单时间分，只要有一笔业务没完成则此项得分为0；</w:t>
      </w:r>
    </w:p>
    <w:p>
      <w:pPr>
        <w:spacing w:line="560" w:lineRule="exact"/>
        <w:ind w:firstLine="600" w:firstLineChars="200"/>
        <w:rPr>
          <w:rFonts w:ascii="仿宋_GB2312" w:hAnsi="Arial Narrow" w:eastAsia="仿宋_GB2312" w:cs="宋体"/>
          <w:sz w:val="30"/>
          <w:szCs w:val="30"/>
        </w:rPr>
      </w:pPr>
      <w:r>
        <w:rPr>
          <w:rFonts w:hint="eastAsia" w:ascii="仿宋_GB2312" w:hAnsi="Arial Narrow" w:eastAsia="仿宋_GB2312" w:cs="宋体"/>
          <w:sz w:val="30"/>
          <w:szCs w:val="30"/>
        </w:rPr>
        <w:t>②每笔业务的“完成时间”以办理完最后一个步骤的时间为准（系统会记录准确的时间，精确到毫秒）；</w:t>
      </w:r>
    </w:p>
    <w:p>
      <w:pPr>
        <w:spacing w:line="560" w:lineRule="exact"/>
        <w:ind w:firstLine="600" w:firstLineChars="200"/>
        <w:rPr>
          <w:rFonts w:ascii="仿宋_GB2312" w:hAnsi="Arial Narrow" w:eastAsia="仿宋_GB2312" w:cs="宋体"/>
          <w:sz w:val="30"/>
          <w:szCs w:val="30"/>
        </w:rPr>
      </w:pPr>
      <w:r>
        <w:rPr>
          <w:rFonts w:hint="eastAsia" w:ascii="仿宋_GB2312" w:hAnsi="Arial Narrow" w:eastAsia="仿宋_GB2312" w:cs="宋体"/>
          <w:sz w:val="30"/>
          <w:szCs w:val="30"/>
        </w:rPr>
        <w:t>③每组的跟单完成时间为最后完成的那笔业务的“完成时间”；</w:t>
      </w:r>
    </w:p>
    <w:p>
      <w:pPr>
        <w:spacing w:line="560" w:lineRule="exact"/>
        <w:ind w:firstLine="600" w:firstLineChars="200"/>
        <w:rPr>
          <w:rFonts w:ascii="仿宋_GB2312" w:hAnsi="Arial Narrow" w:eastAsia="仿宋_GB2312" w:cs="宋体"/>
          <w:sz w:val="30"/>
          <w:szCs w:val="30"/>
        </w:rPr>
      </w:pPr>
      <w:r>
        <w:rPr>
          <w:rFonts w:hint="eastAsia" w:ascii="仿宋_GB2312" w:hAnsi="Arial Narrow" w:eastAsia="仿宋_GB2312" w:cs="宋体"/>
          <w:sz w:val="30"/>
          <w:szCs w:val="30"/>
        </w:rPr>
        <w:t>④系统将每组的跟单完成时间进行排序，完成时间最早的组为第一名，以此类推，最晚的为最后一名，并根据名次评分：</w:t>
      </w:r>
    </w:p>
    <w:p>
      <w:pPr>
        <w:spacing w:line="560" w:lineRule="exact"/>
        <w:ind w:firstLine="600" w:firstLineChars="200"/>
        <w:rPr>
          <w:rFonts w:ascii="仿宋_GB2312" w:hAnsi="Arial Narrow" w:eastAsia="仿宋_GB2312" w:cs="宋体"/>
          <w:sz w:val="30"/>
          <w:szCs w:val="30"/>
        </w:rPr>
      </w:pPr>
      <w:r>
        <w:rPr>
          <w:rFonts w:hint="eastAsia" w:ascii="仿宋_GB2312" w:hAnsi="Arial Narrow" w:eastAsia="仿宋_GB2312" w:cs="宋体"/>
          <w:sz w:val="30"/>
          <w:szCs w:val="30"/>
        </w:rPr>
        <w:t>第1名得分=100/参赛总组数×参赛总组数</w:t>
      </w:r>
    </w:p>
    <w:p>
      <w:pPr>
        <w:spacing w:line="560" w:lineRule="exact"/>
        <w:ind w:firstLine="600" w:firstLineChars="200"/>
        <w:rPr>
          <w:rFonts w:ascii="仿宋_GB2312" w:hAnsi="Arial Narrow" w:eastAsia="仿宋_GB2312" w:cs="宋体"/>
          <w:sz w:val="30"/>
          <w:szCs w:val="30"/>
        </w:rPr>
      </w:pPr>
      <w:r>
        <w:rPr>
          <w:rFonts w:hint="eastAsia" w:ascii="仿宋_GB2312" w:hAnsi="Arial Narrow" w:eastAsia="仿宋_GB2312" w:cs="宋体"/>
          <w:sz w:val="30"/>
          <w:szCs w:val="30"/>
        </w:rPr>
        <w:t>第2名得分=100/参赛总组数×（参赛总组数-1）</w:t>
      </w:r>
    </w:p>
    <w:p>
      <w:pPr>
        <w:spacing w:line="560" w:lineRule="exact"/>
        <w:ind w:firstLine="600" w:firstLineChars="200"/>
        <w:rPr>
          <w:rFonts w:ascii="仿宋_GB2312" w:hAnsi="Arial Narrow" w:eastAsia="仿宋_GB2312" w:cs="宋体"/>
          <w:sz w:val="30"/>
          <w:szCs w:val="30"/>
        </w:rPr>
      </w:pPr>
      <w:r>
        <w:rPr>
          <w:rFonts w:hint="eastAsia" w:ascii="仿宋_GB2312" w:hAnsi="Arial Narrow" w:eastAsia="仿宋_GB2312" w:cs="宋体"/>
          <w:sz w:val="30"/>
          <w:szCs w:val="30"/>
        </w:rPr>
        <w:t>第3名得分=100/参赛总组数×（参赛总组数-2）</w:t>
      </w:r>
    </w:p>
    <w:p>
      <w:pPr>
        <w:spacing w:line="560" w:lineRule="exact"/>
        <w:ind w:firstLine="600" w:firstLineChars="200"/>
        <w:rPr>
          <w:rFonts w:ascii="仿宋_GB2312" w:hAnsi="Arial Narrow" w:eastAsia="仿宋_GB2312" w:cs="宋体"/>
          <w:sz w:val="30"/>
          <w:szCs w:val="30"/>
        </w:rPr>
      </w:pPr>
      <w:r>
        <w:rPr>
          <w:rFonts w:hint="eastAsia" w:ascii="仿宋_GB2312" w:hAnsi="Arial Narrow" w:eastAsia="仿宋_GB2312" w:cs="宋体"/>
          <w:sz w:val="30"/>
          <w:szCs w:val="30"/>
        </w:rPr>
        <w:t>……</w:t>
      </w:r>
    </w:p>
    <w:p>
      <w:pPr>
        <w:spacing w:line="560" w:lineRule="exact"/>
        <w:ind w:firstLine="600" w:firstLineChars="200"/>
        <w:rPr>
          <w:rFonts w:ascii="仿宋_GB2312" w:hAnsi="Arial Narrow" w:eastAsia="仿宋_GB2312" w:cs="宋体"/>
          <w:sz w:val="30"/>
          <w:szCs w:val="30"/>
        </w:rPr>
      </w:pPr>
      <w:r>
        <w:rPr>
          <w:rFonts w:hint="eastAsia" w:ascii="仿宋_GB2312" w:hAnsi="Arial Narrow" w:eastAsia="仿宋_GB2312" w:cs="宋体"/>
          <w:sz w:val="30"/>
          <w:szCs w:val="30"/>
        </w:rPr>
        <w:t>以此类推。</w:t>
      </w:r>
    </w:p>
    <w:p>
      <w:pPr>
        <w:spacing w:line="560" w:lineRule="exact"/>
        <w:ind w:firstLine="600" w:firstLineChars="200"/>
        <w:rPr>
          <w:rFonts w:ascii="仿宋_GB2312" w:hAnsi="Arial Narrow" w:eastAsia="仿宋_GB2312" w:cs="宋体"/>
          <w:sz w:val="30"/>
          <w:szCs w:val="30"/>
        </w:rPr>
      </w:pPr>
      <w:r>
        <w:rPr>
          <w:rFonts w:hint="eastAsia" w:ascii="仿宋_GB2312" w:hAnsi="Arial Narrow" w:eastAsia="仿宋_GB2312" w:cs="宋体"/>
          <w:sz w:val="30"/>
          <w:szCs w:val="30"/>
        </w:rPr>
        <w:t>举例：</w:t>
      </w:r>
    </w:p>
    <w:p>
      <w:pPr>
        <w:spacing w:line="560" w:lineRule="exact"/>
        <w:ind w:firstLine="600" w:firstLineChars="200"/>
        <w:rPr>
          <w:rFonts w:ascii="仿宋_GB2312" w:hAnsi="Arial Narrow" w:eastAsia="仿宋_GB2312" w:cs="宋体"/>
          <w:sz w:val="30"/>
          <w:szCs w:val="30"/>
        </w:rPr>
      </w:pPr>
      <w:r>
        <w:rPr>
          <w:rFonts w:hint="eastAsia" w:ascii="仿宋_GB2312" w:hAnsi="Arial Narrow" w:eastAsia="仿宋_GB2312" w:cs="宋体"/>
          <w:sz w:val="30"/>
          <w:szCs w:val="30"/>
        </w:rPr>
        <w:t>如本次竞赛有80支队伍，每支队伍有2组选手，则参赛总组数为160，</w:t>
      </w:r>
    </w:p>
    <w:p>
      <w:pPr>
        <w:spacing w:line="560" w:lineRule="exact"/>
        <w:ind w:firstLine="600" w:firstLineChars="200"/>
        <w:rPr>
          <w:rFonts w:ascii="仿宋_GB2312" w:hAnsi="Arial Narrow" w:eastAsia="仿宋_GB2312" w:cs="宋体"/>
          <w:sz w:val="30"/>
          <w:szCs w:val="30"/>
        </w:rPr>
      </w:pPr>
      <w:r>
        <w:rPr>
          <w:rFonts w:hint="eastAsia" w:ascii="仿宋_GB2312" w:hAnsi="Arial Narrow" w:eastAsia="仿宋_GB2312" w:cs="宋体"/>
          <w:sz w:val="30"/>
          <w:szCs w:val="30"/>
        </w:rPr>
        <w:t>第1名得分=100/160×160=100分</w:t>
      </w:r>
    </w:p>
    <w:p>
      <w:pPr>
        <w:spacing w:line="560" w:lineRule="exact"/>
        <w:ind w:firstLine="600" w:firstLineChars="200"/>
        <w:rPr>
          <w:rFonts w:ascii="仿宋_GB2312" w:hAnsi="Arial Narrow" w:eastAsia="仿宋_GB2312" w:cs="宋体"/>
          <w:sz w:val="30"/>
          <w:szCs w:val="30"/>
        </w:rPr>
      </w:pPr>
      <w:r>
        <w:rPr>
          <w:rFonts w:hint="eastAsia" w:ascii="仿宋_GB2312" w:hAnsi="Arial Narrow" w:eastAsia="仿宋_GB2312" w:cs="宋体"/>
          <w:sz w:val="30"/>
          <w:szCs w:val="30"/>
        </w:rPr>
        <w:t>第2名得分=100/160×（160-1）=99.38分</w:t>
      </w:r>
    </w:p>
    <w:p>
      <w:pPr>
        <w:spacing w:line="560" w:lineRule="exact"/>
        <w:ind w:firstLine="600" w:firstLineChars="200"/>
        <w:rPr>
          <w:rFonts w:ascii="仿宋_GB2312" w:hAnsi="Arial Narrow" w:eastAsia="仿宋_GB2312" w:cs="宋体"/>
          <w:sz w:val="30"/>
          <w:szCs w:val="30"/>
        </w:rPr>
      </w:pPr>
      <w:r>
        <w:rPr>
          <w:rFonts w:hint="eastAsia" w:ascii="仿宋_GB2312" w:hAnsi="Arial Narrow" w:eastAsia="仿宋_GB2312" w:cs="宋体"/>
          <w:sz w:val="30"/>
          <w:szCs w:val="30"/>
        </w:rPr>
        <w:t>第3名得分=100/160×（160-2）=98.75分</w:t>
      </w:r>
    </w:p>
    <w:p>
      <w:pPr>
        <w:spacing w:line="560" w:lineRule="exact"/>
        <w:ind w:firstLine="600" w:firstLineChars="200"/>
        <w:rPr>
          <w:rFonts w:ascii="仿宋_GB2312" w:hAnsi="Arial Narrow" w:eastAsia="仿宋_GB2312" w:cs="宋体"/>
          <w:sz w:val="30"/>
          <w:szCs w:val="30"/>
        </w:rPr>
      </w:pPr>
      <w:r>
        <w:rPr>
          <w:rFonts w:hint="eastAsia" w:ascii="仿宋_GB2312" w:hAnsi="Arial Narrow" w:eastAsia="仿宋_GB2312" w:cs="宋体"/>
          <w:sz w:val="30"/>
          <w:szCs w:val="30"/>
        </w:rPr>
        <w:t>……</w:t>
      </w:r>
    </w:p>
    <w:p>
      <w:pPr>
        <w:spacing w:line="560" w:lineRule="exact"/>
        <w:ind w:firstLine="600" w:firstLineChars="200"/>
        <w:rPr>
          <w:rFonts w:ascii="仿宋_GB2312" w:hAnsi="Arial Narrow" w:eastAsia="仿宋_GB2312" w:cs="宋体"/>
          <w:sz w:val="30"/>
          <w:szCs w:val="30"/>
        </w:rPr>
      </w:pPr>
      <w:r>
        <w:rPr>
          <w:rFonts w:hint="eastAsia" w:ascii="仿宋_GB2312" w:hAnsi="Arial Narrow" w:eastAsia="仿宋_GB2312" w:cs="宋体"/>
          <w:sz w:val="30"/>
          <w:szCs w:val="30"/>
        </w:rPr>
        <w:t>第160名得分=100/160×（160-159）=0.63分</w:t>
      </w:r>
    </w:p>
    <w:p>
      <w:pPr>
        <w:snapToGrid w:val="0"/>
        <w:spacing w:line="560" w:lineRule="exact"/>
        <w:ind w:firstLine="600" w:firstLineChars="200"/>
        <w:rPr>
          <w:rFonts w:ascii="仿宋_GB2312" w:hAnsi="仿宋" w:eastAsia="仿宋_GB2312" w:cs="Arial"/>
          <w:kern w:val="0"/>
          <w:sz w:val="30"/>
          <w:szCs w:val="30"/>
        </w:rPr>
      </w:pPr>
      <w:r>
        <w:rPr>
          <w:rFonts w:hint="eastAsia" w:ascii="仿宋_GB2312" w:hAnsi="仿宋" w:eastAsia="仿宋_GB2312" w:cs="Arial"/>
          <w:kern w:val="0"/>
          <w:sz w:val="30"/>
          <w:szCs w:val="30"/>
        </w:rPr>
        <w:t>★外贸英语沟通能力模块</w:t>
      </w:r>
    </w:p>
    <w:p>
      <w:pPr>
        <w:spacing w:line="560" w:lineRule="exact"/>
        <w:ind w:firstLine="600" w:firstLineChars="200"/>
        <w:rPr>
          <w:rFonts w:ascii="仿宋_GB2312" w:hAnsi="Arial Narrow" w:eastAsia="仿宋_GB2312" w:cs="宋体"/>
          <w:sz w:val="30"/>
          <w:szCs w:val="30"/>
        </w:rPr>
      </w:pPr>
      <w:r>
        <w:rPr>
          <w:rFonts w:hint="eastAsia" w:ascii="仿宋_GB2312" w:hAnsi="Arial Narrow" w:eastAsia="仿宋_GB2312" w:cs="宋体"/>
          <w:sz w:val="30"/>
          <w:szCs w:val="30"/>
        </w:rPr>
        <w:t>外贸英语沟通能力模块由评委现场评分。根据比赛内容，从“连贯性、流利度、语速、正确性、语音语调、举止及表现力”等多方面进行现场打分，最后得分为去掉一个最高分，去掉一个最低分，剩余得分的算数平均值。其中Retell部分满分为40分，Q&amp;A部分满分为60分。</w:t>
      </w:r>
    </w:p>
    <w:p>
      <w:pPr>
        <w:snapToGrid w:val="0"/>
        <w:spacing w:line="560" w:lineRule="exact"/>
        <w:jc w:val="center"/>
        <w:rPr>
          <w:rFonts w:cs="Arial" w:asciiTheme="minorEastAsia" w:hAnsiTheme="minorEastAsia"/>
          <w:kern w:val="0"/>
          <w:sz w:val="24"/>
          <w:szCs w:val="24"/>
        </w:rPr>
      </w:pPr>
      <w:r>
        <w:rPr>
          <w:rFonts w:hint="eastAsia" w:cs="Arial" w:asciiTheme="minorEastAsia" w:hAnsiTheme="minorEastAsia"/>
          <w:kern w:val="0"/>
          <w:sz w:val="24"/>
          <w:szCs w:val="24"/>
        </w:rPr>
        <w:t>表9 外贸英语沟通能力模块评分细则</w:t>
      </w:r>
    </w:p>
    <w:tbl>
      <w:tblPr>
        <w:tblStyle w:val="17"/>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6"/>
        <w:gridCol w:w="1686"/>
        <w:gridCol w:w="4408"/>
        <w:gridCol w:w="816"/>
        <w:gridCol w:w="6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1" w:hRule="atLeast"/>
          <w:tblHeader/>
        </w:trPr>
        <w:tc>
          <w:tcPr>
            <w:tcW w:w="936" w:type="dxa"/>
            <w:vAlign w:val="center"/>
          </w:tcPr>
          <w:p>
            <w:pPr>
              <w:jc w:val="center"/>
              <w:rPr>
                <w:rFonts w:asciiTheme="minorEastAsia" w:hAnsiTheme="minorEastAsia"/>
                <w:b/>
                <w:sz w:val="24"/>
                <w:szCs w:val="24"/>
              </w:rPr>
            </w:pPr>
            <w:r>
              <w:rPr>
                <w:rFonts w:hint="eastAsia" w:asciiTheme="minorEastAsia" w:hAnsiTheme="minorEastAsia"/>
                <w:b/>
                <w:sz w:val="24"/>
                <w:szCs w:val="24"/>
              </w:rPr>
              <w:t>项目</w:t>
            </w:r>
          </w:p>
        </w:tc>
        <w:tc>
          <w:tcPr>
            <w:tcW w:w="6094" w:type="dxa"/>
            <w:gridSpan w:val="2"/>
            <w:vAlign w:val="center"/>
          </w:tcPr>
          <w:p>
            <w:pPr>
              <w:jc w:val="center"/>
              <w:rPr>
                <w:rFonts w:asciiTheme="minorEastAsia" w:hAnsiTheme="minorEastAsia"/>
                <w:b/>
                <w:sz w:val="24"/>
                <w:szCs w:val="24"/>
              </w:rPr>
            </w:pPr>
            <w:r>
              <w:rPr>
                <w:rFonts w:hint="eastAsia" w:asciiTheme="minorEastAsia" w:hAnsiTheme="minorEastAsia"/>
                <w:b/>
                <w:sz w:val="24"/>
                <w:szCs w:val="24"/>
              </w:rPr>
              <w:t>评分标准</w:t>
            </w:r>
          </w:p>
        </w:tc>
        <w:tc>
          <w:tcPr>
            <w:tcW w:w="816" w:type="dxa"/>
            <w:vAlign w:val="center"/>
          </w:tcPr>
          <w:p>
            <w:pPr>
              <w:jc w:val="center"/>
              <w:rPr>
                <w:rFonts w:asciiTheme="minorEastAsia" w:hAnsiTheme="minorEastAsia"/>
                <w:b/>
                <w:sz w:val="24"/>
                <w:szCs w:val="24"/>
              </w:rPr>
            </w:pPr>
            <w:r>
              <w:rPr>
                <w:rFonts w:hint="eastAsia" w:asciiTheme="minorEastAsia" w:hAnsiTheme="minorEastAsia"/>
                <w:b/>
                <w:sz w:val="24"/>
                <w:szCs w:val="24"/>
              </w:rPr>
              <w:t>分值</w:t>
            </w:r>
          </w:p>
        </w:tc>
        <w:tc>
          <w:tcPr>
            <w:tcW w:w="676" w:type="dxa"/>
            <w:vAlign w:val="center"/>
          </w:tcPr>
          <w:p>
            <w:pPr>
              <w:jc w:val="center"/>
              <w:rPr>
                <w:rFonts w:asciiTheme="minorEastAsia" w:hAnsiTheme="minorEastAsia"/>
                <w:b/>
                <w:sz w:val="24"/>
                <w:szCs w:val="24"/>
              </w:rPr>
            </w:pPr>
            <w:r>
              <w:rPr>
                <w:rFonts w:hint="eastAsia" w:asciiTheme="minorEastAsia" w:hAnsiTheme="minorEastAsia"/>
                <w:b/>
                <w:sz w:val="24"/>
                <w:szCs w:val="24"/>
              </w:rPr>
              <w:t>满分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7" w:hRule="atLeast"/>
          <w:tblHeader/>
        </w:trPr>
        <w:tc>
          <w:tcPr>
            <w:tcW w:w="936" w:type="dxa"/>
            <w:vMerge w:val="restart"/>
            <w:vAlign w:val="center"/>
          </w:tcPr>
          <w:p>
            <w:pPr>
              <w:jc w:val="center"/>
              <w:rPr>
                <w:rFonts w:asciiTheme="minorEastAsia" w:hAnsiTheme="minorEastAsia"/>
                <w:sz w:val="24"/>
                <w:szCs w:val="24"/>
              </w:rPr>
            </w:pPr>
            <w:r>
              <w:rPr>
                <w:rFonts w:hint="eastAsia" w:asciiTheme="minorEastAsia" w:hAnsiTheme="minorEastAsia"/>
                <w:sz w:val="24"/>
                <w:szCs w:val="24"/>
              </w:rPr>
              <w:t>Retell</w:t>
            </w:r>
          </w:p>
        </w:tc>
        <w:tc>
          <w:tcPr>
            <w:tcW w:w="1686" w:type="dxa"/>
            <w:vMerge w:val="restart"/>
            <w:vAlign w:val="center"/>
          </w:tcPr>
          <w:p>
            <w:pPr>
              <w:rPr>
                <w:rFonts w:asciiTheme="minorEastAsia" w:hAnsiTheme="minorEastAsia"/>
                <w:sz w:val="24"/>
                <w:szCs w:val="24"/>
              </w:rPr>
            </w:pPr>
            <w:r>
              <w:rPr>
                <w:rFonts w:hint="eastAsia" w:asciiTheme="minorEastAsia" w:hAnsiTheme="minorEastAsia"/>
                <w:sz w:val="24"/>
                <w:szCs w:val="24"/>
              </w:rPr>
              <w:t>完整性、正确性</w:t>
            </w:r>
          </w:p>
        </w:tc>
        <w:tc>
          <w:tcPr>
            <w:tcW w:w="4408" w:type="dxa"/>
            <w:vAlign w:val="center"/>
          </w:tcPr>
          <w:p>
            <w:pPr>
              <w:jc w:val="left"/>
              <w:rPr>
                <w:rFonts w:asciiTheme="minorEastAsia" w:hAnsiTheme="minorEastAsia"/>
                <w:sz w:val="24"/>
                <w:szCs w:val="24"/>
              </w:rPr>
            </w:pPr>
            <w:r>
              <w:rPr>
                <w:rFonts w:hint="eastAsia" w:asciiTheme="minorEastAsia" w:hAnsiTheme="minorEastAsia"/>
                <w:sz w:val="24"/>
                <w:szCs w:val="24"/>
              </w:rPr>
              <w:t>复述内容完整、正确</w:t>
            </w:r>
          </w:p>
        </w:tc>
        <w:tc>
          <w:tcPr>
            <w:tcW w:w="816" w:type="dxa"/>
            <w:vAlign w:val="center"/>
          </w:tcPr>
          <w:p>
            <w:pPr>
              <w:jc w:val="center"/>
              <w:rPr>
                <w:rFonts w:asciiTheme="minorEastAsia" w:hAnsiTheme="minorEastAsia"/>
                <w:sz w:val="24"/>
                <w:szCs w:val="24"/>
              </w:rPr>
            </w:pPr>
            <w:r>
              <w:rPr>
                <w:rFonts w:hint="eastAsia" w:asciiTheme="minorEastAsia" w:hAnsiTheme="minorEastAsia"/>
                <w:sz w:val="24"/>
                <w:szCs w:val="24"/>
              </w:rPr>
              <w:t>11-15</w:t>
            </w:r>
          </w:p>
        </w:tc>
        <w:tc>
          <w:tcPr>
            <w:tcW w:w="676" w:type="dxa"/>
            <w:vMerge w:val="restart"/>
            <w:vAlign w:val="center"/>
          </w:tcPr>
          <w:p>
            <w:pPr>
              <w:jc w:val="center"/>
              <w:rPr>
                <w:rFonts w:asciiTheme="minorEastAsia" w:hAnsiTheme="minorEastAsia"/>
                <w:sz w:val="24"/>
                <w:szCs w:val="24"/>
              </w:rPr>
            </w:pPr>
            <w:r>
              <w:rPr>
                <w:rFonts w:hint="eastAsia" w:asciiTheme="minorEastAsia" w:hAnsiTheme="minorEastAsia"/>
                <w:sz w:val="24"/>
                <w:szCs w:val="24"/>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5" w:hRule="atLeast"/>
          <w:tblHeader/>
        </w:trPr>
        <w:tc>
          <w:tcPr>
            <w:tcW w:w="936" w:type="dxa"/>
            <w:vMerge w:val="continue"/>
            <w:vAlign w:val="center"/>
          </w:tcPr>
          <w:p>
            <w:pPr>
              <w:jc w:val="center"/>
              <w:rPr>
                <w:rFonts w:asciiTheme="minorEastAsia" w:hAnsiTheme="minorEastAsia"/>
                <w:sz w:val="24"/>
                <w:szCs w:val="24"/>
              </w:rPr>
            </w:pPr>
          </w:p>
        </w:tc>
        <w:tc>
          <w:tcPr>
            <w:tcW w:w="1686" w:type="dxa"/>
            <w:vMerge w:val="continue"/>
            <w:vAlign w:val="center"/>
          </w:tcPr>
          <w:p>
            <w:pPr>
              <w:rPr>
                <w:rFonts w:asciiTheme="minorEastAsia" w:hAnsiTheme="minorEastAsia"/>
                <w:sz w:val="24"/>
                <w:szCs w:val="24"/>
              </w:rPr>
            </w:pPr>
          </w:p>
        </w:tc>
        <w:tc>
          <w:tcPr>
            <w:tcW w:w="4408" w:type="dxa"/>
            <w:vAlign w:val="center"/>
          </w:tcPr>
          <w:p>
            <w:pPr>
              <w:jc w:val="left"/>
              <w:rPr>
                <w:rFonts w:asciiTheme="minorEastAsia" w:hAnsiTheme="minorEastAsia"/>
                <w:sz w:val="24"/>
                <w:szCs w:val="24"/>
              </w:rPr>
            </w:pPr>
            <w:r>
              <w:rPr>
                <w:rFonts w:hint="eastAsia" w:asciiTheme="minorEastAsia" w:hAnsiTheme="minorEastAsia"/>
                <w:sz w:val="24"/>
                <w:szCs w:val="24"/>
              </w:rPr>
              <w:t>复述内容基本完整、正确</w:t>
            </w:r>
          </w:p>
        </w:tc>
        <w:tc>
          <w:tcPr>
            <w:tcW w:w="816" w:type="dxa"/>
            <w:vAlign w:val="center"/>
          </w:tcPr>
          <w:p>
            <w:pPr>
              <w:jc w:val="center"/>
              <w:rPr>
                <w:rFonts w:asciiTheme="minorEastAsia" w:hAnsiTheme="minorEastAsia"/>
                <w:sz w:val="24"/>
                <w:szCs w:val="24"/>
              </w:rPr>
            </w:pPr>
            <w:r>
              <w:rPr>
                <w:rFonts w:hint="eastAsia" w:asciiTheme="minorEastAsia" w:hAnsiTheme="minorEastAsia"/>
                <w:sz w:val="24"/>
                <w:szCs w:val="24"/>
              </w:rPr>
              <w:t>6-10</w:t>
            </w:r>
          </w:p>
        </w:tc>
        <w:tc>
          <w:tcPr>
            <w:tcW w:w="676" w:type="dxa"/>
            <w:vMerge w:val="continue"/>
            <w:vAlign w:val="center"/>
          </w:tcPr>
          <w:p>
            <w:pPr>
              <w:jc w:val="center"/>
              <w:rPr>
                <w:rFonts w:asciiTheme="minorEastAsia" w:hAnsi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5" w:hRule="atLeast"/>
          <w:tblHeader/>
        </w:trPr>
        <w:tc>
          <w:tcPr>
            <w:tcW w:w="936" w:type="dxa"/>
            <w:vMerge w:val="continue"/>
            <w:vAlign w:val="center"/>
          </w:tcPr>
          <w:p>
            <w:pPr>
              <w:jc w:val="center"/>
              <w:rPr>
                <w:rFonts w:asciiTheme="minorEastAsia" w:hAnsiTheme="minorEastAsia"/>
                <w:sz w:val="24"/>
                <w:szCs w:val="24"/>
              </w:rPr>
            </w:pPr>
          </w:p>
        </w:tc>
        <w:tc>
          <w:tcPr>
            <w:tcW w:w="1686" w:type="dxa"/>
            <w:vMerge w:val="continue"/>
            <w:vAlign w:val="center"/>
          </w:tcPr>
          <w:p>
            <w:pPr>
              <w:rPr>
                <w:rFonts w:asciiTheme="minorEastAsia" w:hAnsiTheme="minorEastAsia"/>
                <w:sz w:val="24"/>
                <w:szCs w:val="24"/>
              </w:rPr>
            </w:pPr>
          </w:p>
        </w:tc>
        <w:tc>
          <w:tcPr>
            <w:tcW w:w="4408" w:type="dxa"/>
            <w:vAlign w:val="center"/>
          </w:tcPr>
          <w:p>
            <w:pPr>
              <w:jc w:val="left"/>
              <w:rPr>
                <w:rFonts w:asciiTheme="minorEastAsia" w:hAnsiTheme="minorEastAsia"/>
                <w:sz w:val="24"/>
                <w:szCs w:val="24"/>
              </w:rPr>
            </w:pPr>
            <w:r>
              <w:rPr>
                <w:rFonts w:hint="eastAsia" w:asciiTheme="minorEastAsia" w:hAnsiTheme="minorEastAsia"/>
                <w:sz w:val="24"/>
                <w:szCs w:val="24"/>
              </w:rPr>
              <w:t>复述内容完整性及正确性较差</w:t>
            </w:r>
          </w:p>
        </w:tc>
        <w:tc>
          <w:tcPr>
            <w:tcW w:w="816" w:type="dxa"/>
            <w:vAlign w:val="center"/>
          </w:tcPr>
          <w:p>
            <w:pPr>
              <w:jc w:val="center"/>
              <w:rPr>
                <w:rFonts w:asciiTheme="minorEastAsia" w:hAnsiTheme="minorEastAsia"/>
                <w:sz w:val="24"/>
                <w:szCs w:val="24"/>
              </w:rPr>
            </w:pPr>
            <w:r>
              <w:rPr>
                <w:rFonts w:hint="eastAsia" w:asciiTheme="minorEastAsia" w:hAnsiTheme="minorEastAsia"/>
                <w:sz w:val="24"/>
                <w:szCs w:val="24"/>
              </w:rPr>
              <w:t>0-5</w:t>
            </w:r>
          </w:p>
        </w:tc>
        <w:tc>
          <w:tcPr>
            <w:tcW w:w="676" w:type="dxa"/>
            <w:vMerge w:val="continue"/>
            <w:vAlign w:val="center"/>
          </w:tcPr>
          <w:p>
            <w:pPr>
              <w:jc w:val="center"/>
              <w:rPr>
                <w:rFonts w:asciiTheme="minorEastAsia" w:hAnsi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8" w:hRule="atLeast"/>
          <w:tblHeader/>
        </w:trPr>
        <w:tc>
          <w:tcPr>
            <w:tcW w:w="936" w:type="dxa"/>
            <w:vMerge w:val="continue"/>
            <w:vAlign w:val="center"/>
          </w:tcPr>
          <w:p>
            <w:pPr>
              <w:jc w:val="center"/>
              <w:rPr>
                <w:rFonts w:asciiTheme="minorEastAsia" w:hAnsiTheme="minorEastAsia"/>
                <w:sz w:val="24"/>
                <w:szCs w:val="24"/>
              </w:rPr>
            </w:pPr>
          </w:p>
        </w:tc>
        <w:tc>
          <w:tcPr>
            <w:tcW w:w="1686" w:type="dxa"/>
            <w:vMerge w:val="restart"/>
            <w:vAlign w:val="center"/>
          </w:tcPr>
          <w:p>
            <w:pPr>
              <w:rPr>
                <w:rFonts w:asciiTheme="minorEastAsia" w:hAnsiTheme="minorEastAsia"/>
                <w:sz w:val="24"/>
                <w:szCs w:val="24"/>
              </w:rPr>
            </w:pPr>
            <w:r>
              <w:rPr>
                <w:rFonts w:hint="eastAsia" w:asciiTheme="minorEastAsia" w:hAnsiTheme="minorEastAsia"/>
                <w:sz w:val="24"/>
                <w:szCs w:val="24"/>
              </w:rPr>
              <w:t>语音、语调、语流</w:t>
            </w:r>
          </w:p>
        </w:tc>
        <w:tc>
          <w:tcPr>
            <w:tcW w:w="4408" w:type="dxa"/>
            <w:vAlign w:val="center"/>
          </w:tcPr>
          <w:p>
            <w:pPr>
              <w:jc w:val="left"/>
              <w:rPr>
                <w:rFonts w:asciiTheme="minorEastAsia" w:hAnsiTheme="minorEastAsia"/>
                <w:sz w:val="24"/>
                <w:szCs w:val="24"/>
              </w:rPr>
            </w:pPr>
            <w:r>
              <w:rPr>
                <w:rFonts w:hint="eastAsia" w:asciiTheme="minorEastAsia" w:hAnsiTheme="minorEastAsia"/>
                <w:sz w:val="24"/>
                <w:szCs w:val="24"/>
              </w:rPr>
              <w:t>语音、语调准确，语言流畅</w:t>
            </w:r>
          </w:p>
        </w:tc>
        <w:tc>
          <w:tcPr>
            <w:tcW w:w="816" w:type="dxa"/>
            <w:vAlign w:val="center"/>
          </w:tcPr>
          <w:p>
            <w:pPr>
              <w:jc w:val="center"/>
              <w:rPr>
                <w:rFonts w:asciiTheme="minorEastAsia" w:hAnsiTheme="minorEastAsia"/>
                <w:sz w:val="24"/>
                <w:szCs w:val="24"/>
              </w:rPr>
            </w:pPr>
            <w:r>
              <w:rPr>
                <w:rFonts w:hint="eastAsia" w:asciiTheme="minorEastAsia" w:hAnsiTheme="minorEastAsia"/>
                <w:sz w:val="24"/>
                <w:szCs w:val="24"/>
              </w:rPr>
              <w:t>11-15</w:t>
            </w:r>
          </w:p>
        </w:tc>
        <w:tc>
          <w:tcPr>
            <w:tcW w:w="676" w:type="dxa"/>
            <w:vMerge w:val="restart"/>
            <w:vAlign w:val="center"/>
          </w:tcPr>
          <w:p>
            <w:pPr>
              <w:jc w:val="center"/>
              <w:rPr>
                <w:rFonts w:asciiTheme="minorEastAsia" w:hAnsiTheme="minorEastAsia"/>
                <w:sz w:val="24"/>
                <w:szCs w:val="24"/>
              </w:rPr>
            </w:pPr>
            <w:r>
              <w:rPr>
                <w:rFonts w:hint="eastAsia" w:asciiTheme="minorEastAsia" w:hAnsiTheme="minorEastAsia"/>
                <w:sz w:val="24"/>
                <w:szCs w:val="24"/>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8" w:hRule="atLeast"/>
          <w:tblHeader/>
        </w:trPr>
        <w:tc>
          <w:tcPr>
            <w:tcW w:w="936" w:type="dxa"/>
            <w:vMerge w:val="continue"/>
            <w:vAlign w:val="center"/>
          </w:tcPr>
          <w:p>
            <w:pPr>
              <w:jc w:val="center"/>
              <w:rPr>
                <w:rFonts w:asciiTheme="minorEastAsia" w:hAnsiTheme="minorEastAsia"/>
                <w:sz w:val="24"/>
                <w:szCs w:val="24"/>
              </w:rPr>
            </w:pPr>
          </w:p>
        </w:tc>
        <w:tc>
          <w:tcPr>
            <w:tcW w:w="1686" w:type="dxa"/>
            <w:vMerge w:val="continue"/>
            <w:vAlign w:val="center"/>
          </w:tcPr>
          <w:p>
            <w:pPr>
              <w:rPr>
                <w:rFonts w:asciiTheme="minorEastAsia" w:hAnsiTheme="minorEastAsia"/>
                <w:sz w:val="24"/>
                <w:szCs w:val="24"/>
              </w:rPr>
            </w:pPr>
          </w:p>
        </w:tc>
        <w:tc>
          <w:tcPr>
            <w:tcW w:w="4408" w:type="dxa"/>
            <w:vAlign w:val="center"/>
          </w:tcPr>
          <w:p>
            <w:pPr>
              <w:jc w:val="left"/>
              <w:rPr>
                <w:rFonts w:asciiTheme="minorEastAsia" w:hAnsiTheme="minorEastAsia"/>
                <w:sz w:val="24"/>
                <w:szCs w:val="24"/>
              </w:rPr>
            </w:pPr>
            <w:r>
              <w:rPr>
                <w:rFonts w:hint="eastAsia" w:asciiTheme="minorEastAsia" w:hAnsiTheme="minorEastAsia"/>
                <w:sz w:val="24"/>
                <w:szCs w:val="24"/>
              </w:rPr>
              <w:t>语音、语调基本准确，语言基本流畅</w:t>
            </w:r>
          </w:p>
        </w:tc>
        <w:tc>
          <w:tcPr>
            <w:tcW w:w="816" w:type="dxa"/>
            <w:vAlign w:val="center"/>
          </w:tcPr>
          <w:p>
            <w:pPr>
              <w:jc w:val="center"/>
              <w:rPr>
                <w:rFonts w:asciiTheme="minorEastAsia" w:hAnsiTheme="minorEastAsia"/>
                <w:sz w:val="24"/>
                <w:szCs w:val="24"/>
              </w:rPr>
            </w:pPr>
            <w:r>
              <w:rPr>
                <w:rFonts w:hint="eastAsia" w:asciiTheme="minorEastAsia" w:hAnsiTheme="minorEastAsia"/>
                <w:sz w:val="24"/>
                <w:szCs w:val="24"/>
              </w:rPr>
              <w:t>6-10</w:t>
            </w:r>
          </w:p>
        </w:tc>
        <w:tc>
          <w:tcPr>
            <w:tcW w:w="676" w:type="dxa"/>
            <w:vMerge w:val="continue"/>
            <w:vAlign w:val="center"/>
          </w:tcPr>
          <w:p>
            <w:pPr>
              <w:jc w:val="center"/>
              <w:rPr>
                <w:rFonts w:asciiTheme="minorEastAsia" w:hAnsi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8" w:hRule="atLeast"/>
          <w:tblHeader/>
        </w:trPr>
        <w:tc>
          <w:tcPr>
            <w:tcW w:w="936" w:type="dxa"/>
            <w:vMerge w:val="continue"/>
            <w:vAlign w:val="center"/>
          </w:tcPr>
          <w:p>
            <w:pPr>
              <w:jc w:val="center"/>
              <w:rPr>
                <w:rFonts w:asciiTheme="minorEastAsia" w:hAnsiTheme="minorEastAsia"/>
                <w:sz w:val="24"/>
                <w:szCs w:val="24"/>
              </w:rPr>
            </w:pPr>
          </w:p>
        </w:tc>
        <w:tc>
          <w:tcPr>
            <w:tcW w:w="1686" w:type="dxa"/>
            <w:vMerge w:val="continue"/>
            <w:vAlign w:val="center"/>
          </w:tcPr>
          <w:p>
            <w:pPr>
              <w:rPr>
                <w:rFonts w:asciiTheme="minorEastAsia" w:hAnsiTheme="minorEastAsia"/>
                <w:sz w:val="24"/>
                <w:szCs w:val="24"/>
              </w:rPr>
            </w:pPr>
          </w:p>
        </w:tc>
        <w:tc>
          <w:tcPr>
            <w:tcW w:w="4408" w:type="dxa"/>
            <w:vAlign w:val="center"/>
          </w:tcPr>
          <w:p>
            <w:pPr>
              <w:jc w:val="left"/>
              <w:rPr>
                <w:rFonts w:asciiTheme="minorEastAsia" w:hAnsiTheme="minorEastAsia"/>
                <w:sz w:val="24"/>
                <w:szCs w:val="24"/>
              </w:rPr>
            </w:pPr>
            <w:r>
              <w:rPr>
                <w:rFonts w:hint="eastAsia" w:asciiTheme="minorEastAsia" w:hAnsiTheme="minorEastAsia"/>
                <w:sz w:val="24"/>
                <w:szCs w:val="24"/>
              </w:rPr>
              <w:t>语音、语调准确率一般，语言流畅度较差</w:t>
            </w:r>
          </w:p>
        </w:tc>
        <w:tc>
          <w:tcPr>
            <w:tcW w:w="816" w:type="dxa"/>
            <w:vAlign w:val="center"/>
          </w:tcPr>
          <w:p>
            <w:pPr>
              <w:jc w:val="center"/>
              <w:rPr>
                <w:rFonts w:asciiTheme="minorEastAsia" w:hAnsiTheme="minorEastAsia"/>
                <w:sz w:val="24"/>
                <w:szCs w:val="24"/>
              </w:rPr>
            </w:pPr>
            <w:r>
              <w:rPr>
                <w:rFonts w:hint="eastAsia" w:asciiTheme="minorEastAsia" w:hAnsiTheme="minorEastAsia"/>
                <w:sz w:val="24"/>
                <w:szCs w:val="24"/>
              </w:rPr>
              <w:t>0-5</w:t>
            </w:r>
          </w:p>
        </w:tc>
        <w:tc>
          <w:tcPr>
            <w:tcW w:w="676" w:type="dxa"/>
            <w:vMerge w:val="continue"/>
            <w:vAlign w:val="center"/>
          </w:tcPr>
          <w:p>
            <w:pPr>
              <w:jc w:val="center"/>
              <w:rPr>
                <w:rFonts w:asciiTheme="minorEastAsia" w:hAnsi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2" w:hRule="atLeast"/>
          <w:tblHeader/>
        </w:trPr>
        <w:tc>
          <w:tcPr>
            <w:tcW w:w="936" w:type="dxa"/>
            <w:vMerge w:val="continue"/>
            <w:vAlign w:val="center"/>
          </w:tcPr>
          <w:p>
            <w:pPr>
              <w:jc w:val="center"/>
              <w:rPr>
                <w:rFonts w:asciiTheme="minorEastAsia" w:hAnsiTheme="minorEastAsia"/>
                <w:sz w:val="24"/>
                <w:szCs w:val="24"/>
              </w:rPr>
            </w:pPr>
          </w:p>
        </w:tc>
        <w:tc>
          <w:tcPr>
            <w:tcW w:w="1686" w:type="dxa"/>
            <w:vMerge w:val="restart"/>
            <w:vAlign w:val="center"/>
          </w:tcPr>
          <w:p>
            <w:pPr>
              <w:rPr>
                <w:rFonts w:asciiTheme="minorEastAsia" w:hAnsiTheme="minorEastAsia"/>
                <w:sz w:val="24"/>
                <w:szCs w:val="24"/>
              </w:rPr>
            </w:pPr>
            <w:r>
              <w:rPr>
                <w:rFonts w:hint="eastAsia" w:asciiTheme="minorEastAsia" w:hAnsiTheme="minorEastAsia"/>
                <w:sz w:val="24"/>
                <w:szCs w:val="24"/>
              </w:rPr>
              <w:t>举止形象、表现力</w:t>
            </w:r>
          </w:p>
        </w:tc>
        <w:tc>
          <w:tcPr>
            <w:tcW w:w="4408" w:type="dxa"/>
            <w:vAlign w:val="center"/>
          </w:tcPr>
          <w:p>
            <w:pPr>
              <w:jc w:val="left"/>
              <w:rPr>
                <w:rFonts w:asciiTheme="minorEastAsia" w:hAnsiTheme="minorEastAsia"/>
                <w:sz w:val="24"/>
                <w:szCs w:val="24"/>
              </w:rPr>
            </w:pPr>
            <w:r>
              <w:rPr>
                <w:rFonts w:hint="eastAsia" w:asciiTheme="minorEastAsia" w:hAnsiTheme="minorEastAsia"/>
                <w:sz w:val="24"/>
                <w:szCs w:val="24"/>
              </w:rPr>
              <w:t>举止形象大方得体，有较强表现力</w:t>
            </w:r>
          </w:p>
        </w:tc>
        <w:tc>
          <w:tcPr>
            <w:tcW w:w="816" w:type="dxa"/>
            <w:vAlign w:val="center"/>
          </w:tcPr>
          <w:p>
            <w:pPr>
              <w:jc w:val="center"/>
              <w:rPr>
                <w:rFonts w:asciiTheme="minorEastAsia" w:hAnsiTheme="minorEastAsia"/>
                <w:sz w:val="24"/>
                <w:szCs w:val="24"/>
              </w:rPr>
            </w:pPr>
            <w:r>
              <w:rPr>
                <w:rFonts w:hint="eastAsia" w:asciiTheme="minorEastAsia" w:hAnsiTheme="minorEastAsia"/>
                <w:sz w:val="24"/>
                <w:szCs w:val="24"/>
              </w:rPr>
              <w:t>7-10</w:t>
            </w:r>
          </w:p>
        </w:tc>
        <w:tc>
          <w:tcPr>
            <w:tcW w:w="676" w:type="dxa"/>
            <w:vMerge w:val="restart"/>
            <w:vAlign w:val="center"/>
          </w:tcPr>
          <w:p>
            <w:pPr>
              <w:jc w:val="center"/>
              <w:rPr>
                <w:rFonts w:asciiTheme="minorEastAsia" w:hAnsiTheme="minorEastAsia"/>
                <w:sz w:val="24"/>
                <w:szCs w:val="24"/>
              </w:rPr>
            </w:pPr>
            <w:r>
              <w:rPr>
                <w:rFonts w:hint="eastAsia" w:asciiTheme="minorEastAsia" w:hAnsiTheme="minorEastAsia"/>
                <w:sz w:val="24"/>
                <w:szCs w:val="24"/>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2" w:hRule="atLeast"/>
          <w:tblHeader/>
        </w:trPr>
        <w:tc>
          <w:tcPr>
            <w:tcW w:w="936" w:type="dxa"/>
            <w:vMerge w:val="continue"/>
            <w:vAlign w:val="center"/>
          </w:tcPr>
          <w:p>
            <w:pPr>
              <w:jc w:val="center"/>
              <w:rPr>
                <w:rFonts w:asciiTheme="minorEastAsia" w:hAnsiTheme="minorEastAsia"/>
                <w:sz w:val="24"/>
                <w:szCs w:val="24"/>
              </w:rPr>
            </w:pPr>
          </w:p>
        </w:tc>
        <w:tc>
          <w:tcPr>
            <w:tcW w:w="1686" w:type="dxa"/>
            <w:vMerge w:val="continue"/>
            <w:vAlign w:val="center"/>
          </w:tcPr>
          <w:p>
            <w:pPr>
              <w:rPr>
                <w:rFonts w:asciiTheme="minorEastAsia" w:hAnsiTheme="minorEastAsia"/>
                <w:sz w:val="24"/>
                <w:szCs w:val="24"/>
              </w:rPr>
            </w:pPr>
          </w:p>
        </w:tc>
        <w:tc>
          <w:tcPr>
            <w:tcW w:w="4408" w:type="dxa"/>
            <w:vAlign w:val="center"/>
          </w:tcPr>
          <w:p>
            <w:pPr>
              <w:jc w:val="left"/>
              <w:rPr>
                <w:rFonts w:asciiTheme="minorEastAsia" w:hAnsiTheme="minorEastAsia"/>
                <w:sz w:val="24"/>
                <w:szCs w:val="24"/>
              </w:rPr>
            </w:pPr>
            <w:r>
              <w:rPr>
                <w:rFonts w:hint="eastAsia" w:asciiTheme="minorEastAsia" w:hAnsiTheme="minorEastAsia"/>
                <w:sz w:val="24"/>
                <w:szCs w:val="24"/>
              </w:rPr>
              <w:t>举止形象尚可，表现力一般</w:t>
            </w:r>
          </w:p>
        </w:tc>
        <w:tc>
          <w:tcPr>
            <w:tcW w:w="816" w:type="dxa"/>
            <w:vAlign w:val="center"/>
          </w:tcPr>
          <w:p>
            <w:pPr>
              <w:jc w:val="center"/>
              <w:rPr>
                <w:rFonts w:asciiTheme="minorEastAsia" w:hAnsiTheme="minorEastAsia"/>
                <w:sz w:val="24"/>
                <w:szCs w:val="24"/>
              </w:rPr>
            </w:pPr>
            <w:r>
              <w:rPr>
                <w:rFonts w:hint="eastAsia" w:asciiTheme="minorEastAsia" w:hAnsiTheme="minorEastAsia"/>
                <w:sz w:val="24"/>
                <w:szCs w:val="24"/>
              </w:rPr>
              <w:t>4-6</w:t>
            </w:r>
          </w:p>
        </w:tc>
        <w:tc>
          <w:tcPr>
            <w:tcW w:w="676" w:type="dxa"/>
            <w:vMerge w:val="continue"/>
            <w:vAlign w:val="center"/>
          </w:tcPr>
          <w:p>
            <w:pPr>
              <w:jc w:val="center"/>
              <w:rPr>
                <w:rFonts w:asciiTheme="minorEastAsia" w:hAnsi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2" w:hRule="atLeast"/>
          <w:tblHeader/>
        </w:trPr>
        <w:tc>
          <w:tcPr>
            <w:tcW w:w="936" w:type="dxa"/>
            <w:vMerge w:val="continue"/>
            <w:vAlign w:val="center"/>
          </w:tcPr>
          <w:p>
            <w:pPr>
              <w:jc w:val="center"/>
              <w:rPr>
                <w:rFonts w:asciiTheme="minorEastAsia" w:hAnsiTheme="minorEastAsia"/>
                <w:sz w:val="24"/>
                <w:szCs w:val="24"/>
              </w:rPr>
            </w:pPr>
          </w:p>
        </w:tc>
        <w:tc>
          <w:tcPr>
            <w:tcW w:w="1686" w:type="dxa"/>
            <w:vMerge w:val="continue"/>
            <w:vAlign w:val="center"/>
          </w:tcPr>
          <w:p>
            <w:pPr>
              <w:rPr>
                <w:rFonts w:asciiTheme="minorEastAsia" w:hAnsiTheme="minorEastAsia"/>
                <w:sz w:val="24"/>
                <w:szCs w:val="24"/>
              </w:rPr>
            </w:pPr>
          </w:p>
        </w:tc>
        <w:tc>
          <w:tcPr>
            <w:tcW w:w="4408" w:type="dxa"/>
            <w:vAlign w:val="center"/>
          </w:tcPr>
          <w:p>
            <w:pPr>
              <w:jc w:val="left"/>
              <w:rPr>
                <w:rFonts w:asciiTheme="minorEastAsia" w:hAnsiTheme="minorEastAsia"/>
                <w:sz w:val="24"/>
                <w:szCs w:val="24"/>
              </w:rPr>
            </w:pPr>
            <w:r>
              <w:rPr>
                <w:rFonts w:hint="eastAsia" w:asciiTheme="minorEastAsia" w:hAnsiTheme="minorEastAsia"/>
                <w:sz w:val="24"/>
                <w:szCs w:val="24"/>
              </w:rPr>
              <w:t>举止形象欠佳，表现力较差</w:t>
            </w:r>
          </w:p>
        </w:tc>
        <w:tc>
          <w:tcPr>
            <w:tcW w:w="816" w:type="dxa"/>
            <w:vAlign w:val="center"/>
          </w:tcPr>
          <w:p>
            <w:pPr>
              <w:jc w:val="center"/>
              <w:rPr>
                <w:rFonts w:asciiTheme="minorEastAsia" w:hAnsiTheme="minorEastAsia"/>
                <w:sz w:val="24"/>
                <w:szCs w:val="24"/>
              </w:rPr>
            </w:pPr>
            <w:r>
              <w:rPr>
                <w:rFonts w:hint="eastAsia" w:asciiTheme="minorEastAsia" w:hAnsiTheme="minorEastAsia"/>
                <w:sz w:val="24"/>
                <w:szCs w:val="24"/>
              </w:rPr>
              <w:t>0-3</w:t>
            </w:r>
          </w:p>
        </w:tc>
        <w:tc>
          <w:tcPr>
            <w:tcW w:w="676" w:type="dxa"/>
            <w:vMerge w:val="continue"/>
            <w:vAlign w:val="center"/>
          </w:tcPr>
          <w:p>
            <w:pPr>
              <w:jc w:val="center"/>
              <w:rPr>
                <w:rFonts w:asciiTheme="minorEastAsia" w:hAnsi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 w:hRule="atLeast"/>
          <w:tblHeader/>
        </w:trPr>
        <w:tc>
          <w:tcPr>
            <w:tcW w:w="936" w:type="dxa"/>
            <w:vMerge w:val="restart"/>
            <w:vAlign w:val="center"/>
          </w:tcPr>
          <w:p>
            <w:pPr>
              <w:jc w:val="center"/>
              <w:rPr>
                <w:rFonts w:asciiTheme="minorEastAsia" w:hAnsiTheme="minorEastAsia"/>
                <w:sz w:val="24"/>
                <w:szCs w:val="24"/>
              </w:rPr>
            </w:pPr>
            <w:r>
              <w:rPr>
                <w:rFonts w:hint="eastAsia" w:asciiTheme="minorEastAsia" w:hAnsiTheme="minorEastAsia"/>
                <w:sz w:val="24"/>
                <w:szCs w:val="24"/>
              </w:rPr>
              <w:t>Q&amp;A</w:t>
            </w:r>
          </w:p>
        </w:tc>
        <w:tc>
          <w:tcPr>
            <w:tcW w:w="1686" w:type="dxa"/>
            <w:vMerge w:val="restart"/>
            <w:vAlign w:val="center"/>
          </w:tcPr>
          <w:p>
            <w:pPr>
              <w:rPr>
                <w:rFonts w:asciiTheme="minorEastAsia" w:hAnsiTheme="minorEastAsia"/>
                <w:sz w:val="24"/>
                <w:szCs w:val="24"/>
              </w:rPr>
            </w:pPr>
            <w:r>
              <w:rPr>
                <w:rFonts w:hint="eastAsia" w:asciiTheme="minorEastAsia" w:hAnsiTheme="minorEastAsia"/>
                <w:sz w:val="24"/>
                <w:szCs w:val="24"/>
              </w:rPr>
              <w:t>完整性、正确性</w:t>
            </w:r>
          </w:p>
        </w:tc>
        <w:tc>
          <w:tcPr>
            <w:tcW w:w="4408" w:type="dxa"/>
            <w:vAlign w:val="center"/>
          </w:tcPr>
          <w:p>
            <w:pPr>
              <w:jc w:val="left"/>
              <w:rPr>
                <w:rFonts w:asciiTheme="minorEastAsia" w:hAnsiTheme="minorEastAsia"/>
                <w:sz w:val="24"/>
                <w:szCs w:val="24"/>
              </w:rPr>
            </w:pPr>
            <w:r>
              <w:rPr>
                <w:rFonts w:hint="eastAsia" w:asciiTheme="minorEastAsia" w:hAnsiTheme="minorEastAsia"/>
                <w:sz w:val="24"/>
                <w:szCs w:val="24"/>
              </w:rPr>
              <w:t>内容完整，回答正确，条理清楚</w:t>
            </w:r>
          </w:p>
        </w:tc>
        <w:tc>
          <w:tcPr>
            <w:tcW w:w="816" w:type="dxa"/>
            <w:vAlign w:val="center"/>
          </w:tcPr>
          <w:p>
            <w:pPr>
              <w:jc w:val="center"/>
              <w:rPr>
                <w:rFonts w:asciiTheme="minorEastAsia" w:hAnsiTheme="minorEastAsia"/>
                <w:sz w:val="24"/>
                <w:szCs w:val="24"/>
              </w:rPr>
            </w:pPr>
            <w:r>
              <w:rPr>
                <w:rFonts w:hint="eastAsia" w:asciiTheme="minorEastAsia" w:hAnsiTheme="minorEastAsia"/>
                <w:sz w:val="24"/>
                <w:szCs w:val="24"/>
              </w:rPr>
              <w:t>21-30</w:t>
            </w:r>
          </w:p>
        </w:tc>
        <w:tc>
          <w:tcPr>
            <w:tcW w:w="676" w:type="dxa"/>
            <w:vMerge w:val="restart"/>
            <w:vAlign w:val="center"/>
          </w:tcPr>
          <w:p>
            <w:pPr>
              <w:jc w:val="center"/>
              <w:rPr>
                <w:rFonts w:asciiTheme="minorEastAsia" w:hAnsiTheme="minorEastAsia"/>
                <w:sz w:val="24"/>
                <w:szCs w:val="24"/>
              </w:rPr>
            </w:pPr>
            <w:r>
              <w:rPr>
                <w:rFonts w:hint="eastAsia" w:asciiTheme="minorEastAsia" w:hAnsiTheme="minorEastAsia"/>
                <w:sz w:val="24"/>
                <w:szCs w:val="24"/>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 w:hRule="atLeast"/>
          <w:tblHeader/>
        </w:trPr>
        <w:tc>
          <w:tcPr>
            <w:tcW w:w="936" w:type="dxa"/>
            <w:vMerge w:val="continue"/>
            <w:vAlign w:val="center"/>
          </w:tcPr>
          <w:p>
            <w:pPr>
              <w:jc w:val="center"/>
              <w:rPr>
                <w:rFonts w:asciiTheme="minorEastAsia" w:hAnsiTheme="minorEastAsia"/>
                <w:sz w:val="24"/>
                <w:szCs w:val="24"/>
              </w:rPr>
            </w:pPr>
          </w:p>
        </w:tc>
        <w:tc>
          <w:tcPr>
            <w:tcW w:w="1686" w:type="dxa"/>
            <w:vMerge w:val="continue"/>
            <w:vAlign w:val="center"/>
          </w:tcPr>
          <w:p>
            <w:pPr>
              <w:rPr>
                <w:rFonts w:asciiTheme="minorEastAsia" w:hAnsiTheme="minorEastAsia"/>
                <w:sz w:val="24"/>
                <w:szCs w:val="24"/>
              </w:rPr>
            </w:pPr>
          </w:p>
        </w:tc>
        <w:tc>
          <w:tcPr>
            <w:tcW w:w="4408" w:type="dxa"/>
            <w:vAlign w:val="center"/>
          </w:tcPr>
          <w:p>
            <w:pPr>
              <w:jc w:val="left"/>
              <w:rPr>
                <w:rFonts w:asciiTheme="minorEastAsia" w:hAnsiTheme="minorEastAsia"/>
                <w:sz w:val="24"/>
                <w:szCs w:val="24"/>
              </w:rPr>
            </w:pPr>
            <w:r>
              <w:rPr>
                <w:rFonts w:hint="eastAsia" w:asciiTheme="minorEastAsia" w:hAnsiTheme="minorEastAsia"/>
                <w:sz w:val="24"/>
                <w:szCs w:val="24"/>
              </w:rPr>
              <w:t>内容完整，回答基本正确，条理基本清楚</w:t>
            </w:r>
          </w:p>
        </w:tc>
        <w:tc>
          <w:tcPr>
            <w:tcW w:w="816" w:type="dxa"/>
            <w:vAlign w:val="center"/>
          </w:tcPr>
          <w:p>
            <w:pPr>
              <w:jc w:val="center"/>
              <w:rPr>
                <w:rFonts w:asciiTheme="minorEastAsia" w:hAnsiTheme="minorEastAsia"/>
                <w:sz w:val="24"/>
                <w:szCs w:val="24"/>
              </w:rPr>
            </w:pPr>
            <w:r>
              <w:rPr>
                <w:rFonts w:hint="eastAsia" w:asciiTheme="minorEastAsia" w:hAnsiTheme="minorEastAsia"/>
                <w:sz w:val="24"/>
                <w:szCs w:val="24"/>
              </w:rPr>
              <w:t>11-20</w:t>
            </w:r>
          </w:p>
        </w:tc>
        <w:tc>
          <w:tcPr>
            <w:tcW w:w="676" w:type="dxa"/>
            <w:vMerge w:val="continue"/>
            <w:vAlign w:val="center"/>
          </w:tcPr>
          <w:p>
            <w:pPr>
              <w:jc w:val="center"/>
              <w:rPr>
                <w:rFonts w:asciiTheme="minorEastAsia" w:hAnsi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 w:hRule="atLeast"/>
          <w:tblHeader/>
        </w:trPr>
        <w:tc>
          <w:tcPr>
            <w:tcW w:w="936" w:type="dxa"/>
            <w:vMerge w:val="continue"/>
            <w:vAlign w:val="center"/>
          </w:tcPr>
          <w:p>
            <w:pPr>
              <w:jc w:val="center"/>
              <w:rPr>
                <w:rFonts w:asciiTheme="minorEastAsia" w:hAnsiTheme="minorEastAsia"/>
                <w:sz w:val="24"/>
                <w:szCs w:val="24"/>
              </w:rPr>
            </w:pPr>
          </w:p>
        </w:tc>
        <w:tc>
          <w:tcPr>
            <w:tcW w:w="1686" w:type="dxa"/>
            <w:vMerge w:val="continue"/>
            <w:vAlign w:val="center"/>
          </w:tcPr>
          <w:p>
            <w:pPr>
              <w:rPr>
                <w:rFonts w:asciiTheme="minorEastAsia" w:hAnsiTheme="minorEastAsia"/>
                <w:sz w:val="24"/>
                <w:szCs w:val="24"/>
              </w:rPr>
            </w:pPr>
          </w:p>
        </w:tc>
        <w:tc>
          <w:tcPr>
            <w:tcW w:w="4408" w:type="dxa"/>
            <w:vAlign w:val="center"/>
          </w:tcPr>
          <w:p>
            <w:pPr>
              <w:jc w:val="left"/>
              <w:rPr>
                <w:rFonts w:asciiTheme="minorEastAsia" w:hAnsiTheme="minorEastAsia"/>
                <w:sz w:val="24"/>
                <w:szCs w:val="24"/>
              </w:rPr>
            </w:pPr>
            <w:r>
              <w:rPr>
                <w:rFonts w:hint="eastAsia" w:asciiTheme="minorEastAsia" w:hAnsiTheme="minorEastAsia"/>
                <w:sz w:val="24"/>
                <w:szCs w:val="24"/>
              </w:rPr>
              <w:t>内容基本完整，回答尚可，条理较差</w:t>
            </w:r>
          </w:p>
        </w:tc>
        <w:tc>
          <w:tcPr>
            <w:tcW w:w="816" w:type="dxa"/>
            <w:vAlign w:val="center"/>
          </w:tcPr>
          <w:p>
            <w:pPr>
              <w:jc w:val="center"/>
              <w:rPr>
                <w:rFonts w:asciiTheme="minorEastAsia" w:hAnsiTheme="minorEastAsia"/>
                <w:sz w:val="24"/>
                <w:szCs w:val="24"/>
              </w:rPr>
            </w:pPr>
            <w:r>
              <w:rPr>
                <w:rFonts w:hint="eastAsia" w:asciiTheme="minorEastAsia" w:hAnsiTheme="minorEastAsia"/>
                <w:sz w:val="24"/>
                <w:szCs w:val="24"/>
              </w:rPr>
              <w:t>0-10</w:t>
            </w:r>
          </w:p>
        </w:tc>
        <w:tc>
          <w:tcPr>
            <w:tcW w:w="676" w:type="dxa"/>
            <w:vMerge w:val="continue"/>
            <w:vAlign w:val="center"/>
          </w:tcPr>
          <w:p>
            <w:pPr>
              <w:jc w:val="center"/>
              <w:rPr>
                <w:rFonts w:asciiTheme="minorEastAsia" w:hAnsi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 w:hRule="atLeast"/>
          <w:tblHeader/>
        </w:trPr>
        <w:tc>
          <w:tcPr>
            <w:tcW w:w="936" w:type="dxa"/>
            <w:vMerge w:val="continue"/>
            <w:vAlign w:val="center"/>
          </w:tcPr>
          <w:p>
            <w:pPr>
              <w:jc w:val="center"/>
              <w:rPr>
                <w:rFonts w:asciiTheme="minorEastAsia" w:hAnsiTheme="minorEastAsia"/>
                <w:sz w:val="24"/>
                <w:szCs w:val="24"/>
              </w:rPr>
            </w:pPr>
          </w:p>
        </w:tc>
        <w:tc>
          <w:tcPr>
            <w:tcW w:w="1686" w:type="dxa"/>
            <w:vMerge w:val="restart"/>
            <w:vAlign w:val="center"/>
          </w:tcPr>
          <w:p>
            <w:pPr>
              <w:rPr>
                <w:rFonts w:asciiTheme="minorEastAsia" w:hAnsiTheme="minorEastAsia"/>
                <w:sz w:val="24"/>
                <w:szCs w:val="24"/>
              </w:rPr>
            </w:pPr>
            <w:r>
              <w:rPr>
                <w:rFonts w:hint="eastAsia" w:asciiTheme="minorEastAsia" w:hAnsiTheme="minorEastAsia"/>
                <w:sz w:val="24"/>
                <w:szCs w:val="24"/>
              </w:rPr>
              <w:t>语音、语调、语流</w:t>
            </w:r>
          </w:p>
        </w:tc>
        <w:tc>
          <w:tcPr>
            <w:tcW w:w="4408" w:type="dxa"/>
            <w:vAlign w:val="center"/>
          </w:tcPr>
          <w:p>
            <w:pPr>
              <w:jc w:val="left"/>
              <w:rPr>
                <w:rFonts w:asciiTheme="minorEastAsia" w:hAnsiTheme="minorEastAsia"/>
                <w:sz w:val="24"/>
                <w:szCs w:val="24"/>
              </w:rPr>
            </w:pPr>
            <w:r>
              <w:rPr>
                <w:rFonts w:hint="eastAsia" w:asciiTheme="minorEastAsia" w:hAnsiTheme="minorEastAsia"/>
                <w:sz w:val="24"/>
                <w:szCs w:val="24"/>
              </w:rPr>
              <w:t>语音、语调准确，回答连贯、流利</w:t>
            </w:r>
          </w:p>
        </w:tc>
        <w:tc>
          <w:tcPr>
            <w:tcW w:w="816" w:type="dxa"/>
            <w:vAlign w:val="center"/>
          </w:tcPr>
          <w:p>
            <w:pPr>
              <w:jc w:val="center"/>
              <w:rPr>
                <w:rFonts w:asciiTheme="minorEastAsia" w:hAnsiTheme="minorEastAsia"/>
                <w:sz w:val="24"/>
                <w:szCs w:val="24"/>
              </w:rPr>
            </w:pPr>
            <w:r>
              <w:rPr>
                <w:rFonts w:hint="eastAsia" w:asciiTheme="minorEastAsia" w:hAnsiTheme="minorEastAsia"/>
                <w:sz w:val="24"/>
                <w:szCs w:val="24"/>
              </w:rPr>
              <w:t>14-20</w:t>
            </w:r>
          </w:p>
        </w:tc>
        <w:tc>
          <w:tcPr>
            <w:tcW w:w="676" w:type="dxa"/>
            <w:vMerge w:val="restart"/>
            <w:vAlign w:val="center"/>
          </w:tcPr>
          <w:p>
            <w:pPr>
              <w:jc w:val="center"/>
              <w:rPr>
                <w:rFonts w:asciiTheme="minorEastAsia" w:hAnsiTheme="minorEastAsia"/>
                <w:sz w:val="24"/>
                <w:szCs w:val="24"/>
              </w:rPr>
            </w:pPr>
            <w:r>
              <w:rPr>
                <w:rFonts w:hint="eastAsia" w:asciiTheme="minorEastAsia" w:hAnsiTheme="minorEastAsia"/>
                <w:sz w:val="24"/>
                <w:szCs w:val="24"/>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 w:hRule="atLeast"/>
          <w:tblHeader/>
        </w:trPr>
        <w:tc>
          <w:tcPr>
            <w:tcW w:w="936" w:type="dxa"/>
            <w:vMerge w:val="continue"/>
            <w:vAlign w:val="center"/>
          </w:tcPr>
          <w:p>
            <w:pPr>
              <w:jc w:val="center"/>
              <w:rPr>
                <w:rFonts w:asciiTheme="minorEastAsia" w:hAnsiTheme="minorEastAsia"/>
                <w:sz w:val="24"/>
                <w:szCs w:val="24"/>
              </w:rPr>
            </w:pPr>
          </w:p>
        </w:tc>
        <w:tc>
          <w:tcPr>
            <w:tcW w:w="1686" w:type="dxa"/>
            <w:vMerge w:val="continue"/>
            <w:vAlign w:val="center"/>
          </w:tcPr>
          <w:p>
            <w:pPr>
              <w:rPr>
                <w:rFonts w:asciiTheme="minorEastAsia" w:hAnsiTheme="minorEastAsia"/>
                <w:sz w:val="24"/>
                <w:szCs w:val="24"/>
              </w:rPr>
            </w:pPr>
          </w:p>
        </w:tc>
        <w:tc>
          <w:tcPr>
            <w:tcW w:w="4408" w:type="dxa"/>
            <w:vAlign w:val="center"/>
          </w:tcPr>
          <w:p>
            <w:pPr>
              <w:jc w:val="left"/>
              <w:rPr>
                <w:rFonts w:asciiTheme="minorEastAsia" w:hAnsiTheme="minorEastAsia"/>
                <w:sz w:val="24"/>
                <w:szCs w:val="24"/>
              </w:rPr>
            </w:pPr>
            <w:r>
              <w:rPr>
                <w:rFonts w:hint="eastAsia" w:asciiTheme="minorEastAsia" w:hAnsiTheme="minorEastAsia"/>
                <w:sz w:val="24"/>
                <w:szCs w:val="24"/>
              </w:rPr>
              <w:t>语音、语调较好，回答基本连贯，流利度尚可</w:t>
            </w:r>
          </w:p>
        </w:tc>
        <w:tc>
          <w:tcPr>
            <w:tcW w:w="816" w:type="dxa"/>
            <w:vAlign w:val="center"/>
          </w:tcPr>
          <w:p>
            <w:pPr>
              <w:jc w:val="center"/>
              <w:rPr>
                <w:rFonts w:asciiTheme="minorEastAsia" w:hAnsiTheme="minorEastAsia"/>
                <w:sz w:val="24"/>
                <w:szCs w:val="24"/>
              </w:rPr>
            </w:pPr>
            <w:r>
              <w:rPr>
                <w:rFonts w:hint="eastAsia" w:asciiTheme="minorEastAsia" w:hAnsiTheme="minorEastAsia"/>
                <w:sz w:val="24"/>
                <w:szCs w:val="24"/>
              </w:rPr>
              <w:t>7-13</w:t>
            </w:r>
          </w:p>
        </w:tc>
        <w:tc>
          <w:tcPr>
            <w:tcW w:w="676" w:type="dxa"/>
            <w:vMerge w:val="continue"/>
            <w:vAlign w:val="center"/>
          </w:tcPr>
          <w:p>
            <w:pPr>
              <w:jc w:val="center"/>
              <w:rPr>
                <w:rFonts w:asciiTheme="minorEastAsia" w:hAnsi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 w:hRule="atLeast"/>
          <w:tblHeader/>
        </w:trPr>
        <w:tc>
          <w:tcPr>
            <w:tcW w:w="936" w:type="dxa"/>
            <w:vMerge w:val="continue"/>
            <w:vAlign w:val="center"/>
          </w:tcPr>
          <w:p>
            <w:pPr>
              <w:jc w:val="center"/>
              <w:rPr>
                <w:rFonts w:asciiTheme="minorEastAsia" w:hAnsiTheme="minorEastAsia"/>
                <w:sz w:val="24"/>
                <w:szCs w:val="24"/>
              </w:rPr>
            </w:pPr>
          </w:p>
        </w:tc>
        <w:tc>
          <w:tcPr>
            <w:tcW w:w="1686" w:type="dxa"/>
            <w:vMerge w:val="continue"/>
            <w:vAlign w:val="center"/>
          </w:tcPr>
          <w:p>
            <w:pPr>
              <w:rPr>
                <w:rFonts w:asciiTheme="minorEastAsia" w:hAnsiTheme="minorEastAsia"/>
                <w:sz w:val="24"/>
                <w:szCs w:val="24"/>
              </w:rPr>
            </w:pPr>
          </w:p>
        </w:tc>
        <w:tc>
          <w:tcPr>
            <w:tcW w:w="4408" w:type="dxa"/>
            <w:vAlign w:val="center"/>
          </w:tcPr>
          <w:p>
            <w:pPr>
              <w:jc w:val="left"/>
              <w:rPr>
                <w:rFonts w:asciiTheme="minorEastAsia" w:hAnsiTheme="minorEastAsia"/>
                <w:sz w:val="24"/>
                <w:szCs w:val="24"/>
              </w:rPr>
            </w:pPr>
            <w:r>
              <w:rPr>
                <w:rFonts w:hint="eastAsia" w:asciiTheme="minorEastAsia" w:hAnsiTheme="minorEastAsia"/>
                <w:sz w:val="24"/>
                <w:szCs w:val="24"/>
              </w:rPr>
              <w:t>语音、语调一般，回答不连贯，流利度较差</w:t>
            </w:r>
          </w:p>
        </w:tc>
        <w:tc>
          <w:tcPr>
            <w:tcW w:w="816" w:type="dxa"/>
            <w:vAlign w:val="center"/>
          </w:tcPr>
          <w:p>
            <w:pPr>
              <w:jc w:val="center"/>
              <w:rPr>
                <w:rFonts w:asciiTheme="minorEastAsia" w:hAnsiTheme="minorEastAsia"/>
                <w:sz w:val="24"/>
                <w:szCs w:val="24"/>
              </w:rPr>
            </w:pPr>
            <w:r>
              <w:rPr>
                <w:rFonts w:hint="eastAsia" w:asciiTheme="minorEastAsia" w:hAnsiTheme="minorEastAsia"/>
                <w:sz w:val="24"/>
                <w:szCs w:val="24"/>
              </w:rPr>
              <w:t>0-6</w:t>
            </w:r>
          </w:p>
        </w:tc>
        <w:tc>
          <w:tcPr>
            <w:tcW w:w="676" w:type="dxa"/>
            <w:vMerge w:val="continue"/>
            <w:vAlign w:val="center"/>
          </w:tcPr>
          <w:p>
            <w:pPr>
              <w:jc w:val="center"/>
              <w:rPr>
                <w:rFonts w:asciiTheme="minorEastAsia" w:hAnsi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 w:hRule="atLeast"/>
          <w:tblHeader/>
        </w:trPr>
        <w:tc>
          <w:tcPr>
            <w:tcW w:w="936" w:type="dxa"/>
            <w:vMerge w:val="continue"/>
            <w:vAlign w:val="center"/>
          </w:tcPr>
          <w:p>
            <w:pPr>
              <w:jc w:val="center"/>
              <w:rPr>
                <w:rFonts w:asciiTheme="minorEastAsia" w:hAnsiTheme="minorEastAsia"/>
                <w:sz w:val="24"/>
                <w:szCs w:val="24"/>
              </w:rPr>
            </w:pPr>
          </w:p>
        </w:tc>
        <w:tc>
          <w:tcPr>
            <w:tcW w:w="1686" w:type="dxa"/>
            <w:vMerge w:val="restart"/>
            <w:vAlign w:val="center"/>
          </w:tcPr>
          <w:p>
            <w:pPr>
              <w:rPr>
                <w:rFonts w:asciiTheme="minorEastAsia" w:hAnsiTheme="minorEastAsia"/>
                <w:sz w:val="24"/>
                <w:szCs w:val="24"/>
              </w:rPr>
            </w:pPr>
            <w:r>
              <w:rPr>
                <w:rFonts w:hint="eastAsia" w:asciiTheme="minorEastAsia" w:hAnsiTheme="minorEastAsia"/>
                <w:sz w:val="24"/>
                <w:szCs w:val="24"/>
              </w:rPr>
              <w:t>举止形象、反应速度、表现力</w:t>
            </w:r>
          </w:p>
        </w:tc>
        <w:tc>
          <w:tcPr>
            <w:tcW w:w="4408" w:type="dxa"/>
            <w:vAlign w:val="center"/>
          </w:tcPr>
          <w:p>
            <w:pPr>
              <w:jc w:val="left"/>
              <w:rPr>
                <w:rFonts w:asciiTheme="minorEastAsia" w:hAnsiTheme="minorEastAsia"/>
                <w:sz w:val="24"/>
                <w:szCs w:val="24"/>
              </w:rPr>
            </w:pPr>
            <w:r>
              <w:rPr>
                <w:rFonts w:hint="eastAsia" w:asciiTheme="minorEastAsia" w:hAnsiTheme="minorEastAsia"/>
                <w:sz w:val="24"/>
                <w:szCs w:val="24"/>
              </w:rPr>
              <w:t>举止形象大方得体，反应迅速，有较强表现力</w:t>
            </w:r>
          </w:p>
        </w:tc>
        <w:tc>
          <w:tcPr>
            <w:tcW w:w="816" w:type="dxa"/>
            <w:vAlign w:val="center"/>
          </w:tcPr>
          <w:p>
            <w:pPr>
              <w:jc w:val="center"/>
              <w:rPr>
                <w:rFonts w:asciiTheme="minorEastAsia" w:hAnsiTheme="minorEastAsia"/>
                <w:sz w:val="24"/>
                <w:szCs w:val="24"/>
              </w:rPr>
            </w:pPr>
            <w:r>
              <w:rPr>
                <w:rFonts w:hint="eastAsia" w:asciiTheme="minorEastAsia" w:hAnsiTheme="minorEastAsia"/>
                <w:sz w:val="24"/>
                <w:szCs w:val="24"/>
              </w:rPr>
              <w:t>7-10</w:t>
            </w:r>
          </w:p>
        </w:tc>
        <w:tc>
          <w:tcPr>
            <w:tcW w:w="676" w:type="dxa"/>
            <w:vMerge w:val="restart"/>
            <w:vAlign w:val="center"/>
          </w:tcPr>
          <w:p>
            <w:pPr>
              <w:jc w:val="center"/>
              <w:rPr>
                <w:rFonts w:asciiTheme="minorEastAsia" w:hAnsiTheme="minorEastAsia"/>
                <w:sz w:val="24"/>
                <w:szCs w:val="24"/>
              </w:rPr>
            </w:pPr>
            <w:r>
              <w:rPr>
                <w:rFonts w:hint="eastAsia" w:asciiTheme="minorEastAsia" w:hAnsiTheme="minorEastAsia"/>
                <w:sz w:val="24"/>
                <w:szCs w:val="24"/>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 w:hRule="atLeast"/>
          <w:tblHeader/>
        </w:trPr>
        <w:tc>
          <w:tcPr>
            <w:tcW w:w="936" w:type="dxa"/>
            <w:vMerge w:val="continue"/>
            <w:vAlign w:val="center"/>
          </w:tcPr>
          <w:p>
            <w:pPr>
              <w:jc w:val="center"/>
              <w:rPr>
                <w:rFonts w:asciiTheme="minorEastAsia" w:hAnsiTheme="minorEastAsia"/>
                <w:sz w:val="24"/>
                <w:szCs w:val="24"/>
              </w:rPr>
            </w:pPr>
          </w:p>
        </w:tc>
        <w:tc>
          <w:tcPr>
            <w:tcW w:w="1686" w:type="dxa"/>
            <w:vMerge w:val="continue"/>
            <w:vAlign w:val="center"/>
          </w:tcPr>
          <w:p>
            <w:pPr>
              <w:rPr>
                <w:rFonts w:asciiTheme="minorEastAsia" w:hAnsiTheme="minorEastAsia"/>
                <w:sz w:val="24"/>
                <w:szCs w:val="24"/>
              </w:rPr>
            </w:pPr>
          </w:p>
        </w:tc>
        <w:tc>
          <w:tcPr>
            <w:tcW w:w="4408" w:type="dxa"/>
            <w:vAlign w:val="center"/>
          </w:tcPr>
          <w:p>
            <w:pPr>
              <w:jc w:val="left"/>
              <w:rPr>
                <w:rFonts w:asciiTheme="minorEastAsia" w:hAnsiTheme="minorEastAsia"/>
                <w:sz w:val="24"/>
                <w:szCs w:val="24"/>
              </w:rPr>
            </w:pPr>
            <w:r>
              <w:rPr>
                <w:rFonts w:hint="eastAsia" w:asciiTheme="minorEastAsia" w:hAnsiTheme="minorEastAsia"/>
                <w:sz w:val="24"/>
                <w:szCs w:val="24"/>
              </w:rPr>
              <w:t>举止形象尚可，反应一般，表现力一般</w:t>
            </w:r>
          </w:p>
        </w:tc>
        <w:tc>
          <w:tcPr>
            <w:tcW w:w="816" w:type="dxa"/>
            <w:vAlign w:val="center"/>
          </w:tcPr>
          <w:p>
            <w:pPr>
              <w:jc w:val="center"/>
              <w:rPr>
                <w:rFonts w:asciiTheme="minorEastAsia" w:hAnsiTheme="minorEastAsia"/>
                <w:sz w:val="24"/>
                <w:szCs w:val="24"/>
              </w:rPr>
            </w:pPr>
            <w:r>
              <w:rPr>
                <w:rFonts w:hint="eastAsia" w:asciiTheme="minorEastAsia" w:hAnsiTheme="minorEastAsia"/>
                <w:sz w:val="24"/>
                <w:szCs w:val="24"/>
              </w:rPr>
              <w:t>4-6</w:t>
            </w:r>
          </w:p>
        </w:tc>
        <w:tc>
          <w:tcPr>
            <w:tcW w:w="676" w:type="dxa"/>
            <w:vMerge w:val="continue"/>
            <w:vAlign w:val="center"/>
          </w:tcPr>
          <w:p>
            <w:pPr>
              <w:jc w:val="center"/>
              <w:rPr>
                <w:rFonts w:asciiTheme="minorEastAsia" w:hAnsi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 w:hRule="atLeast"/>
          <w:tblHeader/>
        </w:trPr>
        <w:tc>
          <w:tcPr>
            <w:tcW w:w="936" w:type="dxa"/>
            <w:vMerge w:val="continue"/>
            <w:vAlign w:val="center"/>
          </w:tcPr>
          <w:p>
            <w:pPr>
              <w:jc w:val="center"/>
              <w:rPr>
                <w:rFonts w:asciiTheme="minorEastAsia" w:hAnsiTheme="minorEastAsia"/>
                <w:sz w:val="24"/>
                <w:szCs w:val="24"/>
              </w:rPr>
            </w:pPr>
          </w:p>
        </w:tc>
        <w:tc>
          <w:tcPr>
            <w:tcW w:w="1686" w:type="dxa"/>
            <w:vMerge w:val="continue"/>
            <w:vAlign w:val="center"/>
          </w:tcPr>
          <w:p>
            <w:pPr>
              <w:rPr>
                <w:rFonts w:asciiTheme="minorEastAsia" w:hAnsiTheme="minorEastAsia"/>
                <w:sz w:val="24"/>
                <w:szCs w:val="24"/>
              </w:rPr>
            </w:pPr>
          </w:p>
        </w:tc>
        <w:tc>
          <w:tcPr>
            <w:tcW w:w="4408" w:type="dxa"/>
            <w:vAlign w:val="center"/>
          </w:tcPr>
          <w:p>
            <w:pPr>
              <w:jc w:val="left"/>
              <w:rPr>
                <w:rFonts w:asciiTheme="minorEastAsia" w:hAnsiTheme="minorEastAsia"/>
                <w:sz w:val="24"/>
                <w:szCs w:val="24"/>
              </w:rPr>
            </w:pPr>
            <w:r>
              <w:rPr>
                <w:rFonts w:hint="eastAsia" w:asciiTheme="minorEastAsia" w:hAnsiTheme="minorEastAsia"/>
                <w:sz w:val="24"/>
                <w:szCs w:val="24"/>
              </w:rPr>
              <w:t>举止形象欠佳，反应较慢，表现力较差</w:t>
            </w:r>
          </w:p>
        </w:tc>
        <w:tc>
          <w:tcPr>
            <w:tcW w:w="816" w:type="dxa"/>
            <w:vAlign w:val="center"/>
          </w:tcPr>
          <w:p>
            <w:pPr>
              <w:jc w:val="center"/>
              <w:rPr>
                <w:rFonts w:asciiTheme="minorEastAsia" w:hAnsiTheme="minorEastAsia"/>
                <w:sz w:val="24"/>
                <w:szCs w:val="24"/>
              </w:rPr>
            </w:pPr>
            <w:r>
              <w:rPr>
                <w:rFonts w:hint="eastAsia" w:asciiTheme="minorEastAsia" w:hAnsiTheme="minorEastAsia"/>
                <w:sz w:val="24"/>
                <w:szCs w:val="24"/>
              </w:rPr>
              <w:t>0-3</w:t>
            </w:r>
          </w:p>
        </w:tc>
        <w:tc>
          <w:tcPr>
            <w:tcW w:w="676" w:type="dxa"/>
            <w:vMerge w:val="continue"/>
            <w:vAlign w:val="center"/>
          </w:tcPr>
          <w:p>
            <w:pPr>
              <w:jc w:val="center"/>
              <w:rPr>
                <w:rFonts w:asciiTheme="minorEastAsia" w:hAnsiTheme="minorEastAsia"/>
                <w:sz w:val="24"/>
                <w:szCs w:val="24"/>
              </w:rPr>
            </w:pPr>
          </w:p>
        </w:tc>
      </w:tr>
    </w:tbl>
    <w:p>
      <w:pPr>
        <w:spacing w:line="560" w:lineRule="exact"/>
        <w:ind w:firstLine="600" w:firstLineChars="200"/>
        <w:rPr>
          <w:rFonts w:ascii="仿宋_GB2312" w:hAnsi="仿宋" w:eastAsia="仿宋_GB2312" w:cs="Arial"/>
          <w:kern w:val="0"/>
          <w:sz w:val="30"/>
          <w:szCs w:val="30"/>
        </w:rPr>
      </w:pPr>
      <w:r>
        <w:rPr>
          <w:rFonts w:hint="eastAsia" w:ascii="仿宋_GB2312" w:hAnsi="仿宋" w:eastAsia="仿宋_GB2312" w:cs="Arial"/>
          <w:kern w:val="0"/>
          <w:sz w:val="30"/>
          <w:szCs w:val="30"/>
        </w:rPr>
        <w:t>现场评委将在前三位（组）选手比赛完毕后，进行评委合议，根据现场实际情况统一标准，使得评委能够客观、全面地了解参赛选手的实际状况，公正公平地进行评判。</w:t>
      </w:r>
    </w:p>
    <w:p>
      <w:pPr>
        <w:pStyle w:val="2"/>
        <w:ind w:firstLine="600"/>
        <w:rPr>
          <w:rFonts w:ascii="Arial Narrow" w:hAnsi="Arial Narrow" w:eastAsia="仿宋_GB2312" w:cs="Arial"/>
        </w:rPr>
      </w:pPr>
      <w:bookmarkStart w:id="19" w:name="_Toc522017699"/>
      <w:r>
        <w:rPr>
          <w:rFonts w:hint="eastAsia"/>
        </w:rPr>
        <w:t>十一、奖项设置</w:t>
      </w:r>
      <w:bookmarkEnd w:id="19"/>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本赛项奖项设团体奖。竞赛团体奖的设定为：一等奖占比</w:t>
      </w:r>
      <w:r>
        <w:rPr>
          <w:rFonts w:ascii="Arial Narrow" w:hAnsi="Arial Narrow" w:eastAsia="仿宋_GB2312" w:cs="Arial"/>
          <w:sz w:val="30"/>
          <w:szCs w:val="30"/>
        </w:rPr>
        <w:t>10%</w:t>
      </w:r>
      <w:r>
        <w:rPr>
          <w:rFonts w:hint="eastAsia" w:ascii="Arial Narrow" w:hAnsi="Arial Narrow" w:eastAsia="仿宋_GB2312" w:cs="Arial"/>
          <w:sz w:val="30"/>
          <w:szCs w:val="30"/>
        </w:rPr>
        <w:t>，二等奖占比</w:t>
      </w:r>
      <w:r>
        <w:rPr>
          <w:rFonts w:ascii="Arial Narrow" w:hAnsi="Arial Narrow" w:eastAsia="仿宋_GB2312" w:cs="Arial"/>
          <w:sz w:val="30"/>
          <w:szCs w:val="30"/>
        </w:rPr>
        <w:t>20%</w:t>
      </w:r>
      <w:r>
        <w:rPr>
          <w:rFonts w:hint="eastAsia" w:ascii="Arial Narrow" w:hAnsi="Arial Narrow" w:eastAsia="仿宋_GB2312" w:cs="Arial"/>
          <w:sz w:val="30"/>
          <w:szCs w:val="30"/>
        </w:rPr>
        <w:t>，三等奖占比</w:t>
      </w:r>
      <w:r>
        <w:rPr>
          <w:rFonts w:ascii="Arial Narrow" w:hAnsi="Arial Narrow" w:eastAsia="仿宋_GB2312" w:cs="Arial"/>
          <w:sz w:val="30"/>
          <w:szCs w:val="30"/>
        </w:rPr>
        <w:t>30%</w:t>
      </w:r>
      <w:r>
        <w:rPr>
          <w:rFonts w:hint="eastAsia" w:ascii="Arial Narrow" w:hAnsi="Arial Narrow" w:eastAsia="仿宋_GB2312" w:cs="Arial"/>
          <w:sz w:val="30"/>
          <w:szCs w:val="30"/>
        </w:rPr>
        <w:t>。（小数点后四舍五入）</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一等奖参赛队的指导教师获</w:t>
      </w:r>
      <w:r>
        <w:rPr>
          <w:rFonts w:ascii="Arial Narrow" w:hAnsi="Arial Narrow" w:eastAsia="仿宋_GB2312" w:cs="Arial"/>
          <w:sz w:val="30"/>
          <w:szCs w:val="30"/>
        </w:rPr>
        <w:t>“</w:t>
      </w:r>
      <w:r>
        <w:rPr>
          <w:rFonts w:hint="eastAsia" w:ascii="Arial Narrow" w:hAnsi="Arial Narrow" w:eastAsia="仿宋_GB2312" w:cs="Arial"/>
          <w:sz w:val="30"/>
          <w:szCs w:val="30"/>
        </w:rPr>
        <w:t>优秀指导教师奖</w:t>
      </w:r>
      <w:r>
        <w:rPr>
          <w:rFonts w:ascii="Arial Narrow" w:hAnsi="Arial Narrow" w:eastAsia="仿宋_GB2312" w:cs="Arial"/>
          <w:sz w:val="30"/>
          <w:szCs w:val="30"/>
        </w:rPr>
        <w:t>”</w:t>
      </w:r>
      <w:r>
        <w:rPr>
          <w:rFonts w:hint="eastAsia" w:ascii="Arial Narrow" w:hAnsi="Arial Narrow" w:eastAsia="仿宋_GB2312" w:cs="Arial"/>
          <w:sz w:val="30"/>
          <w:szCs w:val="30"/>
        </w:rPr>
        <w:t>。</w:t>
      </w:r>
    </w:p>
    <w:p>
      <w:pPr>
        <w:pStyle w:val="2"/>
        <w:ind w:firstLine="600"/>
        <w:rPr>
          <w:rFonts w:ascii="Arial Narrow" w:hAnsi="Arial Narrow" w:eastAsia="仿宋_GB2312" w:cs="Arial"/>
        </w:rPr>
      </w:pPr>
      <w:bookmarkStart w:id="20" w:name="_Toc522017700"/>
      <w:r>
        <w:rPr>
          <w:rFonts w:hint="eastAsia"/>
        </w:rPr>
        <w:t>十二、技术规范</w:t>
      </w:r>
      <w:bookmarkEnd w:id="20"/>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参赛团队遵循以下规范。</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行业标准：</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w:t>
      </w:r>
      <w:r>
        <w:rPr>
          <w:rFonts w:ascii="Arial Narrow" w:hAnsi="Arial Narrow" w:eastAsia="仿宋_GB2312" w:cs="Arial"/>
          <w:sz w:val="30"/>
          <w:szCs w:val="30"/>
        </w:rPr>
        <w:t>联合国国际货物销售合同公约</w:t>
      </w:r>
      <w:r>
        <w:rPr>
          <w:rFonts w:hint="eastAsia" w:ascii="Arial Narrow" w:hAnsi="Arial Narrow" w:eastAsia="仿宋_GB2312" w:cs="Arial"/>
          <w:sz w:val="30"/>
          <w:szCs w:val="30"/>
        </w:rPr>
        <w:t>》</w:t>
      </w:r>
      <w:r>
        <w:rPr>
          <w:rFonts w:ascii="Times New Roman" w:hAnsi="Arial Narrow" w:eastAsia="仿宋_GB2312"/>
          <w:sz w:val="30"/>
          <w:szCs w:val="30"/>
        </w:rPr>
        <w:t>（</w:t>
      </w:r>
      <w:r>
        <w:rPr>
          <w:rFonts w:ascii="Times New Roman" w:hAnsi="Times New Roman" w:eastAsia="仿宋_GB2312"/>
          <w:sz w:val="30"/>
          <w:szCs w:val="30"/>
        </w:rPr>
        <w:t>the United Nations Convention on Contracts for the International Sale of Goods</w:t>
      </w:r>
      <w:r>
        <w:rPr>
          <w:rFonts w:ascii="Times New Roman" w:hAnsi="Arial Narrow" w:eastAsia="仿宋_GB2312"/>
          <w:sz w:val="30"/>
          <w:szCs w:val="30"/>
        </w:rPr>
        <w:t>，</w:t>
      </w:r>
      <w:r>
        <w:rPr>
          <w:rFonts w:ascii="Times New Roman" w:hAnsi="Times New Roman" w:eastAsia="仿宋_GB2312"/>
          <w:sz w:val="30"/>
          <w:szCs w:val="30"/>
        </w:rPr>
        <w:t>CISG</w:t>
      </w:r>
      <w:r>
        <w:rPr>
          <w:rFonts w:ascii="Times New Roman" w:hAnsi="Arial Narrow" w:eastAsia="仿宋_GB2312"/>
          <w:sz w:val="30"/>
          <w:szCs w:val="30"/>
        </w:rPr>
        <w:t>）</w:t>
      </w:r>
    </w:p>
    <w:p>
      <w:pPr>
        <w:snapToGrid w:val="0"/>
        <w:spacing w:line="560" w:lineRule="exact"/>
        <w:ind w:firstLine="600" w:firstLineChars="200"/>
        <w:rPr>
          <w:rFonts w:ascii="Times New Roman" w:hAnsi="Times New Roman" w:eastAsia="仿宋_GB2312"/>
          <w:sz w:val="30"/>
          <w:szCs w:val="30"/>
        </w:rPr>
      </w:pPr>
      <w:r>
        <w:rPr>
          <w:rFonts w:hint="eastAsia" w:ascii="Arial Narrow" w:hAnsi="Arial Narrow" w:eastAsia="仿宋_GB2312" w:cs="Arial"/>
          <w:sz w:val="30"/>
          <w:szCs w:val="30"/>
        </w:rPr>
        <w:t>国际商会《跟单信用证统一惯例</w:t>
      </w:r>
      <w:r>
        <w:rPr>
          <w:rFonts w:ascii="Times New Roman" w:hAnsi="Arial Narrow" w:eastAsia="仿宋_GB2312"/>
          <w:sz w:val="30"/>
          <w:szCs w:val="30"/>
        </w:rPr>
        <w:t>（</w:t>
      </w:r>
      <w:r>
        <w:rPr>
          <w:rFonts w:ascii="Times New Roman" w:hAnsi="Times New Roman" w:eastAsia="仿宋_GB2312"/>
          <w:sz w:val="30"/>
          <w:szCs w:val="30"/>
        </w:rPr>
        <w:t>UCP600</w:t>
      </w:r>
      <w:r>
        <w:rPr>
          <w:rFonts w:ascii="Times New Roman" w:hAnsi="Arial Narrow" w:eastAsia="仿宋_GB2312"/>
          <w:sz w:val="30"/>
          <w:szCs w:val="30"/>
        </w:rPr>
        <w:t>）</w:t>
      </w:r>
      <w:r>
        <w:rPr>
          <w:rFonts w:hint="eastAsia" w:ascii="Arial Narrow" w:hAnsi="Arial Narrow" w:eastAsia="仿宋_GB2312" w:cs="Arial"/>
          <w:sz w:val="30"/>
          <w:szCs w:val="30"/>
        </w:rPr>
        <w:t>》</w:t>
      </w:r>
      <w:r>
        <w:rPr>
          <w:rFonts w:ascii="Times New Roman" w:hAnsi="Arial Narrow" w:eastAsia="仿宋_GB2312"/>
          <w:sz w:val="30"/>
          <w:szCs w:val="30"/>
        </w:rPr>
        <w:t>（</w:t>
      </w:r>
      <w:r>
        <w:rPr>
          <w:rFonts w:ascii="Times New Roman" w:hAnsi="Times New Roman" w:eastAsia="仿宋_GB2312"/>
          <w:sz w:val="30"/>
          <w:szCs w:val="30"/>
        </w:rPr>
        <w:t>Uniform Customs and Practice for Documentary Credits</w:t>
      </w:r>
      <w:r>
        <w:rPr>
          <w:rFonts w:ascii="Times New Roman" w:hAnsi="Arial Narrow" w:eastAsia="仿宋_GB2312"/>
          <w:sz w:val="30"/>
          <w:szCs w:val="30"/>
        </w:rPr>
        <w:t>）</w:t>
      </w:r>
    </w:p>
    <w:p>
      <w:pPr>
        <w:snapToGrid w:val="0"/>
        <w:spacing w:line="560" w:lineRule="exact"/>
        <w:ind w:firstLine="600" w:firstLineChars="200"/>
        <w:rPr>
          <w:rFonts w:ascii="Times New Roman" w:hAnsi="Times New Roman" w:eastAsia="仿宋_GB2312"/>
          <w:sz w:val="30"/>
          <w:szCs w:val="30"/>
        </w:rPr>
      </w:pPr>
      <w:r>
        <w:rPr>
          <w:rFonts w:ascii="Arial Narrow" w:hAnsi="Arial Narrow" w:eastAsia="仿宋_GB2312" w:cs="Arial"/>
          <w:sz w:val="30"/>
          <w:szCs w:val="30"/>
        </w:rPr>
        <w:t>《</w:t>
      </w:r>
      <w:r>
        <w:rPr>
          <w:rFonts w:hint="eastAsia" w:ascii="仿宋_GB2312" w:hAnsi="Arial Narrow" w:eastAsia="仿宋_GB2312" w:cs="Arial"/>
          <w:sz w:val="30"/>
          <w:szCs w:val="30"/>
        </w:rPr>
        <w:t>2010</w:t>
      </w:r>
      <w:r>
        <w:rPr>
          <w:rFonts w:ascii="Arial Narrow" w:hAnsi="Arial Narrow" w:eastAsia="仿宋_GB2312" w:cs="Arial"/>
          <w:sz w:val="30"/>
          <w:szCs w:val="30"/>
        </w:rPr>
        <w:t>国际贸易术语解释通则》</w:t>
      </w:r>
      <w:r>
        <w:rPr>
          <w:rFonts w:ascii="Times New Roman" w:hAnsi="Arial Narrow" w:eastAsia="仿宋_GB2312"/>
          <w:sz w:val="30"/>
          <w:szCs w:val="30"/>
        </w:rPr>
        <w:t>（</w:t>
      </w:r>
      <w:r>
        <w:rPr>
          <w:rFonts w:ascii="Times New Roman" w:hAnsi="Times New Roman" w:eastAsia="仿宋_GB2312"/>
          <w:sz w:val="30"/>
          <w:szCs w:val="30"/>
        </w:rPr>
        <w:t xml:space="preserve">Incoterms International Rules for the Interpretation of Trade Terms </w:t>
      </w:r>
      <w:r>
        <w:rPr>
          <w:rFonts w:ascii="Times New Roman" w:hAnsi="Arial Narrow" w:eastAsia="仿宋_GB2312"/>
          <w:sz w:val="30"/>
          <w:szCs w:val="30"/>
        </w:rPr>
        <w:t>）</w:t>
      </w:r>
    </w:p>
    <w:p>
      <w:pPr>
        <w:snapToGrid w:val="0"/>
        <w:spacing w:line="560" w:lineRule="exact"/>
        <w:ind w:firstLine="600" w:firstLineChars="200"/>
        <w:rPr>
          <w:rFonts w:ascii="Times New Roman" w:hAnsi="Times New Roman" w:eastAsia="仿宋_GB2312"/>
          <w:sz w:val="30"/>
          <w:szCs w:val="30"/>
        </w:rPr>
      </w:pPr>
      <w:r>
        <w:rPr>
          <w:rFonts w:hint="eastAsia" w:ascii="Arial Narrow" w:hAnsi="Arial Narrow" w:eastAsia="仿宋_GB2312" w:cs="Arial"/>
          <w:sz w:val="30"/>
          <w:szCs w:val="30"/>
        </w:rPr>
        <w:t>国际商会《托收统一规则</w:t>
      </w:r>
      <w:r>
        <w:rPr>
          <w:rFonts w:hint="eastAsia" w:ascii="Times New Roman" w:hAnsi="Arial Narrow" w:eastAsia="仿宋_GB2312"/>
          <w:sz w:val="30"/>
          <w:szCs w:val="30"/>
        </w:rPr>
        <w:t>（URC522）</w:t>
      </w:r>
      <w:r>
        <w:rPr>
          <w:rFonts w:hint="eastAsia" w:ascii="Arial Narrow" w:hAnsi="Arial Narrow" w:eastAsia="仿宋_GB2312" w:cs="Arial"/>
          <w:sz w:val="30"/>
          <w:szCs w:val="30"/>
        </w:rPr>
        <w:t>》</w:t>
      </w:r>
      <w:r>
        <w:rPr>
          <w:rFonts w:ascii="Times New Roman" w:hAnsi="Arial Narrow" w:eastAsia="仿宋_GB2312"/>
          <w:sz w:val="30"/>
          <w:szCs w:val="30"/>
        </w:rPr>
        <w:t>（</w:t>
      </w:r>
      <w:r>
        <w:rPr>
          <w:rFonts w:ascii="Times New Roman" w:hAnsi="Times New Roman" w:eastAsia="仿宋_GB2312"/>
          <w:sz w:val="30"/>
          <w:szCs w:val="30"/>
        </w:rPr>
        <w:t>Uniform RulesforCollections,ICCPublicationNo.522</w:t>
      </w:r>
      <w:r>
        <w:rPr>
          <w:rFonts w:ascii="Times New Roman" w:hAnsi="Arial Narrow" w:eastAsia="仿宋_GB2312"/>
          <w:sz w:val="30"/>
          <w:szCs w:val="30"/>
        </w:rPr>
        <w:t>）</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教学要求：《</w:t>
      </w:r>
      <w:r>
        <w:rPr>
          <w:rFonts w:ascii="Arial Narrow" w:hAnsi="Arial Narrow" w:eastAsia="仿宋_GB2312" w:cs="Arial"/>
          <w:sz w:val="30"/>
          <w:szCs w:val="30"/>
        </w:rPr>
        <w:t>职业教育国际贸易专业国家教学资源库</w:t>
      </w:r>
      <w:r>
        <w:rPr>
          <w:rFonts w:hint="eastAsia" w:ascii="Arial Narrow" w:hAnsi="Arial Narrow" w:eastAsia="仿宋_GB2312" w:cs="Arial"/>
          <w:sz w:val="30"/>
          <w:szCs w:val="30"/>
        </w:rPr>
        <w:t>》</w:t>
      </w:r>
    </w:p>
    <w:p>
      <w:pPr>
        <w:pStyle w:val="2"/>
        <w:ind w:firstLine="600"/>
        <w:rPr>
          <w:rFonts w:ascii="Arial Narrow" w:hAnsi="Arial Narrow" w:eastAsia="仿宋_GB2312" w:cs="Arial"/>
        </w:rPr>
      </w:pPr>
      <w:bookmarkStart w:id="21" w:name="_Toc522017701"/>
      <w:r>
        <w:rPr>
          <w:rFonts w:hint="eastAsia"/>
        </w:rPr>
        <w:t>十三、建议使用的比赛器材、技术平台和场地要求</w:t>
      </w:r>
      <w:bookmarkEnd w:id="21"/>
    </w:p>
    <w:p>
      <w:pPr>
        <w:snapToGrid w:val="0"/>
        <w:spacing w:line="560" w:lineRule="exact"/>
        <w:ind w:firstLine="600" w:firstLineChars="200"/>
        <w:rPr>
          <w:rFonts w:ascii="Arial Narrow" w:hAnsi="Arial Narrow" w:eastAsia="仿宋_GB2312" w:cs="Arial"/>
          <w:sz w:val="30"/>
          <w:szCs w:val="30"/>
        </w:rPr>
      </w:pPr>
      <w:bookmarkStart w:id="22" w:name="_Toc460925254"/>
      <w:bookmarkStart w:id="23" w:name="_Toc492031234"/>
      <w:bookmarkStart w:id="24" w:name="_Toc492031533"/>
      <w:bookmarkStart w:id="25" w:name="_Toc522017423"/>
      <w:r>
        <w:rPr>
          <w:rFonts w:hint="eastAsia" w:ascii="Arial Narrow" w:hAnsi="Arial Narrow" w:eastAsia="仿宋_GB2312" w:cs="Arial"/>
          <w:sz w:val="30"/>
          <w:szCs w:val="30"/>
        </w:rPr>
        <w:t>（一）比赛器材</w:t>
      </w:r>
      <w:bookmarkEnd w:id="22"/>
      <w:bookmarkEnd w:id="23"/>
      <w:bookmarkEnd w:id="24"/>
      <w:bookmarkEnd w:id="25"/>
    </w:p>
    <w:p>
      <w:pPr>
        <w:snapToGrid w:val="0"/>
        <w:spacing w:line="560" w:lineRule="exact"/>
        <w:jc w:val="center"/>
        <w:rPr>
          <w:rFonts w:cs="Arial" w:asciiTheme="minorEastAsia" w:hAnsiTheme="minorEastAsia"/>
          <w:kern w:val="0"/>
          <w:sz w:val="24"/>
          <w:szCs w:val="24"/>
        </w:rPr>
      </w:pPr>
      <w:r>
        <w:rPr>
          <w:rFonts w:hint="eastAsia" w:cs="Arial" w:asciiTheme="minorEastAsia" w:hAnsiTheme="minorEastAsia"/>
          <w:kern w:val="0"/>
          <w:sz w:val="24"/>
          <w:szCs w:val="24"/>
        </w:rPr>
        <w:t>表10 比赛器材</w:t>
      </w:r>
    </w:p>
    <w:tbl>
      <w:tblPr>
        <w:tblStyle w:val="17"/>
        <w:tblW w:w="8522" w:type="dxa"/>
        <w:jc w:val="center"/>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2045"/>
        <w:gridCol w:w="6477"/>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PrEx>
        <w:trPr>
          <w:tblHeader/>
          <w:jc w:val="center"/>
        </w:trPr>
        <w:tc>
          <w:tcPr>
            <w:tcW w:w="2045" w:type="dxa"/>
            <w:vAlign w:val="center"/>
          </w:tcPr>
          <w:p>
            <w:pPr>
              <w:pStyle w:val="12"/>
              <w:adjustRightInd w:val="0"/>
              <w:snapToGrid w:val="0"/>
              <w:jc w:val="center"/>
              <w:rPr>
                <w:rFonts w:cs="Times New Roman"/>
                <w:b/>
                <w:kern w:val="2"/>
              </w:rPr>
            </w:pPr>
            <w:r>
              <w:rPr>
                <w:rFonts w:hint="eastAsia" w:cs="Times New Roman"/>
                <w:b/>
                <w:kern w:val="2"/>
              </w:rPr>
              <w:t>品名</w:t>
            </w:r>
          </w:p>
        </w:tc>
        <w:tc>
          <w:tcPr>
            <w:tcW w:w="6477" w:type="dxa"/>
            <w:vAlign w:val="center"/>
          </w:tcPr>
          <w:p>
            <w:pPr>
              <w:pStyle w:val="12"/>
              <w:adjustRightInd w:val="0"/>
              <w:snapToGrid w:val="0"/>
              <w:jc w:val="center"/>
              <w:rPr>
                <w:rFonts w:cs="Times New Roman"/>
                <w:b/>
                <w:kern w:val="2"/>
              </w:rPr>
            </w:pPr>
            <w:r>
              <w:rPr>
                <w:rFonts w:hint="eastAsia" w:cs="Times New Roman"/>
                <w:b/>
                <w:kern w:val="2"/>
              </w:rPr>
              <w:t>规格要求说明</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2045" w:type="dxa"/>
            <w:vAlign w:val="center"/>
          </w:tcPr>
          <w:p>
            <w:pPr>
              <w:pStyle w:val="12"/>
              <w:adjustRightInd w:val="0"/>
              <w:snapToGrid w:val="0"/>
              <w:jc w:val="both"/>
              <w:rPr>
                <w:rFonts w:asciiTheme="minorEastAsia" w:hAnsiTheme="minorEastAsia" w:eastAsiaTheme="minorEastAsia"/>
                <w:kern w:val="2"/>
              </w:rPr>
            </w:pPr>
            <w:r>
              <w:rPr>
                <w:rFonts w:hint="eastAsia" w:cs="Times New Roman" w:asciiTheme="minorEastAsia" w:hAnsiTheme="minorEastAsia" w:eastAsiaTheme="minorEastAsia"/>
                <w:kern w:val="2"/>
              </w:rPr>
              <w:t>参赛选手计算机</w:t>
            </w:r>
          </w:p>
        </w:tc>
        <w:tc>
          <w:tcPr>
            <w:tcW w:w="6477" w:type="dxa"/>
          </w:tcPr>
          <w:p>
            <w:pPr>
              <w:pStyle w:val="12"/>
              <w:adjustRightInd w:val="0"/>
              <w:snapToGrid w:val="0"/>
              <w:jc w:val="both"/>
              <w:rPr>
                <w:color w:val="0D0D0D"/>
                <w:kern w:val="2"/>
              </w:rPr>
            </w:pPr>
            <w:r>
              <w:rPr>
                <w:rFonts w:hint="eastAsia"/>
                <w:kern w:val="2"/>
                <w:szCs w:val="21"/>
              </w:rPr>
              <w:t>CPU：酷睿I3 双核3.0以上；内存：4G（含）以上；硬盘：100G以上；网卡：百兆网卡；操作系统：Microsoft Windows7操作系统，office 2010,Internet Explorer9.0、Google Chrome浏览器，预装五笔、微软拼音、搜狗拼音等中文输入法和英文输入法，屏蔽usb等外接存储设备接口。</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2045" w:type="dxa"/>
            <w:vAlign w:val="center"/>
          </w:tcPr>
          <w:p>
            <w:pPr>
              <w:pStyle w:val="12"/>
              <w:adjustRightInd w:val="0"/>
              <w:snapToGrid w:val="0"/>
              <w:jc w:val="both"/>
              <w:rPr>
                <w:rFonts w:cs="Times New Roman" w:asciiTheme="minorEastAsia" w:hAnsiTheme="minorEastAsia" w:eastAsiaTheme="minorEastAsia"/>
                <w:kern w:val="2"/>
              </w:rPr>
            </w:pPr>
            <w:r>
              <w:rPr>
                <w:rFonts w:hint="eastAsia" w:cs="Times New Roman" w:asciiTheme="minorEastAsia" w:hAnsiTheme="minorEastAsia" w:eastAsiaTheme="minorEastAsia"/>
                <w:kern w:val="2"/>
              </w:rPr>
              <w:t>网络连接设备</w:t>
            </w:r>
          </w:p>
        </w:tc>
        <w:tc>
          <w:tcPr>
            <w:tcW w:w="6477" w:type="dxa"/>
            <w:vAlign w:val="center"/>
          </w:tcPr>
          <w:p>
            <w:pPr>
              <w:pStyle w:val="12"/>
              <w:adjustRightInd w:val="0"/>
              <w:snapToGrid w:val="0"/>
              <w:jc w:val="both"/>
              <w:rPr>
                <w:rFonts w:cs="Times New Roman" w:asciiTheme="minorEastAsia" w:hAnsiTheme="minorEastAsia" w:eastAsiaTheme="minorEastAsia"/>
                <w:kern w:val="2"/>
              </w:rPr>
            </w:pPr>
            <w:r>
              <w:rPr>
                <w:rFonts w:hint="eastAsia" w:cs="Times New Roman" w:asciiTheme="minorEastAsia" w:hAnsiTheme="minorEastAsia" w:eastAsiaTheme="minorEastAsia"/>
                <w:kern w:val="2"/>
              </w:rPr>
              <w:t>提供网络布线、交换机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2045" w:type="dxa"/>
            <w:vAlign w:val="center"/>
          </w:tcPr>
          <w:p>
            <w:pPr>
              <w:pStyle w:val="12"/>
              <w:adjustRightInd w:val="0"/>
              <w:snapToGrid w:val="0"/>
              <w:jc w:val="both"/>
              <w:rPr>
                <w:kern w:val="2"/>
              </w:rPr>
            </w:pPr>
            <w:r>
              <w:rPr>
                <w:rFonts w:hint="eastAsia" w:cs="Times New Roman"/>
                <w:kern w:val="2"/>
              </w:rPr>
              <w:t>竞赛服务器</w:t>
            </w:r>
          </w:p>
        </w:tc>
        <w:tc>
          <w:tcPr>
            <w:tcW w:w="6477" w:type="dxa"/>
            <w:vAlign w:val="center"/>
          </w:tcPr>
          <w:p>
            <w:pPr>
              <w:pStyle w:val="12"/>
              <w:adjustRightInd w:val="0"/>
              <w:snapToGrid w:val="0"/>
              <w:jc w:val="both"/>
              <w:rPr>
                <w:kern w:val="2"/>
              </w:rPr>
            </w:pPr>
            <w:r>
              <w:rPr>
                <w:rFonts w:hint="eastAsia"/>
                <w:kern w:val="2"/>
                <w:szCs w:val="21"/>
              </w:rPr>
              <w:t>CPU：Xeon 2.0G（双核）以上；内存：16GB（含）以上；硬盘：2T（含）以上，有C盘，D盘两个以上硬盘分区；网卡：千兆网卡；操作系统： Windows Server 2008 R2 SP1（或Windows Server 2008 Service Pack 2、Windows Server 2012、Windows Server 2012 R2），安装IIS 7.0以上；数据库： Microsoft SQL Server 2008 R2</w:t>
            </w:r>
          </w:p>
        </w:tc>
      </w:tr>
    </w:tbl>
    <w:p>
      <w:pPr>
        <w:snapToGrid w:val="0"/>
        <w:spacing w:line="560" w:lineRule="exact"/>
        <w:ind w:firstLine="600" w:firstLineChars="200"/>
        <w:rPr>
          <w:rFonts w:ascii="仿宋_GB2312" w:hAnsi="Arial Narrow" w:eastAsia="仿宋_GB2312" w:cs="Arial"/>
          <w:sz w:val="30"/>
          <w:szCs w:val="30"/>
        </w:rPr>
      </w:pPr>
      <w:bookmarkStart w:id="26" w:name="_Toc460925255"/>
      <w:r>
        <w:rPr>
          <w:rFonts w:hint="eastAsia" w:ascii="仿宋_GB2312" w:hAnsi="Arial Narrow" w:eastAsia="仿宋_GB2312" w:cs="Arial"/>
          <w:sz w:val="30"/>
          <w:szCs w:val="30"/>
        </w:rPr>
        <w:t>（二）技术平台</w:t>
      </w:r>
      <w:bookmarkEnd w:id="26"/>
    </w:p>
    <w:p>
      <w:pPr>
        <w:snapToGrid w:val="0"/>
        <w:spacing w:line="560" w:lineRule="exact"/>
        <w:ind w:firstLine="600" w:firstLineChars="200"/>
        <w:rPr>
          <w:rFonts w:ascii="仿宋_GB2312" w:hAnsi="Arial Narrow" w:eastAsia="仿宋_GB2312" w:cs="Arial"/>
          <w:sz w:val="30"/>
          <w:szCs w:val="30"/>
        </w:rPr>
      </w:pPr>
      <w:r>
        <w:rPr>
          <w:rFonts w:hint="eastAsia" w:ascii="仿宋_GB2312" w:hAnsi="Arial Narrow" w:eastAsia="仿宋_GB2312" w:cs="Arial"/>
          <w:sz w:val="30"/>
          <w:szCs w:val="30"/>
        </w:rPr>
        <w:t>竞赛所采用技术平台为互联网+国际贸易综合技能实训与竞赛平台软件。</w:t>
      </w:r>
    </w:p>
    <w:p>
      <w:pPr>
        <w:snapToGrid w:val="0"/>
        <w:spacing w:line="560" w:lineRule="exact"/>
        <w:ind w:firstLine="600" w:firstLineChars="200"/>
        <w:rPr>
          <w:rFonts w:ascii="仿宋_GB2312" w:hAnsi="Arial Narrow" w:eastAsia="仿宋_GB2312" w:cs="Arial"/>
          <w:sz w:val="30"/>
          <w:szCs w:val="30"/>
        </w:rPr>
      </w:pPr>
      <w:bookmarkStart w:id="27" w:name="_Toc460925256"/>
      <w:r>
        <w:rPr>
          <w:rFonts w:hint="eastAsia" w:ascii="仿宋_GB2312" w:hAnsi="Arial Narrow" w:eastAsia="仿宋_GB2312" w:cs="Arial"/>
          <w:sz w:val="30"/>
          <w:szCs w:val="30"/>
        </w:rPr>
        <w:t>（三）场地要求</w:t>
      </w:r>
      <w:bookmarkEnd w:id="27"/>
    </w:p>
    <w:p>
      <w:pPr>
        <w:snapToGrid w:val="0"/>
        <w:spacing w:line="560" w:lineRule="exact"/>
        <w:ind w:firstLine="600" w:firstLineChars="200"/>
        <w:rPr>
          <w:rFonts w:ascii="仿宋_GB2312" w:hAnsi="Arial Narrow" w:eastAsia="仿宋_GB2312" w:cs="Arial"/>
          <w:sz w:val="30"/>
          <w:szCs w:val="30"/>
        </w:rPr>
      </w:pPr>
      <w:r>
        <w:rPr>
          <w:rFonts w:hint="eastAsia" w:ascii="仿宋_GB2312" w:hAnsi="Arial Narrow" w:eastAsia="仿宋_GB2312" w:cs="Arial"/>
          <w:sz w:val="30"/>
          <w:szCs w:val="30"/>
        </w:rPr>
        <w:t>1.</w:t>
      </w:r>
      <w:r>
        <w:rPr>
          <w:rFonts w:hint="eastAsia"/>
        </w:rPr>
        <w:t xml:space="preserve"> </w:t>
      </w:r>
      <w:r>
        <w:rPr>
          <w:rFonts w:hint="eastAsia" w:ascii="仿宋_GB2312" w:hAnsi="Arial Narrow" w:eastAsia="仿宋_GB2312" w:cs="Arial"/>
          <w:sz w:val="30"/>
          <w:szCs w:val="30"/>
        </w:rPr>
        <w:t>竞赛根据模块设置不同竞赛场地，其中外贸业务能力B2B模块和外贸跟单能力模块使用同一竞赛场地。</w:t>
      </w:r>
    </w:p>
    <w:p>
      <w:pPr>
        <w:snapToGrid w:val="0"/>
        <w:spacing w:line="560" w:lineRule="exact"/>
        <w:ind w:firstLine="600" w:firstLineChars="200"/>
        <w:rPr>
          <w:rFonts w:ascii="仿宋_GB2312" w:hAnsi="Arial Narrow" w:eastAsia="仿宋_GB2312" w:cs="Arial"/>
          <w:sz w:val="30"/>
          <w:szCs w:val="30"/>
        </w:rPr>
      </w:pPr>
      <w:r>
        <w:rPr>
          <w:rFonts w:hint="eastAsia" w:ascii="仿宋_GB2312" w:hAnsi="Arial Narrow" w:eastAsia="仿宋_GB2312" w:cs="Arial"/>
          <w:sz w:val="30"/>
          <w:szCs w:val="30"/>
        </w:rPr>
        <w:t>外贸业务能力B2B模块和外贸跟单能力模块所使用的竞赛场地设在体育馆或电脑机房，场地内设置满足80个团队的竞赛环境，场地将根据报名参赛队伍数量分隔成多个区域，每个区域内设置多个赛位。一个参赛队的每个小组的两名选手一个机位，每个机位两台电脑，其中一台电脑备用，桌椅备足。比赛期间，每个参赛队的2组选手被分配在不同的区域。比赛连续进行，比赛过程中不同组选手不允许进行接触和交流。</w:t>
      </w:r>
    </w:p>
    <w:p>
      <w:pPr>
        <w:snapToGrid w:val="0"/>
        <w:spacing w:line="560" w:lineRule="exact"/>
        <w:ind w:firstLine="600" w:firstLineChars="200"/>
        <w:rPr>
          <w:rFonts w:ascii="仿宋_GB2312" w:hAnsi="Arial Narrow" w:eastAsia="仿宋_GB2312" w:cs="Arial"/>
          <w:sz w:val="30"/>
          <w:szCs w:val="30"/>
        </w:rPr>
      </w:pPr>
      <w:r>
        <w:rPr>
          <w:rFonts w:hint="eastAsia" w:ascii="仿宋_GB2312" w:hAnsi="Arial Narrow" w:eastAsia="仿宋_GB2312" w:cs="Arial"/>
          <w:sz w:val="30"/>
          <w:szCs w:val="30"/>
        </w:rPr>
        <w:t>外贸业务能力B2C模块竞赛场地配备一定数量的计算机及备用机，可满足一定数量的选手同时进行比赛。比赛期间，不同组选手不允许进行接触和交流。</w:t>
      </w:r>
    </w:p>
    <w:p>
      <w:pPr>
        <w:snapToGrid w:val="0"/>
        <w:spacing w:line="560" w:lineRule="exact"/>
        <w:ind w:firstLine="600" w:firstLineChars="200"/>
        <w:rPr>
          <w:rFonts w:ascii="仿宋_GB2312" w:hAnsi="Arial Narrow" w:eastAsia="仿宋_GB2312" w:cs="Arial"/>
          <w:sz w:val="30"/>
          <w:szCs w:val="30"/>
        </w:rPr>
      </w:pPr>
      <w:r>
        <w:rPr>
          <w:rFonts w:hint="eastAsia" w:ascii="仿宋_GB2312" w:hAnsi="Arial Narrow" w:eastAsia="仿宋_GB2312" w:cs="Arial"/>
          <w:sz w:val="30"/>
          <w:szCs w:val="30"/>
        </w:rPr>
        <w:t>外贸英语沟通能力模块竞赛场地设候赛室、备赛室、赛室及完赛隔离区。</w:t>
      </w:r>
    </w:p>
    <w:p>
      <w:pPr>
        <w:snapToGrid w:val="0"/>
        <w:spacing w:line="560" w:lineRule="exact"/>
        <w:ind w:firstLine="600" w:firstLineChars="200"/>
        <w:rPr>
          <w:rFonts w:ascii="仿宋_GB2312" w:hAnsi="Arial Narrow" w:eastAsia="仿宋_GB2312" w:cs="Arial"/>
          <w:sz w:val="30"/>
          <w:szCs w:val="30"/>
        </w:rPr>
      </w:pPr>
      <w:r>
        <w:rPr>
          <w:rFonts w:hint="eastAsia" w:ascii="仿宋_GB2312" w:hAnsi="Arial Narrow" w:eastAsia="仿宋_GB2312" w:cs="Arial"/>
          <w:sz w:val="30"/>
          <w:szCs w:val="30"/>
        </w:rPr>
        <w:t>2.竞赛主场地内设置主席台、裁判席，便于竞赛全程的监督。</w:t>
      </w:r>
    </w:p>
    <w:p>
      <w:pPr>
        <w:snapToGrid w:val="0"/>
        <w:spacing w:line="560" w:lineRule="exact"/>
        <w:ind w:firstLine="600" w:firstLineChars="200"/>
        <w:rPr>
          <w:rFonts w:ascii="仿宋_GB2312" w:hAnsi="Arial Narrow" w:eastAsia="仿宋_GB2312" w:cs="Arial"/>
          <w:sz w:val="30"/>
          <w:szCs w:val="30"/>
        </w:rPr>
      </w:pPr>
      <w:r>
        <w:rPr>
          <w:rFonts w:hint="eastAsia" w:ascii="仿宋_GB2312" w:hAnsi="Arial Narrow" w:eastAsia="仿宋_GB2312" w:cs="Arial"/>
          <w:sz w:val="30"/>
          <w:szCs w:val="30"/>
        </w:rPr>
        <w:t>3.竞赛场地内设置背景板、宣传横幅及壁挂图，营造竞赛氛围。</w:t>
      </w:r>
    </w:p>
    <w:p>
      <w:pPr>
        <w:snapToGrid w:val="0"/>
        <w:spacing w:line="560" w:lineRule="exact"/>
        <w:ind w:firstLine="600" w:firstLineChars="200"/>
        <w:rPr>
          <w:rFonts w:ascii="仿宋_GB2312" w:hAnsi="Arial Narrow" w:eastAsia="仿宋_GB2312" w:cs="Arial"/>
          <w:sz w:val="30"/>
          <w:szCs w:val="30"/>
        </w:rPr>
      </w:pPr>
      <w:r>
        <w:rPr>
          <w:rFonts w:hint="eastAsia" w:ascii="仿宋_GB2312" w:hAnsi="Arial Narrow" w:eastAsia="仿宋_GB2312" w:cs="Arial"/>
          <w:sz w:val="30"/>
          <w:szCs w:val="30"/>
        </w:rPr>
        <w:t>4.局域网络。采用星形网络拓扑结构，安装千兆交换机。网线与电源线隐蔽铺设。采用独立网络环境，不连接INTERNET，禁止外部电脑接入。</w:t>
      </w:r>
    </w:p>
    <w:p>
      <w:pPr>
        <w:snapToGrid w:val="0"/>
        <w:spacing w:line="560" w:lineRule="exact"/>
        <w:ind w:firstLine="600" w:firstLineChars="200"/>
        <w:rPr>
          <w:rFonts w:ascii="仿宋_GB2312" w:hAnsi="Arial Narrow" w:eastAsia="仿宋_GB2312" w:cs="Arial"/>
          <w:sz w:val="30"/>
          <w:szCs w:val="30"/>
        </w:rPr>
      </w:pPr>
      <w:r>
        <w:rPr>
          <w:rFonts w:hint="eastAsia" w:ascii="仿宋_GB2312" w:hAnsi="Arial Narrow" w:eastAsia="仿宋_GB2312" w:cs="Arial"/>
          <w:sz w:val="30"/>
          <w:szCs w:val="30"/>
        </w:rPr>
        <w:t>5.安全保障。采用统一的杀毒软件对服务器进行防毒保护。屏蔽竞赛现场使用的电脑USB接口。部署具有网络管理、账号管理和日志管理功能的综合监控系统。</w:t>
      </w:r>
    </w:p>
    <w:p>
      <w:pPr>
        <w:snapToGrid w:val="0"/>
        <w:spacing w:line="560" w:lineRule="exact"/>
        <w:ind w:firstLine="600" w:firstLineChars="200"/>
        <w:rPr>
          <w:rFonts w:ascii="仿宋_GB2312" w:hAnsi="Arial Narrow" w:eastAsia="仿宋_GB2312" w:cs="Arial"/>
          <w:sz w:val="30"/>
          <w:szCs w:val="30"/>
        </w:rPr>
      </w:pPr>
      <w:r>
        <w:rPr>
          <w:rFonts w:hint="eastAsia" w:ascii="仿宋_GB2312" w:hAnsi="Arial Narrow" w:eastAsia="仿宋_GB2312" w:cs="Arial"/>
          <w:sz w:val="30"/>
          <w:szCs w:val="30"/>
        </w:rPr>
        <w:t>6.采用双路供电；利用UPS防止现场因突然断电导致的系统数据丢失，额定功率：3KVA，后备时间：2小时，电池类型：输出电压：230V±5%V。</w:t>
      </w:r>
    </w:p>
    <w:p>
      <w:pPr>
        <w:pStyle w:val="2"/>
        <w:ind w:firstLine="600"/>
        <w:rPr>
          <w:rFonts w:ascii="Arial Narrow" w:hAnsi="Arial Narrow" w:eastAsia="仿宋_GB2312" w:cs="Arial"/>
        </w:rPr>
      </w:pPr>
      <w:bookmarkStart w:id="28" w:name="_Toc522017702"/>
      <w:r>
        <w:rPr>
          <w:rFonts w:hint="eastAsia"/>
        </w:rPr>
        <w:t>十四、安全保障</w:t>
      </w:r>
      <w:bookmarkEnd w:id="28"/>
    </w:p>
    <w:p>
      <w:pPr>
        <w:spacing w:line="560" w:lineRule="exact"/>
        <w:ind w:firstLine="600" w:firstLineChars="200"/>
        <w:rPr>
          <w:rFonts w:ascii="仿宋_GB2312" w:hAnsi="Arial Narrow" w:eastAsia="仿宋_GB2312" w:cs="宋体"/>
          <w:sz w:val="30"/>
          <w:szCs w:val="30"/>
        </w:rPr>
      </w:pPr>
      <w:r>
        <w:rPr>
          <w:rFonts w:hint="eastAsia" w:ascii="仿宋_GB2312" w:hAnsi="Arial Narrow" w:eastAsia="仿宋_GB2312" w:cs="宋体"/>
          <w:sz w:val="30"/>
          <w:szCs w:val="30"/>
        </w:rPr>
        <w:t>赛事安全是技能竞赛一切工作顺利开展的先决条件，是赛事筹备和运行工作必须考虑的核心问题。赛项执委会采取切实有效措施保证大赛期间参赛选手、指导教师、工作人员及观众的人身安全。</w:t>
      </w:r>
    </w:p>
    <w:p>
      <w:pPr>
        <w:spacing w:line="560" w:lineRule="exact"/>
        <w:ind w:firstLine="600" w:firstLineChars="200"/>
        <w:rPr>
          <w:rFonts w:ascii="仿宋_GB2312" w:hAnsi="Arial Narrow" w:eastAsia="仿宋_GB2312" w:cs="宋体"/>
          <w:sz w:val="30"/>
          <w:szCs w:val="30"/>
        </w:rPr>
      </w:pPr>
      <w:r>
        <w:rPr>
          <w:rFonts w:hint="eastAsia" w:ascii="仿宋_GB2312" w:hAnsi="Arial Narrow" w:eastAsia="仿宋_GB2312" w:cs="宋体"/>
          <w:sz w:val="30"/>
          <w:szCs w:val="30"/>
        </w:rPr>
        <w:t>（一）比赛环境</w:t>
      </w:r>
    </w:p>
    <w:p>
      <w:pPr>
        <w:spacing w:line="560" w:lineRule="exact"/>
        <w:ind w:firstLine="600" w:firstLineChars="200"/>
        <w:rPr>
          <w:rFonts w:ascii="仿宋_GB2312" w:hAnsi="Arial Narrow" w:eastAsia="仿宋_GB2312" w:cs="宋体"/>
          <w:sz w:val="30"/>
          <w:szCs w:val="30"/>
        </w:rPr>
      </w:pPr>
      <w:r>
        <w:rPr>
          <w:rFonts w:hint="eastAsia" w:ascii="仿宋_GB2312" w:hAnsi="Arial Narrow" w:eastAsia="仿宋_GB2312" w:cs="宋体"/>
          <w:sz w:val="30"/>
          <w:szCs w:val="30"/>
        </w:rPr>
        <w:t>1.执委会在赛前组织专人对比赛现场、住宿场所和交通保障进行考察，并对安全工作提出明确要求。赛场的布置，赛场内的器材、设备，应符合国家有关安全规定。如有必要，也可进行赛场仿真模拟测试，以发现可能出现的问题。承办单位赛前须按照执委会要求排除安全隐患。</w:t>
      </w:r>
    </w:p>
    <w:p>
      <w:pPr>
        <w:spacing w:line="560" w:lineRule="exact"/>
        <w:ind w:firstLine="600" w:firstLineChars="200"/>
        <w:rPr>
          <w:rFonts w:ascii="仿宋_GB2312" w:hAnsi="Arial Narrow" w:eastAsia="仿宋_GB2312" w:cs="宋体"/>
          <w:sz w:val="30"/>
          <w:szCs w:val="30"/>
        </w:rPr>
      </w:pPr>
      <w:r>
        <w:rPr>
          <w:rFonts w:hint="eastAsia" w:ascii="仿宋_GB2312" w:hAnsi="Arial Narrow" w:eastAsia="仿宋_GB2312" w:cs="宋体"/>
          <w:sz w:val="30"/>
          <w:szCs w:val="30"/>
        </w:rPr>
        <w:t>2.赛场周围设立警戒线，防止无关人员进入发生意外事件。</w:t>
      </w:r>
    </w:p>
    <w:p>
      <w:pPr>
        <w:spacing w:line="560" w:lineRule="exact"/>
        <w:ind w:firstLine="600" w:firstLineChars="200"/>
        <w:rPr>
          <w:rFonts w:ascii="仿宋_GB2312" w:hAnsi="Arial Narrow" w:eastAsia="仿宋_GB2312" w:cs="宋体"/>
          <w:sz w:val="30"/>
          <w:szCs w:val="30"/>
        </w:rPr>
      </w:pPr>
      <w:r>
        <w:rPr>
          <w:rFonts w:hint="eastAsia" w:ascii="仿宋_GB2312" w:hAnsi="Arial Narrow" w:eastAsia="仿宋_GB2312" w:cs="宋体"/>
          <w:sz w:val="30"/>
          <w:szCs w:val="30"/>
        </w:rPr>
        <w:t>3.承办单位应提供保证应急预案实施的条件。</w:t>
      </w:r>
    </w:p>
    <w:p>
      <w:pPr>
        <w:spacing w:line="560" w:lineRule="exact"/>
        <w:ind w:firstLine="600" w:firstLineChars="200"/>
        <w:rPr>
          <w:rFonts w:ascii="仿宋_GB2312" w:hAnsi="Arial Narrow" w:eastAsia="仿宋_GB2312" w:cs="宋体"/>
          <w:sz w:val="30"/>
          <w:szCs w:val="30"/>
        </w:rPr>
      </w:pPr>
      <w:r>
        <w:rPr>
          <w:rFonts w:hint="eastAsia" w:ascii="仿宋_GB2312" w:hAnsi="Arial Narrow" w:eastAsia="仿宋_GB2312" w:cs="宋体"/>
          <w:sz w:val="30"/>
          <w:szCs w:val="30"/>
        </w:rPr>
        <w:t>4.执委会会同承办单位制定开放赛场和体验区的人员疏导方案。赛场环境中存在人员密集的区域，除了设置齐全的指示标志外，增加引导人员，并开辟备用通道。</w:t>
      </w:r>
    </w:p>
    <w:p>
      <w:pPr>
        <w:spacing w:line="560" w:lineRule="exact"/>
        <w:ind w:firstLine="600" w:firstLineChars="200"/>
        <w:rPr>
          <w:rFonts w:ascii="仿宋_GB2312" w:hAnsi="Arial Narrow" w:eastAsia="仿宋_GB2312" w:cs="宋体"/>
          <w:sz w:val="30"/>
          <w:szCs w:val="30"/>
        </w:rPr>
      </w:pPr>
      <w:r>
        <w:rPr>
          <w:rFonts w:hint="eastAsia" w:ascii="仿宋_GB2312" w:hAnsi="Arial Narrow" w:eastAsia="仿宋_GB2312" w:cs="宋体"/>
          <w:sz w:val="30"/>
          <w:szCs w:val="30"/>
        </w:rPr>
        <w:t>5.大赛期间，承办单位须在赛场管理的关键岗位，增加力量，建立安全管理日志。</w:t>
      </w:r>
    </w:p>
    <w:p>
      <w:pPr>
        <w:spacing w:line="560" w:lineRule="exact"/>
        <w:ind w:firstLine="600" w:firstLineChars="200"/>
        <w:rPr>
          <w:rFonts w:ascii="仿宋_GB2312" w:hAnsi="Arial Narrow" w:eastAsia="仿宋_GB2312" w:cs="宋体"/>
          <w:sz w:val="30"/>
          <w:szCs w:val="30"/>
        </w:rPr>
      </w:pPr>
      <w:r>
        <w:rPr>
          <w:rFonts w:hint="eastAsia" w:ascii="仿宋_GB2312" w:hAnsi="Arial Narrow" w:eastAsia="仿宋_GB2312" w:cs="宋体"/>
          <w:sz w:val="30"/>
          <w:szCs w:val="30"/>
        </w:rPr>
        <w:t>6.参赛选手进入赛位，赛事裁判及工作人员进入竞赛场所，严禁携带通讯、照相摄录设备，禁止携带记录用具。如确有需要，由赛场统一配置、统一管理。赛项可根据需要配置安检设备对进入赛场重要部位的人员进行安检。</w:t>
      </w:r>
    </w:p>
    <w:p>
      <w:pPr>
        <w:spacing w:line="560" w:lineRule="exact"/>
        <w:ind w:firstLine="600" w:firstLineChars="200"/>
        <w:rPr>
          <w:rFonts w:ascii="仿宋_GB2312" w:hAnsi="Arial Narrow" w:eastAsia="仿宋_GB2312" w:cs="宋体"/>
          <w:sz w:val="30"/>
          <w:szCs w:val="30"/>
        </w:rPr>
      </w:pPr>
      <w:r>
        <w:rPr>
          <w:rFonts w:hint="eastAsia" w:ascii="仿宋_GB2312" w:hAnsi="Arial Narrow" w:eastAsia="仿宋_GB2312" w:cs="宋体"/>
          <w:sz w:val="30"/>
          <w:szCs w:val="30"/>
        </w:rPr>
        <w:t>（二）生活条件</w:t>
      </w:r>
    </w:p>
    <w:p>
      <w:pPr>
        <w:spacing w:line="560" w:lineRule="exact"/>
        <w:ind w:firstLine="600" w:firstLineChars="200"/>
        <w:rPr>
          <w:rFonts w:ascii="仿宋_GB2312" w:hAnsi="Arial Narrow" w:eastAsia="仿宋_GB2312" w:cs="宋体"/>
          <w:sz w:val="30"/>
          <w:szCs w:val="30"/>
        </w:rPr>
      </w:pPr>
      <w:r>
        <w:rPr>
          <w:rFonts w:hint="eastAsia" w:ascii="仿宋_GB2312" w:hAnsi="Arial Narrow" w:eastAsia="仿宋_GB2312" w:cs="宋体"/>
          <w:sz w:val="30"/>
          <w:szCs w:val="30"/>
        </w:rPr>
        <w:t>1.比赛期间，原则上由执委会统一安排参赛选手和指导教师食宿。承办单位须尊重少数民族的信仰及文化，根据国家相关的民族政策，安排好少数民族选手和教师的饮食起居。</w:t>
      </w:r>
    </w:p>
    <w:p>
      <w:pPr>
        <w:spacing w:line="560" w:lineRule="exact"/>
        <w:ind w:firstLine="600" w:firstLineChars="200"/>
        <w:rPr>
          <w:rFonts w:ascii="仿宋_GB2312" w:hAnsi="Arial Narrow" w:eastAsia="仿宋_GB2312" w:cs="宋体"/>
          <w:sz w:val="30"/>
          <w:szCs w:val="30"/>
        </w:rPr>
      </w:pPr>
      <w:r>
        <w:rPr>
          <w:rFonts w:hint="eastAsia" w:ascii="仿宋_GB2312" w:hAnsi="Arial Narrow" w:eastAsia="仿宋_GB2312" w:cs="宋体"/>
          <w:sz w:val="30"/>
          <w:szCs w:val="30"/>
        </w:rPr>
        <w:t>2.比赛期间安排的住宿地应具有宾馆/住宿经营许可资质。以学校宿舍作为住宿地的，大赛期间的住宿、卫生、饮食安全等由执委会和提供宿舍的学校共同负责。</w:t>
      </w:r>
    </w:p>
    <w:p>
      <w:pPr>
        <w:spacing w:line="560" w:lineRule="exact"/>
        <w:ind w:firstLine="600" w:firstLineChars="200"/>
        <w:rPr>
          <w:rFonts w:ascii="仿宋_GB2312" w:hAnsi="Arial Narrow" w:eastAsia="仿宋_GB2312" w:cs="宋体"/>
          <w:sz w:val="30"/>
          <w:szCs w:val="30"/>
        </w:rPr>
      </w:pPr>
      <w:r>
        <w:rPr>
          <w:rFonts w:hint="eastAsia" w:ascii="仿宋_GB2312" w:hAnsi="Arial Narrow" w:eastAsia="仿宋_GB2312" w:cs="宋体"/>
          <w:sz w:val="30"/>
          <w:szCs w:val="30"/>
        </w:rPr>
        <w:t>3.大赛期间有组织的参观和观摩活动的交通安全由执委会负责。执委会和承办单位须保证比赛期间选手、指导教师和裁判员、工作人员的交通安全。</w:t>
      </w:r>
    </w:p>
    <w:p>
      <w:pPr>
        <w:spacing w:line="560" w:lineRule="exact"/>
        <w:ind w:firstLine="600" w:firstLineChars="200"/>
        <w:rPr>
          <w:rFonts w:ascii="仿宋_GB2312" w:hAnsi="Arial Narrow" w:eastAsia="仿宋_GB2312" w:cs="宋体"/>
          <w:sz w:val="30"/>
          <w:szCs w:val="30"/>
        </w:rPr>
      </w:pPr>
      <w:r>
        <w:rPr>
          <w:rFonts w:hint="eastAsia" w:ascii="仿宋_GB2312" w:hAnsi="Arial Narrow" w:eastAsia="仿宋_GB2312" w:cs="宋体"/>
          <w:sz w:val="30"/>
          <w:szCs w:val="30"/>
        </w:rPr>
        <w:t>4.各赛项的安全管理，除了可以采取必要的安全隔离措施外，应严格遵守国家相关法律法规，保护个人隐私和人身自由。</w:t>
      </w:r>
    </w:p>
    <w:p>
      <w:pPr>
        <w:spacing w:line="560" w:lineRule="exact"/>
        <w:ind w:firstLine="600" w:firstLineChars="200"/>
        <w:rPr>
          <w:rFonts w:ascii="仿宋_GB2312" w:hAnsi="Arial Narrow" w:eastAsia="仿宋_GB2312" w:cs="宋体"/>
          <w:sz w:val="30"/>
          <w:szCs w:val="30"/>
        </w:rPr>
      </w:pPr>
      <w:r>
        <w:rPr>
          <w:rFonts w:hint="eastAsia" w:ascii="仿宋_GB2312" w:hAnsi="Arial Narrow" w:eastAsia="仿宋_GB2312" w:cs="宋体"/>
          <w:sz w:val="30"/>
          <w:szCs w:val="30"/>
        </w:rPr>
        <w:t>（三）组队责任</w:t>
      </w:r>
    </w:p>
    <w:p>
      <w:pPr>
        <w:spacing w:line="560" w:lineRule="exact"/>
        <w:ind w:firstLine="600" w:firstLineChars="200"/>
        <w:rPr>
          <w:rFonts w:ascii="仿宋_GB2312" w:hAnsi="Arial Narrow" w:eastAsia="仿宋_GB2312" w:cs="宋体"/>
          <w:sz w:val="30"/>
          <w:szCs w:val="30"/>
        </w:rPr>
      </w:pPr>
      <w:r>
        <w:rPr>
          <w:rFonts w:hint="eastAsia" w:ascii="仿宋_GB2312" w:hAnsi="Arial Narrow" w:eastAsia="仿宋_GB2312" w:cs="宋体"/>
          <w:sz w:val="30"/>
          <w:szCs w:val="30"/>
        </w:rPr>
        <w:t>1.各学校组织代表队时，须安排为参赛选手购买大赛期间的人身意外伤害保险。</w:t>
      </w:r>
    </w:p>
    <w:p>
      <w:pPr>
        <w:spacing w:line="560" w:lineRule="exact"/>
        <w:ind w:firstLine="600" w:firstLineChars="200"/>
        <w:rPr>
          <w:rFonts w:ascii="仿宋_GB2312" w:hAnsi="Arial Narrow" w:eastAsia="仿宋_GB2312" w:cs="宋体"/>
          <w:sz w:val="30"/>
          <w:szCs w:val="30"/>
        </w:rPr>
      </w:pPr>
      <w:r>
        <w:rPr>
          <w:rFonts w:hint="eastAsia" w:ascii="仿宋_GB2312" w:hAnsi="Arial Narrow" w:eastAsia="仿宋_GB2312" w:cs="宋体"/>
          <w:sz w:val="30"/>
          <w:szCs w:val="30"/>
        </w:rPr>
        <w:t>2.各学校代表队组成后，须制定相关管理制度，并对所有选手、指导教师进行安全教育。</w:t>
      </w:r>
    </w:p>
    <w:p>
      <w:pPr>
        <w:spacing w:line="560" w:lineRule="exact"/>
        <w:ind w:firstLine="600" w:firstLineChars="200"/>
        <w:rPr>
          <w:rFonts w:ascii="仿宋_GB2312" w:hAnsi="Arial Narrow" w:eastAsia="仿宋_GB2312" w:cs="宋体"/>
          <w:sz w:val="30"/>
          <w:szCs w:val="30"/>
        </w:rPr>
      </w:pPr>
      <w:r>
        <w:rPr>
          <w:rFonts w:hint="eastAsia" w:ascii="仿宋_GB2312" w:hAnsi="Arial Narrow" w:eastAsia="仿宋_GB2312" w:cs="宋体"/>
          <w:sz w:val="30"/>
          <w:szCs w:val="30"/>
        </w:rPr>
        <w:t>3.各参赛队伍须加强对参与比赛人员的安全管理，实现与赛场安全管理的对接。</w:t>
      </w:r>
    </w:p>
    <w:p>
      <w:pPr>
        <w:spacing w:line="560" w:lineRule="exact"/>
        <w:ind w:firstLine="600" w:firstLineChars="200"/>
        <w:rPr>
          <w:rFonts w:ascii="仿宋_GB2312" w:hAnsi="Arial Narrow" w:eastAsia="仿宋_GB2312" w:cs="宋体"/>
          <w:sz w:val="30"/>
          <w:szCs w:val="30"/>
        </w:rPr>
      </w:pPr>
      <w:r>
        <w:rPr>
          <w:rFonts w:hint="eastAsia" w:ascii="仿宋_GB2312" w:hAnsi="Arial Narrow" w:eastAsia="仿宋_GB2312" w:cs="宋体"/>
          <w:sz w:val="30"/>
          <w:szCs w:val="30"/>
        </w:rPr>
        <w:t>（四）应急处理</w:t>
      </w:r>
    </w:p>
    <w:p>
      <w:pPr>
        <w:spacing w:line="560" w:lineRule="exact"/>
        <w:ind w:firstLine="600" w:firstLineChars="200"/>
        <w:rPr>
          <w:rFonts w:ascii="仿宋_GB2312" w:hAnsi="Arial Narrow" w:eastAsia="仿宋_GB2312" w:cs="宋体"/>
          <w:sz w:val="30"/>
          <w:szCs w:val="30"/>
        </w:rPr>
      </w:pPr>
      <w:r>
        <w:rPr>
          <w:rFonts w:hint="eastAsia" w:ascii="仿宋_GB2312" w:hAnsi="Arial Narrow" w:eastAsia="仿宋_GB2312" w:cs="宋体"/>
          <w:sz w:val="30"/>
          <w:szCs w:val="30"/>
        </w:rPr>
        <w:t>比赛期间发生意外事故，发现者应第一时间报告赛项执委会，同时采取措施避免事态扩大。赛项执委会应立即启动预案予以解决并上报大赛执委会。赛项出现重大安全问题可以停赛，是否停赛由赛项执委会决定。事后，赛项执委会应向大赛执委会报告详细情况。</w:t>
      </w:r>
    </w:p>
    <w:p>
      <w:pPr>
        <w:spacing w:line="560" w:lineRule="exact"/>
        <w:ind w:firstLine="600" w:firstLineChars="200"/>
        <w:rPr>
          <w:rFonts w:ascii="仿宋_GB2312" w:hAnsi="Arial Narrow" w:eastAsia="仿宋_GB2312" w:cs="宋体"/>
          <w:sz w:val="30"/>
          <w:szCs w:val="30"/>
        </w:rPr>
      </w:pPr>
      <w:r>
        <w:rPr>
          <w:rFonts w:hint="eastAsia" w:ascii="仿宋_GB2312" w:hAnsi="Arial Narrow" w:eastAsia="仿宋_GB2312" w:cs="宋体"/>
          <w:sz w:val="30"/>
          <w:szCs w:val="30"/>
        </w:rPr>
        <w:t>（五）处罚措施</w:t>
      </w:r>
    </w:p>
    <w:p>
      <w:pPr>
        <w:spacing w:line="560" w:lineRule="exact"/>
        <w:ind w:firstLine="600" w:firstLineChars="200"/>
        <w:rPr>
          <w:rFonts w:ascii="仿宋_GB2312" w:hAnsi="Arial Narrow" w:eastAsia="仿宋_GB2312" w:cs="宋体"/>
          <w:sz w:val="30"/>
          <w:szCs w:val="30"/>
        </w:rPr>
      </w:pPr>
      <w:r>
        <w:rPr>
          <w:rFonts w:hint="eastAsia" w:ascii="仿宋_GB2312" w:hAnsi="Arial Narrow" w:eastAsia="仿宋_GB2312" w:cs="宋体"/>
          <w:sz w:val="30"/>
          <w:szCs w:val="30"/>
        </w:rPr>
        <w:t>1.因参赛队伍原因造成重大安全事故的，取消其获奖资格。</w:t>
      </w:r>
    </w:p>
    <w:p>
      <w:pPr>
        <w:spacing w:line="560" w:lineRule="exact"/>
        <w:ind w:firstLine="600" w:firstLineChars="200"/>
        <w:rPr>
          <w:rFonts w:ascii="仿宋_GB2312" w:hAnsi="Arial Narrow" w:eastAsia="仿宋_GB2312" w:cs="宋体"/>
          <w:sz w:val="30"/>
          <w:szCs w:val="30"/>
        </w:rPr>
      </w:pPr>
      <w:r>
        <w:rPr>
          <w:rFonts w:hint="eastAsia" w:ascii="仿宋_GB2312" w:hAnsi="Arial Narrow" w:eastAsia="仿宋_GB2312" w:cs="宋体"/>
          <w:sz w:val="30"/>
          <w:szCs w:val="30"/>
        </w:rPr>
        <w:t>2.参赛队伍有发生重大安全事故隐患，经赛场工作人员提示、警告无效的，可取消其继续比赛的资格。</w:t>
      </w:r>
    </w:p>
    <w:p>
      <w:pPr>
        <w:spacing w:line="560" w:lineRule="exact"/>
        <w:ind w:firstLine="600" w:firstLineChars="200"/>
        <w:rPr>
          <w:rFonts w:ascii="仿宋_GB2312" w:hAnsi="Arial Narrow" w:eastAsia="仿宋_GB2312" w:cs="宋体"/>
          <w:sz w:val="30"/>
          <w:szCs w:val="30"/>
        </w:rPr>
      </w:pPr>
      <w:r>
        <w:rPr>
          <w:rFonts w:hint="eastAsia" w:ascii="仿宋_GB2312" w:hAnsi="Arial Narrow" w:eastAsia="仿宋_GB2312" w:cs="宋体"/>
          <w:sz w:val="30"/>
          <w:szCs w:val="30"/>
        </w:rPr>
        <w:t>3.赛事工作人员违规的，按照相应的制度追究责任。情节恶劣并造成重大安全事故的，由司法机关追究相应法律责任。</w:t>
      </w:r>
    </w:p>
    <w:p>
      <w:pPr>
        <w:pStyle w:val="2"/>
        <w:ind w:firstLine="600"/>
      </w:pPr>
      <w:bookmarkStart w:id="29" w:name="_Toc522017703"/>
      <w:r>
        <w:rPr>
          <w:rFonts w:hint="eastAsia"/>
        </w:rPr>
        <w:t>十五、经费概算</w:t>
      </w:r>
      <w:bookmarkEnd w:id="29"/>
    </w:p>
    <w:p>
      <w:pPr>
        <w:snapToGrid w:val="0"/>
        <w:spacing w:line="560" w:lineRule="exact"/>
        <w:jc w:val="center"/>
        <w:rPr>
          <w:rFonts w:cs="Arial" w:asciiTheme="minorEastAsia" w:hAnsiTheme="minorEastAsia"/>
          <w:kern w:val="0"/>
          <w:sz w:val="24"/>
          <w:szCs w:val="24"/>
        </w:rPr>
      </w:pPr>
      <w:r>
        <w:rPr>
          <w:rFonts w:hint="eastAsia" w:cs="Arial" w:asciiTheme="minorEastAsia" w:hAnsiTheme="minorEastAsia"/>
          <w:kern w:val="0"/>
          <w:sz w:val="24"/>
          <w:szCs w:val="24"/>
        </w:rPr>
        <w:t>表11 竞赛经费概算</w:t>
      </w:r>
    </w:p>
    <w:tbl>
      <w:tblPr>
        <w:tblStyle w:val="17"/>
        <w:tblW w:w="90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8"/>
        <w:gridCol w:w="5916"/>
        <w:gridCol w:w="22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blHeader/>
        </w:trPr>
        <w:tc>
          <w:tcPr>
            <w:tcW w:w="878" w:type="dxa"/>
            <w:vAlign w:val="center"/>
          </w:tcPr>
          <w:p>
            <w:pPr>
              <w:snapToGrid w:val="0"/>
              <w:jc w:val="center"/>
              <w:rPr>
                <w:rFonts w:ascii="宋体" w:hAnsi="宋体"/>
                <w:b/>
                <w:sz w:val="24"/>
                <w:szCs w:val="24"/>
              </w:rPr>
            </w:pPr>
            <w:r>
              <w:rPr>
                <w:rFonts w:hint="eastAsia" w:ascii="宋体" w:hAnsi="宋体"/>
                <w:b/>
                <w:sz w:val="24"/>
                <w:szCs w:val="24"/>
              </w:rPr>
              <w:t>序号</w:t>
            </w:r>
          </w:p>
        </w:tc>
        <w:tc>
          <w:tcPr>
            <w:tcW w:w="5916" w:type="dxa"/>
            <w:vAlign w:val="center"/>
          </w:tcPr>
          <w:p>
            <w:pPr>
              <w:snapToGrid w:val="0"/>
              <w:jc w:val="center"/>
              <w:rPr>
                <w:rFonts w:ascii="宋体" w:hAnsi="宋体"/>
                <w:b/>
                <w:sz w:val="24"/>
                <w:szCs w:val="24"/>
              </w:rPr>
            </w:pPr>
            <w:r>
              <w:rPr>
                <w:rFonts w:hint="eastAsia" w:ascii="宋体" w:hAnsi="宋体"/>
                <w:b/>
                <w:sz w:val="24"/>
                <w:szCs w:val="24"/>
              </w:rPr>
              <w:t>资金用途</w:t>
            </w:r>
          </w:p>
        </w:tc>
        <w:tc>
          <w:tcPr>
            <w:tcW w:w="2245" w:type="dxa"/>
            <w:vAlign w:val="center"/>
          </w:tcPr>
          <w:p>
            <w:pPr>
              <w:snapToGrid w:val="0"/>
              <w:jc w:val="center"/>
              <w:rPr>
                <w:rFonts w:ascii="宋体" w:hAnsi="宋体"/>
                <w:b/>
                <w:sz w:val="24"/>
                <w:szCs w:val="24"/>
              </w:rPr>
            </w:pPr>
            <w:r>
              <w:rPr>
                <w:rFonts w:hint="eastAsia" w:ascii="宋体" w:hAnsi="宋体"/>
                <w:b/>
                <w:sz w:val="24"/>
                <w:szCs w:val="24"/>
              </w:rPr>
              <w:t>预算费用（万元）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trPr>
        <w:tc>
          <w:tcPr>
            <w:tcW w:w="878" w:type="dxa"/>
            <w:vAlign w:val="center"/>
          </w:tcPr>
          <w:p>
            <w:pPr>
              <w:snapToGrid w:val="0"/>
              <w:jc w:val="center"/>
              <w:rPr>
                <w:rFonts w:ascii="宋体" w:hAnsi="宋体"/>
                <w:sz w:val="24"/>
                <w:szCs w:val="24"/>
              </w:rPr>
            </w:pPr>
            <w:r>
              <w:rPr>
                <w:rFonts w:hint="eastAsia" w:ascii="宋体" w:hAnsi="宋体"/>
                <w:sz w:val="24"/>
                <w:szCs w:val="24"/>
              </w:rPr>
              <w:t>1</w:t>
            </w:r>
          </w:p>
        </w:tc>
        <w:tc>
          <w:tcPr>
            <w:tcW w:w="5916" w:type="dxa"/>
            <w:vAlign w:val="center"/>
          </w:tcPr>
          <w:p>
            <w:pPr>
              <w:snapToGrid w:val="0"/>
              <w:rPr>
                <w:rFonts w:ascii="宋体" w:hAnsi="宋体"/>
                <w:sz w:val="24"/>
                <w:szCs w:val="24"/>
              </w:rPr>
            </w:pPr>
            <w:r>
              <w:rPr>
                <w:rFonts w:hint="eastAsia" w:ascii="宋体" w:hAnsi="宋体"/>
                <w:sz w:val="24"/>
                <w:szCs w:val="24"/>
              </w:rPr>
              <w:t>专家筹备会（含差旅交通、食宿）、赛题库开发</w:t>
            </w:r>
          </w:p>
        </w:tc>
        <w:tc>
          <w:tcPr>
            <w:tcW w:w="2245" w:type="dxa"/>
            <w:vAlign w:val="center"/>
          </w:tcPr>
          <w:p>
            <w:pPr>
              <w:snapToGrid w:val="0"/>
              <w:jc w:val="center"/>
              <w:rPr>
                <w:rFonts w:ascii="宋体" w:hAnsi="宋体"/>
                <w:sz w:val="24"/>
                <w:szCs w:val="24"/>
              </w:rPr>
            </w:pPr>
            <w:r>
              <w:rPr>
                <w:rFonts w:ascii="宋体" w:hAnsi="宋体"/>
                <w:sz w:val="24"/>
                <w:szCs w:val="24"/>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trPr>
        <w:tc>
          <w:tcPr>
            <w:tcW w:w="878" w:type="dxa"/>
            <w:vAlign w:val="center"/>
          </w:tcPr>
          <w:p>
            <w:pPr>
              <w:snapToGrid w:val="0"/>
              <w:jc w:val="center"/>
              <w:rPr>
                <w:rFonts w:ascii="宋体" w:hAnsi="宋体"/>
                <w:sz w:val="24"/>
                <w:szCs w:val="24"/>
              </w:rPr>
            </w:pPr>
            <w:r>
              <w:rPr>
                <w:rFonts w:hint="eastAsia" w:ascii="宋体" w:hAnsi="宋体"/>
                <w:sz w:val="24"/>
                <w:szCs w:val="24"/>
              </w:rPr>
              <w:t>2</w:t>
            </w:r>
          </w:p>
        </w:tc>
        <w:tc>
          <w:tcPr>
            <w:tcW w:w="5916" w:type="dxa"/>
            <w:vAlign w:val="center"/>
          </w:tcPr>
          <w:p>
            <w:pPr>
              <w:snapToGrid w:val="0"/>
              <w:rPr>
                <w:rFonts w:ascii="宋体" w:hAnsi="宋体"/>
                <w:sz w:val="24"/>
                <w:szCs w:val="24"/>
              </w:rPr>
            </w:pPr>
            <w:r>
              <w:rPr>
                <w:rFonts w:hint="eastAsia" w:ascii="宋体" w:hAnsi="宋体"/>
                <w:sz w:val="24"/>
                <w:szCs w:val="24"/>
              </w:rPr>
              <w:t>全国赛前说明会</w:t>
            </w:r>
          </w:p>
        </w:tc>
        <w:tc>
          <w:tcPr>
            <w:tcW w:w="2245" w:type="dxa"/>
            <w:vAlign w:val="center"/>
          </w:tcPr>
          <w:p>
            <w:pPr>
              <w:snapToGrid w:val="0"/>
              <w:jc w:val="center"/>
              <w:rPr>
                <w:rFonts w:ascii="宋体" w:hAnsi="宋体"/>
                <w:sz w:val="24"/>
                <w:szCs w:val="24"/>
              </w:rPr>
            </w:pPr>
            <w:r>
              <w:rPr>
                <w:rFonts w:hint="eastAsia" w:ascii="宋体" w:hAnsi="宋体"/>
                <w:sz w:val="24"/>
                <w:szCs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trPr>
        <w:tc>
          <w:tcPr>
            <w:tcW w:w="878" w:type="dxa"/>
            <w:vAlign w:val="center"/>
          </w:tcPr>
          <w:p>
            <w:pPr>
              <w:snapToGrid w:val="0"/>
              <w:jc w:val="center"/>
              <w:rPr>
                <w:rFonts w:ascii="宋体" w:hAnsi="宋体"/>
                <w:sz w:val="24"/>
                <w:szCs w:val="24"/>
              </w:rPr>
            </w:pPr>
            <w:r>
              <w:rPr>
                <w:rFonts w:hint="eastAsia" w:ascii="宋体" w:hAnsi="宋体"/>
                <w:sz w:val="24"/>
                <w:szCs w:val="24"/>
              </w:rPr>
              <w:t>3</w:t>
            </w:r>
          </w:p>
        </w:tc>
        <w:tc>
          <w:tcPr>
            <w:tcW w:w="5916" w:type="dxa"/>
            <w:vAlign w:val="center"/>
          </w:tcPr>
          <w:p>
            <w:pPr>
              <w:snapToGrid w:val="0"/>
              <w:rPr>
                <w:rFonts w:ascii="宋体" w:hAnsi="宋体"/>
                <w:sz w:val="24"/>
                <w:szCs w:val="24"/>
              </w:rPr>
            </w:pPr>
            <w:r>
              <w:rPr>
                <w:rFonts w:hint="eastAsia" w:ascii="宋体" w:hAnsi="宋体"/>
                <w:sz w:val="24"/>
                <w:szCs w:val="24"/>
              </w:rPr>
              <w:t>竞赛</w:t>
            </w:r>
            <w:r>
              <w:rPr>
                <w:rFonts w:ascii="宋体" w:hAnsi="宋体"/>
                <w:sz w:val="24"/>
                <w:szCs w:val="24"/>
              </w:rPr>
              <w:t>软件平台</w:t>
            </w:r>
          </w:p>
        </w:tc>
        <w:tc>
          <w:tcPr>
            <w:tcW w:w="2245" w:type="dxa"/>
            <w:vAlign w:val="center"/>
          </w:tcPr>
          <w:p>
            <w:pPr>
              <w:snapToGrid w:val="0"/>
              <w:jc w:val="center"/>
              <w:rPr>
                <w:rFonts w:ascii="宋体" w:hAnsi="宋体"/>
                <w:sz w:val="24"/>
                <w:szCs w:val="24"/>
              </w:rPr>
            </w:pPr>
            <w:r>
              <w:rPr>
                <w:rFonts w:hint="eastAsia" w:ascii="宋体" w:hAnsi="宋体"/>
                <w:sz w:val="24"/>
                <w:szCs w:val="24"/>
              </w:rPr>
              <w:t>厂商提供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trPr>
        <w:tc>
          <w:tcPr>
            <w:tcW w:w="878" w:type="dxa"/>
            <w:vAlign w:val="center"/>
          </w:tcPr>
          <w:p>
            <w:pPr>
              <w:snapToGrid w:val="0"/>
              <w:jc w:val="center"/>
              <w:rPr>
                <w:rFonts w:ascii="宋体" w:hAnsi="宋体"/>
                <w:sz w:val="24"/>
                <w:szCs w:val="24"/>
              </w:rPr>
            </w:pPr>
            <w:r>
              <w:rPr>
                <w:rFonts w:hint="eastAsia" w:ascii="宋体" w:hAnsi="宋体"/>
                <w:sz w:val="24"/>
                <w:szCs w:val="24"/>
              </w:rPr>
              <w:t>4</w:t>
            </w:r>
          </w:p>
        </w:tc>
        <w:tc>
          <w:tcPr>
            <w:tcW w:w="5916" w:type="dxa"/>
            <w:vAlign w:val="center"/>
          </w:tcPr>
          <w:p>
            <w:pPr>
              <w:snapToGrid w:val="0"/>
              <w:rPr>
                <w:rFonts w:ascii="宋体" w:hAnsi="宋体"/>
                <w:sz w:val="24"/>
                <w:szCs w:val="24"/>
              </w:rPr>
            </w:pPr>
            <w:r>
              <w:rPr>
                <w:rFonts w:hint="eastAsia" w:ascii="宋体" w:hAnsi="宋体"/>
                <w:sz w:val="24"/>
                <w:szCs w:val="24"/>
              </w:rPr>
              <w:t>赛场环境布置</w:t>
            </w:r>
          </w:p>
        </w:tc>
        <w:tc>
          <w:tcPr>
            <w:tcW w:w="2245" w:type="dxa"/>
            <w:vAlign w:val="center"/>
          </w:tcPr>
          <w:p>
            <w:pPr>
              <w:snapToGrid w:val="0"/>
              <w:jc w:val="center"/>
              <w:rPr>
                <w:rFonts w:ascii="宋体" w:hAnsi="宋体"/>
                <w:sz w:val="24"/>
                <w:szCs w:val="24"/>
              </w:rPr>
            </w:pPr>
            <w:r>
              <w:rPr>
                <w:rFonts w:hint="eastAsia" w:ascii="宋体" w:hAnsi="宋体"/>
                <w:sz w:val="24"/>
                <w:szCs w:val="24"/>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trPr>
        <w:tc>
          <w:tcPr>
            <w:tcW w:w="878" w:type="dxa"/>
            <w:vAlign w:val="center"/>
          </w:tcPr>
          <w:p>
            <w:pPr>
              <w:snapToGrid w:val="0"/>
              <w:jc w:val="center"/>
              <w:rPr>
                <w:rFonts w:ascii="宋体" w:hAnsi="宋体"/>
                <w:sz w:val="24"/>
                <w:szCs w:val="24"/>
              </w:rPr>
            </w:pPr>
            <w:r>
              <w:rPr>
                <w:rFonts w:hint="eastAsia" w:ascii="宋体" w:hAnsi="宋体"/>
                <w:sz w:val="24"/>
                <w:szCs w:val="24"/>
              </w:rPr>
              <w:t>5</w:t>
            </w:r>
          </w:p>
        </w:tc>
        <w:tc>
          <w:tcPr>
            <w:tcW w:w="5916" w:type="dxa"/>
            <w:vAlign w:val="center"/>
          </w:tcPr>
          <w:p>
            <w:pPr>
              <w:snapToGrid w:val="0"/>
              <w:rPr>
                <w:rFonts w:ascii="宋体" w:hAnsi="宋体"/>
                <w:sz w:val="24"/>
                <w:szCs w:val="24"/>
              </w:rPr>
            </w:pPr>
            <w:r>
              <w:rPr>
                <w:rFonts w:hint="eastAsia" w:ascii="宋体" w:hAnsi="宋体"/>
                <w:sz w:val="24"/>
                <w:szCs w:val="24"/>
              </w:rPr>
              <w:t>赛事用车与交通费用</w:t>
            </w:r>
          </w:p>
        </w:tc>
        <w:tc>
          <w:tcPr>
            <w:tcW w:w="2245" w:type="dxa"/>
            <w:vAlign w:val="center"/>
          </w:tcPr>
          <w:p>
            <w:pPr>
              <w:snapToGrid w:val="0"/>
              <w:jc w:val="center"/>
              <w:rPr>
                <w:rFonts w:ascii="宋体" w:hAnsi="宋体"/>
                <w:sz w:val="24"/>
                <w:szCs w:val="24"/>
              </w:rPr>
            </w:pPr>
            <w:r>
              <w:rPr>
                <w:rFonts w:hint="eastAsia" w:ascii="宋体" w:hAnsi="宋体"/>
                <w:sz w:val="24"/>
                <w:szCs w:val="24"/>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trPr>
        <w:tc>
          <w:tcPr>
            <w:tcW w:w="878" w:type="dxa"/>
            <w:vAlign w:val="center"/>
          </w:tcPr>
          <w:p>
            <w:pPr>
              <w:snapToGrid w:val="0"/>
              <w:jc w:val="center"/>
              <w:rPr>
                <w:rFonts w:ascii="宋体" w:hAnsi="宋体"/>
                <w:sz w:val="24"/>
                <w:szCs w:val="24"/>
              </w:rPr>
            </w:pPr>
            <w:r>
              <w:rPr>
                <w:rFonts w:hint="eastAsia" w:ascii="宋体" w:hAnsi="宋体"/>
                <w:sz w:val="24"/>
                <w:szCs w:val="24"/>
              </w:rPr>
              <w:t>6</w:t>
            </w:r>
          </w:p>
        </w:tc>
        <w:tc>
          <w:tcPr>
            <w:tcW w:w="5916" w:type="dxa"/>
            <w:vAlign w:val="center"/>
          </w:tcPr>
          <w:p>
            <w:pPr>
              <w:snapToGrid w:val="0"/>
              <w:rPr>
                <w:rFonts w:ascii="宋体" w:hAnsi="宋体"/>
                <w:sz w:val="24"/>
                <w:szCs w:val="24"/>
              </w:rPr>
            </w:pPr>
            <w:r>
              <w:rPr>
                <w:rFonts w:hint="eastAsia" w:ascii="宋体" w:hAnsi="宋体"/>
                <w:sz w:val="24"/>
                <w:szCs w:val="24"/>
              </w:rPr>
              <w:t>专家、监考和裁判、现场技术支持、后勤保障劳务费</w:t>
            </w:r>
          </w:p>
        </w:tc>
        <w:tc>
          <w:tcPr>
            <w:tcW w:w="2245" w:type="dxa"/>
            <w:vAlign w:val="center"/>
          </w:tcPr>
          <w:p>
            <w:pPr>
              <w:snapToGrid w:val="0"/>
              <w:jc w:val="center"/>
              <w:rPr>
                <w:rFonts w:ascii="宋体" w:hAnsi="宋体"/>
                <w:sz w:val="24"/>
                <w:szCs w:val="24"/>
              </w:rPr>
            </w:pPr>
            <w:r>
              <w:rPr>
                <w:rFonts w:hint="eastAsia" w:ascii="宋体" w:hAnsi="宋体"/>
                <w:sz w:val="24"/>
                <w:szCs w:val="24"/>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trPr>
        <w:tc>
          <w:tcPr>
            <w:tcW w:w="878" w:type="dxa"/>
            <w:vAlign w:val="center"/>
          </w:tcPr>
          <w:p>
            <w:pPr>
              <w:snapToGrid w:val="0"/>
              <w:jc w:val="center"/>
              <w:rPr>
                <w:rFonts w:ascii="宋体" w:hAnsi="宋体"/>
                <w:sz w:val="24"/>
                <w:szCs w:val="24"/>
              </w:rPr>
            </w:pPr>
            <w:r>
              <w:rPr>
                <w:rFonts w:hint="eastAsia" w:ascii="宋体" w:hAnsi="宋体"/>
                <w:sz w:val="24"/>
                <w:szCs w:val="24"/>
              </w:rPr>
              <w:t>7</w:t>
            </w:r>
          </w:p>
        </w:tc>
        <w:tc>
          <w:tcPr>
            <w:tcW w:w="5916" w:type="dxa"/>
            <w:vAlign w:val="center"/>
          </w:tcPr>
          <w:p>
            <w:pPr>
              <w:snapToGrid w:val="0"/>
              <w:rPr>
                <w:rFonts w:ascii="宋体" w:hAnsi="宋体"/>
                <w:sz w:val="24"/>
                <w:szCs w:val="24"/>
              </w:rPr>
            </w:pPr>
            <w:r>
              <w:rPr>
                <w:rFonts w:hint="eastAsia" w:ascii="宋体" w:hAnsi="宋体"/>
                <w:sz w:val="24"/>
                <w:szCs w:val="24"/>
              </w:rPr>
              <w:t>场馆综合布线及保障</w:t>
            </w:r>
          </w:p>
        </w:tc>
        <w:tc>
          <w:tcPr>
            <w:tcW w:w="2245" w:type="dxa"/>
            <w:vAlign w:val="center"/>
          </w:tcPr>
          <w:p>
            <w:pPr>
              <w:snapToGrid w:val="0"/>
              <w:jc w:val="center"/>
              <w:rPr>
                <w:rFonts w:ascii="宋体" w:hAnsi="宋体"/>
                <w:sz w:val="24"/>
                <w:szCs w:val="24"/>
              </w:rPr>
            </w:pPr>
            <w:r>
              <w:rPr>
                <w:rFonts w:ascii="宋体" w:hAnsi="宋体"/>
                <w:sz w:val="24"/>
                <w:szCs w:val="24"/>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trPr>
        <w:tc>
          <w:tcPr>
            <w:tcW w:w="878" w:type="dxa"/>
            <w:vAlign w:val="center"/>
          </w:tcPr>
          <w:p>
            <w:pPr>
              <w:snapToGrid w:val="0"/>
              <w:jc w:val="center"/>
              <w:rPr>
                <w:rFonts w:ascii="宋体" w:hAnsi="宋体"/>
                <w:sz w:val="24"/>
                <w:szCs w:val="24"/>
              </w:rPr>
            </w:pPr>
            <w:r>
              <w:rPr>
                <w:rFonts w:hint="eastAsia" w:ascii="宋体" w:hAnsi="宋体"/>
                <w:sz w:val="24"/>
                <w:szCs w:val="24"/>
              </w:rPr>
              <w:t>8</w:t>
            </w:r>
          </w:p>
        </w:tc>
        <w:tc>
          <w:tcPr>
            <w:tcW w:w="5916" w:type="dxa"/>
            <w:vAlign w:val="center"/>
          </w:tcPr>
          <w:p>
            <w:pPr>
              <w:snapToGrid w:val="0"/>
              <w:rPr>
                <w:rFonts w:ascii="宋体" w:hAnsi="宋体"/>
                <w:sz w:val="24"/>
                <w:szCs w:val="24"/>
              </w:rPr>
            </w:pPr>
            <w:r>
              <w:rPr>
                <w:rFonts w:hint="eastAsia" w:ascii="宋体" w:hAnsi="宋体"/>
                <w:sz w:val="24"/>
                <w:szCs w:val="24"/>
              </w:rPr>
              <w:t>参赛选手奖品</w:t>
            </w:r>
          </w:p>
        </w:tc>
        <w:tc>
          <w:tcPr>
            <w:tcW w:w="2245" w:type="dxa"/>
            <w:vAlign w:val="center"/>
          </w:tcPr>
          <w:p>
            <w:pPr>
              <w:snapToGrid w:val="0"/>
              <w:jc w:val="center"/>
              <w:rPr>
                <w:rFonts w:ascii="宋体" w:hAnsi="宋体"/>
                <w:sz w:val="24"/>
                <w:szCs w:val="24"/>
              </w:rPr>
            </w:pPr>
            <w:r>
              <w:rPr>
                <w:rFonts w:ascii="宋体" w:hAnsi="宋体"/>
                <w:sz w:val="24"/>
                <w:szCs w:val="24"/>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trPr>
        <w:tc>
          <w:tcPr>
            <w:tcW w:w="878" w:type="dxa"/>
            <w:vAlign w:val="center"/>
          </w:tcPr>
          <w:p>
            <w:pPr>
              <w:snapToGrid w:val="0"/>
              <w:jc w:val="center"/>
              <w:rPr>
                <w:rFonts w:ascii="宋体" w:hAnsi="宋体"/>
                <w:sz w:val="24"/>
                <w:szCs w:val="24"/>
              </w:rPr>
            </w:pPr>
            <w:r>
              <w:rPr>
                <w:rFonts w:hint="eastAsia" w:ascii="宋体" w:hAnsi="宋体"/>
                <w:sz w:val="24"/>
                <w:szCs w:val="24"/>
              </w:rPr>
              <w:t>9</w:t>
            </w:r>
          </w:p>
        </w:tc>
        <w:tc>
          <w:tcPr>
            <w:tcW w:w="5916" w:type="dxa"/>
            <w:vAlign w:val="center"/>
          </w:tcPr>
          <w:p>
            <w:pPr>
              <w:snapToGrid w:val="0"/>
              <w:rPr>
                <w:rFonts w:ascii="宋体" w:hAnsi="宋体"/>
                <w:sz w:val="24"/>
                <w:szCs w:val="24"/>
              </w:rPr>
            </w:pPr>
            <w:r>
              <w:rPr>
                <w:rFonts w:hint="eastAsia" w:ascii="宋体" w:hAnsi="宋体"/>
                <w:sz w:val="24"/>
                <w:szCs w:val="24"/>
              </w:rPr>
              <w:t>竞赛指南印刷、选手服装等</w:t>
            </w:r>
          </w:p>
        </w:tc>
        <w:tc>
          <w:tcPr>
            <w:tcW w:w="2245" w:type="dxa"/>
            <w:vAlign w:val="center"/>
          </w:tcPr>
          <w:p>
            <w:pPr>
              <w:snapToGrid w:val="0"/>
              <w:jc w:val="center"/>
              <w:rPr>
                <w:rFonts w:ascii="宋体" w:hAnsi="宋体"/>
                <w:sz w:val="24"/>
                <w:szCs w:val="24"/>
              </w:rPr>
            </w:pPr>
            <w:r>
              <w:rPr>
                <w:rFonts w:hint="eastAsia" w:ascii="宋体" w:hAnsi="宋体"/>
                <w:sz w:val="24"/>
                <w:szCs w:val="24"/>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trPr>
        <w:tc>
          <w:tcPr>
            <w:tcW w:w="878" w:type="dxa"/>
            <w:vAlign w:val="center"/>
          </w:tcPr>
          <w:p>
            <w:pPr>
              <w:snapToGrid w:val="0"/>
              <w:jc w:val="center"/>
              <w:rPr>
                <w:rFonts w:ascii="宋体" w:hAnsi="宋体"/>
                <w:sz w:val="24"/>
                <w:szCs w:val="24"/>
              </w:rPr>
            </w:pPr>
            <w:r>
              <w:rPr>
                <w:rFonts w:hint="eastAsia" w:ascii="宋体" w:hAnsi="宋体"/>
                <w:sz w:val="24"/>
                <w:szCs w:val="24"/>
              </w:rPr>
              <w:t>10</w:t>
            </w:r>
          </w:p>
        </w:tc>
        <w:tc>
          <w:tcPr>
            <w:tcW w:w="5916" w:type="dxa"/>
            <w:vAlign w:val="center"/>
          </w:tcPr>
          <w:p>
            <w:pPr>
              <w:snapToGrid w:val="0"/>
              <w:rPr>
                <w:rFonts w:ascii="宋体" w:hAnsi="宋体"/>
                <w:sz w:val="24"/>
                <w:szCs w:val="24"/>
              </w:rPr>
            </w:pPr>
            <w:r>
              <w:rPr>
                <w:rFonts w:hint="eastAsia" w:ascii="宋体" w:hAnsi="宋体"/>
                <w:sz w:val="24"/>
                <w:szCs w:val="24"/>
              </w:rPr>
              <w:t>专家、裁判、工作人员、志愿者、比赛选手餐费</w:t>
            </w:r>
          </w:p>
        </w:tc>
        <w:tc>
          <w:tcPr>
            <w:tcW w:w="2245" w:type="dxa"/>
            <w:vAlign w:val="center"/>
          </w:tcPr>
          <w:p>
            <w:pPr>
              <w:snapToGrid w:val="0"/>
              <w:jc w:val="center"/>
              <w:rPr>
                <w:rFonts w:ascii="宋体" w:hAnsi="宋体"/>
                <w:sz w:val="24"/>
                <w:szCs w:val="24"/>
              </w:rPr>
            </w:pPr>
            <w:r>
              <w:rPr>
                <w:rFonts w:hint="eastAsia" w:ascii="宋体" w:hAnsi="宋体"/>
                <w:sz w:val="24"/>
                <w:szCs w:val="24"/>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trPr>
        <w:tc>
          <w:tcPr>
            <w:tcW w:w="878" w:type="dxa"/>
            <w:vAlign w:val="center"/>
          </w:tcPr>
          <w:p>
            <w:pPr>
              <w:snapToGrid w:val="0"/>
              <w:jc w:val="center"/>
              <w:rPr>
                <w:rFonts w:ascii="宋体" w:hAnsi="宋体"/>
                <w:sz w:val="24"/>
                <w:szCs w:val="24"/>
              </w:rPr>
            </w:pPr>
            <w:r>
              <w:rPr>
                <w:rFonts w:hint="eastAsia" w:ascii="宋体" w:hAnsi="宋体"/>
                <w:sz w:val="24"/>
                <w:szCs w:val="24"/>
              </w:rPr>
              <w:t>11</w:t>
            </w:r>
          </w:p>
        </w:tc>
        <w:tc>
          <w:tcPr>
            <w:tcW w:w="5916" w:type="dxa"/>
            <w:vAlign w:val="center"/>
          </w:tcPr>
          <w:p>
            <w:pPr>
              <w:snapToGrid w:val="0"/>
              <w:rPr>
                <w:rFonts w:ascii="宋体" w:hAnsi="宋体"/>
                <w:sz w:val="24"/>
                <w:szCs w:val="24"/>
              </w:rPr>
            </w:pPr>
            <w:r>
              <w:rPr>
                <w:rFonts w:hint="eastAsia" w:ascii="宋体" w:hAnsi="宋体"/>
                <w:sz w:val="24"/>
                <w:szCs w:val="24"/>
              </w:rPr>
              <w:t>不可预见费用（预留用以处理突发事件）</w:t>
            </w:r>
          </w:p>
        </w:tc>
        <w:tc>
          <w:tcPr>
            <w:tcW w:w="2245" w:type="dxa"/>
            <w:vAlign w:val="center"/>
          </w:tcPr>
          <w:p>
            <w:pPr>
              <w:snapToGrid w:val="0"/>
              <w:jc w:val="center"/>
              <w:rPr>
                <w:rFonts w:ascii="宋体" w:hAnsi="宋体"/>
                <w:sz w:val="24"/>
                <w:szCs w:val="24"/>
              </w:rPr>
            </w:pPr>
            <w:r>
              <w:rPr>
                <w:rFonts w:hint="eastAsia" w:ascii="宋体" w:hAnsi="宋体"/>
                <w:sz w:val="24"/>
                <w:szCs w:val="24"/>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trPr>
        <w:tc>
          <w:tcPr>
            <w:tcW w:w="878" w:type="dxa"/>
            <w:vAlign w:val="center"/>
          </w:tcPr>
          <w:p>
            <w:pPr>
              <w:snapToGrid w:val="0"/>
              <w:jc w:val="center"/>
              <w:rPr>
                <w:rFonts w:ascii="宋体" w:hAnsi="宋体"/>
                <w:sz w:val="24"/>
                <w:szCs w:val="24"/>
              </w:rPr>
            </w:pPr>
            <w:r>
              <w:rPr>
                <w:rFonts w:hint="eastAsia" w:ascii="宋体" w:hAnsi="宋体"/>
                <w:sz w:val="24"/>
                <w:szCs w:val="24"/>
              </w:rPr>
              <w:t>12</w:t>
            </w:r>
          </w:p>
        </w:tc>
        <w:tc>
          <w:tcPr>
            <w:tcW w:w="5916" w:type="dxa"/>
            <w:vAlign w:val="center"/>
          </w:tcPr>
          <w:p>
            <w:pPr>
              <w:snapToGrid w:val="0"/>
              <w:rPr>
                <w:rFonts w:ascii="宋体" w:hAnsi="宋体"/>
                <w:sz w:val="24"/>
                <w:szCs w:val="24"/>
              </w:rPr>
            </w:pPr>
            <w:r>
              <w:rPr>
                <w:rFonts w:hint="eastAsia" w:ascii="宋体" w:hAnsi="宋体"/>
                <w:sz w:val="24"/>
                <w:szCs w:val="24"/>
              </w:rPr>
              <w:t>赛事录像以及资源转化的相关费用</w:t>
            </w:r>
          </w:p>
        </w:tc>
        <w:tc>
          <w:tcPr>
            <w:tcW w:w="2245" w:type="dxa"/>
            <w:vAlign w:val="center"/>
          </w:tcPr>
          <w:p>
            <w:pPr>
              <w:snapToGrid w:val="0"/>
              <w:jc w:val="center"/>
              <w:rPr>
                <w:rFonts w:ascii="宋体" w:hAnsi="宋体"/>
                <w:sz w:val="24"/>
                <w:szCs w:val="24"/>
              </w:rPr>
            </w:pPr>
            <w:r>
              <w:rPr>
                <w:rFonts w:hint="eastAsia" w:ascii="宋体" w:hAnsi="宋体"/>
                <w:sz w:val="24"/>
                <w:szCs w:val="24"/>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trPr>
        <w:tc>
          <w:tcPr>
            <w:tcW w:w="6794" w:type="dxa"/>
            <w:gridSpan w:val="2"/>
            <w:vAlign w:val="center"/>
          </w:tcPr>
          <w:p>
            <w:pPr>
              <w:snapToGrid w:val="0"/>
              <w:jc w:val="right"/>
              <w:rPr>
                <w:rFonts w:ascii="宋体" w:hAnsi="宋体"/>
                <w:sz w:val="24"/>
                <w:szCs w:val="24"/>
              </w:rPr>
            </w:pPr>
            <w:r>
              <w:rPr>
                <w:rFonts w:hint="eastAsia" w:ascii="宋体" w:hAnsi="宋体"/>
                <w:sz w:val="24"/>
                <w:szCs w:val="24"/>
              </w:rPr>
              <w:t>合计</w:t>
            </w:r>
          </w:p>
        </w:tc>
        <w:tc>
          <w:tcPr>
            <w:tcW w:w="2245" w:type="dxa"/>
            <w:vAlign w:val="center"/>
          </w:tcPr>
          <w:p>
            <w:pPr>
              <w:snapToGrid w:val="0"/>
              <w:jc w:val="center"/>
              <w:rPr>
                <w:rFonts w:ascii="宋体" w:hAnsi="宋体"/>
                <w:sz w:val="24"/>
                <w:szCs w:val="24"/>
              </w:rPr>
            </w:pPr>
            <w:r>
              <w:rPr>
                <w:rFonts w:hint="eastAsia" w:ascii="宋体" w:hAnsi="宋体"/>
                <w:sz w:val="24"/>
                <w:szCs w:val="24"/>
              </w:rPr>
              <w:t>60</w:t>
            </w:r>
          </w:p>
        </w:tc>
      </w:tr>
    </w:tbl>
    <w:p>
      <w:pPr>
        <w:pStyle w:val="2"/>
        <w:ind w:firstLine="600"/>
      </w:pPr>
      <w:bookmarkStart w:id="30" w:name="_Toc522017704"/>
      <w:r>
        <w:rPr>
          <w:rFonts w:hint="eastAsia"/>
        </w:rPr>
        <w:t>十六、比赛组织与管理</w:t>
      </w:r>
      <w:bookmarkEnd w:id="30"/>
    </w:p>
    <w:p>
      <w:pPr>
        <w:ind w:firstLine="600" w:firstLineChars="200"/>
        <w:rPr>
          <w:rFonts w:ascii="仿宋_GB2312" w:hAnsi="仿宋" w:eastAsia="仿宋_GB2312"/>
          <w:sz w:val="30"/>
          <w:szCs w:val="30"/>
        </w:rPr>
      </w:pPr>
      <w:bookmarkStart w:id="31" w:name="_Toc492031538"/>
      <w:bookmarkStart w:id="32" w:name="_Toc460925265"/>
      <w:bookmarkStart w:id="33" w:name="_Toc492031236"/>
      <w:bookmarkStart w:id="34" w:name="_Toc522017424"/>
      <w:r>
        <w:rPr>
          <w:rFonts w:hint="eastAsia" w:ascii="仿宋_GB2312" w:hAnsi="仿宋" w:eastAsia="仿宋_GB2312"/>
          <w:sz w:val="30"/>
          <w:szCs w:val="30"/>
        </w:rPr>
        <w:t>（一）赛项执行委员会</w:t>
      </w:r>
      <w:bookmarkEnd w:id="31"/>
      <w:bookmarkEnd w:id="32"/>
      <w:bookmarkEnd w:id="33"/>
      <w:bookmarkEnd w:id="34"/>
    </w:p>
    <w:p>
      <w:pPr>
        <w:adjustRightInd w:val="0"/>
        <w:snapToGrid w:val="0"/>
        <w:spacing w:line="560" w:lineRule="exact"/>
        <w:ind w:firstLine="600" w:firstLineChars="200"/>
        <w:rPr>
          <w:rFonts w:ascii="仿宋_GB2312" w:hAnsi="仿宋" w:eastAsia="仿宋_GB2312"/>
          <w:sz w:val="30"/>
          <w:szCs w:val="30"/>
        </w:rPr>
      </w:pPr>
      <w:r>
        <w:rPr>
          <w:rFonts w:hint="eastAsia" w:ascii="仿宋_GB2312" w:hAnsi="仿宋" w:eastAsia="仿宋_GB2312"/>
          <w:sz w:val="30"/>
          <w:szCs w:val="30"/>
        </w:rPr>
        <w:t>由全国外经贸职业教育教学指导委员会、中国国际贸易学会、分赛区执委会、承办院校组建赛项执行委员会，全面负责本赛项的筹备与实施工作，接受大赛执委会领导，接受赛项所在分赛区执委会的协调和指导。赛项执委会的主要职责包括：领导、协调赛项专家组和赛项承办院校开展本赛项的组织工作，管理赛项经费，选荐赛项专家组人员及赛项裁判与仲裁人员等。</w:t>
      </w:r>
    </w:p>
    <w:p>
      <w:pPr>
        <w:ind w:firstLine="600" w:firstLineChars="200"/>
        <w:rPr>
          <w:rFonts w:ascii="仿宋_GB2312" w:eastAsia="仿宋_GB2312"/>
          <w:sz w:val="30"/>
          <w:szCs w:val="30"/>
        </w:rPr>
      </w:pPr>
      <w:bookmarkStart w:id="35" w:name="_Toc460925266"/>
      <w:bookmarkStart w:id="36" w:name="_Toc492031539"/>
      <w:bookmarkStart w:id="37" w:name="_Toc522017425"/>
      <w:bookmarkStart w:id="38" w:name="_Toc492031237"/>
      <w:r>
        <w:rPr>
          <w:rFonts w:hint="eastAsia" w:ascii="仿宋_GB2312" w:eastAsia="仿宋_GB2312"/>
          <w:sz w:val="30"/>
          <w:szCs w:val="30"/>
        </w:rPr>
        <w:t>（二）赛项专家组</w:t>
      </w:r>
      <w:bookmarkEnd w:id="35"/>
      <w:bookmarkEnd w:id="36"/>
      <w:bookmarkEnd w:id="37"/>
      <w:bookmarkEnd w:id="38"/>
    </w:p>
    <w:p>
      <w:pPr>
        <w:adjustRightInd w:val="0"/>
        <w:snapToGrid w:val="0"/>
        <w:spacing w:line="560" w:lineRule="exact"/>
        <w:ind w:firstLine="600" w:firstLineChars="200"/>
        <w:rPr>
          <w:rFonts w:ascii="仿宋_GB2312" w:hAnsi="仿宋" w:eastAsia="仿宋_GB2312"/>
          <w:sz w:val="30"/>
          <w:szCs w:val="30"/>
        </w:rPr>
      </w:pPr>
      <w:r>
        <w:rPr>
          <w:rFonts w:hint="eastAsia" w:ascii="仿宋_GB2312" w:hAnsi="仿宋" w:eastAsia="仿宋_GB2312"/>
          <w:sz w:val="30"/>
          <w:szCs w:val="30"/>
        </w:rPr>
        <w:t>赛项专家组负责本赛项技术文件编撰、竞赛命题、赛场设计、设备拟定、赛项裁判人员培训、赛项说明会组织、赛事咨询、教学成果展示体验、赛事观摩、赛事宣传方案设计、赛事技术评点、赛事成果转化以及赛项执委会安排的其他竞赛技术工作。</w:t>
      </w:r>
    </w:p>
    <w:p>
      <w:pPr>
        <w:adjustRightInd w:val="0"/>
        <w:snapToGrid w:val="0"/>
        <w:spacing w:line="560" w:lineRule="exact"/>
        <w:ind w:firstLine="600" w:firstLineChars="200"/>
        <w:rPr>
          <w:rFonts w:ascii="仿宋_GB2312" w:hAnsi="仿宋" w:eastAsia="仿宋_GB2312"/>
          <w:sz w:val="30"/>
          <w:szCs w:val="30"/>
        </w:rPr>
      </w:pPr>
      <w:r>
        <w:rPr>
          <w:rFonts w:hint="eastAsia" w:ascii="仿宋_GB2312" w:hAnsi="仿宋" w:eastAsia="仿宋_GB2312"/>
          <w:sz w:val="30"/>
          <w:szCs w:val="30"/>
        </w:rPr>
        <w:t>大赛专家不得同时参与不同赛项的专家工作。专家组成员可兼任裁判长，但不能负责具体的裁判工作。专家组组长所在单位不得参加本赛项比赛。</w:t>
      </w:r>
    </w:p>
    <w:p>
      <w:pPr>
        <w:adjustRightInd w:val="0"/>
        <w:snapToGrid w:val="0"/>
        <w:spacing w:line="560" w:lineRule="exact"/>
        <w:ind w:firstLine="600" w:firstLineChars="200"/>
        <w:rPr>
          <w:rFonts w:ascii="仿宋_GB2312" w:hAnsi="仿宋" w:eastAsia="仿宋_GB2312"/>
          <w:sz w:val="30"/>
          <w:szCs w:val="30"/>
        </w:rPr>
      </w:pPr>
      <w:r>
        <w:rPr>
          <w:rFonts w:hint="eastAsia" w:ascii="仿宋_GB2312" w:hAnsi="仿宋" w:eastAsia="仿宋_GB2312"/>
          <w:sz w:val="30"/>
          <w:szCs w:val="30"/>
        </w:rPr>
        <w:t>专家应遵守工作纪律，严格遵守赛题管理规定中的保密协议。不得透露与赛项有关的任何涉密信息，不得以专家身份私下接受参赛单位和个人聘请咨询讲课，不得收受他人的财物或者其他好处。</w:t>
      </w:r>
    </w:p>
    <w:p>
      <w:pPr>
        <w:adjustRightInd w:val="0"/>
        <w:snapToGrid w:val="0"/>
        <w:spacing w:line="560" w:lineRule="exact"/>
        <w:ind w:firstLine="600" w:firstLineChars="200"/>
        <w:rPr>
          <w:rFonts w:ascii="仿宋_GB2312" w:hAnsi="仿宋" w:eastAsia="仿宋_GB2312"/>
          <w:sz w:val="30"/>
          <w:szCs w:val="30"/>
        </w:rPr>
      </w:pPr>
      <w:r>
        <w:rPr>
          <w:rFonts w:hint="eastAsia" w:ascii="仿宋_GB2312" w:hAnsi="仿宋" w:eastAsia="仿宋_GB2312"/>
          <w:sz w:val="30"/>
          <w:szCs w:val="30"/>
        </w:rPr>
        <w:t>专家要积极指导支持裁判工作，但不得影响和干扰裁判独立履行裁判职责。</w:t>
      </w:r>
    </w:p>
    <w:p>
      <w:pPr>
        <w:adjustRightInd w:val="0"/>
        <w:snapToGrid w:val="0"/>
        <w:spacing w:line="560" w:lineRule="exact"/>
        <w:ind w:firstLine="600" w:firstLineChars="200"/>
        <w:rPr>
          <w:rFonts w:ascii="仿宋_GB2312" w:hAnsi="仿宋" w:eastAsia="仿宋_GB2312"/>
          <w:sz w:val="30"/>
          <w:szCs w:val="30"/>
        </w:rPr>
      </w:pPr>
      <w:r>
        <w:rPr>
          <w:rFonts w:hint="eastAsia" w:ascii="仿宋_GB2312" w:hAnsi="仿宋" w:eastAsia="仿宋_GB2312"/>
          <w:sz w:val="30"/>
          <w:szCs w:val="30"/>
        </w:rPr>
        <w:t>由赛项设计团队为主组建专家组。</w:t>
      </w:r>
    </w:p>
    <w:p>
      <w:pPr>
        <w:ind w:firstLine="600" w:firstLineChars="200"/>
        <w:rPr>
          <w:rFonts w:ascii="仿宋_GB2312" w:eastAsia="仿宋_GB2312"/>
          <w:sz w:val="30"/>
          <w:szCs w:val="30"/>
        </w:rPr>
      </w:pPr>
      <w:bookmarkStart w:id="39" w:name="_Toc460925267"/>
      <w:bookmarkStart w:id="40" w:name="_Toc492031238"/>
      <w:bookmarkStart w:id="41" w:name="_Toc492031540"/>
      <w:bookmarkStart w:id="42" w:name="_Toc522017426"/>
      <w:r>
        <w:rPr>
          <w:rFonts w:hint="eastAsia" w:ascii="仿宋_GB2312" w:eastAsia="仿宋_GB2312"/>
          <w:sz w:val="30"/>
          <w:szCs w:val="30"/>
        </w:rPr>
        <w:t>（三）赛项承办院校</w:t>
      </w:r>
      <w:bookmarkEnd w:id="39"/>
      <w:bookmarkEnd w:id="40"/>
      <w:bookmarkEnd w:id="41"/>
      <w:bookmarkEnd w:id="42"/>
    </w:p>
    <w:p>
      <w:pPr>
        <w:snapToGrid w:val="0"/>
        <w:spacing w:line="560" w:lineRule="exact"/>
        <w:ind w:firstLine="600" w:firstLineChars="200"/>
        <w:rPr>
          <w:rFonts w:ascii="仿宋_GB2312" w:hAnsi="仿宋" w:eastAsia="仿宋_GB2312"/>
          <w:sz w:val="30"/>
          <w:szCs w:val="30"/>
        </w:rPr>
      </w:pPr>
      <w:r>
        <w:rPr>
          <w:rFonts w:hint="eastAsia" w:ascii="仿宋_GB2312" w:hAnsi="仿宋" w:eastAsia="仿宋_GB2312"/>
          <w:sz w:val="30"/>
          <w:szCs w:val="30"/>
        </w:rPr>
        <w:t>全国职业院校技能大赛各赛项承办院校在赛项执委会领导下，负责承办赛项的具体保障实施工作，主要职责包括：按照赛项技术方案要求落实比赛场地及基础设施，赛项宣传，组织开展各项赛期活动，参赛人员接待，比赛过程文件存档等工作，赛务人员及服务志愿者的组织，赛场秩序维持及安全保障，赛后搜集整理大赛影像文字资料上报大赛执委会等。赛项承办院校按照赛项预算执行各项支出。承办院校人员不得参与所承办赛项的赛题设计和裁判工作。</w:t>
      </w:r>
    </w:p>
    <w:p>
      <w:pPr>
        <w:pStyle w:val="2"/>
        <w:ind w:firstLine="600"/>
        <w:rPr>
          <w:rFonts w:ascii="Arial Narrow" w:hAnsi="Arial Narrow" w:eastAsia="仿宋_GB2312" w:cs="Arial"/>
        </w:rPr>
      </w:pPr>
      <w:bookmarkStart w:id="43" w:name="_Toc522017705"/>
      <w:r>
        <w:rPr>
          <w:rFonts w:hint="eastAsia"/>
        </w:rPr>
        <w:t>十七、教学资源转化建设方案</w:t>
      </w:r>
      <w:bookmarkEnd w:id="43"/>
    </w:p>
    <w:p>
      <w:pPr>
        <w:snapToGrid w:val="0"/>
        <w:spacing w:line="560" w:lineRule="exact"/>
        <w:ind w:firstLine="600" w:firstLineChars="200"/>
        <w:rPr>
          <w:rFonts w:ascii="仿宋_GB2312" w:hAnsi="微软雅黑" w:eastAsia="仿宋_GB2312" w:cs="Arial"/>
          <w:sz w:val="30"/>
          <w:szCs w:val="30"/>
        </w:rPr>
      </w:pPr>
      <w:r>
        <w:rPr>
          <w:rFonts w:hint="eastAsia" w:ascii="仿宋_GB2312" w:hAnsi="微软雅黑" w:eastAsia="仿宋_GB2312" w:cs="Arial"/>
          <w:sz w:val="30"/>
          <w:szCs w:val="30"/>
        </w:rPr>
        <w:t>通过竞赛，立足于学生实践能力的培养需求，以大赛为框架，深入挖掘典型案例，积极扩大赛事影响，形成实训教学指导书、微课、教学实训任务、试题库等系列教学资源，同时继续在全国范围内举办配套行业赛事，扩大赛事参与面，提高学生参与度，让更多的学生能够从大赛中受益。</w:t>
      </w:r>
      <w:r>
        <w:rPr>
          <w:rFonts w:hint="eastAsia" w:ascii="仿宋_GB2312" w:hAnsi="仿宋" w:eastAsia="仿宋_GB2312"/>
          <w:color w:val="000000"/>
          <w:sz w:val="30"/>
          <w:szCs w:val="30"/>
        </w:rPr>
        <w:t>联合行业协会、企业专家，结合专业教学标准和核心课程标准，探索建立“互联网+国际贸易”职业岗位标准，使院校专业教学紧密对接企业一线实际情况，降低企业人力培训成本。</w:t>
      </w:r>
      <w:r>
        <w:rPr>
          <w:rFonts w:hint="eastAsia" w:ascii="仿宋_GB2312" w:hAnsi="微软雅黑" w:eastAsia="仿宋_GB2312" w:cs="Arial"/>
          <w:sz w:val="30"/>
          <w:szCs w:val="30"/>
        </w:rPr>
        <w:t>具体方案如下：</w:t>
      </w:r>
    </w:p>
    <w:p>
      <w:pPr>
        <w:snapToGrid w:val="0"/>
        <w:spacing w:line="560" w:lineRule="exact"/>
        <w:jc w:val="center"/>
        <w:rPr>
          <w:rFonts w:cs="Arial" w:asciiTheme="minorEastAsia" w:hAnsiTheme="minorEastAsia"/>
          <w:kern w:val="0"/>
          <w:sz w:val="24"/>
          <w:szCs w:val="24"/>
        </w:rPr>
      </w:pPr>
      <w:r>
        <w:rPr>
          <w:rFonts w:hint="eastAsia" w:cs="Arial" w:asciiTheme="minorEastAsia" w:hAnsiTheme="minorEastAsia"/>
          <w:kern w:val="0"/>
          <w:sz w:val="24"/>
          <w:szCs w:val="24"/>
        </w:rPr>
        <w:t>表12 竞赛教学资源转化建设方案</w:t>
      </w:r>
    </w:p>
    <w:tbl>
      <w:tblPr>
        <w:tblStyle w:val="17"/>
        <w:tblW w:w="8583" w:type="dxa"/>
        <w:jc w:val="center"/>
        <w:tblInd w:w="10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77"/>
        <w:gridCol w:w="710"/>
        <w:gridCol w:w="2130"/>
        <w:gridCol w:w="1280"/>
        <w:gridCol w:w="1277"/>
        <w:gridCol w:w="1287"/>
        <w:gridCol w:w="122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50" w:hRule="atLeast"/>
          <w:jc w:val="center"/>
        </w:trPr>
        <w:tc>
          <w:tcPr>
            <w:tcW w:w="3517" w:type="dxa"/>
            <w:gridSpan w:val="3"/>
            <w:vAlign w:val="center"/>
          </w:tcPr>
          <w:p>
            <w:pPr>
              <w:jc w:val="center"/>
              <w:rPr>
                <w:rFonts w:ascii="宋体" w:hAnsi="宋体"/>
                <w:b/>
                <w:sz w:val="24"/>
                <w:szCs w:val="24"/>
              </w:rPr>
            </w:pPr>
            <w:r>
              <w:rPr>
                <w:rFonts w:hint="eastAsia" w:ascii="宋体" w:hAnsi="宋体"/>
                <w:b/>
                <w:sz w:val="24"/>
                <w:szCs w:val="24"/>
              </w:rPr>
              <w:t>资源名称</w:t>
            </w:r>
          </w:p>
        </w:tc>
        <w:tc>
          <w:tcPr>
            <w:tcW w:w="1280" w:type="dxa"/>
            <w:vAlign w:val="center"/>
          </w:tcPr>
          <w:p>
            <w:pPr>
              <w:jc w:val="center"/>
              <w:rPr>
                <w:rFonts w:ascii="宋体" w:hAnsi="宋体"/>
                <w:b/>
                <w:sz w:val="24"/>
                <w:szCs w:val="24"/>
              </w:rPr>
            </w:pPr>
            <w:r>
              <w:rPr>
                <w:rFonts w:hint="eastAsia" w:ascii="宋体" w:hAnsi="宋体"/>
                <w:b/>
                <w:sz w:val="24"/>
                <w:szCs w:val="24"/>
              </w:rPr>
              <w:t>表现形式</w:t>
            </w:r>
          </w:p>
        </w:tc>
        <w:tc>
          <w:tcPr>
            <w:tcW w:w="1277" w:type="dxa"/>
            <w:vAlign w:val="center"/>
          </w:tcPr>
          <w:p>
            <w:pPr>
              <w:jc w:val="center"/>
              <w:rPr>
                <w:rFonts w:ascii="宋体" w:hAnsi="宋体"/>
                <w:b/>
                <w:sz w:val="24"/>
                <w:szCs w:val="24"/>
              </w:rPr>
            </w:pPr>
            <w:r>
              <w:rPr>
                <w:rFonts w:hint="eastAsia" w:ascii="宋体" w:hAnsi="宋体"/>
                <w:b/>
                <w:sz w:val="24"/>
                <w:szCs w:val="24"/>
              </w:rPr>
              <w:t>资源数量</w:t>
            </w:r>
          </w:p>
        </w:tc>
        <w:tc>
          <w:tcPr>
            <w:tcW w:w="1287" w:type="dxa"/>
            <w:vAlign w:val="center"/>
          </w:tcPr>
          <w:p>
            <w:pPr>
              <w:jc w:val="center"/>
              <w:rPr>
                <w:rFonts w:ascii="宋体" w:hAnsi="宋体"/>
                <w:b/>
                <w:sz w:val="24"/>
                <w:szCs w:val="24"/>
              </w:rPr>
            </w:pPr>
            <w:r>
              <w:rPr>
                <w:rFonts w:hint="eastAsia" w:ascii="宋体" w:hAnsi="宋体"/>
                <w:b/>
                <w:sz w:val="24"/>
                <w:szCs w:val="24"/>
              </w:rPr>
              <w:t>资源要求</w:t>
            </w:r>
          </w:p>
        </w:tc>
        <w:tc>
          <w:tcPr>
            <w:tcW w:w="1222" w:type="dxa"/>
            <w:vAlign w:val="center"/>
          </w:tcPr>
          <w:p>
            <w:pPr>
              <w:jc w:val="center"/>
              <w:rPr>
                <w:rFonts w:ascii="宋体" w:hAnsi="宋体"/>
                <w:b/>
                <w:sz w:val="24"/>
                <w:szCs w:val="24"/>
              </w:rPr>
            </w:pPr>
            <w:r>
              <w:rPr>
                <w:rFonts w:hint="eastAsia" w:ascii="宋体" w:hAnsi="宋体"/>
                <w:b/>
                <w:sz w:val="24"/>
                <w:szCs w:val="24"/>
              </w:rPr>
              <w:t>完成时间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27" w:hRule="atLeast"/>
          <w:jc w:val="center"/>
        </w:trPr>
        <w:tc>
          <w:tcPr>
            <w:tcW w:w="677" w:type="dxa"/>
            <w:vMerge w:val="restart"/>
            <w:vAlign w:val="center"/>
          </w:tcPr>
          <w:p>
            <w:pPr>
              <w:jc w:val="center"/>
              <w:rPr>
                <w:rFonts w:ascii="宋体" w:hAnsi="宋体"/>
                <w:sz w:val="24"/>
                <w:szCs w:val="24"/>
              </w:rPr>
            </w:pPr>
            <w:r>
              <w:rPr>
                <w:rFonts w:hint="eastAsia" w:ascii="宋体" w:hAnsi="宋体"/>
                <w:sz w:val="24"/>
                <w:szCs w:val="24"/>
              </w:rPr>
              <w:t>基本</w:t>
            </w:r>
          </w:p>
          <w:p>
            <w:pPr>
              <w:jc w:val="center"/>
              <w:rPr>
                <w:rFonts w:ascii="宋体" w:hAnsi="宋体"/>
                <w:sz w:val="24"/>
                <w:szCs w:val="24"/>
              </w:rPr>
            </w:pPr>
            <w:r>
              <w:rPr>
                <w:rFonts w:hint="eastAsia" w:ascii="宋体" w:hAnsi="宋体"/>
                <w:sz w:val="24"/>
                <w:szCs w:val="24"/>
              </w:rPr>
              <w:t>资源</w:t>
            </w:r>
          </w:p>
        </w:tc>
        <w:tc>
          <w:tcPr>
            <w:tcW w:w="710" w:type="dxa"/>
            <w:vMerge w:val="restart"/>
            <w:vAlign w:val="center"/>
          </w:tcPr>
          <w:p>
            <w:pPr>
              <w:jc w:val="center"/>
              <w:rPr>
                <w:rFonts w:ascii="宋体" w:hAnsi="宋体"/>
                <w:sz w:val="24"/>
                <w:szCs w:val="24"/>
              </w:rPr>
            </w:pPr>
            <w:r>
              <w:rPr>
                <w:rFonts w:hint="eastAsia" w:ascii="宋体" w:hAnsi="宋体"/>
                <w:sz w:val="24"/>
                <w:szCs w:val="24"/>
              </w:rPr>
              <w:t>风采</w:t>
            </w:r>
          </w:p>
          <w:p>
            <w:pPr>
              <w:jc w:val="center"/>
              <w:rPr>
                <w:rFonts w:ascii="宋体" w:hAnsi="宋体"/>
                <w:sz w:val="24"/>
                <w:szCs w:val="24"/>
              </w:rPr>
            </w:pPr>
            <w:r>
              <w:rPr>
                <w:rFonts w:hint="eastAsia" w:ascii="宋体" w:hAnsi="宋体"/>
                <w:sz w:val="24"/>
                <w:szCs w:val="24"/>
              </w:rPr>
              <w:t>展示</w:t>
            </w:r>
          </w:p>
        </w:tc>
        <w:tc>
          <w:tcPr>
            <w:tcW w:w="2130" w:type="dxa"/>
            <w:vAlign w:val="center"/>
          </w:tcPr>
          <w:p>
            <w:pPr>
              <w:jc w:val="center"/>
              <w:rPr>
                <w:rFonts w:ascii="宋体" w:hAnsi="宋体"/>
                <w:sz w:val="24"/>
                <w:szCs w:val="24"/>
              </w:rPr>
            </w:pPr>
            <w:r>
              <w:rPr>
                <w:rFonts w:hint="eastAsia" w:ascii="宋体" w:hAnsi="宋体"/>
                <w:sz w:val="24"/>
                <w:szCs w:val="24"/>
              </w:rPr>
              <w:t>赛项宣传片</w:t>
            </w:r>
          </w:p>
        </w:tc>
        <w:tc>
          <w:tcPr>
            <w:tcW w:w="1280" w:type="dxa"/>
            <w:vAlign w:val="center"/>
          </w:tcPr>
          <w:p>
            <w:pPr>
              <w:jc w:val="center"/>
              <w:rPr>
                <w:rFonts w:ascii="宋体" w:hAnsi="宋体"/>
                <w:sz w:val="24"/>
                <w:szCs w:val="24"/>
              </w:rPr>
            </w:pPr>
            <w:r>
              <w:rPr>
                <w:rFonts w:hint="eastAsia" w:ascii="宋体" w:hAnsi="宋体"/>
                <w:sz w:val="24"/>
                <w:szCs w:val="24"/>
              </w:rPr>
              <w:t>视频</w:t>
            </w:r>
          </w:p>
        </w:tc>
        <w:tc>
          <w:tcPr>
            <w:tcW w:w="1277" w:type="dxa"/>
            <w:vAlign w:val="center"/>
          </w:tcPr>
          <w:p>
            <w:pPr>
              <w:jc w:val="center"/>
              <w:rPr>
                <w:rFonts w:ascii="宋体" w:hAnsi="宋体"/>
                <w:sz w:val="24"/>
                <w:szCs w:val="24"/>
              </w:rPr>
            </w:pPr>
            <w:r>
              <w:rPr>
                <w:rFonts w:hint="eastAsia" w:ascii="宋体" w:hAnsi="宋体"/>
                <w:sz w:val="24"/>
                <w:szCs w:val="24"/>
              </w:rPr>
              <w:t>1</w:t>
            </w:r>
          </w:p>
        </w:tc>
        <w:tc>
          <w:tcPr>
            <w:tcW w:w="1287" w:type="dxa"/>
            <w:vAlign w:val="center"/>
          </w:tcPr>
          <w:p>
            <w:pPr>
              <w:jc w:val="center"/>
              <w:rPr>
                <w:rFonts w:ascii="宋体" w:hAnsi="宋体"/>
                <w:sz w:val="24"/>
                <w:szCs w:val="24"/>
              </w:rPr>
            </w:pPr>
            <w:r>
              <w:rPr>
                <w:rFonts w:ascii="宋体" w:hAnsi="宋体"/>
                <w:sz w:val="24"/>
                <w:szCs w:val="24"/>
              </w:rPr>
              <w:t>15</w:t>
            </w:r>
            <w:r>
              <w:rPr>
                <w:rFonts w:hint="eastAsia" w:ascii="宋体" w:hAnsi="宋体"/>
                <w:sz w:val="24"/>
                <w:szCs w:val="24"/>
              </w:rPr>
              <w:t>分钟以上</w:t>
            </w:r>
          </w:p>
        </w:tc>
        <w:tc>
          <w:tcPr>
            <w:tcW w:w="1222" w:type="dxa"/>
            <w:vMerge w:val="restart"/>
            <w:vAlign w:val="center"/>
          </w:tcPr>
          <w:p>
            <w:pPr>
              <w:jc w:val="center"/>
              <w:rPr>
                <w:rFonts w:ascii="宋体" w:hAnsi="宋体"/>
                <w:sz w:val="24"/>
                <w:szCs w:val="24"/>
              </w:rPr>
            </w:pPr>
            <w:r>
              <w:rPr>
                <w:rFonts w:hint="eastAsia" w:ascii="宋体" w:hAnsi="宋体"/>
                <w:sz w:val="24"/>
                <w:szCs w:val="24"/>
              </w:rPr>
              <w:t>2019.8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70" w:hRule="atLeast"/>
          <w:jc w:val="center"/>
        </w:trPr>
        <w:tc>
          <w:tcPr>
            <w:tcW w:w="677" w:type="dxa"/>
            <w:vMerge w:val="continue"/>
          </w:tcPr>
          <w:p>
            <w:pPr>
              <w:rPr>
                <w:rFonts w:ascii="宋体" w:hAnsi="宋体"/>
                <w:sz w:val="24"/>
                <w:szCs w:val="24"/>
              </w:rPr>
            </w:pPr>
          </w:p>
        </w:tc>
        <w:tc>
          <w:tcPr>
            <w:tcW w:w="710" w:type="dxa"/>
            <w:vMerge w:val="continue"/>
            <w:tcBorders>
              <w:top w:val="nil"/>
            </w:tcBorders>
            <w:vAlign w:val="center"/>
          </w:tcPr>
          <w:p>
            <w:pPr>
              <w:jc w:val="center"/>
              <w:rPr>
                <w:rFonts w:ascii="宋体" w:hAnsi="宋体"/>
                <w:sz w:val="24"/>
                <w:szCs w:val="24"/>
              </w:rPr>
            </w:pPr>
          </w:p>
        </w:tc>
        <w:tc>
          <w:tcPr>
            <w:tcW w:w="2130" w:type="dxa"/>
            <w:vAlign w:val="center"/>
          </w:tcPr>
          <w:p>
            <w:pPr>
              <w:jc w:val="center"/>
              <w:rPr>
                <w:rFonts w:ascii="宋体" w:hAnsi="宋体"/>
                <w:sz w:val="24"/>
                <w:szCs w:val="24"/>
              </w:rPr>
            </w:pPr>
            <w:r>
              <w:rPr>
                <w:rFonts w:hint="eastAsia" w:ascii="宋体" w:hAnsi="宋体"/>
                <w:sz w:val="24"/>
                <w:szCs w:val="24"/>
              </w:rPr>
              <w:t>风采展示片</w:t>
            </w:r>
          </w:p>
        </w:tc>
        <w:tc>
          <w:tcPr>
            <w:tcW w:w="1280" w:type="dxa"/>
            <w:vAlign w:val="center"/>
          </w:tcPr>
          <w:p>
            <w:pPr>
              <w:jc w:val="center"/>
              <w:rPr>
                <w:rFonts w:ascii="宋体" w:hAnsi="宋体"/>
                <w:sz w:val="24"/>
                <w:szCs w:val="24"/>
              </w:rPr>
            </w:pPr>
            <w:r>
              <w:rPr>
                <w:rFonts w:hint="eastAsia" w:ascii="宋体" w:hAnsi="宋体"/>
                <w:sz w:val="24"/>
                <w:szCs w:val="24"/>
              </w:rPr>
              <w:t>视频</w:t>
            </w:r>
          </w:p>
        </w:tc>
        <w:tc>
          <w:tcPr>
            <w:tcW w:w="1277" w:type="dxa"/>
            <w:vAlign w:val="center"/>
          </w:tcPr>
          <w:p>
            <w:pPr>
              <w:jc w:val="center"/>
              <w:rPr>
                <w:rFonts w:ascii="宋体" w:hAnsi="宋体"/>
                <w:sz w:val="24"/>
                <w:szCs w:val="24"/>
              </w:rPr>
            </w:pPr>
            <w:r>
              <w:rPr>
                <w:rFonts w:hint="eastAsia" w:ascii="宋体" w:hAnsi="宋体"/>
                <w:sz w:val="24"/>
                <w:szCs w:val="24"/>
              </w:rPr>
              <w:t>1</w:t>
            </w:r>
          </w:p>
        </w:tc>
        <w:tc>
          <w:tcPr>
            <w:tcW w:w="1287" w:type="dxa"/>
            <w:vAlign w:val="center"/>
          </w:tcPr>
          <w:p>
            <w:pPr>
              <w:jc w:val="center"/>
              <w:rPr>
                <w:rFonts w:ascii="宋体" w:hAnsi="宋体"/>
                <w:sz w:val="24"/>
                <w:szCs w:val="24"/>
              </w:rPr>
            </w:pPr>
            <w:r>
              <w:rPr>
                <w:rFonts w:ascii="宋体" w:hAnsi="宋体"/>
                <w:sz w:val="24"/>
                <w:szCs w:val="24"/>
              </w:rPr>
              <w:t>10</w:t>
            </w:r>
            <w:r>
              <w:rPr>
                <w:rFonts w:hint="eastAsia" w:ascii="宋体" w:hAnsi="宋体"/>
                <w:sz w:val="24"/>
                <w:szCs w:val="24"/>
              </w:rPr>
              <w:t>分钟以上</w:t>
            </w:r>
          </w:p>
        </w:tc>
        <w:tc>
          <w:tcPr>
            <w:tcW w:w="1222" w:type="dxa"/>
            <w:vMerge w:val="continue"/>
            <w:vAlign w:val="center"/>
          </w:tcPr>
          <w:p>
            <w:pPr>
              <w:jc w:val="center"/>
              <w:rPr>
                <w:rFonts w:ascii="宋体" w:hAnsi="宋体"/>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70" w:hRule="atLeast"/>
          <w:jc w:val="center"/>
        </w:trPr>
        <w:tc>
          <w:tcPr>
            <w:tcW w:w="677" w:type="dxa"/>
            <w:vMerge w:val="continue"/>
          </w:tcPr>
          <w:p>
            <w:pPr>
              <w:rPr>
                <w:rFonts w:ascii="宋体" w:hAnsi="宋体"/>
                <w:sz w:val="24"/>
                <w:szCs w:val="24"/>
              </w:rPr>
            </w:pPr>
          </w:p>
        </w:tc>
        <w:tc>
          <w:tcPr>
            <w:tcW w:w="710" w:type="dxa"/>
            <w:vAlign w:val="center"/>
          </w:tcPr>
          <w:p>
            <w:pPr>
              <w:jc w:val="center"/>
              <w:rPr>
                <w:rFonts w:ascii="宋体" w:hAnsi="宋体"/>
                <w:sz w:val="24"/>
                <w:szCs w:val="24"/>
              </w:rPr>
            </w:pPr>
            <w:r>
              <w:rPr>
                <w:rFonts w:hint="eastAsia" w:ascii="宋体" w:hAnsi="宋体"/>
                <w:sz w:val="24"/>
                <w:szCs w:val="24"/>
              </w:rPr>
              <w:t>技能</w:t>
            </w:r>
          </w:p>
          <w:p>
            <w:pPr>
              <w:jc w:val="center"/>
              <w:rPr>
                <w:rFonts w:ascii="宋体" w:hAnsi="宋体"/>
                <w:sz w:val="24"/>
                <w:szCs w:val="24"/>
              </w:rPr>
            </w:pPr>
            <w:r>
              <w:rPr>
                <w:rFonts w:hint="eastAsia" w:ascii="宋体" w:hAnsi="宋体"/>
                <w:sz w:val="24"/>
                <w:szCs w:val="24"/>
              </w:rPr>
              <w:t>概要</w:t>
            </w:r>
          </w:p>
        </w:tc>
        <w:tc>
          <w:tcPr>
            <w:tcW w:w="2130" w:type="dxa"/>
            <w:vAlign w:val="center"/>
          </w:tcPr>
          <w:p>
            <w:pPr>
              <w:jc w:val="center"/>
              <w:rPr>
                <w:rFonts w:ascii="宋体" w:hAnsi="宋体"/>
                <w:sz w:val="24"/>
                <w:szCs w:val="24"/>
              </w:rPr>
            </w:pPr>
            <w:r>
              <w:rPr>
                <w:rFonts w:hint="eastAsia" w:ascii="宋体" w:hAnsi="宋体"/>
                <w:sz w:val="24"/>
                <w:szCs w:val="24"/>
              </w:rPr>
              <w:t>技能介绍</w:t>
            </w:r>
          </w:p>
          <w:p>
            <w:pPr>
              <w:jc w:val="center"/>
              <w:rPr>
                <w:rFonts w:ascii="宋体" w:hAnsi="宋体"/>
                <w:sz w:val="24"/>
                <w:szCs w:val="24"/>
              </w:rPr>
            </w:pPr>
            <w:r>
              <w:rPr>
                <w:rFonts w:hint="eastAsia" w:ascii="宋体" w:hAnsi="宋体"/>
                <w:sz w:val="24"/>
                <w:szCs w:val="24"/>
              </w:rPr>
              <w:t>技能要点</w:t>
            </w:r>
          </w:p>
          <w:p>
            <w:pPr>
              <w:jc w:val="center"/>
              <w:rPr>
                <w:rFonts w:ascii="宋体" w:hAnsi="宋体"/>
                <w:sz w:val="24"/>
                <w:szCs w:val="24"/>
              </w:rPr>
            </w:pPr>
            <w:r>
              <w:rPr>
                <w:rFonts w:hint="eastAsia" w:ascii="宋体" w:hAnsi="宋体"/>
                <w:sz w:val="24"/>
                <w:szCs w:val="24"/>
              </w:rPr>
              <w:t>评价指标</w:t>
            </w:r>
          </w:p>
        </w:tc>
        <w:tc>
          <w:tcPr>
            <w:tcW w:w="1280" w:type="dxa"/>
            <w:vAlign w:val="center"/>
          </w:tcPr>
          <w:p>
            <w:pPr>
              <w:jc w:val="center"/>
              <w:rPr>
                <w:rFonts w:ascii="宋体" w:hAnsi="宋体"/>
                <w:sz w:val="24"/>
                <w:szCs w:val="24"/>
              </w:rPr>
            </w:pPr>
            <w:r>
              <w:rPr>
                <w:rFonts w:hint="eastAsia" w:ascii="宋体" w:hAnsi="宋体"/>
                <w:sz w:val="24"/>
                <w:szCs w:val="24"/>
              </w:rPr>
              <w:t>文本文档</w:t>
            </w:r>
          </w:p>
        </w:tc>
        <w:tc>
          <w:tcPr>
            <w:tcW w:w="1277" w:type="dxa"/>
            <w:vAlign w:val="center"/>
          </w:tcPr>
          <w:p>
            <w:pPr>
              <w:jc w:val="center"/>
              <w:rPr>
                <w:rFonts w:ascii="宋体" w:hAnsi="宋体"/>
                <w:sz w:val="24"/>
                <w:szCs w:val="24"/>
              </w:rPr>
            </w:pPr>
            <w:r>
              <w:rPr>
                <w:rFonts w:hint="eastAsia" w:ascii="宋体" w:hAnsi="宋体"/>
                <w:sz w:val="24"/>
                <w:szCs w:val="24"/>
              </w:rPr>
              <w:t>1</w:t>
            </w:r>
          </w:p>
        </w:tc>
        <w:tc>
          <w:tcPr>
            <w:tcW w:w="1287" w:type="dxa"/>
            <w:vAlign w:val="center"/>
          </w:tcPr>
          <w:p>
            <w:pPr>
              <w:jc w:val="center"/>
              <w:rPr>
                <w:rFonts w:ascii="宋体" w:hAnsi="宋体"/>
                <w:sz w:val="24"/>
                <w:szCs w:val="24"/>
              </w:rPr>
            </w:pPr>
            <w:r>
              <w:rPr>
                <w:rFonts w:hint="eastAsia" w:ascii="宋体" w:hAnsi="宋体"/>
                <w:sz w:val="24"/>
                <w:szCs w:val="24"/>
              </w:rPr>
              <w:t>根据赛项内容罗列应掌握的技能、要点及评价指标</w:t>
            </w:r>
          </w:p>
        </w:tc>
        <w:tc>
          <w:tcPr>
            <w:tcW w:w="1222" w:type="dxa"/>
            <w:vMerge w:val="continue"/>
            <w:vAlign w:val="center"/>
          </w:tcPr>
          <w:p>
            <w:pPr>
              <w:jc w:val="center"/>
              <w:rPr>
                <w:rFonts w:ascii="宋体" w:hAnsi="宋体"/>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00" w:hRule="atLeast"/>
          <w:jc w:val="center"/>
        </w:trPr>
        <w:tc>
          <w:tcPr>
            <w:tcW w:w="677" w:type="dxa"/>
            <w:vMerge w:val="continue"/>
          </w:tcPr>
          <w:p>
            <w:pPr>
              <w:rPr>
                <w:rFonts w:ascii="宋体" w:hAnsi="宋体"/>
                <w:sz w:val="24"/>
                <w:szCs w:val="24"/>
              </w:rPr>
            </w:pPr>
          </w:p>
        </w:tc>
        <w:tc>
          <w:tcPr>
            <w:tcW w:w="710" w:type="dxa"/>
            <w:vMerge w:val="restart"/>
            <w:vAlign w:val="center"/>
          </w:tcPr>
          <w:p>
            <w:pPr>
              <w:jc w:val="center"/>
              <w:rPr>
                <w:rFonts w:ascii="宋体" w:hAnsi="宋体"/>
                <w:sz w:val="24"/>
                <w:szCs w:val="24"/>
              </w:rPr>
            </w:pPr>
            <w:r>
              <w:rPr>
                <w:rFonts w:hint="eastAsia" w:ascii="宋体" w:hAnsi="宋体"/>
                <w:sz w:val="24"/>
                <w:szCs w:val="24"/>
              </w:rPr>
              <w:t>教学</w:t>
            </w:r>
          </w:p>
          <w:p>
            <w:pPr>
              <w:jc w:val="center"/>
              <w:rPr>
                <w:rFonts w:ascii="宋体" w:hAnsi="宋体"/>
                <w:sz w:val="24"/>
                <w:szCs w:val="24"/>
              </w:rPr>
            </w:pPr>
            <w:r>
              <w:rPr>
                <w:rFonts w:hint="eastAsia" w:ascii="宋体" w:hAnsi="宋体"/>
                <w:sz w:val="24"/>
                <w:szCs w:val="24"/>
              </w:rPr>
              <w:t>资源</w:t>
            </w:r>
          </w:p>
        </w:tc>
        <w:tc>
          <w:tcPr>
            <w:tcW w:w="2130" w:type="dxa"/>
            <w:vAlign w:val="center"/>
          </w:tcPr>
          <w:p>
            <w:pPr>
              <w:jc w:val="center"/>
              <w:rPr>
                <w:rFonts w:ascii="宋体" w:hAnsi="宋体"/>
                <w:sz w:val="24"/>
                <w:szCs w:val="24"/>
              </w:rPr>
            </w:pPr>
            <w:r>
              <w:rPr>
                <w:rFonts w:hint="eastAsia" w:ascii="宋体" w:hAnsi="宋体"/>
                <w:sz w:val="24"/>
                <w:szCs w:val="24"/>
              </w:rPr>
              <w:t>实训案例库</w:t>
            </w:r>
          </w:p>
        </w:tc>
        <w:tc>
          <w:tcPr>
            <w:tcW w:w="1280" w:type="dxa"/>
            <w:vAlign w:val="center"/>
          </w:tcPr>
          <w:p>
            <w:pPr>
              <w:jc w:val="center"/>
              <w:rPr>
                <w:rFonts w:ascii="宋体" w:hAnsi="宋体"/>
                <w:sz w:val="24"/>
                <w:szCs w:val="24"/>
              </w:rPr>
            </w:pPr>
            <w:r>
              <w:rPr>
                <w:rFonts w:hint="eastAsia" w:ascii="宋体" w:hAnsi="宋体"/>
                <w:sz w:val="24"/>
                <w:szCs w:val="24"/>
              </w:rPr>
              <w:t>文本文档</w:t>
            </w:r>
          </w:p>
        </w:tc>
        <w:tc>
          <w:tcPr>
            <w:tcW w:w="1277" w:type="dxa"/>
            <w:vAlign w:val="center"/>
          </w:tcPr>
          <w:p>
            <w:pPr>
              <w:jc w:val="center"/>
              <w:rPr>
                <w:rFonts w:ascii="宋体" w:hAnsi="宋体"/>
                <w:sz w:val="24"/>
                <w:szCs w:val="24"/>
              </w:rPr>
            </w:pPr>
            <w:r>
              <w:rPr>
                <w:rFonts w:hint="eastAsia" w:ascii="宋体" w:hAnsi="宋体"/>
                <w:sz w:val="24"/>
                <w:szCs w:val="24"/>
              </w:rPr>
              <w:t>4</w:t>
            </w:r>
          </w:p>
        </w:tc>
        <w:tc>
          <w:tcPr>
            <w:tcW w:w="1287" w:type="dxa"/>
            <w:vAlign w:val="center"/>
          </w:tcPr>
          <w:p>
            <w:pPr>
              <w:jc w:val="center"/>
              <w:rPr>
                <w:rFonts w:ascii="宋体" w:hAnsi="宋体"/>
                <w:sz w:val="24"/>
                <w:szCs w:val="24"/>
              </w:rPr>
            </w:pPr>
            <w:r>
              <w:rPr>
                <w:rFonts w:hint="eastAsia" w:ascii="宋体" w:hAnsi="宋体"/>
                <w:sz w:val="24"/>
                <w:szCs w:val="24"/>
              </w:rPr>
              <w:t>4种不同贸易术语、不同结算方式、不同运输方式背景的实训案例</w:t>
            </w:r>
          </w:p>
        </w:tc>
        <w:tc>
          <w:tcPr>
            <w:tcW w:w="1222" w:type="dxa"/>
            <w:vMerge w:val="continue"/>
            <w:vAlign w:val="center"/>
          </w:tcPr>
          <w:p>
            <w:pPr>
              <w:jc w:val="center"/>
              <w:rPr>
                <w:rFonts w:ascii="宋体" w:hAnsi="宋体"/>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00" w:hRule="atLeast"/>
          <w:jc w:val="center"/>
        </w:trPr>
        <w:tc>
          <w:tcPr>
            <w:tcW w:w="677" w:type="dxa"/>
            <w:vMerge w:val="continue"/>
          </w:tcPr>
          <w:p>
            <w:pPr>
              <w:rPr>
                <w:rFonts w:ascii="宋体" w:hAnsi="宋体"/>
                <w:sz w:val="24"/>
                <w:szCs w:val="24"/>
              </w:rPr>
            </w:pPr>
          </w:p>
        </w:tc>
        <w:tc>
          <w:tcPr>
            <w:tcW w:w="710" w:type="dxa"/>
            <w:vMerge w:val="continue"/>
            <w:vAlign w:val="center"/>
          </w:tcPr>
          <w:p>
            <w:pPr>
              <w:jc w:val="center"/>
              <w:rPr>
                <w:rFonts w:ascii="宋体" w:hAnsi="宋体"/>
                <w:sz w:val="24"/>
                <w:szCs w:val="24"/>
              </w:rPr>
            </w:pPr>
          </w:p>
        </w:tc>
        <w:tc>
          <w:tcPr>
            <w:tcW w:w="2130" w:type="dxa"/>
            <w:vAlign w:val="center"/>
          </w:tcPr>
          <w:p>
            <w:pPr>
              <w:jc w:val="center"/>
              <w:rPr>
                <w:rFonts w:ascii="宋体" w:hAnsi="宋体"/>
                <w:sz w:val="24"/>
                <w:szCs w:val="24"/>
              </w:rPr>
            </w:pPr>
            <w:r>
              <w:rPr>
                <w:rFonts w:hint="eastAsia" w:ascii="宋体" w:hAnsi="宋体"/>
                <w:sz w:val="24"/>
                <w:szCs w:val="24"/>
              </w:rPr>
              <w:t>外贸业务能力B2B模块试题集</w:t>
            </w:r>
          </w:p>
        </w:tc>
        <w:tc>
          <w:tcPr>
            <w:tcW w:w="1280" w:type="dxa"/>
            <w:vAlign w:val="center"/>
          </w:tcPr>
          <w:p>
            <w:pPr>
              <w:jc w:val="center"/>
              <w:rPr>
                <w:rFonts w:ascii="宋体" w:hAnsi="宋体"/>
                <w:sz w:val="24"/>
                <w:szCs w:val="24"/>
              </w:rPr>
            </w:pPr>
            <w:r>
              <w:rPr>
                <w:rFonts w:hint="eastAsia" w:ascii="宋体" w:hAnsi="宋体"/>
                <w:sz w:val="24"/>
                <w:szCs w:val="24"/>
              </w:rPr>
              <w:t>文本文档</w:t>
            </w:r>
          </w:p>
        </w:tc>
        <w:tc>
          <w:tcPr>
            <w:tcW w:w="1277" w:type="dxa"/>
            <w:vAlign w:val="center"/>
          </w:tcPr>
          <w:p>
            <w:pPr>
              <w:jc w:val="center"/>
              <w:rPr>
                <w:rFonts w:ascii="宋体" w:hAnsi="宋体"/>
                <w:sz w:val="24"/>
                <w:szCs w:val="24"/>
              </w:rPr>
            </w:pPr>
            <w:r>
              <w:rPr>
                <w:rFonts w:hint="eastAsia" w:ascii="宋体" w:hAnsi="宋体"/>
                <w:sz w:val="24"/>
                <w:szCs w:val="24"/>
              </w:rPr>
              <w:t>10</w:t>
            </w:r>
          </w:p>
        </w:tc>
        <w:tc>
          <w:tcPr>
            <w:tcW w:w="1287" w:type="dxa"/>
            <w:vAlign w:val="center"/>
          </w:tcPr>
          <w:p>
            <w:pPr>
              <w:jc w:val="center"/>
              <w:rPr>
                <w:rFonts w:ascii="宋体" w:hAnsi="宋体"/>
                <w:sz w:val="24"/>
                <w:szCs w:val="24"/>
              </w:rPr>
            </w:pPr>
            <w:r>
              <w:rPr>
                <w:rFonts w:hint="eastAsia" w:ascii="宋体" w:hAnsi="宋体"/>
                <w:sz w:val="24"/>
                <w:szCs w:val="24"/>
              </w:rPr>
              <w:t>10个不同国家间进行外贸业务磋商的试题</w:t>
            </w:r>
          </w:p>
        </w:tc>
        <w:tc>
          <w:tcPr>
            <w:tcW w:w="1222" w:type="dxa"/>
            <w:vMerge w:val="continue"/>
            <w:vAlign w:val="center"/>
          </w:tcPr>
          <w:p>
            <w:pPr>
              <w:jc w:val="center"/>
              <w:rPr>
                <w:rFonts w:ascii="宋体" w:hAnsi="宋体"/>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00" w:hRule="atLeast"/>
          <w:jc w:val="center"/>
        </w:trPr>
        <w:tc>
          <w:tcPr>
            <w:tcW w:w="677" w:type="dxa"/>
            <w:vMerge w:val="continue"/>
          </w:tcPr>
          <w:p>
            <w:pPr>
              <w:rPr>
                <w:rFonts w:ascii="宋体" w:hAnsi="宋体"/>
                <w:sz w:val="24"/>
                <w:szCs w:val="24"/>
              </w:rPr>
            </w:pPr>
          </w:p>
        </w:tc>
        <w:tc>
          <w:tcPr>
            <w:tcW w:w="710" w:type="dxa"/>
            <w:vMerge w:val="continue"/>
            <w:vAlign w:val="center"/>
          </w:tcPr>
          <w:p>
            <w:pPr>
              <w:jc w:val="center"/>
              <w:rPr>
                <w:rFonts w:ascii="宋体" w:hAnsi="宋体"/>
                <w:sz w:val="24"/>
                <w:szCs w:val="24"/>
              </w:rPr>
            </w:pPr>
          </w:p>
        </w:tc>
        <w:tc>
          <w:tcPr>
            <w:tcW w:w="2130" w:type="dxa"/>
            <w:vAlign w:val="center"/>
          </w:tcPr>
          <w:p>
            <w:pPr>
              <w:jc w:val="center"/>
              <w:rPr>
                <w:rFonts w:ascii="宋体" w:hAnsi="宋体"/>
                <w:sz w:val="24"/>
                <w:szCs w:val="24"/>
              </w:rPr>
            </w:pPr>
            <w:r>
              <w:rPr>
                <w:rFonts w:hint="eastAsia" w:ascii="宋体" w:hAnsi="宋体"/>
                <w:sz w:val="24"/>
                <w:szCs w:val="24"/>
              </w:rPr>
              <w:t>外贸业务能力B2C模块试题集</w:t>
            </w:r>
          </w:p>
        </w:tc>
        <w:tc>
          <w:tcPr>
            <w:tcW w:w="1280" w:type="dxa"/>
            <w:vAlign w:val="center"/>
          </w:tcPr>
          <w:p>
            <w:pPr>
              <w:jc w:val="center"/>
              <w:rPr>
                <w:rFonts w:ascii="宋体" w:hAnsi="宋体"/>
                <w:sz w:val="24"/>
                <w:szCs w:val="24"/>
              </w:rPr>
            </w:pPr>
            <w:r>
              <w:rPr>
                <w:rFonts w:hint="eastAsia" w:ascii="宋体" w:hAnsi="宋体"/>
                <w:sz w:val="24"/>
                <w:szCs w:val="24"/>
              </w:rPr>
              <w:t>文本文档</w:t>
            </w:r>
          </w:p>
        </w:tc>
        <w:tc>
          <w:tcPr>
            <w:tcW w:w="1277" w:type="dxa"/>
            <w:vAlign w:val="center"/>
          </w:tcPr>
          <w:p>
            <w:pPr>
              <w:jc w:val="center"/>
              <w:rPr>
                <w:rFonts w:ascii="宋体" w:hAnsi="宋体"/>
                <w:sz w:val="24"/>
                <w:szCs w:val="24"/>
              </w:rPr>
            </w:pPr>
            <w:r>
              <w:rPr>
                <w:rFonts w:hint="eastAsia" w:ascii="宋体" w:hAnsi="宋体"/>
                <w:sz w:val="24"/>
                <w:szCs w:val="24"/>
              </w:rPr>
              <w:t>1</w:t>
            </w:r>
          </w:p>
        </w:tc>
        <w:tc>
          <w:tcPr>
            <w:tcW w:w="1287" w:type="dxa"/>
            <w:vAlign w:val="center"/>
          </w:tcPr>
          <w:p>
            <w:pPr>
              <w:jc w:val="center"/>
              <w:rPr>
                <w:rFonts w:ascii="宋体" w:hAnsi="宋体"/>
                <w:sz w:val="24"/>
                <w:szCs w:val="24"/>
              </w:rPr>
            </w:pPr>
            <w:r>
              <w:rPr>
                <w:rFonts w:hint="eastAsia" w:ascii="宋体" w:hAnsi="宋体"/>
                <w:sz w:val="24"/>
                <w:szCs w:val="24"/>
              </w:rPr>
              <w:t>400道试题</w:t>
            </w:r>
          </w:p>
        </w:tc>
        <w:tc>
          <w:tcPr>
            <w:tcW w:w="1222" w:type="dxa"/>
            <w:vMerge w:val="continue"/>
            <w:vAlign w:val="center"/>
          </w:tcPr>
          <w:p>
            <w:pPr>
              <w:jc w:val="center"/>
              <w:rPr>
                <w:rFonts w:ascii="宋体" w:hAnsi="宋体"/>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00" w:hRule="atLeast"/>
          <w:jc w:val="center"/>
        </w:trPr>
        <w:tc>
          <w:tcPr>
            <w:tcW w:w="677" w:type="dxa"/>
            <w:vMerge w:val="continue"/>
          </w:tcPr>
          <w:p>
            <w:pPr>
              <w:rPr>
                <w:rFonts w:ascii="宋体" w:hAnsi="宋体"/>
                <w:sz w:val="24"/>
                <w:szCs w:val="24"/>
              </w:rPr>
            </w:pPr>
          </w:p>
        </w:tc>
        <w:tc>
          <w:tcPr>
            <w:tcW w:w="710" w:type="dxa"/>
            <w:vMerge w:val="continue"/>
            <w:vAlign w:val="center"/>
          </w:tcPr>
          <w:p>
            <w:pPr>
              <w:jc w:val="center"/>
              <w:rPr>
                <w:rFonts w:ascii="宋体" w:hAnsi="宋体"/>
                <w:sz w:val="24"/>
                <w:szCs w:val="24"/>
              </w:rPr>
            </w:pPr>
          </w:p>
        </w:tc>
        <w:tc>
          <w:tcPr>
            <w:tcW w:w="2130" w:type="dxa"/>
            <w:vAlign w:val="center"/>
          </w:tcPr>
          <w:p>
            <w:pPr>
              <w:jc w:val="center"/>
              <w:rPr>
                <w:rFonts w:ascii="宋体" w:hAnsi="宋体"/>
                <w:sz w:val="24"/>
                <w:szCs w:val="24"/>
              </w:rPr>
            </w:pPr>
            <w:r>
              <w:rPr>
                <w:rFonts w:hint="eastAsia" w:ascii="宋体" w:hAnsi="宋体"/>
                <w:sz w:val="24"/>
                <w:szCs w:val="24"/>
              </w:rPr>
              <w:t>外贸跟单能力模块试题集</w:t>
            </w:r>
          </w:p>
        </w:tc>
        <w:tc>
          <w:tcPr>
            <w:tcW w:w="1280" w:type="dxa"/>
            <w:vAlign w:val="center"/>
          </w:tcPr>
          <w:p>
            <w:pPr>
              <w:jc w:val="center"/>
              <w:rPr>
                <w:rFonts w:ascii="宋体" w:hAnsi="宋体"/>
                <w:sz w:val="24"/>
                <w:szCs w:val="24"/>
              </w:rPr>
            </w:pPr>
            <w:r>
              <w:rPr>
                <w:rFonts w:hint="eastAsia" w:ascii="宋体" w:hAnsi="宋体"/>
                <w:sz w:val="24"/>
                <w:szCs w:val="24"/>
              </w:rPr>
              <w:t>文本文档</w:t>
            </w:r>
          </w:p>
        </w:tc>
        <w:tc>
          <w:tcPr>
            <w:tcW w:w="1277" w:type="dxa"/>
            <w:vAlign w:val="center"/>
          </w:tcPr>
          <w:p>
            <w:pPr>
              <w:jc w:val="center"/>
              <w:rPr>
                <w:rFonts w:ascii="宋体" w:hAnsi="宋体"/>
                <w:sz w:val="24"/>
                <w:szCs w:val="24"/>
              </w:rPr>
            </w:pPr>
            <w:r>
              <w:rPr>
                <w:rFonts w:hint="eastAsia" w:ascii="宋体" w:hAnsi="宋体"/>
                <w:sz w:val="24"/>
                <w:szCs w:val="24"/>
              </w:rPr>
              <w:t>10</w:t>
            </w:r>
          </w:p>
        </w:tc>
        <w:tc>
          <w:tcPr>
            <w:tcW w:w="1287" w:type="dxa"/>
            <w:vAlign w:val="center"/>
          </w:tcPr>
          <w:p>
            <w:pPr>
              <w:jc w:val="center"/>
              <w:rPr>
                <w:rFonts w:ascii="宋体" w:hAnsi="宋体"/>
                <w:sz w:val="24"/>
                <w:szCs w:val="24"/>
              </w:rPr>
            </w:pPr>
            <w:r>
              <w:rPr>
                <w:rFonts w:hint="eastAsia" w:ascii="宋体" w:hAnsi="宋体"/>
                <w:sz w:val="24"/>
                <w:szCs w:val="24"/>
              </w:rPr>
              <w:t>10种不同国家、不同贸易术语、不同结算方式、不同运输方式背景的外贸跟单试题</w:t>
            </w:r>
          </w:p>
        </w:tc>
        <w:tc>
          <w:tcPr>
            <w:tcW w:w="1222" w:type="dxa"/>
            <w:vMerge w:val="continue"/>
            <w:vAlign w:val="center"/>
          </w:tcPr>
          <w:p>
            <w:pPr>
              <w:jc w:val="center"/>
              <w:rPr>
                <w:rFonts w:ascii="宋体" w:hAnsi="宋体"/>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00" w:hRule="atLeast"/>
          <w:jc w:val="center"/>
        </w:trPr>
        <w:tc>
          <w:tcPr>
            <w:tcW w:w="677" w:type="dxa"/>
            <w:vMerge w:val="continue"/>
          </w:tcPr>
          <w:p>
            <w:pPr>
              <w:rPr>
                <w:rFonts w:ascii="宋体" w:hAnsi="宋体"/>
                <w:sz w:val="24"/>
                <w:szCs w:val="24"/>
              </w:rPr>
            </w:pPr>
          </w:p>
        </w:tc>
        <w:tc>
          <w:tcPr>
            <w:tcW w:w="710" w:type="dxa"/>
            <w:vMerge w:val="continue"/>
          </w:tcPr>
          <w:p>
            <w:pPr>
              <w:rPr>
                <w:rFonts w:ascii="宋体" w:hAnsi="宋体"/>
                <w:sz w:val="24"/>
                <w:szCs w:val="24"/>
              </w:rPr>
            </w:pPr>
          </w:p>
        </w:tc>
        <w:tc>
          <w:tcPr>
            <w:tcW w:w="2130" w:type="dxa"/>
            <w:vAlign w:val="center"/>
          </w:tcPr>
          <w:p>
            <w:pPr>
              <w:jc w:val="center"/>
              <w:rPr>
                <w:rFonts w:ascii="宋体" w:hAnsi="宋体"/>
                <w:sz w:val="24"/>
                <w:szCs w:val="24"/>
              </w:rPr>
            </w:pPr>
            <w:r>
              <w:rPr>
                <w:rFonts w:hint="eastAsia" w:ascii="宋体" w:hAnsi="宋体"/>
                <w:sz w:val="24"/>
                <w:szCs w:val="24"/>
              </w:rPr>
              <w:t>外贸英语沟通能力模块试题集</w:t>
            </w:r>
          </w:p>
        </w:tc>
        <w:tc>
          <w:tcPr>
            <w:tcW w:w="1280" w:type="dxa"/>
            <w:vAlign w:val="center"/>
          </w:tcPr>
          <w:p>
            <w:pPr>
              <w:jc w:val="center"/>
              <w:rPr>
                <w:rFonts w:ascii="宋体" w:hAnsi="宋体"/>
                <w:sz w:val="24"/>
                <w:szCs w:val="24"/>
              </w:rPr>
            </w:pPr>
            <w:r>
              <w:rPr>
                <w:rFonts w:hint="eastAsia" w:ascii="宋体" w:hAnsi="宋体"/>
                <w:sz w:val="24"/>
                <w:szCs w:val="24"/>
              </w:rPr>
              <w:t>文本文档</w:t>
            </w:r>
          </w:p>
        </w:tc>
        <w:tc>
          <w:tcPr>
            <w:tcW w:w="1277" w:type="dxa"/>
            <w:vAlign w:val="center"/>
          </w:tcPr>
          <w:p>
            <w:pPr>
              <w:jc w:val="center"/>
              <w:rPr>
                <w:rFonts w:ascii="宋体" w:hAnsi="宋体"/>
                <w:sz w:val="24"/>
                <w:szCs w:val="24"/>
              </w:rPr>
            </w:pPr>
            <w:r>
              <w:rPr>
                <w:rFonts w:hint="eastAsia" w:ascii="宋体" w:hAnsi="宋体"/>
                <w:sz w:val="24"/>
                <w:szCs w:val="24"/>
              </w:rPr>
              <w:t>10</w:t>
            </w:r>
          </w:p>
        </w:tc>
        <w:tc>
          <w:tcPr>
            <w:tcW w:w="1287" w:type="dxa"/>
            <w:vAlign w:val="center"/>
          </w:tcPr>
          <w:p>
            <w:pPr>
              <w:jc w:val="center"/>
              <w:rPr>
                <w:rFonts w:ascii="宋体" w:hAnsi="宋体"/>
                <w:sz w:val="24"/>
                <w:szCs w:val="24"/>
              </w:rPr>
            </w:pPr>
            <w:r>
              <w:rPr>
                <w:rFonts w:hint="eastAsia" w:ascii="宋体" w:hAnsi="宋体"/>
                <w:sz w:val="24"/>
                <w:szCs w:val="24"/>
              </w:rPr>
              <w:t>10套外贸英语沟通能力试题（Retell文章10篇，外贸业务相关问题10个）</w:t>
            </w:r>
          </w:p>
        </w:tc>
        <w:tc>
          <w:tcPr>
            <w:tcW w:w="1222" w:type="dxa"/>
            <w:vMerge w:val="continue"/>
            <w:vAlign w:val="center"/>
          </w:tcPr>
          <w:p>
            <w:pPr>
              <w:jc w:val="center"/>
              <w:rPr>
                <w:rFonts w:ascii="宋体" w:hAnsi="宋体"/>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00" w:hRule="atLeast"/>
          <w:jc w:val="center"/>
        </w:trPr>
        <w:tc>
          <w:tcPr>
            <w:tcW w:w="677" w:type="dxa"/>
            <w:vMerge w:val="restart"/>
            <w:tcBorders>
              <w:top w:val="nil"/>
            </w:tcBorders>
            <w:vAlign w:val="center"/>
          </w:tcPr>
          <w:p>
            <w:pPr>
              <w:jc w:val="center"/>
              <w:rPr>
                <w:rFonts w:ascii="宋体" w:hAnsi="宋体"/>
                <w:sz w:val="24"/>
                <w:szCs w:val="24"/>
              </w:rPr>
            </w:pPr>
            <w:r>
              <w:rPr>
                <w:rFonts w:hint="eastAsia" w:ascii="宋体" w:hAnsi="宋体"/>
                <w:sz w:val="24"/>
                <w:szCs w:val="24"/>
              </w:rPr>
              <w:t>拓展</w:t>
            </w:r>
          </w:p>
          <w:p>
            <w:pPr>
              <w:jc w:val="center"/>
              <w:rPr>
                <w:rFonts w:ascii="宋体" w:hAnsi="宋体"/>
                <w:sz w:val="24"/>
                <w:szCs w:val="24"/>
              </w:rPr>
            </w:pPr>
            <w:r>
              <w:rPr>
                <w:rFonts w:hint="eastAsia" w:ascii="宋体" w:hAnsi="宋体"/>
                <w:sz w:val="24"/>
                <w:szCs w:val="24"/>
              </w:rPr>
              <w:t>资源</w:t>
            </w:r>
          </w:p>
        </w:tc>
        <w:tc>
          <w:tcPr>
            <w:tcW w:w="2840" w:type="dxa"/>
            <w:gridSpan w:val="2"/>
            <w:vAlign w:val="center"/>
          </w:tcPr>
          <w:p>
            <w:pPr>
              <w:jc w:val="center"/>
              <w:rPr>
                <w:rFonts w:ascii="宋体" w:hAnsi="宋体"/>
                <w:sz w:val="24"/>
                <w:szCs w:val="24"/>
              </w:rPr>
            </w:pPr>
            <w:r>
              <w:rPr>
                <w:rFonts w:hint="eastAsia" w:ascii="宋体" w:hAnsi="宋体"/>
                <w:sz w:val="24"/>
                <w:szCs w:val="24"/>
              </w:rPr>
              <w:t>优秀指导教师访谈</w:t>
            </w:r>
          </w:p>
        </w:tc>
        <w:tc>
          <w:tcPr>
            <w:tcW w:w="1280" w:type="dxa"/>
            <w:vAlign w:val="center"/>
          </w:tcPr>
          <w:p>
            <w:pPr>
              <w:jc w:val="center"/>
              <w:rPr>
                <w:rFonts w:ascii="宋体" w:hAnsi="宋体"/>
                <w:sz w:val="24"/>
                <w:szCs w:val="24"/>
              </w:rPr>
            </w:pPr>
            <w:r>
              <w:rPr>
                <w:rFonts w:hint="eastAsia" w:ascii="宋体" w:hAnsi="宋体"/>
                <w:sz w:val="24"/>
                <w:szCs w:val="24"/>
              </w:rPr>
              <w:t>视频</w:t>
            </w:r>
          </w:p>
        </w:tc>
        <w:tc>
          <w:tcPr>
            <w:tcW w:w="1277" w:type="dxa"/>
            <w:vAlign w:val="center"/>
          </w:tcPr>
          <w:p>
            <w:pPr>
              <w:jc w:val="center"/>
              <w:rPr>
                <w:rFonts w:ascii="宋体" w:hAnsi="宋体"/>
                <w:sz w:val="24"/>
                <w:szCs w:val="24"/>
              </w:rPr>
            </w:pPr>
            <w:r>
              <w:rPr>
                <w:rFonts w:hint="eastAsia" w:ascii="宋体" w:hAnsi="宋体"/>
                <w:sz w:val="24"/>
                <w:szCs w:val="24"/>
              </w:rPr>
              <w:t>2</w:t>
            </w:r>
          </w:p>
        </w:tc>
        <w:tc>
          <w:tcPr>
            <w:tcW w:w="1287" w:type="dxa"/>
            <w:vAlign w:val="center"/>
          </w:tcPr>
          <w:p>
            <w:pPr>
              <w:jc w:val="center"/>
              <w:rPr>
                <w:rFonts w:ascii="宋体" w:hAnsi="宋体"/>
                <w:sz w:val="24"/>
                <w:szCs w:val="24"/>
              </w:rPr>
            </w:pPr>
          </w:p>
        </w:tc>
        <w:tc>
          <w:tcPr>
            <w:tcW w:w="1222" w:type="dxa"/>
            <w:vMerge w:val="continue"/>
            <w:vAlign w:val="center"/>
          </w:tcPr>
          <w:p>
            <w:pPr>
              <w:jc w:val="center"/>
              <w:rPr>
                <w:rFonts w:ascii="宋体" w:hAnsi="宋体"/>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00" w:hRule="atLeast"/>
          <w:jc w:val="center"/>
        </w:trPr>
        <w:tc>
          <w:tcPr>
            <w:tcW w:w="677" w:type="dxa"/>
            <w:vMerge w:val="continue"/>
          </w:tcPr>
          <w:p>
            <w:pPr>
              <w:rPr>
                <w:rFonts w:ascii="宋体" w:hAnsi="宋体"/>
                <w:sz w:val="24"/>
                <w:szCs w:val="24"/>
              </w:rPr>
            </w:pPr>
          </w:p>
        </w:tc>
        <w:tc>
          <w:tcPr>
            <w:tcW w:w="2840" w:type="dxa"/>
            <w:gridSpan w:val="2"/>
            <w:vAlign w:val="center"/>
          </w:tcPr>
          <w:p>
            <w:pPr>
              <w:jc w:val="center"/>
              <w:rPr>
                <w:rFonts w:ascii="宋体" w:hAnsi="宋体"/>
                <w:sz w:val="24"/>
                <w:szCs w:val="24"/>
              </w:rPr>
            </w:pPr>
            <w:r>
              <w:rPr>
                <w:rFonts w:hint="eastAsia" w:ascii="宋体" w:hAnsi="宋体"/>
                <w:sz w:val="24"/>
                <w:szCs w:val="24"/>
              </w:rPr>
              <w:t>优秀选手访谈</w:t>
            </w:r>
          </w:p>
        </w:tc>
        <w:tc>
          <w:tcPr>
            <w:tcW w:w="1280" w:type="dxa"/>
            <w:vAlign w:val="center"/>
          </w:tcPr>
          <w:p>
            <w:pPr>
              <w:jc w:val="center"/>
              <w:rPr>
                <w:rFonts w:ascii="宋体" w:hAnsi="宋体"/>
                <w:sz w:val="24"/>
                <w:szCs w:val="24"/>
              </w:rPr>
            </w:pPr>
            <w:r>
              <w:rPr>
                <w:rFonts w:hint="eastAsia" w:ascii="宋体" w:hAnsi="宋体"/>
                <w:sz w:val="24"/>
                <w:szCs w:val="24"/>
              </w:rPr>
              <w:t>视频</w:t>
            </w:r>
          </w:p>
        </w:tc>
        <w:tc>
          <w:tcPr>
            <w:tcW w:w="1277" w:type="dxa"/>
            <w:vAlign w:val="center"/>
          </w:tcPr>
          <w:p>
            <w:pPr>
              <w:jc w:val="center"/>
              <w:rPr>
                <w:rFonts w:ascii="宋体" w:hAnsi="宋体"/>
                <w:sz w:val="24"/>
                <w:szCs w:val="24"/>
              </w:rPr>
            </w:pPr>
            <w:r>
              <w:rPr>
                <w:rFonts w:hint="eastAsia" w:ascii="宋体" w:hAnsi="宋体"/>
                <w:sz w:val="24"/>
                <w:szCs w:val="24"/>
              </w:rPr>
              <w:t>3</w:t>
            </w:r>
          </w:p>
        </w:tc>
        <w:tc>
          <w:tcPr>
            <w:tcW w:w="1287" w:type="dxa"/>
            <w:vAlign w:val="center"/>
          </w:tcPr>
          <w:p>
            <w:pPr>
              <w:jc w:val="center"/>
              <w:rPr>
                <w:rFonts w:ascii="宋体" w:hAnsi="宋体"/>
                <w:sz w:val="24"/>
                <w:szCs w:val="24"/>
              </w:rPr>
            </w:pPr>
          </w:p>
        </w:tc>
        <w:tc>
          <w:tcPr>
            <w:tcW w:w="1222" w:type="dxa"/>
            <w:vMerge w:val="continue"/>
            <w:vAlign w:val="center"/>
          </w:tcPr>
          <w:p>
            <w:pPr>
              <w:jc w:val="center"/>
              <w:rPr>
                <w:rFonts w:ascii="宋体" w:hAnsi="宋体"/>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00" w:hRule="atLeast"/>
          <w:jc w:val="center"/>
        </w:trPr>
        <w:tc>
          <w:tcPr>
            <w:tcW w:w="677" w:type="dxa"/>
            <w:vMerge w:val="continue"/>
          </w:tcPr>
          <w:p>
            <w:pPr>
              <w:rPr>
                <w:rFonts w:ascii="宋体" w:hAnsi="宋体"/>
                <w:sz w:val="24"/>
                <w:szCs w:val="24"/>
              </w:rPr>
            </w:pPr>
          </w:p>
        </w:tc>
        <w:tc>
          <w:tcPr>
            <w:tcW w:w="2840" w:type="dxa"/>
            <w:gridSpan w:val="2"/>
            <w:vAlign w:val="center"/>
          </w:tcPr>
          <w:p>
            <w:pPr>
              <w:jc w:val="center"/>
              <w:rPr>
                <w:rFonts w:ascii="宋体" w:hAnsi="宋体"/>
                <w:sz w:val="24"/>
                <w:szCs w:val="24"/>
              </w:rPr>
            </w:pPr>
            <w:r>
              <w:rPr>
                <w:rFonts w:hint="eastAsia" w:ascii="宋体" w:hAnsi="宋体"/>
                <w:sz w:val="24"/>
                <w:szCs w:val="24"/>
              </w:rPr>
              <w:t>举办配套行业赛事，提高学生参与度</w:t>
            </w:r>
          </w:p>
        </w:tc>
        <w:tc>
          <w:tcPr>
            <w:tcW w:w="1280" w:type="dxa"/>
            <w:vAlign w:val="center"/>
          </w:tcPr>
          <w:p>
            <w:pPr>
              <w:jc w:val="center"/>
              <w:rPr>
                <w:rFonts w:ascii="宋体" w:hAnsi="宋体"/>
                <w:sz w:val="24"/>
                <w:szCs w:val="24"/>
              </w:rPr>
            </w:pPr>
            <w:r>
              <w:rPr>
                <w:rFonts w:hint="eastAsia" w:ascii="宋体" w:hAnsi="宋体"/>
                <w:sz w:val="24"/>
                <w:szCs w:val="24"/>
              </w:rPr>
              <w:t>网络赛</w:t>
            </w:r>
          </w:p>
        </w:tc>
        <w:tc>
          <w:tcPr>
            <w:tcW w:w="1277" w:type="dxa"/>
            <w:vAlign w:val="center"/>
          </w:tcPr>
          <w:p>
            <w:pPr>
              <w:jc w:val="center"/>
              <w:rPr>
                <w:rFonts w:ascii="宋体" w:hAnsi="宋体"/>
                <w:sz w:val="24"/>
                <w:szCs w:val="24"/>
              </w:rPr>
            </w:pPr>
          </w:p>
        </w:tc>
        <w:tc>
          <w:tcPr>
            <w:tcW w:w="1287" w:type="dxa"/>
            <w:vAlign w:val="center"/>
          </w:tcPr>
          <w:p>
            <w:pPr>
              <w:jc w:val="center"/>
              <w:rPr>
                <w:rFonts w:ascii="宋体" w:hAnsi="宋体"/>
                <w:sz w:val="24"/>
                <w:szCs w:val="24"/>
              </w:rPr>
            </w:pPr>
          </w:p>
        </w:tc>
        <w:tc>
          <w:tcPr>
            <w:tcW w:w="1222" w:type="dxa"/>
            <w:vAlign w:val="center"/>
          </w:tcPr>
          <w:p>
            <w:pPr>
              <w:jc w:val="center"/>
              <w:rPr>
                <w:rFonts w:ascii="宋体" w:hAnsi="宋体"/>
                <w:sz w:val="24"/>
                <w:szCs w:val="24"/>
              </w:rPr>
            </w:pPr>
            <w:r>
              <w:rPr>
                <w:rFonts w:hint="eastAsia" w:ascii="宋体" w:hAnsi="宋体"/>
                <w:sz w:val="24"/>
                <w:szCs w:val="24"/>
              </w:rPr>
              <w:t>2019.4</w:t>
            </w:r>
          </w:p>
          <w:p>
            <w:pPr>
              <w:jc w:val="center"/>
              <w:rPr>
                <w:rFonts w:ascii="宋体" w:hAnsi="宋体"/>
                <w:sz w:val="24"/>
                <w:szCs w:val="24"/>
              </w:rPr>
            </w:pPr>
            <w:r>
              <w:rPr>
                <w:rFonts w:hint="eastAsia" w:ascii="宋体" w:hAnsi="宋体"/>
                <w:sz w:val="24"/>
                <w:szCs w:val="24"/>
              </w:rPr>
              <w:t>2019.11</w:t>
            </w:r>
          </w:p>
        </w:tc>
      </w:tr>
    </w:tbl>
    <w:p>
      <w:pPr>
        <w:pStyle w:val="2"/>
        <w:ind w:firstLine="600"/>
      </w:pPr>
      <w:bookmarkStart w:id="44" w:name="_Toc522017706"/>
      <w:r>
        <w:rPr>
          <w:rFonts w:hint="eastAsia"/>
        </w:rPr>
        <w:t>十八、筹备工作进度时间表</w:t>
      </w:r>
      <w:bookmarkEnd w:id="44"/>
    </w:p>
    <w:p>
      <w:pPr>
        <w:snapToGrid w:val="0"/>
        <w:spacing w:line="560" w:lineRule="exact"/>
        <w:jc w:val="center"/>
        <w:rPr>
          <w:rFonts w:cs="Arial" w:asciiTheme="minorEastAsia" w:hAnsiTheme="minorEastAsia"/>
          <w:kern w:val="0"/>
          <w:sz w:val="24"/>
          <w:szCs w:val="24"/>
        </w:rPr>
      </w:pPr>
      <w:r>
        <w:rPr>
          <w:rFonts w:hint="eastAsia" w:cs="Arial" w:asciiTheme="minorEastAsia" w:hAnsiTheme="minorEastAsia"/>
          <w:kern w:val="0"/>
          <w:sz w:val="24"/>
          <w:szCs w:val="24"/>
        </w:rPr>
        <w:t>表13 竞赛筹备工作进度时间表</w:t>
      </w:r>
    </w:p>
    <w:tbl>
      <w:tblPr>
        <w:tblStyle w:val="17"/>
        <w:tblW w:w="852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90"/>
        <w:gridCol w:w="4658"/>
        <w:gridCol w:w="27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90" w:type="dxa"/>
            <w:shd w:val="clear" w:color="auto" w:fill="auto"/>
            <w:vAlign w:val="center"/>
          </w:tcPr>
          <w:p>
            <w:pPr>
              <w:jc w:val="center"/>
              <w:rPr>
                <w:rFonts w:ascii="宋体" w:hAnsi="宋体"/>
                <w:b/>
                <w:sz w:val="24"/>
                <w:szCs w:val="24"/>
              </w:rPr>
            </w:pPr>
            <w:r>
              <w:rPr>
                <w:rFonts w:hint="eastAsia" w:ascii="宋体" w:hAnsi="宋体"/>
                <w:b/>
                <w:sz w:val="24"/>
                <w:szCs w:val="24"/>
              </w:rPr>
              <w:t>序号</w:t>
            </w:r>
          </w:p>
        </w:tc>
        <w:tc>
          <w:tcPr>
            <w:tcW w:w="4658" w:type="dxa"/>
            <w:shd w:val="clear" w:color="auto" w:fill="auto"/>
            <w:vAlign w:val="center"/>
          </w:tcPr>
          <w:p>
            <w:pPr>
              <w:jc w:val="center"/>
              <w:rPr>
                <w:rFonts w:ascii="宋体" w:hAnsi="宋体"/>
                <w:b/>
                <w:sz w:val="24"/>
                <w:szCs w:val="24"/>
              </w:rPr>
            </w:pPr>
            <w:r>
              <w:rPr>
                <w:rFonts w:hint="eastAsia" w:ascii="宋体" w:hAnsi="宋体"/>
                <w:b/>
                <w:sz w:val="24"/>
                <w:szCs w:val="24"/>
              </w:rPr>
              <w:t>内容</w:t>
            </w:r>
          </w:p>
        </w:tc>
        <w:tc>
          <w:tcPr>
            <w:tcW w:w="2774" w:type="dxa"/>
            <w:shd w:val="clear" w:color="auto" w:fill="auto"/>
            <w:vAlign w:val="center"/>
          </w:tcPr>
          <w:p>
            <w:pPr>
              <w:jc w:val="center"/>
              <w:rPr>
                <w:rFonts w:ascii="宋体" w:hAnsi="宋体"/>
                <w:b/>
                <w:sz w:val="24"/>
                <w:szCs w:val="24"/>
              </w:rPr>
            </w:pPr>
            <w:r>
              <w:rPr>
                <w:rFonts w:hint="eastAsia" w:ascii="宋体" w:hAnsi="宋体"/>
                <w:b/>
                <w:sz w:val="24"/>
                <w:szCs w:val="24"/>
              </w:rPr>
              <w:t>时间安排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1" w:hRule="atLeast"/>
          <w:jc w:val="center"/>
        </w:trPr>
        <w:tc>
          <w:tcPr>
            <w:tcW w:w="1090" w:type="dxa"/>
            <w:shd w:val="clear" w:color="auto" w:fill="auto"/>
            <w:vAlign w:val="center"/>
          </w:tcPr>
          <w:p>
            <w:pPr>
              <w:jc w:val="center"/>
              <w:rPr>
                <w:rFonts w:ascii="宋体" w:hAnsi="宋体"/>
                <w:sz w:val="24"/>
                <w:szCs w:val="24"/>
              </w:rPr>
            </w:pPr>
            <w:r>
              <w:rPr>
                <w:rFonts w:hint="eastAsia" w:ascii="宋体" w:hAnsi="宋体"/>
                <w:sz w:val="24"/>
                <w:szCs w:val="24"/>
              </w:rPr>
              <w:t>1</w:t>
            </w:r>
          </w:p>
        </w:tc>
        <w:tc>
          <w:tcPr>
            <w:tcW w:w="4658" w:type="dxa"/>
            <w:shd w:val="clear" w:color="auto" w:fill="auto"/>
            <w:vAlign w:val="center"/>
          </w:tcPr>
          <w:p>
            <w:pPr>
              <w:rPr>
                <w:rFonts w:ascii="宋体" w:hAnsi="宋体"/>
                <w:sz w:val="24"/>
                <w:szCs w:val="24"/>
              </w:rPr>
            </w:pPr>
            <w:r>
              <w:rPr>
                <w:rFonts w:hint="eastAsia" w:ascii="宋体" w:hAnsi="宋体"/>
                <w:sz w:val="24"/>
                <w:szCs w:val="24"/>
              </w:rPr>
              <w:t>组织专家编制赛项申报方案</w:t>
            </w:r>
          </w:p>
        </w:tc>
        <w:tc>
          <w:tcPr>
            <w:tcW w:w="2774" w:type="dxa"/>
            <w:shd w:val="clear" w:color="auto" w:fill="auto"/>
            <w:vAlign w:val="center"/>
          </w:tcPr>
          <w:p>
            <w:pPr>
              <w:jc w:val="center"/>
              <w:rPr>
                <w:rFonts w:ascii="宋体" w:hAnsi="宋体"/>
                <w:sz w:val="24"/>
                <w:szCs w:val="24"/>
              </w:rPr>
            </w:pPr>
            <w:r>
              <w:rPr>
                <w:rFonts w:hint="eastAsia" w:ascii="宋体" w:hAnsi="宋体"/>
                <w:sz w:val="24"/>
                <w:szCs w:val="24"/>
              </w:rPr>
              <w:t>2018年8月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90" w:type="dxa"/>
            <w:shd w:val="clear" w:color="auto" w:fill="auto"/>
            <w:vAlign w:val="center"/>
          </w:tcPr>
          <w:p>
            <w:pPr>
              <w:jc w:val="center"/>
              <w:rPr>
                <w:rFonts w:ascii="宋体" w:hAnsi="宋体"/>
                <w:sz w:val="24"/>
                <w:szCs w:val="24"/>
              </w:rPr>
            </w:pPr>
            <w:r>
              <w:rPr>
                <w:rFonts w:hint="eastAsia" w:ascii="宋体" w:hAnsi="宋体"/>
                <w:sz w:val="24"/>
                <w:szCs w:val="24"/>
              </w:rPr>
              <w:t>2</w:t>
            </w:r>
          </w:p>
        </w:tc>
        <w:tc>
          <w:tcPr>
            <w:tcW w:w="4658" w:type="dxa"/>
            <w:shd w:val="clear" w:color="auto" w:fill="auto"/>
            <w:vAlign w:val="center"/>
          </w:tcPr>
          <w:p>
            <w:pPr>
              <w:rPr>
                <w:rFonts w:ascii="宋体" w:hAnsi="宋体"/>
                <w:sz w:val="24"/>
                <w:szCs w:val="24"/>
              </w:rPr>
            </w:pPr>
            <w:r>
              <w:rPr>
                <w:rFonts w:hint="eastAsia" w:ascii="宋体" w:hAnsi="宋体"/>
                <w:sz w:val="24"/>
                <w:szCs w:val="24"/>
              </w:rPr>
              <w:t>赛项方案完善、赛项评审答辩</w:t>
            </w:r>
          </w:p>
        </w:tc>
        <w:tc>
          <w:tcPr>
            <w:tcW w:w="2774" w:type="dxa"/>
            <w:shd w:val="clear" w:color="auto" w:fill="auto"/>
            <w:vAlign w:val="center"/>
          </w:tcPr>
          <w:p>
            <w:pPr>
              <w:jc w:val="center"/>
              <w:rPr>
                <w:rFonts w:ascii="宋体" w:hAnsi="宋体"/>
                <w:sz w:val="24"/>
                <w:szCs w:val="24"/>
              </w:rPr>
            </w:pPr>
            <w:r>
              <w:rPr>
                <w:rFonts w:hint="eastAsia" w:ascii="宋体" w:hAnsi="宋体"/>
                <w:sz w:val="24"/>
                <w:szCs w:val="24"/>
              </w:rPr>
              <w:t>2018年9月-12月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 w:hRule="atLeast"/>
          <w:jc w:val="center"/>
        </w:trPr>
        <w:tc>
          <w:tcPr>
            <w:tcW w:w="1090" w:type="dxa"/>
            <w:shd w:val="clear" w:color="auto" w:fill="auto"/>
            <w:vAlign w:val="center"/>
          </w:tcPr>
          <w:p>
            <w:pPr>
              <w:jc w:val="center"/>
              <w:rPr>
                <w:rFonts w:ascii="宋体" w:hAnsi="宋体"/>
                <w:sz w:val="24"/>
                <w:szCs w:val="24"/>
              </w:rPr>
            </w:pPr>
            <w:r>
              <w:rPr>
                <w:rFonts w:hint="eastAsia" w:ascii="宋体" w:hAnsi="宋体"/>
                <w:sz w:val="24"/>
                <w:szCs w:val="24"/>
              </w:rPr>
              <w:t>3</w:t>
            </w:r>
          </w:p>
        </w:tc>
        <w:tc>
          <w:tcPr>
            <w:tcW w:w="4658" w:type="dxa"/>
            <w:shd w:val="clear" w:color="auto" w:fill="auto"/>
            <w:vAlign w:val="center"/>
          </w:tcPr>
          <w:p>
            <w:pPr>
              <w:rPr>
                <w:rFonts w:ascii="宋体" w:hAnsi="宋体"/>
                <w:sz w:val="24"/>
                <w:szCs w:val="24"/>
              </w:rPr>
            </w:pPr>
            <w:r>
              <w:rPr>
                <w:rFonts w:hint="eastAsia" w:ascii="宋体" w:hAnsi="宋体"/>
                <w:sz w:val="24"/>
                <w:szCs w:val="24"/>
              </w:rPr>
              <w:t>企业合作方案制定</w:t>
            </w:r>
          </w:p>
        </w:tc>
        <w:tc>
          <w:tcPr>
            <w:tcW w:w="2774" w:type="dxa"/>
            <w:shd w:val="clear" w:color="auto" w:fill="auto"/>
            <w:vAlign w:val="center"/>
          </w:tcPr>
          <w:p>
            <w:pPr>
              <w:jc w:val="center"/>
              <w:rPr>
                <w:rFonts w:ascii="宋体" w:hAnsi="宋体"/>
                <w:sz w:val="24"/>
                <w:szCs w:val="24"/>
              </w:rPr>
            </w:pPr>
            <w:r>
              <w:rPr>
                <w:rFonts w:hint="eastAsia" w:ascii="宋体" w:hAnsi="宋体"/>
                <w:sz w:val="24"/>
                <w:szCs w:val="24"/>
              </w:rPr>
              <w:t>2019年1月-2月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90" w:type="dxa"/>
            <w:shd w:val="clear" w:color="auto" w:fill="auto"/>
            <w:vAlign w:val="center"/>
          </w:tcPr>
          <w:p>
            <w:pPr>
              <w:jc w:val="center"/>
              <w:rPr>
                <w:rFonts w:ascii="宋体" w:hAnsi="宋体"/>
                <w:sz w:val="24"/>
                <w:szCs w:val="24"/>
              </w:rPr>
            </w:pPr>
            <w:r>
              <w:rPr>
                <w:rFonts w:hint="eastAsia" w:ascii="宋体" w:hAnsi="宋体"/>
                <w:sz w:val="24"/>
                <w:szCs w:val="24"/>
              </w:rPr>
              <w:t>4</w:t>
            </w:r>
          </w:p>
        </w:tc>
        <w:tc>
          <w:tcPr>
            <w:tcW w:w="4658" w:type="dxa"/>
            <w:shd w:val="clear" w:color="auto" w:fill="auto"/>
            <w:vAlign w:val="center"/>
          </w:tcPr>
          <w:p>
            <w:pPr>
              <w:rPr>
                <w:rFonts w:ascii="宋体" w:hAnsi="宋体"/>
                <w:sz w:val="24"/>
                <w:szCs w:val="24"/>
              </w:rPr>
            </w:pPr>
            <w:r>
              <w:rPr>
                <w:rFonts w:hint="eastAsia" w:ascii="宋体" w:hAnsi="宋体"/>
                <w:sz w:val="24"/>
                <w:szCs w:val="24"/>
              </w:rPr>
              <w:t>赛项规程、赛项器材方案、赛项预算</w:t>
            </w:r>
          </w:p>
        </w:tc>
        <w:tc>
          <w:tcPr>
            <w:tcW w:w="2774" w:type="dxa"/>
            <w:shd w:val="clear" w:color="auto" w:fill="auto"/>
            <w:vAlign w:val="center"/>
          </w:tcPr>
          <w:p>
            <w:pPr>
              <w:jc w:val="center"/>
              <w:rPr>
                <w:rFonts w:ascii="宋体" w:hAnsi="宋体"/>
                <w:sz w:val="24"/>
                <w:szCs w:val="24"/>
              </w:rPr>
            </w:pPr>
            <w:r>
              <w:rPr>
                <w:rFonts w:hint="eastAsia" w:ascii="宋体" w:hAnsi="宋体"/>
                <w:sz w:val="24"/>
                <w:szCs w:val="24"/>
              </w:rPr>
              <w:t>2019年3月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90" w:type="dxa"/>
            <w:shd w:val="clear" w:color="auto" w:fill="auto"/>
            <w:vAlign w:val="center"/>
          </w:tcPr>
          <w:p>
            <w:pPr>
              <w:jc w:val="center"/>
              <w:rPr>
                <w:rFonts w:ascii="宋体" w:hAnsi="宋体"/>
                <w:sz w:val="24"/>
                <w:szCs w:val="24"/>
              </w:rPr>
            </w:pPr>
            <w:r>
              <w:rPr>
                <w:rFonts w:hint="eastAsia" w:ascii="宋体" w:hAnsi="宋体"/>
                <w:sz w:val="24"/>
                <w:szCs w:val="24"/>
              </w:rPr>
              <w:t>5</w:t>
            </w:r>
          </w:p>
        </w:tc>
        <w:tc>
          <w:tcPr>
            <w:tcW w:w="4658" w:type="dxa"/>
            <w:shd w:val="clear" w:color="auto" w:fill="auto"/>
            <w:vAlign w:val="center"/>
          </w:tcPr>
          <w:p>
            <w:pPr>
              <w:rPr>
                <w:rFonts w:ascii="宋体" w:hAnsi="宋体"/>
                <w:sz w:val="24"/>
                <w:szCs w:val="24"/>
              </w:rPr>
            </w:pPr>
            <w:r>
              <w:rPr>
                <w:rFonts w:hint="eastAsia" w:ascii="宋体" w:hAnsi="宋体"/>
                <w:sz w:val="24"/>
                <w:szCs w:val="24"/>
              </w:rPr>
              <w:t>组织各省省赛</w:t>
            </w:r>
          </w:p>
        </w:tc>
        <w:tc>
          <w:tcPr>
            <w:tcW w:w="2774" w:type="dxa"/>
            <w:shd w:val="clear" w:color="auto" w:fill="auto"/>
            <w:vAlign w:val="center"/>
          </w:tcPr>
          <w:p>
            <w:pPr>
              <w:jc w:val="center"/>
              <w:rPr>
                <w:rFonts w:ascii="宋体" w:hAnsi="宋体"/>
                <w:sz w:val="24"/>
                <w:szCs w:val="24"/>
              </w:rPr>
            </w:pPr>
            <w:r>
              <w:rPr>
                <w:rFonts w:hint="eastAsia" w:ascii="宋体" w:hAnsi="宋体"/>
                <w:sz w:val="24"/>
                <w:szCs w:val="24"/>
              </w:rPr>
              <w:t>2019年3月-5月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90" w:type="dxa"/>
            <w:vMerge w:val="restart"/>
            <w:shd w:val="clear" w:color="auto" w:fill="auto"/>
            <w:vAlign w:val="center"/>
          </w:tcPr>
          <w:p>
            <w:pPr>
              <w:jc w:val="center"/>
              <w:rPr>
                <w:rFonts w:ascii="宋体" w:hAnsi="宋体"/>
                <w:sz w:val="24"/>
                <w:szCs w:val="24"/>
              </w:rPr>
            </w:pPr>
            <w:r>
              <w:rPr>
                <w:rFonts w:hint="eastAsia" w:ascii="宋体" w:hAnsi="宋体"/>
                <w:sz w:val="24"/>
                <w:szCs w:val="24"/>
              </w:rPr>
              <w:t>6</w:t>
            </w:r>
          </w:p>
        </w:tc>
        <w:tc>
          <w:tcPr>
            <w:tcW w:w="4658" w:type="dxa"/>
            <w:shd w:val="clear" w:color="auto" w:fill="auto"/>
            <w:vAlign w:val="center"/>
          </w:tcPr>
          <w:p>
            <w:pPr>
              <w:rPr>
                <w:rFonts w:ascii="宋体" w:hAnsi="宋体"/>
                <w:sz w:val="24"/>
                <w:szCs w:val="24"/>
              </w:rPr>
            </w:pPr>
            <w:r>
              <w:rPr>
                <w:rFonts w:hint="eastAsia" w:ascii="宋体" w:hAnsi="宋体"/>
                <w:sz w:val="24"/>
                <w:szCs w:val="24"/>
              </w:rPr>
              <w:t>组织专家组设计赛题</w:t>
            </w:r>
          </w:p>
        </w:tc>
        <w:tc>
          <w:tcPr>
            <w:tcW w:w="2774" w:type="dxa"/>
            <w:shd w:val="clear" w:color="auto" w:fill="auto"/>
            <w:vAlign w:val="center"/>
          </w:tcPr>
          <w:p>
            <w:pPr>
              <w:jc w:val="center"/>
              <w:rPr>
                <w:rFonts w:ascii="宋体" w:hAnsi="宋体"/>
                <w:sz w:val="24"/>
                <w:szCs w:val="24"/>
              </w:rPr>
            </w:pPr>
            <w:r>
              <w:rPr>
                <w:rFonts w:hint="eastAsia" w:ascii="宋体" w:hAnsi="宋体"/>
                <w:sz w:val="24"/>
                <w:szCs w:val="24"/>
              </w:rPr>
              <w:t>2019年4月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90" w:type="dxa"/>
            <w:vMerge w:val="continue"/>
            <w:shd w:val="clear" w:color="auto" w:fill="auto"/>
            <w:vAlign w:val="center"/>
          </w:tcPr>
          <w:p>
            <w:pPr>
              <w:jc w:val="center"/>
              <w:rPr>
                <w:rFonts w:ascii="宋体" w:hAnsi="宋体"/>
                <w:sz w:val="24"/>
                <w:szCs w:val="24"/>
              </w:rPr>
            </w:pPr>
          </w:p>
        </w:tc>
        <w:tc>
          <w:tcPr>
            <w:tcW w:w="4658" w:type="dxa"/>
            <w:shd w:val="clear" w:color="auto" w:fill="auto"/>
            <w:vAlign w:val="center"/>
          </w:tcPr>
          <w:p>
            <w:pPr>
              <w:rPr>
                <w:rFonts w:ascii="宋体" w:hAnsi="宋体"/>
                <w:sz w:val="24"/>
                <w:szCs w:val="24"/>
              </w:rPr>
            </w:pPr>
            <w:r>
              <w:rPr>
                <w:rFonts w:hint="eastAsia" w:ascii="宋体" w:hAnsi="宋体"/>
                <w:sz w:val="24"/>
                <w:szCs w:val="24"/>
              </w:rPr>
              <w:t>赛项赛前说明会</w:t>
            </w:r>
          </w:p>
        </w:tc>
        <w:tc>
          <w:tcPr>
            <w:tcW w:w="2774" w:type="dxa"/>
            <w:shd w:val="clear" w:color="auto" w:fill="auto"/>
            <w:vAlign w:val="center"/>
          </w:tcPr>
          <w:p>
            <w:pPr>
              <w:jc w:val="center"/>
              <w:rPr>
                <w:rFonts w:ascii="宋体" w:hAnsi="宋体"/>
                <w:sz w:val="24"/>
                <w:szCs w:val="24"/>
              </w:rPr>
            </w:pPr>
            <w:r>
              <w:rPr>
                <w:rFonts w:hint="eastAsia" w:ascii="宋体" w:hAnsi="宋体"/>
                <w:sz w:val="24"/>
                <w:szCs w:val="24"/>
              </w:rPr>
              <w:t>2019年5月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90" w:type="dxa"/>
            <w:vMerge w:val="continue"/>
            <w:shd w:val="clear" w:color="auto" w:fill="auto"/>
            <w:vAlign w:val="center"/>
          </w:tcPr>
          <w:p>
            <w:pPr>
              <w:jc w:val="center"/>
              <w:rPr>
                <w:rFonts w:ascii="宋体" w:hAnsi="宋体"/>
                <w:sz w:val="24"/>
                <w:szCs w:val="24"/>
              </w:rPr>
            </w:pPr>
          </w:p>
        </w:tc>
        <w:tc>
          <w:tcPr>
            <w:tcW w:w="4658" w:type="dxa"/>
            <w:shd w:val="clear" w:color="auto" w:fill="auto"/>
            <w:vAlign w:val="center"/>
          </w:tcPr>
          <w:p>
            <w:pPr>
              <w:rPr>
                <w:rFonts w:ascii="宋体" w:hAnsi="宋体"/>
                <w:sz w:val="24"/>
                <w:szCs w:val="24"/>
              </w:rPr>
            </w:pPr>
            <w:r>
              <w:rPr>
                <w:rFonts w:hint="eastAsia" w:ascii="宋体" w:hAnsi="宋体"/>
                <w:sz w:val="24"/>
                <w:szCs w:val="24"/>
              </w:rPr>
              <w:t>比赛设备安装、调试，编制赛项指南文本</w:t>
            </w:r>
          </w:p>
        </w:tc>
        <w:tc>
          <w:tcPr>
            <w:tcW w:w="2774" w:type="dxa"/>
            <w:shd w:val="clear" w:color="auto" w:fill="auto"/>
            <w:vAlign w:val="center"/>
          </w:tcPr>
          <w:p>
            <w:pPr>
              <w:jc w:val="center"/>
              <w:rPr>
                <w:rFonts w:ascii="宋体" w:hAnsi="宋体"/>
                <w:sz w:val="24"/>
                <w:szCs w:val="24"/>
              </w:rPr>
            </w:pPr>
            <w:r>
              <w:rPr>
                <w:rFonts w:hint="eastAsia" w:ascii="宋体" w:hAnsi="宋体"/>
                <w:sz w:val="24"/>
                <w:szCs w:val="24"/>
              </w:rPr>
              <w:t>2019年5月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90" w:type="dxa"/>
            <w:shd w:val="clear" w:color="auto" w:fill="auto"/>
            <w:vAlign w:val="center"/>
          </w:tcPr>
          <w:p>
            <w:pPr>
              <w:jc w:val="center"/>
              <w:rPr>
                <w:rFonts w:ascii="宋体" w:hAnsi="宋体"/>
                <w:sz w:val="24"/>
                <w:szCs w:val="24"/>
              </w:rPr>
            </w:pPr>
            <w:r>
              <w:rPr>
                <w:rFonts w:hint="eastAsia" w:ascii="宋体" w:hAnsi="宋体"/>
                <w:sz w:val="24"/>
                <w:szCs w:val="24"/>
              </w:rPr>
              <w:t>7</w:t>
            </w:r>
          </w:p>
        </w:tc>
        <w:tc>
          <w:tcPr>
            <w:tcW w:w="4658" w:type="dxa"/>
            <w:shd w:val="clear" w:color="auto" w:fill="auto"/>
            <w:vAlign w:val="center"/>
          </w:tcPr>
          <w:p>
            <w:pPr>
              <w:rPr>
                <w:rFonts w:ascii="宋体" w:hAnsi="宋体"/>
                <w:sz w:val="24"/>
                <w:szCs w:val="24"/>
              </w:rPr>
            </w:pPr>
            <w:r>
              <w:rPr>
                <w:rFonts w:hint="eastAsia" w:ascii="宋体" w:hAnsi="宋体"/>
                <w:sz w:val="24"/>
                <w:szCs w:val="24"/>
              </w:rPr>
              <w:t>正式比赛、竞赛成绩提交、教学资源转化成果与赛项总结</w:t>
            </w:r>
          </w:p>
        </w:tc>
        <w:tc>
          <w:tcPr>
            <w:tcW w:w="2774" w:type="dxa"/>
            <w:shd w:val="clear" w:color="auto" w:fill="auto"/>
            <w:vAlign w:val="center"/>
          </w:tcPr>
          <w:p>
            <w:pPr>
              <w:jc w:val="center"/>
              <w:rPr>
                <w:rFonts w:ascii="宋体" w:hAnsi="宋体"/>
                <w:sz w:val="24"/>
                <w:szCs w:val="24"/>
              </w:rPr>
            </w:pPr>
            <w:r>
              <w:rPr>
                <w:rFonts w:hint="eastAsia" w:ascii="宋体" w:hAnsi="宋体"/>
                <w:sz w:val="24"/>
                <w:szCs w:val="24"/>
              </w:rPr>
              <w:t>2019年6月</w:t>
            </w:r>
          </w:p>
        </w:tc>
      </w:tr>
    </w:tbl>
    <w:p>
      <w:pPr>
        <w:pStyle w:val="2"/>
        <w:ind w:firstLine="600"/>
      </w:pPr>
      <w:bookmarkStart w:id="45" w:name="_Toc522017707"/>
      <w:r>
        <w:rPr>
          <w:rFonts w:hint="eastAsia"/>
        </w:rPr>
        <w:t>十九、裁判人员建议</w:t>
      </w:r>
      <w:bookmarkEnd w:id="45"/>
    </w:p>
    <w:p>
      <w:pPr>
        <w:snapToGrid w:val="0"/>
        <w:spacing w:line="560" w:lineRule="exact"/>
        <w:ind w:firstLine="600" w:firstLineChars="200"/>
        <w:rPr>
          <w:rFonts w:ascii="仿宋_GB2312" w:hAnsi="微软雅黑" w:eastAsia="仿宋_GB2312" w:cs="Arial"/>
          <w:sz w:val="30"/>
          <w:szCs w:val="30"/>
        </w:rPr>
      </w:pPr>
      <w:r>
        <w:rPr>
          <w:rFonts w:hint="eastAsia" w:ascii="仿宋_GB2312" w:hAnsi="微软雅黑" w:eastAsia="仿宋_GB2312" w:cs="Arial"/>
          <w:sz w:val="30"/>
          <w:szCs w:val="30"/>
        </w:rPr>
        <w:t>裁判组设裁判长1名，负责主持各裁判人员工作，另设分项裁判人员25名，其中加密裁判2名，现场裁判16名，现场评分裁判7名。</w:t>
      </w:r>
    </w:p>
    <w:p>
      <w:pPr>
        <w:snapToGrid w:val="0"/>
        <w:spacing w:line="560" w:lineRule="exact"/>
        <w:jc w:val="center"/>
        <w:rPr>
          <w:rFonts w:cs="Arial" w:asciiTheme="minorEastAsia" w:hAnsiTheme="minorEastAsia"/>
          <w:kern w:val="0"/>
          <w:sz w:val="24"/>
          <w:szCs w:val="24"/>
        </w:rPr>
      </w:pPr>
      <w:r>
        <w:rPr>
          <w:rFonts w:hint="eastAsia" w:cs="Arial" w:asciiTheme="minorEastAsia" w:hAnsiTheme="minorEastAsia"/>
          <w:kern w:val="0"/>
          <w:sz w:val="24"/>
          <w:szCs w:val="24"/>
        </w:rPr>
        <w:t>表14 裁判人员建议</w:t>
      </w:r>
    </w:p>
    <w:tbl>
      <w:tblPr>
        <w:tblStyle w:val="17"/>
        <w:tblpPr w:leftFromText="180" w:rightFromText="180" w:vertAnchor="text" w:horzAnchor="margin" w:tblpXSpec="center" w:tblpY="8"/>
        <w:tblW w:w="8504"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02"/>
        <w:gridCol w:w="1725"/>
        <w:gridCol w:w="1665"/>
        <w:gridCol w:w="1485"/>
        <w:gridCol w:w="2048"/>
        <w:gridCol w:w="77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802" w:type="dxa"/>
            <w:tcBorders>
              <w:top w:val="single" w:color="auto" w:sz="8" w:space="0"/>
            </w:tcBorders>
            <w:vAlign w:val="center"/>
          </w:tcPr>
          <w:p>
            <w:pPr>
              <w:adjustRightInd w:val="0"/>
              <w:snapToGrid w:val="0"/>
              <w:jc w:val="center"/>
              <w:rPr>
                <w:rFonts w:ascii="宋体" w:hAnsi="宋体" w:cs="Arial"/>
                <w:b/>
                <w:color w:val="000000"/>
                <w:sz w:val="24"/>
                <w:szCs w:val="24"/>
              </w:rPr>
            </w:pPr>
            <w:r>
              <w:rPr>
                <w:rFonts w:ascii="宋体" w:hAnsi="宋体" w:cs="Arial"/>
                <w:b/>
                <w:color w:val="000000"/>
                <w:sz w:val="24"/>
                <w:szCs w:val="24"/>
              </w:rPr>
              <w:t>序号</w:t>
            </w:r>
          </w:p>
        </w:tc>
        <w:tc>
          <w:tcPr>
            <w:tcW w:w="1725" w:type="dxa"/>
            <w:tcBorders>
              <w:top w:val="single" w:color="auto" w:sz="8" w:space="0"/>
            </w:tcBorders>
            <w:vAlign w:val="center"/>
          </w:tcPr>
          <w:p>
            <w:pPr>
              <w:adjustRightInd w:val="0"/>
              <w:snapToGrid w:val="0"/>
              <w:jc w:val="center"/>
              <w:rPr>
                <w:rFonts w:ascii="宋体" w:hAnsi="宋体" w:cs="Arial"/>
                <w:b/>
                <w:color w:val="000000"/>
                <w:sz w:val="24"/>
                <w:szCs w:val="24"/>
              </w:rPr>
            </w:pPr>
            <w:r>
              <w:rPr>
                <w:rFonts w:ascii="宋体" w:hAnsi="宋体" w:cs="Arial"/>
                <w:b/>
                <w:color w:val="000000"/>
                <w:sz w:val="24"/>
                <w:szCs w:val="24"/>
              </w:rPr>
              <w:t>专业技术方向</w:t>
            </w:r>
          </w:p>
        </w:tc>
        <w:tc>
          <w:tcPr>
            <w:tcW w:w="1665" w:type="dxa"/>
            <w:tcBorders>
              <w:top w:val="single" w:color="auto" w:sz="8" w:space="0"/>
            </w:tcBorders>
            <w:vAlign w:val="center"/>
          </w:tcPr>
          <w:p>
            <w:pPr>
              <w:adjustRightInd w:val="0"/>
              <w:snapToGrid w:val="0"/>
              <w:jc w:val="center"/>
              <w:rPr>
                <w:rFonts w:ascii="宋体" w:hAnsi="宋体" w:cs="Arial"/>
                <w:b/>
                <w:color w:val="000000"/>
                <w:sz w:val="24"/>
                <w:szCs w:val="24"/>
              </w:rPr>
            </w:pPr>
            <w:r>
              <w:rPr>
                <w:rFonts w:ascii="宋体" w:hAnsi="宋体" w:cs="Arial"/>
                <w:b/>
                <w:color w:val="000000"/>
                <w:sz w:val="24"/>
                <w:szCs w:val="24"/>
              </w:rPr>
              <w:t>知识能力要求</w:t>
            </w:r>
          </w:p>
        </w:tc>
        <w:tc>
          <w:tcPr>
            <w:tcW w:w="1485" w:type="dxa"/>
            <w:tcBorders>
              <w:top w:val="single" w:color="auto" w:sz="8" w:space="0"/>
            </w:tcBorders>
            <w:vAlign w:val="center"/>
          </w:tcPr>
          <w:p>
            <w:pPr>
              <w:adjustRightInd w:val="0"/>
              <w:snapToGrid w:val="0"/>
              <w:jc w:val="center"/>
              <w:rPr>
                <w:rFonts w:ascii="宋体" w:hAnsi="宋体" w:cs="Arial"/>
                <w:b/>
                <w:color w:val="000000"/>
                <w:sz w:val="24"/>
                <w:szCs w:val="24"/>
              </w:rPr>
            </w:pPr>
            <w:r>
              <w:rPr>
                <w:rFonts w:hint="eastAsia" w:ascii="宋体" w:hAnsi="宋体" w:cs="Arial"/>
                <w:b/>
                <w:color w:val="000000"/>
                <w:sz w:val="24"/>
                <w:szCs w:val="24"/>
              </w:rPr>
              <w:t>执裁、教学、工作经历</w:t>
            </w:r>
          </w:p>
        </w:tc>
        <w:tc>
          <w:tcPr>
            <w:tcW w:w="2048" w:type="dxa"/>
            <w:tcBorders>
              <w:top w:val="single" w:color="auto" w:sz="8" w:space="0"/>
            </w:tcBorders>
            <w:vAlign w:val="center"/>
          </w:tcPr>
          <w:p>
            <w:pPr>
              <w:adjustRightInd w:val="0"/>
              <w:snapToGrid w:val="0"/>
              <w:jc w:val="center"/>
              <w:rPr>
                <w:rFonts w:ascii="宋体" w:hAnsi="宋体" w:cs="Arial"/>
                <w:b/>
                <w:color w:val="000000"/>
                <w:sz w:val="24"/>
                <w:szCs w:val="24"/>
              </w:rPr>
            </w:pPr>
            <w:r>
              <w:rPr>
                <w:rFonts w:ascii="宋体" w:hAnsi="宋体" w:cs="Arial"/>
                <w:b/>
                <w:color w:val="000000"/>
                <w:sz w:val="24"/>
                <w:szCs w:val="24"/>
              </w:rPr>
              <w:t>专业技术职称</w:t>
            </w:r>
          </w:p>
          <w:p>
            <w:pPr>
              <w:adjustRightInd w:val="0"/>
              <w:snapToGrid w:val="0"/>
              <w:jc w:val="center"/>
              <w:rPr>
                <w:rFonts w:ascii="宋体" w:hAnsi="宋体" w:cs="Arial"/>
                <w:b/>
                <w:color w:val="000000"/>
                <w:sz w:val="24"/>
                <w:szCs w:val="24"/>
              </w:rPr>
            </w:pPr>
            <w:r>
              <w:rPr>
                <w:rFonts w:ascii="宋体" w:hAnsi="宋体" w:cs="Arial"/>
                <w:b/>
                <w:color w:val="000000"/>
                <w:sz w:val="24"/>
                <w:szCs w:val="24"/>
              </w:rPr>
              <w:t>（职业资格等级）</w:t>
            </w:r>
          </w:p>
        </w:tc>
        <w:tc>
          <w:tcPr>
            <w:tcW w:w="779" w:type="dxa"/>
            <w:tcBorders>
              <w:top w:val="single" w:color="auto" w:sz="8" w:space="0"/>
            </w:tcBorders>
            <w:vAlign w:val="center"/>
          </w:tcPr>
          <w:p>
            <w:pPr>
              <w:adjustRightInd w:val="0"/>
              <w:snapToGrid w:val="0"/>
              <w:jc w:val="center"/>
              <w:rPr>
                <w:rFonts w:ascii="宋体" w:hAnsi="宋体" w:cs="Arial"/>
                <w:b/>
                <w:color w:val="000000"/>
                <w:sz w:val="24"/>
                <w:szCs w:val="24"/>
              </w:rPr>
            </w:pPr>
            <w:r>
              <w:rPr>
                <w:rFonts w:ascii="宋体" w:hAnsi="宋体" w:cs="Arial"/>
                <w:b/>
                <w:color w:val="000000"/>
                <w:sz w:val="24"/>
                <w:szCs w:val="24"/>
              </w:rPr>
              <w:t>人数</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802" w:type="dxa"/>
            <w:vAlign w:val="center"/>
          </w:tcPr>
          <w:p>
            <w:pPr>
              <w:adjustRightInd w:val="0"/>
              <w:snapToGrid w:val="0"/>
              <w:jc w:val="center"/>
              <w:rPr>
                <w:rFonts w:ascii="宋体" w:hAnsi="宋体"/>
                <w:sz w:val="24"/>
              </w:rPr>
            </w:pPr>
            <w:r>
              <w:rPr>
                <w:rFonts w:hint="eastAsia" w:ascii="宋体" w:hAnsi="宋体"/>
                <w:sz w:val="24"/>
              </w:rPr>
              <w:t>1</w:t>
            </w:r>
          </w:p>
        </w:tc>
        <w:tc>
          <w:tcPr>
            <w:tcW w:w="1725" w:type="dxa"/>
            <w:vAlign w:val="center"/>
          </w:tcPr>
          <w:p>
            <w:pPr>
              <w:adjustRightInd w:val="0"/>
              <w:snapToGrid w:val="0"/>
              <w:rPr>
                <w:rFonts w:ascii="宋体" w:hAnsi="宋体"/>
                <w:sz w:val="24"/>
              </w:rPr>
            </w:pPr>
            <w:r>
              <w:rPr>
                <w:rFonts w:hint="eastAsia" w:ascii="宋体" w:hAnsi="宋体"/>
                <w:sz w:val="24"/>
              </w:rPr>
              <w:t>国际贸易</w:t>
            </w:r>
          </w:p>
        </w:tc>
        <w:tc>
          <w:tcPr>
            <w:tcW w:w="1665" w:type="dxa"/>
          </w:tcPr>
          <w:p>
            <w:pPr>
              <w:adjustRightInd w:val="0"/>
              <w:snapToGrid w:val="0"/>
              <w:jc w:val="left"/>
              <w:rPr>
                <w:rFonts w:ascii="宋体" w:hAnsi="宋体"/>
                <w:sz w:val="24"/>
              </w:rPr>
            </w:pPr>
            <w:r>
              <w:rPr>
                <w:rFonts w:hint="eastAsia" w:ascii="宋体" w:hAnsi="宋体" w:cs="Arial"/>
                <w:kern w:val="0"/>
                <w:sz w:val="24"/>
                <w:szCs w:val="24"/>
              </w:rPr>
              <w:t>掌握扎实国际贸易实务知识，能熟练操作进出口业务</w:t>
            </w:r>
          </w:p>
        </w:tc>
        <w:tc>
          <w:tcPr>
            <w:tcW w:w="1485" w:type="dxa"/>
            <w:vAlign w:val="center"/>
          </w:tcPr>
          <w:p>
            <w:pPr>
              <w:adjustRightInd w:val="0"/>
              <w:snapToGrid w:val="0"/>
              <w:jc w:val="left"/>
              <w:rPr>
                <w:rFonts w:ascii="宋体" w:hAnsi="宋体"/>
                <w:sz w:val="24"/>
              </w:rPr>
            </w:pPr>
            <w:r>
              <w:rPr>
                <w:rFonts w:hint="eastAsia" w:ascii="宋体" w:hAnsi="宋体"/>
                <w:sz w:val="24"/>
              </w:rPr>
              <w:t>具有国赛、省赛或相关行业赛事执裁经历</w:t>
            </w:r>
          </w:p>
        </w:tc>
        <w:tc>
          <w:tcPr>
            <w:tcW w:w="2048" w:type="dxa"/>
            <w:vAlign w:val="center"/>
          </w:tcPr>
          <w:p>
            <w:pPr>
              <w:adjustRightInd w:val="0"/>
              <w:snapToGrid w:val="0"/>
              <w:jc w:val="center"/>
              <w:rPr>
                <w:rFonts w:ascii="宋体" w:hAnsi="宋体"/>
                <w:sz w:val="24"/>
              </w:rPr>
            </w:pPr>
            <w:r>
              <w:rPr>
                <w:rFonts w:hint="eastAsia" w:ascii="宋体" w:hAnsi="宋体"/>
                <w:sz w:val="24"/>
              </w:rPr>
              <w:t>中级及以上</w:t>
            </w:r>
          </w:p>
        </w:tc>
        <w:tc>
          <w:tcPr>
            <w:tcW w:w="779" w:type="dxa"/>
            <w:vAlign w:val="center"/>
          </w:tcPr>
          <w:p>
            <w:pPr>
              <w:adjustRightInd w:val="0"/>
              <w:snapToGrid w:val="0"/>
              <w:jc w:val="center"/>
              <w:rPr>
                <w:rFonts w:ascii="宋体" w:hAnsi="宋体"/>
                <w:sz w:val="24"/>
              </w:rPr>
            </w:pPr>
            <w:r>
              <w:rPr>
                <w:rFonts w:hint="eastAsia" w:ascii="宋体" w:hAnsi="宋体"/>
                <w:sz w:val="24"/>
              </w:rPr>
              <w:t>16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802" w:type="dxa"/>
            <w:vAlign w:val="center"/>
          </w:tcPr>
          <w:p>
            <w:pPr>
              <w:adjustRightInd w:val="0"/>
              <w:snapToGrid w:val="0"/>
              <w:jc w:val="center"/>
              <w:rPr>
                <w:rFonts w:ascii="宋体" w:hAnsi="宋体"/>
                <w:sz w:val="24"/>
              </w:rPr>
            </w:pPr>
            <w:r>
              <w:rPr>
                <w:rFonts w:hint="eastAsia" w:ascii="宋体" w:hAnsi="宋体"/>
                <w:sz w:val="24"/>
              </w:rPr>
              <w:t>2</w:t>
            </w:r>
          </w:p>
        </w:tc>
        <w:tc>
          <w:tcPr>
            <w:tcW w:w="1725" w:type="dxa"/>
            <w:vAlign w:val="center"/>
          </w:tcPr>
          <w:p>
            <w:pPr>
              <w:adjustRightInd w:val="0"/>
              <w:snapToGrid w:val="0"/>
              <w:rPr>
                <w:rFonts w:ascii="宋体" w:hAnsi="宋体"/>
                <w:sz w:val="24"/>
              </w:rPr>
            </w:pPr>
            <w:r>
              <w:rPr>
                <w:rFonts w:hint="eastAsia" w:ascii="宋体" w:hAnsi="宋体"/>
                <w:sz w:val="24"/>
              </w:rPr>
              <w:t>商务英语</w:t>
            </w:r>
          </w:p>
        </w:tc>
        <w:tc>
          <w:tcPr>
            <w:tcW w:w="1665" w:type="dxa"/>
            <w:vAlign w:val="center"/>
          </w:tcPr>
          <w:p>
            <w:pPr>
              <w:adjustRightInd w:val="0"/>
              <w:snapToGrid w:val="0"/>
              <w:jc w:val="left"/>
              <w:rPr>
                <w:rFonts w:ascii="宋体" w:hAnsi="宋体" w:cs="Arial"/>
                <w:kern w:val="0"/>
                <w:sz w:val="24"/>
                <w:szCs w:val="24"/>
              </w:rPr>
            </w:pPr>
            <w:r>
              <w:rPr>
                <w:rFonts w:hint="eastAsia" w:ascii="宋体" w:hAnsi="宋体" w:cs="Arial"/>
                <w:kern w:val="0"/>
                <w:sz w:val="24"/>
                <w:szCs w:val="24"/>
              </w:rPr>
              <w:t>掌握扎实国际贸易英语知识，能流利开展英文商务沟通，语音语调准确</w:t>
            </w:r>
          </w:p>
        </w:tc>
        <w:tc>
          <w:tcPr>
            <w:tcW w:w="1485" w:type="dxa"/>
            <w:vAlign w:val="center"/>
          </w:tcPr>
          <w:p>
            <w:pPr>
              <w:adjustRightInd w:val="0"/>
              <w:snapToGrid w:val="0"/>
              <w:jc w:val="left"/>
              <w:rPr>
                <w:rFonts w:ascii="宋体" w:hAnsi="宋体"/>
                <w:sz w:val="24"/>
              </w:rPr>
            </w:pPr>
            <w:r>
              <w:rPr>
                <w:rFonts w:hint="eastAsia" w:ascii="宋体" w:hAnsi="宋体"/>
                <w:sz w:val="24"/>
              </w:rPr>
              <w:t>具备外贸函电、商务英语谈判等教学经验，具有国赛、省赛、市赛、相关行业赛事执裁（评委）经历或使领馆背景、高校外教、海外业务实践经历</w:t>
            </w:r>
          </w:p>
        </w:tc>
        <w:tc>
          <w:tcPr>
            <w:tcW w:w="2048" w:type="dxa"/>
            <w:vAlign w:val="center"/>
          </w:tcPr>
          <w:p>
            <w:pPr>
              <w:adjustRightInd w:val="0"/>
              <w:snapToGrid w:val="0"/>
              <w:jc w:val="center"/>
              <w:rPr>
                <w:rFonts w:ascii="宋体" w:hAnsi="宋体"/>
                <w:sz w:val="24"/>
              </w:rPr>
            </w:pPr>
            <w:r>
              <w:rPr>
                <w:rFonts w:hint="eastAsia" w:ascii="宋体" w:hAnsi="宋体"/>
                <w:sz w:val="24"/>
              </w:rPr>
              <w:t>副高及以上</w:t>
            </w:r>
          </w:p>
          <w:p>
            <w:pPr>
              <w:adjustRightInd w:val="0"/>
              <w:snapToGrid w:val="0"/>
              <w:jc w:val="center"/>
              <w:rPr>
                <w:rFonts w:ascii="宋体" w:hAnsi="宋体"/>
                <w:sz w:val="24"/>
              </w:rPr>
            </w:pPr>
            <w:r>
              <w:rPr>
                <w:rFonts w:hint="eastAsia" w:ascii="宋体" w:hAnsi="宋体"/>
                <w:sz w:val="24"/>
              </w:rPr>
              <w:t>（使领馆背景、高校外教、海外业务实践经历除外）</w:t>
            </w:r>
          </w:p>
        </w:tc>
        <w:tc>
          <w:tcPr>
            <w:tcW w:w="779" w:type="dxa"/>
            <w:vAlign w:val="center"/>
          </w:tcPr>
          <w:p>
            <w:pPr>
              <w:adjustRightInd w:val="0"/>
              <w:snapToGrid w:val="0"/>
              <w:jc w:val="center"/>
              <w:rPr>
                <w:rFonts w:ascii="宋体" w:hAnsi="宋体"/>
                <w:sz w:val="24"/>
              </w:rPr>
            </w:pPr>
            <w:r>
              <w:rPr>
                <w:rFonts w:hint="eastAsia" w:ascii="宋体" w:hAnsi="宋体"/>
                <w:sz w:val="24"/>
              </w:rPr>
              <w:t>7</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802" w:type="dxa"/>
            <w:tcBorders>
              <w:bottom w:val="single" w:color="auto" w:sz="8" w:space="0"/>
            </w:tcBorders>
            <w:vAlign w:val="center"/>
          </w:tcPr>
          <w:p>
            <w:pPr>
              <w:adjustRightInd w:val="0"/>
              <w:snapToGrid w:val="0"/>
              <w:jc w:val="center"/>
              <w:rPr>
                <w:rFonts w:ascii="宋体" w:hAnsi="宋体"/>
                <w:sz w:val="24"/>
              </w:rPr>
            </w:pPr>
            <w:r>
              <w:rPr>
                <w:rFonts w:ascii="宋体" w:hAnsi="宋体" w:cs="Arial"/>
                <w:b/>
                <w:color w:val="000000"/>
                <w:sz w:val="24"/>
                <w:szCs w:val="24"/>
              </w:rPr>
              <w:t>裁判总人数</w:t>
            </w:r>
          </w:p>
        </w:tc>
        <w:tc>
          <w:tcPr>
            <w:tcW w:w="7702" w:type="dxa"/>
            <w:gridSpan w:val="5"/>
            <w:tcBorders>
              <w:bottom w:val="single" w:color="auto" w:sz="8" w:space="0"/>
            </w:tcBorders>
            <w:vAlign w:val="center"/>
          </w:tcPr>
          <w:p>
            <w:pPr>
              <w:adjustRightInd w:val="0"/>
              <w:snapToGrid w:val="0"/>
              <w:rPr>
                <w:rFonts w:ascii="宋体" w:hAnsi="宋体"/>
                <w:sz w:val="24"/>
              </w:rPr>
            </w:pPr>
            <w:r>
              <w:rPr>
                <w:rFonts w:hint="eastAsia" w:ascii="宋体" w:hAnsi="宋体"/>
                <w:sz w:val="24"/>
              </w:rPr>
              <w:t>23人</w:t>
            </w:r>
          </w:p>
        </w:tc>
      </w:tr>
    </w:tbl>
    <w:p>
      <w:pPr>
        <w:pStyle w:val="2"/>
        <w:ind w:firstLine="600"/>
        <w:rPr>
          <w:rFonts w:ascii="Arial Narrow" w:hAnsi="Arial Narrow" w:eastAsia="仿宋_GB2312" w:cs="Arial"/>
          <w:b/>
        </w:rPr>
      </w:pPr>
      <w:bookmarkStart w:id="46" w:name="_Toc522017708"/>
      <w:r>
        <w:rPr>
          <w:rFonts w:hint="eastAsia"/>
        </w:rPr>
        <w:t>二十、赛题公开承诺</w:t>
      </w:r>
      <w:bookmarkEnd w:id="46"/>
    </w:p>
    <w:p>
      <w:pPr>
        <w:snapToGrid w:val="0"/>
        <w:spacing w:line="560" w:lineRule="exact"/>
        <w:ind w:firstLine="600" w:firstLineChars="200"/>
        <w:rPr>
          <w:rFonts w:ascii="仿宋_GB2312" w:hAnsi="仿宋" w:eastAsia="仿宋_GB2312"/>
          <w:sz w:val="30"/>
          <w:szCs w:val="30"/>
        </w:rPr>
      </w:pPr>
      <w:r>
        <w:rPr>
          <w:rFonts w:hint="eastAsia" w:ascii="仿宋_GB2312" w:hAnsi="仿宋" w:eastAsia="仿宋_GB2312"/>
          <w:sz w:val="30"/>
          <w:szCs w:val="30"/>
        </w:rPr>
        <w:t>本赛项承诺保证于开赛前1个月在大赛网络信息发布平台上（www.chinaskills-jsw.org）公开全部赛题。</w:t>
      </w:r>
    </w:p>
    <w:p>
      <w:pPr>
        <w:pStyle w:val="2"/>
        <w:ind w:firstLine="600"/>
      </w:pPr>
      <w:bookmarkStart w:id="47" w:name="_Toc522017709"/>
      <w:r>
        <w:rPr>
          <w:rFonts w:hint="eastAsia"/>
        </w:rPr>
        <w:t>二十一、其他</w:t>
      </w:r>
      <w:bookmarkEnd w:id="47"/>
    </w:p>
    <w:p>
      <w:pPr>
        <w:spacing w:line="560" w:lineRule="exact"/>
        <w:ind w:firstLine="600" w:firstLineChars="200"/>
        <w:rPr>
          <w:rFonts w:ascii="仿宋_GB2312" w:hAnsi="仿宋" w:eastAsia="仿宋_GB2312"/>
          <w:sz w:val="30"/>
          <w:szCs w:val="30"/>
        </w:rPr>
      </w:pPr>
      <w:r>
        <w:rPr>
          <w:rFonts w:hint="eastAsia" w:ascii="仿宋_GB2312" w:hAnsi="仿宋" w:eastAsia="仿宋_GB2312"/>
          <w:sz w:val="30"/>
          <w:szCs w:val="30"/>
        </w:rPr>
        <w:t>（一）联系人</w:t>
      </w:r>
    </w:p>
    <w:p>
      <w:pPr>
        <w:snapToGrid w:val="0"/>
        <w:spacing w:line="560" w:lineRule="exact"/>
        <w:ind w:firstLine="600" w:firstLineChars="200"/>
        <w:rPr>
          <w:rFonts w:ascii="仿宋_GB2312" w:eastAsia="仿宋_GB2312"/>
          <w:sz w:val="30"/>
          <w:szCs w:val="30"/>
        </w:rPr>
      </w:pPr>
      <w:bookmarkStart w:id="48" w:name="_GoBack"/>
      <w:bookmarkEnd w:id="48"/>
      <w:r>
        <w:rPr>
          <w:rFonts w:hint="eastAsia" w:ascii="仿宋_GB2312" w:eastAsia="仿宋_GB2312"/>
          <w:sz w:val="30"/>
          <w:szCs w:val="30"/>
        </w:rPr>
        <w:t>（二）2018年竞赛介绍</w:t>
      </w:r>
    </w:p>
    <w:p>
      <w:pPr>
        <w:pStyle w:val="5"/>
        <w:spacing w:line="560" w:lineRule="exact"/>
        <w:ind w:left="0" w:firstLine="600" w:firstLineChars="200"/>
        <w:jc w:val="both"/>
        <w:rPr>
          <w:rFonts w:ascii="仿宋_GB2312" w:hAnsi="仿宋" w:eastAsia="仿宋_GB2312"/>
          <w:lang w:eastAsia="zh-CN"/>
        </w:rPr>
      </w:pPr>
      <w:r>
        <w:rPr>
          <w:rFonts w:hint="eastAsia" w:ascii="仿宋_GB2312" w:hAnsi="仿宋" w:eastAsia="仿宋_GB2312"/>
          <w:lang w:eastAsia="zh-CN"/>
        </w:rPr>
        <w:t>互联网+国际贸易综合技能赛项纳入2018年全国职业院校技能大赛拟设赛项以来，全国外经贸职业教育教学指导委员会及中国国际贸易学会领导高度重视，多次组织相关单位召开赛事工作推进会，统筹协调赛事相关的各项工作，从专家、裁判推荐到竞赛场地设置、设备运行保障，从接待服务到安全保卫，精心策划、狠抓落实，确保每一个环节都落实到位。同时，赛项承办校无锡商业职业技术学院成立了以书记、院长为组长、各块分管校领导参加的赛项工作领导小组，下设秘书工作组、赛项审计工作组、专家接待工作组、参赛院校接待及志愿者工作组、场地设施保障组、设备运行保障组、后勤保障组、安全保卫组、宣传工作组等9个工作组。无锡市人民政府还专门召集了多个相关部门听取赛事筹备情况的汇报，进行职能对接，为赛事的顺利进行提供了强有力的保障。</w:t>
      </w:r>
    </w:p>
    <w:p>
      <w:pPr>
        <w:spacing w:line="560" w:lineRule="exact"/>
        <w:ind w:firstLine="600" w:firstLineChars="200"/>
        <w:rPr>
          <w:rFonts w:ascii="仿宋_GB2312" w:hAnsi="仿宋" w:eastAsia="仿宋_GB2312" w:cs="宋体"/>
          <w:kern w:val="0"/>
          <w:sz w:val="30"/>
          <w:szCs w:val="30"/>
        </w:rPr>
      </w:pPr>
      <w:r>
        <w:rPr>
          <w:rFonts w:hint="eastAsia" w:ascii="仿宋_GB2312" w:hAnsi="仿宋" w:eastAsia="仿宋_GB2312" w:cs="宋体"/>
          <w:kern w:val="0"/>
          <w:sz w:val="30"/>
          <w:szCs w:val="30"/>
        </w:rPr>
        <w:t>2018年全国职业院校技能大赛高职组“互联网+国际贸易综合技能”赛项于2018年5月26日-27日在无锡商业职业技术学院举行，共有来自全国28个省、市、自治区74所职业院校的296名选手参加，其中东部地区代表队34支，中部地区代表队23支，西部地区代表队17支。</w:t>
      </w:r>
    </w:p>
    <w:p>
      <w:pPr>
        <w:jc w:val="center"/>
        <w:rPr>
          <w:rFonts w:ascii="仿宋_GB2312" w:hAnsi="仿宋" w:eastAsia="仿宋_GB2312" w:cs="宋体"/>
          <w:kern w:val="0"/>
          <w:sz w:val="30"/>
          <w:szCs w:val="30"/>
        </w:rPr>
      </w:pPr>
      <w:r>
        <w:rPr>
          <w:rFonts w:hint="eastAsia" w:ascii="仿宋_GB2312" w:hAnsi="仿宋" w:eastAsia="仿宋_GB2312" w:cs="宋体"/>
          <w:kern w:val="0"/>
          <w:sz w:val="30"/>
          <w:szCs w:val="30"/>
        </w:rPr>
        <w:drawing>
          <wp:inline distT="0" distB="0" distL="0" distR="0">
            <wp:extent cx="5274945" cy="3514725"/>
            <wp:effectExtent l="19050" t="0" r="1410" b="0"/>
            <wp:docPr id="6" name="图片 1" descr="D:\互联网+国际贸易综合技能国赛资料\2018\宣传视频资料\赛事\IMG_6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descr="D:\互联网+国际贸易综合技能国赛资料\2018\宣传视频资料\赛事\IMG_6640.JPG"/>
                    <pic:cNvPicPr>
                      <a:picLocks noChangeAspect="1" noChangeArrowheads="1"/>
                    </pic:cNvPicPr>
                  </pic:nvPicPr>
                  <pic:blipFill>
                    <a:blip r:embed="rId26" cstate="print"/>
                    <a:srcRect/>
                    <a:stretch>
                      <a:fillRect/>
                    </a:stretch>
                  </pic:blipFill>
                  <pic:spPr>
                    <a:xfrm>
                      <a:off x="0" y="0"/>
                      <a:ext cx="5274945" cy="3514725"/>
                    </a:xfrm>
                    <a:prstGeom prst="rect">
                      <a:avLst/>
                    </a:prstGeom>
                    <a:noFill/>
                    <a:ln w="9525">
                      <a:noFill/>
                      <a:miter lim="800000"/>
                      <a:headEnd/>
                      <a:tailEnd/>
                    </a:ln>
                  </pic:spPr>
                </pic:pic>
              </a:graphicData>
            </a:graphic>
          </wp:inline>
        </w:drawing>
      </w:r>
    </w:p>
    <w:p>
      <w:pPr>
        <w:spacing w:line="560" w:lineRule="exact"/>
        <w:ind w:firstLine="600" w:firstLineChars="200"/>
        <w:rPr>
          <w:rFonts w:ascii="仿宋_GB2312" w:hAnsi="仿宋" w:eastAsia="仿宋_GB2312" w:cs="宋体"/>
          <w:kern w:val="0"/>
          <w:sz w:val="30"/>
          <w:szCs w:val="30"/>
        </w:rPr>
      </w:pPr>
      <w:r>
        <w:rPr>
          <w:rFonts w:hint="eastAsia" w:ascii="仿宋_GB2312" w:hAnsi="仿宋" w:eastAsia="仿宋_GB2312" w:cs="宋体"/>
          <w:kern w:val="0"/>
          <w:sz w:val="30"/>
          <w:szCs w:val="30"/>
        </w:rPr>
        <w:t>经过2天的激烈争夺，江苏经贸职业技术学院等7支代表队获得一等奖，无锡商业职业技术学院等15支代表队获得二等奖，浙江商业职业技术学院等22支代表队获得三等奖。</w:t>
      </w:r>
    </w:p>
    <w:p>
      <w:pPr>
        <w:spacing w:line="560" w:lineRule="exact"/>
        <w:rPr>
          <w:rFonts w:ascii="仿宋_GB2312" w:hAnsi="仿宋" w:eastAsia="仿宋_GB2312" w:cs="宋体"/>
          <w:kern w:val="0"/>
          <w:sz w:val="30"/>
          <w:szCs w:val="30"/>
        </w:rPr>
      </w:pPr>
      <w:r>
        <w:rPr>
          <w:rFonts w:ascii="仿宋_GB2312" w:hAnsi="仿宋" w:eastAsia="仿宋_GB2312" w:cs="宋体"/>
          <w:kern w:val="0"/>
          <w:sz w:val="30"/>
          <w:szCs w:val="30"/>
        </w:rPr>
        <w:drawing>
          <wp:anchor distT="0" distB="0" distL="114300" distR="114300" simplePos="0" relativeHeight="251662336" behindDoc="0" locked="0" layoutInCell="1" allowOverlap="1">
            <wp:simplePos x="0" y="0"/>
            <wp:positionH relativeFrom="column">
              <wp:posOffset>3810</wp:posOffset>
            </wp:positionH>
            <wp:positionV relativeFrom="paragraph">
              <wp:posOffset>94615</wp:posOffset>
            </wp:positionV>
            <wp:extent cx="5274945" cy="3514725"/>
            <wp:effectExtent l="19050" t="0" r="1905" b="0"/>
            <wp:wrapTopAndBottom/>
            <wp:docPr id="5" name="图片 2" descr="D:\互联网+国际贸易综合技能国赛资料\2018\宣传视频资料\闭赛式-获奖单位\IMG_0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descr="D:\互联网+国际贸易综合技能国赛资料\2018\宣传视频资料\闭赛式-获奖单位\IMG_0131.JPG"/>
                    <pic:cNvPicPr>
                      <a:picLocks noChangeAspect="1" noChangeArrowheads="1"/>
                    </pic:cNvPicPr>
                  </pic:nvPicPr>
                  <pic:blipFill>
                    <a:blip r:embed="rId27" cstate="print"/>
                    <a:srcRect/>
                    <a:stretch>
                      <a:fillRect/>
                    </a:stretch>
                  </pic:blipFill>
                  <pic:spPr>
                    <a:xfrm>
                      <a:off x="0" y="0"/>
                      <a:ext cx="5274945" cy="3514725"/>
                    </a:xfrm>
                    <a:prstGeom prst="rect">
                      <a:avLst/>
                    </a:prstGeom>
                    <a:noFill/>
                    <a:ln w="9525">
                      <a:noFill/>
                      <a:miter lim="800000"/>
                      <a:headEnd/>
                      <a:tailEnd/>
                    </a:ln>
                  </pic:spPr>
                </pic:pic>
              </a:graphicData>
            </a:graphic>
          </wp:anchor>
        </w:drawing>
      </w:r>
    </w:p>
    <w:sectPr>
      <w:footerReference r:id="rId3" w:type="default"/>
      <w:pgSz w:w="11906" w:h="16838"/>
      <w:pgMar w:top="1440" w:right="1800" w:bottom="1440" w:left="1800"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Calibri Light">
    <w:panose1 w:val="020F0302020204030204"/>
    <w:charset w:val="00"/>
    <w:family w:val="swiss"/>
    <w:pitch w:val="default"/>
    <w:sig w:usb0="E0002A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Arial">
    <w:panose1 w:val="020B0604020202020204"/>
    <w:charset w:val="00"/>
    <w:family w:val="swiss"/>
    <w:pitch w:val="default"/>
    <w:sig w:usb0="E0002EFF" w:usb1="C000785B" w:usb2="00000009" w:usb3="00000000" w:csb0="400001FF" w:csb1="FFFF0000"/>
  </w:font>
  <w:font w:name="微软雅黑">
    <w:panose1 w:val="020B0503020204020204"/>
    <w:charset w:val="86"/>
    <w:family w:val="swiss"/>
    <w:pitch w:val="default"/>
    <w:sig w:usb0="80000287" w:usb1="2ACF3C50" w:usb2="00000016" w:usb3="00000000" w:csb0="0004001F"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3484165"/>
      <w:docPartObj>
        <w:docPartGallery w:val="AutoText"/>
      </w:docPartObj>
    </w:sdtPr>
    <w:sdtContent>
      <w:p>
        <w:pPr>
          <w:pStyle w:val="7"/>
          <w:jc w:val="center"/>
        </w:pPr>
        <w:r>
          <w:fldChar w:fldCharType="begin"/>
        </w:r>
        <w:r>
          <w:instrText xml:space="preserve"> PAGE   \* MERGEFORMAT </w:instrText>
        </w:r>
        <w:r>
          <w:fldChar w:fldCharType="separate"/>
        </w:r>
        <w:r>
          <w:rPr>
            <w:lang w:val="zh-CN"/>
          </w:rPr>
          <w:t>61</w:t>
        </w:r>
        <w:r>
          <w:rPr>
            <w:lang w:val="zh-CN"/>
          </w:rPr>
          <w:fldChar w:fldCharType="end"/>
        </w:r>
      </w:p>
    </w:sdtContent>
  </w:sdt>
  <w:p>
    <w:pPr>
      <w:pStyle w:val="7"/>
      <w:jc w:val="center"/>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4E0F22"/>
    <w:rsid w:val="0001483E"/>
    <w:rsid w:val="00061B1B"/>
    <w:rsid w:val="000C49A3"/>
    <w:rsid w:val="001073EB"/>
    <w:rsid w:val="00192856"/>
    <w:rsid w:val="0030381A"/>
    <w:rsid w:val="00314AFB"/>
    <w:rsid w:val="003644F5"/>
    <w:rsid w:val="003739AE"/>
    <w:rsid w:val="00382CE0"/>
    <w:rsid w:val="003B7A4F"/>
    <w:rsid w:val="003E3CBF"/>
    <w:rsid w:val="00441E0C"/>
    <w:rsid w:val="00463C62"/>
    <w:rsid w:val="00465A6D"/>
    <w:rsid w:val="00493D8A"/>
    <w:rsid w:val="004A37CE"/>
    <w:rsid w:val="004B04B7"/>
    <w:rsid w:val="004E0F22"/>
    <w:rsid w:val="004F36E4"/>
    <w:rsid w:val="004F50D0"/>
    <w:rsid w:val="0053549B"/>
    <w:rsid w:val="005A524F"/>
    <w:rsid w:val="005E2630"/>
    <w:rsid w:val="006470DC"/>
    <w:rsid w:val="00647645"/>
    <w:rsid w:val="00665909"/>
    <w:rsid w:val="00680542"/>
    <w:rsid w:val="00680F63"/>
    <w:rsid w:val="00683FC8"/>
    <w:rsid w:val="006A0A74"/>
    <w:rsid w:val="006A2969"/>
    <w:rsid w:val="00713410"/>
    <w:rsid w:val="007418B2"/>
    <w:rsid w:val="00763335"/>
    <w:rsid w:val="00776BA3"/>
    <w:rsid w:val="00856353"/>
    <w:rsid w:val="00865142"/>
    <w:rsid w:val="00950BBD"/>
    <w:rsid w:val="00A23831"/>
    <w:rsid w:val="00A43B80"/>
    <w:rsid w:val="00A72E78"/>
    <w:rsid w:val="00A755CF"/>
    <w:rsid w:val="00AA7143"/>
    <w:rsid w:val="00AD3946"/>
    <w:rsid w:val="00AD6A2A"/>
    <w:rsid w:val="00AE70DD"/>
    <w:rsid w:val="00B15B79"/>
    <w:rsid w:val="00B24389"/>
    <w:rsid w:val="00B54AC8"/>
    <w:rsid w:val="00B60CD4"/>
    <w:rsid w:val="00B650C3"/>
    <w:rsid w:val="00B72F66"/>
    <w:rsid w:val="00BB562A"/>
    <w:rsid w:val="00BE3D92"/>
    <w:rsid w:val="00C20F5F"/>
    <w:rsid w:val="00C23559"/>
    <w:rsid w:val="00C46CE0"/>
    <w:rsid w:val="00C53293"/>
    <w:rsid w:val="00C77B15"/>
    <w:rsid w:val="00C938B7"/>
    <w:rsid w:val="00CC0A26"/>
    <w:rsid w:val="00CD0DB1"/>
    <w:rsid w:val="00CD2EB6"/>
    <w:rsid w:val="00D31D49"/>
    <w:rsid w:val="00DA55B6"/>
    <w:rsid w:val="00DC3CC4"/>
    <w:rsid w:val="00E604F0"/>
    <w:rsid w:val="00E80AFE"/>
    <w:rsid w:val="00E867BA"/>
    <w:rsid w:val="00E9511E"/>
    <w:rsid w:val="00E973BF"/>
    <w:rsid w:val="00EA3029"/>
    <w:rsid w:val="00EB5A96"/>
    <w:rsid w:val="00EE7C28"/>
    <w:rsid w:val="00EF307D"/>
    <w:rsid w:val="00F1387C"/>
    <w:rsid w:val="00F207FB"/>
    <w:rsid w:val="00F2232C"/>
    <w:rsid w:val="00F5331B"/>
    <w:rsid w:val="00F76DBF"/>
    <w:rsid w:val="00FB015E"/>
    <w:rsid w:val="00FB13F2"/>
    <w:rsid w:val="10907F32"/>
    <w:rsid w:val="15405F2B"/>
    <w:rsid w:val="1B972406"/>
    <w:rsid w:val="28627691"/>
    <w:rsid w:val="4E011963"/>
    <w:rsid w:val="51DB12F6"/>
    <w:rsid w:val="5E4A6A02"/>
    <w:rsid w:val="5F9C1C10"/>
    <w:rsid w:val="62411A37"/>
    <w:rsid w:val="62860A3B"/>
    <w:rsid w:val="7259159D"/>
    <w:rsid w:val="7FB02F19"/>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39" w:semiHidden="0" w:name="toc 1"/>
    <w:lsdException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qFormat="1"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qFormat="1"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iPriority="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paragraph" w:styleId="2">
    <w:name w:val="heading 1"/>
    <w:basedOn w:val="1"/>
    <w:next w:val="1"/>
    <w:link w:val="22"/>
    <w:qFormat/>
    <w:uiPriority w:val="0"/>
    <w:pPr>
      <w:keepNext/>
      <w:keepLines/>
      <w:spacing w:line="560" w:lineRule="exact"/>
      <w:ind w:firstLine="200" w:firstLineChars="200"/>
      <w:outlineLvl w:val="0"/>
    </w:pPr>
    <w:rPr>
      <w:rFonts w:eastAsia="黑体"/>
      <w:bCs/>
      <w:kern w:val="44"/>
      <w:sz w:val="30"/>
      <w:szCs w:val="44"/>
    </w:rPr>
  </w:style>
  <w:style w:type="character" w:default="1" w:styleId="13">
    <w:name w:val="Default Paragraph Font"/>
    <w:semiHidden/>
    <w:unhideWhenUsed/>
    <w:uiPriority w:val="1"/>
  </w:style>
  <w:style w:type="table" w:default="1" w:styleId="17">
    <w:name w:val="Normal Table"/>
    <w:semiHidden/>
    <w:unhideWhenUsed/>
    <w:qFormat/>
    <w:uiPriority w:val="99"/>
    <w:tblPr>
      <w:tblLayout w:type="fixed"/>
      <w:tblCellMar>
        <w:top w:w="0" w:type="dxa"/>
        <w:left w:w="108" w:type="dxa"/>
        <w:bottom w:w="0" w:type="dxa"/>
        <w:right w:w="108" w:type="dxa"/>
      </w:tblCellMar>
    </w:tblPr>
  </w:style>
  <w:style w:type="paragraph" w:styleId="3">
    <w:name w:val="annotation subject"/>
    <w:basedOn w:val="4"/>
    <w:next w:val="4"/>
    <w:link w:val="19"/>
    <w:uiPriority w:val="0"/>
    <w:rPr>
      <w:b/>
      <w:bCs/>
    </w:rPr>
  </w:style>
  <w:style w:type="paragraph" w:styleId="4">
    <w:name w:val="annotation text"/>
    <w:basedOn w:val="1"/>
    <w:link w:val="18"/>
    <w:uiPriority w:val="0"/>
    <w:pPr>
      <w:jc w:val="left"/>
    </w:pPr>
  </w:style>
  <w:style w:type="paragraph" w:styleId="5">
    <w:name w:val="Body Text"/>
    <w:basedOn w:val="1"/>
    <w:link w:val="24"/>
    <w:qFormat/>
    <w:uiPriority w:val="1"/>
    <w:pPr>
      <w:autoSpaceDE w:val="0"/>
      <w:autoSpaceDN w:val="0"/>
      <w:ind w:left="120"/>
      <w:jc w:val="left"/>
    </w:pPr>
    <w:rPr>
      <w:rFonts w:ascii="宋体" w:hAnsi="宋体" w:cs="宋体"/>
      <w:kern w:val="0"/>
      <w:sz w:val="30"/>
      <w:szCs w:val="30"/>
      <w:lang w:eastAsia="en-US"/>
    </w:rPr>
  </w:style>
  <w:style w:type="paragraph" w:styleId="6">
    <w:name w:val="Balloon Text"/>
    <w:basedOn w:val="1"/>
    <w:link w:val="20"/>
    <w:qFormat/>
    <w:uiPriority w:val="0"/>
    <w:rPr>
      <w:sz w:val="18"/>
      <w:szCs w:val="18"/>
    </w:rPr>
  </w:style>
  <w:style w:type="paragraph" w:styleId="7">
    <w:name w:val="footer"/>
    <w:basedOn w:val="1"/>
    <w:link w:val="25"/>
    <w:qFormat/>
    <w:uiPriority w:val="99"/>
    <w:pPr>
      <w:tabs>
        <w:tab w:val="center" w:pos="4153"/>
        <w:tab w:val="right" w:pos="8306"/>
      </w:tabs>
      <w:snapToGrid w:val="0"/>
      <w:jc w:val="left"/>
    </w:pPr>
    <w:rPr>
      <w:sz w:val="18"/>
    </w:rPr>
  </w:style>
  <w:style w:type="paragraph" w:styleId="8">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9">
    <w:name w:val="toc 1"/>
    <w:basedOn w:val="1"/>
    <w:next w:val="1"/>
    <w:uiPriority w:val="39"/>
    <w:rPr>
      <w:rFonts w:asciiTheme="minorHAnsi" w:hAnsiTheme="minorHAnsi" w:eastAsiaTheme="minorEastAsia" w:cstheme="minorBidi"/>
    </w:rPr>
  </w:style>
  <w:style w:type="paragraph" w:styleId="10">
    <w:name w:val="footnote text"/>
    <w:basedOn w:val="1"/>
    <w:link w:val="21"/>
    <w:qFormat/>
    <w:uiPriority w:val="0"/>
    <w:pPr>
      <w:snapToGrid w:val="0"/>
      <w:jc w:val="left"/>
    </w:pPr>
    <w:rPr>
      <w:kern w:val="0"/>
      <w:sz w:val="18"/>
      <w:szCs w:val="18"/>
    </w:rPr>
  </w:style>
  <w:style w:type="paragraph" w:styleId="11">
    <w:name w:val="toc 2"/>
    <w:basedOn w:val="1"/>
    <w:next w:val="1"/>
    <w:uiPriority w:val="39"/>
    <w:pPr>
      <w:ind w:left="420" w:leftChars="200"/>
    </w:pPr>
  </w:style>
  <w:style w:type="paragraph" w:styleId="12">
    <w:name w:val="Normal (Web)"/>
    <w:basedOn w:val="1"/>
    <w:unhideWhenUsed/>
    <w:qFormat/>
    <w:uiPriority w:val="99"/>
    <w:pPr>
      <w:widowControl/>
      <w:jc w:val="left"/>
    </w:pPr>
    <w:rPr>
      <w:rFonts w:ascii="宋体" w:hAnsi="宋体" w:cs="宋体"/>
      <w:kern w:val="0"/>
      <w:sz w:val="24"/>
      <w:szCs w:val="24"/>
    </w:rPr>
  </w:style>
  <w:style w:type="character" w:styleId="14">
    <w:name w:val="Hyperlink"/>
    <w:basedOn w:val="13"/>
    <w:uiPriority w:val="99"/>
    <w:rPr>
      <w:color w:val="0563C1" w:themeColor="hyperlink"/>
      <w:u w:val="single"/>
    </w:rPr>
  </w:style>
  <w:style w:type="character" w:styleId="15">
    <w:name w:val="annotation reference"/>
    <w:basedOn w:val="13"/>
    <w:uiPriority w:val="0"/>
    <w:rPr>
      <w:sz w:val="21"/>
      <w:szCs w:val="21"/>
    </w:rPr>
  </w:style>
  <w:style w:type="character" w:styleId="16">
    <w:name w:val="footnote reference"/>
    <w:qFormat/>
    <w:uiPriority w:val="0"/>
    <w:rPr>
      <w:rFonts w:cs="Times New Roman"/>
      <w:vertAlign w:val="superscript"/>
    </w:rPr>
  </w:style>
  <w:style w:type="character" w:customStyle="1" w:styleId="18">
    <w:name w:val="批注文字 Char"/>
    <w:basedOn w:val="13"/>
    <w:link w:val="4"/>
    <w:uiPriority w:val="0"/>
    <w:rPr>
      <w:kern w:val="2"/>
      <w:sz w:val="21"/>
      <w:szCs w:val="22"/>
    </w:rPr>
  </w:style>
  <w:style w:type="character" w:customStyle="1" w:styleId="19">
    <w:name w:val="批注主题 Char"/>
    <w:basedOn w:val="18"/>
    <w:link w:val="3"/>
    <w:qFormat/>
    <w:uiPriority w:val="0"/>
    <w:rPr>
      <w:b/>
      <w:bCs/>
      <w:kern w:val="2"/>
      <w:sz w:val="21"/>
      <w:szCs w:val="22"/>
    </w:rPr>
  </w:style>
  <w:style w:type="character" w:customStyle="1" w:styleId="20">
    <w:name w:val="批注框文本 Char"/>
    <w:basedOn w:val="13"/>
    <w:link w:val="6"/>
    <w:uiPriority w:val="0"/>
    <w:rPr>
      <w:kern w:val="2"/>
      <w:sz w:val="18"/>
      <w:szCs w:val="18"/>
    </w:rPr>
  </w:style>
  <w:style w:type="character" w:customStyle="1" w:styleId="21">
    <w:name w:val="脚注文本 Char"/>
    <w:basedOn w:val="13"/>
    <w:link w:val="10"/>
    <w:uiPriority w:val="0"/>
    <w:rPr>
      <w:sz w:val="18"/>
      <w:szCs w:val="18"/>
    </w:rPr>
  </w:style>
  <w:style w:type="character" w:customStyle="1" w:styleId="22">
    <w:name w:val="标题 1 Char"/>
    <w:basedOn w:val="13"/>
    <w:link w:val="2"/>
    <w:uiPriority w:val="0"/>
    <w:rPr>
      <w:rFonts w:ascii="Calibri" w:hAnsi="Calibri" w:eastAsia="黑体" w:cs="Times New Roman"/>
      <w:bCs/>
      <w:kern w:val="44"/>
      <w:sz w:val="30"/>
      <w:szCs w:val="44"/>
    </w:rPr>
  </w:style>
  <w:style w:type="paragraph" w:customStyle="1" w:styleId="23">
    <w:name w:val="TOC Heading"/>
    <w:basedOn w:val="2"/>
    <w:next w:val="1"/>
    <w:semiHidden/>
    <w:unhideWhenUsed/>
    <w:qFormat/>
    <w:uiPriority w:val="39"/>
    <w:pPr>
      <w:widowControl/>
      <w:spacing w:before="480" w:line="276" w:lineRule="auto"/>
      <w:jc w:val="left"/>
      <w:outlineLvl w:val="9"/>
    </w:pPr>
    <w:rPr>
      <w:rFonts w:asciiTheme="majorHAnsi" w:hAnsiTheme="majorHAnsi" w:eastAsiaTheme="majorEastAsia" w:cstheme="majorBidi"/>
      <w:color w:val="2E75B5" w:themeColor="accent1" w:themeShade="BF"/>
      <w:kern w:val="0"/>
      <w:sz w:val="28"/>
      <w:szCs w:val="28"/>
    </w:rPr>
  </w:style>
  <w:style w:type="character" w:customStyle="1" w:styleId="24">
    <w:name w:val="正文文本 Char"/>
    <w:basedOn w:val="13"/>
    <w:link w:val="5"/>
    <w:uiPriority w:val="1"/>
    <w:rPr>
      <w:rFonts w:ascii="宋体" w:hAnsi="宋体" w:eastAsia="宋体" w:cs="宋体"/>
      <w:sz w:val="30"/>
      <w:szCs w:val="30"/>
      <w:lang w:eastAsia="en-US"/>
    </w:rPr>
  </w:style>
  <w:style w:type="character" w:customStyle="1" w:styleId="25">
    <w:name w:val="页脚 Char"/>
    <w:basedOn w:val="13"/>
    <w:link w:val="7"/>
    <w:uiPriority w:val="99"/>
    <w:rPr>
      <w:rFonts w:ascii="Calibri" w:hAnsi="Calibri" w:eastAsia="宋体" w:cs="Times New Roman"/>
      <w:kern w:val="2"/>
      <w:sz w:val="18"/>
      <w:szCs w:val="22"/>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0" Type="http://schemas.openxmlformats.org/officeDocument/2006/relationships/fontTable" Target="fontTable.xml"/><Relationship Id="rId3" Type="http://schemas.openxmlformats.org/officeDocument/2006/relationships/footer" Target="footer1.xml"/><Relationship Id="rId29" Type="http://schemas.openxmlformats.org/officeDocument/2006/relationships/customXml" Target="../customXml/item2.xml"/><Relationship Id="rId28" Type="http://schemas.openxmlformats.org/officeDocument/2006/relationships/customXml" Target="../customXml/item1.xml"/><Relationship Id="rId27" Type="http://schemas.openxmlformats.org/officeDocument/2006/relationships/image" Target="media/image23.jpeg"/><Relationship Id="rId26" Type="http://schemas.openxmlformats.org/officeDocument/2006/relationships/image" Target="media/image22.jpe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AEBF8B1-A310-4AAF-AFD9-649DBCC0612D}">
  <ds:schemaRefs/>
</ds:datastoreItem>
</file>

<file path=docProps/app.xml><?xml version="1.0" encoding="utf-8"?>
<Properties xmlns="http://schemas.openxmlformats.org/officeDocument/2006/extended-properties" xmlns:vt="http://schemas.openxmlformats.org/officeDocument/2006/docPropsVTypes">
  <Template>Normal.dotm</Template>
  <Pages>67</Pages>
  <Words>4448</Words>
  <Characters>25359</Characters>
  <Lines>211</Lines>
  <Paragraphs>59</Paragraphs>
  <TotalTime>363</TotalTime>
  <ScaleCrop>false</ScaleCrop>
  <LinksUpToDate>false</LinksUpToDate>
  <CharactersWithSpaces>29748</CharactersWithSpaces>
  <Application>WPS Office_11.1.0.7881_F1E327BC-269C-435d-A152-05C5408002CA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Administrator</dc:creator>
  <cp:lastModifiedBy>徐园园</cp:lastModifiedBy>
  <cp:lastPrinted>2018-08-14T07:26:00Z</cp:lastPrinted>
  <dcterms:modified xsi:type="dcterms:W3CDTF">2018-10-24T02:58:30Z</dcterms:modified>
  <cp:revision>42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2052-11.1.0.7881</vt:lpwstr>
  </property>
</Properties>
</file>