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spacing w:line="540" w:lineRule="exact"/>
        <w:jc w:val="center"/>
        <w:rPr>
          <w:rFonts w:ascii="Times New Roman" w:hAnsi="Times New Roman" w:eastAsia="黑体"/>
          <w:b/>
          <w:kern w:val="0"/>
          <w:sz w:val="36"/>
          <w:szCs w:val="36"/>
        </w:rPr>
      </w:pPr>
      <w:r>
        <w:rPr>
          <w:rFonts w:ascii="Times New Roman" w:hAnsi="Times New Roman" w:eastAsia="黑体"/>
          <w:b/>
          <w:kern w:val="0"/>
          <w:sz w:val="36"/>
          <w:szCs w:val="36"/>
        </w:rPr>
        <w:t>2019</w:t>
      </w:r>
      <w:r>
        <w:rPr>
          <w:rFonts w:hint="eastAsia" w:ascii="Times New Roman" w:hAnsi="Times New Roman" w:eastAsia="黑体"/>
          <w:b/>
          <w:kern w:val="0"/>
          <w:sz w:val="36"/>
          <w:szCs w:val="36"/>
        </w:rPr>
        <w:t>年全国职业院校技能大赛</w:t>
      </w:r>
    </w:p>
    <w:p>
      <w:pPr>
        <w:widowControl/>
        <w:snapToGrid w:val="0"/>
        <w:spacing w:line="540" w:lineRule="exact"/>
        <w:jc w:val="center"/>
        <w:rPr>
          <w:rFonts w:ascii="Times New Roman" w:hAnsi="Times New Roman" w:eastAsia="黑体"/>
          <w:b/>
          <w:kern w:val="0"/>
          <w:sz w:val="36"/>
          <w:szCs w:val="36"/>
        </w:rPr>
      </w:pPr>
      <w:r>
        <w:rPr>
          <w:rFonts w:hint="eastAsia" w:ascii="Times New Roman" w:hAnsi="Times New Roman" w:eastAsia="黑体"/>
          <w:b/>
          <w:kern w:val="0"/>
          <w:sz w:val="36"/>
          <w:szCs w:val="36"/>
        </w:rPr>
        <w:t>赛项申报方案</w:t>
      </w:r>
    </w:p>
    <w:p>
      <w:pPr>
        <w:snapToGrid w:val="0"/>
        <w:spacing w:line="560" w:lineRule="exact"/>
        <w:ind w:firstLine="600" w:firstLineChars="200"/>
        <w:outlineLvl w:val="0"/>
        <w:rPr>
          <w:rFonts w:ascii="黑体" w:hAnsi="黑体" w:eastAsia="黑体" w:cs="黑体"/>
          <w:bCs/>
          <w:sz w:val="30"/>
          <w:szCs w:val="30"/>
        </w:rPr>
      </w:pPr>
      <w:bookmarkStart w:id="0" w:name="_Toc522022167"/>
      <w:r>
        <w:rPr>
          <w:rFonts w:hint="eastAsia" w:ascii="黑体" w:hAnsi="黑体" w:eastAsia="黑体" w:cs="黑体"/>
          <w:bCs/>
          <w:sz w:val="30"/>
          <w:szCs w:val="30"/>
        </w:rPr>
        <w:t>一、赛项名称</w:t>
      </w:r>
      <w:bookmarkEnd w:id="0"/>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（一）赛项名称</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4G全网建设技术</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（二）压题彩照</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drawing>
          <wp:anchor distT="0" distB="0" distL="114300" distR="114300" simplePos="0" relativeHeight="251658240" behindDoc="0" locked="0" layoutInCell="1" allowOverlap="1">
            <wp:simplePos x="0" y="0"/>
            <wp:positionH relativeFrom="column">
              <wp:posOffset>260350</wp:posOffset>
            </wp:positionH>
            <wp:positionV relativeFrom="paragraph">
              <wp:posOffset>162560</wp:posOffset>
            </wp:positionV>
            <wp:extent cx="5274310" cy="3517900"/>
            <wp:effectExtent l="19050" t="0" r="2540" b="0"/>
            <wp:wrapSquare wrapText="bothSides"/>
            <wp:docPr id="5" name="图片 3" descr="C:\Users\Lucius-Local1\Desktop\微信图片_20170827113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C:\Users\Lucius-Local1\Desktop\微信图片_20170827113259.jpg"/>
                    <pic:cNvPicPr>
                      <a:picLocks noChangeAspect="1" noChangeArrowheads="1"/>
                    </pic:cNvPicPr>
                  </pic:nvPicPr>
                  <pic:blipFill>
                    <a:blip r:embed="rId5" cstate="print"/>
                    <a:srcRect/>
                    <a:stretch>
                      <a:fillRect/>
                    </a:stretch>
                  </pic:blipFill>
                  <pic:spPr>
                    <a:xfrm>
                      <a:off x="0" y="0"/>
                      <a:ext cx="5274310" cy="3517900"/>
                    </a:xfrm>
                    <a:prstGeom prst="rect">
                      <a:avLst/>
                    </a:prstGeom>
                    <a:noFill/>
                    <a:ln w="9525">
                      <a:noFill/>
                      <a:miter lim="800000"/>
                      <a:headEnd/>
                      <a:tailEnd/>
                    </a:ln>
                  </pic:spPr>
                </pic:pic>
              </a:graphicData>
            </a:graphic>
          </wp:anchor>
        </w:drawing>
      </w:r>
      <w:r>
        <w:rPr>
          <w:rFonts w:hint="eastAsia" w:ascii="Arial Narrow" w:hAnsi="Arial Narrow" w:eastAsia="仿宋_GB2312" w:cs="Arial"/>
          <w:sz w:val="30"/>
          <w:szCs w:val="30"/>
        </w:rPr>
        <w:t>（三）赛项归属产业类型</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电子信息产业、战略性新兴产业</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（四）赛项归属专业大类</w:t>
      </w:r>
      <w:r>
        <w:rPr>
          <w:rFonts w:ascii="Arial Narrow" w:hAnsi="Arial Narrow" w:eastAsia="仿宋_GB2312" w:cs="Arial"/>
          <w:sz w:val="30"/>
          <w:szCs w:val="30"/>
        </w:rPr>
        <w:t>/</w:t>
      </w:r>
      <w:r>
        <w:rPr>
          <w:rFonts w:hint="eastAsia" w:ascii="Arial Narrow" w:hAnsi="Arial Narrow" w:eastAsia="仿宋_GB2312" w:cs="Arial"/>
          <w:sz w:val="30"/>
          <w:szCs w:val="30"/>
        </w:rPr>
        <w:t>类</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1882"/>
        <w:gridCol w:w="1474"/>
        <w:gridCol w:w="1473"/>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97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b/>
                <w:sz w:val="24"/>
                <w:szCs w:val="24"/>
              </w:rPr>
            </w:pPr>
            <w:r>
              <w:rPr>
                <w:rFonts w:hint="eastAsia" w:ascii="仿宋" w:hAnsi="仿宋" w:eastAsia="仿宋" w:cs="仿宋_GB2312"/>
                <w:b/>
                <w:sz w:val="24"/>
                <w:szCs w:val="24"/>
              </w:rPr>
              <w:t>组别</w:t>
            </w:r>
          </w:p>
        </w:tc>
        <w:tc>
          <w:tcPr>
            <w:tcW w:w="188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b/>
                <w:sz w:val="24"/>
                <w:szCs w:val="24"/>
              </w:rPr>
            </w:pPr>
            <w:r>
              <w:rPr>
                <w:rFonts w:hint="eastAsia" w:ascii="仿宋" w:hAnsi="仿宋" w:eastAsia="仿宋" w:cs="仿宋_GB2312"/>
                <w:b/>
                <w:sz w:val="24"/>
                <w:szCs w:val="24"/>
              </w:rPr>
              <w:t>专业大类</w:t>
            </w:r>
          </w:p>
        </w:tc>
        <w:tc>
          <w:tcPr>
            <w:tcW w:w="147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b/>
                <w:sz w:val="24"/>
                <w:szCs w:val="24"/>
              </w:rPr>
            </w:pPr>
            <w:r>
              <w:rPr>
                <w:rFonts w:hint="eastAsia" w:ascii="仿宋" w:hAnsi="仿宋" w:eastAsia="仿宋" w:cs="仿宋_GB2312"/>
                <w:b/>
                <w:sz w:val="24"/>
                <w:szCs w:val="24"/>
              </w:rPr>
              <w:t>专业类</w:t>
            </w:r>
          </w:p>
        </w:tc>
        <w:tc>
          <w:tcPr>
            <w:tcW w:w="147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b/>
                <w:sz w:val="24"/>
                <w:szCs w:val="24"/>
              </w:rPr>
            </w:pPr>
            <w:r>
              <w:rPr>
                <w:rFonts w:hint="eastAsia" w:ascii="仿宋" w:hAnsi="仿宋" w:eastAsia="仿宋" w:cs="仿宋_GB2312"/>
                <w:b/>
                <w:sz w:val="24"/>
                <w:szCs w:val="24"/>
              </w:rPr>
              <w:t>专业代码</w:t>
            </w:r>
          </w:p>
        </w:tc>
        <w:tc>
          <w:tcPr>
            <w:tcW w:w="271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b/>
                <w:sz w:val="24"/>
                <w:szCs w:val="24"/>
              </w:rPr>
            </w:pPr>
            <w:r>
              <w:rPr>
                <w:rFonts w:hint="eastAsia" w:ascii="仿宋" w:hAnsi="仿宋" w:eastAsia="仿宋" w:cs="仿宋_GB2312"/>
                <w:b/>
                <w:sz w:val="24"/>
                <w:szCs w:val="24"/>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高职</w:t>
            </w:r>
          </w:p>
        </w:tc>
        <w:tc>
          <w:tcPr>
            <w:tcW w:w="188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电子信息大类</w:t>
            </w:r>
          </w:p>
        </w:tc>
        <w:tc>
          <w:tcPr>
            <w:tcW w:w="147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电子信息类</w:t>
            </w:r>
          </w:p>
        </w:tc>
        <w:tc>
          <w:tcPr>
            <w:tcW w:w="147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ascii="仿宋" w:hAnsi="仿宋" w:eastAsia="仿宋" w:cs="仿宋_GB2312"/>
                <w:sz w:val="24"/>
                <w:szCs w:val="24"/>
              </w:rPr>
              <w:t>610119</w:t>
            </w:r>
          </w:p>
        </w:tc>
        <w:tc>
          <w:tcPr>
            <w:tcW w:w="271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物联网应用技术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高职</w:t>
            </w:r>
          </w:p>
        </w:tc>
        <w:tc>
          <w:tcPr>
            <w:tcW w:w="188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电子信息大类</w:t>
            </w:r>
          </w:p>
        </w:tc>
        <w:tc>
          <w:tcPr>
            <w:tcW w:w="147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计算机类</w:t>
            </w:r>
          </w:p>
        </w:tc>
        <w:tc>
          <w:tcPr>
            <w:tcW w:w="147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ascii="仿宋" w:hAnsi="仿宋" w:eastAsia="仿宋" w:cs="仿宋_GB2312"/>
                <w:sz w:val="24"/>
                <w:szCs w:val="24"/>
              </w:rPr>
              <w:t>610202</w:t>
            </w:r>
          </w:p>
        </w:tc>
        <w:tc>
          <w:tcPr>
            <w:tcW w:w="271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计算机网络技术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高职</w:t>
            </w:r>
          </w:p>
        </w:tc>
        <w:tc>
          <w:tcPr>
            <w:tcW w:w="188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电子信息大类</w:t>
            </w:r>
          </w:p>
        </w:tc>
        <w:tc>
          <w:tcPr>
            <w:tcW w:w="147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通信类</w:t>
            </w:r>
          </w:p>
        </w:tc>
        <w:tc>
          <w:tcPr>
            <w:tcW w:w="147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ascii="仿宋" w:hAnsi="仿宋" w:eastAsia="仿宋" w:cs="仿宋_GB2312"/>
                <w:sz w:val="24"/>
                <w:szCs w:val="24"/>
              </w:rPr>
              <w:t>610301</w:t>
            </w:r>
          </w:p>
        </w:tc>
        <w:tc>
          <w:tcPr>
            <w:tcW w:w="271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通信技术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高职</w:t>
            </w:r>
          </w:p>
        </w:tc>
        <w:tc>
          <w:tcPr>
            <w:tcW w:w="188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电子信息大类</w:t>
            </w:r>
          </w:p>
        </w:tc>
        <w:tc>
          <w:tcPr>
            <w:tcW w:w="147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通信类</w:t>
            </w:r>
          </w:p>
        </w:tc>
        <w:tc>
          <w:tcPr>
            <w:tcW w:w="147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ascii="仿宋" w:hAnsi="仿宋" w:eastAsia="仿宋" w:cs="仿宋_GB2312"/>
                <w:sz w:val="24"/>
                <w:szCs w:val="24"/>
              </w:rPr>
              <w:t>610302</w:t>
            </w:r>
          </w:p>
        </w:tc>
        <w:tc>
          <w:tcPr>
            <w:tcW w:w="271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ascii="仿宋" w:hAnsi="仿宋" w:eastAsia="仿宋" w:cs="仿宋_GB2312"/>
                <w:sz w:val="24"/>
                <w:szCs w:val="24"/>
              </w:rPr>
              <w:t>移动通信技术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高职</w:t>
            </w:r>
          </w:p>
        </w:tc>
        <w:tc>
          <w:tcPr>
            <w:tcW w:w="188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电子信息大类</w:t>
            </w:r>
          </w:p>
        </w:tc>
        <w:tc>
          <w:tcPr>
            <w:tcW w:w="147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通信类</w:t>
            </w:r>
          </w:p>
        </w:tc>
        <w:tc>
          <w:tcPr>
            <w:tcW w:w="147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ascii="仿宋" w:hAnsi="仿宋" w:eastAsia="仿宋" w:cs="仿宋_GB2312"/>
                <w:sz w:val="24"/>
                <w:szCs w:val="24"/>
              </w:rPr>
              <w:t>610303</w:t>
            </w:r>
          </w:p>
        </w:tc>
        <w:tc>
          <w:tcPr>
            <w:tcW w:w="271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ascii="仿宋" w:hAnsi="仿宋" w:eastAsia="仿宋" w:cs="仿宋_GB2312"/>
                <w:sz w:val="24"/>
                <w:szCs w:val="24"/>
              </w:rPr>
              <w:t>通信系统运行管理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高职</w:t>
            </w:r>
          </w:p>
        </w:tc>
        <w:tc>
          <w:tcPr>
            <w:tcW w:w="188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电子信息大类</w:t>
            </w:r>
          </w:p>
        </w:tc>
        <w:tc>
          <w:tcPr>
            <w:tcW w:w="147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通信类</w:t>
            </w:r>
          </w:p>
        </w:tc>
        <w:tc>
          <w:tcPr>
            <w:tcW w:w="147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ascii="仿宋" w:hAnsi="仿宋" w:eastAsia="仿宋" w:cs="仿宋_GB2312"/>
                <w:sz w:val="24"/>
                <w:szCs w:val="24"/>
              </w:rPr>
              <w:t>610304</w:t>
            </w:r>
            <w:r>
              <w:rPr>
                <w:rFonts w:ascii="仿宋" w:hAnsi="仿宋" w:eastAsia="仿宋" w:cs="仿宋_GB2312"/>
                <w:sz w:val="24"/>
                <w:szCs w:val="24"/>
              </w:rPr>
              <w:tab/>
            </w:r>
          </w:p>
        </w:tc>
        <w:tc>
          <w:tcPr>
            <w:tcW w:w="271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ascii="仿宋" w:hAnsi="仿宋" w:eastAsia="仿宋" w:cs="仿宋_GB2312"/>
                <w:sz w:val="24"/>
                <w:szCs w:val="24"/>
              </w:rPr>
              <w:t>通信工程设计与监理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高职</w:t>
            </w:r>
          </w:p>
        </w:tc>
        <w:tc>
          <w:tcPr>
            <w:tcW w:w="188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电子信息大类</w:t>
            </w:r>
          </w:p>
        </w:tc>
        <w:tc>
          <w:tcPr>
            <w:tcW w:w="147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通信类</w:t>
            </w:r>
          </w:p>
        </w:tc>
        <w:tc>
          <w:tcPr>
            <w:tcW w:w="147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ascii="仿宋" w:hAnsi="仿宋" w:eastAsia="仿宋" w:cs="仿宋_GB2312"/>
                <w:sz w:val="24"/>
                <w:szCs w:val="24"/>
              </w:rPr>
              <w:t>610305</w:t>
            </w:r>
          </w:p>
        </w:tc>
        <w:tc>
          <w:tcPr>
            <w:tcW w:w="271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ascii="仿宋" w:hAnsi="仿宋" w:eastAsia="仿宋" w:cs="仿宋_GB2312"/>
                <w:sz w:val="24"/>
                <w:szCs w:val="24"/>
              </w:rPr>
              <w:t>电信服务与管理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976"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高职</w:t>
            </w:r>
          </w:p>
        </w:tc>
        <w:tc>
          <w:tcPr>
            <w:tcW w:w="1882"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电子信息大类</w:t>
            </w:r>
          </w:p>
        </w:tc>
        <w:tc>
          <w:tcPr>
            <w:tcW w:w="1474"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hint="eastAsia" w:ascii="仿宋" w:hAnsi="仿宋" w:eastAsia="仿宋" w:cs="仿宋_GB2312"/>
                <w:sz w:val="24"/>
                <w:szCs w:val="24"/>
              </w:rPr>
              <w:t>通信类</w:t>
            </w:r>
          </w:p>
        </w:tc>
        <w:tc>
          <w:tcPr>
            <w:tcW w:w="1473"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ascii="仿宋" w:hAnsi="仿宋" w:eastAsia="仿宋" w:cs="仿宋_GB2312"/>
                <w:sz w:val="24"/>
                <w:szCs w:val="24"/>
              </w:rPr>
              <w:t>610306</w:t>
            </w:r>
          </w:p>
        </w:tc>
        <w:tc>
          <w:tcPr>
            <w:tcW w:w="2717" w:type="dxa"/>
            <w:tcBorders>
              <w:top w:val="single" w:color="auto" w:sz="4" w:space="0"/>
              <w:left w:val="single" w:color="auto" w:sz="4" w:space="0"/>
              <w:bottom w:val="single" w:color="auto" w:sz="4" w:space="0"/>
              <w:right w:val="single" w:color="auto" w:sz="4" w:space="0"/>
            </w:tcBorders>
            <w:vAlign w:val="center"/>
          </w:tcPr>
          <w:p>
            <w:pPr>
              <w:spacing w:line="560" w:lineRule="exact"/>
              <w:jc w:val="center"/>
              <w:rPr>
                <w:rFonts w:ascii="仿宋" w:hAnsi="仿宋" w:eastAsia="仿宋" w:cs="仿宋_GB2312"/>
                <w:sz w:val="24"/>
                <w:szCs w:val="24"/>
              </w:rPr>
            </w:pPr>
            <w:r>
              <w:rPr>
                <w:rFonts w:ascii="仿宋" w:hAnsi="仿宋" w:eastAsia="仿宋" w:cs="仿宋_GB2312"/>
                <w:sz w:val="24"/>
                <w:szCs w:val="24"/>
              </w:rPr>
              <w:t>光通信技术</w:t>
            </w:r>
          </w:p>
        </w:tc>
      </w:tr>
    </w:tbl>
    <w:p>
      <w:pPr>
        <w:numPr>
          <w:ilvl w:val="0"/>
          <w:numId w:val="1"/>
        </w:numPr>
        <w:snapToGrid w:val="0"/>
        <w:spacing w:line="560" w:lineRule="exact"/>
        <w:ind w:firstLine="600" w:firstLineChars="200"/>
        <w:outlineLvl w:val="0"/>
        <w:rPr>
          <w:rFonts w:hint="eastAsia" w:ascii="黑体" w:hAnsi="黑体" w:eastAsia="黑体" w:cs="黑体"/>
          <w:bCs/>
          <w:sz w:val="30"/>
          <w:szCs w:val="30"/>
        </w:rPr>
      </w:pPr>
      <w:bookmarkStart w:id="33" w:name="_GoBack"/>
      <w:bookmarkEnd w:id="33"/>
      <w:bookmarkStart w:id="1" w:name="_Toc522022168"/>
      <w:r>
        <w:rPr>
          <w:rFonts w:hint="eastAsia" w:ascii="黑体" w:hAnsi="黑体" w:eastAsia="黑体" w:cs="黑体"/>
          <w:bCs/>
          <w:sz w:val="30"/>
          <w:szCs w:val="30"/>
        </w:rPr>
        <w:t>赛项申报专家组</w:t>
      </w:r>
      <w:bookmarkEnd w:id="1"/>
      <w:bookmarkStart w:id="2" w:name="_Toc522022169"/>
    </w:p>
    <w:p>
      <w:pPr>
        <w:numPr>
          <w:ilvl w:val="-1"/>
          <w:numId w:val="0"/>
        </w:numPr>
        <w:snapToGrid w:val="0"/>
        <w:spacing w:line="560" w:lineRule="exact"/>
        <w:ind w:firstLine="600" w:firstLineChars="200"/>
        <w:outlineLvl w:val="0"/>
        <w:rPr>
          <w:rFonts w:ascii="Arial Narrow" w:hAnsi="Arial Narrow" w:eastAsia="仿宋_GB2312" w:cs="Arial"/>
          <w:bCs/>
          <w:sz w:val="30"/>
          <w:szCs w:val="30"/>
        </w:rPr>
      </w:pPr>
      <w:r>
        <w:rPr>
          <w:rFonts w:hint="eastAsia" w:ascii="黑体" w:hAnsi="黑体" w:eastAsia="黑体" w:cs="黑体"/>
          <w:bCs/>
          <w:sz w:val="30"/>
          <w:szCs w:val="30"/>
        </w:rPr>
        <w:t>三、赛项目的</w:t>
      </w:r>
      <w:bookmarkEnd w:id="2"/>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随着万物互联的脚步加快，在中国制造2025的战略规划的前景下，移动互联网正迎来井喷式发展，大数据、大流量、大连接已成为当前移动网络的主要特点。为了应对数字洪水的挑战，构建高效网络，当前运营商普遍选择4G技术作为主流移动通信技术并已在全国范围内全面部署。同时，在“人与人通信”到“万物互联”加速演进的过程中，由于NB-IoT网络技术具有广覆盖、大连接、低功耗、低成本四大特点，其成为各运营商首选蜂窝移动物联网网络，目前在国内开展了如火如荼的网络建设。</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在习总书记“自主创新推进网络强国建设”的指示下，各通信运营商、设备商等通信相关部门及企业齐力创新、与时俱进，共同应对数字洪水的挑战，推进移动通信网络飞速发展。在4G网络趋于成熟的背景下，Pre5G已开始规模商用、5G网络大范围试点，通信行业以产业需求为牵引，全力加速“人与人通信”到“万物互联”的演进，开启智能信息服务，开拓智慧网络应用。我国已成长为全球最大且最具活力的移动通信市场，目前，三大基础运营商都提出积极创新、加速5G网络部署应用，力争在2018年至2019年展开5G建设并进行规模化组网，力争在2020年实现商用。</w:t>
      </w:r>
    </w:p>
    <w:p>
      <w:pPr>
        <w:pStyle w:val="38"/>
      </w:pPr>
      <w:r>
        <w:rPr>
          <w:rFonts w:hint="eastAsia"/>
        </w:rPr>
        <w:drawing>
          <wp:inline distT="0" distB="0" distL="0" distR="0">
            <wp:extent cx="5264150" cy="2495550"/>
            <wp:effectExtent l="0" t="0" r="0" b="0"/>
            <wp:docPr id="9"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图片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64150" cy="2495550"/>
                    </a:xfrm>
                    <a:prstGeom prst="rect">
                      <a:avLst/>
                    </a:prstGeom>
                  </pic:spPr>
                </pic:pic>
              </a:graphicData>
            </a:graphic>
          </wp:inline>
        </w:drawing>
      </w:r>
    </w:p>
    <w:p>
      <w:pPr>
        <w:pStyle w:val="7"/>
      </w:pPr>
      <w:r>
        <w:rPr>
          <w:rFonts w:hint="eastAsia"/>
        </w:rPr>
        <w:t>图</w:t>
      </w:r>
      <w:r>
        <w:fldChar w:fldCharType="begin"/>
      </w:r>
      <w:r>
        <w:instrText xml:space="preserve"> </w:instrText>
      </w:r>
      <w:r>
        <w:rPr>
          <w:rFonts w:hint="eastAsia"/>
        </w:rPr>
        <w:instrText xml:space="preserve">SEQ 图表 \* ARABIC</w:instrText>
      </w:r>
      <w:r>
        <w:instrText xml:space="preserve"> </w:instrText>
      </w:r>
      <w:r>
        <w:fldChar w:fldCharType="separate"/>
      </w:r>
      <w:r>
        <w:t>1</w:t>
      </w:r>
      <w:r>
        <w:fldChar w:fldCharType="end"/>
      </w:r>
      <w:r>
        <w:rPr>
          <w:rFonts w:hint="eastAsia"/>
        </w:rPr>
        <w:t xml:space="preserve"> LTE的技术演进</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NB-IoT、Pre5G与LTE在网络结构上基本类似，与2G、3G网络不同，其网络结构更加扁平化，导致核心网与接入网界限模糊，以至于两个领域的业务协调与配合度增加，要求双方对彼此相关技能融合。另一方面，在网络面向4G LTE、Pre5G和NB-IoT的演进过程中，IP承载已成为唯一选择，纯数据网络对流量控制和经营的需求极为迫切，全IP网络运维中所面临的种种问题必然会在LTE、Pre5G和NB-IoT网络中充分体现，这就意味着无论是行业管理者还是技术人员，不仅需要具备单网络单设备的管理能力和操作维护能力，也必须具备跨网络融合的管理素质和技术能力，即“一专多能”的人才需求变得尤为迫切。同时4G网络在向未来网络演进的过程中，高速率高带宽的业务需5G网络承载，为实现网络平稳演进，当前运营商采取Pre5G作为大容量、高速率场景的解决方案；而低成本、低速率、低成本、广覆盖的部分物联网业务则可由NB-IoT网络承载分流。4G、Pre5G及NB-IoT网络的普遍商用和大规模建设仍急需大量移动通信高技能人才，为适应ICT产业快速发展及现代通信技术的趋势，响应国务院对于职业教育改革的期望，引领通信及网络类职业教育教学改革，促进通信网络技术及产业前沿技术在职业教育中的教学应用，引导高职教育通信及网络相关专业课程优化，深化校企合作，推进产教融合人才培养模式改革，促进高职相应专业学生实训实习与就业，结合我国移动通信行业发展规划和发展趋势设计了“4G全网建设技术”竞赛项目。</w:t>
      </w:r>
    </w:p>
    <w:p>
      <w:pPr>
        <w:snapToGrid w:val="0"/>
        <w:spacing w:line="560" w:lineRule="exact"/>
        <w:ind w:firstLine="600" w:firstLineChars="200"/>
        <w:outlineLvl w:val="0"/>
        <w:rPr>
          <w:rFonts w:ascii="Arial Narrow" w:hAnsi="Arial Narrow" w:eastAsia="仿宋_GB2312" w:cs="Arial"/>
          <w:bCs/>
          <w:sz w:val="30"/>
          <w:szCs w:val="30"/>
        </w:rPr>
      </w:pPr>
      <w:bookmarkStart w:id="3" w:name="_Toc522022170"/>
      <w:r>
        <w:rPr>
          <w:rFonts w:hint="eastAsia" w:ascii="黑体" w:hAnsi="黑体" w:eastAsia="黑体" w:cs="黑体"/>
          <w:bCs/>
          <w:sz w:val="30"/>
          <w:szCs w:val="30"/>
        </w:rPr>
        <w:t>四、赛项设计原则</w:t>
      </w:r>
      <w:bookmarkEnd w:id="3"/>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一</w:t>
      </w:r>
      <w:r>
        <w:rPr>
          <w:rFonts w:ascii="Arial Narrow" w:hAnsi="Arial Narrow" w:eastAsia="仿宋_GB2312" w:cs="Arial"/>
          <w:sz w:val="30"/>
          <w:szCs w:val="30"/>
        </w:rPr>
        <w:t>）公开、公平、公正</w:t>
      </w:r>
      <w:r>
        <w:rPr>
          <w:rFonts w:hint="eastAsia" w:ascii="Arial Narrow" w:hAnsi="Arial Narrow" w:eastAsia="仿宋_GB2312" w:cs="Arial"/>
          <w:sz w:val="30"/>
          <w:szCs w:val="30"/>
        </w:rPr>
        <w:t>是赛项设计的第一准则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本次赛项将在筹备与实施的各环节遵循公开、公平、公正的原则。通过严格命题、公布技术文件和比赛样题，做到合理设计竞赛规程和相关标准。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评分机制设计上，采用客观机考评分和结果评分相结合，达到评分过程客观公正。每位参赛选手的竞赛终端实现全程录屏，竞赛过程可追溯，确保对于比赛结果任何异议都有据可查。本次赛项专家组成员包括网络技术权威专家、通信企业专业技术人员等，专家严格按照大赛制度的要求拟定赛题和评分细则。</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按照大赛制度要求，承诺保证于开赛1个月前在大赛网络信息发布平台上（www.chinaskills-jsw.org)公开全部赛题。</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（二）赛项紧贴国家新兴战略方向，契合专业人才需求现状</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移动通信技术发展迅速，LTE、Pre5G和NB-IoT是当前移动通信领域的主流商用技术，各运营商网络规模不断扩大，各设备商产品更新速度不断加快，通信研发和网络工程均出现大量人才缺口，因而急需大量有较强动手能力、又具有完备的4G、Pre5G和NB-IoT全网专业知识的高技能人才，以解决相关岗位的人才需求。为贯彻《国务院关于关于推进物联网有序健康发展的指导意见》、《中国制造2025》、《国务院关于积极推进“互联网+”的指导意见》和《关于深化制造业与互联网融合发展的指导意见》，工信部制定出了《物联网发展规划（2016-2020年）》，指明了物联网技术的发展方向。同时各高职院校均开设了物联网类专业，旨在全方位培养物联网领域高技术人才。产业发展，人才先行，人才是科技发展的关键。本次技能大赛设计以行业对人才需求为本，以移动通信新兴技术为突破点，以新时期</w:t>
      </w:r>
      <w:r>
        <w:rPr>
          <w:rFonts w:ascii="Arial Narrow" w:hAnsi="Arial Narrow" w:eastAsia="仿宋_GB2312" w:cs="Arial"/>
          <w:sz w:val="30"/>
          <w:szCs w:val="30"/>
        </w:rPr>
        <w:t>4G</w:t>
      </w:r>
      <w:r>
        <w:rPr>
          <w:rFonts w:hint="eastAsia" w:ascii="Arial Narrow" w:hAnsi="Arial Narrow" w:eastAsia="仿宋_GB2312" w:cs="Arial"/>
          <w:sz w:val="30"/>
          <w:szCs w:val="30"/>
        </w:rPr>
        <w:t>、</w:t>
      </w:r>
      <w:r>
        <w:rPr>
          <w:rFonts w:ascii="Arial Narrow" w:hAnsi="Arial Narrow" w:eastAsia="仿宋_GB2312" w:cs="Arial"/>
          <w:sz w:val="30"/>
          <w:szCs w:val="30"/>
        </w:rPr>
        <w:t>Pre5G</w:t>
      </w:r>
      <w:r>
        <w:rPr>
          <w:rFonts w:hint="eastAsia" w:ascii="Arial Narrow" w:hAnsi="Arial Narrow" w:eastAsia="仿宋_GB2312" w:cs="Arial"/>
          <w:sz w:val="30"/>
          <w:szCs w:val="30"/>
        </w:rPr>
        <w:t>、</w:t>
      </w:r>
      <w:r>
        <w:rPr>
          <w:rFonts w:ascii="Arial Narrow" w:hAnsi="Arial Narrow" w:eastAsia="仿宋_GB2312" w:cs="Arial"/>
          <w:sz w:val="30"/>
          <w:szCs w:val="30"/>
        </w:rPr>
        <w:t>NB-IoT</w:t>
      </w:r>
      <w:r>
        <w:rPr>
          <w:rFonts w:hint="eastAsia" w:ascii="Arial Narrow" w:hAnsi="Arial Narrow" w:eastAsia="仿宋_GB2312" w:cs="Arial"/>
          <w:sz w:val="30"/>
          <w:szCs w:val="30"/>
        </w:rPr>
        <w:t>及部分</w:t>
      </w:r>
      <w:r>
        <w:rPr>
          <w:rFonts w:ascii="Arial Narrow" w:hAnsi="Arial Narrow" w:eastAsia="仿宋_GB2312" w:cs="Arial"/>
          <w:sz w:val="30"/>
          <w:szCs w:val="30"/>
        </w:rPr>
        <w:t>5G</w:t>
      </w:r>
      <w:r>
        <w:rPr>
          <w:rFonts w:hint="eastAsia" w:ascii="Arial Narrow" w:hAnsi="Arial Narrow" w:eastAsia="仿宋_GB2312" w:cs="Arial"/>
          <w:sz w:val="30"/>
          <w:szCs w:val="30"/>
        </w:rPr>
        <w:t>岗位技能需求设计竞赛内容，以移动通信全网产业的人才需求为模型，涉及岗位技能包含规划设计、网络部署、运行维护、网络优化等四个方向，分别考察链路预算、信道容量计算、业务速率计算、设备工作原理、工程安装规范和LTE、Pre5G、NB-IoT基础原理及关键技术等相关理论基础，同时将教学资源转化的工作贯穿于赛项设计、实施的过程之中。本赛项紧密结合我国移动通信产业发展规划及现代通信技术的发展方向，顺应ICT（信息通信技术）快速发展的趋势，通过吸引通信产业链上下游知名厂商参与，以推进工学结合、产教融合。</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（三）竞赛内容丰富，紧扣职业岗位技能</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竞赛包含4G LTE、Pre5G和NB-IoT两个部分，其中4G LTE、Pre5G竞赛内容包含FDD（频分双工）和TDD（时分双工）两种LTE制式网络和Pre5G网络，内容覆盖LTE与Pre5G无线接入网、承载网以及EPC核心网，实现全网覆盖。4G LTE与Pre5G网络竞赛内容基于通信网络维护和网络优化典型工作过程，涵盖4G与Pre5G全网端到端的拓扑规划、容量计算、设备配置、业务调试以及网络优化等实际建设、运维工作过程，完全符合企业和运营商实际组网模型，既适应移动通信技术未来发展趋势需要，也能直接满足各参赛院校后续的日常教学需求。Pre5G作为4G向5G演进的中转站，基本沿用4G网络的核心网，IP承载方面对传输带宽进行大幅度拓展，同时无线侧引入大规模天线阵列Massive MIMO设备，通过可调天线权值波束赋形及空分多流等5G特有关键技术实现吞吐量、连接数的大幅提升。Pre5G竞赛内容主要包含拓扑规划、容量计算、设备配置、5G关键技术参数配置及业务验证等实际规划、运维及优化工作。NB-IoT网络竞赛内容包含网络拓扑规划、链路预算、信道容量规划、设备连接、参数配置、业务调试等多个模块，涵盖无线、核心网、承载、光传输全网络，立足于实际运营商设备类型及参数配置。</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平台既面向部分通信研发工作、又囊括网络维护工程师、网规网优工程师等大部分岗位技能需求，在真实网络配置的背景下，竞赛内容高度契合移动通信网络实际工作环境。赛项考核内容与实际岗位需求的对应关系如图2所示。</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高等职业教育的目标是培养适应社会主义市场经济发展需要的技能型、应用型、创新型人才，把培养学生动手能力、实践能力和创新能力放在突出地位，促进学生综合能力的培养。本次赛项的内容设计，取消以往的理论测试环节，全部采用实操技能考察。</w:t>
      </w:r>
    </w:p>
    <w:p>
      <w:pPr>
        <w:pStyle w:val="38"/>
      </w:pPr>
      <w:r>
        <w:drawing>
          <wp:inline distT="0" distB="0" distL="0" distR="0">
            <wp:extent cx="5274310" cy="1276350"/>
            <wp:effectExtent l="0" t="0" r="0" b="0"/>
            <wp:docPr id="13" name="对象 7"/>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8521114" cy="2057305"/>
                      <a:chOff x="301457" y="2192589"/>
                      <a:chExt cx="8521114" cy="2057305"/>
                    </a:xfrm>
                  </a:grpSpPr>
                  <a:grpSp>
                    <a:nvGrpSpPr>
                      <a:cNvPr id="40" name="组合 39"/>
                      <a:cNvGrpSpPr/>
                    </a:nvGrpSpPr>
                    <a:grpSpPr>
                      <a:xfrm>
                        <a:off x="301457" y="2192589"/>
                        <a:ext cx="8521114" cy="2057305"/>
                        <a:chOff x="301457" y="2192589"/>
                        <a:chExt cx="8521114" cy="2057305"/>
                      </a:xfrm>
                    </a:grpSpPr>
                    <a:grpSp>
                      <a:nvGrpSpPr>
                        <a:cNvPr id="3" name="组合 32"/>
                        <a:cNvGrpSpPr/>
                      </a:nvGrpSpPr>
                      <a:grpSpPr>
                        <a:xfrm>
                          <a:off x="4761495" y="2193648"/>
                          <a:ext cx="1821844" cy="1183824"/>
                          <a:chOff x="3530829" y="2193648"/>
                          <a:chExt cx="1821844" cy="1183824"/>
                        </a:xfrm>
                      </a:grpSpPr>
                      <a:grpSp>
                        <a:nvGrpSpPr>
                          <a:cNvPr id="26" name="组合 15"/>
                          <a:cNvGrpSpPr/>
                        </a:nvGrpSpPr>
                        <a:grpSpPr>
                          <a:xfrm>
                            <a:off x="3530829" y="2193648"/>
                            <a:ext cx="1821844" cy="1183824"/>
                            <a:chOff x="130626" y="2541310"/>
                            <a:chExt cx="2091623" cy="1282535"/>
                          </a:xfrm>
                        </a:grpSpPr>
                        <a:sp>
                          <a:nvSpPr>
                            <a:cNvPr id="17" name="圆角矩形 16"/>
                            <a:cNvSpPr/>
                          </a:nvSpPr>
                          <a:spPr bwMode="auto">
                            <a:xfrm>
                              <a:off x="130626" y="2541310"/>
                              <a:ext cx="1982554" cy="1116280"/>
                            </a:xfrm>
                            <a:prstGeom prst="roundRect">
                              <a:avLst/>
                            </a:prstGeom>
                            <a:solidFill>
                              <a:srgbClr val="FFFFFF">
                                <a:lumMod val="85000"/>
                                <a:alpha val="71000"/>
                              </a:srgbClr>
                            </a:solidFill>
                            <a:ln w="25400" cap="flat" cmpd="sng" algn="ctr">
                              <a:solidFill>
                                <a:srgbClr val="FFDE40"/>
                              </a:solidFill>
                              <a:prstDash val="solid"/>
                              <a:headEnd type="none" w="med" len="med"/>
                              <a:tailEnd type="none" w="med" len="med"/>
                            </a:ln>
                            <a:effectLst/>
                          </a:spPr>
                          <a:txSp>
                            <a:txBody>
                              <a:bodyPr vert="horz" wrap="square" lIns="91440" tIns="45720" rIns="91440" bIns="45720" numCol="1" rtlCol="0" anchor="t" anchorCtr="0" compatLnSpc="1"/>
                              <a:lstStyle>
                                <a:defPPr>
                                  <a:defRPr lang="zh-CN"/>
                                </a:defPPr>
                                <a:lvl1pPr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1pPr>
                                <a:lvl2pPr marL="4572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2pPr>
                                <a:lvl3pPr marL="9144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3pPr>
                                <a:lvl4pPr marL="13716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4pPr>
                                <a:lvl5pPr marL="18288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5pPr>
                                <a:lvl6pPr marL="2286000" algn="l" defTabSz="914400" rtl="0" eaLnBrk="1" latinLnBrk="0" hangingPunct="1">
                                  <a:defRPr kern="1200">
                                    <a:solidFill>
                                      <a:srgbClr val="008ED3"/>
                                    </a:solidFill>
                                    <a:latin typeface="Calibri" panose="020F0502020204030204"/>
                                    <a:ea typeface="微软雅黑" panose="020B0503020204020204" charset="-122"/>
                                  </a:defRPr>
                                </a:lvl6pPr>
                                <a:lvl7pPr marL="2743200" algn="l" defTabSz="914400" rtl="0" eaLnBrk="1" latinLnBrk="0" hangingPunct="1">
                                  <a:defRPr kern="1200">
                                    <a:solidFill>
                                      <a:srgbClr val="008ED3"/>
                                    </a:solidFill>
                                    <a:latin typeface="Calibri" panose="020F0502020204030204"/>
                                    <a:ea typeface="微软雅黑" panose="020B0503020204020204" charset="-122"/>
                                  </a:defRPr>
                                </a:lvl7pPr>
                                <a:lvl8pPr marL="3200400" algn="l" defTabSz="914400" rtl="0" eaLnBrk="1" latinLnBrk="0" hangingPunct="1">
                                  <a:defRPr kern="1200">
                                    <a:solidFill>
                                      <a:srgbClr val="008ED3"/>
                                    </a:solidFill>
                                    <a:latin typeface="Calibri" panose="020F0502020204030204"/>
                                    <a:ea typeface="微软雅黑" panose="020B0503020204020204" charset="-122"/>
                                  </a:defRPr>
                                </a:lvl8pPr>
                                <a:lvl9pPr marL="3657600" algn="l" defTabSz="914400" rtl="0" eaLnBrk="1" latinLnBrk="0" hangingPunct="1">
                                  <a:defRPr kern="1200">
                                    <a:solidFill>
                                      <a:srgbClr val="008ED3"/>
                                    </a:solidFill>
                                    <a:latin typeface="Calibri" panose="020F0502020204030204"/>
                                    <a:ea typeface="微软雅黑" panose="020B0503020204020204" charset="-122"/>
                                  </a:defRPr>
                                </a:lvl9pPr>
                              </a:lstStyle>
                              <a:p>
                                <a:pPr marL="0" marR="0" indent="0" algn="l" defTabSz="457200" rtl="0" eaLnBrk="1" fontAlgn="base" latinLnBrk="0" hangingPunct="1">
                                  <a:lnSpc>
                                    <a:spcPct val="100000"/>
                                  </a:lnSpc>
                                  <a:spcBef>
                                    <a:spcPct val="0"/>
                                  </a:spcBef>
                                  <a:spcAft>
                                    <a:spcPct val="0"/>
                                  </a:spcAft>
                                  <a:buClrTx/>
                                  <a:buSzTx/>
                                  <a:buFont typeface="Arial" panose="020B0604020202020204" pitchFamily="2" charset="0"/>
                                  <a:buNone/>
                                </a:pPr>
                                <a:endParaRPr kumimoji="0" lang="zh-CN" altLang="en-US" sz="1800" b="0" i="0" u="none" strike="noStrike" cap="none" normalizeH="0" baseline="0">
                                  <a:ln>
                                    <a:noFill/>
                                  </a:ln>
                                  <a:solidFill>
                                    <a:srgbClr val="008ED3"/>
                                  </a:solidFill>
                                  <a:effectLst/>
                                  <a:latin typeface="Calibri" panose="020F0502020204030204" pitchFamily="2" charset="0"/>
                                  <a:ea typeface="宋体" panose="02010600030101010101" charset="-122"/>
                                  <a:cs typeface="Arial" panose="020B0604020202020204" pitchFamily="2" charset="0"/>
                                </a:endParaRPr>
                              </a:p>
                            </a:txBody>
                            <a:useSpRect/>
                          </a:txSp>
                          <a:style>
                            <a:lnRef idx="2">
                              <a:schemeClr val="accent1"/>
                            </a:lnRef>
                            <a:fillRef idx="1">
                              <a:schemeClr val="lt1"/>
                            </a:fillRef>
                            <a:effectRef idx="0">
                              <a:schemeClr val="accent1"/>
                            </a:effectRef>
                            <a:fontRef idx="minor">
                              <a:schemeClr val="dk1"/>
                            </a:fontRef>
                          </a:style>
                        </a:sp>
                        <a:sp>
                          <a:nvSpPr>
                            <a:cNvPr id="6" name="圆角矩形 17"/>
                            <a:cNvSpPr/>
                          </a:nvSpPr>
                          <a:spPr bwMode="auto">
                            <a:xfrm>
                              <a:off x="1211282" y="3420084"/>
                              <a:ext cx="1010967" cy="403761"/>
                            </a:xfrm>
                            <a:prstGeom prst="roundRect">
                              <a:avLst/>
                            </a:prstGeom>
                            <a:solidFill>
                              <a:srgbClr val="FFDE40">
                                <a:lumMod val="75000"/>
                              </a:srgbClr>
                            </a:solidFill>
                            <a:ln w="25400" cap="flat" cmpd="sng" algn="ctr">
                              <a:solidFill>
                                <a:srgbClr val="FFDE40"/>
                              </a:solidFill>
                              <a:prstDash val="solid"/>
                              <a:headEnd type="none" w="med" len="med"/>
                              <a:tailEnd type="none" w="med" len="med"/>
                            </a:ln>
                            <a:effectLst/>
                          </a:spPr>
                          <a:txSp>
                            <a:txBody>
                              <a:bodyPr vert="horz" wrap="square" lIns="91440" tIns="45720" rIns="91440" bIns="45720" numCol="1" rtlCol="0" anchor="t" anchorCtr="0" compatLnSpc="1"/>
                              <a:lstStyle>
                                <a:defPPr>
                                  <a:defRPr lang="zh-CN"/>
                                </a:defPPr>
                                <a:lvl1pPr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1pPr>
                                <a:lvl2pPr marL="4572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2pPr>
                                <a:lvl3pPr marL="9144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3pPr>
                                <a:lvl4pPr marL="13716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4pPr>
                                <a:lvl5pPr marL="18288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5pPr>
                                <a:lvl6pPr marL="2286000" algn="l" defTabSz="914400" rtl="0" eaLnBrk="1" latinLnBrk="0" hangingPunct="1">
                                  <a:defRPr kern="1200">
                                    <a:solidFill>
                                      <a:srgbClr val="008ED3"/>
                                    </a:solidFill>
                                    <a:latin typeface="Calibri" panose="020F0502020204030204"/>
                                    <a:ea typeface="微软雅黑" panose="020B0503020204020204" charset="-122"/>
                                  </a:defRPr>
                                </a:lvl6pPr>
                                <a:lvl7pPr marL="2743200" algn="l" defTabSz="914400" rtl="0" eaLnBrk="1" latinLnBrk="0" hangingPunct="1">
                                  <a:defRPr kern="1200">
                                    <a:solidFill>
                                      <a:srgbClr val="008ED3"/>
                                    </a:solidFill>
                                    <a:latin typeface="Calibri" panose="020F0502020204030204"/>
                                    <a:ea typeface="微软雅黑" panose="020B0503020204020204" charset="-122"/>
                                  </a:defRPr>
                                </a:lvl7pPr>
                                <a:lvl8pPr marL="3200400" algn="l" defTabSz="914400" rtl="0" eaLnBrk="1" latinLnBrk="0" hangingPunct="1">
                                  <a:defRPr kern="1200">
                                    <a:solidFill>
                                      <a:srgbClr val="008ED3"/>
                                    </a:solidFill>
                                    <a:latin typeface="Calibri" panose="020F0502020204030204"/>
                                    <a:ea typeface="微软雅黑" panose="020B0503020204020204" charset="-122"/>
                                  </a:defRPr>
                                </a:lvl8pPr>
                                <a:lvl9pPr marL="3657600" algn="l" defTabSz="914400" rtl="0" eaLnBrk="1" latinLnBrk="0" hangingPunct="1">
                                  <a:defRPr kern="1200">
                                    <a:solidFill>
                                      <a:srgbClr val="008ED3"/>
                                    </a:solidFill>
                                    <a:latin typeface="Calibri" panose="020F0502020204030204"/>
                                    <a:ea typeface="微软雅黑" panose="020B0503020204020204" charset="-122"/>
                                  </a:defRPr>
                                </a:lvl9pPr>
                              </a:lstStyle>
                              <a:p>
                                <a:pPr marL="0" marR="0" indent="0" algn="l" defTabSz="457200" rtl="0" eaLnBrk="1" fontAlgn="base" latinLnBrk="0" hangingPunct="1">
                                  <a:lnSpc>
                                    <a:spcPct val="100000"/>
                                  </a:lnSpc>
                                  <a:spcBef>
                                    <a:spcPct val="0"/>
                                  </a:spcBef>
                                  <a:spcAft>
                                    <a:spcPct val="0"/>
                                  </a:spcAft>
                                  <a:buClrTx/>
                                  <a:buSzTx/>
                                  <a:buFont typeface="Arial" panose="020B0604020202020204" pitchFamily="2" charset="0"/>
                                  <a:buNone/>
                                </a:pPr>
                                <a:r>
                                  <a:rPr kumimoji="0" lang="zh-CN" altLang="en-US" sz="1400" b="0" i="0" u="none" strike="noStrike" cap="none" normalizeH="0" baseline="0" dirty="0">
                                    <a:ln>
                                      <a:noFill/>
                                    </a:ln>
                                    <a:solidFill>
                                      <a:srgbClr val="58595B">
                                        <a:lumMod val="75000"/>
                                      </a:srgbClr>
                                    </a:solidFill>
                                    <a:effectLst/>
                                    <a:latin typeface="微软雅黑" panose="020B0503020204020204" charset="-122"/>
                                    <a:cs typeface="Arial" panose="020B0604020202020204" pitchFamily="2" charset="0"/>
                                  </a:rPr>
                                  <a:t>调试</a:t>
                                </a:r>
                                <a:endParaRPr kumimoji="0" lang="zh-CN" altLang="en-US" sz="1400" b="0" i="0" u="none" strike="noStrike" cap="none" normalizeH="0" baseline="0" dirty="0">
                                  <a:ln>
                                    <a:noFill/>
                                  </a:ln>
                                  <a:solidFill>
                                    <a:srgbClr val="58595B">
                                      <a:lumMod val="75000"/>
                                    </a:srgbClr>
                                  </a:solidFill>
                                  <a:effectLst/>
                                  <a:latin typeface="微软雅黑" panose="020B0503020204020204" charset="-122"/>
                                  <a:cs typeface="Arial" panose="020B0604020202020204" pitchFamily="2" charset="0"/>
                                </a:endParaRPr>
                              </a:p>
                            </a:txBody>
                            <a:useSpRect/>
                          </a:txSp>
                          <a:style>
                            <a:lnRef idx="2">
                              <a:schemeClr val="accent1"/>
                            </a:lnRef>
                            <a:fillRef idx="1">
                              <a:schemeClr val="lt1"/>
                            </a:fillRef>
                            <a:effectRef idx="0">
                              <a:schemeClr val="accent1"/>
                            </a:effectRef>
                            <a:fontRef idx="minor">
                              <a:schemeClr val="dk1"/>
                            </a:fontRef>
                          </a:style>
                        </a:sp>
                      </a:grpSp>
                      <a:sp>
                        <a:nvSpPr>
                          <a:cNvPr id="5" name="TextBox 25"/>
                          <a:cNvSpPr txBox="1"/>
                        </a:nvSpPr>
                        <a:spPr>
                          <a:xfrm>
                            <a:off x="3584741" y="2245317"/>
                            <a:ext cx="1420920" cy="523220"/>
                          </a:xfrm>
                          <a:prstGeom prst="rect">
                            <a:avLst/>
                          </a:prstGeom>
                          <a:noFill/>
                        </a:spPr>
                        <a:txSp>
                          <a:txBody>
                            <a:bodyPr wrap="square" rtlCol="0">
                              <a:spAutoFit/>
                            </a:bodyPr>
                            <a:lstStyle>
                              <a:defPPr>
                                <a:defRPr lang="zh-CN"/>
                              </a:defPPr>
                              <a:lvl1pPr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1pPr>
                              <a:lvl2pPr marL="4572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2pPr>
                              <a:lvl3pPr marL="9144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3pPr>
                              <a:lvl4pPr marL="13716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4pPr>
                              <a:lvl5pPr marL="18288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5pPr>
                              <a:lvl6pPr marL="22860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6pPr>
                              <a:lvl7pPr marL="27432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7pPr>
                              <a:lvl8pPr marL="32004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8pPr>
                              <a:lvl9pPr marL="36576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9pPr>
                            </a:lstStyle>
                            <a:p>
                              <a:pPr marL="342900" indent="-342900">
                                <a:buClr>
                                  <a:srgbClr val="1C1C1E"/>
                                </a:buClr>
                                <a:buFont typeface="Arial" panose="020B0604020202020204" pitchFamily="2" charset="0"/>
                                <a:buChar char="•"/>
                              </a:pPr>
                              <a:r>
                                <a:rPr lang="zh-CN" altLang="en-US" sz="1400" dirty="0" smtClean="0">
                                  <a:solidFill>
                                    <a:srgbClr val="58595B">
                                      <a:lumMod val="75000"/>
                                    </a:srgbClr>
                                  </a:solidFill>
                                  <a:latin typeface="微软雅黑" panose="020B0503020204020204" charset="-122"/>
                                  <a:ea typeface="微软雅黑" panose="020B0503020204020204" charset="-122"/>
                                </a:rPr>
                                <a:t>网络</a:t>
                              </a:r>
                              <a:r>
                                <a:rPr lang="zh-CN" altLang="en-US" sz="1400" dirty="0">
                                  <a:solidFill>
                                    <a:srgbClr val="58595B">
                                      <a:lumMod val="75000"/>
                                    </a:srgbClr>
                                  </a:solidFill>
                                  <a:latin typeface="微软雅黑" panose="020B0503020204020204" charset="-122"/>
                                  <a:ea typeface="微软雅黑" panose="020B0503020204020204" charset="-122"/>
                                </a:rPr>
                                <a:t>配置</a:t>
                              </a:r>
                              <a:endParaRPr lang="zh-CN" altLang="en-US" sz="1400" dirty="0">
                                <a:solidFill>
                                  <a:srgbClr val="58595B">
                                    <a:lumMod val="75000"/>
                                  </a:srgbClr>
                                </a:solidFill>
                                <a:latin typeface="微软雅黑" panose="020B0503020204020204" charset="-122"/>
                                <a:ea typeface="微软雅黑" panose="020B0503020204020204" charset="-122"/>
                              </a:endParaRPr>
                            </a:p>
                            <a:p>
                              <a:pPr marL="342900" indent="-342900">
                                <a:buClr>
                                  <a:srgbClr val="1C1C1E"/>
                                </a:buClr>
                                <a:buFont typeface="Arial" panose="020B0604020202020204" pitchFamily="2" charset="0"/>
                                <a:buChar char="•"/>
                              </a:pPr>
                              <a:r>
                                <a:rPr lang="zh-CN" altLang="en-US" sz="1400" dirty="0">
                                  <a:solidFill>
                                    <a:srgbClr val="58595B">
                                      <a:lumMod val="75000"/>
                                    </a:srgbClr>
                                  </a:solidFill>
                                  <a:latin typeface="微软雅黑" panose="020B0503020204020204" charset="-122"/>
                                  <a:ea typeface="微软雅黑" panose="020B0503020204020204" charset="-122"/>
                                </a:rPr>
                                <a:t>业务调试</a:t>
                              </a:r>
                              <a:endParaRPr lang="en-US" altLang="zh-CN" sz="1400" dirty="0">
                                <a:solidFill>
                                  <a:srgbClr val="58595B">
                                    <a:lumMod val="75000"/>
                                  </a:srgbClr>
                                </a:solidFill>
                                <a:latin typeface="微软雅黑" panose="020B0503020204020204" charset="-122"/>
                                <a:ea typeface="微软雅黑" panose="020B0503020204020204" charset="-122"/>
                              </a:endParaRPr>
                            </a:p>
                          </a:txBody>
                          <a:useSpRect/>
                        </a:txSp>
                      </a:sp>
                    </a:grpSp>
                    <a:grpSp>
                      <a:nvGrpSpPr>
                        <a:cNvPr id="4" name="组合 33"/>
                        <a:cNvGrpSpPr/>
                      </a:nvGrpSpPr>
                      <a:grpSpPr>
                        <a:xfrm>
                          <a:off x="7048468" y="2193648"/>
                          <a:ext cx="1774103" cy="1183824"/>
                          <a:chOff x="6264718" y="2193648"/>
                          <a:chExt cx="1774103" cy="1183824"/>
                        </a:xfrm>
                      </a:grpSpPr>
                      <a:grpSp>
                        <a:nvGrpSpPr>
                          <a:cNvPr id="22" name="组合 18"/>
                          <a:cNvGrpSpPr/>
                        </a:nvGrpSpPr>
                        <a:grpSpPr>
                          <a:xfrm>
                            <a:off x="6264718" y="2193648"/>
                            <a:ext cx="1774103" cy="1183824"/>
                            <a:chOff x="130626" y="2541310"/>
                            <a:chExt cx="2036812" cy="1282535"/>
                          </a:xfrm>
                        </a:grpSpPr>
                        <a:sp>
                          <a:nvSpPr>
                            <a:cNvPr id="20" name="圆角矩形 19"/>
                            <a:cNvSpPr/>
                          </a:nvSpPr>
                          <a:spPr bwMode="auto">
                            <a:xfrm>
                              <a:off x="130626" y="2541310"/>
                              <a:ext cx="1982554" cy="1116280"/>
                            </a:xfrm>
                            <a:prstGeom prst="roundRect">
                              <a:avLst/>
                            </a:prstGeom>
                            <a:solidFill>
                              <a:srgbClr val="FFFFFF">
                                <a:lumMod val="85000"/>
                                <a:alpha val="71000"/>
                              </a:srgbClr>
                            </a:solidFill>
                            <a:ln w="25400" cap="flat" cmpd="sng" algn="ctr">
                              <a:solidFill>
                                <a:srgbClr val="FFDE40"/>
                              </a:solidFill>
                              <a:prstDash val="solid"/>
                              <a:headEnd type="none" w="med" len="med"/>
                              <a:tailEnd type="none" w="med" len="med"/>
                            </a:ln>
                            <a:effectLst/>
                          </a:spPr>
                          <a:txSp>
                            <a:txBody>
                              <a:bodyPr vert="horz" wrap="square" lIns="91440" tIns="45720" rIns="91440" bIns="45720" numCol="1" rtlCol="0" anchor="t" anchorCtr="0" compatLnSpc="1"/>
                              <a:lstStyle>
                                <a:defPPr>
                                  <a:defRPr lang="zh-CN"/>
                                </a:defPPr>
                                <a:lvl1pPr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1pPr>
                                <a:lvl2pPr marL="4572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2pPr>
                                <a:lvl3pPr marL="9144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3pPr>
                                <a:lvl4pPr marL="13716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4pPr>
                                <a:lvl5pPr marL="18288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5pPr>
                                <a:lvl6pPr marL="2286000" algn="l" defTabSz="914400" rtl="0" eaLnBrk="1" latinLnBrk="0" hangingPunct="1">
                                  <a:defRPr kern="1200">
                                    <a:solidFill>
                                      <a:srgbClr val="008ED3"/>
                                    </a:solidFill>
                                    <a:latin typeface="Calibri" panose="020F0502020204030204"/>
                                    <a:ea typeface="微软雅黑" panose="020B0503020204020204" charset="-122"/>
                                  </a:defRPr>
                                </a:lvl6pPr>
                                <a:lvl7pPr marL="2743200" algn="l" defTabSz="914400" rtl="0" eaLnBrk="1" latinLnBrk="0" hangingPunct="1">
                                  <a:defRPr kern="1200">
                                    <a:solidFill>
                                      <a:srgbClr val="008ED3"/>
                                    </a:solidFill>
                                    <a:latin typeface="Calibri" panose="020F0502020204030204"/>
                                    <a:ea typeface="微软雅黑" panose="020B0503020204020204" charset="-122"/>
                                  </a:defRPr>
                                </a:lvl7pPr>
                                <a:lvl8pPr marL="3200400" algn="l" defTabSz="914400" rtl="0" eaLnBrk="1" latinLnBrk="0" hangingPunct="1">
                                  <a:defRPr kern="1200">
                                    <a:solidFill>
                                      <a:srgbClr val="008ED3"/>
                                    </a:solidFill>
                                    <a:latin typeface="Calibri" panose="020F0502020204030204"/>
                                    <a:ea typeface="微软雅黑" panose="020B0503020204020204" charset="-122"/>
                                  </a:defRPr>
                                </a:lvl8pPr>
                                <a:lvl9pPr marL="3657600" algn="l" defTabSz="914400" rtl="0" eaLnBrk="1" latinLnBrk="0" hangingPunct="1">
                                  <a:defRPr kern="1200">
                                    <a:solidFill>
                                      <a:srgbClr val="008ED3"/>
                                    </a:solidFill>
                                    <a:latin typeface="Calibri" panose="020F0502020204030204"/>
                                    <a:ea typeface="微软雅黑" panose="020B0503020204020204" charset="-122"/>
                                  </a:defRPr>
                                </a:lvl9pPr>
                              </a:lstStyle>
                              <a:p>
                                <a:pPr marL="0" marR="0" indent="0" algn="l" defTabSz="457200" rtl="0" eaLnBrk="1" fontAlgn="base" latinLnBrk="0" hangingPunct="1">
                                  <a:lnSpc>
                                    <a:spcPct val="100000"/>
                                  </a:lnSpc>
                                  <a:spcBef>
                                    <a:spcPct val="0"/>
                                  </a:spcBef>
                                  <a:spcAft>
                                    <a:spcPct val="0"/>
                                  </a:spcAft>
                                  <a:buClrTx/>
                                  <a:buSzTx/>
                                  <a:buFont typeface="Arial" panose="020B0604020202020204" pitchFamily="2" charset="0"/>
                                  <a:buNone/>
                                </a:pPr>
                                <a:endParaRPr kumimoji="0" lang="zh-CN" altLang="en-US" sz="1800" b="0" i="0" u="none" strike="noStrike" cap="none" normalizeH="0" baseline="0">
                                  <a:ln>
                                    <a:noFill/>
                                  </a:ln>
                                  <a:solidFill>
                                    <a:srgbClr val="008ED3"/>
                                  </a:solidFill>
                                  <a:effectLst/>
                                  <a:latin typeface="Calibri" panose="020F0502020204030204" pitchFamily="2" charset="0"/>
                                  <a:ea typeface="宋体" panose="02010600030101010101" charset="-122"/>
                                  <a:cs typeface="Arial" panose="020B0604020202020204" pitchFamily="2" charset="0"/>
                                </a:endParaRPr>
                              </a:p>
                            </a:txBody>
                            <a:useSpRect/>
                          </a:txSp>
                          <a:style>
                            <a:lnRef idx="2">
                              <a:schemeClr val="accent1"/>
                            </a:lnRef>
                            <a:fillRef idx="1">
                              <a:schemeClr val="lt1"/>
                            </a:fillRef>
                            <a:effectRef idx="0">
                              <a:schemeClr val="accent1"/>
                            </a:effectRef>
                            <a:fontRef idx="minor">
                              <a:schemeClr val="dk1"/>
                            </a:fontRef>
                          </a:style>
                        </a:sp>
                        <a:sp>
                          <a:nvSpPr>
                            <a:cNvPr id="21" name="圆角矩形 20"/>
                            <a:cNvSpPr/>
                          </a:nvSpPr>
                          <a:spPr bwMode="auto">
                            <a:xfrm>
                              <a:off x="1211281" y="3420084"/>
                              <a:ext cx="956157" cy="403761"/>
                            </a:xfrm>
                            <a:prstGeom prst="roundRect">
                              <a:avLst/>
                            </a:prstGeom>
                            <a:solidFill>
                              <a:srgbClr val="FFDE40">
                                <a:lumMod val="75000"/>
                              </a:srgbClr>
                            </a:solidFill>
                            <a:ln w="25400" cap="flat" cmpd="sng" algn="ctr">
                              <a:solidFill>
                                <a:srgbClr val="FFDE40"/>
                              </a:solidFill>
                              <a:prstDash val="solid"/>
                              <a:headEnd type="none" w="med" len="med"/>
                              <a:tailEnd type="none" w="med" len="med"/>
                            </a:ln>
                            <a:effectLst/>
                          </a:spPr>
                          <a:txSp>
                            <a:txBody>
                              <a:bodyPr vert="horz" wrap="square" lIns="91440" tIns="45720" rIns="91440" bIns="45720" numCol="1" rtlCol="0" anchor="t" anchorCtr="0" compatLnSpc="1"/>
                              <a:lstStyle>
                                <a:defPPr>
                                  <a:defRPr lang="zh-CN"/>
                                </a:defPPr>
                                <a:lvl1pPr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1pPr>
                                <a:lvl2pPr marL="4572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2pPr>
                                <a:lvl3pPr marL="9144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3pPr>
                                <a:lvl4pPr marL="13716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4pPr>
                                <a:lvl5pPr marL="18288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5pPr>
                                <a:lvl6pPr marL="2286000" algn="l" defTabSz="914400" rtl="0" eaLnBrk="1" latinLnBrk="0" hangingPunct="1">
                                  <a:defRPr kern="1200">
                                    <a:solidFill>
                                      <a:srgbClr val="008ED3"/>
                                    </a:solidFill>
                                    <a:latin typeface="Calibri" panose="020F0502020204030204"/>
                                    <a:ea typeface="微软雅黑" panose="020B0503020204020204" charset="-122"/>
                                  </a:defRPr>
                                </a:lvl6pPr>
                                <a:lvl7pPr marL="2743200" algn="l" defTabSz="914400" rtl="0" eaLnBrk="1" latinLnBrk="0" hangingPunct="1">
                                  <a:defRPr kern="1200">
                                    <a:solidFill>
                                      <a:srgbClr val="008ED3"/>
                                    </a:solidFill>
                                    <a:latin typeface="Calibri" panose="020F0502020204030204"/>
                                    <a:ea typeface="微软雅黑" panose="020B0503020204020204" charset="-122"/>
                                  </a:defRPr>
                                </a:lvl7pPr>
                                <a:lvl8pPr marL="3200400" algn="l" defTabSz="914400" rtl="0" eaLnBrk="1" latinLnBrk="0" hangingPunct="1">
                                  <a:defRPr kern="1200">
                                    <a:solidFill>
                                      <a:srgbClr val="008ED3"/>
                                    </a:solidFill>
                                    <a:latin typeface="Calibri" panose="020F0502020204030204"/>
                                    <a:ea typeface="微软雅黑" panose="020B0503020204020204" charset="-122"/>
                                  </a:defRPr>
                                </a:lvl8pPr>
                                <a:lvl9pPr marL="3657600" algn="l" defTabSz="914400" rtl="0" eaLnBrk="1" latinLnBrk="0" hangingPunct="1">
                                  <a:defRPr kern="1200">
                                    <a:solidFill>
                                      <a:srgbClr val="008ED3"/>
                                    </a:solidFill>
                                    <a:latin typeface="Calibri" panose="020F0502020204030204"/>
                                    <a:ea typeface="微软雅黑" panose="020B0503020204020204" charset="-122"/>
                                  </a:defRPr>
                                </a:lvl9pPr>
                              </a:lstStyle>
                              <a:p>
                                <a:pPr marL="0" marR="0" indent="0" algn="l" defTabSz="457200" rtl="0" eaLnBrk="1" fontAlgn="base" latinLnBrk="0" hangingPunct="1">
                                  <a:lnSpc>
                                    <a:spcPct val="100000"/>
                                  </a:lnSpc>
                                  <a:spcBef>
                                    <a:spcPct val="0"/>
                                  </a:spcBef>
                                  <a:spcAft>
                                    <a:spcPct val="0"/>
                                  </a:spcAft>
                                  <a:buClrTx/>
                                  <a:buSzTx/>
                                  <a:buFont typeface="Arial" panose="020B0604020202020204" pitchFamily="2" charset="0"/>
                                  <a:buNone/>
                                </a:pPr>
                                <a:r>
                                  <a:rPr lang="zh-CN" altLang="en-US" sz="1400" dirty="0">
                                    <a:solidFill>
                                      <a:srgbClr val="58595B">
                                        <a:lumMod val="75000"/>
                                      </a:srgbClr>
                                    </a:solidFill>
                                    <a:latin typeface="微软雅黑" panose="020B0503020204020204" charset="-122"/>
                                    <a:cs typeface="Arial" panose="020B0604020202020204" pitchFamily="2" charset="0"/>
                                  </a:rPr>
                                  <a:t>运维</a:t>
                                </a:r>
                                <a:endParaRPr kumimoji="0" lang="zh-CN" altLang="en-US" sz="1400" b="0" i="0" u="none" strike="noStrike" cap="none" normalizeH="0" baseline="0" dirty="0">
                                  <a:ln>
                                    <a:noFill/>
                                  </a:ln>
                                  <a:solidFill>
                                    <a:srgbClr val="58595B">
                                      <a:lumMod val="75000"/>
                                    </a:srgbClr>
                                  </a:solidFill>
                                  <a:effectLst/>
                                  <a:latin typeface="微软雅黑" panose="020B0503020204020204" charset="-122"/>
                                  <a:cs typeface="Arial" panose="020B0604020202020204" pitchFamily="2" charset="0"/>
                                </a:endParaRPr>
                              </a:p>
                            </a:txBody>
                            <a:useSpRect/>
                          </a:txSp>
                          <a:style>
                            <a:lnRef idx="2">
                              <a:schemeClr val="accent1"/>
                            </a:lnRef>
                            <a:fillRef idx="1">
                              <a:schemeClr val="lt1"/>
                            </a:fillRef>
                            <a:effectRef idx="0">
                              <a:schemeClr val="accent1"/>
                            </a:effectRef>
                            <a:fontRef idx="minor">
                              <a:schemeClr val="dk1"/>
                            </a:fontRef>
                          </a:style>
                        </a:sp>
                      </a:grpSp>
                      <a:sp>
                        <a:nvSpPr>
                          <a:cNvPr id="27" name="TextBox 26"/>
                          <a:cNvSpPr txBox="1"/>
                        </a:nvSpPr>
                        <a:spPr>
                          <a:xfrm>
                            <a:off x="6333338" y="2252321"/>
                            <a:ext cx="1420920" cy="593842"/>
                          </a:xfrm>
                          <a:prstGeom prst="rect">
                            <a:avLst/>
                          </a:prstGeom>
                          <a:noFill/>
                        </a:spPr>
                        <a:txSp>
                          <a:txBody>
                            <a:bodyPr wrap="square" rtlCol="0">
                              <a:spAutoFit/>
                            </a:bodyPr>
                            <a:lstStyle>
                              <a:defPPr>
                                <a:defRPr lang="zh-CN"/>
                              </a:defPPr>
                              <a:lvl1pPr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1pPr>
                              <a:lvl2pPr marL="4572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2pPr>
                              <a:lvl3pPr marL="9144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3pPr>
                              <a:lvl4pPr marL="13716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4pPr>
                              <a:lvl5pPr marL="18288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5pPr>
                              <a:lvl6pPr marL="22860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6pPr>
                              <a:lvl7pPr marL="27432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7pPr>
                              <a:lvl8pPr marL="32004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8pPr>
                              <a:lvl9pPr marL="36576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9pPr>
                            </a:lstStyle>
                            <a:p>
                              <a:pPr marL="342900" indent="-342900">
                                <a:buClr>
                                  <a:srgbClr val="1C1C1E"/>
                                </a:buClr>
                                <a:buFont typeface="Arial" panose="020B0604020202020204" pitchFamily="2" charset="0"/>
                                <a:buChar char="•"/>
                              </a:pPr>
                              <a:r>
                                <a:rPr lang="zh-CN" altLang="en-US" sz="1400" dirty="0">
                                  <a:solidFill>
                                    <a:srgbClr val="58595B">
                                      <a:lumMod val="75000"/>
                                    </a:srgbClr>
                                  </a:solidFill>
                                  <a:latin typeface="微软雅黑" panose="020B0503020204020204" charset="-122"/>
                                  <a:ea typeface="微软雅黑" panose="020B0503020204020204" charset="-122"/>
                                </a:rPr>
                                <a:t>网络维护</a:t>
                              </a:r>
                              <a:endParaRPr lang="en-US" altLang="zh-CN" sz="1400" dirty="0">
                                <a:solidFill>
                                  <a:srgbClr val="58595B">
                                    <a:lumMod val="75000"/>
                                  </a:srgbClr>
                                </a:solidFill>
                                <a:latin typeface="微软雅黑" panose="020B0503020204020204" charset="-122"/>
                                <a:ea typeface="微软雅黑" panose="020B0503020204020204" charset="-122"/>
                              </a:endParaRPr>
                            </a:p>
                            <a:p>
                              <a:pPr marL="342900" indent="-342900">
                                <a:buClr>
                                  <a:srgbClr val="1C1C1E"/>
                                </a:buClr>
                                <a:buFont typeface="Arial" panose="020B0604020202020204" pitchFamily="2" charset="0"/>
                                <a:buChar char="•"/>
                              </a:pPr>
                              <a:r>
                                <a:rPr lang="zh-CN" altLang="en-US" sz="1400" dirty="0">
                                  <a:solidFill>
                                    <a:srgbClr val="58595B">
                                      <a:lumMod val="75000"/>
                                    </a:srgbClr>
                                  </a:solidFill>
                                  <a:latin typeface="微软雅黑" panose="020B0503020204020204" charset="-122"/>
                                  <a:ea typeface="微软雅黑" panose="020B0503020204020204" charset="-122"/>
                                </a:rPr>
                                <a:t>网络优化</a:t>
                              </a:r>
                              <a:endParaRPr lang="zh-CN" altLang="en-US" sz="1400" dirty="0">
                                <a:solidFill>
                                  <a:srgbClr val="58595B">
                                    <a:lumMod val="75000"/>
                                  </a:srgbClr>
                                </a:solidFill>
                                <a:latin typeface="微软雅黑" panose="020B0503020204020204" charset="-122"/>
                                <a:ea typeface="微软雅黑" panose="020B0503020204020204" charset="-122"/>
                              </a:endParaRPr>
                            </a:p>
                          </a:txBody>
                          <a:useSpRect/>
                        </a:txSp>
                      </a:sp>
                    </a:grpSp>
                    <a:sp>
                      <a:nvSpPr>
                        <a:cNvPr id="39" name="TextBox 38"/>
                        <a:cNvSpPr txBox="1"/>
                      </a:nvSpPr>
                      <a:spPr>
                        <a:xfrm>
                          <a:off x="301457" y="3788229"/>
                          <a:ext cx="1665663" cy="461665"/>
                        </a:xfrm>
                        <a:prstGeom prst="rect">
                          <a:avLst/>
                        </a:prstGeom>
                        <a:noFill/>
                      </a:spPr>
                      <a:txSp>
                        <a:txBody>
                          <a:bodyPr wrap="square" rtlCol="0">
                            <a:spAutoFit/>
                          </a:bodyPr>
                          <a:lstStyle>
                            <a:defPPr>
                              <a:defRPr lang="zh-CN"/>
                            </a:defPPr>
                            <a:lvl1pPr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1pPr>
                            <a:lvl2pPr marL="4572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2pPr>
                            <a:lvl3pPr marL="9144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3pPr>
                            <a:lvl4pPr marL="13716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4pPr>
                            <a:lvl5pPr marL="18288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5pPr>
                            <a:lvl6pPr marL="22860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6pPr>
                            <a:lvl7pPr marL="27432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7pPr>
                            <a:lvl8pPr marL="32004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8pPr>
                            <a:lvl9pPr marL="36576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9pPr>
                          </a:lstStyle>
                          <a:p>
                            <a:pPr>
                              <a:buFont typeface="Arial" panose="020B0604020202020204" pitchFamily="2" charset="0"/>
                              <a:buChar char="•"/>
                            </a:pPr>
                            <a:r>
                              <a:rPr lang="en-US" altLang="zh-CN" sz="1200" dirty="0">
                                <a:solidFill>
                                  <a:srgbClr val="0C0C0C"/>
                                </a:solidFill>
                                <a:latin typeface="微软雅黑" panose="020B0503020204020204" charset="-122"/>
                                <a:ea typeface="微软雅黑" panose="020B0503020204020204" charset="-122"/>
                              </a:rPr>
                              <a:t> </a:t>
                            </a:r>
                            <a:r>
                              <a:rPr lang="zh-CN" altLang="en-US" sz="1200" dirty="0">
                                <a:solidFill>
                                  <a:srgbClr val="0C0C0C"/>
                                </a:solidFill>
                                <a:latin typeface="微软雅黑" panose="020B0503020204020204" charset="-122"/>
                                <a:ea typeface="微软雅黑" panose="020B0503020204020204" charset="-122"/>
                              </a:rPr>
                              <a:t>规划设计院</a:t>
                            </a:r>
                            <a:endParaRPr lang="en-US" altLang="zh-CN" sz="1200" dirty="0">
                              <a:solidFill>
                                <a:srgbClr val="0C0C0C"/>
                              </a:solidFill>
                              <a:latin typeface="微软雅黑" panose="020B0503020204020204" charset="-122"/>
                              <a:ea typeface="微软雅黑" panose="020B0503020204020204" charset="-122"/>
                            </a:endParaRPr>
                          </a:p>
                          <a:p>
                            <a:pPr>
                              <a:buFont typeface="Arial" panose="020B0604020202020204" pitchFamily="2" charset="0"/>
                              <a:buChar char="•"/>
                            </a:pPr>
                            <a:r>
                              <a:rPr lang="en-US" altLang="zh-CN" sz="1200" dirty="0">
                                <a:solidFill>
                                  <a:srgbClr val="0C0C0C"/>
                                </a:solidFill>
                                <a:latin typeface="微软雅黑" panose="020B0503020204020204" charset="-122"/>
                                <a:ea typeface="微软雅黑" panose="020B0503020204020204" charset="-122"/>
                              </a:rPr>
                              <a:t> </a:t>
                            </a:r>
                            <a:r>
                              <a:rPr lang="zh-CN" altLang="en-US" sz="1200" dirty="0">
                                <a:solidFill>
                                  <a:srgbClr val="0C0C0C"/>
                                </a:solidFill>
                                <a:latin typeface="微软雅黑" panose="020B0503020204020204" charset="-122"/>
                                <a:ea typeface="微软雅黑" panose="020B0503020204020204" charset="-122"/>
                              </a:rPr>
                              <a:t>运营商网络发展部门</a:t>
                            </a:r>
                            <a:endParaRPr lang="zh-CN" altLang="en-US" sz="1200" dirty="0">
                              <a:solidFill>
                                <a:srgbClr val="0C0C0C"/>
                              </a:solidFill>
                              <a:latin typeface="微软雅黑" panose="020B0503020204020204" charset="-122"/>
                              <a:ea typeface="微软雅黑" panose="020B0503020204020204" charset="-122"/>
                            </a:endParaRPr>
                          </a:p>
                        </a:txBody>
                        <a:useSpRect/>
                      </a:txSp>
                    </a:sp>
                    <a:cxnSp>
                      <a:nvCxnSpPr>
                        <a:cNvPr id="41" name="直接连接符 40"/>
                        <a:cNvCxnSpPr/>
                      </a:nvCxnSpPr>
                      <a:spPr bwMode="auto">
                        <a:xfrm flipV="1">
                          <a:off x="2036984" y="2683493"/>
                          <a:ext cx="452017" cy="4764"/>
                        </a:xfrm>
                        <a:prstGeom prst="line">
                          <a:avLst/>
                        </a:prstGeom>
                        <a:noFill/>
                        <a:ln w="25400" cap="flat" cmpd="sng" algn="ctr">
                          <a:solidFill>
                            <a:srgbClr val="FFDE40"/>
                          </a:solidFill>
                          <a:prstDash val="sysDash"/>
                          <a:headEnd type="none" w="med" len="med"/>
                          <a:tailEnd type="none" w="med" len="med"/>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sp>
                      <a:nvSpPr>
                        <a:cNvPr id="45" name="TextBox 44"/>
                        <a:cNvSpPr txBox="1"/>
                      </a:nvSpPr>
                      <a:spPr>
                        <a:xfrm>
                          <a:off x="2633065" y="3762504"/>
                          <a:ext cx="1665663" cy="461665"/>
                        </a:xfrm>
                        <a:prstGeom prst="rect">
                          <a:avLst/>
                        </a:prstGeom>
                        <a:noFill/>
                      </a:spPr>
                      <a:txSp>
                        <a:txBody>
                          <a:bodyPr wrap="square" rtlCol="0">
                            <a:spAutoFit/>
                          </a:bodyPr>
                          <a:lstStyle>
                            <a:defPPr>
                              <a:defRPr lang="zh-CN"/>
                            </a:defPPr>
                            <a:lvl1pPr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1pPr>
                            <a:lvl2pPr marL="4572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2pPr>
                            <a:lvl3pPr marL="9144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3pPr>
                            <a:lvl4pPr marL="13716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4pPr>
                            <a:lvl5pPr marL="18288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5pPr>
                            <a:lvl6pPr marL="22860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6pPr>
                            <a:lvl7pPr marL="27432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7pPr>
                            <a:lvl8pPr marL="32004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8pPr>
                            <a:lvl9pPr marL="36576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9pPr>
                          </a:lstStyle>
                          <a:p>
                            <a:pPr>
                              <a:buFont typeface="Arial" panose="020B0604020202020204" pitchFamily="2" charset="0"/>
                              <a:buChar char="•"/>
                            </a:pPr>
                            <a:r>
                              <a:rPr lang="en-US" altLang="zh-CN" sz="1200" dirty="0">
                                <a:solidFill>
                                  <a:srgbClr val="0C0C0C"/>
                                </a:solidFill>
                                <a:latin typeface="微软雅黑" panose="020B0503020204020204" charset="-122"/>
                                <a:ea typeface="微软雅黑" panose="020B0503020204020204" charset="-122"/>
                              </a:rPr>
                              <a:t> </a:t>
                            </a:r>
                            <a:r>
                              <a:rPr lang="zh-CN" altLang="en-US" sz="1200" dirty="0">
                                <a:solidFill>
                                  <a:srgbClr val="0C0C0C"/>
                                </a:solidFill>
                                <a:latin typeface="微软雅黑" panose="020B0503020204020204" charset="-122"/>
                                <a:ea typeface="微软雅黑" panose="020B0503020204020204" charset="-122"/>
                              </a:rPr>
                              <a:t>施工单位</a:t>
                            </a:r>
                            <a:endParaRPr lang="en-US" altLang="zh-CN" sz="1200" dirty="0">
                              <a:solidFill>
                                <a:srgbClr val="0C0C0C"/>
                              </a:solidFill>
                              <a:latin typeface="微软雅黑" panose="020B0503020204020204" charset="-122"/>
                              <a:ea typeface="微软雅黑" panose="020B0503020204020204" charset="-122"/>
                            </a:endParaRPr>
                          </a:p>
                          <a:p>
                            <a:pPr>
                              <a:buFont typeface="Arial" panose="020B0604020202020204" pitchFamily="2" charset="0"/>
                              <a:buChar char="•"/>
                            </a:pPr>
                            <a:r>
                              <a:rPr lang="en-US" altLang="zh-CN" sz="1200" dirty="0">
                                <a:solidFill>
                                  <a:srgbClr val="0C0C0C"/>
                                </a:solidFill>
                                <a:latin typeface="微软雅黑" panose="020B0503020204020204" charset="-122"/>
                                <a:ea typeface="微软雅黑" panose="020B0503020204020204" charset="-122"/>
                              </a:rPr>
                              <a:t> </a:t>
                            </a:r>
                            <a:r>
                              <a:rPr lang="zh-CN" altLang="en-US" sz="1200" dirty="0">
                                <a:solidFill>
                                  <a:srgbClr val="0C0C0C"/>
                                </a:solidFill>
                                <a:latin typeface="微软雅黑" panose="020B0503020204020204" charset="-122"/>
                                <a:ea typeface="微软雅黑" panose="020B0503020204020204" charset="-122"/>
                              </a:rPr>
                              <a:t>监理公司</a:t>
                            </a:r>
                            <a:endParaRPr lang="en-US" altLang="zh-CN" sz="1200" dirty="0">
                              <a:solidFill>
                                <a:srgbClr val="0C0C0C"/>
                              </a:solidFill>
                              <a:latin typeface="微软雅黑" panose="020B0503020204020204" charset="-122"/>
                              <a:ea typeface="微软雅黑" panose="020B0503020204020204" charset="-122"/>
                            </a:endParaRPr>
                          </a:p>
                        </a:txBody>
                        <a:useSpRect/>
                      </a:txSp>
                    </a:sp>
                    <a:sp>
                      <a:nvSpPr>
                        <a:cNvPr id="46" name="TextBox 45"/>
                        <a:cNvSpPr txBox="1"/>
                      </a:nvSpPr>
                      <a:spPr>
                        <a:xfrm>
                          <a:off x="7035356" y="3788229"/>
                          <a:ext cx="1665663" cy="461665"/>
                        </a:xfrm>
                        <a:prstGeom prst="rect">
                          <a:avLst/>
                        </a:prstGeom>
                        <a:noFill/>
                      </a:spPr>
                      <a:txSp>
                        <a:txBody>
                          <a:bodyPr wrap="square" rtlCol="0">
                            <a:spAutoFit/>
                          </a:bodyPr>
                          <a:lstStyle>
                            <a:defPPr>
                              <a:defRPr lang="zh-CN"/>
                            </a:defPPr>
                            <a:lvl1pPr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1pPr>
                            <a:lvl2pPr marL="4572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2pPr>
                            <a:lvl3pPr marL="9144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3pPr>
                            <a:lvl4pPr marL="13716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4pPr>
                            <a:lvl5pPr marL="18288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5pPr>
                            <a:lvl6pPr marL="22860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6pPr>
                            <a:lvl7pPr marL="27432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7pPr>
                            <a:lvl8pPr marL="32004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8pPr>
                            <a:lvl9pPr marL="36576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9pPr>
                          </a:lstStyle>
                          <a:p>
                            <a:pPr>
                              <a:buFont typeface="Arial" panose="020B0604020202020204" pitchFamily="2" charset="0"/>
                              <a:buChar char="•"/>
                            </a:pPr>
                            <a:r>
                              <a:rPr lang="en-US" altLang="zh-CN" sz="1200" dirty="0">
                                <a:solidFill>
                                  <a:srgbClr val="0C0C0C"/>
                                </a:solidFill>
                                <a:latin typeface="微软雅黑" panose="020B0503020204020204" charset="-122"/>
                                <a:ea typeface="微软雅黑" panose="020B0503020204020204" charset="-122"/>
                              </a:rPr>
                              <a:t> </a:t>
                            </a:r>
                            <a:r>
                              <a:rPr lang="zh-CN" altLang="en-US" sz="1200" dirty="0">
                                <a:solidFill>
                                  <a:srgbClr val="0C0C0C"/>
                                </a:solidFill>
                                <a:latin typeface="微软雅黑" panose="020B0503020204020204" charset="-122"/>
                                <a:ea typeface="微软雅黑" panose="020B0503020204020204" charset="-122"/>
                              </a:rPr>
                              <a:t>运营商、第三方公司</a:t>
                            </a:r>
                            <a:endParaRPr lang="en-US" altLang="zh-CN" sz="1200" dirty="0">
                              <a:solidFill>
                                <a:srgbClr val="0C0C0C"/>
                              </a:solidFill>
                              <a:latin typeface="微软雅黑" panose="020B0503020204020204" charset="-122"/>
                              <a:ea typeface="微软雅黑" panose="020B0503020204020204" charset="-122"/>
                            </a:endParaRPr>
                          </a:p>
                          <a:p>
                            <a:pPr>
                              <a:buFont typeface="Arial" panose="020B0604020202020204" pitchFamily="2" charset="0"/>
                              <a:buChar char="•"/>
                            </a:pPr>
                            <a:r>
                              <a:rPr lang="en-US" altLang="zh-CN" sz="1200" dirty="0">
                                <a:solidFill>
                                  <a:srgbClr val="0C0C0C"/>
                                </a:solidFill>
                                <a:latin typeface="微软雅黑" panose="020B0503020204020204" charset="-122"/>
                                <a:ea typeface="微软雅黑" panose="020B0503020204020204" charset="-122"/>
                              </a:rPr>
                              <a:t> </a:t>
                            </a:r>
                            <a:r>
                              <a:rPr lang="zh-CN" altLang="en-US" sz="1200" dirty="0">
                                <a:solidFill>
                                  <a:srgbClr val="0C0C0C"/>
                                </a:solidFill>
                                <a:latin typeface="微软雅黑" panose="020B0503020204020204" charset="-122"/>
                                <a:ea typeface="微软雅黑" panose="020B0503020204020204" charset="-122"/>
                              </a:rPr>
                              <a:t>政企单位</a:t>
                            </a:r>
                            <a:endParaRPr lang="en-US" altLang="zh-CN" sz="1200" dirty="0">
                              <a:solidFill>
                                <a:srgbClr val="0C0C0C"/>
                              </a:solidFill>
                              <a:latin typeface="微软雅黑" panose="020B0503020204020204" charset="-122"/>
                              <a:ea typeface="微软雅黑" panose="020B0503020204020204" charset="-122"/>
                            </a:endParaRPr>
                          </a:p>
                        </a:txBody>
                        <a:useSpRect/>
                      </a:txSp>
                    </a:sp>
                    <a:grpSp>
                      <a:nvGrpSpPr>
                        <a:cNvPr id="9" name="组合 30"/>
                        <a:cNvGrpSpPr/>
                      </a:nvGrpSpPr>
                      <a:grpSpPr>
                        <a:xfrm>
                          <a:off x="2524626" y="2192589"/>
                          <a:ext cx="1807366" cy="1183824"/>
                          <a:chOff x="847999" y="2193648"/>
                          <a:chExt cx="1807366" cy="1183824"/>
                        </a:xfrm>
                      </a:grpSpPr>
                      <a:grpSp>
                        <a:nvGrpSpPr>
                          <a:cNvPr id="18" name="组合 14"/>
                          <a:cNvGrpSpPr/>
                        </a:nvGrpSpPr>
                        <a:grpSpPr>
                          <a:xfrm>
                            <a:off x="847999" y="2193648"/>
                            <a:ext cx="1807366" cy="1183824"/>
                            <a:chOff x="130626" y="2541310"/>
                            <a:chExt cx="2075001" cy="1282535"/>
                          </a:xfrm>
                        </a:grpSpPr>
                        <a:sp>
                          <a:nvSpPr>
                            <a:cNvPr id="37" name="圆角矩形 36"/>
                            <a:cNvSpPr/>
                          </a:nvSpPr>
                          <a:spPr bwMode="auto">
                            <a:xfrm>
                              <a:off x="130626" y="2541310"/>
                              <a:ext cx="1982554" cy="1116280"/>
                            </a:xfrm>
                            <a:prstGeom prst="roundRect">
                              <a:avLst/>
                            </a:prstGeom>
                            <a:solidFill>
                              <a:srgbClr val="FFFFFF">
                                <a:lumMod val="85000"/>
                                <a:alpha val="71000"/>
                              </a:srgbClr>
                            </a:solidFill>
                            <a:ln w="25400" cap="flat" cmpd="sng" algn="ctr">
                              <a:solidFill>
                                <a:srgbClr val="FFDE40"/>
                              </a:solidFill>
                              <a:prstDash val="solid"/>
                              <a:headEnd type="none" w="med" len="med"/>
                              <a:tailEnd type="none" w="med" len="med"/>
                            </a:ln>
                            <a:effectLst/>
                          </a:spPr>
                          <a:txSp>
                            <a:txBody>
                              <a:bodyPr vert="horz" wrap="square" lIns="91440" tIns="45720" rIns="91440" bIns="45720" numCol="1" rtlCol="0" anchor="t" anchorCtr="0" compatLnSpc="1"/>
                              <a:lstStyle>
                                <a:defPPr>
                                  <a:defRPr lang="zh-CN"/>
                                </a:defPPr>
                                <a:lvl1pPr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1pPr>
                                <a:lvl2pPr marL="4572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2pPr>
                                <a:lvl3pPr marL="9144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3pPr>
                                <a:lvl4pPr marL="13716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4pPr>
                                <a:lvl5pPr marL="18288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5pPr>
                                <a:lvl6pPr marL="2286000" algn="l" defTabSz="914400" rtl="0" eaLnBrk="1" latinLnBrk="0" hangingPunct="1">
                                  <a:defRPr kern="1200">
                                    <a:solidFill>
                                      <a:srgbClr val="008ED3"/>
                                    </a:solidFill>
                                    <a:latin typeface="Calibri" panose="020F0502020204030204"/>
                                    <a:ea typeface="微软雅黑" panose="020B0503020204020204" charset="-122"/>
                                  </a:defRPr>
                                </a:lvl6pPr>
                                <a:lvl7pPr marL="2743200" algn="l" defTabSz="914400" rtl="0" eaLnBrk="1" latinLnBrk="0" hangingPunct="1">
                                  <a:defRPr kern="1200">
                                    <a:solidFill>
                                      <a:srgbClr val="008ED3"/>
                                    </a:solidFill>
                                    <a:latin typeface="Calibri" panose="020F0502020204030204"/>
                                    <a:ea typeface="微软雅黑" panose="020B0503020204020204" charset="-122"/>
                                  </a:defRPr>
                                </a:lvl7pPr>
                                <a:lvl8pPr marL="3200400" algn="l" defTabSz="914400" rtl="0" eaLnBrk="1" latinLnBrk="0" hangingPunct="1">
                                  <a:defRPr kern="1200">
                                    <a:solidFill>
                                      <a:srgbClr val="008ED3"/>
                                    </a:solidFill>
                                    <a:latin typeface="Calibri" panose="020F0502020204030204"/>
                                    <a:ea typeface="微软雅黑" panose="020B0503020204020204" charset="-122"/>
                                  </a:defRPr>
                                </a:lvl8pPr>
                                <a:lvl9pPr marL="3657600" algn="l" defTabSz="914400" rtl="0" eaLnBrk="1" latinLnBrk="0" hangingPunct="1">
                                  <a:defRPr kern="1200">
                                    <a:solidFill>
                                      <a:srgbClr val="008ED3"/>
                                    </a:solidFill>
                                    <a:latin typeface="Calibri" panose="020F0502020204030204"/>
                                    <a:ea typeface="微软雅黑" panose="020B0503020204020204" charset="-122"/>
                                  </a:defRPr>
                                </a:lvl9pPr>
                              </a:lstStyle>
                              <a:p>
                                <a:pPr marL="0" marR="0" indent="0" algn="l" defTabSz="457200" rtl="0" eaLnBrk="1" fontAlgn="base" latinLnBrk="0" hangingPunct="1">
                                  <a:lnSpc>
                                    <a:spcPct val="100000"/>
                                  </a:lnSpc>
                                  <a:spcBef>
                                    <a:spcPct val="0"/>
                                  </a:spcBef>
                                  <a:spcAft>
                                    <a:spcPct val="0"/>
                                  </a:spcAft>
                                  <a:buClrTx/>
                                  <a:buSzTx/>
                                  <a:buFont typeface="Arial" panose="020B0604020202020204" pitchFamily="2" charset="0"/>
                                  <a:buNone/>
                                </a:pPr>
                                <a:endParaRPr kumimoji="0" lang="zh-CN" altLang="en-US" sz="1800" b="0" i="0" u="none" strike="noStrike" cap="none" normalizeH="0" baseline="0">
                                  <a:ln>
                                    <a:noFill/>
                                  </a:ln>
                                  <a:solidFill>
                                    <a:srgbClr val="008ED3"/>
                                  </a:solidFill>
                                  <a:effectLst/>
                                  <a:latin typeface="Calibri" panose="020F0502020204030204" pitchFamily="2" charset="0"/>
                                  <a:ea typeface="宋体" panose="02010600030101010101" charset="-122"/>
                                  <a:cs typeface="Arial" panose="020B0604020202020204" pitchFamily="2" charset="0"/>
                                </a:endParaRPr>
                              </a:p>
                            </a:txBody>
                            <a:useSpRect/>
                          </a:txSp>
                          <a:style>
                            <a:lnRef idx="2">
                              <a:schemeClr val="accent1"/>
                            </a:lnRef>
                            <a:fillRef idx="1">
                              <a:schemeClr val="lt1"/>
                            </a:fillRef>
                            <a:effectRef idx="0">
                              <a:schemeClr val="accent1"/>
                            </a:effectRef>
                            <a:fontRef idx="minor">
                              <a:schemeClr val="dk1"/>
                            </a:fontRef>
                          </a:style>
                        </a:sp>
                        <a:sp>
                          <a:nvSpPr>
                            <a:cNvPr id="38" name="圆角矩形 37"/>
                            <a:cNvSpPr/>
                          </a:nvSpPr>
                          <a:spPr bwMode="auto">
                            <a:xfrm>
                              <a:off x="1211281" y="3420084"/>
                              <a:ext cx="994346" cy="403761"/>
                            </a:xfrm>
                            <a:prstGeom prst="roundRect">
                              <a:avLst/>
                            </a:prstGeom>
                            <a:solidFill>
                              <a:srgbClr val="FFDE40">
                                <a:lumMod val="75000"/>
                              </a:srgbClr>
                            </a:solidFill>
                            <a:ln w="25400" cap="flat" cmpd="sng" algn="ctr">
                              <a:solidFill>
                                <a:srgbClr val="FFDE40"/>
                              </a:solidFill>
                              <a:prstDash val="solid"/>
                              <a:headEnd type="none" w="med" len="med"/>
                              <a:tailEnd type="none" w="med" len="med"/>
                            </a:ln>
                            <a:effectLst/>
                          </a:spPr>
                          <a:txSp>
                            <a:txBody>
                              <a:bodyPr vert="horz" wrap="square" lIns="91440" tIns="45720" rIns="91440" bIns="45720" numCol="1" rtlCol="0" anchor="t" anchorCtr="0" compatLnSpc="1"/>
                              <a:lstStyle>
                                <a:defPPr>
                                  <a:defRPr lang="zh-CN"/>
                                </a:defPPr>
                                <a:lvl1pPr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1pPr>
                                <a:lvl2pPr marL="4572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2pPr>
                                <a:lvl3pPr marL="9144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3pPr>
                                <a:lvl4pPr marL="13716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4pPr>
                                <a:lvl5pPr marL="18288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5pPr>
                                <a:lvl6pPr marL="2286000" algn="l" defTabSz="914400" rtl="0" eaLnBrk="1" latinLnBrk="0" hangingPunct="1">
                                  <a:defRPr kern="1200">
                                    <a:solidFill>
                                      <a:srgbClr val="008ED3"/>
                                    </a:solidFill>
                                    <a:latin typeface="Calibri" panose="020F0502020204030204"/>
                                    <a:ea typeface="微软雅黑" panose="020B0503020204020204" charset="-122"/>
                                  </a:defRPr>
                                </a:lvl6pPr>
                                <a:lvl7pPr marL="2743200" algn="l" defTabSz="914400" rtl="0" eaLnBrk="1" latinLnBrk="0" hangingPunct="1">
                                  <a:defRPr kern="1200">
                                    <a:solidFill>
                                      <a:srgbClr val="008ED3"/>
                                    </a:solidFill>
                                    <a:latin typeface="Calibri" panose="020F0502020204030204"/>
                                    <a:ea typeface="微软雅黑" panose="020B0503020204020204" charset="-122"/>
                                  </a:defRPr>
                                </a:lvl7pPr>
                                <a:lvl8pPr marL="3200400" algn="l" defTabSz="914400" rtl="0" eaLnBrk="1" latinLnBrk="0" hangingPunct="1">
                                  <a:defRPr kern="1200">
                                    <a:solidFill>
                                      <a:srgbClr val="008ED3"/>
                                    </a:solidFill>
                                    <a:latin typeface="Calibri" panose="020F0502020204030204"/>
                                    <a:ea typeface="微软雅黑" panose="020B0503020204020204" charset="-122"/>
                                  </a:defRPr>
                                </a:lvl8pPr>
                                <a:lvl9pPr marL="3657600" algn="l" defTabSz="914400" rtl="0" eaLnBrk="1" latinLnBrk="0" hangingPunct="1">
                                  <a:defRPr kern="1200">
                                    <a:solidFill>
                                      <a:srgbClr val="008ED3"/>
                                    </a:solidFill>
                                    <a:latin typeface="Calibri" panose="020F0502020204030204"/>
                                    <a:ea typeface="微软雅黑" panose="020B0503020204020204" charset="-122"/>
                                  </a:defRPr>
                                </a:lvl9pPr>
                              </a:lstStyle>
                              <a:p>
                                <a:pPr marL="0" marR="0" indent="0" algn="l" defTabSz="457200" rtl="0" eaLnBrk="1" fontAlgn="base" latinLnBrk="0" hangingPunct="1">
                                  <a:lnSpc>
                                    <a:spcPct val="100000"/>
                                  </a:lnSpc>
                                  <a:spcBef>
                                    <a:spcPct val="0"/>
                                  </a:spcBef>
                                  <a:spcAft>
                                    <a:spcPct val="0"/>
                                  </a:spcAft>
                                  <a:buClrTx/>
                                  <a:buSzTx/>
                                  <a:buFont typeface="Arial" panose="020B0604020202020204" pitchFamily="2" charset="0"/>
                                  <a:buNone/>
                                </a:pPr>
                                <a:r>
                                  <a:rPr lang="zh-CN" altLang="en-US" sz="1400" dirty="0">
                                    <a:solidFill>
                                      <a:srgbClr val="58595B">
                                        <a:lumMod val="75000"/>
                                      </a:srgbClr>
                                    </a:solidFill>
                                    <a:latin typeface="微软雅黑" panose="020B0503020204020204" charset="-122"/>
                                    <a:cs typeface="Arial" panose="020B0604020202020204" pitchFamily="2" charset="0"/>
                                  </a:rPr>
                                  <a:t>工程</a:t>
                                </a:r>
                                <a:endParaRPr kumimoji="0" lang="zh-CN" altLang="en-US" sz="1400" b="0" i="0" u="none" strike="noStrike" cap="none" normalizeH="0" baseline="0" dirty="0">
                                  <a:ln>
                                    <a:noFill/>
                                  </a:ln>
                                  <a:solidFill>
                                    <a:srgbClr val="58595B">
                                      <a:lumMod val="75000"/>
                                    </a:srgbClr>
                                  </a:solidFill>
                                  <a:effectLst/>
                                  <a:latin typeface="微软雅黑" panose="020B0503020204020204" charset="-122"/>
                                  <a:cs typeface="Arial" panose="020B0604020202020204" pitchFamily="2" charset="0"/>
                                </a:endParaRPr>
                              </a:p>
                            </a:txBody>
                            <a:useSpRect/>
                          </a:txSp>
                          <a:style>
                            <a:lnRef idx="2">
                              <a:schemeClr val="accent1"/>
                            </a:lnRef>
                            <a:fillRef idx="1">
                              <a:schemeClr val="lt1"/>
                            </a:fillRef>
                            <a:effectRef idx="0">
                              <a:schemeClr val="accent1"/>
                            </a:effectRef>
                            <a:fontRef idx="minor">
                              <a:schemeClr val="dk1"/>
                            </a:fontRef>
                          </a:style>
                        </a:sp>
                      </a:grpSp>
                      <a:sp>
                        <a:nvSpPr>
                          <a:cNvPr id="36" name="TextBox 35"/>
                          <a:cNvSpPr txBox="1"/>
                        </a:nvSpPr>
                        <a:spPr>
                          <a:xfrm>
                            <a:off x="923162" y="2237477"/>
                            <a:ext cx="1420920" cy="523220"/>
                          </a:xfrm>
                          <a:prstGeom prst="rect">
                            <a:avLst/>
                          </a:prstGeom>
                          <a:noFill/>
                        </a:spPr>
                        <a:txSp>
                          <a:txBody>
                            <a:bodyPr wrap="square" rtlCol="0">
                              <a:spAutoFit/>
                            </a:bodyPr>
                            <a:lstStyle>
                              <a:defPPr>
                                <a:defRPr lang="zh-CN"/>
                              </a:defPPr>
                              <a:lvl1pPr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1pPr>
                              <a:lvl2pPr marL="4572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2pPr>
                              <a:lvl3pPr marL="9144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3pPr>
                              <a:lvl4pPr marL="13716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4pPr>
                              <a:lvl5pPr marL="18288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5pPr>
                              <a:lvl6pPr marL="22860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6pPr>
                              <a:lvl7pPr marL="27432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7pPr>
                              <a:lvl8pPr marL="32004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8pPr>
                              <a:lvl9pPr marL="36576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9pPr>
                            </a:lstStyle>
                            <a:p>
                              <a:pPr marL="342900" indent="-342900">
                                <a:buClr>
                                  <a:srgbClr val="1C1C1E"/>
                                </a:buClr>
                                <a:buFont typeface="Arial" panose="020B0604020202020204" pitchFamily="2" charset="0"/>
                                <a:buChar char="•"/>
                              </a:pPr>
                              <a:r>
                                <a:rPr lang="zh-CN" altLang="en-US" sz="1400" dirty="0" smtClean="0">
                                  <a:solidFill>
                                    <a:srgbClr val="58595B">
                                      <a:lumMod val="75000"/>
                                    </a:srgbClr>
                                  </a:solidFill>
                                  <a:latin typeface="微软雅黑" panose="020B0503020204020204" charset="-122"/>
                                  <a:ea typeface="微软雅黑" panose="020B0503020204020204" charset="-122"/>
                                </a:rPr>
                                <a:t>工程施工</a:t>
                              </a:r>
                              <a:endParaRPr lang="en-US" altLang="zh-CN" sz="1400" dirty="0">
                                <a:solidFill>
                                  <a:srgbClr val="58595B">
                                    <a:lumMod val="75000"/>
                                  </a:srgbClr>
                                </a:solidFill>
                                <a:latin typeface="微软雅黑" panose="020B0503020204020204" charset="-122"/>
                                <a:ea typeface="微软雅黑" panose="020B0503020204020204" charset="-122"/>
                              </a:endParaRPr>
                            </a:p>
                            <a:p>
                              <a:pPr marL="342900" indent="-342900">
                                <a:buClr>
                                  <a:srgbClr val="1C1C1E"/>
                                </a:buClr>
                                <a:buFont typeface="Arial" panose="020B0604020202020204" pitchFamily="2" charset="0"/>
                                <a:buChar char="•"/>
                              </a:pPr>
                              <a:r>
                                <a:rPr lang="zh-CN" altLang="en-US" sz="1400" dirty="0">
                                  <a:solidFill>
                                    <a:srgbClr val="58595B">
                                      <a:lumMod val="75000"/>
                                    </a:srgbClr>
                                  </a:solidFill>
                                  <a:latin typeface="微软雅黑" panose="020B0503020204020204" charset="-122"/>
                                  <a:ea typeface="微软雅黑" panose="020B0503020204020204" charset="-122"/>
                                </a:rPr>
                                <a:t>督导规范</a:t>
                              </a:r>
                              <a:endParaRPr lang="zh-CN" altLang="en-US" sz="1400" dirty="0">
                                <a:solidFill>
                                  <a:srgbClr val="58595B">
                                    <a:lumMod val="75000"/>
                                  </a:srgbClr>
                                </a:solidFill>
                                <a:latin typeface="微软雅黑" panose="020B0503020204020204" charset="-122"/>
                                <a:ea typeface="微软雅黑" panose="020B0503020204020204" charset="-122"/>
                              </a:endParaRPr>
                            </a:p>
                          </a:txBody>
                          <a:useSpRect/>
                        </a:txSp>
                      </a:sp>
                    </a:grpSp>
                    <a:grpSp>
                      <a:nvGrpSpPr>
                        <a:cNvPr id="10" name="组合 31"/>
                        <a:cNvGrpSpPr/>
                      </a:nvGrpSpPr>
                      <a:grpSpPr>
                        <a:xfrm>
                          <a:off x="301457" y="2193648"/>
                          <a:ext cx="1771152" cy="1183824"/>
                          <a:chOff x="847999" y="2193648"/>
                          <a:chExt cx="1771152" cy="1183824"/>
                        </a:xfrm>
                      </a:grpSpPr>
                      <a:grpSp>
                        <a:nvGrpSpPr>
                          <a:cNvPr id="14" name="组合 14"/>
                          <a:cNvGrpSpPr/>
                        </a:nvGrpSpPr>
                        <a:grpSpPr>
                          <a:xfrm>
                            <a:off x="847999" y="2193648"/>
                            <a:ext cx="1771152" cy="1183824"/>
                            <a:chOff x="130626" y="2541310"/>
                            <a:chExt cx="2033425" cy="1282535"/>
                          </a:xfrm>
                        </a:grpSpPr>
                        <a:sp>
                          <a:nvSpPr>
                            <a:cNvPr id="11" name="圆角矩形 10"/>
                            <a:cNvSpPr/>
                          </a:nvSpPr>
                          <a:spPr bwMode="auto">
                            <a:xfrm>
                              <a:off x="130626" y="2541310"/>
                              <a:ext cx="1982554" cy="1116280"/>
                            </a:xfrm>
                            <a:prstGeom prst="roundRect">
                              <a:avLst/>
                            </a:prstGeom>
                            <a:solidFill>
                              <a:srgbClr val="FFFFFF">
                                <a:lumMod val="85000"/>
                                <a:alpha val="71000"/>
                              </a:srgbClr>
                            </a:solidFill>
                            <a:ln w="25400" cap="flat" cmpd="sng" algn="ctr">
                              <a:solidFill>
                                <a:srgbClr val="FFDE40"/>
                              </a:solidFill>
                              <a:prstDash val="solid"/>
                              <a:headEnd type="none" w="med" len="med"/>
                              <a:tailEnd type="none" w="med" len="med"/>
                            </a:ln>
                            <a:effectLst/>
                          </a:spPr>
                          <a:txSp>
                            <a:txBody>
                              <a:bodyPr vert="horz" wrap="square" lIns="91440" tIns="45720" rIns="91440" bIns="45720" numCol="1" rtlCol="0" anchor="t" anchorCtr="0" compatLnSpc="1"/>
                              <a:lstStyle>
                                <a:defPPr>
                                  <a:defRPr lang="zh-CN"/>
                                </a:defPPr>
                                <a:lvl1pPr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1pPr>
                                <a:lvl2pPr marL="4572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2pPr>
                                <a:lvl3pPr marL="9144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3pPr>
                                <a:lvl4pPr marL="13716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4pPr>
                                <a:lvl5pPr marL="18288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5pPr>
                                <a:lvl6pPr marL="2286000" algn="l" defTabSz="914400" rtl="0" eaLnBrk="1" latinLnBrk="0" hangingPunct="1">
                                  <a:defRPr kern="1200">
                                    <a:solidFill>
                                      <a:srgbClr val="008ED3"/>
                                    </a:solidFill>
                                    <a:latin typeface="Calibri" panose="020F0502020204030204"/>
                                    <a:ea typeface="微软雅黑" panose="020B0503020204020204" charset="-122"/>
                                  </a:defRPr>
                                </a:lvl6pPr>
                                <a:lvl7pPr marL="2743200" algn="l" defTabSz="914400" rtl="0" eaLnBrk="1" latinLnBrk="0" hangingPunct="1">
                                  <a:defRPr kern="1200">
                                    <a:solidFill>
                                      <a:srgbClr val="008ED3"/>
                                    </a:solidFill>
                                    <a:latin typeface="Calibri" panose="020F0502020204030204"/>
                                    <a:ea typeface="微软雅黑" panose="020B0503020204020204" charset="-122"/>
                                  </a:defRPr>
                                </a:lvl7pPr>
                                <a:lvl8pPr marL="3200400" algn="l" defTabSz="914400" rtl="0" eaLnBrk="1" latinLnBrk="0" hangingPunct="1">
                                  <a:defRPr kern="1200">
                                    <a:solidFill>
                                      <a:srgbClr val="008ED3"/>
                                    </a:solidFill>
                                    <a:latin typeface="Calibri" panose="020F0502020204030204"/>
                                    <a:ea typeface="微软雅黑" panose="020B0503020204020204" charset="-122"/>
                                  </a:defRPr>
                                </a:lvl8pPr>
                                <a:lvl9pPr marL="3657600" algn="l" defTabSz="914400" rtl="0" eaLnBrk="1" latinLnBrk="0" hangingPunct="1">
                                  <a:defRPr kern="1200">
                                    <a:solidFill>
                                      <a:srgbClr val="008ED3"/>
                                    </a:solidFill>
                                    <a:latin typeface="Calibri" panose="020F0502020204030204"/>
                                    <a:ea typeface="微软雅黑" panose="020B0503020204020204" charset="-122"/>
                                  </a:defRPr>
                                </a:lvl9pPr>
                              </a:lstStyle>
                              <a:p>
                                <a:pPr marL="0" marR="0" indent="0" algn="l" defTabSz="457200" rtl="0" eaLnBrk="1" fontAlgn="base" latinLnBrk="0" hangingPunct="1">
                                  <a:lnSpc>
                                    <a:spcPct val="100000"/>
                                  </a:lnSpc>
                                  <a:spcBef>
                                    <a:spcPct val="0"/>
                                  </a:spcBef>
                                  <a:spcAft>
                                    <a:spcPct val="0"/>
                                  </a:spcAft>
                                  <a:buClrTx/>
                                  <a:buSzTx/>
                                  <a:buFont typeface="Arial" panose="020B0604020202020204" pitchFamily="2" charset="0"/>
                                  <a:buNone/>
                                </a:pPr>
                                <a:endParaRPr kumimoji="0" lang="zh-CN" altLang="en-US" sz="1800" b="0" i="0" u="none" strike="noStrike" cap="none" normalizeH="0" baseline="0">
                                  <a:ln>
                                    <a:noFill/>
                                  </a:ln>
                                  <a:solidFill>
                                    <a:srgbClr val="008ED3"/>
                                  </a:solidFill>
                                  <a:effectLst/>
                                  <a:latin typeface="Calibri" panose="020F0502020204030204" pitchFamily="2" charset="0"/>
                                  <a:ea typeface="宋体" panose="02010600030101010101" charset="-122"/>
                                  <a:cs typeface="Arial" panose="020B0604020202020204" pitchFamily="2" charset="0"/>
                                </a:endParaRPr>
                              </a:p>
                            </a:txBody>
                            <a:useSpRect/>
                          </a:txSp>
                          <a:style>
                            <a:lnRef idx="2">
                              <a:schemeClr val="accent1"/>
                            </a:lnRef>
                            <a:fillRef idx="1">
                              <a:schemeClr val="lt1"/>
                            </a:fillRef>
                            <a:effectRef idx="0">
                              <a:schemeClr val="accent1"/>
                            </a:effectRef>
                            <a:fontRef idx="minor">
                              <a:schemeClr val="dk1"/>
                            </a:fontRef>
                          </a:style>
                        </a:sp>
                        <a:sp>
                          <a:nvSpPr>
                            <a:cNvPr id="2" name="圆角矩形 13"/>
                            <a:cNvSpPr/>
                          </a:nvSpPr>
                          <a:spPr bwMode="auto">
                            <a:xfrm>
                              <a:off x="1211282" y="3420084"/>
                              <a:ext cx="952769" cy="403761"/>
                            </a:xfrm>
                            <a:prstGeom prst="roundRect">
                              <a:avLst/>
                            </a:prstGeom>
                            <a:solidFill>
                              <a:srgbClr val="FFDE40">
                                <a:lumMod val="75000"/>
                              </a:srgbClr>
                            </a:solidFill>
                            <a:ln w="25400" cap="flat" cmpd="sng" algn="ctr">
                              <a:solidFill>
                                <a:srgbClr val="FFDE40"/>
                              </a:solidFill>
                              <a:prstDash val="solid"/>
                              <a:headEnd type="none" w="med" len="med"/>
                              <a:tailEnd type="none" w="med" len="med"/>
                            </a:ln>
                            <a:effectLst/>
                          </a:spPr>
                          <a:txSp>
                            <a:txBody>
                              <a:bodyPr vert="horz" wrap="square" lIns="91440" tIns="45720" rIns="91440" bIns="45720" numCol="1" rtlCol="0" anchor="t" anchorCtr="0" compatLnSpc="1"/>
                              <a:lstStyle>
                                <a:defPPr>
                                  <a:defRPr lang="zh-CN"/>
                                </a:defPPr>
                                <a:lvl1pPr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1pPr>
                                <a:lvl2pPr marL="4572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2pPr>
                                <a:lvl3pPr marL="9144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3pPr>
                                <a:lvl4pPr marL="13716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4pPr>
                                <a:lvl5pPr marL="1828800" algn="l" defTabSz="457200" rtl="0" fontAlgn="base">
                                  <a:spcBef>
                                    <a:spcPct val="0"/>
                                  </a:spcBef>
                                  <a:spcAft>
                                    <a:spcPct val="0"/>
                                  </a:spcAft>
                                  <a:buFont typeface="Arial" panose="020B0604020202020204" pitchFamily="2" charset="0"/>
                                  <a:defRPr kern="1200">
                                    <a:solidFill>
                                      <a:srgbClr val="008ED3"/>
                                    </a:solidFill>
                                    <a:latin typeface="Calibri" panose="020F0502020204030204"/>
                                    <a:ea typeface="微软雅黑" panose="020B0503020204020204" charset="-122"/>
                                  </a:defRPr>
                                </a:lvl5pPr>
                                <a:lvl6pPr marL="2286000" algn="l" defTabSz="914400" rtl="0" eaLnBrk="1" latinLnBrk="0" hangingPunct="1">
                                  <a:defRPr kern="1200">
                                    <a:solidFill>
                                      <a:srgbClr val="008ED3"/>
                                    </a:solidFill>
                                    <a:latin typeface="Calibri" panose="020F0502020204030204"/>
                                    <a:ea typeface="微软雅黑" panose="020B0503020204020204" charset="-122"/>
                                  </a:defRPr>
                                </a:lvl6pPr>
                                <a:lvl7pPr marL="2743200" algn="l" defTabSz="914400" rtl="0" eaLnBrk="1" latinLnBrk="0" hangingPunct="1">
                                  <a:defRPr kern="1200">
                                    <a:solidFill>
                                      <a:srgbClr val="008ED3"/>
                                    </a:solidFill>
                                    <a:latin typeface="Calibri" panose="020F0502020204030204"/>
                                    <a:ea typeface="微软雅黑" panose="020B0503020204020204" charset="-122"/>
                                  </a:defRPr>
                                </a:lvl7pPr>
                                <a:lvl8pPr marL="3200400" algn="l" defTabSz="914400" rtl="0" eaLnBrk="1" latinLnBrk="0" hangingPunct="1">
                                  <a:defRPr kern="1200">
                                    <a:solidFill>
                                      <a:srgbClr val="008ED3"/>
                                    </a:solidFill>
                                    <a:latin typeface="Calibri" panose="020F0502020204030204"/>
                                    <a:ea typeface="微软雅黑" panose="020B0503020204020204" charset="-122"/>
                                  </a:defRPr>
                                </a:lvl8pPr>
                                <a:lvl9pPr marL="3657600" algn="l" defTabSz="914400" rtl="0" eaLnBrk="1" latinLnBrk="0" hangingPunct="1">
                                  <a:defRPr kern="1200">
                                    <a:solidFill>
                                      <a:srgbClr val="008ED3"/>
                                    </a:solidFill>
                                    <a:latin typeface="Calibri" panose="020F0502020204030204"/>
                                    <a:ea typeface="微软雅黑" panose="020B0503020204020204" charset="-122"/>
                                  </a:defRPr>
                                </a:lvl9pPr>
                              </a:lstStyle>
                              <a:p>
                                <a:pPr marL="0" marR="0" indent="0" algn="l" defTabSz="457200" rtl="0" eaLnBrk="1" fontAlgn="base" latinLnBrk="0" hangingPunct="1">
                                  <a:lnSpc>
                                    <a:spcPct val="100000"/>
                                  </a:lnSpc>
                                  <a:spcBef>
                                    <a:spcPct val="0"/>
                                  </a:spcBef>
                                  <a:spcAft>
                                    <a:spcPct val="0"/>
                                  </a:spcAft>
                                  <a:buClrTx/>
                                  <a:buSzTx/>
                                  <a:buFont typeface="Arial" panose="020B0604020202020204" pitchFamily="2" charset="0"/>
                                  <a:buNone/>
                                </a:pPr>
                                <a:r>
                                  <a:rPr lang="zh-CN" altLang="en-US" sz="1400" dirty="0">
                                    <a:solidFill>
                                      <a:srgbClr val="58595B">
                                        <a:lumMod val="75000"/>
                                      </a:srgbClr>
                                    </a:solidFill>
                                    <a:latin typeface="微软雅黑" panose="020B0503020204020204" charset="-122"/>
                                    <a:cs typeface="Arial" panose="020B0604020202020204" pitchFamily="2" charset="0"/>
                                  </a:rPr>
                                  <a:t>设计</a:t>
                                </a:r>
                                <a:endParaRPr kumimoji="0" lang="zh-CN" altLang="en-US" sz="1400" b="0" i="0" u="none" strike="noStrike" cap="none" normalizeH="0" baseline="0" dirty="0">
                                  <a:ln>
                                    <a:noFill/>
                                  </a:ln>
                                  <a:solidFill>
                                    <a:srgbClr val="58595B">
                                      <a:lumMod val="75000"/>
                                    </a:srgbClr>
                                  </a:solidFill>
                                  <a:effectLst/>
                                  <a:latin typeface="微软雅黑" panose="020B0503020204020204" charset="-122"/>
                                  <a:cs typeface="Arial" panose="020B0604020202020204" pitchFamily="2" charset="0"/>
                                </a:endParaRPr>
                              </a:p>
                            </a:txBody>
                            <a:useSpRect/>
                          </a:txSp>
                          <a:style>
                            <a:lnRef idx="2">
                              <a:schemeClr val="accent1"/>
                            </a:lnRef>
                            <a:fillRef idx="1">
                              <a:schemeClr val="lt1"/>
                            </a:fillRef>
                            <a:effectRef idx="0">
                              <a:schemeClr val="accent1"/>
                            </a:effectRef>
                            <a:fontRef idx="minor">
                              <a:schemeClr val="dk1"/>
                            </a:fontRef>
                          </a:style>
                        </a:sp>
                      </a:grpSp>
                      <a:sp>
                        <a:nvSpPr>
                          <a:cNvPr id="25" name="TextBox 24"/>
                          <a:cNvSpPr txBox="1"/>
                        </a:nvSpPr>
                        <a:spPr>
                          <a:xfrm>
                            <a:off x="923162" y="2244157"/>
                            <a:ext cx="1420920" cy="523220"/>
                          </a:xfrm>
                          <a:prstGeom prst="rect">
                            <a:avLst/>
                          </a:prstGeom>
                          <a:noFill/>
                        </a:spPr>
                        <a:txSp>
                          <a:txBody>
                            <a:bodyPr wrap="square" rtlCol="0">
                              <a:spAutoFit/>
                            </a:bodyPr>
                            <a:lstStyle>
                              <a:defPPr>
                                <a:defRPr lang="zh-CN"/>
                              </a:defPPr>
                              <a:lvl1pPr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1pPr>
                              <a:lvl2pPr marL="4572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2pPr>
                              <a:lvl3pPr marL="9144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3pPr>
                              <a:lvl4pPr marL="13716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4pPr>
                              <a:lvl5pPr marL="18288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5pPr>
                              <a:lvl6pPr marL="22860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6pPr>
                              <a:lvl7pPr marL="27432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7pPr>
                              <a:lvl8pPr marL="32004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8pPr>
                              <a:lvl9pPr marL="36576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9pPr>
                            </a:lstStyle>
                            <a:p>
                              <a:pPr marL="342900" indent="-342900">
                                <a:buClr>
                                  <a:srgbClr val="1C1C1E"/>
                                </a:buClr>
                                <a:buFont typeface="Arial" panose="020B0604020202020204" pitchFamily="2" charset="0"/>
                                <a:buChar char="•"/>
                              </a:pPr>
                              <a:r>
                                <a:rPr lang="zh-CN" altLang="en-US" sz="1400" dirty="0">
                                  <a:solidFill>
                                    <a:srgbClr val="58595B">
                                      <a:lumMod val="75000"/>
                                    </a:srgbClr>
                                  </a:solidFill>
                                  <a:latin typeface="微软雅黑" panose="020B0503020204020204" charset="-122"/>
                                  <a:ea typeface="微软雅黑" panose="020B0503020204020204" charset="-122"/>
                                </a:rPr>
                                <a:t>网络规划</a:t>
                              </a:r>
                              <a:endParaRPr lang="en-US" altLang="zh-CN" sz="1400" dirty="0">
                                <a:solidFill>
                                  <a:srgbClr val="58595B">
                                    <a:lumMod val="75000"/>
                                  </a:srgbClr>
                                </a:solidFill>
                                <a:latin typeface="微软雅黑" panose="020B0503020204020204" charset="-122"/>
                                <a:ea typeface="微软雅黑" panose="020B0503020204020204" charset="-122"/>
                              </a:endParaRPr>
                            </a:p>
                            <a:p>
                              <a:pPr marL="342900" indent="-342900">
                                <a:buClr>
                                  <a:srgbClr val="1C1C1E"/>
                                </a:buClr>
                                <a:buFont typeface="Arial" panose="020B0604020202020204" pitchFamily="2" charset="0"/>
                                <a:buChar char="•"/>
                              </a:pPr>
                              <a:r>
                                <a:rPr lang="zh-CN" altLang="en-US" sz="1400" dirty="0">
                                  <a:solidFill>
                                    <a:srgbClr val="58595B">
                                      <a:lumMod val="75000"/>
                                    </a:srgbClr>
                                  </a:solidFill>
                                  <a:latin typeface="微软雅黑" panose="020B0503020204020204" charset="-122"/>
                                  <a:ea typeface="微软雅黑" panose="020B0503020204020204" charset="-122"/>
                                </a:rPr>
                                <a:t>网络设计</a:t>
                              </a:r>
                              <a:endParaRPr lang="zh-CN" altLang="en-US" sz="1400" dirty="0">
                                <a:solidFill>
                                  <a:srgbClr val="58595B">
                                    <a:lumMod val="75000"/>
                                  </a:srgbClr>
                                </a:solidFill>
                                <a:latin typeface="微软雅黑" panose="020B0503020204020204" charset="-122"/>
                                <a:ea typeface="微软雅黑" panose="020B0503020204020204" charset="-122"/>
                              </a:endParaRPr>
                            </a:p>
                          </a:txBody>
                          <a:useSpRect/>
                        </a:txSp>
                      </a:sp>
                    </a:grpSp>
                    <a:cxnSp>
                      <a:nvCxnSpPr>
                        <a:cNvPr id="43" name="直接连接符 42"/>
                        <a:cNvCxnSpPr/>
                      </a:nvCxnSpPr>
                      <a:spPr bwMode="auto">
                        <a:xfrm flipV="1">
                          <a:off x="4251469" y="2688257"/>
                          <a:ext cx="452017" cy="4764"/>
                        </a:xfrm>
                        <a:prstGeom prst="line">
                          <a:avLst/>
                        </a:prstGeom>
                        <a:noFill/>
                        <a:ln w="25400" cap="flat" cmpd="sng" algn="ctr">
                          <a:solidFill>
                            <a:srgbClr val="FFDE40"/>
                          </a:solidFill>
                          <a:prstDash val="sysDash"/>
                          <a:headEnd type="none" w="med" len="med"/>
                          <a:tailEnd type="none" w="med" len="med"/>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cxnSp>
                      <a:nvCxnSpPr>
                        <a:cNvPr id="47" name="直接连接符 46"/>
                        <a:cNvCxnSpPr/>
                      </a:nvCxnSpPr>
                      <a:spPr bwMode="auto">
                        <a:xfrm flipV="1">
                          <a:off x="6583339" y="2678729"/>
                          <a:ext cx="452017" cy="4764"/>
                        </a:xfrm>
                        <a:prstGeom prst="line">
                          <a:avLst/>
                        </a:prstGeom>
                        <a:noFill/>
                        <a:ln w="25400" cap="flat" cmpd="sng" algn="ctr">
                          <a:solidFill>
                            <a:srgbClr val="FFDE40"/>
                          </a:solidFill>
                          <a:prstDash val="sysDash"/>
                          <a:headEnd type="none" w="med" len="med"/>
                          <a:tailEnd type="none" w="med" len="med"/>
                        </a:ln>
                        <a:effectLst>
                          <a:outerShdw blurRad="40000" dist="20000" dir="5400000" rotWithShape="0">
                            <a:srgbClr val="000000">
                              <a:alpha val="38000"/>
                            </a:srgbClr>
                          </a:outerShdw>
                        </a:effectLst>
                      </a:spPr>
                      <a:style>
                        <a:lnRef idx="2">
                          <a:schemeClr val="accent1"/>
                        </a:lnRef>
                        <a:fillRef idx="0">
                          <a:schemeClr val="accent1"/>
                        </a:fillRef>
                        <a:effectRef idx="1">
                          <a:schemeClr val="accent1"/>
                        </a:effectRef>
                        <a:fontRef idx="minor">
                          <a:schemeClr val="tx1"/>
                        </a:fontRef>
                      </a:style>
                    </a:cxnSp>
                    <a:sp>
                      <a:nvSpPr>
                        <a:cNvPr id="48" name="TextBox 47"/>
                        <a:cNvSpPr txBox="1"/>
                      </a:nvSpPr>
                      <a:spPr>
                        <a:xfrm>
                          <a:off x="4822675" y="3728854"/>
                          <a:ext cx="1665663" cy="461665"/>
                        </a:xfrm>
                        <a:prstGeom prst="rect">
                          <a:avLst/>
                        </a:prstGeom>
                        <a:noFill/>
                      </a:spPr>
                      <a:txSp>
                        <a:txBody>
                          <a:bodyPr wrap="square" rtlCol="0">
                            <a:spAutoFit/>
                          </a:bodyPr>
                          <a:lstStyle>
                            <a:defPPr>
                              <a:defRPr lang="zh-CN"/>
                            </a:defPPr>
                            <a:lvl1pPr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1pPr>
                            <a:lvl2pPr marL="4572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2pPr>
                            <a:lvl3pPr marL="9144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3pPr>
                            <a:lvl4pPr marL="13716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4pPr>
                            <a:lvl5pPr marL="1828800" algn="l" defTabSz="457200" rtl="0" fontAlgn="base">
                              <a:spcBef>
                                <a:spcPct val="0"/>
                              </a:spcBef>
                              <a:spcAft>
                                <a:spcPct val="0"/>
                              </a:spcAft>
                              <a:buFont typeface="Arial" panose="020B0604020202020204" pitchFamily="2" charset="0"/>
                              <a:defRPr kern="1200">
                                <a:solidFill>
                                  <a:srgbClr val="008ED3"/>
                                </a:solidFill>
                                <a:latin typeface="Calibri" panose="020F0502020204030204" pitchFamily="2" charset="0"/>
                                <a:ea typeface="宋体" panose="02010600030101010101" charset="-122"/>
                                <a:cs typeface="Arial" panose="020B0604020202020204" pitchFamily="2" charset="0"/>
                              </a:defRPr>
                            </a:lvl5pPr>
                            <a:lvl6pPr marL="22860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6pPr>
                            <a:lvl7pPr marL="27432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7pPr>
                            <a:lvl8pPr marL="32004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8pPr>
                            <a:lvl9pPr marL="3657600" algn="l" defTabSz="914400" rtl="0" eaLnBrk="1" latinLnBrk="0" hangingPunct="1">
                              <a:defRPr kern="1200">
                                <a:solidFill>
                                  <a:srgbClr val="008ED3"/>
                                </a:solidFill>
                                <a:latin typeface="Calibri" panose="020F0502020204030204" pitchFamily="2" charset="0"/>
                                <a:ea typeface="宋体" panose="02010600030101010101" charset="-122"/>
                                <a:cs typeface="Arial" panose="020B0604020202020204" pitchFamily="2" charset="0"/>
                              </a:defRPr>
                            </a:lvl9pPr>
                          </a:lstStyle>
                          <a:p>
                            <a:pPr>
                              <a:buFont typeface="Arial" panose="020B0604020202020204" pitchFamily="2" charset="0"/>
                              <a:buChar char="•"/>
                            </a:pPr>
                            <a:r>
                              <a:rPr lang="zh-CN" altLang="en-US" sz="1200" dirty="0">
                                <a:solidFill>
                                  <a:srgbClr val="0C0C0C"/>
                                </a:solidFill>
                                <a:latin typeface="微软雅黑" panose="020B0503020204020204" charset="-122"/>
                                <a:ea typeface="微软雅黑" panose="020B0503020204020204" charset="-122"/>
                              </a:rPr>
                              <a:t>运营商、第三方公司</a:t>
                            </a:r>
                            <a:endParaRPr lang="en-US" altLang="zh-CN" sz="1200" dirty="0">
                              <a:solidFill>
                                <a:srgbClr val="0C0C0C"/>
                              </a:solidFill>
                              <a:latin typeface="微软雅黑" panose="020B0503020204020204" charset="-122"/>
                              <a:ea typeface="微软雅黑" panose="020B0503020204020204" charset="-122"/>
                            </a:endParaRPr>
                          </a:p>
                          <a:p>
                            <a:pPr>
                              <a:buFont typeface="Arial" panose="020B0604020202020204" pitchFamily="2" charset="0"/>
                              <a:buChar char="•"/>
                            </a:pPr>
                            <a:r>
                              <a:rPr lang="en-US" altLang="zh-CN" sz="1200" dirty="0">
                                <a:solidFill>
                                  <a:srgbClr val="0C0C0C"/>
                                </a:solidFill>
                                <a:latin typeface="微软雅黑" panose="020B0503020204020204" charset="-122"/>
                                <a:ea typeface="微软雅黑" panose="020B0503020204020204" charset="-122"/>
                              </a:rPr>
                              <a:t> </a:t>
                            </a:r>
                            <a:r>
                              <a:rPr lang="zh-CN" altLang="en-US" sz="1200" dirty="0">
                                <a:solidFill>
                                  <a:srgbClr val="0C0C0C"/>
                                </a:solidFill>
                                <a:latin typeface="微软雅黑" panose="020B0503020204020204" charset="-122"/>
                                <a:ea typeface="微软雅黑" panose="020B0503020204020204" charset="-122"/>
                              </a:rPr>
                              <a:t>通信设备厂商</a:t>
                            </a:r>
                            <a:endParaRPr lang="zh-CN" altLang="en-US" sz="1200" dirty="0">
                              <a:solidFill>
                                <a:srgbClr val="0C0C0C"/>
                              </a:solidFill>
                              <a:latin typeface="微软雅黑" panose="020B0503020204020204" charset="-122"/>
                              <a:ea typeface="微软雅黑" panose="020B0503020204020204" charset="-122"/>
                            </a:endParaRPr>
                          </a:p>
                        </a:txBody>
                        <a:useSpRect/>
                      </a:txSp>
                    </a:sp>
                  </a:grpSp>
                </lc:lockedCanvas>
              </a:graphicData>
            </a:graphic>
          </wp:inline>
        </w:drawing>
      </w:r>
    </w:p>
    <w:p>
      <w:pPr>
        <w:pStyle w:val="7"/>
      </w:pPr>
      <w:r>
        <w:rPr>
          <w:rFonts w:hint="eastAsia"/>
        </w:rPr>
        <w:t xml:space="preserve">图 </w:t>
      </w:r>
      <w:r>
        <w:fldChar w:fldCharType="begin"/>
      </w:r>
      <w:r>
        <w:instrText xml:space="preserve"> </w:instrText>
      </w:r>
      <w:r>
        <w:rPr>
          <w:rFonts w:hint="eastAsia"/>
        </w:rPr>
        <w:instrText xml:space="preserve">SEQ 图表 \* ARABIC</w:instrText>
      </w:r>
      <w:r>
        <w:instrText xml:space="preserve"> </w:instrText>
      </w:r>
      <w:r>
        <w:fldChar w:fldCharType="separate"/>
      </w:r>
      <w:r>
        <w:t>2</w:t>
      </w:r>
      <w:r>
        <w:fldChar w:fldCharType="end"/>
      </w:r>
      <w:r>
        <w:rPr>
          <w:rFonts w:hint="eastAsia"/>
        </w:rPr>
        <w:t xml:space="preserve"> 赛项内容对应岗位技能需求</w:t>
      </w:r>
    </w:p>
    <w:p>
      <w:pPr>
        <w:pStyle w:val="38"/>
      </w:pPr>
      <w:r>
        <w:rPr>
          <w:rFonts w:hint="eastAsia"/>
        </w:rPr>
        <w:t>（四）竞赛平台成熟，软件通用性强</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根据赛项设计的要求，兼顾行业技术最新发展趋势和热点应用技术，充分参考往届竞赛平台的遴选经验与平台在院校的保有量，兼顾办赛与参赛成本，赛项选择相对先进、通用性强、教学应用广泛的设备或软件，在满足赛项设计要求的前提下，优先选择低成本、高可靠且有相关成功办赛经验的竞赛平台。</w:t>
      </w:r>
    </w:p>
    <w:p>
      <w:pPr>
        <w:snapToGrid w:val="0"/>
        <w:spacing w:line="560" w:lineRule="exact"/>
        <w:ind w:firstLine="600" w:firstLineChars="200"/>
        <w:outlineLvl w:val="0"/>
        <w:rPr>
          <w:rFonts w:ascii="黑体" w:hAnsi="黑体" w:eastAsia="黑体" w:cs="黑体"/>
          <w:bCs/>
          <w:sz w:val="30"/>
          <w:szCs w:val="30"/>
        </w:rPr>
      </w:pPr>
      <w:bookmarkStart w:id="4" w:name="_Toc522022171"/>
      <w:r>
        <w:rPr>
          <w:rFonts w:hint="eastAsia" w:ascii="黑体" w:hAnsi="黑体" w:eastAsia="黑体" w:cs="黑体"/>
          <w:bCs/>
          <w:sz w:val="30"/>
          <w:szCs w:val="30"/>
        </w:rPr>
        <w:t>五、赛项方案的特色与创新点</w:t>
      </w:r>
      <w:bookmarkEnd w:id="4"/>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w:t>
      </w:r>
      <w:r>
        <w:rPr>
          <w:rFonts w:hint="eastAsia" w:ascii="Arial Narrow" w:hAnsi="Arial Narrow" w:eastAsia="仿宋_GB2312" w:cs="Arial"/>
          <w:sz w:val="30"/>
          <w:szCs w:val="30"/>
        </w:rPr>
        <w:tab/>
      </w:r>
      <w:r>
        <w:rPr>
          <w:rFonts w:hint="eastAsia" w:ascii="Arial Narrow" w:hAnsi="Arial Narrow" w:eastAsia="仿宋_GB2312" w:cs="Arial"/>
          <w:sz w:val="30"/>
          <w:szCs w:val="30"/>
        </w:rPr>
        <w:t>赛项技术先进完整</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以通信领域4G、Pre5G及NB-IoT最新通信技术为赛项主体，体现通信技术发展趋势，引领高职院校的通信专业建设和发展。该赛项所用的竞技平台从现网应用出发，采用符合企业和运营商实际组网模型，4G与Pre5G部分涵盖3个城市17个机房网络调试，将实际4G及Pre5G全网建设场景与工程任务融入竞技平台，达到等同于在现网中进行工程实训的效果，领先于传统仿真软件与现有实验室教学环境。NB-IoT部分涵盖1个城市多种业务场景，以协议规定模型为出发点，符合当前运营商网络业务模型特征。</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w:t>
      </w:r>
      <w:r>
        <w:rPr>
          <w:rFonts w:hint="eastAsia" w:ascii="Arial Narrow" w:hAnsi="Arial Narrow" w:eastAsia="仿宋_GB2312" w:cs="Arial"/>
          <w:sz w:val="30"/>
          <w:szCs w:val="30"/>
        </w:rPr>
        <w:tab/>
      </w:r>
      <w:r>
        <w:rPr>
          <w:rFonts w:hint="eastAsia" w:ascii="Arial Narrow" w:hAnsi="Arial Narrow" w:eastAsia="仿宋_GB2312" w:cs="Arial"/>
          <w:sz w:val="30"/>
          <w:szCs w:val="30"/>
        </w:rPr>
        <w:t>LTE TDD/FDD&amp;Pre5G及NB-IoT全网端到端系统创新</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 xml:space="preserve">竞赛内容涉及LTE &amp;Pre5G与NB-IoT全网端到端网络的规划与设备数据配置、工程施工、业务调试、例行维护、故障排查、网络优化等多个环节，弥补了传统实验组网规模的局限性，完全符合行业实际工作过程，覆盖网络规划、网络建设、网络优化等工程建设全阶段，满足通信网络工程设计公司、通信工程施工公司、网络优化公司、通信网络运营商等企业的岗位技能要求。 </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w:t>
      </w:r>
      <w:r>
        <w:rPr>
          <w:rFonts w:hint="eastAsia" w:ascii="Arial Narrow" w:hAnsi="Arial Narrow" w:eastAsia="仿宋_GB2312" w:cs="Arial"/>
          <w:sz w:val="30"/>
          <w:szCs w:val="30"/>
        </w:rPr>
        <w:tab/>
      </w:r>
      <w:r>
        <w:rPr>
          <w:rFonts w:hint="eastAsia" w:ascii="Arial Narrow" w:hAnsi="Arial Narrow" w:eastAsia="仿宋_GB2312" w:cs="Arial"/>
          <w:sz w:val="30"/>
          <w:szCs w:val="30"/>
        </w:rPr>
        <w:t>充分考察团队协作、成本意识等职业素养</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模拟真实场景，要求参赛队伍根据提供的项目背景，完成容量规划-设备配置-数据配置等一整套工作流程。要求两人组队协同竞技，分工合作，共同完成承载网与核心无线网两大部分，并协调对接，最终开通业务。赛项过程中除了要求参赛选手对竞技平台熟练操作外，更加注重考察队友之间的配合，培养团队协作意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赛项要求参赛选手完成LTE &amp;Pre5G及NB-IoT无线接入网、承载网及核心网的网络容量规划估算，估算结果用于指导设备配置，核算设备配置成本，培养学生成本意识等职业素养。</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w:t>
      </w:r>
      <w:r>
        <w:rPr>
          <w:rFonts w:hint="eastAsia" w:ascii="Arial Narrow" w:hAnsi="Arial Narrow" w:eastAsia="仿宋_GB2312" w:cs="Arial"/>
          <w:sz w:val="30"/>
          <w:szCs w:val="30"/>
        </w:rPr>
        <w:tab/>
      </w:r>
      <w:r>
        <w:rPr>
          <w:rFonts w:hint="eastAsia" w:ascii="Arial Narrow" w:hAnsi="Arial Narrow" w:eastAsia="仿宋_GB2312" w:cs="Arial"/>
          <w:sz w:val="30"/>
          <w:szCs w:val="30"/>
        </w:rPr>
        <w:t>实时过程监控，考核公平公正透明</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该赛项评分方法拟采用全客观评价。操作平台支持各参赛队数据的实时监控和自动评分，比赛过程数据全程记录可追溯，并且能够通过监控系统实时展示选手完成进度，不仅增加了比赛观赏性，更通过加强实时过程监控，保证比赛结果的客观公正。</w:t>
      </w:r>
    </w:p>
    <w:p>
      <w:pPr>
        <w:pStyle w:val="38"/>
      </w:pPr>
      <w:r>
        <w:rPr>
          <w:rFonts w:hint="eastAsia"/>
        </w:rPr>
        <w:drawing>
          <wp:inline distT="0" distB="0" distL="0" distR="0">
            <wp:extent cx="5274310" cy="2057400"/>
            <wp:effectExtent l="0" t="0" r="0" b="0"/>
            <wp:docPr id="14" name="图片 1" descr="监控台示范图1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监控台示范图1_看图王"/>
                    <pic:cNvPicPr>
                      <a:picLocks noChangeAspect="1" noChangeArrowheads="1"/>
                    </pic:cNvPicPr>
                  </pic:nvPicPr>
                  <pic:blipFill>
                    <a:blip r:embed="rId7" cstate="print">
                      <a:extLst>
                        <a:ext uri="{28A0092B-C50C-407E-A947-70E740481C1C}">
                          <a14:useLocalDpi xmlns:a14="http://schemas.microsoft.com/office/drawing/2010/main" val="0"/>
                        </a:ext>
                      </a:extLst>
                    </a:blip>
                    <a:srcRect t="15632"/>
                    <a:stretch>
                      <a:fillRect/>
                    </a:stretch>
                  </pic:blipFill>
                  <pic:spPr>
                    <a:xfrm>
                      <a:off x="0" y="0"/>
                      <a:ext cx="5274310" cy="2057400"/>
                    </a:xfrm>
                    <a:prstGeom prst="rect">
                      <a:avLst/>
                    </a:prstGeom>
                    <a:noFill/>
                    <a:ln w="9525">
                      <a:noFill/>
                      <a:miter lim="800000"/>
                      <a:headEnd/>
                      <a:tailEnd/>
                    </a:ln>
                  </pic:spPr>
                </pic:pic>
              </a:graphicData>
            </a:graphic>
          </wp:inline>
        </w:drawing>
      </w:r>
    </w:p>
    <w:p>
      <w:pPr>
        <w:pStyle w:val="7"/>
        <w:rPr>
          <w:rFonts w:ascii="黑体" w:hAnsi="黑体" w:cs="黑体"/>
          <w:bCs/>
        </w:rPr>
      </w:pPr>
      <w:r>
        <w:rPr>
          <w:rFonts w:hint="eastAsia"/>
        </w:rPr>
        <w:t xml:space="preserve">图 </w:t>
      </w:r>
      <w:r>
        <w:fldChar w:fldCharType="begin"/>
      </w:r>
      <w:r>
        <w:instrText xml:space="preserve"> </w:instrText>
      </w:r>
      <w:r>
        <w:rPr>
          <w:rFonts w:hint="eastAsia"/>
        </w:rPr>
        <w:instrText xml:space="preserve">SEQ 图表 \* ARABIC</w:instrText>
      </w:r>
      <w:r>
        <w:instrText xml:space="preserve"> </w:instrText>
      </w:r>
      <w:r>
        <w:fldChar w:fldCharType="separate"/>
      </w:r>
      <w:r>
        <w:t>3</w:t>
      </w:r>
      <w:r>
        <w:fldChar w:fldCharType="end"/>
      </w:r>
      <w:r>
        <w:rPr>
          <w:rFonts w:hint="eastAsia"/>
        </w:rPr>
        <w:t xml:space="preserve"> 竞赛实时监控台</w:t>
      </w:r>
    </w:p>
    <w:p>
      <w:pPr>
        <w:pStyle w:val="38"/>
      </w:pPr>
      <w:r>
        <w:rPr>
          <w:rFonts w:hint="eastAsia"/>
        </w:rPr>
        <w:t xml:space="preserve"> (五)该赛项竞赛平台具备良好的赛项资源转化基础：</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1.赛前为辅导教师团队开展技术交流活动，增强师资实力。</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2.通过团队竞赛，增强学生团队合作意识。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3.助力职业教育专业建设，推进工学结合，产教融合。</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4.该赛项竞赛平台具备良好的赛项资源转化基础：</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（1）大赛的资源转化成果，已用于全国近百所高职高专院校3000余名学生的日常教学、实训教学、毕业设计和课程设计，拥有较高普及率及广泛的实训教学应用基础。</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 xml:space="preserve">（2）伴随大赛的成功举办，已配套出版2本教材和2本实训手册，既可以用于高校计算机技术、通信技术等相关专业的教学，同时也适用于行业相关的工程技术人员，较好的实现了教学与实践的有效结合。 </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（3）经过大赛的积累，已成功转化配套多媒体教学视频十五套，共30小时，并逐年更新。</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（4）建设包括100余套试卷的试题库，既可用于日常教学的随堂练习、单元测试及综合测评，亦可应用于教学竞赛、社会培训等用途。</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5）为保证资源转化工作的有效落地，专家组定期邀请行业技术专家、高校资深老师、企业专家讲师举办线上公开课，主题涵盖行业热点技术分析、三网融合竞赛平台技术分享、教学方案实践分享等，连续三年举办六期暑期培训，10余个培训班次，参与的高校教师达500余人次，得到了高校教师的一致好评及认可。</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（6）赛项相关技术原理文档、配置使用手册及教学应用案例等教学资源定期由专家进行整理更新，并通过专门的学习论坛等渠道进行分享，打破学习壁垒，营造良好的学习氛围。</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(六)</w:t>
      </w:r>
      <w:r>
        <w:rPr>
          <w:rFonts w:hint="eastAsia" w:ascii="Arial Narrow" w:hAnsi="Arial Narrow" w:eastAsia="仿宋_GB2312" w:cs="Arial"/>
          <w:sz w:val="30"/>
          <w:szCs w:val="30"/>
        </w:rPr>
        <w:tab/>
      </w:r>
      <w:r>
        <w:rPr>
          <w:rFonts w:hint="eastAsia" w:ascii="Arial Narrow" w:hAnsi="Arial Narrow" w:eastAsia="仿宋_GB2312" w:cs="Arial"/>
          <w:sz w:val="30"/>
          <w:szCs w:val="30"/>
        </w:rPr>
        <w:t>提倡绿色低碳环保，参赛成本低</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竞赛平台引入先进的信息技术，竞赛组织过程简洁，竞赛结果自动评分，大幅度降低办赛与参赛成本，多方面体现高效、节能、绿色、低碳的环保理念。</w:t>
      </w:r>
    </w:p>
    <w:p>
      <w:pPr>
        <w:snapToGrid w:val="0"/>
        <w:spacing w:line="560" w:lineRule="exact"/>
        <w:ind w:firstLine="600" w:firstLineChars="200"/>
        <w:outlineLvl w:val="0"/>
        <w:rPr>
          <w:rFonts w:ascii="黑体" w:hAnsi="黑体" w:eastAsia="黑体" w:cs="黑体"/>
          <w:bCs/>
          <w:sz w:val="30"/>
          <w:szCs w:val="30"/>
        </w:rPr>
      </w:pPr>
      <w:bookmarkStart w:id="5" w:name="_Toc522022172"/>
      <w:r>
        <w:rPr>
          <w:rFonts w:hint="eastAsia" w:ascii="黑体" w:hAnsi="黑体" w:eastAsia="黑体" w:cs="黑体"/>
          <w:bCs/>
          <w:sz w:val="30"/>
          <w:szCs w:val="30"/>
        </w:rPr>
        <w:t>六、竞赛内容简介</w:t>
      </w:r>
      <w:bookmarkEnd w:id="5"/>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竞赛</w:t>
      </w:r>
      <w:r>
        <w:rPr>
          <w:rFonts w:hint="eastAsia" w:ascii="Arial Narrow" w:hAnsi="Arial Narrow" w:eastAsia="仿宋_GB2312" w:cs="Arial"/>
          <w:sz w:val="30"/>
          <w:szCs w:val="30"/>
        </w:rPr>
        <w:t xml:space="preserve">涵盖4G </w:t>
      </w:r>
      <w:r>
        <w:rPr>
          <w:rFonts w:ascii="Arial Narrow" w:hAnsi="Arial Narrow" w:eastAsia="仿宋_GB2312" w:cs="Arial"/>
          <w:sz w:val="30"/>
          <w:szCs w:val="30"/>
        </w:rPr>
        <w:t>LTE</w:t>
      </w:r>
      <w:r>
        <w:rPr>
          <w:rFonts w:hint="eastAsia" w:ascii="Arial Narrow" w:hAnsi="Arial Narrow" w:eastAsia="仿宋_GB2312" w:cs="Arial"/>
          <w:sz w:val="30"/>
          <w:szCs w:val="30"/>
        </w:rPr>
        <w:t>、Pre5G与NB-IoT</w:t>
      </w:r>
      <w:r>
        <w:rPr>
          <w:rFonts w:ascii="Arial Narrow" w:hAnsi="Arial Narrow" w:eastAsia="仿宋_GB2312" w:cs="Arial"/>
          <w:sz w:val="30"/>
          <w:szCs w:val="30"/>
        </w:rPr>
        <w:t>全网端到端的拓扑规划、容量规划、设备配置、数据配置以及业务调试等实际</w:t>
      </w:r>
      <w:r>
        <w:rPr>
          <w:rFonts w:hint="eastAsia" w:ascii="Arial Narrow" w:hAnsi="Arial Narrow" w:eastAsia="仿宋_GB2312" w:cs="Arial"/>
          <w:sz w:val="30"/>
          <w:szCs w:val="30"/>
        </w:rPr>
        <w:t>工作流程</w:t>
      </w:r>
      <w:r>
        <w:rPr>
          <w:rFonts w:ascii="Arial Narrow" w:hAnsi="Arial Narrow" w:eastAsia="仿宋_GB2312" w:cs="Arial"/>
          <w:sz w:val="30"/>
          <w:szCs w:val="30"/>
        </w:rPr>
        <w:t>，完全符合企业和运营商实际组网模型，充分满足</w:t>
      </w:r>
      <w:r>
        <w:rPr>
          <w:rFonts w:hint="eastAsia" w:ascii="Arial Narrow" w:hAnsi="Arial Narrow" w:eastAsia="仿宋_GB2312" w:cs="Arial"/>
          <w:sz w:val="30"/>
          <w:szCs w:val="30"/>
        </w:rPr>
        <w:t>电信网络</w:t>
      </w:r>
      <w:r>
        <w:rPr>
          <w:rFonts w:ascii="Arial Narrow" w:hAnsi="Arial Narrow" w:eastAsia="仿宋_GB2312" w:cs="Arial"/>
          <w:sz w:val="30"/>
          <w:szCs w:val="30"/>
        </w:rPr>
        <w:t>设计院、通信</w:t>
      </w:r>
      <w:r>
        <w:rPr>
          <w:rFonts w:hint="eastAsia" w:ascii="Arial Narrow" w:hAnsi="Arial Narrow" w:eastAsia="仿宋_GB2312" w:cs="Arial"/>
          <w:sz w:val="30"/>
          <w:szCs w:val="30"/>
        </w:rPr>
        <w:t>网络</w:t>
      </w:r>
      <w:r>
        <w:rPr>
          <w:rFonts w:ascii="Arial Narrow" w:hAnsi="Arial Narrow" w:eastAsia="仿宋_GB2312" w:cs="Arial"/>
          <w:sz w:val="30"/>
          <w:szCs w:val="30"/>
        </w:rPr>
        <w:t>设备</w:t>
      </w:r>
      <w:r>
        <w:rPr>
          <w:rFonts w:hint="eastAsia" w:ascii="Arial Narrow" w:hAnsi="Arial Narrow" w:eastAsia="仿宋_GB2312" w:cs="Arial"/>
          <w:sz w:val="30"/>
          <w:szCs w:val="30"/>
        </w:rPr>
        <w:t>供应</w:t>
      </w:r>
      <w:r>
        <w:rPr>
          <w:rFonts w:ascii="Arial Narrow" w:hAnsi="Arial Narrow" w:eastAsia="仿宋_GB2312" w:cs="Arial"/>
          <w:sz w:val="30"/>
          <w:szCs w:val="30"/>
        </w:rPr>
        <w:t>商、通信</w:t>
      </w:r>
      <w:r>
        <w:rPr>
          <w:rFonts w:hint="eastAsia" w:ascii="Arial Narrow" w:hAnsi="Arial Narrow" w:eastAsia="仿宋_GB2312" w:cs="Arial"/>
          <w:sz w:val="30"/>
          <w:szCs w:val="30"/>
        </w:rPr>
        <w:t>网络</w:t>
      </w:r>
      <w:r>
        <w:rPr>
          <w:rFonts w:ascii="Arial Narrow" w:hAnsi="Arial Narrow" w:eastAsia="仿宋_GB2312" w:cs="Arial"/>
          <w:sz w:val="30"/>
          <w:szCs w:val="30"/>
        </w:rPr>
        <w:t>工程公司、电信运营商等主要通信企业多种岗位的技能要求，</w:t>
      </w:r>
      <w:r>
        <w:rPr>
          <w:rFonts w:hint="eastAsia" w:ascii="Arial Narrow" w:hAnsi="Arial Narrow" w:eastAsia="仿宋_GB2312" w:cs="Arial"/>
          <w:sz w:val="30"/>
          <w:szCs w:val="30"/>
        </w:rPr>
        <w:t>竞赛内容与考察技能的对应关系，如表1所示</w:t>
      </w:r>
      <w:r>
        <w:rPr>
          <w:rFonts w:ascii="Arial Narrow" w:hAnsi="Arial Narrow" w:eastAsia="仿宋_GB2312" w:cs="Arial"/>
          <w:sz w:val="30"/>
          <w:szCs w:val="30"/>
        </w:rPr>
        <w:t>。</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 xml:space="preserve">This competition can realize the actual overall </w:t>
      </w:r>
      <w:r>
        <w:rPr>
          <w:rFonts w:hint="eastAsia" w:ascii="Arial Narrow" w:hAnsi="Arial Narrow" w:eastAsia="仿宋_GB2312" w:cs="Arial"/>
          <w:sz w:val="30"/>
          <w:szCs w:val="30"/>
        </w:rPr>
        <w:t>end</w:t>
      </w:r>
      <w:r>
        <w:rPr>
          <w:rFonts w:ascii="Arial Narrow" w:hAnsi="Arial Narrow" w:eastAsia="仿宋_GB2312" w:cs="Arial"/>
          <w:sz w:val="30"/>
          <w:szCs w:val="30"/>
        </w:rPr>
        <w:t xml:space="preserve"> to </w:t>
      </w:r>
      <w:r>
        <w:rPr>
          <w:rFonts w:hint="eastAsia" w:ascii="Arial Narrow" w:hAnsi="Arial Narrow" w:eastAsia="仿宋_GB2312" w:cs="Arial"/>
          <w:sz w:val="30"/>
          <w:szCs w:val="30"/>
        </w:rPr>
        <w:t>end 4G</w:t>
      </w:r>
      <w:r>
        <w:rPr>
          <w:rFonts w:ascii="Arial Narrow" w:hAnsi="Arial Narrow" w:eastAsia="仿宋_GB2312" w:cs="Arial"/>
          <w:sz w:val="30"/>
          <w:szCs w:val="30"/>
        </w:rPr>
        <w:t xml:space="preserve"> LTE</w:t>
      </w:r>
      <w:r>
        <w:rPr>
          <w:rFonts w:hint="eastAsia" w:ascii="Arial Narrow" w:hAnsi="Arial Narrow" w:eastAsia="仿宋_GB2312" w:cs="Arial"/>
          <w:sz w:val="30"/>
          <w:szCs w:val="30"/>
        </w:rPr>
        <w:t>、Pre5G</w:t>
      </w:r>
      <w:r>
        <w:rPr>
          <w:rFonts w:ascii="Arial Narrow" w:hAnsi="Arial Narrow" w:eastAsia="仿宋_GB2312" w:cs="Arial"/>
          <w:sz w:val="30"/>
          <w:szCs w:val="30"/>
        </w:rPr>
        <w:t xml:space="preserve"> </w:t>
      </w:r>
      <w:r>
        <w:rPr>
          <w:rFonts w:hint="eastAsia" w:ascii="Arial Narrow" w:hAnsi="Arial Narrow" w:eastAsia="仿宋_GB2312" w:cs="Arial"/>
          <w:sz w:val="30"/>
          <w:szCs w:val="30"/>
        </w:rPr>
        <w:t xml:space="preserve">and NB-IoT </w:t>
      </w:r>
      <w:r>
        <w:rPr>
          <w:rFonts w:ascii="Arial Narrow" w:hAnsi="Arial Narrow" w:eastAsia="仿宋_GB2312" w:cs="Arial"/>
          <w:sz w:val="30"/>
          <w:szCs w:val="30"/>
        </w:rPr>
        <w:t xml:space="preserve">network applications such as topology planning, capacity planning, equipment </w:t>
      </w:r>
      <w:r>
        <w:rPr>
          <w:rFonts w:hint="eastAsia" w:ascii="Arial Narrow" w:hAnsi="Arial Narrow" w:eastAsia="仿宋_GB2312" w:cs="Arial"/>
          <w:sz w:val="30"/>
          <w:szCs w:val="30"/>
        </w:rPr>
        <w:t>deployment</w:t>
      </w:r>
      <w:r>
        <w:rPr>
          <w:rFonts w:ascii="Arial Narrow" w:hAnsi="Arial Narrow" w:eastAsia="仿宋_GB2312" w:cs="Arial"/>
          <w:sz w:val="30"/>
          <w:szCs w:val="30"/>
        </w:rPr>
        <w:t xml:space="preserve">, data configuration and business debugging. Based on the present network, Competitions completely conform to the actual </w:t>
      </w:r>
      <w:r>
        <w:rPr>
          <w:rFonts w:hint="eastAsia" w:ascii="Arial Narrow" w:hAnsi="Arial Narrow" w:eastAsia="仿宋_GB2312" w:cs="Arial"/>
          <w:sz w:val="30"/>
          <w:szCs w:val="30"/>
        </w:rPr>
        <w:t>working flow</w:t>
      </w:r>
      <w:r>
        <w:rPr>
          <w:rFonts w:ascii="Arial Narrow" w:hAnsi="Arial Narrow" w:eastAsia="仿宋_GB2312" w:cs="Arial"/>
          <w:sz w:val="30"/>
          <w:szCs w:val="30"/>
        </w:rPr>
        <w:t xml:space="preserve"> which is formed by enterprises and operators and </w:t>
      </w:r>
      <w:r>
        <w:rPr>
          <w:rFonts w:hint="eastAsia" w:ascii="Arial Narrow" w:hAnsi="Arial Narrow" w:eastAsia="仿宋_GB2312" w:cs="Arial"/>
          <w:sz w:val="30"/>
          <w:szCs w:val="30"/>
        </w:rPr>
        <w:t>match</w:t>
      </w:r>
      <w:r>
        <w:rPr>
          <w:rFonts w:ascii="Arial Narrow" w:hAnsi="Arial Narrow" w:eastAsia="仿宋_GB2312" w:cs="Arial"/>
          <w:sz w:val="30"/>
          <w:szCs w:val="30"/>
        </w:rPr>
        <w:t xml:space="preserve"> a variety of job skills which are required in the</w:t>
      </w:r>
      <w:r>
        <w:rPr>
          <w:rFonts w:hint="eastAsia" w:ascii="Arial Narrow" w:hAnsi="Arial Narrow" w:eastAsia="仿宋_GB2312" w:cs="Arial"/>
          <w:sz w:val="30"/>
          <w:szCs w:val="30"/>
        </w:rPr>
        <w:t xml:space="preserve"> </w:t>
      </w:r>
      <w:r>
        <w:rPr>
          <w:rFonts w:ascii="Arial Narrow" w:hAnsi="Arial Narrow" w:eastAsia="仿宋_GB2312" w:cs="Arial"/>
          <w:sz w:val="30"/>
          <w:szCs w:val="30"/>
        </w:rPr>
        <w:t xml:space="preserve">designing institute of posts and telecommunications, </w:t>
      </w:r>
      <w:r>
        <w:rPr>
          <w:rFonts w:hint="eastAsia" w:ascii="Arial Narrow" w:hAnsi="Arial Narrow" w:eastAsia="仿宋_GB2312" w:cs="Arial"/>
          <w:sz w:val="30"/>
          <w:szCs w:val="30"/>
        </w:rPr>
        <w:t>tele</w:t>
      </w:r>
      <w:r>
        <w:rPr>
          <w:rFonts w:ascii="Arial Narrow" w:hAnsi="Arial Narrow" w:eastAsia="仿宋_GB2312" w:cs="Arial"/>
          <w:sz w:val="30"/>
          <w:szCs w:val="30"/>
        </w:rPr>
        <w:t xml:space="preserve">communication equipment </w:t>
      </w:r>
      <w:r>
        <w:rPr>
          <w:rFonts w:hint="eastAsia" w:ascii="Arial Narrow" w:hAnsi="Arial Narrow" w:eastAsia="仿宋_GB2312" w:cs="Arial"/>
          <w:sz w:val="30"/>
          <w:szCs w:val="30"/>
        </w:rPr>
        <w:t>vendors</w:t>
      </w:r>
      <w:r>
        <w:rPr>
          <w:rFonts w:ascii="Arial Narrow" w:hAnsi="Arial Narrow" w:eastAsia="仿宋_GB2312" w:cs="Arial"/>
          <w:sz w:val="30"/>
          <w:szCs w:val="30"/>
        </w:rPr>
        <w:t xml:space="preserve">, </w:t>
      </w:r>
      <w:r>
        <w:rPr>
          <w:rFonts w:hint="eastAsia" w:ascii="Arial Narrow" w:hAnsi="Arial Narrow" w:eastAsia="仿宋_GB2312" w:cs="Arial"/>
          <w:sz w:val="30"/>
          <w:szCs w:val="30"/>
        </w:rPr>
        <w:t>tele</w:t>
      </w:r>
      <w:r>
        <w:rPr>
          <w:rFonts w:ascii="Arial Narrow" w:hAnsi="Arial Narrow" w:eastAsia="仿宋_GB2312" w:cs="Arial"/>
          <w:sz w:val="30"/>
          <w:szCs w:val="30"/>
        </w:rPr>
        <w:t xml:space="preserve">communication engineering companies, telecom operators and other main </w:t>
      </w:r>
      <w:r>
        <w:rPr>
          <w:rFonts w:hint="eastAsia" w:ascii="Arial Narrow" w:hAnsi="Arial Narrow" w:eastAsia="仿宋_GB2312" w:cs="Arial"/>
          <w:sz w:val="30"/>
          <w:szCs w:val="30"/>
        </w:rPr>
        <w:t>tele</w:t>
      </w:r>
      <w:r>
        <w:rPr>
          <w:rFonts w:ascii="Arial Narrow" w:hAnsi="Arial Narrow" w:eastAsia="仿宋_GB2312" w:cs="Arial"/>
          <w:sz w:val="30"/>
          <w:szCs w:val="30"/>
        </w:rPr>
        <w:t>communication enterprises.</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赛项的设计体现先进的移动通信技术，面向岗位技能、突出技术应用、引领教学改革。促进工学结合人才培养模式的改革与创新，培养满足企业需求的高级技能人才。</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 xml:space="preserve">The design of competition projects reflects the advanced mobile technology. It is designed for job skills, technology and leads the teaching reform. The competitions can promote the reform and innovation of talents' training mode of the combination between work and study. In addition, competitions can develop high-skilled talents who can satisfy enterprises' requirements.  </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通过竞技内容考察学生调试能力、工程实施能力，还可以充分锻炼操作者团队协作能力、计划组织能力、职业素养、交流沟通能力、效率成本及安全意识。</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Through competitive contents, students can be examined the ability of debugging and implementing projects. In addition the operator also can fully be trained to get the ability of team cooperation, the ability to plan and organize, professional quality, capacity in communication and negotiation and awareness of efficiency, cost and security.</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项内容包含4G&amp;Pre5G和NB-IoT两大部分，其中4G&amp;Pre5G部分要求选手以真实网络结构为依据，从网络拓扑规划出发，在完成拓扑设计后分别对覆盖于容量进行理论计算，协助学生掌握链路预算、业务速率计算方式及理解相关参数定义。此外，根据网络拓扑配置，合理地进行设备选配、机房连接亦可加深学生的硬件认知及对网络架构的理解能力。设备配置完成后，依据现网实际无线网、核心网、承载网的关键参数配置标准完成相关4G与Pre5G站点小区参数配置，在正确的参数配置前提下，业务调试部分可进行常规LTE性能测试、Pre5G新技术测试、网络链路测试等。竞赛内容涵盖当前主流的LTE&amp;Pre5G网络的系统化部署过程，考察学生从规划到建设到优化的全流程网络建设与业务调试过程。</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NB-IoT部分以窄带物联网网络结构为原型，以网络拓扑设计为出发点，平行开展网络覆盖与容量规划，要求学生掌握链路预算、信道容量计算方式及相关参数定义。在网络拓扑配置的基础上，合理地进行设备选配、线缆连接可加深学生对NB-IoT相关硬件认知及对网络架构的理解能力。设备配置完成后，依据NB-IoT商用网络实际无线网、核心网、承载网的关键参数配置标准完成站点小区参数配置，在正确的参数配置前提下，业务调试部分可进行NB-IoT基础业务调试网络链路测试等。此外，当前序任务完成情况下，物联网管理平台为学生提供了丰富的物联网终端管理方式，可对当前主流物联网设备进行管理，直观地表现出不同终端的业务特征。</w:t>
      </w:r>
    </w:p>
    <w:p>
      <w:pPr>
        <w:pStyle w:val="7"/>
      </w:pPr>
      <w:r>
        <w:t xml:space="preserve">表1 </w:t>
      </w:r>
      <w:r>
        <w:rPr>
          <w:rFonts w:hint="eastAsia"/>
        </w:rPr>
        <w:t>4G</w:t>
      </w:r>
      <w:r>
        <w:t>竞赛内容与核心技能对应表</w:t>
      </w:r>
    </w:p>
    <w:tbl>
      <w:tblPr>
        <w:tblStyle w:val="2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611"/>
        <w:gridCol w:w="2016"/>
        <w:gridCol w:w="3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tcPr>
          <w:p>
            <w:pPr>
              <w:adjustRightInd w:val="0"/>
              <w:snapToGrid w:val="0"/>
              <w:spacing w:line="560" w:lineRule="exact"/>
              <w:jc w:val="center"/>
              <w:rPr>
                <w:rFonts w:ascii="仿宋" w:hAnsi="仿宋" w:eastAsia="仿宋"/>
                <w:b/>
                <w:sz w:val="24"/>
                <w:szCs w:val="24"/>
              </w:rPr>
            </w:pPr>
            <w:r>
              <w:rPr>
                <w:rFonts w:hint="eastAsia" w:ascii="仿宋" w:hAnsi="仿宋" w:eastAsia="仿宋"/>
                <w:b/>
                <w:sz w:val="24"/>
                <w:szCs w:val="24"/>
              </w:rPr>
              <w:t>比赛阶段</w:t>
            </w:r>
          </w:p>
        </w:tc>
        <w:tc>
          <w:tcPr>
            <w:tcW w:w="1611" w:type="dxa"/>
          </w:tcPr>
          <w:p>
            <w:pPr>
              <w:adjustRightInd w:val="0"/>
              <w:snapToGrid w:val="0"/>
              <w:spacing w:line="560" w:lineRule="exact"/>
              <w:jc w:val="center"/>
              <w:rPr>
                <w:rFonts w:ascii="仿宋" w:hAnsi="仿宋" w:eastAsia="仿宋"/>
                <w:b/>
                <w:sz w:val="24"/>
                <w:szCs w:val="24"/>
              </w:rPr>
            </w:pPr>
            <w:r>
              <w:rPr>
                <w:rFonts w:ascii="仿宋" w:hAnsi="仿宋" w:eastAsia="仿宋"/>
                <w:b/>
                <w:sz w:val="24"/>
                <w:szCs w:val="24"/>
              </w:rPr>
              <w:t>比赛内容</w:t>
            </w:r>
          </w:p>
        </w:tc>
        <w:tc>
          <w:tcPr>
            <w:tcW w:w="2016" w:type="dxa"/>
          </w:tcPr>
          <w:p>
            <w:pPr>
              <w:adjustRightInd w:val="0"/>
              <w:snapToGrid w:val="0"/>
              <w:spacing w:line="560" w:lineRule="exact"/>
              <w:jc w:val="center"/>
              <w:rPr>
                <w:rFonts w:ascii="仿宋" w:hAnsi="仿宋" w:eastAsia="仿宋"/>
                <w:b/>
                <w:sz w:val="24"/>
                <w:szCs w:val="24"/>
              </w:rPr>
            </w:pPr>
            <w:r>
              <w:rPr>
                <w:rFonts w:ascii="仿宋" w:hAnsi="仿宋" w:eastAsia="仿宋"/>
                <w:b/>
                <w:sz w:val="24"/>
                <w:szCs w:val="24"/>
              </w:rPr>
              <w:t>核心技能</w:t>
            </w:r>
          </w:p>
        </w:tc>
        <w:tc>
          <w:tcPr>
            <w:tcW w:w="3511" w:type="dxa"/>
          </w:tcPr>
          <w:p>
            <w:pPr>
              <w:adjustRightInd w:val="0"/>
              <w:snapToGrid w:val="0"/>
              <w:spacing w:line="560" w:lineRule="exact"/>
              <w:jc w:val="center"/>
              <w:rPr>
                <w:rFonts w:ascii="仿宋" w:hAnsi="仿宋" w:eastAsia="仿宋"/>
                <w:b/>
                <w:sz w:val="24"/>
                <w:szCs w:val="24"/>
              </w:rPr>
            </w:pPr>
            <w:r>
              <w:rPr>
                <w:rFonts w:hint="eastAsia" w:ascii="仿宋" w:hAnsi="仿宋" w:eastAsia="仿宋"/>
                <w:b/>
                <w:sz w:val="24"/>
                <w:szCs w:val="24"/>
              </w:rPr>
              <w:t>理论知识点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4"/>
          </w:tcPr>
          <w:p>
            <w:pPr>
              <w:adjustRightInd w:val="0"/>
              <w:snapToGrid w:val="0"/>
              <w:spacing w:line="560" w:lineRule="exact"/>
              <w:jc w:val="center"/>
              <w:rPr>
                <w:rFonts w:ascii="仿宋" w:hAnsi="仿宋" w:eastAsia="仿宋"/>
                <w:b/>
                <w:sz w:val="24"/>
                <w:szCs w:val="24"/>
              </w:rPr>
            </w:pPr>
            <w:r>
              <w:rPr>
                <w:rFonts w:hint="eastAsia" w:ascii="仿宋" w:hAnsi="仿宋" w:eastAsia="仿宋"/>
                <w:b/>
                <w:sz w:val="24"/>
                <w:szCs w:val="24"/>
              </w:rPr>
              <w:t>第一部分：LTE与P</w:t>
            </w:r>
            <w:r>
              <w:rPr>
                <w:rFonts w:ascii="仿宋" w:hAnsi="仿宋" w:eastAsia="仿宋"/>
                <w:b/>
                <w:sz w:val="24"/>
                <w:szCs w:val="24"/>
              </w:rPr>
              <w:t>re5G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restart"/>
          </w:tcPr>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第一阶段</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First stage</w:t>
            </w:r>
          </w:p>
        </w:tc>
        <w:tc>
          <w:tcPr>
            <w:tcW w:w="1611" w:type="dxa"/>
            <w:vMerge w:val="restart"/>
          </w:tcPr>
          <w:p>
            <w:pPr>
              <w:adjustRightInd w:val="0"/>
              <w:snapToGrid w:val="0"/>
              <w:spacing w:line="560" w:lineRule="exact"/>
              <w:jc w:val="center"/>
              <w:rPr>
                <w:rFonts w:ascii="仿宋" w:hAnsi="仿宋" w:eastAsia="仿宋"/>
                <w:sz w:val="24"/>
                <w:szCs w:val="24"/>
              </w:rPr>
            </w:pPr>
            <w:r>
              <w:rPr>
                <w:rFonts w:ascii="仿宋" w:hAnsi="仿宋" w:eastAsia="仿宋"/>
                <w:sz w:val="24"/>
                <w:szCs w:val="24"/>
              </w:rPr>
              <w:t>LTE网络搭建</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LTE Network Establishment</w:t>
            </w:r>
          </w:p>
        </w:tc>
        <w:tc>
          <w:tcPr>
            <w:tcW w:w="2016" w:type="dxa"/>
          </w:tcPr>
          <w:p>
            <w:pPr>
              <w:adjustRightInd w:val="0"/>
              <w:snapToGrid w:val="0"/>
              <w:spacing w:line="560" w:lineRule="exact"/>
              <w:jc w:val="center"/>
              <w:rPr>
                <w:rFonts w:ascii="仿宋" w:hAnsi="仿宋" w:eastAsia="仿宋"/>
                <w:sz w:val="24"/>
                <w:szCs w:val="24"/>
              </w:rPr>
            </w:pPr>
            <w:r>
              <w:rPr>
                <w:rFonts w:ascii="仿宋" w:hAnsi="仿宋" w:eastAsia="仿宋"/>
                <w:sz w:val="24"/>
                <w:szCs w:val="24"/>
              </w:rPr>
              <w:t>组网设计</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Network design</w:t>
            </w:r>
          </w:p>
        </w:tc>
        <w:tc>
          <w:tcPr>
            <w:tcW w:w="3511" w:type="dxa"/>
          </w:tcPr>
          <w:p>
            <w:pPr>
              <w:adjustRightInd w:val="0"/>
              <w:snapToGrid w:val="0"/>
              <w:jc w:val="center"/>
              <w:rPr>
                <w:rFonts w:ascii="仿宋" w:hAnsi="仿宋" w:eastAsia="仿宋"/>
                <w:sz w:val="24"/>
                <w:szCs w:val="24"/>
              </w:rPr>
            </w:pPr>
            <w:r>
              <w:rPr>
                <w:rFonts w:hint="eastAsia" w:ascii="仿宋" w:hAnsi="仿宋" w:eastAsia="仿宋"/>
                <w:sz w:val="24"/>
                <w:szCs w:val="24"/>
              </w:rPr>
              <w:t>移动通信网络系统架构</w:t>
            </w:r>
          </w:p>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Mobile Telecommunication Networks</w:t>
            </w:r>
            <w:r>
              <w:rPr>
                <w:rFonts w:ascii="仿宋" w:hAnsi="仿宋" w:eastAsia="仿宋"/>
                <w:sz w:val="24"/>
                <w:szCs w:val="24"/>
              </w:rPr>
              <w:t xml:space="preserve"> system architecture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tcPr>
          <w:p>
            <w:pPr>
              <w:adjustRightInd w:val="0"/>
              <w:snapToGrid w:val="0"/>
              <w:spacing w:line="560" w:lineRule="exact"/>
              <w:jc w:val="center"/>
              <w:rPr>
                <w:rFonts w:ascii="仿宋" w:hAnsi="仿宋" w:eastAsia="仿宋"/>
                <w:sz w:val="24"/>
                <w:szCs w:val="24"/>
              </w:rPr>
            </w:pPr>
          </w:p>
        </w:tc>
        <w:tc>
          <w:tcPr>
            <w:tcW w:w="1611" w:type="dxa"/>
            <w:vMerge w:val="continue"/>
          </w:tcPr>
          <w:p>
            <w:pPr>
              <w:adjustRightInd w:val="0"/>
              <w:snapToGrid w:val="0"/>
              <w:spacing w:line="560" w:lineRule="exact"/>
              <w:jc w:val="center"/>
              <w:rPr>
                <w:rFonts w:ascii="仿宋" w:hAnsi="仿宋" w:eastAsia="仿宋"/>
                <w:sz w:val="24"/>
                <w:szCs w:val="24"/>
              </w:rPr>
            </w:pPr>
          </w:p>
        </w:tc>
        <w:tc>
          <w:tcPr>
            <w:tcW w:w="2016" w:type="dxa"/>
          </w:tcPr>
          <w:p>
            <w:pPr>
              <w:adjustRightInd w:val="0"/>
              <w:snapToGrid w:val="0"/>
              <w:spacing w:line="560" w:lineRule="exact"/>
              <w:jc w:val="center"/>
              <w:rPr>
                <w:rFonts w:ascii="仿宋" w:hAnsi="仿宋" w:eastAsia="仿宋"/>
                <w:sz w:val="24"/>
                <w:szCs w:val="24"/>
              </w:rPr>
            </w:pPr>
            <w:r>
              <w:rPr>
                <w:rFonts w:ascii="仿宋" w:hAnsi="仿宋" w:eastAsia="仿宋"/>
                <w:sz w:val="24"/>
                <w:szCs w:val="24"/>
              </w:rPr>
              <w:t>业务开通</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Service fulfillment</w:t>
            </w:r>
          </w:p>
        </w:tc>
        <w:tc>
          <w:tcPr>
            <w:tcW w:w="3511" w:type="dxa"/>
          </w:tcPr>
          <w:p>
            <w:pPr>
              <w:adjustRightInd w:val="0"/>
              <w:snapToGrid w:val="0"/>
              <w:jc w:val="center"/>
              <w:rPr>
                <w:rFonts w:ascii="仿宋" w:hAnsi="仿宋" w:eastAsia="仿宋"/>
                <w:sz w:val="24"/>
                <w:szCs w:val="24"/>
              </w:rPr>
            </w:pPr>
            <w:r>
              <w:rPr>
                <w:rFonts w:ascii="仿宋" w:hAnsi="仿宋" w:eastAsia="仿宋"/>
                <w:sz w:val="24"/>
                <w:szCs w:val="24"/>
              </w:rPr>
              <w:t>LTE与Pre5G业务特性及移动网络入网要求</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The business features and the entering</w:t>
            </w:r>
            <w:r>
              <w:rPr>
                <w:rFonts w:eastAsia="仿宋" w:cs="Calibri"/>
                <w:sz w:val="24"/>
                <w:szCs w:val="24"/>
              </w:rPr>
              <w:t> </w:t>
            </w:r>
            <w:r>
              <w:rPr>
                <w:rFonts w:ascii="仿宋" w:hAnsi="仿宋" w:eastAsia="仿宋"/>
                <w:sz w:val="24"/>
                <w:szCs w:val="24"/>
              </w:rPr>
              <w:t>the</w:t>
            </w:r>
            <w:r>
              <w:rPr>
                <w:rFonts w:eastAsia="仿宋" w:cs="Calibri"/>
                <w:sz w:val="24"/>
                <w:szCs w:val="24"/>
              </w:rPr>
              <w:t> </w:t>
            </w:r>
            <w:r>
              <w:rPr>
                <w:rFonts w:ascii="仿宋" w:hAnsi="仿宋" w:eastAsia="仿宋"/>
                <w:sz w:val="24"/>
                <w:szCs w:val="24"/>
              </w:rPr>
              <w:t xml:space="preserve">network requirement of </w:t>
            </w:r>
            <w:r>
              <w:rPr>
                <w:rFonts w:eastAsia="仿宋" w:cs="Calibri"/>
                <w:sz w:val="24"/>
                <w:szCs w:val="24"/>
              </w:rPr>
              <w:t> </w:t>
            </w:r>
            <w:r>
              <w:rPr>
                <w:rFonts w:ascii="仿宋" w:hAnsi="仿宋" w:eastAsia="仿宋"/>
                <w:sz w:val="24"/>
                <w:szCs w:val="24"/>
              </w:rPr>
              <w:t xml:space="preserve">LTE and Pre5G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restart"/>
          </w:tcPr>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第二阶段</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Second stage</w:t>
            </w:r>
          </w:p>
        </w:tc>
        <w:tc>
          <w:tcPr>
            <w:tcW w:w="1611" w:type="dxa"/>
            <w:vMerge w:val="restart"/>
          </w:tcPr>
          <w:p>
            <w:pPr>
              <w:adjustRightInd w:val="0"/>
              <w:snapToGrid w:val="0"/>
              <w:spacing w:line="560" w:lineRule="exact"/>
              <w:jc w:val="center"/>
              <w:rPr>
                <w:rFonts w:ascii="仿宋" w:hAnsi="仿宋" w:eastAsia="仿宋"/>
                <w:sz w:val="24"/>
                <w:szCs w:val="24"/>
              </w:rPr>
            </w:pPr>
            <w:r>
              <w:rPr>
                <w:rFonts w:ascii="仿宋" w:hAnsi="仿宋" w:eastAsia="仿宋"/>
                <w:sz w:val="24"/>
                <w:szCs w:val="24"/>
              </w:rPr>
              <w:t>LTE网络部署与优化</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LTE Network deployment and optimization</w:t>
            </w:r>
          </w:p>
        </w:tc>
        <w:tc>
          <w:tcPr>
            <w:tcW w:w="2016" w:type="dxa"/>
          </w:tcPr>
          <w:p>
            <w:pPr>
              <w:adjustRightInd w:val="0"/>
              <w:snapToGrid w:val="0"/>
              <w:spacing w:line="560" w:lineRule="exact"/>
              <w:jc w:val="center"/>
              <w:rPr>
                <w:rFonts w:ascii="仿宋" w:hAnsi="仿宋" w:eastAsia="仿宋"/>
                <w:sz w:val="24"/>
                <w:szCs w:val="24"/>
              </w:rPr>
            </w:pPr>
            <w:r>
              <w:rPr>
                <w:rFonts w:ascii="仿宋" w:hAnsi="仿宋" w:eastAsia="仿宋"/>
                <w:sz w:val="24"/>
                <w:szCs w:val="24"/>
              </w:rPr>
              <w:t>网络规划</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Network planning</w:t>
            </w:r>
          </w:p>
        </w:tc>
        <w:tc>
          <w:tcPr>
            <w:tcW w:w="3511" w:type="dxa"/>
          </w:tcPr>
          <w:p>
            <w:pPr>
              <w:adjustRightInd w:val="0"/>
              <w:snapToGrid w:val="0"/>
              <w:jc w:val="center"/>
              <w:rPr>
                <w:rFonts w:ascii="仿宋" w:hAnsi="仿宋" w:eastAsia="仿宋"/>
                <w:sz w:val="24"/>
                <w:szCs w:val="24"/>
              </w:rPr>
            </w:pPr>
            <w:r>
              <w:rPr>
                <w:rFonts w:hint="eastAsia" w:ascii="仿宋" w:hAnsi="仿宋" w:eastAsia="仿宋"/>
                <w:sz w:val="24"/>
                <w:szCs w:val="24"/>
              </w:rPr>
              <w:t>链路预算，业务速率计算，蜂窝小区组网模型</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Link budget,Rate calculation and cellular networks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tcPr>
          <w:p>
            <w:pPr>
              <w:adjustRightInd w:val="0"/>
              <w:snapToGrid w:val="0"/>
              <w:spacing w:line="560" w:lineRule="exact"/>
              <w:jc w:val="center"/>
              <w:rPr>
                <w:rFonts w:ascii="仿宋" w:hAnsi="仿宋" w:eastAsia="仿宋"/>
                <w:sz w:val="24"/>
                <w:szCs w:val="24"/>
              </w:rPr>
            </w:pPr>
          </w:p>
        </w:tc>
        <w:tc>
          <w:tcPr>
            <w:tcW w:w="1611" w:type="dxa"/>
            <w:vMerge w:val="continue"/>
          </w:tcPr>
          <w:p>
            <w:pPr>
              <w:adjustRightInd w:val="0"/>
              <w:snapToGrid w:val="0"/>
              <w:spacing w:line="560" w:lineRule="exact"/>
              <w:jc w:val="center"/>
              <w:rPr>
                <w:rFonts w:ascii="仿宋" w:hAnsi="仿宋" w:eastAsia="仿宋"/>
                <w:sz w:val="24"/>
                <w:szCs w:val="24"/>
              </w:rPr>
            </w:pPr>
          </w:p>
        </w:tc>
        <w:tc>
          <w:tcPr>
            <w:tcW w:w="2016" w:type="dxa"/>
          </w:tcPr>
          <w:p>
            <w:pPr>
              <w:adjustRightInd w:val="0"/>
              <w:snapToGrid w:val="0"/>
              <w:spacing w:line="560" w:lineRule="exact"/>
              <w:jc w:val="center"/>
              <w:rPr>
                <w:rFonts w:ascii="仿宋" w:hAnsi="仿宋" w:eastAsia="仿宋"/>
                <w:sz w:val="24"/>
                <w:szCs w:val="24"/>
              </w:rPr>
            </w:pPr>
            <w:r>
              <w:rPr>
                <w:rFonts w:ascii="仿宋" w:hAnsi="仿宋" w:eastAsia="仿宋"/>
                <w:sz w:val="24"/>
                <w:szCs w:val="24"/>
              </w:rPr>
              <w:t>设备安装和连接</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Equipment installation and interconnection</w:t>
            </w:r>
          </w:p>
        </w:tc>
        <w:tc>
          <w:tcPr>
            <w:tcW w:w="3511" w:type="dxa"/>
          </w:tcPr>
          <w:p>
            <w:pPr>
              <w:adjustRightInd w:val="0"/>
              <w:snapToGrid w:val="0"/>
              <w:jc w:val="center"/>
              <w:rPr>
                <w:rFonts w:ascii="仿宋" w:hAnsi="仿宋" w:eastAsia="仿宋"/>
                <w:sz w:val="24"/>
                <w:szCs w:val="24"/>
              </w:rPr>
            </w:pPr>
            <w:r>
              <w:rPr>
                <w:rFonts w:hint="eastAsia" w:ascii="仿宋" w:hAnsi="仿宋" w:eastAsia="仿宋"/>
                <w:sz w:val="24"/>
                <w:szCs w:val="24"/>
              </w:rPr>
              <w:t>天线、</w:t>
            </w:r>
            <w:r>
              <w:rPr>
                <w:rFonts w:ascii="仿宋" w:hAnsi="仿宋" w:eastAsia="仿宋"/>
                <w:sz w:val="24"/>
                <w:szCs w:val="24"/>
              </w:rPr>
              <w:t>RRU、BBU等设备工作原理与连线，工程施工规范</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The work of antenna、RRU and BBU etc,Code for engineering construction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tcPr>
          <w:p>
            <w:pPr>
              <w:adjustRightInd w:val="0"/>
              <w:snapToGrid w:val="0"/>
              <w:spacing w:line="560" w:lineRule="exact"/>
              <w:jc w:val="center"/>
              <w:rPr>
                <w:rFonts w:ascii="仿宋" w:hAnsi="仿宋" w:eastAsia="仿宋"/>
                <w:sz w:val="24"/>
                <w:szCs w:val="24"/>
              </w:rPr>
            </w:pPr>
          </w:p>
        </w:tc>
        <w:tc>
          <w:tcPr>
            <w:tcW w:w="1611" w:type="dxa"/>
            <w:vMerge w:val="continue"/>
          </w:tcPr>
          <w:p>
            <w:pPr>
              <w:adjustRightInd w:val="0"/>
              <w:snapToGrid w:val="0"/>
              <w:spacing w:line="560" w:lineRule="exact"/>
              <w:jc w:val="center"/>
              <w:rPr>
                <w:rFonts w:ascii="仿宋" w:hAnsi="仿宋" w:eastAsia="仿宋"/>
                <w:sz w:val="24"/>
                <w:szCs w:val="24"/>
              </w:rPr>
            </w:pPr>
          </w:p>
        </w:tc>
        <w:tc>
          <w:tcPr>
            <w:tcW w:w="2016" w:type="dxa"/>
          </w:tcPr>
          <w:p>
            <w:pPr>
              <w:adjustRightInd w:val="0"/>
              <w:snapToGrid w:val="0"/>
              <w:spacing w:line="560" w:lineRule="exact"/>
              <w:jc w:val="center"/>
              <w:rPr>
                <w:rFonts w:ascii="仿宋" w:hAnsi="仿宋" w:eastAsia="仿宋"/>
                <w:sz w:val="24"/>
                <w:szCs w:val="24"/>
              </w:rPr>
            </w:pPr>
            <w:r>
              <w:rPr>
                <w:rFonts w:ascii="仿宋" w:hAnsi="仿宋" w:eastAsia="仿宋"/>
                <w:sz w:val="24"/>
                <w:szCs w:val="24"/>
              </w:rPr>
              <w:t>业务配置与测试</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Equipment configuration and service test</w:t>
            </w:r>
          </w:p>
        </w:tc>
        <w:tc>
          <w:tcPr>
            <w:tcW w:w="3511" w:type="dxa"/>
          </w:tcPr>
          <w:p>
            <w:pPr>
              <w:adjustRightInd w:val="0"/>
              <w:snapToGrid w:val="0"/>
              <w:jc w:val="center"/>
              <w:rPr>
                <w:rFonts w:ascii="仿宋" w:hAnsi="仿宋" w:eastAsia="仿宋"/>
                <w:sz w:val="24"/>
                <w:szCs w:val="24"/>
              </w:rPr>
            </w:pPr>
            <w:r>
              <w:rPr>
                <w:rFonts w:ascii="仿宋" w:hAnsi="仿宋" w:eastAsia="仿宋"/>
                <w:sz w:val="24"/>
                <w:szCs w:val="24"/>
              </w:rPr>
              <w:t>4G及Pre5G无线、核心网、承载参数原理及取值</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The theory and value of wireless parameter</w:t>
            </w:r>
            <w:r>
              <w:rPr>
                <w:rFonts w:hint="eastAsia" w:ascii="仿宋" w:hAnsi="仿宋" w:eastAsia="仿宋"/>
                <w:sz w:val="24"/>
                <w:szCs w:val="24"/>
              </w:rPr>
              <w:t>、</w:t>
            </w:r>
            <w:r>
              <w:rPr>
                <w:rFonts w:ascii="仿宋" w:hAnsi="仿宋" w:eastAsia="仿宋"/>
                <w:sz w:val="24"/>
                <w:szCs w:val="24"/>
              </w:rPr>
              <w:t>core</w:t>
            </w:r>
            <w:r>
              <w:rPr>
                <w:rFonts w:eastAsia="仿宋" w:cs="Calibri"/>
                <w:sz w:val="24"/>
                <w:szCs w:val="24"/>
              </w:rPr>
              <w:t> </w:t>
            </w:r>
            <w:r>
              <w:rPr>
                <w:rFonts w:ascii="仿宋" w:hAnsi="仿宋" w:eastAsia="仿宋"/>
                <w:sz w:val="24"/>
                <w:szCs w:val="24"/>
              </w:rPr>
              <w:t>network parameter and bearing</w:t>
            </w:r>
            <w:r>
              <w:rPr>
                <w:rFonts w:eastAsia="仿宋" w:cs="Calibri"/>
                <w:sz w:val="24"/>
                <w:szCs w:val="24"/>
              </w:rPr>
              <w:t> </w:t>
            </w:r>
            <w:r>
              <w:rPr>
                <w:rFonts w:ascii="仿宋" w:hAnsi="仿宋" w:eastAsia="仿宋"/>
                <w:sz w:val="24"/>
                <w:szCs w:val="24"/>
              </w:rPr>
              <w:t>network 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tcPr>
          <w:p>
            <w:pPr>
              <w:adjustRightInd w:val="0"/>
              <w:snapToGrid w:val="0"/>
              <w:spacing w:line="560" w:lineRule="exact"/>
              <w:jc w:val="center"/>
              <w:rPr>
                <w:rFonts w:ascii="仿宋" w:hAnsi="仿宋" w:eastAsia="仿宋"/>
                <w:sz w:val="24"/>
                <w:szCs w:val="24"/>
              </w:rPr>
            </w:pPr>
          </w:p>
        </w:tc>
        <w:tc>
          <w:tcPr>
            <w:tcW w:w="1611" w:type="dxa"/>
            <w:vMerge w:val="continue"/>
          </w:tcPr>
          <w:p>
            <w:pPr>
              <w:adjustRightInd w:val="0"/>
              <w:snapToGrid w:val="0"/>
              <w:spacing w:line="560" w:lineRule="exact"/>
              <w:jc w:val="center"/>
              <w:rPr>
                <w:rFonts w:ascii="仿宋" w:hAnsi="仿宋" w:eastAsia="仿宋"/>
                <w:sz w:val="24"/>
                <w:szCs w:val="24"/>
              </w:rPr>
            </w:pPr>
          </w:p>
        </w:tc>
        <w:tc>
          <w:tcPr>
            <w:tcW w:w="2016" w:type="dxa"/>
          </w:tcPr>
          <w:p>
            <w:pPr>
              <w:adjustRightInd w:val="0"/>
              <w:snapToGrid w:val="0"/>
              <w:spacing w:line="560" w:lineRule="exact"/>
              <w:jc w:val="center"/>
              <w:rPr>
                <w:rFonts w:ascii="仿宋" w:hAnsi="仿宋" w:eastAsia="仿宋"/>
                <w:sz w:val="24"/>
                <w:szCs w:val="24"/>
              </w:rPr>
            </w:pPr>
            <w:r>
              <w:rPr>
                <w:rFonts w:ascii="仿宋" w:hAnsi="仿宋" w:eastAsia="仿宋"/>
                <w:sz w:val="24"/>
                <w:szCs w:val="24"/>
              </w:rPr>
              <w:t>网络维护</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Network maintenance</w:t>
            </w:r>
          </w:p>
        </w:tc>
        <w:tc>
          <w:tcPr>
            <w:tcW w:w="3511" w:type="dxa"/>
          </w:tcPr>
          <w:p>
            <w:pPr>
              <w:adjustRightInd w:val="0"/>
              <w:snapToGrid w:val="0"/>
              <w:jc w:val="center"/>
              <w:rPr>
                <w:rFonts w:ascii="仿宋" w:hAnsi="仿宋" w:eastAsia="仿宋"/>
                <w:sz w:val="24"/>
                <w:szCs w:val="24"/>
              </w:rPr>
            </w:pPr>
            <w:r>
              <w:rPr>
                <w:rFonts w:hint="eastAsia" w:ascii="仿宋" w:hAnsi="仿宋" w:eastAsia="仿宋"/>
                <w:sz w:val="24"/>
                <w:szCs w:val="24"/>
              </w:rPr>
              <w:t>移动通信网络常见故障处理</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Common trouble dealing methods of Mobile Telecommunication Networks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restart"/>
          </w:tcPr>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第三阶段</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Third stage</w:t>
            </w:r>
          </w:p>
        </w:tc>
        <w:tc>
          <w:tcPr>
            <w:tcW w:w="1611" w:type="dxa"/>
            <w:vMerge w:val="restart"/>
          </w:tcPr>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Pre5G新技术专题</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Pre5G new technology subject</w:t>
            </w:r>
          </w:p>
        </w:tc>
        <w:tc>
          <w:tcPr>
            <w:tcW w:w="2016" w:type="dxa"/>
          </w:tcPr>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Massive MIMO一体化天线</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Massive MIMO integrated antenna</w:t>
            </w:r>
          </w:p>
        </w:tc>
        <w:tc>
          <w:tcPr>
            <w:tcW w:w="3511" w:type="dxa"/>
          </w:tcPr>
          <w:p>
            <w:pPr>
              <w:adjustRightInd w:val="0"/>
              <w:snapToGrid w:val="0"/>
              <w:jc w:val="center"/>
              <w:rPr>
                <w:rFonts w:ascii="仿宋" w:hAnsi="仿宋" w:eastAsia="仿宋"/>
                <w:sz w:val="24"/>
                <w:szCs w:val="24"/>
              </w:rPr>
            </w:pPr>
            <w:r>
              <w:rPr>
                <w:rFonts w:hint="eastAsia" w:ascii="仿宋" w:hAnsi="仿宋" w:eastAsia="仿宋"/>
                <w:sz w:val="24"/>
                <w:szCs w:val="24"/>
              </w:rPr>
              <w:t>天线权值定义与应用，</w:t>
            </w:r>
          </w:p>
          <w:p>
            <w:pPr>
              <w:adjustRightInd w:val="0"/>
              <w:snapToGrid w:val="0"/>
              <w:jc w:val="center"/>
              <w:rPr>
                <w:rFonts w:ascii="仿宋" w:hAnsi="仿宋" w:eastAsia="仿宋"/>
                <w:sz w:val="24"/>
                <w:szCs w:val="24"/>
              </w:rPr>
            </w:pPr>
            <w:r>
              <w:rPr>
                <w:rFonts w:ascii="仿宋" w:hAnsi="仿宋" w:eastAsia="仿宋"/>
                <w:sz w:val="24"/>
                <w:szCs w:val="24"/>
              </w:rPr>
              <w:t>3D-MIMO设备原理</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The definition and application of antenna weight,the theory of 3D-MIMO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tcPr>
          <w:p>
            <w:pPr>
              <w:adjustRightInd w:val="0"/>
              <w:snapToGrid w:val="0"/>
              <w:spacing w:line="560" w:lineRule="exact"/>
              <w:jc w:val="center"/>
              <w:rPr>
                <w:rFonts w:ascii="仿宋" w:hAnsi="仿宋" w:eastAsia="仿宋"/>
                <w:sz w:val="24"/>
                <w:szCs w:val="24"/>
              </w:rPr>
            </w:pPr>
          </w:p>
        </w:tc>
        <w:tc>
          <w:tcPr>
            <w:tcW w:w="1611" w:type="dxa"/>
            <w:vMerge w:val="continue"/>
          </w:tcPr>
          <w:p>
            <w:pPr>
              <w:adjustRightInd w:val="0"/>
              <w:snapToGrid w:val="0"/>
              <w:spacing w:line="560" w:lineRule="exact"/>
              <w:jc w:val="center"/>
              <w:rPr>
                <w:rFonts w:ascii="仿宋" w:hAnsi="仿宋" w:eastAsia="仿宋"/>
                <w:sz w:val="24"/>
                <w:szCs w:val="24"/>
              </w:rPr>
            </w:pPr>
          </w:p>
        </w:tc>
        <w:tc>
          <w:tcPr>
            <w:tcW w:w="2016" w:type="dxa"/>
          </w:tcPr>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Pre5G网络关键技术应用</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The application of Pre5G network key-technology</w:t>
            </w:r>
          </w:p>
        </w:tc>
        <w:tc>
          <w:tcPr>
            <w:tcW w:w="3511" w:type="dxa"/>
          </w:tcPr>
          <w:p>
            <w:pPr>
              <w:adjustRightInd w:val="0"/>
              <w:snapToGrid w:val="0"/>
              <w:jc w:val="center"/>
              <w:rPr>
                <w:rFonts w:ascii="仿宋" w:hAnsi="仿宋" w:eastAsia="仿宋"/>
                <w:sz w:val="24"/>
                <w:szCs w:val="24"/>
              </w:rPr>
            </w:pPr>
            <w:r>
              <w:rPr>
                <w:rFonts w:hint="eastAsia" w:ascii="仿宋" w:hAnsi="仿宋" w:eastAsia="仿宋"/>
                <w:sz w:val="24"/>
                <w:szCs w:val="24"/>
              </w:rPr>
              <w:t>载波聚合，空分多流等</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Carrier</w:t>
            </w:r>
            <w:r>
              <w:rPr>
                <w:rFonts w:eastAsia="仿宋" w:cs="Calibri"/>
                <w:sz w:val="24"/>
                <w:szCs w:val="24"/>
              </w:rPr>
              <w:t> </w:t>
            </w:r>
            <w:r>
              <w:rPr>
                <w:rFonts w:ascii="仿宋" w:hAnsi="仿宋" w:eastAsia="仿宋"/>
                <w:sz w:val="24"/>
                <w:szCs w:val="24"/>
              </w:rPr>
              <w:t>Aggregation,Multiple transmission paths by space division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restart"/>
          </w:tcPr>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第四阶段</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Forth stage</w:t>
            </w:r>
          </w:p>
        </w:tc>
        <w:tc>
          <w:tcPr>
            <w:tcW w:w="1611" w:type="dxa"/>
            <w:vMerge w:val="restart"/>
          </w:tcPr>
          <w:p>
            <w:pPr>
              <w:adjustRightInd w:val="0"/>
              <w:snapToGrid w:val="0"/>
              <w:spacing w:line="560" w:lineRule="exact"/>
              <w:jc w:val="center"/>
              <w:rPr>
                <w:rFonts w:ascii="仿宋" w:hAnsi="仿宋" w:eastAsia="仿宋"/>
                <w:sz w:val="24"/>
                <w:szCs w:val="24"/>
              </w:rPr>
            </w:pPr>
            <w:r>
              <w:rPr>
                <w:rFonts w:ascii="仿宋" w:hAnsi="仿宋" w:eastAsia="仿宋"/>
                <w:sz w:val="24"/>
                <w:szCs w:val="24"/>
              </w:rPr>
              <w:t>LTE网络故障排查</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LTE Network troubleshooting</w:t>
            </w:r>
          </w:p>
        </w:tc>
        <w:tc>
          <w:tcPr>
            <w:tcW w:w="2016" w:type="dxa"/>
          </w:tcPr>
          <w:p>
            <w:pPr>
              <w:adjustRightInd w:val="0"/>
              <w:snapToGrid w:val="0"/>
              <w:spacing w:line="560" w:lineRule="exact"/>
              <w:jc w:val="center"/>
              <w:rPr>
                <w:rFonts w:ascii="仿宋" w:hAnsi="仿宋" w:eastAsia="仿宋"/>
                <w:sz w:val="24"/>
                <w:szCs w:val="24"/>
              </w:rPr>
            </w:pPr>
            <w:r>
              <w:rPr>
                <w:rFonts w:ascii="仿宋" w:hAnsi="仿宋" w:eastAsia="仿宋"/>
                <w:sz w:val="24"/>
                <w:szCs w:val="24"/>
              </w:rPr>
              <w:t>网络监控</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Network monitoring</w:t>
            </w:r>
          </w:p>
        </w:tc>
        <w:tc>
          <w:tcPr>
            <w:tcW w:w="3511" w:type="dxa"/>
          </w:tcPr>
          <w:p>
            <w:pPr>
              <w:adjustRightInd w:val="0"/>
              <w:snapToGrid w:val="0"/>
              <w:jc w:val="center"/>
              <w:rPr>
                <w:rFonts w:ascii="仿宋" w:hAnsi="仿宋" w:eastAsia="仿宋"/>
                <w:sz w:val="24"/>
                <w:szCs w:val="24"/>
              </w:rPr>
            </w:pPr>
            <w:r>
              <w:rPr>
                <w:rFonts w:hint="eastAsia" w:ascii="仿宋" w:hAnsi="仿宋" w:eastAsia="仿宋"/>
                <w:sz w:val="24"/>
                <w:szCs w:val="24"/>
              </w:rPr>
              <w:t>常见</w:t>
            </w:r>
            <w:r>
              <w:rPr>
                <w:rFonts w:ascii="仿宋" w:hAnsi="仿宋" w:eastAsia="仿宋"/>
                <w:sz w:val="24"/>
                <w:szCs w:val="24"/>
              </w:rPr>
              <w:t>KPI定义及考核标准</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Definition and assessment</w:t>
            </w:r>
            <w:r>
              <w:rPr>
                <w:rFonts w:eastAsia="仿宋" w:cs="Calibri"/>
                <w:sz w:val="24"/>
                <w:szCs w:val="24"/>
              </w:rPr>
              <w:t> </w:t>
            </w:r>
            <w:r>
              <w:rPr>
                <w:rFonts w:ascii="仿宋" w:hAnsi="仿宋" w:eastAsia="仿宋"/>
                <w:sz w:val="24"/>
                <w:szCs w:val="24"/>
              </w:rPr>
              <w:t>standard of  common KPI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tcPr>
          <w:p>
            <w:pPr>
              <w:adjustRightInd w:val="0"/>
              <w:snapToGrid w:val="0"/>
              <w:spacing w:line="560" w:lineRule="exact"/>
              <w:jc w:val="center"/>
              <w:rPr>
                <w:rFonts w:ascii="仿宋" w:hAnsi="仿宋" w:eastAsia="仿宋"/>
                <w:sz w:val="24"/>
                <w:szCs w:val="24"/>
              </w:rPr>
            </w:pPr>
          </w:p>
        </w:tc>
        <w:tc>
          <w:tcPr>
            <w:tcW w:w="1611" w:type="dxa"/>
            <w:vMerge w:val="continue"/>
          </w:tcPr>
          <w:p>
            <w:pPr>
              <w:adjustRightInd w:val="0"/>
              <w:snapToGrid w:val="0"/>
              <w:spacing w:line="560" w:lineRule="exact"/>
              <w:jc w:val="center"/>
              <w:rPr>
                <w:rFonts w:ascii="仿宋" w:hAnsi="仿宋" w:eastAsia="仿宋"/>
                <w:sz w:val="24"/>
                <w:szCs w:val="24"/>
              </w:rPr>
            </w:pPr>
          </w:p>
        </w:tc>
        <w:tc>
          <w:tcPr>
            <w:tcW w:w="2016" w:type="dxa"/>
          </w:tcPr>
          <w:p>
            <w:pPr>
              <w:adjustRightInd w:val="0"/>
              <w:snapToGrid w:val="0"/>
              <w:spacing w:line="560" w:lineRule="exact"/>
              <w:jc w:val="center"/>
              <w:rPr>
                <w:rFonts w:ascii="仿宋" w:hAnsi="仿宋" w:eastAsia="仿宋"/>
                <w:sz w:val="24"/>
                <w:szCs w:val="24"/>
              </w:rPr>
            </w:pPr>
            <w:r>
              <w:rPr>
                <w:rFonts w:ascii="仿宋" w:hAnsi="仿宋" w:eastAsia="仿宋"/>
                <w:sz w:val="24"/>
                <w:szCs w:val="24"/>
              </w:rPr>
              <w:t>故障定位与排除</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 xml:space="preserve">Fault diagnosis and troubleshooting </w:t>
            </w:r>
          </w:p>
        </w:tc>
        <w:tc>
          <w:tcPr>
            <w:tcW w:w="3511" w:type="dxa"/>
          </w:tcPr>
          <w:p>
            <w:pPr>
              <w:adjustRightInd w:val="0"/>
              <w:snapToGrid w:val="0"/>
              <w:jc w:val="center"/>
              <w:rPr>
                <w:rFonts w:ascii="仿宋" w:hAnsi="仿宋" w:eastAsia="仿宋"/>
                <w:sz w:val="24"/>
                <w:szCs w:val="24"/>
              </w:rPr>
            </w:pPr>
            <w:r>
              <w:rPr>
                <w:rFonts w:hint="eastAsia" w:ascii="仿宋" w:hAnsi="仿宋" w:eastAsia="仿宋"/>
                <w:sz w:val="24"/>
                <w:szCs w:val="24"/>
              </w:rPr>
              <w:t>信令分析，硬件故障排查、网络配置参数相关性</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Signalling</w:t>
            </w:r>
            <w:r>
              <w:rPr>
                <w:rFonts w:eastAsia="仿宋" w:cs="Calibri"/>
                <w:sz w:val="24"/>
                <w:szCs w:val="24"/>
              </w:rPr>
              <w:t> </w:t>
            </w:r>
            <w:r>
              <w:rPr>
                <w:rFonts w:ascii="仿宋" w:hAnsi="仿宋" w:eastAsia="仿宋"/>
                <w:sz w:val="24"/>
                <w:szCs w:val="24"/>
              </w:rPr>
              <w:t>analysis, hardware</w:t>
            </w:r>
            <w:r>
              <w:rPr>
                <w:rFonts w:eastAsia="仿宋" w:cs="Calibri"/>
                <w:sz w:val="24"/>
                <w:szCs w:val="24"/>
              </w:rPr>
              <w:t> </w:t>
            </w:r>
            <w:r>
              <w:rPr>
                <w:rFonts w:ascii="仿宋" w:hAnsi="仿宋" w:eastAsia="仿宋"/>
                <w:sz w:val="24"/>
                <w:szCs w:val="24"/>
              </w:rPr>
              <w:t>faults investigation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4"/>
          </w:tcPr>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第二</w:t>
            </w:r>
            <w:r>
              <w:rPr>
                <w:rFonts w:ascii="仿宋" w:hAnsi="仿宋" w:eastAsia="仿宋"/>
                <w:sz w:val="24"/>
                <w:szCs w:val="24"/>
              </w:rPr>
              <w:t>部分：</w:t>
            </w:r>
            <w:r>
              <w:rPr>
                <w:rFonts w:hint="eastAsia" w:ascii="仿宋" w:hAnsi="仿宋" w:eastAsia="仿宋"/>
                <w:sz w:val="24"/>
                <w:szCs w:val="24"/>
              </w:rPr>
              <w:t>NB-IoT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restart"/>
          </w:tcPr>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第一阶段</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First stage</w:t>
            </w:r>
          </w:p>
        </w:tc>
        <w:tc>
          <w:tcPr>
            <w:tcW w:w="1611" w:type="dxa"/>
            <w:vMerge w:val="restart"/>
          </w:tcPr>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NB-IoT</w:t>
            </w:r>
            <w:r>
              <w:rPr>
                <w:rFonts w:ascii="仿宋" w:hAnsi="仿宋" w:eastAsia="仿宋"/>
                <w:sz w:val="24"/>
                <w:szCs w:val="24"/>
              </w:rPr>
              <w:t>网络搭建</w:t>
            </w:r>
          </w:p>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NB-IoT</w:t>
            </w:r>
            <w:r>
              <w:rPr>
                <w:rFonts w:ascii="仿宋" w:hAnsi="仿宋" w:eastAsia="仿宋"/>
                <w:sz w:val="24"/>
                <w:szCs w:val="24"/>
              </w:rPr>
              <w:t xml:space="preserve"> Network Establishment</w:t>
            </w:r>
          </w:p>
        </w:tc>
        <w:tc>
          <w:tcPr>
            <w:tcW w:w="2016" w:type="dxa"/>
          </w:tcPr>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拓扑</w:t>
            </w:r>
            <w:r>
              <w:rPr>
                <w:rFonts w:ascii="仿宋" w:hAnsi="仿宋" w:eastAsia="仿宋"/>
                <w:sz w:val="24"/>
                <w:szCs w:val="24"/>
              </w:rPr>
              <w:t>组网设计</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Network design</w:t>
            </w:r>
          </w:p>
        </w:tc>
        <w:tc>
          <w:tcPr>
            <w:tcW w:w="3511" w:type="dxa"/>
          </w:tcPr>
          <w:p>
            <w:pPr>
              <w:adjustRightInd w:val="0"/>
              <w:snapToGrid w:val="0"/>
              <w:jc w:val="center"/>
              <w:rPr>
                <w:rFonts w:ascii="仿宋" w:hAnsi="仿宋" w:eastAsia="仿宋"/>
                <w:sz w:val="24"/>
                <w:szCs w:val="24"/>
              </w:rPr>
            </w:pPr>
            <w:r>
              <w:rPr>
                <w:rFonts w:ascii="仿宋" w:hAnsi="仿宋" w:eastAsia="仿宋"/>
                <w:sz w:val="24"/>
                <w:szCs w:val="24"/>
              </w:rPr>
              <w:t>NB-IoT网络系统架构</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NB-IoT system architecture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tcPr>
          <w:p>
            <w:pPr>
              <w:adjustRightInd w:val="0"/>
              <w:snapToGrid w:val="0"/>
              <w:spacing w:line="560" w:lineRule="exact"/>
              <w:jc w:val="center"/>
              <w:rPr>
                <w:rFonts w:ascii="仿宋" w:hAnsi="仿宋" w:eastAsia="仿宋"/>
                <w:sz w:val="24"/>
                <w:szCs w:val="24"/>
              </w:rPr>
            </w:pPr>
          </w:p>
        </w:tc>
        <w:tc>
          <w:tcPr>
            <w:tcW w:w="1611" w:type="dxa"/>
            <w:vMerge w:val="continue"/>
          </w:tcPr>
          <w:p>
            <w:pPr>
              <w:adjustRightInd w:val="0"/>
              <w:snapToGrid w:val="0"/>
              <w:spacing w:line="560" w:lineRule="exact"/>
              <w:jc w:val="center"/>
              <w:rPr>
                <w:rFonts w:ascii="仿宋" w:hAnsi="仿宋" w:eastAsia="仿宋"/>
                <w:sz w:val="24"/>
                <w:szCs w:val="24"/>
              </w:rPr>
            </w:pPr>
          </w:p>
        </w:tc>
        <w:tc>
          <w:tcPr>
            <w:tcW w:w="2016" w:type="dxa"/>
          </w:tcPr>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网元连接</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Network element connection</w:t>
            </w:r>
          </w:p>
        </w:tc>
        <w:tc>
          <w:tcPr>
            <w:tcW w:w="3511" w:type="dxa"/>
          </w:tcPr>
          <w:p>
            <w:pPr>
              <w:adjustRightInd w:val="0"/>
              <w:snapToGrid w:val="0"/>
              <w:jc w:val="center"/>
              <w:rPr>
                <w:rFonts w:ascii="仿宋" w:hAnsi="仿宋" w:eastAsia="仿宋"/>
                <w:sz w:val="24"/>
                <w:szCs w:val="24"/>
              </w:rPr>
            </w:pPr>
            <w:r>
              <w:rPr>
                <w:rFonts w:ascii="仿宋" w:hAnsi="仿宋" w:eastAsia="仿宋"/>
                <w:sz w:val="24"/>
                <w:szCs w:val="24"/>
              </w:rPr>
              <w:t>NB-IoT网元功能及接口配置</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 xml:space="preserve"> Network</w:t>
            </w:r>
            <w:r>
              <w:rPr>
                <w:rFonts w:eastAsia="仿宋" w:cs="Calibri"/>
                <w:sz w:val="24"/>
                <w:szCs w:val="24"/>
              </w:rPr>
              <w:t> </w:t>
            </w:r>
            <w:r>
              <w:rPr>
                <w:rFonts w:ascii="仿宋" w:hAnsi="仿宋" w:eastAsia="仿宋"/>
                <w:sz w:val="24"/>
                <w:szCs w:val="24"/>
              </w:rPr>
              <w:t>element function and interface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tcPr>
          <w:p>
            <w:pPr>
              <w:adjustRightInd w:val="0"/>
              <w:snapToGrid w:val="0"/>
              <w:spacing w:line="560" w:lineRule="exact"/>
              <w:jc w:val="center"/>
              <w:rPr>
                <w:rFonts w:ascii="仿宋" w:hAnsi="仿宋" w:eastAsia="仿宋"/>
                <w:sz w:val="24"/>
                <w:szCs w:val="24"/>
              </w:rPr>
            </w:pPr>
          </w:p>
        </w:tc>
        <w:tc>
          <w:tcPr>
            <w:tcW w:w="1611" w:type="dxa"/>
            <w:vMerge w:val="continue"/>
          </w:tcPr>
          <w:p>
            <w:pPr>
              <w:adjustRightInd w:val="0"/>
              <w:snapToGrid w:val="0"/>
              <w:spacing w:line="560" w:lineRule="exact"/>
              <w:jc w:val="center"/>
              <w:rPr>
                <w:rFonts w:ascii="仿宋" w:hAnsi="仿宋" w:eastAsia="仿宋"/>
                <w:sz w:val="24"/>
                <w:szCs w:val="24"/>
              </w:rPr>
            </w:pPr>
          </w:p>
        </w:tc>
        <w:tc>
          <w:tcPr>
            <w:tcW w:w="2016" w:type="dxa"/>
          </w:tcPr>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业务模型选择</w:t>
            </w:r>
          </w:p>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Service model selection</w:t>
            </w:r>
          </w:p>
        </w:tc>
        <w:tc>
          <w:tcPr>
            <w:tcW w:w="3511" w:type="dxa"/>
          </w:tcPr>
          <w:p>
            <w:pPr>
              <w:adjustRightInd w:val="0"/>
              <w:snapToGrid w:val="0"/>
              <w:jc w:val="center"/>
              <w:rPr>
                <w:rFonts w:ascii="仿宋" w:hAnsi="仿宋" w:eastAsia="仿宋"/>
                <w:sz w:val="24"/>
                <w:szCs w:val="24"/>
              </w:rPr>
            </w:pPr>
            <w:r>
              <w:rPr>
                <w:rFonts w:ascii="仿宋" w:hAnsi="仿宋" w:eastAsia="仿宋"/>
                <w:sz w:val="24"/>
                <w:szCs w:val="24"/>
              </w:rPr>
              <w:t>NB-IoT业务模型特征及计算方式</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 xml:space="preserve">The business feature and calculation of NB-IoT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tcPr>
          <w:p>
            <w:pPr>
              <w:adjustRightInd w:val="0"/>
              <w:snapToGrid w:val="0"/>
              <w:spacing w:line="560" w:lineRule="exact"/>
              <w:jc w:val="center"/>
              <w:rPr>
                <w:rFonts w:ascii="仿宋" w:hAnsi="仿宋" w:eastAsia="仿宋"/>
                <w:sz w:val="24"/>
                <w:szCs w:val="24"/>
              </w:rPr>
            </w:pPr>
          </w:p>
        </w:tc>
        <w:tc>
          <w:tcPr>
            <w:tcW w:w="1611" w:type="dxa"/>
            <w:vMerge w:val="continue"/>
          </w:tcPr>
          <w:p>
            <w:pPr>
              <w:adjustRightInd w:val="0"/>
              <w:snapToGrid w:val="0"/>
              <w:spacing w:line="560" w:lineRule="exact"/>
              <w:jc w:val="center"/>
              <w:rPr>
                <w:rFonts w:ascii="仿宋" w:hAnsi="仿宋" w:eastAsia="仿宋"/>
                <w:sz w:val="24"/>
                <w:szCs w:val="24"/>
              </w:rPr>
            </w:pPr>
          </w:p>
        </w:tc>
        <w:tc>
          <w:tcPr>
            <w:tcW w:w="2016" w:type="dxa"/>
          </w:tcPr>
          <w:p>
            <w:pPr>
              <w:adjustRightInd w:val="0"/>
              <w:snapToGrid w:val="0"/>
              <w:spacing w:line="560" w:lineRule="exact"/>
              <w:jc w:val="center"/>
              <w:rPr>
                <w:rFonts w:ascii="仿宋" w:hAnsi="仿宋" w:eastAsia="仿宋"/>
                <w:sz w:val="24"/>
                <w:szCs w:val="24"/>
              </w:rPr>
            </w:pPr>
            <w:r>
              <w:rPr>
                <w:rFonts w:ascii="仿宋" w:hAnsi="仿宋" w:eastAsia="仿宋"/>
                <w:sz w:val="24"/>
                <w:szCs w:val="24"/>
              </w:rPr>
              <w:t>业务开通</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Service fulfillment</w:t>
            </w:r>
          </w:p>
        </w:tc>
        <w:tc>
          <w:tcPr>
            <w:tcW w:w="3511" w:type="dxa"/>
          </w:tcPr>
          <w:p>
            <w:pPr>
              <w:adjustRightInd w:val="0"/>
              <w:snapToGrid w:val="0"/>
              <w:jc w:val="center"/>
              <w:rPr>
                <w:rFonts w:ascii="仿宋" w:hAnsi="仿宋" w:eastAsia="仿宋"/>
                <w:sz w:val="24"/>
                <w:szCs w:val="24"/>
              </w:rPr>
            </w:pPr>
            <w:r>
              <w:rPr>
                <w:rFonts w:ascii="仿宋" w:hAnsi="仿宋" w:eastAsia="仿宋"/>
                <w:sz w:val="24"/>
                <w:szCs w:val="24"/>
              </w:rPr>
              <w:t>NB-IoT业务特性及移动网络入网要求</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The business features and the entering</w:t>
            </w:r>
            <w:r>
              <w:rPr>
                <w:rFonts w:eastAsia="仿宋" w:cs="Calibri"/>
                <w:sz w:val="24"/>
                <w:szCs w:val="24"/>
              </w:rPr>
              <w:t> </w:t>
            </w:r>
            <w:r>
              <w:rPr>
                <w:rFonts w:ascii="仿宋" w:hAnsi="仿宋" w:eastAsia="仿宋"/>
                <w:sz w:val="24"/>
                <w:szCs w:val="24"/>
              </w:rPr>
              <w:t>the</w:t>
            </w:r>
            <w:r>
              <w:rPr>
                <w:rFonts w:eastAsia="仿宋" w:cs="Calibri"/>
                <w:sz w:val="24"/>
                <w:szCs w:val="24"/>
              </w:rPr>
              <w:t> </w:t>
            </w:r>
            <w:r>
              <w:rPr>
                <w:rFonts w:ascii="仿宋" w:hAnsi="仿宋" w:eastAsia="仿宋"/>
                <w:sz w:val="24"/>
                <w:szCs w:val="24"/>
              </w:rPr>
              <w:t>network requirement of NB-IoT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restart"/>
          </w:tcPr>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第二部分</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Second stage</w:t>
            </w:r>
          </w:p>
        </w:tc>
        <w:tc>
          <w:tcPr>
            <w:tcW w:w="1611" w:type="dxa"/>
            <w:vMerge w:val="restart"/>
          </w:tcPr>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NB-IoT</w:t>
            </w:r>
            <w:r>
              <w:rPr>
                <w:rFonts w:ascii="仿宋" w:hAnsi="仿宋" w:eastAsia="仿宋"/>
                <w:sz w:val="24"/>
                <w:szCs w:val="24"/>
              </w:rPr>
              <w:t>网络部署与优化</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LTE Network deployment and optimization</w:t>
            </w:r>
          </w:p>
        </w:tc>
        <w:tc>
          <w:tcPr>
            <w:tcW w:w="2016" w:type="dxa"/>
          </w:tcPr>
          <w:p>
            <w:pPr>
              <w:adjustRightInd w:val="0"/>
              <w:snapToGrid w:val="0"/>
              <w:spacing w:line="560" w:lineRule="exact"/>
              <w:jc w:val="center"/>
              <w:rPr>
                <w:rFonts w:ascii="仿宋" w:hAnsi="仿宋" w:eastAsia="仿宋"/>
                <w:sz w:val="24"/>
                <w:szCs w:val="24"/>
              </w:rPr>
            </w:pPr>
            <w:r>
              <w:rPr>
                <w:rFonts w:ascii="仿宋" w:hAnsi="仿宋" w:eastAsia="仿宋"/>
                <w:sz w:val="24"/>
                <w:szCs w:val="24"/>
              </w:rPr>
              <w:t>设备安装和连接</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Equipment installation and interconnection</w:t>
            </w:r>
          </w:p>
        </w:tc>
        <w:tc>
          <w:tcPr>
            <w:tcW w:w="3511" w:type="dxa"/>
          </w:tcPr>
          <w:p>
            <w:pPr>
              <w:adjustRightInd w:val="0"/>
              <w:snapToGrid w:val="0"/>
              <w:rPr>
                <w:rFonts w:ascii="仿宋" w:hAnsi="仿宋" w:eastAsia="仿宋"/>
                <w:sz w:val="24"/>
                <w:szCs w:val="24"/>
              </w:rPr>
            </w:pPr>
            <w:r>
              <w:rPr>
                <w:rFonts w:hint="eastAsia" w:ascii="仿宋" w:hAnsi="仿宋" w:eastAsia="仿宋"/>
                <w:sz w:val="24"/>
                <w:szCs w:val="24"/>
              </w:rPr>
              <w:t>天线、</w:t>
            </w:r>
            <w:r>
              <w:rPr>
                <w:rFonts w:ascii="仿宋" w:hAnsi="仿宋" w:eastAsia="仿宋"/>
                <w:sz w:val="24"/>
                <w:szCs w:val="24"/>
              </w:rPr>
              <w:t>RRU、BBU等设备工作原理与连线，工程施工规范</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The work of antenna、RRU and BBU etc,Code for engineering construction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tcPr>
          <w:p>
            <w:pPr>
              <w:adjustRightInd w:val="0"/>
              <w:snapToGrid w:val="0"/>
              <w:spacing w:line="560" w:lineRule="exact"/>
              <w:jc w:val="center"/>
              <w:rPr>
                <w:rFonts w:ascii="仿宋" w:hAnsi="仿宋" w:eastAsia="仿宋"/>
                <w:sz w:val="24"/>
                <w:szCs w:val="24"/>
              </w:rPr>
            </w:pPr>
          </w:p>
        </w:tc>
        <w:tc>
          <w:tcPr>
            <w:tcW w:w="1611" w:type="dxa"/>
            <w:vMerge w:val="continue"/>
          </w:tcPr>
          <w:p>
            <w:pPr>
              <w:adjustRightInd w:val="0"/>
              <w:snapToGrid w:val="0"/>
              <w:spacing w:line="560" w:lineRule="exact"/>
              <w:jc w:val="center"/>
              <w:rPr>
                <w:rFonts w:ascii="仿宋" w:hAnsi="仿宋" w:eastAsia="仿宋"/>
                <w:sz w:val="24"/>
                <w:szCs w:val="24"/>
              </w:rPr>
            </w:pPr>
          </w:p>
        </w:tc>
        <w:tc>
          <w:tcPr>
            <w:tcW w:w="2016" w:type="dxa"/>
          </w:tcPr>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链路预算</w:t>
            </w:r>
          </w:p>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Link budget</w:t>
            </w:r>
          </w:p>
        </w:tc>
        <w:tc>
          <w:tcPr>
            <w:tcW w:w="3511" w:type="dxa"/>
          </w:tcPr>
          <w:p>
            <w:pPr>
              <w:adjustRightInd w:val="0"/>
              <w:snapToGrid w:val="0"/>
              <w:jc w:val="center"/>
              <w:rPr>
                <w:rFonts w:ascii="仿宋" w:hAnsi="仿宋" w:eastAsia="仿宋"/>
                <w:sz w:val="24"/>
                <w:szCs w:val="24"/>
              </w:rPr>
            </w:pPr>
            <w:r>
              <w:rPr>
                <w:rFonts w:hint="eastAsia" w:ascii="仿宋" w:hAnsi="仿宋" w:eastAsia="仿宋"/>
                <w:sz w:val="24"/>
                <w:szCs w:val="24"/>
              </w:rPr>
              <w:t>链路预算过程</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Link budget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tcPr>
          <w:p>
            <w:pPr>
              <w:adjustRightInd w:val="0"/>
              <w:snapToGrid w:val="0"/>
              <w:spacing w:line="560" w:lineRule="exact"/>
              <w:jc w:val="center"/>
              <w:rPr>
                <w:rFonts w:ascii="仿宋" w:hAnsi="仿宋" w:eastAsia="仿宋"/>
                <w:sz w:val="24"/>
                <w:szCs w:val="24"/>
              </w:rPr>
            </w:pPr>
          </w:p>
        </w:tc>
        <w:tc>
          <w:tcPr>
            <w:tcW w:w="1611" w:type="dxa"/>
            <w:vMerge w:val="continue"/>
          </w:tcPr>
          <w:p>
            <w:pPr>
              <w:adjustRightInd w:val="0"/>
              <w:snapToGrid w:val="0"/>
              <w:spacing w:line="560" w:lineRule="exact"/>
              <w:jc w:val="center"/>
              <w:rPr>
                <w:rFonts w:ascii="仿宋" w:hAnsi="仿宋" w:eastAsia="仿宋"/>
                <w:sz w:val="24"/>
                <w:szCs w:val="24"/>
              </w:rPr>
            </w:pPr>
          </w:p>
        </w:tc>
        <w:tc>
          <w:tcPr>
            <w:tcW w:w="2016" w:type="dxa"/>
          </w:tcPr>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信道容量计算</w:t>
            </w:r>
          </w:p>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Channel capacity calculation</w:t>
            </w:r>
          </w:p>
        </w:tc>
        <w:tc>
          <w:tcPr>
            <w:tcW w:w="3511" w:type="dxa"/>
          </w:tcPr>
          <w:p>
            <w:pPr>
              <w:adjustRightInd w:val="0"/>
              <w:snapToGrid w:val="0"/>
              <w:jc w:val="center"/>
              <w:rPr>
                <w:rFonts w:ascii="仿宋" w:hAnsi="仿宋" w:eastAsia="仿宋"/>
                <w:sz w:val="24"/>
                <w:szCs w:val="24"/>
              </w:rPr>
            </w:pPr>
            <w:r>
              <w:rPr>
                <w:rFonts w:hint="eastAsia" w:ascii="仿宋" w:hAnsi="仿宋" w:eastAsia="仿宋"/>
                <w:sz w:val="24"/>
                <w:szCs w:val="24"/>
              </w:rPr>
              <w:t>信道开销计算，用户分布模型</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The calculation of channel overheads, user model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tcPr>
          <w:p>
            <w:pPr>
              <w:adjustRightInd w:val="0"/>
              <w:snapToGrid w:val="0"/>
              <w:spacing w:line="560" w:lineRule="exact"/>
              <w:jc w:val="center"/>
              <w:rPr>
                <w:rFonts w:ascii="仿宋" w:hAnsi="仿宋" w:eastAsia="仿宋"/>
                <w:sz w:val="24"/>
                <w:szCs w:val="24"/>
              </w:rPr>
            </w:pPr>
          </w:p>
        </w:tc>
        <w:tc>
          <w:tcPr>
            <w:tcW w:w="1611" w:type="dxa"/>
            <w:vMerge w:val="continue"/>
          </w:tcPr>
          <w:p>
            <w:pPr>
              <w:adjustRightInd w:val="0"/>
              <w:snapToGrid w:val="0"/>
              <w:spacing w:line="560" w:lineRule="exact"/>
              <w:jc w:val="center"/>
              <w:rPr>
                <w:rFonts w:ascii="仿宋" w:hAnsi="仿宋" w:eastAsia="仿宋"/>
                <w:sz w:val="24"/>
                <w:szCs w:val="24"/>
              </w:rPr>
            </w:pPr>
          </w:p>
        </w:tc>
        <w:tc>
          <w:tcPr>
            <w:tcW w:w="2016" w:type="dxa"/>
          </w:tcPr>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物联网</w:t>
            </w:r>
            <w:r>
              <w:rPr>
                <w:rFonts w:ascii="仿宋" w:hAnsi="仿宋" w:eastAsia="仿宋"/>
                <w:sz w:val="24"/>
                <w:szCs w:val="24"/>
              </w:rPr>
              <w:t>业务配置与测试</w:t>
            </w:r>
          </w:p>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 xml:space="preserve"> IOT e</w:t>
            </w:r>
            <w:r>
              <w:rPr>
                <w:rFonts w:ascii="仿宋" w:hAnsi="仿宋" w:eastAsia="仿宋"/>
                <w:sz w:val="24"/>
                <w:szCs w:val="24"/>
              </w:rPr>
              <w:t>quipment configuration and service test</w:t>
            </w:r>
          </w:p>
        </w:tc>
        <w:tc>
          <w:tcPr>
            <w:tcW w:w="3511" w:type="dxa"/>
          </w:tcPr>
          <w:p>
            <w:pPr>
              <w:adjustRightInd w:val="0"/>
              <w:snapToGrid w:val="0"/>
              <w:jc w:val="center"/>
              <w:rPr>
                <w:rFonts w:ascii="仿宋" w:hAnsi="仿宋" w:eastAsia="仿宋"/>
                <w:sz w:val="24"/>
                <w:szCs w:val="24"/>
              </w:rPr>
            </w:pPr>
            <w:r>
              <w:rPr>
                <w:rFonts w:ascii="仿宋" w:hAnsi="仿宋" w:eastAsia="仿宋"/>
                <w:sz w:val="24"/>
                <w:szCs w:val="24"/>
              </w:rPr>
              <w:t>NB-IoT关键参数原理与业务表现特征</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The key parameter and business feature of NB-IoT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tcPr>
          <w:p>
            <w:pPr>
              <w:adjustRightInd w:val="0"/>
              <w:snapToGrid w:val="0"/>
              <w:spacing w:line="560" w:lineRule="exact"/>
              <w:jc w:val="center"/>
              <w:rPr>
                <w:rFonts w:ascii="仿宋" w:hAnsi="仿宋" w:eastAsia="仿宋"/>
                <w:sz w:val="24"/>
                <w:szCs w:val="24"/>
              </w:rPr>
            </w:pPr>
          </w:p>
        </w:tc>
        <w:tc>
          <w:tcPr>
            <w:tcW w:w="1611" w:type="dxa"/>
            <w:vMerge w:val="continue"/>
          </w:tcPr>
          <w:p>
            <w:pPr>
              <w:adjustRightInd w:val="0"/>
              <w:snapToGrid w:val="0"/>
              <w:spacing w:line="560" w:lineRule="exact"/>
              <w:jc w:val="center"/>
              <w:rPr>
                <w:rFonts w:ascii="仿宋" w:hAnsi="仿宋" w:eastAsia="仿宋"/>
                <w:sz w:val="24"/>
                <w:szCs w:val="24"/>
              </w:rPr>
            </w:pPr>
          </w:p>
        </w:tc>
        <w:tc>
          <w:tcPr>
            <w:tcW w:w="2016" w:type="dxa"/>
          </w:tcPr>
          <w:p>
            <w:pPr>
              <w:adjustRightInd w:val="0"/>
              <w:snapToGrid w:val="0"/>
              <w:spacing w:line="560" w:lineRule="exact"/>
              <w:jc w:val="center"/>
              <w:rPr>
                <w:rFonts w:ascii="仿宋" w:hAnsi="仿宋" w:eastAsia="仿宋"/>
                <w:sz w:val="24"/>
                <w:szCs w:val="24"/>
              </w:rPr>
            </w:pPr>
            <w:r>
              <w:rPr>
                <w:rFonts w:ascii="仿宋" w:hAnsi="仿宋" w:eastAsia="仿宋"/>
                <w:sz w:val="24"/>
                <w:szCs w:val="24"/>
              </w:rPr>
              <w:t>网络维护</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Network maintenance</w:t>
            </w:r>
          </w:p>
        </w:tc>
        <w:tc>
          <w:tcPr>
            <w:tcW w:w="3511" w:type="dxa"/>
          </w:tcPr>
          <w:p>
            <w:pPr>
              <w:adjustRightInd w:val="0"/>
              <w:snapToGrid w:val="0"/>
              <w:jc w:val="center"/>
              <w:rPr>
                <w:rFonts w:ascii="仿宋" w:hAnsi="仿宋" w:eastAsia="仿宋"/>
                <w:sz w:val="24"/>
                <w:szCs w:val="24"/>
              </w:rPr>
            </w:pPr>
            <w:r>
              <w:rPr>
                <w:rFonts w:ascii="仿宋" w:hAnsi="仿宋" w:eastAsia="仿宋"/>
                <w:sz w:val="24"/>
                <w:szCs w:val="24"/>
              </w:rPr>
              <w:t>NB-IoT网络常见故障处理</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Common trouble dealing methods of NB-IoT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restart"/>
          </w:tcPr>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第三部分</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Third stage</w:t>
            </w:r>
          </w:p>
        </w:tc>
        <w:tc>
          <w:tcPr>
            <w:tcW w:w="1611" w:type="dxa"/>
            <w:vMerge w:val="restart"/>
          </w:tcPr>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NB-IoT</w:t>
            </w:r>
            <w:r>
              <w:rPr>
                <w:rFonts w:ascii="仿宋" w:hAnsi="仿宋" w:eastAsia="仿宋"/>
                <w:sz w:val="24"/>
                <w:szCs w:val="24"/>
              </w:rPr>
              <w:t>网络故障排查</w:t>
            </w:r>
          </w:p>
          <w:p>
            <w:pPr>
              <w:adjustRightInd w:val="0"/>
              <w:snapToGrid w:val="0"/>
              <w:spacing w:line="560" w:lineRule="exact"/>
              <w:jc w:val="center"/>
              <w:rPr>
                <w:rFonts w:ascii="仿宋" w:hAnsi="仿宋" w:eastAsia="仿宋"/>
                <w:sz w:val="24"/>
                <w:szCs w:val="24"/>
              </w:rPr>
            </w:pPr>
            <w:r>
              <w:rPr>
                <w:rFonts w:hint="eastAsia" w:ascii="仿宋" w:hAnsi="仿宋" w:eastAsia="仿宋"/>
                <w:sz w:val="24"/>
                <w:szCs w:val="24"/>
              </w:rPr>
              <w:t>NB-IoT</w:t>
            </w:r>
            <w:r>
              <w:rPr>
                <w:rFonts w:ascii="仿宋" w:hAnsi="仿宋" w:eastAsia="仿宋"/>
                <w:sz w:val="24"/>
                <w:szCs w:val="24"/>
              </w:rPr>
              <w:t xml:space="preserve"> Network troubleshooting</w:t>
            </w:r>
          </w:p>
        </w:tc>
        <w:tc>
          <w:tcPr>
            <w:tcW w:w="2016" w:type="dxa"/>
          </w:tcPr>
          <w:p>
            <w:pPr>
              <w:adjustRightInd w:val="0"/>
              <w:snapToGrid w:val="0"/>
              <w:spacing w:line="560" w:lineRule="exact"/>
              <w:jc w:val="center"/>
              <w:rPr>
                <w:rFonts w:ascii="仿宋" w:hAnsi="仿宋" w:eastAsia="仿宋"/>
                <w:sz w:val="24"/>
                <w:szCs w:val="24"/>
              </w:rPr>
            </w:pPr>
            <w:r>
              <w:rPr>
                <w:rFonts w:ascii="仿宋" w:hAnsi="仿宋" w:eastAsia="仿宋"/>
                <w:sz w:val="24"/>
                <w:szCs w:val="24"/>
              </w:rPr>
              <w:t>网络监控</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Network monitoring</w:t>
            </w:r>
          </w:p>
        </w:tc>
        <w:tc>
          <w:tcPr>
            <w:tcW w:w="3511" w:type="dxa"/>
          </w:tcPr>
          <w:p>
            <w:pPr>
              <w:adjustRightInd w:val="0"/>
              <w:snapToGrid w:val="0"/>
              <w:jc w:val="center"/>
              <w:rPr>
                <w:rFonts w:ascii="仿宋" w:hAnsi="仿宋" w:eastAsia="仿宋"/>
                <w:sz w:val="24"/>
                <w:szCs w:val="24"/>
              </w:rPr>
            </w:pPr>
            <w:r>
              <w:rPr>
                <w:rFonts w:hint="eastAsia" w:ascii="仿宋" w:hAnsi="仿宋" w:eastAsia="仿宋"/>
                <w:sz w:val="24"/>
                <w:szCs w:val="24"/>
              </w:rPr>
              <w:t>常见</w:t>
            </w:r>
            <w:r>
              <w:rPr>
                <w:rFonts w:ascii="仿宋" w:hAnsi="仿宋" w:eastAsia="仿宋"/>
                <w:sz w:val="24"/>
                <w:szCs w:val="24"/>
              </w:rPr>
              <w:t>KPI定义及考核标准</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Definition and assessment</w:t>
            </w:r>
            <w:r>
              <w:rPr>
                <w:rFonts w:eastAsia="仿宋" w:cs="Calibri"/>
                <w:sz w:val="24"/>
                <w:szCs w:val="24"/>
              </w:rPr>
              <w:t> </w:t>
            </w:r>
            <w:r>
              <w:rPr>
                <w:rFonts w:ascii="仿宋" w:hAnsi="仿宋" w:eastAsia="仿宋"/>
                <w:sz w:val="24"/>
                <w:szCs w:val="24"/>
              </w:rPr>
              <w:t>standard of  common KPI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84" w:type="dxa"/>
            <w:vMerge w:val="continue"/>
          </w:tcPr>
          <w:p>
            <w:pPr>
              <w:adjustRightInd w:val="0"/>
              <w:snapToGrid w:val="0"/>
              <w:spacing w:line="560" w:lineRule="exact"/>
              <w:jc w:val="center"/>
              <w:rPr>
                <w:rFonts w:ascii="仿宋" w:hAnsi="仿宋" w:eastAsia="仿宋"/>
                <w:sz w:val="24"/>
                <w:szCs w:val="24"/>
              </w:rPr>
            </w:pPr>
          </w:p>
        </w:tc>
        <w:tc>
          <w:tcPr>
            <w:tcW w:w="1611" w:type="dxa"/>
            <w:vMerge w:val="continue"/>
          </w:tcPr>
          <w:p>
            <w:pPr>
              <w:adjustRightInd w:val="0"/>
              <w:snapToGrid w:val="0"/>
              <w:spacing w:line="560" w:lineRule="exact"/>
              <w:jc w:val="center"/>
              <w:rPr>
                <w:rFonts w:ascii="仿宋" w:hAnsi="仿宋" w:eastAsia="仿宋"/>
                <w:sz w:val="24"/>
                <w:szCs w:val="24"/>
              </w:rPr>
            </w:pPr>
          </w:p>
        </w:tc>
        <w:tc>
          <w:tcPr>
            <w:tcW w:w="2016" w:type="dxa"/>
          </w:tcPr>
          <w:p>
            <w:pPr>
              <w:adjustRightInd w:val="0"/>
              <w:snapToGrid w:val="0"/>
              <w:spacing w:line="560" w:lineRule="exact"/>
              <w:jc w:val="center"/>
              <w:rPr>
                <w:rFonts w:ascii="仿宋" w:hAnsi="仿宋" w:eastAsia="仿宋"/>
                <w:sz w:val="24"/>
                <w:szCs w:val="24"/>
              </w:rPr>
            </w:pPr>
            <w:r>
              <w:rPr>
                <w:rFonts w:ascii="仿宋" w:hAnsi="仿宋" w:eastAsia="仿宋"/>
                <w:sz w:val="24"/>
                <w:szCs w:val="24"/>
              </w:rPr>
              <w:t>故障定位与排除</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 xml:space="preserve">Fault diagnosis and troubleshooting </w:t>
            </w:r>
          </w:p>
        </w:tc>
        <w:tc>
          <w:tcPr>
            <w:tcW w:w="3511" w:type="dxa"/>
          </w:tcPr>
          <w:p>
            <w:pPr>
              <w:adjustRightInd w:val="0"/>
              <w:snapToGrid w:val="0"/>
              <w:jc w:val="center"/>
              <w:rPr>
                <w:rFonts w:ascii="仿宋" w:hAnsi="仿宋" w:eastAsia="仿宋"/>
                <w:sz w:val="24"/>
                <w:szCs w:val="24"/>
              </w:rPr>
            </w:pPr>
            <w:r>
              <w:rPr>
                <w:rFonts w:hint="eastAsia" w:ascii="仿宋" w:hAnsi="仿宋" w:eastAsia="仿宋"/>
                <w:sz w:val="24"/>
                <w:szCs w:val="24"/>
              </w:rPr>
              <w:t>信令分析，硬件故障排查，网络配置参数相关性</w:t>
            </w:r>
          </w:p>
          <w:p>
            <w:pPr>
              <w:adjustRightInd w:val="0"/>
              <w:snapToGrid w:val="0"/>
              <w:spacing w:line="560" w:lineRule="exact"/>
              <w:jc w:val="center"/>
              <w:rPr>
                <w:rFonts w:ascii="仿宋" w:hAnsi="仿宋" w:eastAsia="仿宋"/>
                <w:sz w:val="24"/>
                <w:szCs w:val="24"/>
              </w:rPr>
            </w:pPr>
            <w:r>
              <w:rPr>
                <w:rFonts w:ascii="仿宋" w:hAnsi="仿宋" w:eastAsia="仿宋"/>
                <w:sz w:val="24"/>
                <w:szCs w:val="24"/>
              </w:rPr>
              <w:t>Signalling</w:t>
            </w:r>
            <w:r>
              <w:rPr>
                <w:rFonts w:eastAsia="仿宋" w:cs="Calibri"/>
                <w:sz w:val="24"/>
                <w:szCs w:val="24"/>
              </w:rPr>
              <w:t> </w:t>
            </w:r>
            <w:r>
              <w:rPr>
                <w:rFonts w:ascii="仿宋" w:hAnsi="仿宋" w:eastAsia="仿宋"/>
                <w:sz w:val="24"/>
                <w:szCs w:val="24"/>
              </w:rPr>
              <w:t>analysis, hardware</w:t>
            </w:r>
            <w:r>
              <w:rPr>
                <w:rFonts w:eastAsia="仿宋" w:cs="Calibri"/>
                <w:sz w:val="24"/>
                <w:szCs w:val="24"/>
              </w:rPr>
              <w:t> </w:t>
            </w:r>
            <w:r>
              <w:rPr>
                <w:rFonts w:ascii="仿宋" w:hAnsi="仿宋" w:eastAsia="仿宋"/>
                <w:sz w:val="24"/>
                <w:szCs w:val="24"/>
              </w:rPr>
              <w:t>faults investigation</w:t>
            </w:r>
          </w:p>
        </w:tc>
      </w:tr>
    </w:tbl>
    <w:p>
      <w:pPr>
        <w:snapToGrid w:val="0"/>
        <w:spacing w:line="360" w:lineRule="auto"/>
        <w:rPr>
          <w:rFonts w:ascii="Times New Roman" w:hAnsi="Times New Roman" w:eastAsia="仿宋_GB2312"/>
          <w:sz w:val="30"/>
          <w:szCs w:val="30"/>
        </w:rPr>
      </w:pPr>
    </w:p>
    <w:p>
      <w:pPr>
        <w:snapToGrid w:val="0"/>
        <w:spacing w:line="360" w:lineRule="auto"/>
        <w:rPr>
          <w:rFonts w:ascii="Times New Roman" w:hAnsi="Times New Roman" w:eastAsia="仿宋_GB2312"/>
          <w:sz w:val="30"/>
          <w:szCs w:val="30"/>
        </w:rPr>
      </w:pPr>
      <w:r>
        <w:rPr>
          <w:rFonts w:ascii="Times New Roman" w:hAnsi="Times New Roman" w:eastAsia="仿宋_GB2312"/>
          <w:sz w:val="30"/>
          <w:szCs w:val="30"/>
        </w:rPr>
        <w:drawing>
          <wp:inline distT="0" distB="0" distL="0" distR="0">
            <wp:extent cx="5321300" cy="4351020"/>
            <wp:effectExtent l="19050" t="0" r="0" b="0"/>
            <wp:docPr id="22" name="图片 2" descr="拓扑规划界面说明-2_看图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拓扑规划界面说明-2_看图王.jpg"/>
                    <pic:cNvPicPr>
                      <a:picLocks noChangeAspect="1" noChangeArrowheads="1"/>
                    </pic:cNvPicPr>
                  </pic:nvPicPr>
                  <pic:blipFill>
                    <a:blip r:embed="rId8" cstate="print"/>
                    <a:srcRect r="18372"/>
                    <a:stretch>
                      <a:fillRect/>
                    </a:stretch>
                  </pic:blipFill>
                  <pic:spPr>
                    <a:xfrm>
                      <a:off x="0" y="0"/>
                      <a:ext cx="5321300" cy="4351020"/>
                    </a:xfrm>
                    <a:prstGeom prst="rect">
                      <a:avLst/>
                    </a:prstGeom>
                    <a:noFill/>
                    <a:ln w="9525">
                      <a:noFill/>
                      <a:miter lim="800000"/>
                      <a:headEnd/>
                      <a:tailEnd/>
                    </a:ln>
                  </pic:spPr>
                </pic:pic>
              </a:graphicData>
            </a:graphic>
          </wp:inline>
        </w:drawing>
      </w:r>
    </w:p>
    <w:p>
      <w:pPr>
        <w:jc w:val="center"/>
        <w:rPr>
          <w:rFonts w:ascii="Times New Roman" w:hAnsi="Times New Roman"/>
          <w:kern w:val="0"/>
          <w:sz w:val="24"/>
          <w:szCs w:val="24"/>
        </w:rPr>
      </w:pPr>
      <w:r>
        <w:rPr>
          <w:rFonts w:ascii="Times New Roman" w:hAnsi="Times New Roman"/>
          <w:kern w:val="0"/>
          <w:sz w:val="24"/>
          <w:szCs w:val="24"/>
        </w:rPr>
        <w:drawing>
          <wp:inline distT="0" distB="0" distL="0" distR="0">
            <wp:extent cx="5077460" cy="2349500"/>
            <wp:effectExtent l="19050" t="0" r="84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9" cstate="print"/>
                    <a:srcRect/>
                    <a:stretch>
                      <a:fillRect/>
                    </a:stretch>
                  </pic:blipFill>
                  <pic:spPr>
                    <a:xfrm>
                      <a:off x="0" y="0"/>
                      <a:ext cx="5078762" cy="2350179"/>
                    </a:xfrm>
                    <a:prstGeom prst="rect">
                      <a:avLst/>
                    </a:prstGeom>
                    <a:noFill/>
                    <a:ln w="9525">
                      <a:noFill/>
                      <a:miter lim="800000"/>
                      <a:headEnd/>
                      <a:tailEnd/>
                    </a:ln>
                  </pic:spPr>
                </pic:pic>
              </a:graphicData>
            </a:graphic>
          </wp:inline>
        </w:drawing>
      </w:r>
    </w:p>
    <w:p>
      <w:pPr>
        <w:pStyle w:val="7"/>
      </w:pPr>
      <w:r>
        <w:t>图4 “4G全网建设技术”赛项模块组网示意图</w:t>
      </w:r>
    </w:p>
    <w:p>
      <w:pPr>
        <w:snapToGrid w:val="0"/>
        <w:jc w:val="center"/>
        <w:rPr>
          <w:rFonts w:ascii="Times New Roman" w:hAnsi="Times New Roman" w:eastAsia="仿宋_GB2312"/>
          <w:sz w:val="30"/>
          <w:szCs w:val="30"/>
        </w:rPr>
      </w:pPr>
      <w:r>
        <w:rPr>
          <w:rFonts w:ascii="Times New Roman" w:hAnsi="Times New Roman" w:eastAsia="仿宋_GB2312"/>
          <w:sz w:val="30"/>
          <w:szCs w:val="30"/>
        </w:rPr>
        <w:drawing>
          <wp:inline distT="0" distB="0" distL="0" distR="0">
            <wp:extent cx="5274310" cy="4415790"/>
            <wp:effectExtent l="19050" t="0" r="2540" b="0"/>
            <wp:docPr id="15" name="图片 14"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0.JPG"/>
                    <pic:cNvPicPr>
                      <a:picLocks noChangeAspect="1"/>
                    </pic:cNvPicPr>
                  </pic:nvPicPr>
                  <pic:blipFill>
                    <a:blip r:embed="rId10" cstate="print"/>
                    <a:stretch>
                      <a:fillRect/>
                    </a:stretch>
                  </pic:blipFill>
                  <pic:spPr>
                    <a:xfrm>
                      <a:off x="0" y="0"/>
                      <a:ext cx="5274310" cy="4415790"/>
                    </a:xfrm>
                    <a:prstGeom prst="rect">
                      <a:avLst/>
                    </a:prstGeom>
                  </pic:spPr>
                </pic:pic>
              </a:graphicData>
            </a:graphic>
          </wp:inline>
        </w:drawing>
      </w:r>
    </w:p>
    <w:p>
      <w:pPr>
        <w:pStyle w:val="7"/>
      </w:pPr>
      <w:r>
        <w:t>图5 “</w:t>
      </w:r>
      <w:r>
        <w:rPr>
          <w:rFonts w:hint="eastAsia"/>
        </w:rPr>
        <w:t>NB-IoT物联网平台业务测试</w:t>
      </w:r>
      <w:r>
        <w:t>”示意图</w:t>
      </w:r>
    </w:p>
    <w:p>
      <w:pPr>
        <w:snapToGrid w:val="0"/>
        <w:spacing w:line="560" w:lineRule="exact"/>
        <w:ind w:firstLine="600" w:firstLineChars="200"/>
        <w:outlineLvl w:val="0"/>
        <w:rPr>
          <w:rFonts w:ascii="黑体" w:hAnsi="黑体" w:eastAsia="黑体" w:cs="黑体"/>
          <w:bCs/>
          <w:sz w:val="30"/>
          <w:szCs w:val="30"/>
        </w:rPr>
      </w:pPr>
      <w:bookmarkStart w:id="6" w:name="_Toc522022173"/>
      <w:r>
        <w:rPr>
          <w:rFonts w:hint="eastAsia" w:ascii="黑体" w:hAnsi="黑体" w:eastAsia="黑体" w:cs="黑体"/>
          <w:bCs/>
          <w:sz w:val="30"/>
          <w:szCs w:val="30"/>
        </w:rPr>
        <w:t>七、竞赛方式</w:t>
      </w:r>
      <w:bookmarkEnd w:id="6"/>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（一）竞赛以团队方式进行，不计选手个人成绩，按照参赛队的总成绩进行排序。</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（二）参赛队伍组成：每支参赛队由2名比赛选手组成，2名选手须为普通高等学校全日制在籍专科学生。本科院校中高职类全日制在籍学生可报名参加比赛。五年制高职学生四、五年级学生可报名参加比赛。</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参赛选手比赛当年年龄需在25周岁以下（年龄计算的截止时间为2019年5月1日）。往届技能大赛获得过一等奖的学生不能再参加同一项目相同组别的比赛。每队指定队长一名，队员一名，可配2名指导教师。</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（三）2019年本赛事不邀请国际团队参赛，但会邀请相关国际团队到场观赛，具体观赛组织方式另行通知。</w:t>
      </w:r>
    </w:p>
    <w:p>
      <w:pPr>
        <w:snapToGrid w:val="0"/>
        <w:spacing w:line="560" w:lineRule="exact"/>
        <w:ind w:firstLine="600" w:firstLineChars="200"/>
        <w:outlineLvl w:val="0"/>
        <w:rPr>
          <w:rFonts w:ascii="黑体" w:hAnsi="黑体" w:eastAsia="黑体" w:cs="黑体"/>
          <w:bCs/>
          <w:sz w:val="30"/>
          <w:szCs w:val="30"/>
        </w:rPr>
      </w:pPr>
      <w:bookmarkStart w:id="7" w:name="_Toc522022174"/>
      <w:r>
        <w:rPr>
          <w:rFonts w:hint="eastAsia" w:ascii="黑体" w:hAnsi="黑体" w:eastAsia="黑体" w:cs="黑体"/>
          <w:bCs/>
          <w:sz w:val="30"/>
          <w:szCs w:val="30"/>
        </w:rPr>
        <w:t>八、竞赛时间安排与流程</w:t>
      </w:r>
      <w:bookmarkEnd w:id="7"/>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w:t>
      </w:r>
      <w:r>
        <w:rPr>
          <w:rFonts w:hint="eastAsia" w:ascii="Arial Narrow" w:hAnsi="Arial Narrow" w:eastAsia="仿宋_GB2312" w:cs="Arial"/>
          <w:sz w:val="30"/>
          <w:szCs w:val="30"/>
        </w:rPr>
        <w:t>一</w:t>
      </w:r>
      <w:r>
        <w:rPr>
          <w:rFonts w:ascii="Arial Narrow" w:hAnsi="Arial Narrow" w:eastAsia="仿宋_GB2312" w:cs="Arial"/>
          <w:sz w:val="30"/>
          <w:szCs w:val="30"/>
        </w:rPr>
        <w:t>）时间安排</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具体的竞赛日期，由全国职业院校技能大赛执委会及赛区执委会统一规定，以下所列为竞赛期间的日程安排。</w:t>
      </w:r>
    </w:p>
    <w:p>
      <w:pPr>
        <w:pStyle w:val="7"/>
      </w:pPr>
      <w:r>
        <w:t>表2 竞赛安排表（根据实际情况调整）</w:t>
      </w:r>
    </w:p>
    <w:tbl>
      <w:tblPr>
        <w:tblStyle w:val="20"/>
        <w:tblW w:w="8522" w:type="dxa"/>
        <w:jc w:val="center"/>
        <w:tblInd w:w="0" w:type="dxa"/>
        <w:tblLayout w:type="fixed"/>
        <w:tblCellMar>
          <w:top w:w="0" w:type="dxa"/>
          <w:left w:w="108" w:type="dxa"/>
          <w:bottom w:w="0" w:type="dxa"/>
          <w:right w:w="108" w:type="dxa"/>
        </w:tblCellMar>
      </w:tblPr>
      <w:tblGrid>
        <w:gridCol w:w="2130"/>
        <w:gridCol w:w="2130"/>
        <w:gridCol w:w="2131"/>
        <w:gridCol w:w="2131"/>
      </w:tblGrid>
      <w:tr>
        <w:tblPrEx>
          <w:tblLayout w:type="fixed"/>
          <w:tblCellMar>
            <w:top w:w="0" w:type="dxa"/>
            <w:left w:w="108" w:type="dxa"/>
            <w:bottom w:w="0" w:type="dxa"/>
            <w:right w:w="108" w:type="dxa"/>
          </w:tblCellMar>
        </w:tblPrEx>
        <w:trPr>
          <w:trHeight w:val="20" w:hRule="atLeast"/>
          <w:jc w:val="center"/>
        </w:trPr>
        <w:tc>
          <w:tcPr>
            <w:tcW w:w="2130" w:type="dxa"/>
            <w:tcBorders>
              <w:top w:val="single" w:color="auto" w:sz="8" w:space="0"/>
              <w:left w:val="single" w:color="auto" w:sz="8" w:space="0"/>
              <w:bottom w:val="single" w:color="auto" w:sz="8" w:space="0"/>
              <w:right w:val="single" w:color="auto" w:sz="8" w:space="0"/>
            </w:tcBorders>
            <w:vAlign w:val="center"/>
          </w:tcPr>
          <w:p>
            <w:pPr>
              <w:jc w:val="center"/>
              <w:rPr>
                <w:rFonts w:asciiTheme="minorEastAsia" w:hAnsiTheme="minorEastAsia"/>
                <w:b/>
                <w:sz w:val="24"/>
                <w:szCs w:val="24"/>
              </w:rPr>
            </w:pPr>
            <w:r>
              <w:rPr>
                <w:rFonts w:asciiTheme="minorEastAsia" w:hAnsiTheme="minorEastAsia"/>
                <w:b/>
                <w:sz w:val="24"/>
                <w:szCs w:val="24"/>
              </w:rPr>
              <w:t>日期</w:t>
            </w:r>
          </w:p>
        </w:tc>
        <w:tc>
          <w:tcPr>
            <w:tcW w:w="2130" w:type="dxa"/>
            <w:tcBorders>
              <w:top w:val="single" w:color="auto" w:sz="8" w:space="0"/>
              <w:left w:val="nil"/>
              <w:bottom w:val="single" w:color="auto" w:sz="8" w:space="0"/>
              <w:right w:val="single" w:color="auto" w:sz="8" w:space="0"/>
            </w:tcBorders>
            <w:vAlign w:val="center"/>
          </w:tcPr>
          <w:p>
            <w:pPr>
              <w:jc w:val="center"/>
              <w:rPr>
                <w:rFonts w:asciiTheme="minorEastAsia" w:hAnsiTheme="minorEastAsia"/>
                <w:b/>
                <w:sz w:val="24"/>
                <w:szCs w:val="24"/>
              </w:rPr>
            </w:pPr>
            <w:r>
              <w:rPr>
                <w:rFonts w:asciiTheme="minorEastAsia" w:hAnsiTheme="minorEastAsia"/>
                <w:b/>
                <w:sz w:val="24"/>
                <w:szCs w:val="24"/>
              </w:rPr>
              <w:t>时间</w:t>
            </w:r>
          </w:p>
        </w:tc>
        <w:tc>
          <w:tcPr>
            <w:tcW w:w="4262" w:type="dxa"/>
            <w:gridSpan w:val="2"/>
            <w:tcBorders>
              <w:top w:val="single" w:color="auto" w:sz="8" w:space="0"/>
              <w:left w:val="nil"/>
              <w:bottom w:val="single" w:color="auto" w:sz="8" w:space="0"/>
              <w:right w:val="single" w:color="000000" w:sz="8" w:space="0"/>
            </w:tcBorders>
            <w:vAlign w:val="center"/>
          </w:tcPr>
          <w:p>
            <w:pPr>
              <w:jc w:val="center"/>
              <w:rPr>
                <w:rFonts w:asciiTheme="minorEastAsia" w:hAnsiTheme="minorEastAsia"/>
                <w:b/>
                <w:sz w:val="24"/>
                <w:szCs w:val="24"/>
              </w:rPr>
            </w:pPr>
            <w:r>
              <w:rPr>
                <w:rFonts w:asciiTheme="minorEastAsia" w:hAnsiTheme="minorEastAsia"/>
                <w:b/>
                <w:sz w:val="24"/>
                <w:szCs w:val="24"/>
              </w:rPr>
              <w:t>内容</w:t>
            </w:r>
          </w:p>
        </w:tc>
      </w:tr>
      <w:tr>
        <w:tblPrEx>
          <w:tblLayout w:type="fixed"/>
          <w:tblCellMar>
            <w:top w:w="0" w:type="dxa"/>
            <w:left w:w="108" w:type="dxa"/>
            <w:bottom w:w="0" w:type="dxa"/>
            <w:right w:w="108" w:type="dxa"/>
          </w:tblCellMar>
        </w:tblPrEx>
        <w:trPr>
          <w:trHeight w:val="20" w:hRule="atLeast"/>
          <w:jc w:val="center"/>
        </w:trPr>
        <w:tc>
          <w:tcPr>
            <w:tcW w:w="2130" w:type="dxa"/>
            <w:vMerge w:val="restart"/>
            <w:tcBorders>
              <w:top w:val="nil"/>
              <w:left w:val="single" w:color="auto"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赛前</w:t>
            </w:r>
            <w:r>
              <w:rPr>
                <w:rFonts w:hint="eastAsia" w:asciiTheme="minorEastAsia" w:hAnsiTheme="minorEastAsia"/>
                <w:sz w:val="24"/>
                <w:szCs w:val="24"/>
              </w:rPr>
              <w:t>三</w:t>
            </w:r>
            <w:r>
              <w:rPr>
                <w:rFonts w:asciiTheme="minorEastAsia" w:hAnsiTheme="minorEastAsia"/>
                <w:sz w:val="24"/>
                <w:szCs w:val="24"/>
              </w:rPr>
              <w:t>天</w:t>
            </w:r>
          </w:p>
        </w:tc>
        <w:tc>
          <w:tcPr>
            <w:tcW w:w="2130" w:type="dxa"/>
            <w:vMerge w:val="restart"/>
            <w:tcBorders>
              <w:top w:val="nil"/>
              <w:left w:val="nil"/>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全天</w:t>
            </w:r>
          </w:p>
        </w:tc>
        <w:tc>
          <w:tcPr>
            <w:tcW w:w="4262" w:type="dxa"/>
            <w:gridSpan w:val="2"/>
            <w:tcBorders>
              <w:top w:val="nil"/>
              <w:left w:val="nil"/>
              <w:bottom w:val="single" w:color="auto"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报到</w:t>
            </w:r>
          </w:p>
        </w:tc>
      </w:tr>
      <w:tr>
        <w:tblPrEx>
          <w:tblLayout w:type="fixed"/>
          <w:tblCellMar>
            <w:top w:w="0" w:type="dxa"/>
            <w:left w:w="108" w:type="dxa"/>
            <w:bottom w:w="0" w:type="dxa"/>
            <w:right w:w="108" w:type="dxa"/>
          </w:tblCellMar>
        </w:tblPrEx>
        <w:trPr>
          <w:trHeight w:val="20" w:hRule="atLeast"/>
          <w:jc w:val="center"/>
        </w:trPr>
        <w:tc>
          <w:tcPr>
            <w:tcW w:w="2130" w:type="dxa"/>
            <w:vMerge w:val="continue"/>
            <w:tcBorders>
              <w:left w:val="single" w:color="auto" w:sz="8" w:space="0"/>
              <w:bottom w:val="single" w:color="auto" w:sz="8" w:space="0"/>
              <w:right w:val="single" w:color="auto" w:sz="8" w:space="0"/>
            </w:tcBorders>
            <w:vAlign w:val="center"/>
          </w:tcPr>
          <w:p>
            <w:pPr>
              <w:jc w:val="center"/>
              <w:rPr>
                <w:rFonts w:asciiTheme="minorEastAsia" w:hAnsiTheme="minorEastAsia"/>
                <w:sz w:val="24"/>
                <w:szCs w:val="24"/>
              </w:rPr>
            </w:pPr>
          </w:p>
        </w:tc>
        <w:tc>
          <w:tcPr>
            <w:tcW w:w="2130" w:type="dxa"/>
            <w:vMerge w:val="continue"/>
            <w:tcBorders>
              <w:left w:val="nil"/>
              <w:bottom w:val="single" w:color="auto" w:sz="8" w:space="0"/>
              <w:right w:val="single" w:color="auto" w:sz="8" w:space="0"/>
            </w:tcBorders>
            <w:vAlign w:val="center"/>
          </w:tcPr>
          <w:p>
            <w:pPr>
              <w:jc w:val="center"/>
              <w:rPr>
                <w:rFonts w:asciiTheme="minorEastAsia" w:hAnsiTheme="minorEastAsia"/>
                <w:sz w:val="24"/>
                <w:szCs w:val="24"/>
              </w:rPr>
            </w:pPr>
          </w:p>
        </w:tc>
        <w:tc>
          <w:tcPr>
            <w:tcW w:w="4262" w:type="dxa"/>
            <w:gridSpan w:val="2"/>
            <w:tcBorders>
              <w:top w:val="nil"/>
              <w:left w:val="nil"/>
              <w:bottom w:val="single" w:color="auto" w:sz="8" w:space="0"/>
              <w:right w:val="single" w:color="auto" w:sz="8" w:space="0"/>
            </w:tcBorders>
            <w:vAlign w:val="center"/>
          </w:tcPr>
          <w:p>
            <w:pPr>
              <w:jc w:val="center"/>
              <w:rPr>
                <w:rFonts w:asciiTheme="minorEastAsia" w:hAnsiTheme="minorEastAsia"/>
                <w:sz w:val="24"/>
                <w:szCs w:val="24"/>
              </w:rPr>
            </w:pPr>
            <w:r>
              <w:rPr>
                <w:rFonts w:hint="eastAsia" w:asciiTheme="minorEastAsia" w:hAnsiTheme="minorEastAsia"/>
                <w:sz w:val="24"/>
                <w:szCs w:val="24"/>
              </w:rPr>
              <w:t>安全自检及系统可靠性模拟测试</w:t>
            </w:r>
          </w:p>
        </w:tc>
      </w:tr>
      <w:tr>
        <w:tblPrEx>
          <w:tblLayout w:type="fixed"/>
          <w:tblCellMar>
            <w:top w:w="0" w:type="dxa"/>
            <w:left w:w="108" w:type="dxa"/>
            <w:bottom w:w="0" w:type="dxa"/>
            <w:right w:w="108" w:type="dxa"/>
          </w:tblCellMar>
        </w:tblPrEx>
        <w:trPr>
          <w:trHeight w:val="20" w:hRule="atLeast"/>
          <w:jc w:val="center"/>
        </w:trPr>
        <w:tc>
          <w:tcPr>
            <w:tcW w:w="2130" w:type="dxa"/>
            <w:vMerge w:val="restart"/>
            <w:tcBorders>
              <w:top w:val="nil"/>
              <w:left w:val="single" w:color="auto"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赛前一天</w:t>
            </w:r>
          </w:p>
        </w:tc>
        <w:tc>
          <w:tcPr>
            <w:tcW w:w="2130" w:type="dxa"/>
            <w:tcBorders>
              <w:top w:val="nil"/>
              <w:left w:val="nil"/>
              <w:bottom w:val="single" w:color="auto"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9:00-13:00</w:t>
            </w:r>
          </w:p>
        </w:tc>
        <w:tc>
          <w:tcPr>
            <w:tcW w:w="2131" w:type="dxa"/>
            <w:vMerge w:val="restart"/>
            <w:tcBorders>
              <w:top w:val="nil"/>
              <w:left w:val="single" w:color="auto"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赛前事项</w:t>
            </w:r>
          </w:p>
        </w:tc>
        <w:tc>
          <w:tcPr>
            <w:tcW w:w="2131" w:type="dxa"/>
            <w:tcBorders>
              <w:top w:val="nil"/>
              <w:left w:val="nil"/>
              <w:bottom w:val="single" w:color="auto"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报到</w:t>
            </w:r>
          </w:p>
        </w:tc>
      </w:tr>
      <w:tr>
        <w:tblPrEx>
          <w:tblLayout w:type="fixed"/>
          <w:tblCellMar>
            <w:top w:w="0" w:type="dxa"/>
            <w:left w:w="108" w:type="dxa"/>
            <w:bottom w:w="0" w:type="dxa"/>
            <w:right w:w="108" w:type="dxa"/>
          </w:tblCellMar>
        </w:tblPrEx>
        <w:trPr>
          <w:trHeight w:val="20" w:hRule="atLeast"/>
          <w:jc w:val="center"/>
        </w:trPr>
        <w:tc>
          <w:tcPr>
            <w:tcW w:w="2130" w:type="dxa"/>
            <w:vMerge w:val="continue"/>
            <w:tcBorders>
              <w:left w:val="single" w:color="auto" w:sz="8" w:space="0"/>
              <w:right w:val="single" w:color="auto" w:sz="8" w:space="0"/>
            </w:tcBorders>
            <w:vAlign w:val="center"/>
          </w:tcPr>
          <w:p>
            <w:pPr>
              <w:jc w:val="center"/>
              <w:rPr>
                <w:rFonts w:asciiTheme="minorEastAsia" w:hAnsiTheme="minorEastAsia"/>
                <w:sz w:val="24"/>
                <w:szCs w:val="24"/>
              </w:rPr>
            </w:pPr>
          </w:p>
        </w:tc>
        <w:tc>
          <w:tcPr>
            <w:tcW w:w="2130" w:type="dxa"/>
            <w:tcBorders>
              <w:top w:val="nil"/>
              <w:left w:val="nil"/>
              <w:bottom w:val="single" w:color="auto"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14:00-15:30</w:t>
            </w:r>
          </w:p>
        </w:tc>
        <w:tc>
          <w:tcPr>
            <w:tcW w:w="2131" w:type="dxa"/>
            <w:vMerge w:val="continue"/>
            <w:tcBorders>
              <w:left w:val="single" w:color="auto" w:sz="8" w:space="0"/>
              <w:right w:val="single" w:color="auto" w:sz="8" w:space="0"/>
            </w:tcBorders>
            <w:vAlign w:val="center"/>
          </w:tcPr>
          <w:p>
            <w:pPr>
              <w:jc w:val="center"/>
              <w:rPr>
                <w:rFonts w:asciiTheme="minorEastAsia" w:hAnsiTheme="minorEastAsia"/>
                <w:sz w:val="24"/>
                <w:szCs w:val="24"/>
              </w:rPr>
            </w:pPr>
          </w:p>
        </w:tc>
        <w:tc>
          <w:tcPr>
            <w:tcW w:w="2131" w:type="dxa"/>
            <w:tcBorders>
              <w:top w:val="nil"/>
              <w:left w:val="nil"/>
              <w:bottom w:val="single" w:color="auto"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开幕式</w:t>
            </w:r>
          </w:p>
        </w:tc>
      </w:tr>
      <w:tr>
        <w:tblPrEx>
          <w:tblLayout w:type="fixed"/>
          <w:tblCellMar>
            <w:top w:w="0" w:type="dxa"/>
            <w:left w:w="108" w:type="dxa"/>
            <w:bottom w:w="0" w:type="dxa"/>
            <w:right w:w="108" w:type="dxa"/>
          </w:tblCellMar>
        </w:tblPrEx>
        <w:trPr>
          <w:trHeight w:val="20" w:hRule="atLeast"/>
          <w:jc w:val="center"/>
        </w:trPr>
        <w:tc>
          <w:tcPr>
            <w:tcW w:w="2130" w:type="dxa"/>
            <w:vMerge w:val="continue"/>
            <w:tcBorders>
              <w:left w:val="single" w:color="auto" w:sz="8" w:space="0"/>
              <w:bottom w:val="single" w:color="000000" w:sz="8" w:space="0"/>
              <w:right w:val="single" w:color="auto" w:sz="8" w:space="0"/>
            </w:tcBorders>
            <w:vAlign w:val="center"/>
          </w:tcPr>
          <w:p>
            <w:pPr>
              <w:jc w:val="center"/>
              <w:rPr>
                <w:rFonts w:asciiTheme="minorEastAsia" w:hAnsiTheme="minorEastAsia"/>
                <w:sz w:val="24"/>
                <w:szCs w:val="24"/>
              </w:rPr>
            </w:pPr>
          </w:p>
        </w:tc>
        <w:tc>
          <w:tcPr>
            <w:tcW w:w="2130" w:type="dxa"/>
            <w:tcBorders>
              <w:top w:val="nil"/>
              <w:left w:val="nil"/>
              <w:bottom w:val="single" w:color="auto"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15:30-16:00</w:t>
            </w:r>
          </w:p>
        </w:tc>
        <w:tc>
          <w:tcPr>
            <w:tcW w:w="2131" w:type="dxa"/>
            <w:vMerge w:val="continue"/>
            <w:tcBorders>
              <w:left w:val="single" w:color="auto" w:sz="8" w:space="0"/>
              <w:bottom w:val="single" w:color="000000" w:sz="8" w:space="0"/>
              <w:right w:val="single" w:color="auto" w:sz="8" w:space="0"/>
            </w:tcBorders>
            <w:vAlign w:val="center"/>
          </w:tcPr>
          <w:p>
            <w:pPr>
              <w:jc w:val="center"/>
              <w:rPr>
                <w:rFonts w:asciiTheme="minorEastAsia" w:hAnsiTheme="minorEastAsia"/>
                <w:sz w:val="24"/>
                <w:szCs w:val="24"/>
              </w:rPr>
            </w:pPr>
          </w:p>
        </w:tc>
        <w:tc>
          <w:tcPr>
            <w:tcW w:w="2131" w:type="dxa"/>
            <w:tcBorders>
              <w:top w:val="nil"/>
              <w:left w:val="nil"/>
              <w:bottom w:val="single" w:color="auto"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领队说明会</w:t>
            </w:r>
          </w:p>
        </w:tc>
      </w:tr>
      <w:tr>
        <w:tblPrEx>
          <w:tblLayout w:type="fixed"/>
          <w:tblCellMar>
            <w:top w:w="0" w:type="dxa"/>
            <w:left w:w="108" w:type="dxa"/>
            <w:bottom w:w="0" w:type="dxa"/>
            <w:right w:w="108" w:type="dxa"/>
          </w:tblCellMar>
        </w:tblPrEx>
        <w:trPr>
          <w:trHeight w:val="20" w:hRule="atLeast"/>
          <w:jc w:val="center"/>
        </w:trPr>
        <w:tc>
          <w:tcPr>
            <w:tcW w:w="2130" w:type="dxa"/>
            <w:vMerge w:val="continue"/>
            <w:tcBorders>
              <w:left w:val="single" w:color="auto" w:sz="8" w:space="0"/>
              <w:bottom w:val="single" w:color="000000" w:sz="8" w:space="0"/>
              <w:right w:val="single" w:color="auto" w:sz="8" w:space="0"/>
            </w:tcBorders>
            <w:vAlign w:val="center"/>
          </w:tcPr>
          <w:p>
            <w:pPr>
              <w:jc w:val="center"/>
              <w:rPr>
                <w:rFonts w:asciiTheme="minorEastAsia" w:hAnsiTheme="minorEastAsia"/>
                <w:sz w:val="24"/>
                <w:szCs w:val="24"/>
              </w:rPr>
            </w:pPr>
          </w:p>
        </w:tc>
        <w:tc>
          <w:tcPr>
            <w:tcW w:w="2130" w:type="dxa"/>
            <w:tcBorders>
              <w:top w:val="nil"/>
              <w:left w:val="nil"/>
              <w:bottom w:val="single" w:color="auto"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16:00-18:00</w:t>
            </w:r>
          </w:p>
        </w:tc>
        <w:tc>
          <w:tcPr>
            <w:tcW w:w="2131" w:type="dxa"/>
            <w:vMerge w:val="continue"/>
            <w:tcBorders>
              <w:left w:val="single" w:color="auto" w:sz="8" w:space="0"/>
              <w:bottom w:val="single" w:color="000000" w:sz="8" w:space="0"/>
              <w:right w:val="single" w:color="auto" w:sz="8" w:space="0"/>
            </w:tcBorders>
            <w:vAlign w:val="center"/>
          </w:tcPr>
          <w:p>
            <w:pPr>
              <w:jc w:val="center"/>
              <w:rPr>
                <w:rFonts w:asciiTheme="minorEastAsia" w:hAnsiTheme="minorEastAsia"/>
                <w:sz w:val="24"/>
                <w:szCs w:val="24"/>
              </w:rPr>
            </w:pPr>
          </w:p>
        </w:tc>
        <w:tc>
          <w:tcPr>
            <w:tcW w:w="2131" w:type="dxa"/>
            <w:tcBorders>
              <w:top w:val="nil"/>
              <w:left w:val="nil"/>
              <w:bottom w:val="single" w:color="auto"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熟悉赛场</w:t>
            </w:r>
          </w:p>
        </w:tc>
      </w:tr>
      <w:tr>
        <w:tblPrEx>
          <w:tblLayout w:type="fixed"/>
          <w:tblCellMar>
            <w:top w:w="0" w:type="dxa"/>
            <w:left w:w="108" w:type="dxa"/>
            <w:bottom w:w="0" w:type="dxa"/>
            <w:right w:w="108" w:type="dxa"/>
          </w:tblCellMar>
        </w:tblPrEx>
        <w:trPr>
          <w:trHeight w:val="497" w:hRule="atLeast"/>
          <w:jc w:val="center"/>
        </w:trPr>
        <w:tc>
          <w:tcPr>
            <w:tcW w:w="2130" w:type="dxa"/>
            <w:vMerge w:val="restart"/>
            <w:tcBorders>
              <w:top w:val="nil"/>
              <w:left w:val="single" w:color="auto" w:sz="8" w:space="0"/>
              <w:bottom w:val="single" w:color="000000"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比赛当天</w:t>
            </w:r>
          </w:p>
        </w:tc>
        <w:tc>
          <w:tcPr>
            <w:tcW w:w="2130" w:type="dxa"/>
            <w:tcBorders>
              <w:top w:val="nil"/>
              <w:left w:val="nil"/>
              <w:bottom w:val="single" w:color="auto"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7:30-8:20</w:t>
            </w:r>
          </w:p>
        </w:tc>
        <w:tc>
          <w:tcPr>
            <w:tcW w:w="2131" w:type="dxa"/>
            <w:vMerge w:val="restart"/>
            <w:tcBorders>
              <w:top w:val="nil"/>
              <w:left w:val="single" w:color="auto" w:sz="8" w:space="0"/>
              <w:bottom w:val="single" w:color="000000"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比赛事项</w:t>
            </w:r>
          </w:p>
        </w:tc>
        <w:tc>
          <w:tcPr>
            <w:tcW w:w="2131" w:type="dxa"/>
            <w:tcBorders>
              <w:top w:val="nil"/>
              <w:left w:val="nil"/>
              <w:bottom w:val="single" w:color="auto"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检录、一次加密、二次加密</w:t>
            </w:r>
          </w:p>
        </w:tc>
      </w:tr>
      <w:tr>
        <w:tblPrEx>
          <w:tblLayout w:type="fixed"/>
          <w:tblCellMar>
            <w:top w:w="0" w:type="dxa"/>
            <w:left w:w="108" w:type="dxa"/>
            <w:bottom w:w="0" w:type="dxa"/>
            <w:right w:w="108" w:type="dxa"/>
          </w:tblCellMar>
        </w:tblPrEx>
        <w:trPr>
          <w:trHeight w:val="20" w:hRule="atLeast"/>
          <w:jc w:val="center"/>
        </w:trPr>
        <w:tc>
          <w:tcPr>
            <w:tcW w:w="2130" w:type="dxa"/>
            <w:vMerge w:val="continue"/>
            <w:tcBorders>
              <w:top w:val="nil"/>
              <w:left w:val="single" w:color="auto" w:sz="8" w:space="0"/>
              <w:bottom w:val="single" w:color="000000" w:sz="8" w:space="0"/>
              <w:right w:val="single" w:color="auto" w:sz="8" w:space="0"/>
            </w:tcBorders>
            <w:vAlign w:val="center"/>
          </w:tcPr>
          <w:p>
            <w:pPr>
              <w:jc w:val="center"/>
              <w:rPr>
                <w:rFonts w:asciiTheme="minorEastAsia" w:hAnsiTheme="minorEastAsia"/>
                <w:sz w:val="24"/>
                <w:szCs w:val="24"/>
              </w:rPr>
            </w:pPr>
          </w:p>
        </w:tc>
        <w:tc>
          <w:tcPr>
            <w:tcW w:w="2130" w:type="dxa"/>
            <w:tcBorders>
              <w:top w:val="nil"/>
              <w:left w:val="nil"/>
              <w:bottom w:val="single" w:color="auto"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8:20-8:25</w:t>
            </w:r>
          </w:p>
        </w:tc>
        <w:tc>
          <w:tcPr>
            <w:tcW w:w="2131" w:type="dxa"/>
            <w:vMerge w:val="continue"/>
            <w:tcBorders>
              <w:top w:val="nil"/>
              <w:left w:val="single" w:color="auto" w:sz="8" w:space="0"/>
              <w:bottom w:val="single" w:color="000000" w:sz="8" w:space="0"/>
              <w:right w:val="single" w:color="auto" w:sz="8" w:space="0"/>
            </w:tcBorders>
            <w:vAlign w:val="center"/>
          </w:tcPr>
          <w:p>
            <w:pPr>
              <w:jc w:val="center"/>
              <w:rPr>
                <w:rFonts w:asciiTheme="minorEastAsia" w:hAnsiTheme="minorEastAsia"/>
                <w:sz w:val="24"/>
                <w:szCs w:val="24"/>
              </w:rPr>
            </w:pPr>
          </w:p>
        </w:tc>
        <w:tc>
          <w:tcPr>
            <w:tcW w:w="2131" w:type="dxa"/>
            <w:tcBorders>
              <w:top w:val="nil"/>
              <w:left w:val="nil"/>
              <w:bottom w:val="single" w:color="auto"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参赛队就位并领取比赛任务</w:t>
            </w:r>
          </w:p>
        </w:tc>
      </w:tr>
      <w:tr>
        <w:tblPrEx>
          <w:tblLayout w:type="fixed"/>
          <w:tblCellMar>
            <w:top w:w="0" w:type="dxa"/>
            <w:left w:w="108" w:type="dxa"/>
            <w:bottom w:w="0" w:type="dxa"/>
            <w:right w:w="108" w:type="dxa"/>
          </w:tblCellMar>
        </w:tblPrEx>
        <w:trPr>
          <w:trHeight w:val="20" w:hRule="atLeast"/>
          <w:jc w:val="center"/>
        </w:trPr>
        <w:tc>
          <w:tcPr>
            <w:tcW w:w="2130" w:type="dxa"/>
            <w:vMerge w:val="continue"/>
            <w:tcBorders>
              <w:top w:val="nil"/>
              <w:left w:val="single" w:color="auto" w:sz="8" w:space="0"/>
              <w:bottom w:val="single" w:color="000000" w:sz="8" w:space="0"/>
              <w:right w:val="single" w:color="auto" w:sz="8" w:space="0"/>
            </w:tcBorders>
            <w:vAlign w:val="center"/>
          </w:tcPr>
          <w:p>
            <w:pPr>
              <w:jc w:val="center"/>
              <w:rPr>
                <w:rFonts w:asciiTheme="minorEastAsia" w:hAnsiTheme="minorEastAsia"/>
                <w:sz w:val="24"/>
                <w:szCs w:val="24"/>
              </w:rPr>
            </w:pPr>
          </w:p>
        </w:tc>
        <w:tc>
          <w:tcPr>
            <w:tcW w:w="2130" w:type="dxa"/>
            <w:tcBorders>
              <w:top w:val="nil"/>
              <w:left w:val="nil"/>
              <w:bottom w:val="single" w:color="auto" w:sz="8" w:space="0"/>
              <w:right w:val="single" w:color="auto" w:sz="8" w:space="0"/>
            </w:tcBorders>
            <w:vAlign w:val="center"/>
          </w:tcPr>
          <w:p>
            <w:pPr>
              <w:jc w:val="center"/>
              <w:rPr>
                <w:rFonts w:asciiTheme="minorEastAsia" w:hAnsiTheme="minorEastAsia"/>
                <w:kern w:val="0"/>
                <w:sz w:val="24"/>
                <w:szCs w:val="24"/>
              </w:rPr>
            </w:pPr>
            <w:r>
              <w:rPr>
                <w:rFonts w:asciiTheme="minorEastAsia" w:hAnsiTheme="minorEastAsia"/>
                <w:sz w:val="24"/>
                <w:szCs w:val="24"/>
              </w:rPr>
              <w:t>8:25-8:30</w:t>
            </w:r>
          </w:p>
        </w:tc>
        <w:tc>
          <w:tcPr>
            <w:tcW w:w="2131" w:type="dxa"/>
            <w:vMerge w:val="continue"/>
            <w:tcBorders>
              <w:top w:val="nil"/>
              <w:left w:val="single" w:color="auto" w:sz="8" w:space="0"/>
              <w:bottom w:val="single" w:color="000000" w:sz="8" w:space="0"/>
              <w:right w:val="single" w:color="auto" w:sz="8" w:space="0"/>
            </w:tcBorders>
            <w:vAlign w:val="center"/>
          </w:tcPr>
          <w:p>
            <w:pPr>
              <w:jc w:val="center"/>
              <w:rPr>
                <w:rFonts w:asciiTheme="minorEastAsia" w:hAnsiTheme="minorEastAsia"/>
                <w:sz w:val="24"/>
                <w:szCs w:val="24"/>
              </w:rPr>
            </w:pPr>
          </w:p>
        </w:tc>
        <w:tc>
          <w:tcPr>
            <w:tcW w:w="2131" w:type="dxa"/>
            <w:tcBorders>
              <w:top w:val="nil"/>
              <w:left w:val="nil"/>
              <w:bottom w:val="single" w:color="auto"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比赛环境检查</w:t>
            </w:r>
          </w:p>
        </w:tc>
      </w:tr>
      <w:tr>
        <w:tblPrEx>
          <w:tblLayout w:type="fixed"/>
          <w:tblCellMar>
            <w:top w:w="0" w:type="dxa"/>
            <w:left w:w="108" w:type="dxa"/>
            <w:bottom w:w="0" w:type="dxa"/>
            <w:right w:w="108" w:type="dxa"/>
          </w:tblCellMar>
        </w:tblPrEx>
        <w:trPr>
          <w:trHeight w:val="20" w:hRule="atLeast"/>
          <w:jc w:val="center"/>
        </w:trPr>
        <w:tc>
          <w:tcPr>
            <w:tcW w:w="2130" w:type="dxa"/>
            <w:vMerge w:val="continue"/>
            <w:tcBorders>
              <w:top w:val="nil"/>
              <w:left w:val="single" w:color="auto" w:sz="8" w:space="0"/>
              <w:bottom w:val="single" w:color="000000" w:sz="8" w:space="0"/>
              <w:right w:val="single" w:color="auto" w:sz="8" w:space="0"/>
            </w:tcBorders>
            <w:vAlign w:val="center"/>
          </w:tcPr>
          <w:p>
            <w:pPr>
              <w:jc w:val="center"/>
              <w:rPr>
                <w:rFonts w:asciiTheme="minorEastAsia" w:hAnsiTheme="minorEastAsia"/>
                <w:sz w:val="24"/>
                <w:szCs w:val="24"/>
              </w:rPr>
            </w:pPr>
          </w:p>
        </w:tc>
        <w:tc>
          <w:tcPr>
            <w:tcW w:w="2130" w:type="dxa"/>
            <w:tcBorders>
              <w:top w:val="nil"/>
              <w:left w:val="nil"/>
              <w:bottom w:val="single" w:color="auto" w:sz="8" w:space="0"/>
              <w:right w:val="single" w:color="auto" w:sz="8" w:space="0"/>
            </w:tcBorders>
            <w:vAlign w:val="center"/>
          </w:tcPr>
          <w:p>
            <w:pPr>
              <w:jc w:val="center"/>
              <w:rPr>
                <w:rFonts w:asciiTheme="minorEastAsia" w:hAnsiTheme="minorEastAsia"/>
                <w:sz w:val="24"/>
                <w:szCs w:val="24"/>
              </w:rPr>
            </w:pPr>
            <w:r>
              <w:rPr>
                <w:rFonts w:asciiTheme="minorEastAsia" w:hAnsiTheme="minorEastAsia"/>
                <w:kern w:val="0"/>
                <w:sz w:val="24"/>
                <w:szCs w:val="24"/>
              </w:rPr>
              <w:t>8</w:t>
            </w:r>
            <w:r>
              <w:rPr>
                <w:rFonts w:asciiTheme="minorEastAsia" w:hAnsiTheme="minorEastAsia"/>
                <w:sz w:val="24"/>
                <w:szCs w:val="24"/>
              </w:rPr>
              <w:t>:</w:t>
            </w:r>
            <w:r>
              <w:rPr>
                <w:rFonts w:asciiTheme="minorEastAsia" w:hAnsiTheme="minorEastAsia"/>
                <w:kern w:val="0"/>
                <w:sz w:val="24"/>
                <w:szCs w:val="24"/>
              </w:rPr>
              <w:t>30-12:30</w:t>
            </w:r>
          </w:p>
        </w:tc>
        <w:tc>
          <w:tcPr>
            <w:tcW w:w="2131" w:type="dxa"/>
            <w:vMerge w:val="continue"/>
            <w:tcBorders>
              <w:top w:val="nil"/>
              <w:left w:val="single" w:color="auto" w:sz="8" w:space="0"/>
              <w:bottom w:val="single" w:color="000000" w:sz="8" w:space="0"/>
              <w:right w:val="single" w:color="auto" w:sz="8" w:space="0"/>
            </w:tcBorders>
            <w:vAlign w:val="center"/>
          </w:tcPr>
          <w:p>
            <w:pPr>
              <w:jc w:val="center"/>
              <w:rPr>
                <w:rFonts w:asciiTheme="minorEastAsia" w:hAnsiTheme="minorEastAsia"/>
                <w:sz w:val="24"/>
                <w:szCs w:val="24"/>
              </w:rPr>
            </w:pPr>
          </w:p>
        </w:tc>
        <w:tc>
          <w:tcPr>
            <w:tcW w:w="2131" w:type="dxa"/>
            <w:tcBorders>
              <w:top w:val="nil"/>
              <w:left w:val="nil"/>
              <w:bottom w:val="single" w:color="auto"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竞赛</w:t>
            </w:r>
          </w:p>
        </w:tc>
      </w:tr>
      <w:tr>
        <w:tblPrEx>
          <w:tblLayout w:type="fixed"/>
          <w:tblCellMar>
            <w:top w:w="0" w:type="dxa"/>
            <w:left w:w="108" w:type="dxa"/>
            <w:bottom w:w="0" w:type="dxa"/>
            <w:right w:w="108" w:type="dxa"/>
          </w:tblCellMar>
        </w:tblPrEx>
        <w:trPr>
          <w:trHeight w:val="20" w:hRule="atLeast"/>
          <w:jc w:val="center"/>
        </w:trPr>
        <w:tc>
          <w:tcPr>
            <w:tcW w:w="2130" w:type="dxa"/>
            <w:vMerge w:val="continue"/>
            <w:tcBorders>
              <w:top w:val="nil"/>
              <w:left w:val="single" w:color="auto" w:sz="8" w:space="0"/>
              <w:bottom w:val="single" w:color="000000" w:sz="8" w:space="0"/>
              <w:right w:val="single" w:color="auto" w:sz="8" w:space="0"/>
            </w:tcBorders>
            <w:vAlign w:val="center"/>
          </w:tcPr>
          <w:p>
            <w:pPr>
              <w:jc w:val="center"/>
              <w:rPr>
                <w:rFonts w:asciiTheme="minorEastAsia" w:hAnsiTheme="minorEastAsia"/>
                <w:sz w:val="24"/>
                <w:szCs w:val="24"/>
              </w:rPr>
            </w:pPr>
          </w:p>
        </w:tc>
        <w:tc>
          <w:tcPr>
            <w:tcW w:w="2130" w:type="dxa"/>
            <w:tcBorders>
              <w:top w:val="nil"/>
              <w:left w:val="nil"/>
              <w:bottom w:val="single" w:color="auto" w:sz="8" w:space="0"/>
              <w:right w:val="single" w:color="auto" w:sz="8" w:space="0"/>
            </w:tcBorders>
            <w:vAlign w:val="center"/>
          </w:tcPr>
          <w:p>
            <w:pPr>
              <w:jc w:val="center"/>
              <w:rPr>
                <w:rFonts w:asciiTheme="minorEastAsia" w:hAnsiTheme="minorEastAsia"/>
                <w:kern w:val="0"/>
                <w:sz w:val="24"/>
                <w:szCs w:val="24"/>
              </w:rPr>
            </w:pPr>
            <w:r>
              <w:rPr>
                <w:rFonts w:asciiTheme="minorEastAsia" w:hAnsiTheme="minorEastAsia"/>
                <w:kern w:val="0"/>
                <w:sz w:val="24"/>
                <w:szCs w:val="24"/>
              </w:rPr>
              <w:t>12:45-</w:t>
            </w:r>
          </w:p>
        </w:tc>
        <w:tc>
          <w:tcPr>
            <w:tcW w:w="2131" w:type="dxa"/>
            <w:vMerge w:val="continue"/>
            <w:tcBorders>
              <w:top w:val="nil"/>
              <w:left w:val="single" w:color="auto" w:sz="8" w:space="0"/>
              <w:bottom w:val="single" w:color="000000" w:sz="8" w:space="0"/>
              <w:right w:val="single" w:color="auto" w:sz="8" w:space="0"/>
            </w:tcBorders>
            <w:vAlign w:val="center"/>
          </w:tcPr>
          <w:p>
            <w:pPr>
              <w:jc w:val="center"/>
              <w:rPr>
                <w:rFonts w:asciiTheme="minorEastAsia" w:hAnsiTheme="minorEastAsia"/>
                <w:sz w:val="24"/>
                <w:szCs w:val="24"/>
              </w:rPr>
            </w:pPr>
          </w:p>
        </w:tc>
        <w:tc>
          <w:tcPr>
            <w:tcW w:w="2131" w:type="dxa"/>
            <w:tcBorders>
              <w:top w:val="nil"/>
              <w:left w:val="nil"/>
              <w:bottom w:val="single" w:color="auto"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裁判评分</w:t>
            </w:r>
          </w:p>
        </w:tc>
      </w:tr>
      <w:tr>
        <w:tblPrEx>
          <w:tblLayout w:type="fixed"/>
          <w:tblCellMar>
            <w:top w:w="0" w:type="dxa"/>
            <w:left w:w="108" w:type="dxa"/>
            <w:bottom w:w="0" w:type="dxa"/>
            <w:right w:w="108" w:type="dxa"/>
          </w:tblCellMar>
        </w:tblPrEx>
        <w:trPr>
          <w:trHeight w:val="20" w:hRule="atLeast"/>
          <w:jc w:val="center"/>
        </w:trPr>
        <w:tc>
          <w:tcPr>
            <w:tcW w:w="2130" w:type="dxa"/>
            <w:vMerge w:val="restart"/>
            <w:tcBorders>
              <w:top w:val="nil"/>
              <w:left w:val="single" w:color="auto" w:sz="8" w:space="0"/>
              <w:bottom w:val="single" w:color="000000"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赛后一天</w:t>
            </w:r>
          </w:p>
        </w:tc>
        <w:tc>
          <w:tcPr>
            <w:tcW w:w="2130" w:type="dxa"/>
            <w:tcBorders>
              <w:top w:val="nil"/>
              <w:left w:val="nil"/>
              <w:bottom w:val="single" w:color="auto" w:sz="8" w:space="0"/>
              <w:right w:val="single" w:color="auto" w:sz="8" w:space="0"/>
            </w:tcBorders>
            <w:vAlign w:val="center"/>
          </w:tcPr>
          <w:p>
            <w:pPr>
              <w:jc w:val="center"/>
              <w:rPr>
                <w:rFonts w:asciiTheme="minorEastAsia" w:hAnsiTheme="minorEastAsia"/>
                <w:kern w:val="0"/>
                <w:sz w:val="24"/>
                <w:szCs w:val="24"/>
              </w:rPr>
            </w:pPr>
            <w:r>
              <w:rPr>
                <w:rFonts w:asciiTheme="minorEastAsia" w:hAnsiTheme="minorEastAsia"/>
                <w:kern w:val="0"/>
                <w:sz w:val="24"/>
                <w:szCs w:val="24"/>
              </w:rPr>
              <w:t>8:00-8:30</w:t>
            </w:r>
          </w:p>
        </w:tc>
        <w:tc>
          <w:tcPr>
            <w:tcW w:w="2131" w:type="dxa"/>
            <w:vMerge w:val="restart"/>
            <w:tcBorders>
              <w:top w:val="nil"/>
              <w:left w:val="single" w:color="auto" w:sz="8" w:space="0"/>
              <w:bottom w:val="single" w:color="000000"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闭幕式</w:t>
            </w:r>
          </w:p>
        </w:tc>
        <w:tc>
          <w:tcPr>
            <w:tcW w:w="2131" w:type="dxa"/>
            <w:tcBorders>
              <w:top w:val="nil"/>
              <w:left w:val="nil"/>
              <w:bottom w:val="single" w:color="auto"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宣布竞赛成绩</w:t>
            </w:r>
          </w:p>
        </w:tc>
      </w:tr>
      <w:tr>
        <w:tblPrEx>
          <w:tblLayout w:type="fixed"/>
          <w:tblCellMar>
            <w:top w:w="0" w:type="dxa"/>
            <w:left w:w="108" w:type="dxa"/>
            <w:bottom w:w="0" w:type="dxa"/>
            <w:right w:w="108" w:type="dxa"/>
          </w:tblCellMar>
        </w:tblPrEx>
        <w:trPr>
          <w:trHeight w:val="20" w:hRule="atLeast"/>
          <w:jc w:val="center"/>
        </w:trPr>
        <w:tc>
          <w:tcPr>
            <w:tcW w:w="2130" w:type="dxa"/>
            <w:vMerge w:val="continue"/>
            <w:tcBorders>
              <w:top w:val="nil"/>
              <w:left w:val="single" w:color="auto" w:sz="8" w:space="0"/>
              <w:bottom w:val="single" w:color="000000" w:sz="8" w:space="0"/>
              <w:right w:val="single" w:color="auto" w:sz="8" w:space="0"/>
            </w:tcBorders>
            <w:vAlign w:val="center"/>
          </w:tcPr>
          <w:p>
            <w:pPr>
              <w:rPr>
                <w:rFonts w:asciiTheme="minorEastAsia" w:hAnsiTheme="minorEastAsia"/>
                <w:sz w:val="24"/>
                <w:szCs w:val="24"/>
              </w:rPr>
            </w:pPr>
          </w:p>
        </w:tc>
        <w:tc>
          <w:tcPr>
            <w:tcW w:w="2130" w:type="dxa"/>
            <w:tcBorders>
              <w:top w:val="nil"/>
              <w:left w:val="nil"/>
              <w:bottom w:val="single" w:color="auto" w:sz="8" w:space="0"/>
              <w:right w:val="single" w:color="auto" w:sz="8" w:space="0"/>
            </w:tcBorders>
            <w:vAlign w:val="center"/>
          </w:tcPr>
          <w:p>
            <w:pPr>
              <w:jc w:val="center"/>
              <w:rPr>
                <w:rFonts w:asciiTheme="minorEastAsia" w:hAnsiTheme="minorEastAsia"/>
                <w:kern w:val="0"/>
                <w:sz w:val="24"/>
                <w:szCs w:val="24"/>
              </w:rPr>
            </w:pPr>
            <w:r>
              <w:rPr>
                <w:rFonts w:asciiTheme="minorEastAsia" w:hAnsiTheme="minorEastAsia"/>
                <w:kern w:val="0"/>
                <w:sz w:val="24"/>
                <w:szCs w:val="24"/>
              </w:rPr>
              <w:t>9:00-10:00</w:t>
            </w:r>
          </w:p>
        </w:tc>
        <w:tc>
          <w:tcPr>
            <w:tcW w:w="2131" w:type="dxa"/>
            <w:vMerge w:val="continue"/>
            <w:tcBorders>
              <w:top w:val="nil"/>
              <w:left w:val="single" w:color="auto" w:sz="8" w:space="0"/>
              <w:bottom w:val="single" w:color="000000" w:sz="8" w:space="0"/>
              <w:right w:val="single" w:color="auto" w:sz="8" w:space="0"/>
            </w:tcBorders>
            <w:vAlign w:val="center"/>
          </w:tcPr>
          <w:p>
            <w:pPr>
              <w:jc w:val="center"/>
              <w:rPr>
                <w:rFonts w:asciiTheme="minorEastAsia" w:hAnsiTheme="minorEastAsia"/>
                <w:sz w:val="24"/>
                <w:szCs w:val="24"/>
              </w:rPr>
            </w:pPr>
          </w:p>
        </w:tc>
        <w:tc>
          <w:tcPr>
            <w:tcW w:w="2131" w:type="dxa"/>
            <w:tcBorders>
              <w:top w:val="nil"/>
              <w:left w:val="nil"/>
              <w:bottom w:val="single" w:color="auto"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闭赛与颁奖仪式</w:t>
            </w:r>
          </w:p>
        </w:tc>
      </w:tr>
      <w:tr>
        <w:tblPrEx>
          <w:tblLayout w:type="fixed"/>
          <w:tblCellMar>
            <w:top w:w="0" w:type="dxa"/>
            <w:left w:w="108" w:type="dxa"/>
            <w:bottom w:w="0" w:type="dxa"/>
            <w:right w:w="108" w:type="dxa"/>
          </w:tblCellMar>
        </w:tblPrEx>
        <w:trPr>
          <w:trHeight w:val="20" w:hRule="atLeast"/>
          <w:jc w:val="center"/>
        </w:trPr>
        <w:tc>
          <w:tcPr>
            <w:tcW w:w="2130" w:type="dxa"/>
            <w:vMerge w:val="continue"/>
            <w:tcBorders>
              <w:top w:val="nil"/>
              <w:left w:val="single" w:color="auto" w:sz="8" w:space="0"/>
              <w:bottom w:val="single" w:color="000000" w:sz="8" w:space="0"/>
              <w:right w:val="single" w:color="auto" w:sz="8" w:space="0"/>
            </w:tcBorders>
            <w:vAlign w:val="center"/>
          </w:tcPr>
          <w:p>
            <w:pPr>
              <w:rPr>
                <w:rFonts w:asciiTheme="minorEastAsia" w:hAnsiTheme="minorEastAsia"/>
                <w:sz w:val="24"/>
                <w:szCs w:val="24"/>
              </w:rPr>
            </w:pPr>
          </w:p>
        </w:tc>
        <w:tc>
          <w:tcPr>
            <w:tcW w:w="2130" w:type="dxa"/>
            <w:tcBorders>
              <w:top w:val="nil"/>
              <w:left w:val="nil"/>
              <w:bottom w:val="single" w:color="auto" w:sz="8" w:space="0"/>
              <w:right w:val="single" w:color="auto" w:sz="8" w:space="0"/>
            </w:tcBorders>
            <w:vAlign w:val="center"/>
          </w:tcPr>
          <w:p>
            <w:pPr>
              <w:jc w:val="center"/>
              <w:rPr>
                <w:rFonts w:asciiTheme="minorEastAsia" w:hAnsiTheme="minorEastAsia"/>
                <w:kern w:val="0"/>
                <w:sz w:val="24"/>
                <w:szCs w:val="24"/>
              </w:rPr>
            </w:pPr>
            <w:r>
              <w:rPr>
                <w:rFonts w:asciiTheme="minorEastAsia" w:hAnsiTheme="minorEastAsia"/>
                <w:kern w:val="0"/>
                <w:sz w:val="24"/>
                <w:szCs w:val="24"/>
              </w:rPr>
              <w:t>10:00</w:t>
            </w:r>
          </w:p>
        </w:tc>
        <w:tc>
          <w:tcPr>
            <w:tcW w:w="2131" w:type="dxa"/>
            <w:vMerge w:val="continue"/>
            <w:tcBorders>
              <w:top w:val="nil"/>
              <w:left w:val="single" w:color="auto" w:sz="8" w:space="0"/>
              <w:bottom w:val="single" w:color="000000" w:sz="8" w:space="0"/>
              <w:right w:val="single" w:color="auto" w:sz="8" w:space="0"/>
            </w:tcBorders>
            <w:vAlign w:val="center"/>
          </w:tcPr>
          <w:p>
            <w:pPr>
              <w:jc w:val="center"/>
              <w:rPr>
                <w:rFonts w:asciiTheme="minorEastAsia" w:hAnsiTheme="minorEastAsia"/>
                <w:sz w:val="24"/>
                <w:szCs w:val="24"/>
              </w:rPr>
            </w:pPr>
          </w:p>
        </w:tc>
        <w:tc>
          <w:tcPr>
            <w:tcW w:w="2131" w:type="dxa"/>
            <w:tcBorders>
              <w:top w:val="nil"/>
              <w:left w:val="nil"/>
              <w:bottom w:val="single" w:color="auto" w:sz="8" w:space="0"/>
              <w:right w:val="single" w:color="auto" w:sz="8" w:space="0"/>
            </w:tcBorders>
            <w:vAlign w:val="center"/>
          </w:tcPr>
          <w:p>
            <w:pPr>
              <w:jc w:val="center"/>
              <w:rPr>
                <w:rFonts w:asciiTheme="minorEastAsia" w:hAnsiTheme="minorEastAsia"/>
                <w:sz w:val="24"/>
                <w:szCs w:val="24"/>
              </w:rPr>
            </w:pPr>
            <w:r>
              <w:rPr>
                <w:rFonts w:asciiTheme="minorEastAsia" w:hAnsiTheme="minorEastAsia"/>
                <w:sz w:val="24"/>
                <w:szCs w:val="24"/>
              </w:rPr>
              <w:t>结束</w:t>
            </w:r>
          </w:p>
        </w:tc>
      </w:tr>
    </w:tbl>
    <w:p>
      <w:pPr>
        <w:snapToGrid w:val="0"/>
        <w:spacing w:line="560" w:lineRule="exact"/>
        <w:ind w:firstLine="600" w:firstLineChars="200"/>
        <w:rPr>
          <w:rFonts w:ascii="Arial Narrow" w:hAnsi="Arial Narrow" w:eastAsia="仿宋_GB2312" w:cs="Arial"/>
          <w:sz w:val="30"/>
          <w:szCs w:val="30"/>
        </w:rPr>
      </w:pPr>
      <w:r>
        <w:rPr>
          <w:rFonts w:ascii="Times New Roman" w:hAnsi="Times New Roman" w:eastAsia="仿宋_GB2312"/>
          <w:sz w:val="30"/>
          <w:szCs w:val="30"/>
        </w:rPr>
        <w:drawing>
          <wp:anchor distT="0" distB="0" distL="114300" distR="114300" simplePos="0" relativeHeight="251678720" behindDoc="0" locked="0" layoutInCell="1" allowOverlap="1">
            <wp:simplePos x="0" y="0"/>
            <wp:positionH relativeFrom="column">
              <wp:posOffset>5080</wp:posOffset>
            </wp:positionH>
            <wp:positionV relativeFrom="paragraph">
              <wp:posOffset>356235</wp:posOffset>
            </wp:positionV>
            <wp:extent cx="5080635" cy="7805420"/>
            <wp:effectExtent l="0" t="0" r="0" b="0"/>
            <wp:wrapTopAndBottom/>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080635" cy="7805420"/>
                    </a:xfrm>
                    <a:prstGeom prst="rect">
                      <a:avLst/>
                    </a:prstGeom>
                    <a:noFill/>
                    <a:ln>
                      <a:noFill/>
                    </a:ln>
                  </pic:spPr>
                </pic:pic>
              </a:graphicData>
            </a:graphic>
          </wp:anchor>
        </w:drawing>
      </w:r>
      <w:r>
        <w:rPr>
          <w:rFonts w:ascii="Arial Narrow" w:hAnsi="Arial Narrow" w:eastAsia="仿宋_GB2312" w:cs="Arial"/>
          <w:sz w:val="30"/>
          <w:szCs w:val="30"/>
        </w:rPr>
        <w:t>（</w:t>
      </w:r>
      <w:r>
        <w:rPr>
          <w:rFonts w:hint="eastAsia" w:ascii="Arial Narrow" w:hAnsi="Arial Narrow" w:eastAsia="仿宋_GB2312" w:cs="Arial"/>
          <w:sz w:val="30"/>
          <w:szCs w:val="30"/>
        </w:rPr>
        <w:t>二</w:t>
      </w:r>
      <w:r>
        <w:rPr>
          <w:rFonts w:ascii="Arial Narrow" w:hAnsi="Arial Narrow" w:eastAsia="仿宋_GB2312" w:cs="Arial"/>
          <w:sz w:val="30"/>
          <w:szCs w:val="30"/>
        </w:rPr>
        <w:t>）竞赛流程</w:t>
      </w:r>
    </w:p>
    <w:p>
      <w:pPr>
        <w:snapToGrid w:val="0"/>
        <w:spacing w:line="360" w:lineRule="auto"/>
        <w:rPr>
          <w:rFonts w:ascii="Times New Roman" w:hAnsi="Times New Roman" w:eastAsia="仿宋_GB2312"/>
          <w:sz w:val="30"/>
          <w:szCs w:val="30"/>
        </w:rPr>
      </w:pPr>
    </w:p>
    <w:p>
      <w:pPr>
        <w:pStyle w:val="7"/>
      </w:pPr>
      <w:r>
        <w:t>图6 竞赛流程图</w:t>
      </w:r>
    </w:p>
    <w:p>
      <w:pPr>
        <w:snapToGrid w:val="0"/>
        <w:spacing w:line="560" w:lineRule="exact"/>
        <w:ind w:firstLine="600" w:firstLineChars="200"/>
        <w:outlineLvl w:val="0"/>
        <w:rPr>
          <w:rFonts w:ascii="Arial Narrow" w:hAnsi="Arial Narrow" w:eastAsia="仿宋_GB2312" w:cs="Arial"/>
          <w:bCs/>
          <w:sz w:val="30"/>
          <w:szCs w:val="30"/>
        </w:rPr>
      </w:pPr>
      <w:bookmarkStart w:id="8" w:name="_Toc522022175"/>
      <w:r>
        <w:rPr>
          <w:rFonts w:hint="eastAsia" w:ascii="黑体" w:hAnsi="黑体" w:eastAsia="黑体" w:cs="黑体"/>
          <w:bCs/>
          <w:sz w:val="30"/>
          <w:szCs w:val="30"/>
        </w:rPr>
        <w:t>九、竞赛试题</w:t>
      </w:r>
      <w:bookmarkEnd w:id="8"/>
    </w:p>
    <w:p>
      <w:pPr>
        <w:snapToGrid w:val="0"/>
        <w:spacing w:line="560" w:lineRule="exact"/>
        <w:ind w:firstLine="600" w:firstLineChars="200"/>
        <w:rPr>
          <w:rFonts w:ascii="Arial Narrow" w:hAnsi="Arial Narrow" w:eastAsia="仿宋_GB2312" w:cs="Arial"/>
          <w:sz w:val="30"/>
          <w:szCs w:val="30"/>
        </w:rPr>
        <w:sectPr>
          <w:footerReference r:id="rId3" w:type="default"/>
          <w:pgSz w:w="11906" w:h="16838"/>
          <w:pgMar w:top="1440" w:right="1800" w:bottom="1440" w:left="1800" w:header="851" w:footer="992" w:gutter="0"/>
          <w:pgNumType w:start="1"/>
          <w:cols w:space="425" w:num="1"/>
          <w:docGrid w:type="lines" w:linePitch="312" w:charSpace="0"/>
        </w:sectPr>
      </w:pPr>
      <w:r>
        <w:rPr>
          <w:rFonts w:hint="eastAsia" w:ascii="Arial Narrow" w:hAnsi="Arial Narrow" w:eastAsia="仿宋_GB2312" w:cs="Arial"/>
          <w:sz w:val="30"/>
          <w:szCs w:val="30"/>
        </w:rPr>
        <w:t>基于历史办赛经验的沉淀，目前已经建设包含30套竞赛赛卷的赛题库，各套赛卷的重复率均不得超过50%。</w:t>
      </w:r>
    </w:p>
    <w:p>
      <w:pPr>
        <w:spacing w:line="560" w:lineRule="exact"/>
        <w:jc w:val="center"/>
        <w:rPr>
          <w:rFonts w:ascii="Times New Roman" w:hAnsi="Times New Roman" w:eastAsia="黑体"/>
          <w:b/>
          <w:bCs/>
          <w:sz w:val="52"/>
          <w:szCs w:val="52"/>
        </w:rPr>
      </w:pPr>
      <w:r>
        <w:rPr>
          <w:rFonts w:hint="eastAsia" w:ascii="Times New Roman" w:hAnsi="Times New Roman" w:eastAsia="黑体"/>
          <w:b/>
          <w:bCs/>
          <w:sz w:val="52"/>
          <w:szCs w:val="52"/>
        </w:rPr>
        <w:t>2019年</w:t>
      </w:r>
      <w:r>
        <w:rPr>
          <w:rFonts w:ascii="Times New Roman" w:hAnsi="Times New Roman" w:eastAsia="黑体"/>
          <w:b/>
          <w:bCs/>
          <w:sz w:val="52"/>
          <w:szCs w:val="52"/>
        </w:rPr>
        <w:t>全国职业院校技能大赛</w:t>
      </w:r>
    </w:p>
    <w:p>
      <w:pPr>
        <w:spacing w:line="560" w:lineRule="exact"/>
        <w:jc w:val="center"/>
        <w:rPr>
          <w:rFonts w:ascii="Times New Roman" w:hAnsi="Times New Roman" w:eastAsia="黑体"/>
          <w:b/>
          <w:sz w:val="36"/>
          <w:szCs w:val="36"/>
        </w:rPr>
      </w:pPr>
      <w:r>
        <w:rPr>
          <w:rFonts w:hint="eastAsia" w:ascii="Times New Roman" w:hAnsi="Times New Roman" w:eastAsia="黑体"/>
          <w:b/>
          <w:sz w:val="36"/>
          <w:szCs w:val="36"/>
        </w:rPr>
        <w:t>“4G全网建设技术”赛项</w:t>
      </w:r>
      <w:r>
        <w:rPr>
          <w:rFonts w:ascii="Times New Roman" w:hAnsi="Times New Roman" w:eastAsia="黑体"/>
          <w:b/>
          <w:sz w:val="36"/>
          <w:szCs w:val="36"/>
        </w:rPr>
        <w:t>样题</w:t>
      </w:r>
    </w:p>
    <w:p>
      <w:pPr>
        <w:spacing w:line="560" w:lineRule="exact"/>
        <w:ind w:firstLine="602"/>
        <w:rPr>
          <w:rFonts w:ascii="Times New Roman" w:hAnsi="Times New Roman" w:eastAsia="仿宋_GB2312"/>
          <w:b/>
          <w:bCs/>
          <w:color w:val="000000"/>
          <w:sz w:val="30"/>
          <w:szCs w:val="30"/>
          <w:u w:color="000000"/>
          <w:lang w:val="zh-TW"/>
        </w:rPr>
      </w:pPr>
      <w:r>
        <w:rPr>
          <w:rFonts w:ascii="Times New Roman" w:hAnsi="Times New Roman" w:eastAsia="仿宋_GB2312"/>
          <w:b/>
          <w:bCs/>
          <w:color w:val="000000"/>
          <w:sz w:val="30"/>
          <w:szCs w:val="30"/>
          <w:u w:color="000000"/>
          <w:lang w:val="zh-TW"/>
        </w:rPr>
        <w:t>（</w:t>
      </w:r>
      <w:r>
        <w:rPr>
          <w:rFonts w:hint="eastAsia" w:ascii="Times New Roman" w:hAnsi="Times New Roman" w:eastAsia="仿宋_GB2312"/>
          <w:b/>
          <w:bCs/>
          <w:color w:val="000000"/>
          <w:sz w:val="30"/>
          <w:szCs w:val="30"/>
          <w:u w:color="000000"/>
          <w:lang w:val="zh-TW"/>
        </w:rPr>
        <w:t>一</w:t>
      </w:r>
      <w:r>
        <w:rPr>
          <w:rFonts w:ascii="Times New Roman" w:hAnsi="Times New Roman" w:eastAsia="仿宋_GB2312"/>
          <w:b/>
          <w:bCs/>
          <w:color w:val="000000"/>
          <w:sz w:val="30"/>
          <w:szCs w:val="30"/>
          <w:u w:color="000000"/>
          <w:lang w:val="zh-TW"/>
        </w:rPr>
        <w:t>）4G</w:t>
      </w:r>
      <w:r>
        <w:rPr>
          <w:rFonts w:hint="eastAsia" w:ascii="Times New Roman" w:hAnsi="Times New Roman" w:eastAsia="仿宋_GB2312"/>
          <w:b/>
          <w:bCs/>
          <w:color w:val="000000"/>
          <w:sz w:val="30"/>
          <w:szCs w:val="30"/>
          <w:u w:color="000000"/>
        </w:rPr>
        <w:t>&amp;Pre5G</w:t>
      </w:r>
      <w:r>
        <w:rPr>
          <w:rFonts w:ascii="Times New Roman" w:hAnsi="Times New Roman" w:eastAsia="仿宋_GB2312"/>
          <w:b/>
          <w:bCs/>
          <w:color w:val="000000"/>
          <w:sz w:val="30"/>
          <w:szCs w:val="30"/>
          <w:u w:color="000000"/>
          <w:lang w:val="zh-TW"/>
        </w:rPr>
        <w:t>网络部署与优化（</w:t>
      </w:r>
      <w:r>
        <w:rPr>
          <w:rFonts w:hint="eastAsia" w:ascii="Times New Roman" w:hAnsi="Times New Roman" w:eastAsia="仿宋_GB2312"/>
          <w:b/>
          <w:bCs/>
          <w:color w:val="000000"/>
          <w:sz w:val="30"/>
          <w:szCs w:val="30"/>
          <w:u w:color="000000"/>
          <w:lang w:val="zh-TW"/>
        </w:rPr>
        <w:t>2</w:t>
      </w:r>
      <w:r>
        <w:rPr>
          <w:rFonts w:ascii="Times New Roman" w:hAnsi="Times New Roman" w:eastAsia="仿宋_GB2312"/>
          <w:b/>
          <w:bCs/>
          <w:color w:val="000000"/>
          <w:sz w:val="30"/>
          <w:szCs w:val="30"/>
          <w:u w:color="000000"/>
          <w:lang w:val="zh-TW"/>
        </w:rPr>
        <w:t>0分）</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1. 操作说明</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每参赛队的两名选手分别使用竞赛账号以“竞技”模式登录4G LTE</w:t>
      </w:r>
      <w:r>
        <w:rPr>
          <w:rFonts w:hint="eastAsia" w:ascii="Times New Roman" w:hAnsi="Times New Roman" w:eastAsia="仿宋_GB2312"/>
          <w:b/>
          <w:bCs/>
          <w:color w:val="000000"/>
          <w:sz w:val="30"/>
          <w:szCs w:val="30"/>
          <w:u w:color="000000"/>
        </w:rPr>
        <w:t>&amp;Pre5G</w:t>
      </w:r>
      <w:r>
        <w:rPr>
          <w:rFonts w:ascii="Arial Narrow" w:hAnsi="Arial Narrow" w:eastAsia="仿宋_GB2312" w:cs="Arial"/>
          <w:sz w:val="30"/>
          <w:szCs w:val="30"/>
        </w:rPr>
        <w:t>全网竞技系统，在工程模式下，完成千湖、百山两个城市4G</w:t>
      </w:r>
      <w:r>
        <w:rPr>
          <w:rFonts w:hint="eastAsia" w:ascii="Arial Narrow" w:hAnsi="Arial Narrow" w:eastAsia="仿宋_GB2312" w:cs="Arial"/>
          <w:sz w:val="30"/>
          <w:szCs w:val="30"/>
        </w:rPr>
        <w:t>与Pre5G</w:t>
      </w:r>
      <w:r>
        <w:rPr>
          <w:rFonts w:ascii="Arial Narrow" w:hAnsi="Arial Narrow" w:eastAsia="仿宋_GB2312" w:cs="Arial"/>
          <w:sz w:val="30"/>
          <w:szCs w:val="30"/>
        </w:rPr>
        <w:t>网络配置与优化。</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2. 任务说明</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千湖市及百山市计划部署</w:t>
      </w:r>
      <w:r>
        <w:rPr>
          <w:rFonts w:hint="eastAsia" w:ascii="Arial Narrow" w:hAnsi="Arial Narrow" w:eastAsia="仿宋_GB2312" w:cs="Arial"/>
          <w:sz w:val="30"/>
          <w:szCs w:val="30"/>
        </w:rPr>
        <w:t xml:space="preserve">4G </w:t>
      </w:r>
      <w:r>
        <w:rPr>
          <w:rFonts w:ascii="Arial Narrow" w:hAnsi="Arial Narrow" w:eastAsia="仿宋_GB2312" w:cs="Arial"/>
          <w:sz w:val="30"/>
          <w:szCs w:val="30"/>
        </w:rPr>
        <w:t>LTE</w:t>
      </w:r>
      <w:r>
        <w:rPr>
          <w:rFonts w:hint="eastAsia" w:ascii="Arial Narrow" w:hAnsi="Arial Narrow" w:eastAsia="仿宋_GB2312" w:cs="Arial"/>
          <w:sz w:val="30"/>
          <w:szCs w:val="30"/>
        </w:rPr>
        <w:t>与Pre5G</w:t>
      </w:r>
      <w:r>
        <w:rPr>
          <w:rFonts w:ascii="Arial Narrow" w:hAnsi="Arial Narrow" w:eastAsia="仿宋_GB2312" w:cs="Arial"/>
          <w:sz w:val="30"/>
          <w:szCs w:val="30"/>
        </w:rPr>
        <w:t>网络，目前两市已经完成一部分网络建设工作，尚未完工。</w:t>
      </w:r>
      <w:r>
        <w:rPr>
          <w:rFonts w:hint="eastAsia" w:ascii="Arial Narrow" w:hAnsi="Arial Narrow" w:eastAsia="仿宋_GB2312" w:cs="Arial"/>
          <w:sz w:val="30"/>
          <w:szCs w:val="30"/>
        </w:rPr>
        <w:t>请基于系统当前数据，在不对已有的网络拓扑结构及网络数据做任何改动的前提下完善补全接入网、承载网、业务系统的容量规划、设备部署及开通配置等环节工作，修改已有网络拓扑结构及网络数据不得分,</w:t>
      </w:r>
      <w:r>
        <w:rPr>
          <w:rFonts w:ascii="Arial Narrow" w:hAnsi="Arial Narrow" w:eastAsia="仿宋_GB2312" w:cs="Arial"/>
          <w:sz w:val="30"/>
          <w:szCs w:val="30"/>
        </w:rPr>
        <w:t>具体任务如下：</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根据以下背景说明及话务模型，在软件“容量规划”部分完成两市的容量规划报告，并在答题卡上填写相应答案。</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千湖市：该市总移动上网用户数为700万，规划覆盖区域600平方公里，分布在一般楼房建筑的居民区和个别商业区，用户密度相对分散，初期建网部署</w:t>
      </w:r>
      <w:r>
        <w:rPr>
          <w:rFonts w:hint="eastAsia" w:ascii="Arial Narrow" w:hAnsi="Arial Narrow" w:eastAsia="仿宋_GB2312" w:cs="Arial"/>
          <w:sz w:val="30"/>
          <w:szCs w:val="30"/>
        </w:rPr>
        <w:t>Pre5G</w:t>
      </w:r>
      <w:r>
        <w:rPr>
          <w:rFonts w:ascii="Arial Narrow" w:hAnsi="Arial Narrow" w:eastAsia="仿宋_GB2312" w:cs="Arial"/>
          <w:sz w:val="30"/>
          <w:szCs w:val="30"/>
        </w:rPr>
        <w:t>无线网络。千湖市话务模型请参照表3 千湖市网络话务模型。</w:t>
      </w:r>
    </w:p>
    <w:p>
      <w:pPr>
        <w:pStyle w:val="7"/>
      </w:pPr>
      <w:r>
        <w:t>表3 千湖市网络话务模型</w:t>
      </w:r>
    </w:p>
    <w:tbl>
      <w:tblPr>
        <w:tblStyle w:val="20"/>
        <w:tblW w:w="8522" w:type="dxa"/>
        <w:jc w:val="center"/>
        <w:tblInd w:w="0" w:type="dxa"/>
        <w:tblLayout w:type="fixed"/>
        <w:tblCellMar>
          <w:top w:w="0" w:type="dxa"/>
          <w:left w:w="108" w:type="dxa"/>
          <w:bottom w:w="0" w:type="dxa"/>
          <w:right w:w="108" w:type="dxa"/>
        </w:tblCellMar>
      </w:tblPr>
      <w:tblGrid>
        <w:gridCol w:w="5353"/>
        <w:gridCol w:w="2025"/>
        <w:gridCol w:w="1144"/>
      </w:tblGrid>
      <w:tr>
        <w:tblPrEx>
          <w:tblLayout w:type="fixed"/>
          <w:tblCellMar>
            <w:top w:w="0" w:type="dxa"/>
            <w:left w:w="108" w:type="dxa"/>
            <w:bottom w:w="0" w:type="dxa"/>
            <w:right w:w="108" w:type="dxa"/>
          </w:tblCellMar>
        </w:tblPrEx>
        <w:trPr>
          <w:trHeight w:val="408" w:hRule="atLeast"/>
          <w:jc w:val="center"/>
        </w:trPr>
        <w:tc>
          <w:tcPr>
            <w:tcW w:w="535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单业务业务速率（kbps）</w:t>
            </w:r>
          </w:p>
        </w:tc>
        <w:tc>
          <w:tcPr>
            <w:tcW w:w="2025"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HTTP WWW</w:t>
            </w:r>
          </w:p>
        </w:tc>
        <w:tc>
          <w:tcPr>
            <w:tcW w:w="1144" w:type="dxa"/>
            <w:tcBorders>
              <w:top w:val="single" w:color="auto" w:sz="4" w:space="0"/>
              <w:left w:val="nil"/>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256</w:t>
            </w:r>
          </w:p>
        </w:tc>
      </w:tr>
      <w:tr>
        <w:tblPrEx>
          <w:tblLayout w:type="fixed"/>
          <w:tblCellMar>
            <w:top w:w="0" w:type="dxa"/>
            <w:left w:w="108" w:type="dxa"/>
            <w:bottom w:w="0" w:type="dxa"/>
            <w:right w:w="108" w:type="dxa"/>
          </w:tblCellMar>
        </w:tblPrEx>
        <w:trPr>
          <w:trHeight w:val="408" w:hRule="atLeast"/>
          <w:jc w:val="center"/>
        </w:trPr>
        <w:tc>
          <w:tcPr>
            <w:tcW w:w="535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Cs/>
                <w:color w:val="000000"/>
                <w:kern w:val="0"/>
                <w:sz w:val="24"/>
                <w:szCs w:val="24"/>
              </w:rPr>
            </w:pPr>
          </w:p>
        </w:tc>
        <w:tc>
          <w:tcPr>
            <w:tcW w:w="2025" w:type="dxa"/>
            <w:tcBorders>
              <w:top w:val="nil"/>
              <w:left w:val="nil"/>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FTP</w:t>
            </w:r>
          </w:p>
        </w:tc>
        <w:tc>
          <w:tcPr>
            <w:tcW w:w="1144" w:type="dxa"/>
            <w:tcBorders>
              <w:top w:val="nil"/>
              <w:left w:val="nil"/>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1024</w:t>
            </w:r>
          </w:p>
        </w:tc>
      </w:tr>
      <w:tr>
        <w:tblPrEx>
          <w:tblLayout w:type="fixed"/>
          <w:tblCellMar>
            <w:top w:w="0" w:type="dxa"/>
            <w:left w:w="108" w:type="dxa"/>
            <w:bottom w:w="0" w:type="dxa"/>
            <w:right w:w="108" w:type="dxa"/>
          </w:tblCellMar>
        </w:tblPrEx>
        <w:trPr>
          <w:trHeight w:val="408" w:hRule="atLeast"/>
          <w:jc w:val="center"/>
        </w:trPr>
        <w:tc>
          <w:tcPr>
            <w:tcW w:w="535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Cs/>
                <w:color w:val="000000"/>
                <w:kern w:val="0"/>
                <w:sz w:val="24"/>
                <w:szCs w:val="24"/>
              </w:rPr>
            </w:pPr>
          </w:p>
        </w:tc>
        <w:tc>
          <w:tcPr>
            <w:tcW w:w="2025" w:type="dxa"/>
            <w:tcBorders>
              <w:top w:val="nil"/>
              <w:left w:val="nil"/>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VOD/AOD</w:t>
            </w:r>
          </w:p>
        </w:tc>
        <w:tc>
          <w:tcPr>
            <w:tcW w:w="1144" w:type="dxa"/>
            <w:tcBorders>
              <w:top w:val="nil"/>
              <w:left w:val="nil"/>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1024</w:t>
            </w:r>
          </w:p>
        </w:tc>
      </w:tr>
      <w:tr>
        <w:tblPrEx>
          <w:tblLayout w:type="fixed"/>
          <w:tblCellMar>
            <w:top w:w="0" w:type="dxa"/>
            <w:left w:w="108" w:type="dxa"/>
            <w:bottom w:w="0" w:type="dxa"/>
            <w:right w:w="108" w:type="dxa"/>
          </w:tblCellMar>
        </w:tblPrEx>
        <w:trPr>
          <w:trHeight w:val="408" w:hRule="atLeast"/>
          <w:jc w:val="center"/>
        </w:trPr>
        <w:tc>
          <w:tcPr>
            <w:tcW w:w="535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单业务忙时占比系数</w:t>
            </w:r>
          </w:p>
        </w:tc>
        <w:tc>
          <w:tcPr>
            <w:tcW w:w="2025" w:type="dxa"/>
            <w:tcBorders>
              <w:top w:val="nil"/>
              <w:left w:val="nil"/>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HTTP WWW</w:t>
            </w:r>
          </w:p>
        </w:tc>
        <w:tc>
          <w:tcPr>
            <w:tcW w:w="1144" w:type="dxa"/>
            <w:tcBorders>
              <w:top w:val="nil"/>
              <w:left w:val="nil"/>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35.00%</w:t>
            </w:r>
          </w:p>
        </w:tc>
      </w:tr>
      <w:tr>
        <w:tblPrEx>
          <w:tblLayout w:type="fixed"/>
          <w:tblCellMar>
            <w:top w:w="0" w:type="dxa"/>
            <w:left w:w="108" w:type="dxa"/>
            <w:bottom w:w="0" w:type="dxa"/>
            <w:right w:w="108" w:type="dxa"/>
          </w:tblCellMar>
        </w:tblPrEx>
        <w:trPr>
          <w:trHeight w:val="408" w:hRule="atLeast"/>
          <w:jc w:val="center"/>
        </w:trPr>
        <w:tc>
          <w:tcPr>
            <w:tcW w:w="535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bCs/>
                <w:color w:val="000000"/>
                <w:kern w:val="0"/>
                <w:sz w:val="24"/>
                <w:szCs w:val="24"/>
              </w:rPr>
            </w:pPr>
          </w:p>
        </w:tc>
        <w:tc>
          <w:tcPr>
            <w:tcW w:w="2025" w:type="dxa"/>
            <w:tcBorders>
              <w:top w:val="nil"/>
              <w:left w:val="nil"/>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FTP</w:t>
            </w:r>
          </w:p>
        </w:tc>
        <w:tc>
          <w:tcPr>
            <w:tcW w:w="1144" w:type="dxa"/>
            <w:tcBorders>
              <w:top w:val="nil"/>
              <w:left w:val="nil"/>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35.00%</w:t>
            </w:r>
          </w:p>
        </w:tc>
      </w:tr>
      <w:tr>
        <w:tblPrEx>
          <w:tblLayout w:type="fixed"/>
          <w:tblCellMar>
            <w:top w:w="0" w:type="dxa"/>
            <w:left w:w="108" w:type="dxa"/>
            <w:bottom w:w="0" w:type="dxa"/>
            <w:right w:w="108" w:type="dxa"/>
          </w:tblCellMar>
        </w:tblPrEx>
        <w:trPr>
          <w:trHeight w:val="408" w:hRule="atLeast"/>
          <w:jc w:val="center"/>
        </w:trPr>
        <w:tc>
          <w:tcPr>
            <w:tcW w:w="5353" w:type="dxa"/>
            <w:vMerge w:val="continue"/>
            <w:tcBorders>
              <w:top w:val="nil"/>
              <w:left w:val="single" w:color="auto" w:sz="4" w:space="0"/>
              <w:bottom w:val="single" w:color="auto" w:sz="4" w:space="0"/>
              <w:right w:val="single" w:color="auto" w:sz="4" w:space="0"/>
            </w:tcBorders>
            <w:vAlign w:val="center"/>
          </w:tcPr>
          <w:p>
            <w:pPr>
              <w:widowControl/>
              <w:jc w:val="center"/>
              <w:rPr>
                <w:rFonts w:ascii="宋体" w:hAnsi="宋体"/>
                <w:bCs/>
                <w:color w:val="000000"/>
                <w:kern w:val="0"/>
                <w:sz w:val="24"/>
                <w:szCs w:val="24"/>
              </w:rPr>
            </w:pPr>
          </w:p>
        </w:tc>
        <w:tc>
          <w:tcPr>
            <w:tcW w:w="2025" w:type="dxa"/>
            <w:tcBorders>
              <w:top w:val="nil"/>
              <w:left w:val="nil"/>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VOD/AOD</w:t>
            </w:r>
          </w:p>
        </w:tc>
        <w:tc>
          <w:tcPr>
            <w:tcW w:w="1144" w:type="dxa"/>
            <w:tcBorders>
              <w:top w:val="nil"/>
              <w:left w:val="nil"/>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30.00%</w:t>
            </w:r>
          </w:p>
        </w:tc>
      </w:tr>
      <w:tr>
        <w:tblPrEx>
          <w:tblLayout w:type="fixed"/>
          <w:tblCellMar>
            <w:top w:w="0" w:type="dxa"/>
            <w:left w:w="108" w:type="dxa"/>
            <w:bottom w:w="0" w:type="dxa"/>
            <w:right w:w="108" w:type="dxa"/>
          </w:tblCellMar>
        </w:tblPrEx>
        <w:trPr>
          <w:trHeight w:val="408" w:hRule="atLeast"/>
          <w:jc w:val="center"/>
        </w:trPr>
        <w:tc>
          <w:tcPr>
            <w:tcW w:w="5353"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平均上网总业务忙时激活时间（s）</w:t>
            </w:r>
          </w:p>
        </w:tc>
        <w:tc>
          <w:tcPr>
            <w:tcW w:w="3169" w:type="dxa"/>
            <w:gridSpan w:val="2"/>
            <w:tcBorders>
              <w:top w:val="single" w:color="auto" w:sz="4" w:space="0"/>
              <w:left w:val="nil"/>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650</w:t>
            </w:r>
          </w:p>
        </w:tc>
      </w:tr>
      <w:tr>
        <w:tblPrEx>
          <w:tblLayout w:type="fixed"/>
          <w:tblCellMar>
            <w:top w:w="0" w:type="dxa"/>
            <w:left w:w="108" w:type="dxa"/>
            <w:bottom w:w="0" w:type="dxa"/>
            <w:right w:w="108" w:type="dxa"/>
          </w:tblCellMar>
        </w:tblPrEx>
        <w:trPr>
          <w:trHeight w:val="408" w:hRule="atLeast"/>
          <w:jc w:val="center"/>
        </w:trPr>
        <w:tc>
          <w:tcPr>
            <w:tcW w:w="5353"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本市移动上网用户数（万）</w:t>
            </w:r>
          </w:p>
        </w:tc>
        <w:tc>
          <w:tcPr>
            <w:tcW w:w="316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（根据背景说明自填）</w:t>
            </w:r>
          </w:p>
        </w:tc>
      </w:tr>
      <w:tr>
        <w:tblPrEx>
          <w:tblLayout w:type="fixed"/>
          <w:tblCellMar>
            <w:top w:w="0" w:type="dxa"/>
            <w:left w:w="108" w:type="dxa"/>
            <w:bottom w:w="0" w:type="dxa"/>
            <w:right w:w="108" w:type="dxa"/>
          </w:tblCellMar>
        </w:tblPrEx>
        <w:trPr>
          <w:trHeight w:val="408" w:hRule="atLeast"/>
          <w:jc w:val="center"/>
        </w:trPr>
        <w:tc>
          <w:tcPr>
            <w:tcW w:w="5353"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Z运营商4G移动用户占比</w:t>
            </w:r>
          </w:p>
        </w:tc>
        <w:tc>
          <w:tcPr>
            <w:tcW w:w="316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4%</w:t>
            </w:r>
          </w:p>
        </w:tc>
      </w:tr>
      <w:tr>
        <w:tblPrEx>
          <w:tblLayout w:type="fixed"/>
          <w:tblCellMar>
            <w:top w:w="0" w:type="dxa"/>
            <w:left w:w="108" w:type="dxa"/>
            <w:bottom w:w="0" w:type="dxa"/>
            <w:right w:w="108" w:type="dxa"/>
          </w:tblCellMar>
        </w:tblPrEx>
        <w:trPr>
          <w:trHeight w:val="408" w:hRule="atLeast"/>
          <w:jc w:val="center"/>
        </w:trPr>
        <w:tc>
          <w:tcPr>
            <w:tcW w:w="535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制式选择</w:t>
            </w:r>
          </w:p>
        </w:tc>
        <w:tc>
          <w:tcPr>
            <w:tcW w:w="316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（根据背景说明自选）</w:t>
            </w:r>
          </w:p>
        </w:tc>
      </w:tr>
      <w:tr>
        <w:tblPrEx>
          <w:tblLayout w:type="fixed"/>
          <w:tblCellMar>
            <w:top w:w="0" w:type="dxa"/>
            <w:left w:w="108" w:type="dxa"/>
            <w:bottom w:w="0" w:type="dxa"/>
            <w:right w:w="108" w:type="dxa"/>
          </w:tblCellMar>
        </w:tblPrEx>
        <w:trPr>
          <w:trHeight w:val="408" w:hRule="atLeast"/>
          <w:jc w:val="center"/>
        </w:trPr>
        <w:tc>
          <w:tcPr>
            <w:tcW w:w="5353"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单站三小区吞吐量（Mbps）</w:t>
            </w:r>
          </w:p>
        </w:tc>
        <w:tc>
          <w:tcPr>
            <w:tcW w:w="3169" w:type="dxa"/>
            <w:gridSpan w:val="2"/>
            <w:tcBorders>
              <w:top w:val="single" w:color="auto" w:sz="4" w:space="0"/>
              <w:left w:val="nil"/>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（根据背景说明自选）</w:t>
            </w:r>
          </w:p>
        </w:tc>
      </w:tr>
      <w:tr>
        <w:tblPrEx>
          <w:tblLayout w:type="fixed"/>
          <w:tblCellMar>
            <w:top w:w="0" w:type="dxa"/>
            <w:left w:w="108" w:type="dxa"/>
            <w:bottom w:w="0" w:type="dxa"/>
            <w:right w:w="108" w:type="dxa"/>
          </w:tblCellMar>
        </w:tblPrEx>
        <w:trPr>
          <w:trHeight w:val="408" w:hRule="atLeast"/>
          <w:jc w:val="center"/>
        </w:trPr>
        <w:tc>
          <w:tcPr>
            <w:tcW w:w="5353"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MIMO2*2吞吐量增加系数</w:t>
            </w:r>
          </w:p>
        </w:tc>
        <w:tc>
          <w:tcPr>
            <w:tcW w:w="316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2</w:t>
            </w:r>
          </w:p>
        </w:tc>
      </w:tr>
      <w:tr>
        <w:tblPrEx>
          <w:tblLayout w:type="fixed"/>
          <w:tblCellMar>
            <w:top w:w="0" w:type="dxa"/>
            <w:left w:w="108" w:type="dxa"/>
            <w:bottom w:w="0" w:type="dxa"/>
            <w:right w:w="108" w:type="dxa"/>
          </w:tblCellMar>
        </w:tblPrEx>
        <w:trPr>
          <w:trHeight w:val="408" w:hRule="atLeast"/>
          <w:jc w:val="center"/>
        </w:trPr>
        <w:tc>
          <w:tcPr>
            <w:tcW w:w="5353"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本市规划区域面积（平方公里）</w:t>
            </w:r>
          </w:p>
        </w:tc>
        <w:tc>
          <w:tcPr>
            <w:tcW w:w="316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（根据背景说明自填）</w:t>
            </w:r>
          </w:p>
        </w:tc>
      </w:tr>
      <w:tr>
        <w:tblPrEx>
          <w:tblLayout w:type="fixed"/>
          <w:tblCellMar>
            <w:top w:w="0" w:type="dxa"/>
            <w:left w:w="108" w:type="dxa"/>
            <w:bottom w:w="0" w:type="dxa"/>
            <w:right w:w="108" w:type="dxa"/>
          </w:tblCellMar>
        </w:tblPrEx>
        <w:trPr>
          <w:trHeight w:val="408" w:hRule="atLeast"/>
          <w:jc w:val="center"/>
        </w:trPr>
        <w:tc>
          <w:tcPr>
            <w:tcW w:w="5353"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小区覆盖半径基准（km）</w:t>
            </w:r>
          </w:p>
        </w:tc>
        <w:tc>
          <w:tcPr>
            <w:tcW w:w="316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0.58</w:t>
            </w:r>
          </w:p>
        </w:tc>
      </w:tr>
      <w:tr>
        <w:tblPrEx>
          <w:tblLayout w:type="fixed"/>
          <w:tblCellMar>
            <w:top w:w="0" w:type="dxa"/>
            <w:left w:w="108" w:type="dxa"/>
            <w:bottom w:w="0" w:type="dxa"/>
            <w:right w:w="108" w:type="dxa"/>
          </w:tblCellMar>
        </w:tblPrEx>
        <w:trPr>
          <w:trHeight w:val="408" w:hRule="atLeast"/>
          <w:jc w:val="center"/>
        </w:trPr>
        <w:tc>
          <w:tcPr>
            <w:tcW w:w="5353"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制式调整因子</w:t>
            </w:r>
          </w:p>
        </w:tc>
        <w:tc>
          <w:tcPr>
            <w:tcW w:w="316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（根据背景说明自选）</w:t>
            </w:r>
          </w:p>
        </w:tc>
      </w:tr>
      <w:tr>
        <w:tblPrEx>
          <w:tblLayout w:type="fixed"/>
          <w:tblCellMar>
            <w:top w:w="0" w:type="dxa"/>
            <w:left w:w="108" w:type="dxa"/>
            <w:bottom w:w="0" w:type="dxa"/>
            <w:right w:w="108" w:type="dxa"/>
          </w:tblCellMar>
        </w:tblPrEx>
        <w:trPr>
          <w:trHeight w:val="408" w:hRule="atLeast"/>
          <w:jc w:val="center"/>
        </w:trPr>
        <w:tc>
          <w:tcPr>
            <w:tcW w:w="5353"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半径调整比例</w:t>
            </w:r>
          </w:p>
        </w:tc>
        <w:tc>
          <w:tcPr>
            <w:tcW w:w="316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65度定向站:1</w:t>
            </w:r>
          </w:p>
        </w:tc>
      </w:tr>
      <w:tr>
        <w:tblPrEx>
          <w:tblLayout w:type="fixed"/>
          <w:tblCellMar>
            <w:top w:w="0" w:type="dxa"/>
            <w:left w:w="108" w:type="dxa"/>
            <w:bottom w:w="0" w:type="dxa"/>
            <w:right w:w="108" w:type="dxa"/>
          </w:tblCellMar>
        </w:tblPrEx>
        <w:trPr>
          <w:trHeight w:val="408" w:hRule="atLeast"/>
          <w:jc w:val="center"/>
        </w:trPr>
        <w:tc>
          <w:tcPr>
            <w:tcW w:w="5353"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在线用户比</w:t>
            </w:r>
          </w:p>
        </w:tc>
        <w:tc>
          <w:tcPr>
            <w:tcW w:w="316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0.9</w:t>
            </w:r>
          </w:p>
        </w:tc>
      </w:tr>
      <w:tr>
        <w:tblPrEx>
          <w:tblLayout w:type="fixed"/>
          <w:tblCellMar>
            <w:top w:w="0" w:type="dxa"/>
            <w:left w:w="108" w:type="dxa"/>
            <w:bottom w:w="0" w:type="dxa"/>
            <w:right w:w="108" w:type="dxa"/>
          </w:tblCellMar>
        </w:tblPrEx>
        <w:trPr>
          <w:trHeight w:val="408" w:hRule="atLeast"/>
          <w:jc w:val="center"/>
        </w:trPr>
        <w:tc>
          <w:tcPr>
            <w:tcW w:w="5353"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附着激活比</w:t>
            </w:r>
          </w:p>
        </w:tc>
        <w:tc>
          <w:tcPr>
            <w:tcW w:w="316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0.5</w:t>
            </w:r>
          </w:p>
        </w:tc>
      </w:tr>
      <w:tr>
        <w:tblPrEx>
          <w:tblLayout w:type="fixed"/>
          <w:tblCellMar>
            <w:top w:w="0" w:type="dxa"/>
            <w:left w:w="108" w:type="dxa"/>
            <w:bottom w:w="0" w:type="dxa"/>
            <w:right w:w="108" w:type="dxa"/>
          </w:tblCellMar>
        </w:tblPrEx>
        <w:trPr>
          <w:trHeight w:val="408" w:hRule="atLeast"/>
          <w:jc w:val="center"/>
        </w:trPr>
        <w:tc>
          <w:tcPr>
            <w:tcW w:w="5353"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S1-MME接口每用户忙时平均信令流量（kbps）</w:t>
            </w:r>
          </w:p>
        </w:tc>
        <w:tc>
          <w:tcPr>
            <w:tcW w:w="316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6</w:t>
            </w:r>
          </w:p>
        </w:tc>
      </w:tr>
      <w:tr>
        <w:tblPrEx>
          <w:tblLayout w:type="fixed"/>
          <w:tblCellMar>
            <w:top w:w="0" w:type="dxa"/>
            <w:left w:w="108" w:type="dxa"/>
            <w:bottom w:w="0" w:type="dxa"/>
            <w:right w:w="108" w:type="dxa"/>
          </w:tblCellMar>
        </w:tblPrEx>
        <w:trPr>
          <w:trHeight w:val="408" w:hRule="atLeast"/>
          <w:jc w:val="center"/>
        </w:trPr>
        <w:tc>
          <w:tcPr>
            <w:tcW w:w="5353"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S11接口每用户忙时平均信令流量（kbps）</w:t>
            </w:r>
          </w:p>
        </w:tc>
        <w:tc>
          <w:tcPr>
            <w:tcW w:w="316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3</w:t>
            </w:r>
          </w:p>
        </w:tc>
      </w:tr>
      <w:tr>
        <w:tblPrEx>
          <w:tblLayout w:type="fixed"/>
          <w:tblCellMar>
            <w:top w:w="0" w:type="dxa"/>
            <w:left w:w="108" w:type="dxa"/>
            <w:bottom w:w="0" w:type="dxa"/>
            <w:right w:w="108" w:type="dxa"/>
          </w:tblCellMar>
        </w:tblPrEx>
        <w:trPr>
          <w:trHeight w:val="408" w:hRule="atLeast"/>
          <w:jc w:val="center"/>
        </w:trPr>
        <w:tc>
          <w:tcPr>
            <w:tcW w:w="5353"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S6a接口每用户忙时平均信令流量（kbps）</w:t>
            </w:r>
          </w:p>
        </w:tc>
        <w:tc>
          <w:tcPr>
            <w:tcW w:w="316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5</w:t>
            </w:r>
          </w:p>
        </w:tc>
      </w:tr>
      <w:tr>
        <w:tblPrEx>
          <w:tblLayout w:type="fixed"/>
          <w:tblCellMar>
            <w:top w:w="0" w:type="dxa"/>
            <w:left w:w="108" w:type="dxa"/>
            <w:bottom w:w="0" w:type="dxa"/>
            <w:right w:w="108" w:type="dxa"/>
          </w:tblCellMar>
        </w:tblPrEx>
        <w:trPr>
          <w:trHeight w:val="408" w:hRule="atLeast"/>
          <w:jc w:val="center"/>
        </w:trPr>
        <w:tc>
          <w:tcPr>
            <w:tcW w:w="5353" w:type="dxa"/>
            <w:tcBorders>
              <w:top w:val="nil"/>
              <w:left w:val="single" w:color="auto" w:sz="4" w:space="0"/>
              <w:bottom w:val="single" w:color="auto" w:sz="4" w:space="0"/>
              <w:right w:val="single" w:color="auto" w:sz="4"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平均报文长度</w:t>
            </w:r>
          </w:p>
        </w:tc>
        <w:tc>
          <w:tcPr>
            <w:tcW w:w="316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500字节</w:t>
            </w:r>
          </w:p>
        </w:tc>
      </w:tr>
      <w:tr>
        <w:tblPrEx>
          <w:tblLayout w:type="fixed"/>
          <w:tblCellMar>
            <w:top w:w="0" w:type="dxa"/>
            <w:left w:w="108" w:type="dxa"/>
            <w:bottom w:w="0" w:type="dxa"/>
            <w:right w:w="108" w:type="dxa"/>
          </w:tblCellMar>
        </w:tblPrEx>
        <w:trPr>
          <w:trHeight w:val="408" w:hRule="atLeast"/>
          <w:jc w:val="center"/>
        </w:trPr>
        <w:tc>
          <w:tcPr>
            <w:tcW w:w="535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基站带宽预留比</w:t>
            </w:r>
          </w:p>
        </w:tc>
        <w:tc>
          <w:tcPr>
            <w:tcW w:w="316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0.5</w:t>
            </w:r>
          </w:p>
        </w:tc>
      </w:tr>
      <w:tr>
        <w:tblPrEx>
          <w:tblLayout w:type="fixed"/>
          <w:tblCellMar>
            <w:top w:w="0" w:type="dxa"/>
            <w:left w:w="108" w:type="dxa"/>
            <w:bottom w:w="0" w:type="dxa"/>
            <w:right w:w="108" w:type="dxa"/>
          </w:tblCellMar>
        </w:tblPrEx>
        <w:trPr>
          <w:trHeight w:val="408" w:hRule="atLeast"/>
          <w:jc w:val="center"/>
        </w:trPr>
        <w:tc>
          <w:tcPr>
            <w:tcW w:w="535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链路工作带宽占比</w:t>
            </w:r>
          </w:p>
        </w:tc>
        <w:tc>
          <w:tcPr>
            <w:tcW w:w="316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0.5</w:t>
            </w:r>
          </w:p>
        </w:tc>
      </w:tr>
      <w:tr>
        <w:tblPrEx>
          <w:tblLayout w:type="fixed"/>
          <w:tblCellMar>
            <w:top w:w="0" w:type="dxa"/>
            <w:left w:w="108" w:type="dxa"/>
            <w:bottom w:w="0" w:type="dxa"/>
            <w:right w:w="108" w:type="dxa"/>
          </w:tblCellMar>
        </w:tblPrEx>
        <w:trPr>
          <w:trHeight w:val="408" w:hRule="atLeast"/>
          <w:jc w:val="center"/>
        </w:trPr>
        <w:tc>
          <w:tcPr>
            <w:tcW w:w="535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核心、接入层带宽收敛比</w:t>
            </w:r>
          </w:p>
        </w:tc>
        <w:tc>
          <w:tcPr>
            <w:tcW w:w="316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0.5</w:t>
            </w:r>
          </w:p>
        </w:tc>
      </w:tr>
      <w:tr>
        <w:tblPrEx>
          <w:tblLayout w:type="fixed"/>
          <w:tblCellMar>
            <w:top w:w="0" w:type="dxa"/>
            <w:left w:w="108" w:type="dxa"/>
            <w:bottom w:w="0" w:type="dxa"/>
            <w:right w:w="108" w:type="dxa"/>
          </w:tblCellMar>
        </w:tblPrEx>
        <w:trPr>
          <w:trHeight w:val="408" w:hRule="atLeast"/>
          <w:jc w:val="center"/>
        </w:trPr>
        <w:tc>
          <w:tcPr>
            <w:tcW w:w="535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汇聚、接入层带宽收敛比</w:t>
            </w:r>
          </w:p>
        </w:tc>
        <w:tc>
          <w:tcPr>
            <w:tcW w:w="316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0.75</w:t>
            </w:r>
          </w:p>
        </w:tc>
      </w:tr>
      <w:tr>
        <w:tblPrEx>
          <w:tblLayout w:type="fixed"/>
          <w:tblCellMar>
            <w:top w:w="0" w:type="dxa"/>
            <w:left w:w="108" w:type="dxa"/>
            <w:bottom w:w="0" w:type="dxa"/>
            <w:right w:w="108" w:type="dxa"/>
          </w:tblCellMar>
        </w:tblPrEx>
        <w:trPr>
          <w:trHeight w:val="408" w:hRule="atLeast"/>
          <w:jc w:val="center"/>
        </w:trPr>
        <w:tc>
          <w:tcPr>
            <w:tcW w:w="535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单汇聚设备带基站数</w:t>
            </w:r>
          </w:p>
        </w:tc>
        <w:tc>
          <w:tcPr>
            <w:tcW w:w="316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25</w:t>
            </w:r>
          </w:p>
        </w:tc>
      </w:tr>
      <w:tr>
        <w:tblPrEx>
          <w:tblLayout w:type="fixed"/>
          <w:tblCellMar>
            <w:top w:w="0" w:type="dxa"/>
            <w:left w:w="108" w:type="dxa"/>
            <w:bottom w:w="0" w:type="dxa"/>
            <w:right w:w="108" w:type="dxa"/>
          </w:tblCellMar>
        </w:tblPrEx>
        <w:trPr>
          <w:trHeight w:val="408" w:hRule="atLeast"/>
          <w:jc w:val="center"/>
        </w:trPr>
        <w:tc>
          <w:tcPr>
            <w:tcW w:w="535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（选择环型拓扑时）汇聚环上汇聚设备数</w:t>
            </w:r>
          </w:p>
        </w:tc>
        <w:tc>
          <w:tcPr>
            <w:tcW w:w="316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6</w:t>
            </w:r>
          </w:p>
        </w:tc>
      </w:tr>
      <w:tr>
        <w:tblPrEx>
          <w:tblLayout w:type="fixed"/>
          <w:tblCellMar>
            <w:top w:w="0" w:type="dxa"/>
            <w:left w:w="108" w:type="dxa"/>
            <w:bottom w:w="0" w:type="dxa"/>
            <w:right w:w="108" w:type="dxa"/>
          </w:tblCellMar>
        </w:tblPrEx>
        <w:trPr>
          <w:trHeight w:val="408" w:hRule="atLeast"/>
          <w:jc w:val="center"/>
        </w:trPr>
        <w:tc>
          <w:tcPr>
            <w:tcW w:w="5353"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（选择环型拓扑时）接入环上接入设备数</w:t>
            </w:r>
          </w:p>
        </w:tc>
        <w:tc>
          <w:tcPr>
            <w:tcW w:w="316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7</w:t>
            </w:r>
          </w:p>
        </w:tc>
      </w:tr>
    </w:tbl>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百山市：该市总移动上网用户数为400万，规划覆盖区域580平方公里，小城镇规模，用户密度低，规划初期建网部署LTE无线网络。百山市话务模型请参照表4 百山市网络话务模型。</w:t>
      </w:r>
    </w:p>
    <w:p>
      <w:pPr>
        <w:jc w:val="center"/>
        <w:rPr>
          <w:rFonts w:ascii="宋体" w:hAnsi="宋体"/>
          <w:kern w:val="0"/>
          <w:sz w:val="22"/>
          <w:szCs w:val="24"/>
        </w:rPr>
      </w:pPr>
      <w:r>
        <w:rPr>
          <w:rFonts w:ascii="宋体" w:hAnsi="宋体"/>
          <w:kern w:val="0"/>
          <w:sz w:val="22"/>
          <w:szCs w:val="24"/>
        </w:rPr>
        <w:t>表4 百山市网络话务模型</w:t>
      </w:r>
    </w:p>
    <w:tbl>
      <w:tblPr>
        <w:tblStyle w:val="20"/>
        <w:tblW w:w="8522" w:type="dxa"/>
        <w:jc w:val="center"/>
        <w:tblInd w:w="0" w:type="dxa"/>
        <w:tblLayout w:type="fixed"/>
        <w:tblCellMar>
          <w:top w:w="0" w:type="dxa"/>
          <w:left w:w="108" w:type="dxa"/>
          <w:bottom w:w="0" w:type="dxa"/>
          <w:right w:w="108" w:type="dxa"/>
        </w:tblCellMar>
      </w:tblPr>
      <w:tblGrid>
        <w:gridCol w:w="5430"/>
        <w:gridCol w:w="1836"/>
        <w:gridCol w:w="1256"/>
      </w:tblGrid>
      <w:tr>
        <w:tblPrEx>
          <w:tblLayout w:type="fixed"/>
          <w:tblCellMar>
            <w:top w:w="0" w:type="dxa"/>
            <w:left w:w="108" w:type="dxa"/>
            <w:bottom w:w="0" w:type="dxa"/>
            <w:right w:w="108" w:type="dxa"/>
          </w:tblCellMar>
        </w:tblPrEx>
        <w:trPr>
          <w:trHeight w:val="285" w:hRule="atLeast"/>
          <w:jc w:val="center"/>
        </w:trPr>
        <w:tc>
          <w:tcPr>
            <w:tcW w:w="5430" w:type="dxa"/>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单业务业务速率（kbps）</w:t>
            </w:r>
          </w:p>
        </w:tc>
        <w:tc>
          <w:tcPr>
            <w:tcW w:w="1836" w:type="dxa"/>
            <w:tcBorders>
              <w:top w:val="single" w:color="auto" w:sz="8" w:space="0"/>
              <w:left w:val="nil"/>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HTTP WWW</w:t>
            </w:r>
          </w:p>
        </w:tc>
        <w:tc>
          <w:tcPr>
            <w:tcW w:w="1256" w:type="dxa"/>
            <w:tcBorders>
              <w:top w:val="single" w:color="auto" w:sz="8" w:space="0"/>
              <w:left w:val="nil"/>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256</w:t>
            </w:r>
          </w:p>
        </w:tc>
      </w:tr>
      <w:tr>
        <w:tblPrEx>
          <w:tblLayout w:type="fixed"/>
          <w:tblCellMar>
            <w:top w:w="0" w:type="dxa"/>
            <w:left w:w="108" w:type="dxa"/>
            <w:bottom w:w="0" w:type="dxa"/>
            <w:right w:w="108" w:type="dxa"/>
          </w:tblCellMar>
        </w:tblPrEx>
        <w:trPr>
          <w:trHeight w:val="285" w:hRule="atLeast"/>
          <w:jc w:val="center"/>
        </w:trPr>
        <w:tc>
          <w:tcPr>
            <w:tcW w:w="5430" w:type="dxa"/>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宋体" w:hAnsi="宋体"/>
                <w:bCs/>
                <w:color w:val="000000"/>
                <w:kern w:val="0"/>
                <w:sz w:val="24"/>
                <w:szCs w:val="24"/>
              </w:rPr>
            </w:pPr>
          </w:p>
        </w:tc>
        <w:tc>
          <w:tcPr>
            <w:tcW w:w="1836" w:type="dxa"/>
            <w:tcBorders>
              <w:top w:val="nil"/>
              <w:left w:val="nil"/>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FTP</w:t>
            </w:r>
          </w:p>
        </w:tc>
        <w:tc>
          <w:tcPr>
            <w:tcW w:w="1256" w:type="dxa"/>
            <w:tcBorders>
              <w:top w:val="nil"/>
              <w:left w:val="nil"/>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1024</w:t>
            </w:r>
          </w:p>
        </w:tc>
      </w:tr>
      <w:tr>
        <w:tblPrEx>
          <w:tblLayout w:type="fixed"/>
          <w:tblCellMar>
            <w:top w:w="0" w:type="dxa"/>
            <w:left w:w="108" w:type="dxa"/>
            <w:bottom w:w="0" w:type="dxa"/>
            <w:right w:w="108" w:type="dxa"/>
          </w:tblCellMar>
        </w:tblPrEx>
        <w:trPr>
          <w:trHeight w:val="285" w:hRule="atLeast"/>
          <w:jc w:val="center"/>
        </w:trPr>
        <w:tc>
          <w:tcPr>
            <w:tcW w:w="5430" w:type="dxa"/>
            <w:vMerge w:val="continue"/>
            <w:tcBorders>
              <w:top w:val="single" w:color="auto" w:sz="8" w:space="0"/>
              <w:left w:val="single" w:color="auto" w:sz="8" w:space="0"/>
              <w:bottom w:val="single" w:color="000000" w:sz="8" w:space="0"/>
              <w:right w:val="single" w:color="auto" w:sz="8" w:space="0"/>
            </w:tcBorders>
            <w:vAlign w:val="center"/>
          </w:tcPr>
          <w:p>
            <w:pPr>
              <w:widowControl/>
              <w:jc w:val="center"/>
              <w:rPr>
                <w:rFonts w:ascii="宋体" w:hAnsi="宋体"/>
                <w:bCs/>
                <w:color w:val="000000"/>
                <w:kern w:val="0"/>
                <w:sz w:val="24"/>
                <w:szCs w:val="24"/>
              </w:rPr>
            </w:pPr>
          </w:p>
        </w:tc>
        <w:tc>
          <w:tcPr>
            <w:tcW w:w="1836" w:type="dxa"/>
            <w:tcBorders>
              <w:top w:val="nil"/>
              <w:left w:val="nil"/>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VOD/AOD</w:t>
            </w:r>
          </w:p>
        </w:tc>
        <w:tc>
          <w:tcPr>
            <w:tcW w:w="1256" w:type="dxa"/>
            <w:tcBorders>
              <w:top w:val="nil"/>
              <w:left w:val="nil"/>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1024</w:t>
            </w:r>
          </w:p>
        </w:tc>
      </w:tr>
      <w:tr>
        <w:tblPrEx>
          <w:tblLayout w:type="fixed"/>
          <w:tblCellMar>
            <w:top w:w="0" w:type="dxa"/>
            <w:left w:w="108" w:type="dxa"/>
            <w:bottom w:w="0" w:type="dxa"/>
            <w:right w:w="108" w:type="dxa"/>
          </w:tblCellMar>
        </w:tblPrEx>
        <w:trPr>
          <w:trHeight w:val="285" w:hRule="atLeast"/>
          <w:jc w:val="center"/>
        </w:trPr>
        <w:tc>
          <w:tcPr>
            <w:tcW w:w="5430" w:type="dxa"/>
            <w:vMerge w:val="restart"/>
            <w:tcBorders>
              <w:top w:val="nil"/>
              <w:left w:val="single" w:color="auto" w:sz="8" w:space="0"/>
              <w:bottom w:val="single" w:color="000000" w:sz="8" w:space="0"/>
              <w:right w:val="single" w:color="auto"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单业务忙时占比系数</w:t>
            </w:r>
          </w:p>
        </w:tc>
        <w:tc>
          <w:tcPr>
            <w:tcW w:w="1836" w:type="dxa"/>
            <w:tcBorders>
              <w:top w:val="nil"/>
              <w:left w:val="nil"/>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HTTP WWW</w:t>
            </w:r>
          </w:p>
        </w:tc>
        <w:tc>
          <w:tcPr>
            <w:tcW w:w="1256" w:type="dxa"/>
            <w:tcBorders>
              <w:top w:val="nil"/>
              <w:left w:val="nil"/>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40.00%</w:t>
            </w:r>
          </w:p>
        </w:tc>
      </w:tr>
      <w:tr>
        <w:tblPrEx>
          <w:tblLayout w:type="fixed"/>
          <w:tblCellMar>
            <w:top w:w="0" w:type="dxa"/>
            <w:left w:w="108" w:type="dxa"/>
            <w:bottom w:w="0" w:type="dxa"/>
            <w:right w:w="108" w:type="dxa"/>
          </w:tblCellMar>
        </w:tblPrEx>
        <w:trPr>
          <w:trHeight w:val="285" w:hRule="atLeast"/>
          <w:jc w:val="center"/>
        </w:trPr>
        <w:tc>
          <w:tcPr>
            <w:tcW w:w="5430" w:type="dxa"/>
            <w:vMerge w:val="continue"/>
            <w:tcBorders>
              <w:top w:val="nil"/>
              <w:left w:val="single" w:color="auto" w:sz="8" w:space="0"/>
              <w:bottom w:val="single" w:color="000000" w:sz="8" w:space="0"/>
              <w:right w:val="single" w:color="auto" w:sz="8" w:space="0"/>
            </w:tcBorders>
            <w:vAlign w:val="center"/>
          </w:tcPr>
          <w:p>
            <w:pPr>
              <w:widowControl/>
              <w:jc w:val="center"/>
              <w:rPr>
                <w:rFonts w:ascii="宋体" w:hAnsi="宋体"/>
                <w:bCs/>
                <w:color w:val="000000"/>
                <w:kern w:val="0"/>
                <w:sz w:val="24"/>
                <w:szCs w:val="24"/>
              </w:rPr>
            </w:pPr>
          </w:p>
        </w:tc>
        <w:tc>
          <w:tcPr>
            <w:tcW w:w="1836" w:type="dxa"/>
            <w:tcBorders>
              <w:top w:val="nil"/>
              <w:left w:val="nil"/>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FTP</w:t>
            </w:r>
          </w:p>
        </w:tc>
        <w:tc>
          <w:tcPr>
            <w:tcW w:w="1256" w:type="dxa"/>
            <w:tcBorders>
              <w:top w:val="nil"/>
              <w:left w:val="nil"/>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30.00%</w:t>
            </w:r>
          </w:p>
        </w:tc>
      </w:tr>
      <w:tr>
        <w:tblPrEx>
          <w:tblLayout w:type="fixed"/>
          <w:tblCellMar>
            <w:top w:w="0" w:type="dxa"/>
            <w:left w:w="108" w:type="dxa"/>
            <w:bottom w:w="0" w:type="dxa"/>
            <w:right w:w="108" w:type="dxa"/>
          </w:tblCellMar>
        </w:tblPrEx>
        <w:trPr>
          <w:trHeight w:val="285" w:hRule="atLeast"/>
          <w:jc w:val="center"/>
        </w:trPr>
        <w:tc>
          <w:tcPr>
            <w:tcW w:w="5430" w:type="dxa"/>
            <w:vMerge w:val="continue"/>
            <w:tcBorders>
              <w:top w:val="nil"/>
              <w:left w:val="single" w:color="auto" w:sz="8" w:space="0"/>
              <w:bottom w:val="single" w:color="000000" w:sz="8" w:space="0"/>
              <w:right w:val="single" w:color="auto" w:sz="8" w:space="0"/>
            </w:tcBorders>
            <w:vAlign w:val="center"/>
          </w:tcPr>
          <w:p>
            <w:pPr>
              <w:widowControl/>
              <w:jc w:val="center"/>
              <w:rPr>
                <w:rFonts w:ascii="宋体" w:hAnsi="宋体"/>
                <w:bCs/>
                <w:color w:val="000000"/>
                <w:kern w:val="0"/>
                <w:sz w:val="24"/>
                <w:szCs w:val="24"/>
              </w:rPr>
            </w:pPr>
          </w:p>
        </w:tc>
        <w:tc>
          <w:tcPr>
            <w:tcW w:w="1836" w:type="dxa"/>
            <w:tcBorders>
              <w:top w:val="nil"/>
              <w:left w:val="nil"/>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VOD/AOD</w:t>
            </w:r>
          </w:p>
        </w:tc>
        <w:tc>
          <w:tcPr>
            <w:tcW w:w="1256" w:type="dxa"/>
            <w:tcBorders>
              <w:top w:val="nil"/>
              <w:left w:val="nil"/>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30.00%</w:t>
            </w:r>
          </w:p>
        </w:tc>
      </w:tr>
      <w:tr>
        <w:tblPrEx>
          <w:tblLayout w:type="fixed"/>
          <w:tblCellMar>
            <w:top w:w="0" w:type="dxa"/>
            <w:left w:w="108" w:type="dxa"/>
            <w:bottom w:w="0" w:type="dxa"/>
            <w:right w:w="108" w:type="dxa"/>
          </w:tblCellMar>
        </w:tblPrEx>
        <w:trPr>
          <w:trHeight w:val="285" w:hRule="atLeast"/>
          <w:jc w:val="center"/>
        </w:trPr>
        <w:tc>
          <w:tcPr>
            <w:tcW w:w="5430" w:type="dxa"/>
            <w:tcBorders>
              <w:top w:val="nil"/>
              <w:left w:val="single" w:color="auto" w:sz="8" w:space="0"/>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平均上网总业务忙时激活时间（s）</w:t>
            </w:r>
          </w:p>
        </w:tc>
        <w:tc>
          <w:tcPr>
            <w:tcW w:w="3092" w:type="dxa"/>
            <w:gridSpan w:val="2"/>
            <w:tcBorders>
              <w:top w:val="single" w:color="auto" w:sz="8" w:space="0"/>
              <w:left w:val="nil"/>
              <w:bottom w:val="single" w:color="auto" w:sz="8" w:space="0"/>
              <w:right w:val="single" w:color="000000"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650</w:t>
            </w:r>
          </w:p>
        </w:tc>
      </w:tr>
      <w:tr>
        <w:tblPrEx>
          <w:tblLayout w:type="fixed"/>
          <w:tblCellMar>
            <w:top w:w="0" w:type="dxa"/>
            <w:left w:w="108" w:type="dxa"/>
            <w:bottom w:w="0" w:type="dxa"/>
            <w:right w:w="108" w:type="dxa"/>
          </w:tblCellMar>
        </w:tblPrEx>
        <w:trPr>
          <w:trHeight w:val="285" w:hRule="atLeast"/>
          <w:jc w:val="center"/>
        </w:trPr>
        <w:tc>
          <w:tcPr>
            <w:tcW w:w="5430" w:type="dxa"/>
            <w:tcBorders>
              <w:top w:val="nil"/>
              <w:left w:val="single" w:color="auto" w:sz="8" w:space="0"/>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本市移动上网用户数（万）</w:t>
            </w:r>
          </w:p>
        </w:tc>
        <w:tc>
          <w:tcPr>
            <w:tcW w:w="3092"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（根据背景说明自填）</w:t>
            </w:r>
          </w:p>
        </w:tc>
      </w:tr>
      <w:tr>
        <w:tblPrEx>
          <w:tblLayout w:type="fixed"/>
          <w:tblCellMar>
            <w:top w:w="0" w:type="dxa"/>
            <w:left w:w="108" w:type="dxa"/>
            <w:bottom w:w="0" w:type="dxa"/>
            <w:right w:w="108" w:type="dxa"/>
          </w:tblCellMar>
        </w:tblPrEx>
        <w:trPr>
          <w:trHeight w:val="285" w:hRule="atLeast"/>
          <w:jc w:val="center"/>
        </w:trPr>
        <w:tc>
          <w:tcPr>
            <w:tcW w:w="5430" w:type="dxa"/>
            <w:tcBorders>
              <w:top w:val="nil"/>
              <w:left w:val="single" w:color="auto" w:sz="8" w:space="0"/>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Z运营商4G移动用户占比</w:t>
            </w:r>
          </w:p>
        </w:tc>
        <w:tc>
          <w:tcPr>
            <w:tcW w:w="3092"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3%</w:t>
            </w:r>
          </w:p>
        </w:tc>
      </w:tr>
      <w:tr>
        <w:tblPrEx>
          <w:tblLayout w:type="fixed"/>
          <w:tblCellMar>
            <w:top w:w="0" w:type="dxa"/>
            <w:left w:w="108" w:type="dxa"/>
            <w:bottom w:w="0" w:type="dxa"/>
            <w:right w:w="108" w:type="dxa"/>
          </w:tblCellMar>
        </w:tblPrEx>
        <w:trPr>
          <w:trHeight w:val="285" w:hRule="atLeast"/>
          <w:jc w:val="center"/>
        </w:trPr>
        <w:tc>
          <w:tcPr>
            <w:tcW w:w="5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制式选择</w:t>
            </w:r>
          </w:p>
        </w:tc>
        <w:tc>
          <w:tcPr>
            <w:tcW w:w="3092"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（根据背景说明自选）</w:t>
            </w:r>
          </w:p>
        </w:tc>
      </w:tr>
      <w:tr>
        <w:tblPrEx>
          <w:tblLayout w:type="fixed"/>
          <w:tblCellMar>
            <w:top w:w="0" w:type="dxa"/>
            <w:left w:w="108" w:type="dxa"/>
            <w:bottom w:w="0" w:type="dxa"/>
            <w:right w:w="108" w:type="dxa"/>
          </w:tblCellMar>
        </w:tblPrEx>
        <w:trPr>
          <w:trHeight w:val="285" w:hRule="atLeast"/>
          <w:jc w:val="center"/>
        </w:trPr>
        <w:tc>
          <w:tcPr>
            <w:tcW w:w="5430" w:type="dxa"/>
            <w:tcBorders>
              <w:top w:val="nil"/>
              <w:left w:val="single" w:color="auto" w:sz="8" w:space="0"/>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单站三小区吞吐量（Mbps）</w:t>
            </w:r>
          </w:p>
        </w:tc>
        <w:tc>
          <w:tcPr>
            <w:tcW w:w="3092" w:type="dxa"/>
            <w:gridSpan w:val="2"/>
            <w:tcBorders>
              <w:top w:val="single" w:color="auto" w:sz="8" w:space="0"/>
              <w:left w:val="nil"/>
              <w:bottom w:val="single" w:color="auto" w:sz="8" w:space="0"/>
              <w:right w:val="single" w:color="000000"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（根据背景说明自选）</w:t>
            </w:r>
          </w:p>
        </w:tc>
      </w:tr>
      <w:tr>
        <w:tblPrEx>
          <w:tblLayout w:type="fixed"/>
          <w:tblCellMar>
            <w:top w:w="0" w:type="dxa"/>
            <w:left w:w="108" w:type="dxa"/>
            <w:bottom w:w="0" w:type="dxa"/>
            <w:right w:w="108" w:type="dxa"/>
          </w:tblCellMar>
        </w:tblPrEx>
        <w:trPr>
          <w:trHeight w:val="285" w:hRule="atLeast"/>
          <w:jc w:val="center"/>
        </w:trPr>
        <w:tc>
          <w:tcPr>
            <w:tcW w:w="5430" w:type="dxa"/>
            <w:tcBorders>
              <w:top w:val="nil"/>
              <w:left w:val="single" w:color="auto" w:sz="8" w:space="0"/>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MIMO2*2吞吐量增加系数</w:t>
            </w:r>
          </w:p>
        </w:tc>
        <w:tc>
          <w:tcPr>
            <w:tcW w:w="3092"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2</w:t>
            </w:r>
          </w:p>
        </w:tc>
      </w:tr>
      <w:tr>
        <w:tblPrEx>
          <w:tblLayout w:type="fixed"/>
          <w:tblCellMar>
            <w:top w:w="0" w:type="dxa"/>
            <w:left w:w="108" w:type="dxa"/>
            <w:bottom w:w="0" w:type="dxa"/>
            <w:right w:w="108" w:type="dxa"/>
          </w:tblCellMar>
        </w:tblPrEx>
        <w:trPr>
          <w:trHeight w:val="285" w:hRule="atLeast"/>
          <w:jc w:val="center"/>
        </w:trPr>
        <w:tc>
          <w:tcPr>
            <w:tcW w:w="5430" w:type="dxa"/>
            <w:tcBorders>
              <w:top w:val="nil"/>
              <w:left w:val="single" w:color="auto" w:sz="8" w:space="0"/>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本市规划区域面积（平方公里）</w:t>
            </w:r>
          </w:p>
        </w:tc>
        <w:tc>
          <w:tcPr>
            <w:tcW w:w="3092"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（根据背景说明自填）</w:t>
            </w:r>
          </w:p>
        </w:tc>
      </w:tr>
      <w:tr>
        <w:tblPrEx>
          <w:tblLayout w:type="fixed"/>
          <w:tblCellMar>
            <w:top w:w="0" w:type="dxa"/>
            <w:left w:w="108" w:type="dxa"/>
            <w:bottom w:w="0" w:type="dxa"/>
            <w:right w:w="108" w:type="dxa"/>
          </w:tblCellMar>
        </w:tblPrEx>
        <w:trPr>
          <w:trHeight w:val="285" w:hRule="atLeast"/>
          <w:jc w:val="center"/>
        </w:trPr>
        <w:tc>
          <w:tcPr>
            <w:tcW w:w="5430" w:type="dxa"/>
            <w:tcBorders>
              <w:top w:val="nil"/>
              <w:left w:val="single" w:color="auto" w:sz="8" w:space="0"/>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小区覆盖半径基准（km）</w:t>
            </w:r>
          </w:p>
        </w:tc>
        <w:tc>
          <w:tcPr>
            <w:tcW w:w="3092"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0.85</w:t>
            </w:r>
          </w:p>
        </w:tc>
      </w:tr>
      <w:tr>
        <w:tblPrEx>
          <w:tblLayout w:type="fixed"/>
          <w:tblCellMar>
            <w:top w:w="0" w:type="dxa"/>
            <w:left w:w="108" w:type="dxa"/>
            <w:bottom w:w="0" w:type="dxa"/>
            <w:right w:w="108" w:type="dxa"/>
          </w:tblCellMar>
        </w:tblPrEx>
        <w:trPr>
          <w:trHeight w:val="285" w:hRule="atLeast"/>
          <w:jc w:val="center"/>
        </w:trPr>
        <w:tc>
          <w:tcPr>
            <w:tcW w:w="5430" w:type="dxa"/>
            <w:tcBorders>
              <w:top w:val="nil"/>
              <w:left w:val="single" w:color="auto" w:sz="8" w:space="0"/>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制式调整因子</w:t>
            </w:r>
          </w:p>
        </w:tc>
        <w:tc>
          <w:tcPr>
            <w:tcW w:w="3092"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（根据背景说明自选）</w:t>
            </w:r>
          </w:p>
        </w:tc>
      </w:tr>
      <w:tr>
        <w:tblPrEx>
          <w:tblLayout w:type="fixed"/>
          <w:tblCellMar>
            <w:top w:w="0" w:type="dxa"/>
            <w:left w:w="108" w:type="dxa"/>
            <w:bottom w:w="0" w:type="dxa"/>
            <w:right w:w="108" w:type="dxa"/>
          </w:tblCellMar>
        </w:tblPrEx>
        <w:trPr>
          <w:trHeight w:val="285" w:hRule="atLeast"/>
          <w:jc w:val="center"/>
        </w:trPr>
        <w:tc>
          <w:tcPr>
            <w:tcW w:w="5430" w:type="dxa"/>
            <w:tcBorders>
              <w:top w:val="nil"/>
              <w:left w:val="single" w:color="auto" w:sz="8" w:space="0"/>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半径调整比例</w:t>
            </w:r>
          </w:p>
        </w:tc>
        <w:tc>
          <w:tcPr>
            <w:tcW w:w="3092"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90度定向站:0.9</w:t>
            </w:r>
          </w:p>
        </w:tc>
      </w:tr>
      <w:tr>
        <w:tblPrEx>
          <w:tblLayout w:type="fixed"/>
          <w:tblCellMar>
            <w:top w:w="0" w:type="dxa"/>
            <w:left w:w="108" w:type="dxa"/>
            <w:bottom w:w="0" w:type="dxa"/>
            <w:right w:w="108" w:type="dxa"/>
          </w:tblCellMar>
        </w:tblPrEx>
        <w:trPr>
          <w:trHeight w:val="285" w:hRule="atLeast"/>
          <w:jc w:val="center"/>
        </w:trPr>
        <w:tc>
          <w:tcPr>
            <w:tcW w:w="5430" w:type="dxa"/>
            <w:tcBorders>
              <w:top w:val="nil"/>
              <w:left w:val="single" w:color="auto" w:sz="8" w:space="0"/>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 xml:space="preserve">            在线用户比</w:t>
            </w:r>
          </w:p>
        </w:tc>
        <w:tc>
          <w:tcPr>
            <w:tcW w:w="3092"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0.9</w:t>
            </w:r>
          </w:p>
        </w:tc>
      </w:tr>
      <w:tr>
        <w:tblPrEx>
          <w:tblLayout w:type="fixed"/>
          <w:tblCellMar>
            <w:top w:w="0" w:type="dxa"/>
            <w:left w:w="108" w:type="dxa"/>
            <w:bottom w:w="0" w:type="dxa"/>
            <w:right w:w="108" w:type="dxa"/>
          </w:tblCellMar>
        </w:tblPrEx>
        <w:trPr>
          <w:trHeight w:val="285" w:hRule="atLeast"/>
          <w:jc w:val="center"/>
        </w:trPr>
        <w:tc>
          <w:tcPr>
            <w:tcW w:w="5430" w:type="dxa"/>
            <w:tcBorders>
              <w:top w:val="single" w:color="auto" w:sz="8" w:space="0"/>
              <w:left w:val="single" w:color="auto" w:sz="8" w:space="0"/>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附着激活比</w:t>
            </w:r>
          </w:p>
        </w:tc>
        <w:tc>
          <w:tcPr>
            <w:tcW w:w="3092" w:type="dxa"/>
            <w:gridSpan w:val="2"/>
            <w:tcBorders>
              <w:top w:val="single" w:color="auto" w:sz="8" w:space="0"/>
              <w:left w:val="nil"/>
              <w:bottom w:val="single" w:color="auto" w:sz="8" w:space="0"/>
              <w:right w:val="single" w:color="auto"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0.5</w:t>
            </w:r>
          </w:p>
        </w:tc>
      </w:tr>
      <w:tr>
        <w:tblPrEx>
          <w:tblLayout w:type="fixed"/>
          <w:tblCellMar>
            <w:top w:w="0" w:type="dxa"/>
            <w:left w:w="108" w:type="dxa"/>
            <w:bottom w:w="0" w:type="dxa"/>
            <w:right w:w="108" w:type="dxa"/>
          </w:tblCellMar>
        </w:tblPrEx>
        <w:trPr>
          <w:trHeight w:val="285" w:hRule="atLeast"/>
          <w:jc w:val="center"/>
        </w:trPr>
        <w:tc>
          <w:tcPr>
            <w:tcW w:w="5430" w:type="dxa"/>
            <w:tcBorders>
              <w:top w:val="nil"/>
              <w:left w:val="single" w:color="auto" w:sz="8" w:space="0"/>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S1-MME接口每用户忙时平均信令流量（kbps）</w:t>
            </w:r>
          </w:p>
        </w:tc>
        <w:tc>
          <w:tcPr>
            <w:tcW w:w="3092"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6</w:t>
            </w:r>
          </w:p>
        </w:tc>
      </w:tr>
      <w:tr>
        <w:tblPrEx>
          <w:tblLayout w:type="fixed"/>
          <w:tblCellMar>
            <w:top w:w="0" w:type="dxa"/>
            <w:left w:w="108" w:type="dxa"/>
            <w:bottom w:w="0" w:type="dxa"/>
            <w:right w:w="108" w:type="dxa"/>
          </w:tblCellMar>
        </w:tblPrEx>
        <w:trPr>
          <w:trHeight w:val="285" w:hRule="atLeast"/>
          <w:jc w:val="center"/>
        </w:trPr>
        <w:tc>
          <w:tcPr>
            <w:tcW w:w="5430" w:type="dxa"/>
            <w:tcBorders>
              <w:top w:val="nil"/>
              <w:left w:val="single" w:color="auto" w:sz="8" w:space="0"/>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S11接口每用户忙时平均信令流量（kbps）</w:t>
            </w:r>
          </w:p>
        </w:tc>
        <w:tc>
          <w:tcPr>
            <w:tcW w:w="3092"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3</w:t>
            </w:r>
          </w:p>
        </w:tc>
      </w:tr>
      <w:tr>
        <w:tblPrEx>
          <w:tblLayout w:type="fixed"/>
          <w:tblCellMar>
            <w:top w:w="0" w:type="dxa"/>
            <w:left w:w="108" w:type="dxa"/>
            <w:bottom w:w="0" w:type="dxa"/>
            <w:right w:w="108" w:type="dxa"/>
          </w:tblCellMar>
        </w:tblPrEx>
        <w:trPr>
          <w:trHeight w:val="285" w:hRule="atLeast"/>
          <w:jc w:val="center"/>
        </w:trPr>
        <w:tc>
          <w:tcPr>
            <w:tcW w:w="5430" w:type="dxa"/>
            <w:tcBorders>
              <w:top w:val="nil"/>
              <w:left w:val="single" w:color="auto" w:sz="8" w:space="0"/>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S6a接口每用户忙时平均信令流量（kbps）</w:t>
            </w:r>
          </w:p>
        </w:tc>
        <w:tc>
          <w:tcPr>
            <w:tcW w:w="3092"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5</w:t>
            </w:r>
          </w:p>
        </w:tc>
      </w:tr>
      <w:tr>
        <w:tblPrEx>
          <w:tblLayout w:type="fixed"/>
          <w:tblCellMar>
            <w:top w:w="0" w:type="dxa"/>
            <w:left w:w="108" w:type="dxa"/>
            <w:bottom w:w="0" w:type="dxa"/>
            <w:right w:w="108" w:type="dxa"/>
          </w:tblCellMar>
        </w:tblPrEx>
        <w:trPr>
          <w:trHeight w:val="285" w:hRule="atLeast"/>
          <w:jc w:val="center"/>
        </w:trPr>
        <w:tc>
          <w:tcPr>
            <w:tcW w:w="5430" w:type="dxa"/>
            <w:tcBorders>
              <w:top w:val="nil"/>
              <w:left w:val="single" w:color="auto" w:sz="8" w:space="0"/>
              <w:bottom w:val="single" w:color="auto" w:sz="8" w:space="0"/>
              <w:right w:val="single" w:color="auto" w:sz="8" w:space="0"/>
            </w:tcBorders>
            <w:shd w:val="clear" w:color="auto" w:fill="auto"/>
            <w:vAlign w:val="bottom"/>
          </w:tcPr>
          <w:p>
            <w:pPr>
              <w:widowControl/>
              <w:jc w:val="center"/>
              <w:rPr>
                <w:rFonts w:ascii="宋体" w:hAnsi="宋体"/>
                <w:bCs/>
                <w:color w:val="000000"/>
                <w:kern w:val="0"/>
                <w:sz w:val="24"/>
                <w:szCs w:val="24"/>
              </w:rPr>
            </w:pPr>
            <w:r>
              <w:rPr>
                <w:rFonts w:ascii="宋体" w:hAnsi="宋体"/>
                <w:bCs/>
                <w:color w:val="000000"/>
                <w:kern w:val="0"/>
                <w:sz w:val="24"/>
                <w:szCs w:val="24"/>
              </w:rPr>
              <w:t>平均报文长度</w:t>
            </w:r>
          </w:p>
        </w:tc>
        <w:tc>
          <w:tcPr>
            <w:tcW w:w="3092"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500字节</w:t>
            </w:r>
          </w:p>
        </w:tc>
      </w:tr>
      <w:tr>
        <w:tblPrEx>
          <w:tblLayout w:type="fixed"/>
          <w:tblCellMar>
            <w:top w:w="0" w:type="dxa"/>
            <w:left w:w="108" w:type="dxa"/>
            <w:bottom w:w="0" w:type="dxa"/>
            <w:right w:w="108" w:type="dxa"/>
          </w:tblCellMar>
        </w:tblPrEx>
        <w:trPr>
          <w:trHeight w:val="285" w:hRule="atLeast"/>
          <w:jc w:val="center"/>
        </w:trPr>
        <w:tc>
          <w:tcPr>
            <w:tcW w:w="5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基站带宽预留比</w:t>
            </w:r>
          </w:p>
        </w:tc>
        <w:tc>
          <w:tcPr>
            <w:tcW w:w="3092"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0.5</w:t>
            </w:r>
          </w:p>
        </w:tc>
      </w:tr>
      <w:tr>
        <w:tblPrEx>
          <w:tblLayout w:type="fixed"/>
          <w:tblCellMar>
            <w:top w:w="0" w:type="dxa"/>
            <w:left w:w="108" w:type="dxa"/>
            <w:bottom w:w="0" w:type="dxa"/>
            <w:right w:w="108" w:type="dxa"/>
          </w:tblCellMar>
        </w:tblPrEx>
        <w:trPr>
          <w:trHeight w:val="285" w:hRule="atLeast"/>
          <w:jc w:val="center"/>
        </w:trPr>
        <w:tc>
          <w:tcPr>
            <w:tcW w:w="5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链路工作带宽占比</w:t>
            </w:r>
          </w:p>
        </w:tc>
        <w:tc>
          <w:tcPr>
            <w:tcW w:w="3092"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0.5</w:t>
            </w:r>
          </w:p>
        </w:tc>
      </w:tr>
      <w:tr>
        <w:tblPrEx>
          <w:tblLayout w:type="fixed"/>
          <w:tblCellMar>
            <w:top w:w="0" w:type="dxa"/>
            <w:left w:w="108" w:type="dxa"/>
            <w:bottom w:w="0" w:type="dxa"/>
            <w:right w:w="108" w:type="dxa"/>
          </w:tblCellMar>
        </w:tblPrEx>
        <w:trPr>
          <w:trHeight w:val="285" w:hRule="atLeast"/>
          <w:jc w:val="center"/>
        </w:trPr>
        <w:tc>
          <w:tcPr>
            <w:tcW w:w="5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核心、接入层带宽收敛比</w:t>
            </w:r>
          </w:p>
        </w:tc>
        <w:tc>
          <w:tcPr>
            <w:tcW w:w="3092"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0.5</w:t>
            </w:r>
          </w:p>
        </w:tc>
      </w:tr>
      <w:tr>
        <w:tblPrEx>
          <w:tblLayout w:type="fixed"/>
          <w:tblCellMar>
            <w:top w:w="0" w:type="dxa"/>
            <w:left w:w="108" w:type="dxa"/>
            <w:bottom w:w="0" w:type="dxa"/>
            <w:right w:w="108" w:type="dxa"/>
          </w:tblCellMar>
        </w:tblPrEx>
        <w:trPr>
          <w:trHeight w:val="285" w:hRule="atLeast"/>
          <w:jc w:val="center"/>
        </w:trPr>
        <w:tc>
          <w:tcPr>
            <w:tcW w:w="5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汇聚、接入层带宽收敛比</w:t>
            </w:r>
          </w:p>
        </w:tc>
        <w:tc>
          <w:tcPr>
            <w:tcW w:w="3092"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0.75</w:t>
            </w:r>
          </w:p>
        </w:tc>
      </w:tr>
      <w:tr>
        <w:tblPrEx>
          <w:tblLayout w:type="fixed"/>
          <w:tblCellMar>
            <w:top w:w="0" w:type="dxa"/>
            <w:left w:w="108" w:type="dxa"/>
            <w:bottom w:w="0" w:type="dxa"/>
            <w:right w:w="108" w:type="dxa"/>
          </w:tblCellMar>
        </w:tblPrEx>
        <w:trPr>
          <w:trHeight w:val="285" w:hRule="atLeast"/>
          <w:jc w:val="center"/>
        </w:trPr>
        <w:tc>
          <w:tcPr>
            <w:tcW w:w="5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单汇聚设备带基站数</w:t>
            </w:r>
          </w:p>
        </w:tc>
        <w:tc>
          <w:tcPr>
            <w:tcW w:w="3092"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16</w:t>
            </w:r>
          </w:p>
        </w:tc>
      </w:tr>
      <w:tr>
        <w:tblPrEx>
          <w:tblLayout w:type="fixed"/>
          <w:tblCellMar>
            <w:top w:w="0" w:type="dxa"/>
            <w:left w:w="108" w:type="dxa"/>
            <w:bottom w:w="0" w:type="dxa"/>
            <w:right w:w="108" w:type="dxa"/>
          </w:tblCellMar>
        </w:tblPrEx>
        <w:trPr>
          <w:trHeight w:val="285" w:hRule="atLeast"/>
          <w:jc w:val="center"/>
        </w:trPr>
        <w:tc>
          <w:tcPr>
            <w:tcW w:w="5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（选择环型拓扑时）汇聚环上汇聚设备数</w:t>
            </w:r>
          </w:p>
        </w:tc>
        <w:tc>
          <w:tcPr>
            <w:tcW w:w="3092"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5</w:t>
            </w:r>
          </w:p>
        </w:tc>
      </w:tr>
      <w:tr>
        <w:tblPrEx>
          <w:tblLayout w:type="fixed"/>
          <w:tblCellMar>
            <w:top w:w="0" w:type="dxa"/>
            <w:left w:w="108" w:type="dxa"/>
            <w:bottom w:w="0" w:type="dxa"/>
            <w:right w:w="108" w:type="dxa"/>
          </w:tblCellMar>
        </w:tblPrEx>
        <w:trPr>
          <w:trHeight w:val="285" w:hRule="atLeast"/>
          <w:jc w:val="center"/>
        </w:trPr>
        <w:tc>
          <w:tcPr>
            <w:tcW w:w="5430"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（选择环型拓扑时）接入环上接入设备数</w:t>
            </w:r>
          </w:p>
        </w:tc>
        <w:tc>
          <w:tcPr>
            <w:tcW w:w="3092" w:type="dxa"/>
            <w:gridSpan w:val="2"/>
            <w:tcBorders>
              <w:top w:val="single" w:color="auto" w:sz="8" w:space="0"/>
              <w:left w:val="nil"/>
              <w:bottom w:val="single" w:color="auto" w:sz="8" w:space="0"/>
              <w:right w:val="single" w:color="000000" w:sz="8" w:space="0"/>
            </w:tcBorders>
            <w:shd w:val="clear" w:color="auto" w:fill="auto"/>
            <w:vAlign w:val="center"/>
          </w:tcPr>
          <w:p>
            <w:pPr>
              <w:widowControl/>
              <w:jc w:val="center"/>
              <w:rPr>
                <w:rFonts w:ascii="宋体" w:hAnsi="宋体"/>
                <w:bCs/>
                <w:color w:val="000000"/>
                <w:kern w:val="0"/>
                <w:sz w:val="24"/>
                <w:szCs w:val="24"/>
              </w:rPr>
            </w:pPr>
            <w:r>
              <w:rPr>
                <w:rFonts w:ascii="宋体" w:hAnsi="宋体"/>
                <w:bCs/>
                <w:color w:val="000000"/>
                <w:kern w:val="0"/>
                <w:sz w:val="24"/>
                <w:szCs w:val="24"/>
              </w:rPr>
              <w:t>6</w:t>
            </w:r>
          </w:p>
        </w:tc>
      </w:tr>
    </w:tbl>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（1）合理部署并完成各机房中设备及连线。</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（2）完善数据配置，在工程模式下实现千湖和百山两市Q1、Q2、Q3、B1、B2、B3共6个小区的业务拨测，并实现工程模式下B2&lt;-&gt;Q1之间业务的双向切换。</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3. 补充说明：</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 xml:space="preserve">（1）“小区拨测”任务以“工程模式”下的Q1、Q2、Q3、B1、B2、B3六个小区的拨测成功为验收指标。 </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（2）“小区切换”任务以“工程模式”下双向切换成功为验收指标，两小区间切换如只完成单向切换将视为切换不通过，“小区切换”任务不得分。</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（3）容量规划计算结果请保留2位小数，计算结果错误不得分。</w:t>
      </w:r>
    </w:p>
    <w:p>
      <w:pPr>
        <w:spacing w:line="560" w:lineRule="exact"/>
        <w:ind w:firstLine="602"/>
        <w:rPr>
          <w:rFonts w:ascii="Times New Roman" w:hAnsi="Times New Roman" w:eastAsia="仿宋_GB2312"/>
          <w:b/>
          <w:bCs/>
          <w:color w:val="000000"/>
          <w:sz w:val="30"/>
          <w:szCs w:val="30"/>
          <w:u w:color="000000"/>
          <w:lang w:val="zh-TW"/>
        </w:rPr>
      </w:pPr>
      <w:r>
        <w:rPr>
          <w:rFonts w:ascii="Times New Roman" w:hAnsi="Times New Roman" w:eastAsia="仿宋_GB2312"/>
          <w:b/>
          <w:bCs/>
          <w:color w:val="000000"/>
          <w:sz w:val="30"/>
          <w:szCs w:val="30"/>
          <w:u w:color="000000"/>
          <w:lang w:val="zh-TW"/>
        </w:rPr>
        <w:t>（</w:t>
      </w:r>
      <w:r>
        <w:rPr>
          <w:rFonts w:hint="eastAsia" w:ascii="Times New Roman" w:hAnsi="Times New Roman" w:eastAsia="仿宋_GB2312"/>
          <w:b/>
          <w:bCs/>
          <w:color w:val="000000"/>
          <w:sz w:val="30"/>
          <w:szCs w:val="30"/>
          <w:u w:color="000000"/>
          <w:lang w:val="zh-TW"/>
        </w:rPr>
        <w:t>二</w:t>
      </w:r>
      <w:r>
        <w:rPr>
          <w:rFonts w:ascii="Times New Roman" w:hAnsi="Times New Roman" w:eastAsia="仿宋_GB2312"/>
          <w:b/>
          <w:bCs/>
          <w:color w:val="000000"/>
          <w:sz w:val="30"/>
          <w:szCs w:val="30"/>
          <w:u w:color="000000"/>
          <w:lang w:val="zh-TW"/>
        </w:rPr>
        <w:t>）4G</w:t>
      </w:r>
      <w:r>
        <w:rPr>
          <w:rFonts w:ascii="Times New Roman" w:hAnsi="Times New Roman" w:eastAsia="PMingLiU"/>
          <w:b/>
          <w:bCs/>
          <w:color w:val="000000"/>
          <w:sz w:val="30"/>
          <w:szCs w:val="30"/>
          <w:u w:color="000000"/>
          <w:lang w:val="zh-TW" w:eastAsia="zh-TW"/>
        </w:rPr>
        <w:t>&amp;Pre5G</w:t>
      </w:r>
      <w:r>
        <w:rPr>
          <w:rFonts w:ascii="Times New Roman" w:hAnsi="Times New Roman" w:eastAsia="仿宋_GB2312"/>
          <w:b/>
          <w:bCs/>
          <w:color w:val="000000"/>
          <w:sz w:val="30"/>
          <w:szCs w:val="30"/>
          <w:u w:color="000000"/>
          <w:lang w:val="zh-TW"/>
        </w:rPr>
        <w:t>网络故障排除（</w:t>
      </w:r>
      <w:r>
        <w:rPr>
          <w:rFonts w:hint="eastAsia" w:ascii="Times New Roman" w:hAnsi="Times New Roman" w:eastAsia="仿宋_GB2312"/>
          <w:b/>
          <w:bCs/>
          <w:color w:val="000000"/>
          <w:sz w:val="30"/>
          <w:szCs w:val="30"/>
          <w:u w:color="000000"/>
          <w:lang w:val="zh-TW"/>
        </w:rPr>
        <w:t>3</w:t>
      </w:r>
      <w:r>
        <w:rPr>
          <w:rFonts w:ascii="Times New Roman" w:hAnsi="Times New Roman" w:eastAsia="仿宋_GB2312"/>
          <w:b/>
          <w:bCs/>
          <w:color w:val="000000"/>
          <w:sz w:val="30"/>
          <w:szCs w:val="30"/>
          <w:u w:color="000000"/>
          <w:lang w:val="zh-TW"/>
        </w:rPr>
        <w:t>0分）</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1. 操作说明：</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每参赛队的两名选手分别使用竞赛账号以“竞技”模式登录4G LTE</w:t>
      </w:r>
      <w:r>
        <w:rPr>
          <w:rFonts w:hint="eastAsia" w:ascii="Arial Narrow" w:hAnsi="Arial Narrow" w:eastAsia="仿宋_GB2312" w:cs="Arial"/>
          <w:sz w:val="30"/>
          <w:szCs w:val="30"/>
        </w:rPr>
        <w:t>&amp;Pre5G</w:t>
      </w:r>
      <w:r>
        <w:rPr>
          <w:rFonts w:ascii="Arial Narrow" w:hAnsi="Arial Narrow" w:eastAsia="仿宋_GB2312" w:cs="Arial"/>
          <w:sz w:val="30"/>
          <w:szCs w:val="30"/>
        </w:rPr>
        <w:t>全网竞技系统，在工程模式下，完成万绿、百山两个城市4G全网故障排除。</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2. 任务说明：</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万绿市和百山市计划建设LTE</w:t>
      </w:r>
      <w:r>
        <w:rPr>
          <w:rFonts w:hint="eastAsia" w:ascii="Arial Narrow" w:hAnsi="Arial Narrow" w:eastAsia="仿宋_GB2312" w:cs="Arial"/>
          <w:sz w:val="30"/>
          <w:szCs w:val="30"/>
        </w:rPr>
        <w:t>与Pre5G</w:t>
      </w:r>
      <w:r>
        <w:rPr>
          <w:rFonts w:ascii="Arial Narrow" w:hAnsi="Arial Narrow" w:eastAsia="仿宋_GB2312" w:cs="Arial"/>
          <w:sz w:val="30"/>
          <w:szCs w:val="30"/>
        </w:rPr>
        <w:t>网络。目前工程建设已经完成，但由于设备部署和配置存在问题，不能正常提供两市六个小区的网络服务，请使用相关工具，排查无线、核心网及承载网的所有故障点并完成以下任务：</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（1）在“工程模式”下，完成W1、W2、W3、B1、B2、B3六个小区的拨测任务。</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（2）在“工程模式”下，完成以下小区间业务的双向切换：W1&lt;-&gt;W2，W1&lt;-&gt;B2，W1&lt;-&gt;B3，B3&lt;-&gt;W3。</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（3）请在“故障排查选项”页面，选择列举出所有故障发生的位置，并在答题卡上填写对应答案。</w:t>
      </w:r>
    </w:p>
    <w:p>
      <w:pPr>
        <w:autoSpaceDE w:val="0"/>
        <w:autoSpaceDN w:val="0"/>
        <w:adjustRightInd w:val="0"/>
        <w:spacing w:line="360" w:lineRule="auto"/>
        <w:jc w:val="left"/>
        <w:rPr>
          <w:rFonts w:ascii="Times New Roman" w:hAnsi="Times New Roman" w:eastAsia="仿宋_GB2312"/>
          <w:kern w:val="0"/>
          <w:sz w:val="30"/>
          <w:szCs w:val="30"/>
        </w:rPr>
      </w:pPr>
      <w:r>
        <w:rPr>
          <w:rFonts w:ascii="Arial Narrow" w:hAnsi="Arial Narrow" w:eastAsia="仿宋_GB2312" w:cs="Arial"/>
          <w:sz w:val="30"/>
          <w:szCs w:val="30"/>
        </w:rPr>
        <w:t>示例：如图6所列的三个故障点，请填写在答题卡“设备配置类”的相应列中（每一列的第一位故障编码已给出），故障编码分别为(1)(2)(2)(-)(7)，(2)(2)(2)(1)(1)，(3)(11)(2)(5)(1)。</w:t>
      </w:r>
      <w:r>
        <w:rPr>
          <w:rFonts w:ascii="Times New Roman" w:hAnsi="Times New Roman" w:eastAsia="仿宋_GB2312"/>
          <w:kern w:val="0"/>
          <w:sz w:val="30"/>
          <w:szCs w:val="30"/>
        </w:rPr>
        <w:drawing>
          <wp:inline distT="0" distB="0" distL="0" distR="0">
            <wp:extent cx="5274310" cy="2070100"/>
            <wp:effectExtent l="19050" t="0" r="254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2" cstate="print"/>
                    <a:srcRect/>
                    <a:stretch>
                      <a:fillRect/>
                    </a:stretch>
                  </pic:blipFill>
                  <pic:spPr>
                    <a:xfrm>
                      <a:off x="0" y="0"/>
                      <a:ext cx="5274310" cy="2070100"/>
                    </a:xfrm>
                    <a:prstGeom prst="rect">
                      <a:avLst/>
                    </a:prstGeom>
                    <a:noFill/>
                    <a:ln w="9525">
                      <a:noFill/>
                      <a:miter lim="800000"/>
                      <a:headEnd/>
                      <a:tailEnd/>
                    </a:ln>
                  </pic:spPr>
                </pic:pic>
              </a:graphicData>
            </a:graphic>
          </wp:inline>
        </w:drawing>
      </w:r>
    </w:p>
    <w:p>
      <w:pPr>
        <w:pStyle w:val="7"/>
      </w:pPr>
      <w:r>
        <w:t>图7 故障排查选项</w:t>
      </w:r>
    </w:p>
    <w:p>
      <w:pPr>
        <w:snapToGrid w:val="0"/>
        <w:spacing w:line="560" w:lineRule="exact"/>
        <w:ind w:firstLine="600" w:firstLineChars="200"/>
        <w:rPr>
          <w:rFonts w:ascii="Times New Roman" w:hAnsi="Times New Roman" w:eastAsia="仿宋_GB2312"/>
          <w:kern w:val="0"/>
          <w:sz w:val="30"/>
          <w:szCs w:val="30"/>
        </w:rPr>
      </w:pPr>
      <w:r>
        <w:rPr>
          <w:rFonts w:ascii="Times New Roman" w:hAnsi="Times New Roman" w:eastAsia="仿宋_GB2312"/>
          <w:kern w:val="0"/>
          <w:sz w:val="30"/>
          <w:szCs w:val="30"/>
        </w:rPr>
        <w:t>3. 补充说明</w:t>
      </w:r>
    </w:p>
    <w:p>
      <w:pPr>
        <w:snapToGrid w:val="0"/>
        <w:spacing w:line="560" w:lineRule="exact"/>
        <w:ind w:firstLine="600" w:firstLineChars="200"/>
        <w:rPr>
          <w:rFonts w:ascii="Times New Roman" w:hAnsi="Times New Roman" w:eastAsia="仿宋_GB2312"/>
          <w:sz w:val="30"/>
          <w:szCs w:val="30"/>
        </w:rPr>
      </w:pPr>
      <w:r>
        <w:rPr>
          <w:rFonts w:ascii="Arial Narrow" w:hAnsi="Arial Narrow" w:eastAsia="仿宋_GB2312" w:cs="Arial"/>
          <w:sz w:val="30"/>
          <w:szCs w:val="30"/>
        </w:rPr>
        <w:t>“小区拨测”</w:t>
      </w:r>
      <w:r>
        <w:rPr>
          <w:rFonts w:ascii="Times New Roman" w:hAnsi="Times New Roman" w:eastAsia="仿宋_GB2312"/>
          <w:sz w:val="30"/>
          <w:szCs w:val="30"/>
        </w:rPr>
        <w:t>任务以“工程模式”下W1、W2、W3、B1、B2、B3六个小区的拨测成功为验收指标。</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 xml:space="preserve">（1） “小区切换”任务以“工程模式”下双向切换成功为验收指标，两小区间切换如只完成单向切换将视为切换不通过，不得分。 </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2）对于两端参数协商错误导致的故障，指出一端位置即可得分，同时指出两端故障只计一次得分。示例：如S1偶联端口，无线与核心网两端配置不一致时，故障位置只需指出无线配置错误位置或核心网配置错误位置其中一个即可，如同时列举两端错误位置，只统计一次得分。</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（3）如某一故障存在多种修改方案，以最少改动方案为准，其他方案不得分。</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示例：例如终端配置网络号与LTE</w:t>
      </w:r>
      <w:r>
        <w:rPr>
          <w:rFonts w:hint="eastAsia" w:ascii="Arial Narrow" w:hAnsi="Arial Narrow" w:eastAsia="仿宋_GB2312" w:cs="Arial"/>
          <w:sz w:val="30"/>
          <w:szCs w:val="30"/>
        </w:rPr>
        <w:t>及Pre5G</w:t>
      </w:r>
      <w:r>
        <w:rPr>
          <w:rFonts w:ascii="Arial Narrow" w:hAnsi="Arial Narrow" w:eastAsia="仿宋_GB2312" w:cs="Arial"/>
          <w:sz w:val="30"/>
          <w:szCs w:val="30"/>
        </w:rPr>
        <w:t>网络系统不一致，方案一为修改LTE</w:t>
      </w:r>
      <w:r>
        <w:rPr>
          <w:rFonts w:hint="eastAsia" w:ascii="Arial Narrow" w:hAnsi="Arial Narrow" w:eastAsia="仿宋_GB2312" w:cs="Arial"/>
          <w:sz w:val="30"/>
          <w:szCs w:val="30"/>
        </w:rPr>
        <w:t>及Pre5G</w:t>
      </w:r>
      <w:r>
        <w:rPr>
          <w:rFonts w:ascii="Arial Narrow" w:hAnsi="Arial Narrow" w:eastAsia="仿宋_GB2312" w:cs="Arial"/>
          <w:sz w:val="30"/>
          <w:szCs w:val="30"/>
        </w:rPr>
        <w:t>网络系统中多处网络号地址，方案二为修改终端配置网络号，相比而言后者为最少改动方案，故此处故障指出终端配置错误的位置为正确答案，列举其他修改方案不得分。</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（1）对于某个“配置项”完全缺失的情况下，“参数项”请选择“全部”。</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（2）网络中共存在20处故障，每正确指出一处故障，得</w:t>
      </w:r>
      <w:r>
        <w:rPr>
          <w:rFonts w:hint="eastAsia" w:ascii="Arial Narrow" w:hAnsi="Arial Narrow" w:eastAsia="仿宋_GB2312" w:cs="Arial"/>
          <w:sz w:val="30"/>
          <w:szCs w:val="30"/>
        </w:rPr>
        <w:t>1.5</w:t>
      </w:r>
      <w:r>
        <w:rPr>
          <w:rFonts w:ascii="Arial Narrow" w:hAnsi="Arial Narrow" w:eastAsia="仿宋_GB2312" w:cs="Arial"/>
          <w:sz w:val="30"/>
          <w:szCs w:val="30"/>
        </w:rPr>
        <w:t>分，故障指出错误、重复或指出不存在的故障不得分。</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（3）故障排除过程中由于某个操作造成需要新增部分参数配置，不计入故障点。</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示例：某PTN接口关联VLAN修改为VLAN 100，需要新增VLAN 100的IP地址、OSPF接口配置，此两项不计入故障点。</w:t>
      </w:r>
    </w:p>
    <w:p>
      <w:pPr>
        <w:spacing w:line="560" w:lineRule="exact"/>
        <w:ind w:firstLine="602"/>
        <w:rPr>
          <w:rFonts w:ascii="Times New Roman" w:hAnsi="Times New Roman" w:eastAsia="仿宋_GB2312"/>
          <w:b/>
          <w:bCs/>
          <w:color w:val="000000"/>
          <w:sz w:val="30"/>
          <w:szCs w:val="30"/>
          <w:u w:color="000000"/>
          <w:lang w:val="zh-TW"/>
        </w:rPr>
      </w:pPr>
      <w:r>
        <w:rPr>
          <w:rFonts w:hint="eastAsia" w:ascii="Times New Roman" w:hAnsi="Times New Roman" w:eastAsia="仿宋_GB2312"/>
          <w:b/>
          <w:bCs/>
          <w:color w:val="000000"/>
          <w:sz w:val="30"/>
          <w:szCs w:val="30"/>
          <w:u w:color="000000"/>
          <w:lang w:val="zh-TW"/>
        </w:rPr>
        <w:t>（三）NB-IoT网络规划与业务调试</w:t>
      </w:r>
      <w:r>
        <w:rPr>
          <w:rFonts w:ascii="Times New Roman" w:hAnsi="Times New Roman" w:eastAsia="仿宋_GB2312"/>
          <w:b/>
          <w:bCs/>
          <w:color w:val="000000"/>
          <w:sz w:val="30"/>
          <w:szCs w:val="30"/>
          <w:u w:color="000000"/>
          <w:lang w:val="zh-TW"/>
        </w:rPr>
        <w:t xml:space="preserve"> </w:t>
      </w:r>
      <w:r>
        <w:rPr>
          <w:rFonts w:hint="eastAsia" w:ascii="Times New Roman" w:hAnsi="Times New Roman" w:eastAsia="仿宋_GB2312"/>
          <w:b/>
          <w:bCs/>
          <w:color w:val="000000"/>
          <w:sz w:val="30"/>
          <w:szCs w:val="30"/>
          <w:u w:color="000000"/>
          <w:lang w:val="zh-TW"/>
        </w:rPr>
        <w:t>（30分）</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1. 操作说明</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每参赛队的两名选手分别使用竞赛账号以“竞技”模式登录NB-IoT全网竞技系统，在工程模式下，完成A市NB-IoT网络规划与调试。</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2. 任务说明</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A</w:t>
      </w:r>
      <w:r>
        <w:rPr>
          <w:rFonts w:ascii="Arial Narrow" w:hAnsi="Arial Narrow" w:eastAsia="仿宋_GB2312" w:cs="Arial"/>
          <w:sz w:val="30"/>
          <w:szCs w:val="30"/>
        </w:rPr>
        <w:t>市</w:t>
      </w:r>
      <w:r>
        <w:rPr>
          <w:rFonts w:hint="eastAsia" w:ascii="Arial Narrow" w:hAnsi="Arial Narrow" w:eastAsia="仿宋_GB2312" w:cs="Arial"/>
          <w:sz w:val="30"/>
          <w:szCs w:val="30"/>
        </w:rPr>
        <w:t>某运营商</w:t>
      </w:r>
      <w:r>
        <w:rPr>
          <w:rFonts w:ascii="Arial Narrow" w:hAnsi="Arial Narrow" w:eastAsia="仿宋_GB2312" w:cs="Arial"/>
          <w:sz w:val="30"/>
          <w:szCs w:val="30"/>
        </w:rPr>
        <w:t>计划</w:t>
      </w:r>
      <w:r>
        <w:rPr>
          <w:rFonts w:hint="eastAsia" w:ascii="Arial Narrow" w:hAnsi="Arial Narrow" w:eastAsia="仿宋_GB2312" w:cs="Arial"/>
          <w:sz w:val="30"/>
          <w:szCs w:val="30"/>
        </w:rPr>
        <w:t>开展 NB-IoT</w:t>
      </w:r>
      <w:r>
        <w:rPr>
          <w:rFonts w:ascii="Arial Narrow" w:hAnsi="Arial Narrow" w:eastAsia="仿宋_GB2312" w:cs="Arial"/>
          <w:sz w:val="30"/>
          <w:szCs w:val="30"/>
        </w:rPr>
        <w:t>网络</w:t>
      </w:r>
      <w:r>
        <w:rPr>
          <w:rFonts w:hint="eastAsia" w:ascii="Arial Narrow" w:hAnsi="Arial Narrow" w:eastAsia="仿宋_GB2312" w:cs="Arial"/>
          <w:sz w:val="30"/>
          <w:szCs w:val="30"/>
        </w:rPr>
        <w:t>试点</w:t>
      </w:r>
      <w:r>
        <w:rPr>
          <w:rFonts w:ascii="Arial Narrow" w:hAnsi="Arial Narrow" w:eastAsia="仿宋_GB2312" w:cs="Arial"/>
          <w:sz w:val="30"/>
          <w:szCs w:val="30"/>
        </w:rPr>
        <w:t>，目前</w:t>
      </w:r>
      <w:r>
        <w:rPr>
          <w:rFonts w:hint="eastAsia" w:ascii="Arial Narrow" w:hAnsi="Arial Narrow" w:eastAsia="仿宋_GB2312" w:cs="Arial"/>
          <w:sz w:val="30"/>
          <w:szCs w:val="30"/>
        </w:rPr>
        <w:t>该</w:t>
      </w:r>
      <w:r>
        <w:rPr>
          <w:rFonts w:ascii="Arial Narrow" w:hAnsi="Arial Narrow" w:eastAsia="仿宋_GB2312" w:cs="Arial"/>
          <w:sz w:val="30"/>
          <w:szCs w:val="30"/>
        </w:rPr>
        <w:t>市已经完成一部分网络建设工作，尚未完工。请基于系统当前数据，继续完善</w:t>
      </w:r>
      <w:r>
        <w:rPr>
          <w:rFonts w:hint="eastAsia" w:ascii="Arial Narrow" w:hAnsi="Arial Narrow" w:eastAsia="仿宋_GB2312" w:cs="Arial"/>
          <w:sz w:val="30"/>
          <w:szCs w:val="30"/>
        </w:rPr>
        <w:t>无线网络覆盖规划和容量规划，</w:t>
      </w:r>
      <w:r>
        <w:rPr>
          <w:rFonts w:ascii="Arial Narrow" w:hAnsi="Arial Narrow" w:eastAsia="仿宋_GB2312" w:cs="Arial"/>
          <w:sz w:val="30"/>
          <w:szCs w:val="30"/>
        </w:rPr>
        <w:t>补全核心网、承载网的容量规划、设备</w:t>
      </w:r>
      <w:r>
        <w:rPr>
          <w:rFonts w:hint="eastAsia" w:ascii="Arial Narrow" w:hAnsi="Arial Narrow" w:eastAsia="仿宋_GB2312" w:cs="Arial"/>
          <w:sz w:val="30"/>
          <w:szCs w:val="30"/>
        </w:rPr>
        <w:t>部署与连接</w:t>
      </w:r>
      <w:r>
        <w:rPr>
          <w:rFonts w:ascii="Arial Narrow" w:hAnsi="Arial Narrow" w:eastAsia="仿宋_GB2312" w:cs="Arial"/>
          <w:sz w:val="30"/>
          <w:szCs w:val="30"/>
        </w:rPr>
        <w:t>及</w:t>
      </w:r>
      <w:r>
        <w:rPr>
          <w:rFonts w:hint="eastAsia" w:ascii="Arial Narrow" w:hAnsi="Arial Narrow" w:eastAsia="仿宋_GB2312" w:cs="Arial"/>
          <w:sz w:val="30"/>
          <w:szCs w:val="30"/>
        </w:rPr>
        <w:t>小区参数</w:t>
      </w:r>
      <w:r>
        <w:rPr>
          <w:rFonts w:ascii="Arial Narrow" w:hAnsi="Arial Narrow" w:eastAsia="仿宋_GB2312" w:cs="Arial"/>
          <w:sz w:val="30"/>
          <w:szCs w:val="30"/>
        </w:rPr>
        <w:t>配置等环节的规划设计和</w:t>
      </w:r>
      <w:r>
        <w:rPr>
          <w:rFonts w:hint="eastAsia" w:ascii="Arial Narrow" w:hAnsi="Arial Narrow" w:eastAsia="仿宋_GB2312" w:cs="Arial"/>
          <w:sz w:val="30"/>
          <w:szCs w:val="30"/>
        </w:rPr>
        <w:t>业务</w:t>
      </w:r>
      <w:r>
        <w:rPr>
          <w:rFonts w:ascii="Arial Narrow" w:hAnsi="Arial Narrow" w:eastAsia="仿宋_GB2312" w:cs="Arial"/>
          <w:sz w:val="30"/>
          <w:szCs w:val="30"/>
        </w:rPr>
        <w:t>调测工作。具体任务如下：</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（1）根据以下背景说明及话务模型，在软件“</w:t>
      </w:r>
      <w:r>
        <w:rPr>
          <w:rFonts w:hint="eastAsia" w:ascii="Arial Narrow" w:hAnsi="Arial Narrow" w:eastAsia="仿宋_GB2312" w:cs="Arial"/>
          <w:sz w:val="30"/>
          <w:szCs w:val="30"/>
        </w:rPr>
        <w:t>网络</w:t>
      </w:r>
      <w:r>
        <w:rPr>
          <w:rFonts w:ascii="Arial Narrow" w:hAnsi="Arial Narrow" w:eastAsia="仿宋_GB2312" w:cs="Arial"/>
          <w:sz w:val="30"/>
          <w:szCs w:val="30"/>
        </w:rPr>
        <w:t>规划”部分完成</w:t>
      </w:r>
      <w:r>
        <w:rPr>
          <w:rFonts w:hint="eastAsia" w:ascii="Arial Narrow" w:hAnsi="Arial Narrow" w:eastAsia="仿宋_GB2312" w:cs="Arial"/>
          <w:sz w:val="30"/>
          <w:szCs w:val="30"/>
        </w:rPr>
        <w:t>A</w:t>
      </w:r>
      <w:r>
        <w:rPr>
          <w:rFonts w:ascii="Arial Narrow" w:hAnsi="Arial Narrow" w:eastAsia="仿宋_GB2312" w:cs="Arial"/>
          <w:sz w:val="30"/>
          <w:szCs w:val="30"/>
        </w:rPr>
        <w:t>市的</w:t>
      </w:r>
      <w:r>
        <w:rPr>
          <w:rFonts w:hint="eastAsia" w:ascii="Arial Narrow" w:hAnsi="Arial Narrow" w:eastAsia="仿宋_GB2312" w:cs="Arial"/>
          <w:sz w:val="30"/>
          <w:szCs w:val="30"/>
        </w:rPr>
        <w:t>网络</w:t>
      </w:r>
      <w:r>
        <w:rPr>
          <w:rFonts w:ascii="Arial Narrow" w:hAnsi="Arial Narrow" w:eastAsia="仿宋_GB2312" w:cs="Arial"/>
          <w:sz w:val="30"/>
          <w:szCs w:val="30"/>
        </w:rPr>
        <w:t>规划报告，并在答题卡上填写相应答案。</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A</w:t>
      </w:r>
      <w:r>
        <w:rPr>
          <w:rFonts w:ascii="Arial Narrow" w:hAnsi="Arial Narrow" w:eastAsia="仿宋_GB2312" w:cs="Arial"/>
          <w:sz w:val="30"/>
          <w:szCs w:val="30"/>
        </w:rPr>
        <w:t>市：该市</w:t>
      </w:r>
      <w:r>
        <w:rPr>
          <w:rFonts w:hint="eastAsia" w:ascii="Arial Narrow" w:hAnsi="Arial Narrow" w:eastAsia="仿宋_GB2312" w:cs="Arial"/>
          <w:sz w:val="30"/>
          <w:szCs w:val="30"/>
        </w:rPr>
        <w:t>NB-IoT终端设备总数、</w:t>
      </w:r>
      <w:r>
        <w:rPr>
          <w:rFonts w:ascii="Arial Narrow" w:hAnsi="Arial Narrow" w:eastAsia="仿宋_GB2312" w:cs="Arial"/>
          <w:sz w:val="30"/>
          <w:szCs w:val="30"/>
        </w:rPr>
        <w:t>规划覆盖区域</w:t>
      </w:r>
      <w:r>
        <w:rPr>
          <w:rFonts w:hint="eastAsia" w:ascii="Arial Narrow" w:hAnsi="Arial Narrow" w:eastAsia="仿宋_GB2312" w:cs="Arial"/>
          <w:sz w:val="30"/>
          <w:szCs w:val="30"/>
        </w:rPr>
        <w:t>按赛事规定条件设置</w:t>
      </w:r>
      <w:r>
        <w:rPr>
          <w:rFonts w:ascii="Arial Narrow" w:hAnsi="Arial Narrow" w:eastAsia="仿宋_GB2312" w:cs="Arial"/>
          <w:sz w:val="30"/>
          <w:szCs w:val="30"/>
        </w:rPr>
        <w:t>，</w:t>
      </w:r>
      <w:r>
        <w:rPr>
          <w:rFonts w:hint="eastAsia" w:ascii="Arial Narrow" w:hAnsi="Arial Narrow" w:eastAsia="仿宋_GB2312" w:cs="Arial"/>
          <w:sz w:val="30"/>
          <w:szCs w:val="30"/>
        </w:rPr>
        <w:t>NB-IoT终端</w:t>
      </w:r>
      <w:r>
        <w:rPr>
          <w:rFonts w:ascii="Arial Narrow" w:hAnsi="Arial Narrow" w:eastAsia="仿宋_GB2312" w:cs="Arial"/>
          <w:sz w:val="30"/>
          <w:szCs w:val="30"/>
        </w:rPr>
        <w:t>分布在一般楼房建筑的居民区和个别商业区，用户密度相对分散，</w:t>
      </w:r>
      <w:r>
        <w:rPr>
          <w:rFonts w:hint="eastAsia" w:ascii="Arial Narrow" w:hAnsi="Arial Narrow" w:eastAsia="仿宋_GB2312" w:cs="Arial"/>
          <w:sz w:val="30"/>
          <w:szCs w:val="30"/>
        </w:rPr>
        <w:t>可理解为均匀分布。NB-IoT</w:t>
      </w:r>
      <w:r>
        <w:rPr>
          <w:rFonts w:ascii="Arial Narrow" w:hAnsi="Arial Narrow" w:eastAsia="仿宋_GB2312" w:cs="Arial"/>
          <w:sz w:val="30"/>
          <w:szCs w:val="30"/>
        </w:rPr>
        <w:t>无线网络</w:t>
      </w:r>
      <w:r>
        <w:rPr>
          <w:rFonts w:hint="eastAsia" w:ascii="Arial Narrow" w:hAnsi="Arial Narrow" w:eastAsia="仿宋_GB2312" w:cs="Arial"/>
          <w:sz w:val="30"/>
          <w:szCs w:val="30"/>
        </w:rPr>
        <w:t>试点期间,A</w:t>
      </w:r>
      <w:r>
        <w:rPr>
          <w:rFonts w:ascii="Arial Narrow" w:hAnsi="Arial Narrow" w:eastAsia="仿宋_GB2312" w:cs="Arial"/>
          <w:sz w:val="30"/>
          <w:szCs w:val="30"/>
        </w:rPr>
        <w:t>市</w:t>
      </w:r>
      <w:r>
        <w:rPr>
          <w:rFonts w:hint="eastAsia" w:ascii="Arial Narrow" w:hAnsi="Arial Narrow" w:eastAsia="仿宋_GB2312" w:cs="Arial"/>
          <w:sz w:val="30"/>
          <w:szCs w:val="30"/>
        </w:rPr>
        <w:t>覆盖规划的上行链路预算表格</w:t>
      </w:r>
      <w:r>
        <w:rPr>
          <w:rFonts w:ascii="Arial Narrow" w:hAnsi="Arial Narrow" w:eastAsia="仿宋_GB2312" w:cs="Arial"/>
          <w:sz w:val="30"/>
          <w:szCs w:val="30"/>
        </w:rPr>
        <w:t xml:space="preserve">请参照表5 </w:t>
      </w:r>
      <w:r>
        <w:rPr>
          <w:rFonts w:hint="eastAsia" w:ascii="Arial Narrow" w:hAnsi="Arial Narrow" w:eastAsia="仿宋_GB2312" w:cs="Arial"/>
          <w:sz w:val="30"/>
          <w:szCs w:val="30"/>
        </w:rPr>
        <w:t>链路预算参数配置说明</w:t>
      </w:r>
      <w:r>
        <w:rPr>
          <w:rFonts w:ascii="Arial Narrow" w:hAnsi="Arial Narrow" w:eastAsia="仿宋_GB2312" w:cs="Arial"/>
          <w:sz w:val="30"/>
          <w:szCs w:val="30"/>
        </w:rPr>
        <w:t>。</w:t>
      </w:r>
    </w:p>
    <w:p>
      <w:pPr>
        <w:pStyle w:val="7"/>
        <w:rPr>
          <w:b/>
        </w:rPr>
      </w:pPr>
      <w:r>
        <w:rPr>
          <w:b/>
        </w:rPr>
        <w:tab/>
      </w:r>
      <w:r>
        <w:t>表5</w:t>
      </w:r>
      <w:r>
        <w:rPr>
          <w:rFonts w:hint="eastAsia"/>
        </w:rPr>
        <w:t xml:space="preserve"> 链路预算参数配置说明</w:t>
      </w:r>
      <w:r>
        <w:rPr>
          <w:b/>
        </w:rPr>
        <w:tab/>
      </w:r>
    </w:p>
    <w:tbl>
      <w:tblPr>
        <w:tblStyle w:val="20"/>
        <w:tblW w:w="83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5101"/>
        <w:gridCol w:w="2010"/>
        <w:gridCol w:w="12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272" w:hRule="atLeast"/>
        </w:trPr>
        <w:tc>
          <w:tcPr>
            <w:tcW w:w="5101" w:type="dxa"/>
            <w:vMerge w:val="restart"/>
            <w:shd w:val="clear" w:color="auto" w:fill="auto"/>
            <w:vAlign w:val="center"/>
          </w:tcPr>
          <w:p>
            <w:pPr>
              <w:jc w:val="center"/>
              <w:rPr>
                <w:rFonts w:ascii="宋体" w:hAnsi="宋体" w:cs="仿宋_GB2312"/>
                <w:b/>
                <w:sz w:val="24"/>
                <w:szCs w:val="24"/>
              </w:rPr>
            </w:pPr>
            <w:r>
              <w:rPr>
                <w:rFonts w:hint="eastAsia" w:ascii="宋体" w:hAnsi="宋体" w:cs="仿宋_GB2312"/>
                <w:b/>
                <w:sz w:val="24"/>
                <w:szCs w:val="24"/>
              </w:rPr>
              <w:t>参数项</w:t>
            </w:r>
          </w:p>
        </w:tc>
        <w:tc>
          <w:tcPr>
            <w:tcW w:w="3235" w:type="dxa"/>
            <w:gridSpan w:val="2"/>
            <w:shd w:val="clear" w:color="auto" w:fill="auto"/>
            <w:vAlign w:val="center"/>
          </w:tcPr>
          <w:p>
            <w:pPr>
              <w:widowControl/>
              <w:jc w:val="center"/>
              <w:textAlignment w:val="center"/>
              <w:rPr>
                <w:rFonts w:ascii="宋体" w:hAnsi="宋体" w:cs="仿宋_GB2312"/>
                <w:b/>
                <w:sz w:val="24"/>
                <w:szCs w:val="24"/>
              </w:rPr>
            </w:pPr>
            <w:r>
              <w:rPr>
                <w:rFonts w:hint="eastAsia" w:ascii="宋体" w:hAnsi="宋体" w:cs="仿宋_GB2312"/>
                <w:b/>
                <w:sz w:val="24"/>
                <w:szCs w:val="24"/>
              </w:rPr>
              <w:t>NB-IoT Standalone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272" w:hRule="atLeast"/>
        </w:trPr>
        <w:tc>
          <w:tcPr>
            <w:tcW w:w="5101" w:type="dxa"/>
            <w:vMerge w:val="continue"/>
            <w:shd w:val="clear" w:color="auto" w:fill="auto"/>
            <w:vAlign w:val="center"/>
          </w:tcPr>
          <w:p>
            <w:pPr>
              <w:jc w:val="center"/>
              <w:rPr>
                <w:rFonts w:ascii="宋体" w:hAnsi="宋体" w:cs="仿宋_GB2312"/>
                <w:b/>
                <w:sz w:val="24"/>
                <w:szCs w:val="24"/>
              </w:rPr>
            </w:pPr>
          </w:p>
        </w:tc>
        <w:tc>
          <w:tcPr>
            <w:tcW w:w="2010" w:type="dxa"/>
            <w:shd w:val="clear" w:color="auto" w:fill="auto"/>
            <w:vAlign w:val="center"/>
          </w:tcPr>
          <w:p>
            <w:pPr>
              <w:widowControl/>
              <w:jc w:val="center"/>
              <w:textAlignment w:val="center"/>
              <w:rPr>
                <w:rFonts w:ascii="宋体" w:hAnsi="宋体" w:cs="仿宋_GB2312"/>
                <w:b/>
                <w:sz w:val="24"/>
                <w:szCs w:val="24"/>
              </w:rPr>
            </w:pPr>
            <w:r>
              <w:rPr>
                <w:rFonts w:hint="eastAsia" w:ascii="宋体" w:hAnsi="宋体" w:cs="仿宋_GB2312"/>
                <w:b/>
                <w:sz w:val="24"/>
                <w:szCs w:val="24"/>
              </w:rPr>
              <w:t>NPUSCH(15KHz)</w:t>
            </w:r>
          </w:p>
        </w:tc>
        <w:tc>
          <w:tcPr>
            <w:tcW w:w="1225" w:type="dxa"/>
            <w:shd w:val="clear" w:color="auto" w:fill="auto"/>
            <w:vAlign w:val="center"/>
          </w:tcPr>
          <w:p>
            <w:pPr>
              <w:widowControl/>
              <w:jc w:val="center"/>
              <w:textAlignment w:val="center"/>
              <w:rPr>
                <w:rFonts w:ascii="宋体" w:hAnsi="宋体" w:cs="仿宋_GB2312"/>
                <w:b/>
                <w:sz w:val="24"/>
                <w:szCs w:val="24"/>
              </w:rPr>
            </w:pPr>
            <w:r>
              <w:rPr>
                <w:rFonts w:hint="eastAsia" w:ascii="宋体" w:hAnsi="宋体" w:cs="仿宋_GB2312"/>
                <w:b/>
                <w:sz w:val="24"/>
                <w:szCs w:val="24"/>
              </w:rPr>
              <w:t>NPRACH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272" w:hRule="atLeast"/>
        </w:trPr>
        <w:tc>
          <w:tcPr>
            <w:tcW w:w="5101"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（1）数据速率 (kbps)</w:t>
            </w:r>
          </w:p>
        </w:tc>
        <w:tc>
          <w:tcPr>
            <w:tcW w:w="2010"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0.5</w:t>
            </w:r>
          </w:p>
        </w:tc>
        <w:tc>
          <w:tcPr>
            <w:tcW w:w="1225"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N/A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272" w:hRule="atLeast"/>
        </w:trPr>
        <w:tc>
          <w:tcPr>
            <w:tcW w:w="5101"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（2）天线数</w:t>
            </w:r>
          </w:p>
        </w:tc>
        <w:tc>
          <w:tcPr>
            <w:tcW w:w="2010"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1T2R</w:t>
            </w:r>
          </w:p>
        </w:tc>
        <w:tc>
          <w:tcPr>
            <w:tcW w:w="1225"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1T2R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272" w:hRule="atLeast"/>
        </w:trPr>
        <w:tc>
          <w:tcPr>
            <w:tcW w:w="5101"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（3）发送功率 (dBm)</w:t>
            </w:r>
          </w:p>
        </w:tc>
        <w:tc>
          <w:tcPr>
            <w:tcW w:w="2010"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23</w:t>
            </w:r>
          </w:p>
        </w:tc>
        <w:tc>
          <w:tcPr>
            <w:tcW w:w="1225"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272" w:hRule="atLeast"/>
        </w:trPr>
        <w:tc>
          <w:tcPr>
            <w:tcW w:w="5101"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（4）子载波带宽（KHz）</w:t>
            </w:r>
          </w:p>
        </w:tc>
        <w:tc>
          <w:tcPr>
            <w:tcW w:w="2010"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15</w:t>
            </w:r>
          </w:p>
        </w:tc>
        <w:tc>
          <w:tcPr>
            <w:tcW w:w="1225"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3.75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272" w:hRule="atLeast"/>
        </w:trPr>
        <w:tc>
          <w:tcPr>
            <w:tcW w:w="5101"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（5）子载波数</w:t>
            </w:r>
          </w:p>
        </w:tc>
        <w:tc>
          <w:tcPr>
            <w:tcW w:w="2010"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w:t>
            </w:r>
          </w:p>
        </w:tc>
        <w:tc>
          <w:tcPr>
            <w:tcW w:w="1225"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272" w:hRule="atLeast"/>
        </w:trPr>
        <w:tc>
          <w:tcPr>
            <w:tcW w:w="5101"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（6）占用带宽 (KHZ)</w:t>
            </w:r>
          </w:p>
        </w:tc>
        <w:tc>
          <w:tcPr>
            <w:tcW w:w="2010"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15</w:t>
            </w:r>
          </w:p>
        </w:tc>
        <w:tc>
          <w:tcPr>
            <w:tcW w:w="1225"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3.75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272" w:hRule="atLeast"/>
        </w:trPr>
        <w:tc>
          <w:tcPr>
            <w:tcW w:w="5101"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（7）馈线损耗 (dB)</w:t>
            </w:r>
          </w:p>
        </w:tc>
        <w:tc>
          <w:tcPr>
            <w:tcW w:w="2010"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0.5</w:t>
            </w:r>
          </w:p>
        </w:tc>
        <w:tc>
          <w:tcPr>
            <w:tcW w:w="1225"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272" w:hRule="atLeast"/>
        </w:trPr>
        <w:tc>
          <w:tcPr>
            <w:tcW w:w="5101"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（8）天线增益 (dBi)</w:t>
            </w:r>
          </w:p>
        </w:tc>
        <w:tc>
          <w:tcPr>
            <w:tcW w:w="2010"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15</w:t>
            </w:r>
          </w:p>
        </w:tc>
        <w:tc>
          <w:tcPr>
            <w:tcW w:w="1225"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272" w:hRule="atLeast"/>
        </w:trPr>
        <w:tc>
          <w:tcPr>
            <w:tcW w:w="5101"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（9）噪声功率谱密度 (kT) (dBm/Hz)</w:t>
            </w:r>
          </w:p>
        </w:tc>
        <w:tc>
          <w:tcPr>
            <w:tcW w:w="2010"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-174</w:t>
            </w:r>
          </w:p>
        </w:tc>
        <w:tc>
          <w:tcPr>
            <w:tcW w:w="1225"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272" w:hRule="atLeast"/>
        </w:trPr>
        <w:tc>
          <w:tcPr>
            <w:tcW w:w="5101"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（10）噪声系数 (dB)</w:t>
            </w:r>
          </w:p>
        </w:tc>
        <w:tc>
          <w:tcPr>
            <w:tcW w:w="2010"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3</w:t>
            </w:r>
          </w:p>
        </w:tc>
        <w:tc>
          <w:tcPr>
            <w:tcW w:w="1225"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272" w:hRule="atLeast"/>
        </w:trPr>
        <w:tc>
          <w:tcPr>
            <w:tcW w:w="5101"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（11）噪声功率 (dB)</w:t>
            </w:r>
          </w:p>
        </w:tc>
        <w:tc>
          <w:tcPr>
            <w:tcW w:w="2010"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-129.2</w:t>
            </w:r>
          </w:p>
        </w:tc>
        <w:tc>
          <w:tcPr>
            <w:tcW w:w="1225"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-135.3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272" w:hRule="atLeast"/>
        </w:trPr>
        <w:tc>
          <w:tcPr>
            <w:tcW w:w="5101"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（12）SNR or C/I（dB）</w:t>
            </w:r>
          </w:p>
        </w:tc>
        <w:tc>
          <w:tcPr>
            <w:tcW w:w="2010"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-12.8</w:t>
            </w:r>
          </w:p>
        </w:tc>
        <w:tc>
          <w:tcPr>
            <w:tcW w:w="1225"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272" w:hRule="atLeast"/>
        </w:trPr>
        <w:tc>
          <w:tcPr>
            <w:tcW w:w="5101"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（13）接收灵敏度（dBm）=(11)+(12)</w:t>
            </w:r>
          </w:p>
        </w:tc>
        <w:tc>
          <w:tcPr>
            <w:tcW w:w="2010"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-142</w:t>
            </w:r>
          </w:p>
        </w:tc>
        <w:tc>
          <w:tcPr>
            <w:tcW w:w="1225"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-141.1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272" w:hRule="atLeast"/>
        </w:trPr>
        <w:tc>
          <w:tcPr>
            <w:tcW w:w="5101"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（14）快衰落余量 (dB)</w:t>
            </w:r>
          </w:p>
        </w:tc>
        <w:tc>
          <w:tcPr>
            <w:tcW w:w="2010"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0</w:t>
            </w:r>
          </w:p>
        </w:tc>
        <w:tc>
          <w:tcPr>
            <w:tcW w:w="1225"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272" w:hRule="atLeast"/>
        </w:trPr>
        <w:tc>
          <w:tcPr>
            <w:tcW w:w="5101"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（15）阴影衰落余量 (dB)</w:t>
            </w:r>
          </w:p>
        </w:tc>
        <w:tc>
          <w:tcPr>
            <w:tcW w:w="2010"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11.6</w:t>
            </w:r>
          </w:p>
        </w:tc>
        <w:tc>
          <w:tcPr>
            <w:tcW w:w="1225"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272" w:hRule="atLeast"/>
        </w:trPr>
        <w:tc>
          <w:tcPr>
            <w:tcW w:w="5101"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（16）干扰余量 (dB)</w:t>
            </w:r>
          </w:p>
        </w:tc>
        <w:tc>
          <w:tcPr>
            <w:tcW w:w="2010"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2</w:t>
            </w:r>
          </w:p>
        </w:tc>
        <w:tc>
          <w:tcPr>
            <w:tcW w:w="1225"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272" w:hRule="atLeast"/>
        </w:trPr>
        <w:tc>
          <w:tcPr>
            <w:tcW w:w="5101"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（17）穿透损耗 (dB)</w:t>
            </w:r>
          </w:p>
        </w:tc>
        <w:tc>
          <w:tcPr>
            <w:tcW w:w="2010"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11</w:t>
            </w:r>
          </w:p>
        </w:tc>
        <w:tc>
          <w:tcPr>
            <w:tcW w:w="1225"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272" w:hRule="atLeast"/>
        </w:trPr>
        <w:tc>
          <w:tcPr>
            <w:tcW w:w="5101"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（18）OTA(dB)</w:t>
            </w:r>
          </w:p>
        </w:tc>
        <w:tc>
          <w:tcPr>
            <w:tcW w:w="2010"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6</w:t>
            </w:r>
          </w:p>
        </w:tc>
        <w:tc>
          <w:tcPr>
            <w:tcW w:w="1225"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cantSplit/>
          <w:trHeight w:val="272" w:hRule="atLeast"/>
        </w:trPr>
        <w:tc>
          <w:tcPr>
            <w:tcW w:w="5101"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（19）人体损耗 (dB)</w:t>
            </w:r>
          </w:p>
        </w:tc>
        <w:tc>
          <w:tcPr>
            <w:tcW w:w="2010"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0</w:t>
            </w:r>
          </w:p>
        </w:tc>
        <w:tc>
          <w:tcPr>
            <w:tcW w:w="1225" w:type="dxa"/>
            <w:shd w:val="clear" w:color="auto" w:fill="auto"/>
            <w:vAlign w:val="center"/>
          </w:tcPr>
          <w:p>
            <w:pPr>
              <w:jc w:val="center"/>
              <w:rPr>
                <w:rFonts w:ascii="宋体" w:hAnsi="宋体" w:cs="仿宋_GB2312"/>
                <w:sz w:val="24"/>
                <w:szCs w:val="24"/>
              </w:rPr>
            </w:pPr>
            <w:r>
              <w:rPr>
                <w:rFonts w:hint="eastAsia" w:ascii="宋体" w:hAnsi="宋体" w:cs="仿宋_GB2312"/>
                <w:sz w:val="24"/>
                <w:szCs w:val="24"/>
              </w:rPr>
              <w:t>0</w:t>
            </w:r>
          </w:p>
        </w:tc>
      </w:tr>
    </w:tbl>
    <w:p>
      <w:pPr>
        <w:snapToGrid w:val="0"/>
        <w:spacing w:line="560" w:lineRule="exact"/>
        <w:ind w:firstLine="600" w:firstLineChars="200"/>
        <w:rPr>
          <w:rFonts w:ascii="Arial Narrow" w:hAnsi="Arial Narrow" w:eastAsia="仿宋_GB2312" w:cs="Arial"/>
          <w:sz w:val="30"/>
          <w:szCs w:val="30"/>
        </w:rPr>
      </w:pP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根据背景说明选取合适的覆盖模型公式和蜂窝小区组网模型完成上行链路预算，并计算出小区覆盖面积。根据小区面积和A市面积完成覆盖规划。</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在软件“容量规划”部分完成NPRACH、NPUSCH、NPDSCH信道容量规划计算，选取最小的信道容量作为容量规划标准，结合覆盖规划站点数完成网络规划。</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（1）合理部署并完成各机房中</w:t>
      </w:r>
      <w:r>
        <w:rPr>
          <w:rFonts w:hint="eastAsia" w:ascii="Arial Narrow" w:hAnsi="Arial Narrow" w:eastAsia="仿宋_GB2312" w:cs="Arial"/>
          <w:sz w:val="30"/>
          <w:szCs w:val="30"/>
        </w:rPr>
        <w:t>各</w:t>
      </w:r>
      <w:r>
        <w:rPr>
          <w:rFonts w:ascii="Arial Narrow" w:hAnsi="Arial Narrow" w:eastAsia="仿宋_GB2312" w:cs="Arial"/>
          <w:sz w:val="30"/>
          <w:szCs w:val="30"/>
        </w:rPr>
        <w:t>设备及连线。</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w:t>
      </w:r>
      <w:r>
        <w:rPr>
          <w:rFonts w:ascii="Arial Narrow" w:hAnsi="Arial Narrow" w:eastAsia="仿宋_GB2312" w:cs="Arial"/>
          <w:sz w:val="30"/>
          <w:szCs w:val="30"/>
        </w:rPr>
        <w:t>完善数据配置，在工程模式下实现</w:t>
      </w:r>
      <w:r>
        <w:rPr>
          <w:rFonts w:hint="eastAsia" w:ascii="Arial Narrow" w:hAnsi="Arial Narrow" w:eastAsia="仿宋_GB2312" w:cs="Arial"/>
          <w:sz w:val="30"/>
          <w:szCs w:val="30"/>
        </w:rPr>
        <w:t>A</w:t>
      </w:r>
      <w:r>
        <w:rPr>
          <w:rFonts w:ascii="Arial Narrow" w:hAnsi="Arial Narrow" w:eastAsia="仿宋_GB2312" w:cs="Arial"/>
          <w:sz w:val="30"/>
          <w:szCs w:val="30"/>
        </w:rPr>
        <w:t>市</w:t>
      </w:r>
      <w:r>
        <w:rPr>
          <w:rFonts w:hint="eastAsia" w:ascii="Arial Narrow" w:hAnsi="Arial Narrow" w:eastAsia="仿宋_GB2312" w:cs="Arial"/>
          <w:sz w:val="30"/>
          <w:szCs w:val="30"/>
        </w:rPr>
        <w:t>Cell</w:t>
      </w:r>
      <w:r>
        <w:rPr>
          <w:rFonts w:ascii="Arial Narrow" w:hAnsi="Arial Narrow" w:eastAsia="仿宋_GB2312" w:cs="Arial"/>
          <w:sz w:val="30"/>
          <w:szCs w:val="30"/>
        </w:rPr>
        <w:t>1、</w:t>
      </w:r>
      <w:r>
        <w:rPr>
          <w:rFonts w:hint="eastAsia" w:ascii="Arial Narrow" w:hAnsi="Arial Narrow" w:eastAsia="仿宋_GB2312" w:cs="Arial"/>
          <w:sz w:val="30"/>
          <w:szCs w:val="30"/>
        </w:rPr>
        <w:t>Cell</w:t>
      </w:r>
      <w:r>
        <w:rPr>
          <w:rFonts w:ascii="Arial Narrow" w:hAnsi="Arial Narrow" w:eastAsia="仿宋_GB2312" w:cs="Arial"/>
          <w:sz w:val="30"/>
          <w:szCs w:val="30"/>
        </w:rPr>
        <w:t>2、</w:t>
      </w:r>
      <w:r>
        <w:rPr>
          <w:rFonts w:hint="eastAsia" w:ascii="Arial Narrow" w:hAnsi="Arial Narrow" w:eastAsia="仿宋_GB2312" w:cs="Arial"/>
          <w:sz w:val="30"/>
          <w:szCs w:val="30"/>
        </w:rPr>
        <w:t>Cell</w:t>
      </w:r>
      <w:r>
        <w:rPr>
          <w:rFonts w:ascii="Arial Narrow" w:hAnsi="Arial Narrow" w:eastAsia="仿宋_GB2312" w:cs="Arial"/>
          <w:sz w:val="30"/>
          <w:szCs w:val="30"/>
        </w:rPr>
        <w:t>3共</w:t>
      </w:r>
      <w:r>
        <w:rPr>
          <w:rFonts w:hint="eastAsia" w:ascii="Arial Narrow" w:hAnsi="Arial Narrow" w:eastAsia="仿宋_GB2312" w:cs="Arial"/>
          <w:sz w:val="30"/>
          <w:szCs w:val="30"/>
        </w:rPr>
        <w:t>3</w:t>
      </w:r>
      <w:r>
        <w:rPr>
          <w:rFonts w:ascii="Arial Narrow" w:hAnsi="Arial Narrow" w:eastAsia="仿宋_GB2312" w:cs="Arial"/>
          <w:sz w:val="30"/>
          <w:szCs w:val="30"/>
        </w:rPr>
        <w:t>个小区的业务</w:t>
      </w:r>
      <w:r>
        <w:rPr>
          <w:rFonts w:hint="eastAsia" w:ascii="Arial Narrow" w:hAnsi="Arial Narrow" w:eastAsia="仿宋_GB2312" w:cs="Arial"/>
          <w:sz w:val="30"/>
          <w:szCs w:val="30"/>
        </w:rPr>
        <w:t>调试。NB-IoT三种业务类型（智能门锁、智能抄表、智能停车）各对应一个小区，参赛选手需根据各自业务特征的说明及参数要求完成参数配置。</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3. 补充说明：</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w:t>
      </w:r>
      <w:r>
        <w:rPr>
          <w:rFonts w:ascii="Arial Narrow" w:hAnsi="Arial Narrow" w:eastAsia="仿宋_GB2312" w:cs="Arial"/>
          <w:sz w:val="30"/>
          <w:szCs w:val="30"/>
        </w:rPr>
        <w:t>“小区拨测”任务以“工程模式”下的</w:t>
      </w:r>
      <w:r>
        <w:rPr>
          <w:rFonts w:hint="eastAsia" w:ascii="Arial Narrow" w:hAnsi="Arial Narrow" w:eastAsia="仿宋_GB2312" w:cs="Arial"/>
          <w:sz w:val="30"/>
          <w:szCs w:val="30"/>
        </w:rPr>
        <w:t>Cell</w:t>
      </w:r>
      <w:r>
        <w:rPr>
          <w:rFonts w:ascii="Arial Narrow" w:hAnsi="Arial Narrow" w:eastAsia="仿宋_GB2312" w:cs="Arial"/>
          <w:sz w:val="30"/>
          <w:szCs w:val="30"/>
        </w:rPr>
        <w:t>1、</w:t>
      </w:r>
      <w:r>
        <w:rPr>
          <w:rFonts w:hint="eastAsia" w:ascii="Arial Narrow" w:hAnsi="Arial Narrow" w:eastAsia="仿宋_GB2312" w:cs="Arial"/>
          <w:sz w:val="30"/>
          <w:szCs w:val="30"/>
        </w:rPr>
        <w:t>Cell</w:t>
      </w:r>
      <w:r>
        <w:rPr>
          <w:rFonts w:ascii="Arial Narrow" w:hAnsi="Arial Narrow" w:eastAsia="仿宋_GB2312" w:cs="Arial"/>
          <w:sz w:val="30"/>
          <w:szCs w:val="30"/>
        </w:rPr>
        <w:t>2、</w:t>
      </w:r>
      <w:r>
        <w:rPr>
          <w:rFonts w:hint="eastAsia" w:ascii="Arial Narrow" w:hAnsi="Arial Narrow" w:eastAsia="仿宋_GB2312" w:cs="Arial"/>
          <w:sz w:val="30"/>
          <w:szCs w:val="30"/>
        </w:rPr>
        <w:t>Cell</w:t>
      </w:r>
      <w:r>
        <w:rPr>
          <w:rFonts w:ascii="Arial Narrow" w:hAnsi="Arial Narrow" w:eastAsia="仿宋_GB2312" w:cs="Arial"/>
          <w:sz w:val="30"/>
          <w:szCs w:val="30"/>
        </w:rPr>
        <w:t>3</w:t>
      </w:r>
      <w:r>
        <w:rPr>
          <w:rFonts w:hint="eastAsia" w:ascii="Arial Narrow" w:hAnsi="Arial Narrow" w:eastAsia="仿宋_GB2312" w:cs="Arial"/>
          <w:sz w:val="30"/>
          <w:szCs w:val="30"/>
        </w:rPr>
        <w:t>三</w:t>
      </w:r>
      <w:r>
        <w:rPr>
          <w:rFonts w:ascii="Arial Narrow" w:hAnsi="Arial Narrow" w:eastAsia="仿宋_GB2312" w:cs="Arial"/>
          <w:sz w:val="30"/>
          <w:szCs w:val="30"/>
        </w:rPr>
        <w:t>个小区的拨测成功为验收指标。</w:t>
      </w:r>
      <w:r>
        <w:rPr>
          <w:rFonts w:hint="eastAsia" w:ascii="Arial Narrow" w:hAnsi="Arial Narrow" w:eastAsia="仿宋_GB2312" w:cs="Arial"/>
          <w:sz w:val="30"/>
          <w:szCs w:val="30"/>
        </w:rPr>
        <w:t>且智能门锁、智能抄表、智能停车必须对应不同小区，按实验要求每个小区只对应一种特定终端。</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（2）网络</w:t>
      </w:r>
      <w:r>
        <w:rPr>
          <w:rFonts w:ascii="Arial Narrow" w:hAnsi="Arial Narrow" w:eastAsia="仿宋_GB2312" w:cs="Arial"/>
          <w:sz w:val="30"/>
          <w:szCs w:val="30"/>
        </w:rPr>
        <w:t>规划计算结果请保留2位小数，计算结果错误不得分。</w:t>
      </w:r>
    </w:p>
    <w:p>
      <w:pPr>
        <w:spacing w:line="560" w:lineRule="exact"/>
        <w:ind w:firstLine="602"/>
        <w:rPr>
          <w:rFonts w:ascii="Times New Roman" w:hAnsi="Times New Roman" w:eastAsia="仿宋_GB2312"/>
          <w:b/>
          <w:bCs/>
          <w:color w:val="000000"/>
          <w:sz w:val="30"/>
          <w:szCs w:val="30"/>
          <w:u w:color="000000"/>
          <w:lang w:val="zh-TW"/>
        </w:rPr>
      </w:pPr>
      <w:r>
        <w:rPr>
          <w:rFonts w:hint="eastAsia" w:ascii="Times New Roman" w:hAnsi="Times New Roman" w:eastAsia="仿宋_GB2312"/>
          <w:b/>
          <w:bCs/>
          <w:color w:val="000000"/>
          <w:sz w:val="30"/>
          <w:szCs w:val="30"/>
          <w:u w:color="000000"/>
          <w:lang w:val="zh-TW"/>
        </w:rPr>
        <w:t>（四）NB-IoT网络故障排查（20分）</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1. 操作说明：</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每参赛队的两名选手分别使用竞赛账号以“竞技”模式登录</w:t>
      </w:r>
      <w:r>
        <w:rPr>
          <w:rFonts w:hint="eastAsia" w:ascii="Arial Narrow" w:hAnsi="Arial Narrow" w:eastAsia="仿宋_GB2312" w:cs="Arial"/>
          <w:sz w:val="30"/>
          <w:szCs w:val="30"/>
        </w:rPr>
        <w:t>NB-IoT</w:t>
      </w:r>
      <w:r>
        <w:rPr>
          <w:rFonts w:ascii="Arial Narrow" w:hAnsi="Arial Narrow" w:eastAsia="仿宋_GB2312" w:cs="Arial"/>
          <w:sz w:val="30"/>
          <w:szCs w:val="30"/>
        </w:rPr>
        <w:t>全网竞技系统，在工程模式下，完成万</w:t>
      </w:r>
      <w:r>
        <w:rPr>
          <w:rFonts w:hint="eastAsia" w:ascii="Arial Narrow" w:hAnsi="Arial Narrow" w:eastAsia="仿宋_GB2312" w:cs="Arial"/>
          <w:sz w:val="30"/>
          <w:szCs w:val="30"/>
        </w:rPr>
        <w:t>A</w:t>
      </w:r>
      <w:r>
        <w:rPr>
          <w:rFonts w:ascii="Arial Narrow" w:hAnsi="Arial Narrow" w:eastAsia="仿宋_GB2312" w:cs="Arial"/>
          <w:sz w:val="30"/>
          <w:szCs w:val="30"/>
        </w:rPr>
        <w:t>市</w:t>
      </w:r>
      <w:r>
        <w:rPr>
          <w:rFonts w:hint="eastAsia" w:ascii="Arial Narrow" w:hAnsi="Arial Narrow" w:eastAsia="仿宋_GB2312" w:cs="Arial"/>
          <w:sz w:val="30"/>
          <w:szCs w:val="30"/>
        </w:rPr>
        <w:t>NB-IoT</w:t>
      </w:r>
      <w:r>
        <w:rPr>
          <w:rFonts w:ascii="Arial Narrow" w:hAnsi="Arial Narrow" w:eastAsia="仿宋_GB2312" w:cs="Arial"/>
          <w:sz w:val="30"/>
          <w:szCs w:val="30"/>
        </w:rPr>
        <w:t>全网故障排除。</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2. 任务说明：</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A</w:t>
      </w:r>
      <w:r>
        <w:rPr>
          <w:rFonts w:ascii="Arial Narrow" w:hAnsi="Arial Narrow" w:eastAsia="仿宋_GB2312" w:cs="Arial"/>
          <w:sz w:val="30"/>
          <w:szCs w:val="30"/>
        </w:rPr>
        <w:t>市计划建设</w:t>
      </w:r>
      <w:r>
        <w:rPr>
          <w:rFonts w:hint="eastAsia" w:ascii="Arial Narrow" w:hAnsi="Arial Narrow" w:eastAsia="仿宋_GB2312" w:cs="Arial"/>
          <w:sz w:val="30"/>
          <w:szCs w:val="30"/>
        </w:rPr>
        <w:t>NB-IoT</w:t>
      </w:r>
      <w:r>
        <w:rPr>
          <w:rFonts w:ascii="Arial Narrow" w:hAnsi="Arial Narrow" w:eastAsia="仿宋_GB2312" w:cs="Arial"/>
          <w:sz w:val="30"/>
          <w:szCs w:val="30"/>
        </w:rPr>
        <w:t>网络。目前工程建设已经完成，但由于设备部署和配置存在问题，不能正常提供两市</w:t>
      </w:r>
      <w:r>
        <w:rPr>
          <w:rFonts w:hint="eastAsia" w:ascii="Arial Narrow" w:hAnsi="Arial Narrow" w:eastAsia="仿宋_GB2312" w:cs="Arial"/>
          <w:sz w:val="30"/>
          <w:szCs w:val="30"/>
        </w:rPr>
        <w:t>三</w:t>
      </w:r>
      <w:r>
        <w:rPr>
          <w:rFonts w:ascii="Arial Narrow" w:hAnsi="Arial Narrow" w:eastAsia="仿宋_GB2312" w:cs="Arial"/>
          <w:sz w:val="30"/>
          <w:szCs w:val="30"/>
        </w:rPr>
        <w:t>个小区的网络服务，请使用相关工具，排查无线、核心网及承载网的所有故障点并完成以下任务：</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（1）</w:t>
      </w:r>
      <w:r>
        <w:rPr>
          <w:rFonts w:ascii="Times New Roman" w:hAnsi="Times New Roman" w:eastAsia="仿宋_GB2312"/>
          <w:sz w:val="30"/>
          <w:szCs w:val="30"/>
        </w:rPr>
        <w:t>在“工程模式”下，完成</w:t>
      </w:r>
      <w:r>
        <w:rPr>
          <w:rFonts w:hint="eastAsia" w:ascii="Times New Roman" w:hAnsi="Times New Roman" w:eastAsia="仿宋_GB2312"/>
          <w:sz w:val="30"/>
          <w:szCs w:val="30"/>
        </w:rPr>
        <w:t>Cell</w:t>
      </w:r>
      <w:r>
        <w:rPr>
          <w:rFonts w:ascii="Times New Roman" w:hAnsi="Times New Roman" w:eastAsia="仿宋_GB2312"/>
          <w:sz w:val="30"/>
          <w:szCs w:val="30"/>
        </w:rPr>
        <w:t>1、</w:t>
      </w:r>
      <w:r>
        <w:rPr>
          <w:rFonts w:hint="eastAsia" w:ascii="Times New Roman" w:hAnsi="Times New Roman" w:eastAsia="仿宋_GB2312"/>
          <w:sz w:val="30"/>
          <w:szCs w:val="30"/>
        </w:rPr>
        <w:t>Cell</w:t>
      </w:r>
      <w:r>
        <w:rPr>
          <w:rFonts w:ascii="Times New Roman" w:hAnsi="Times New Roman" w:eastAsia="仿宋_GB2312"/>
          <w:sz w:val="30"/>
          <w:szCs w:val="30"/>
        </w:rPr>
        <w:t>2、</w:t>
      </w:r>
      <w:r>
        <w:rPr>
          <w:rFonts w:hint="eastAsia" w:ascii="Times New Roman" w:hAnsi="Times New Roman" w:eastAsia="仿宋_GB2312"/>
          <w:sz w:val="30"/>
          <w:szCs w:val="30"/>
        </w:rPr>
        <w:t>Cell</w:t>
      </w:r>
      <w:r>
        <w:rPr>
          <w:rFonts w:ascii="Times New Roman" w:hAnsi="Times New Roman" w:eastAsia="仿宋_GB2312"/>
          <w:sz w:val="30"/>
          <w:szCs w:val="30"/>
        </w:rPr>
        <w:t>3</w:t>
      </w:r>
      <w:r>
        <w:rPr>
          <w:rFonts w:hint="eastAsia" w:ascii="Times New Roman" w:hAnsi="Times New Roman" w:eastAsia="仿宋_GB2312"/>
          <w:sz w:val="30"/>
          <w:szCs w:val="30"/>
        </w:rPr>
        <w:t>三</w:t>
      </w:r>
      <w:r>
        <w:rPr>
          <w:rFonts w:ascii="Times New Roman" w:hAnsi="Times New Roman" w:eastAsia="仿宋_GB2312"/>
          <w:sz w:val="30"/>
          <w:szCs w:val="30"/>
        </w:rPr>
        <w:t>个小区的</w:t>
      </w:r>
      <w:r>
        <w:rPr>
          <w:rFonts w:hint="eastAsia" w:ascii="Times New Roman" w:hAnsi="Times New Roman" w:eastAsia="仿宋_GB2312"/>
          <w:sz w:val="30"/>
          <w:szCs w:val="30"/>
        </w:rPr>
        <w:t>不同类型终端的</w:t>
      </w:r>
      <w:r>
        <w:rPr>
          <w:rFonts w:ascii="Times New Roman" w:hAnsi="Times New Roman" w:eastAsia="仿宋_GB2312"/>
          <w:sz w:val="30"/>
          <w:szCs w:val="30"/>
        </w:rPr>
        <w:t>拨测任务。</w:t>
      </w:r>
      <w:r>
        <w:rPr>
          <w:rFonts w:hint="eastAsia" w:ascii="Times New Roman" w:hAnsi="Times New Roman" w:eastAsia="仿宋_GB2312"/>
          <w:sz w:val="30"/>
          <w:szCs w:val="30"/>
        </w:rPr>
        <w:t>此时每个小区下均分布三类不同终端，要求每个小区均完成智能门锁、智能抄表、智能停车三种终端的业务测试。</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（2）</w:t>
      </w:r>
      <w:r>
        <w:rPr>
          <w:rFonts w:ascii="Times New Roman" w:hAnsi="Times New Roman" w:eastAsia="仿宋_GB2312"/>
          <w:sz w:val="30"/>
          <w:szCs w:val="30"/>
        </w:rPr>
        <w:t>请在“故障排查选项”页面，选择列举出所有故障发生的位置，并在答题卡上填写对应答案。</w:t>
      </w:r>
    </w:p>
    <w:p>
      <w:pPr>
        <w:snapToGrid w:val="0"/>
        <w:spacing w:line="560" w:lineRule="exact"/>
        <w:ind w:firstLine="600" w:firstLineChars="200"/>
        <w:rPr>
          <w:rFonts w:ascii="Times New Roman" w:hAnsi="Times New Roman" w:eastAsia="仿宋_GB2312"/>
          <w:kern w:val="0"/>
          <w:sz w:val="30"/>
          <w:szCs w:val="30"/>
        </w:rPr>
      </w:pPr>
      <w:r>
        <w:rPr>
          <w:rFonts w:ascii="Times New Roman" w:hAnsi="Times New Roman" w:eastAsia="仿宋_GB2312"/>
          <w:kern w:val="0"/>
          <w:sz w:val="30"/>
          <w:szCs w:val="30"/>
        </w:rPr>
        <w:t>3. 补充说明</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“小区拨测”任务以“工程模式”下</w:t>
      </w:r>
      <w:r>
        <w:rPr>
          <w:rFonts w:hint="eastAsia" w:ascii="Times New Roman" w:hAnsi="Times New Roman" w:eastAsia="仿宋_GB2312"/>
          <w:sz w:val="30"/>
          <w:szCs w:val="30"/>
        </w:rPr>
        <w:t>Cell</w:t>
      </w:r>
      <w:r>
        <w:rPr>
          <w:rFonts w:ascii="Times New Roman" w:hAnsi="Times New Roman" w:eastAsia="仿宋_GB2312"/>
          <w:sz w:val="30"/>
          <w:szCs w:val="30"/>
        </w:rPr>
        <w:t>1、</w:t>
      </w:r>
      <w:r>
        <w:rPr>
          <w:rFonts w:hint="eastAsia" w:ascii="Times New Roman" w:hAnsi="Times New Roman" w:eastAsia="仿宋_GB2312"/>
          <w:sz w:val="30"/>
          <w:szCs w:val="30"/>
        </w:rPr>
        <w:t>Cell</w:t>
      </w:r>
      <w:r>
        <w:rPr>
          <w:rFonts w:ascii="Times New Roman" w:hAnsi="Times New Roman" w:eastAsia="仿宋_GB2312"/>
          <w:sz w:val="30"/>
          <w:szCs w:val="30"/>
        </w:rPr>
        <w:t>2、</w:t>
      </w:r>
      <w:r>
        <w:rPr>
          <w:rFonts w:hint="eastAsia" w:ascii="Times New Roman" w:hAnsi="Times New Roman" w:eastAsia="仿宋_GB2312"/>
          <w:sz w:val="30"/>
          <w:szCs w:val="30"/>
        </w:rPr>
        <w:t>Cell</w:t>
      </w:r>
      <w:r>
        <w:rPr>
          <w:rFonts w:ascii="Times New Roman" w:hAnsi="Times New Roman" w:eastAsia="仿宋_GB2312"/>
          <w:sz w:val="30"/>
          <w:szCs w:val="30"/>
        </w:rPr>
        <w:t>3</w:t>
      </w:r>
      <w:r>
        <w:rPr>
          <w:rFonts w:hint="eastAsia" w:ascii="Times New Roman" w:hAnsi="Times New Roman" w:eastAsia="仿宋_GB2312"/>
          <w:sz w:val="30"/>
          <w:szCs w:val="30"/>
        </w:rPr>
        <w:t>三</w:t>
      </w:r>
      <w:r>
        <w:rPr>
          <w:rFonts w:ascii="Times New Roman" w:hAnsi="Times New Roman" w:eastAsia="仿宋_GB2312"/>
          <w:sz w:val="30"/>
          <w:szCs w:val="30"/>
        </w:rPr>
        <w:t>个小区的</w:t>
      </w:r>
      <w:r>
        <w:rPr>
          <w:rFonts w:hint="eastAsia" w:ascii="Times New Roman" w:hAnsi="Times New Roman" w:eastAsia="仿宋_GB2312"/>
          <w:sz w:val="30"/>
          <w:szCs w:val="30"/>
        </w:rPr>
        <w:t>三种不同终端业务</w:t>
      </w:r>
      <w:r>
        <w:rPr>
          <w:rFonts w:ascii="Times New Roman" w:hAnsi="Times New Roman" w:eastAsia="仿宋_GB2312"/>
          <w:sz w:val="30"/>
          <w:szCs w:val="30"/>
        </w:rPr>
        <w:t>成功为验收指标。</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（1）</w:t>
      </w:r>
      <w:r>
        <w:rPr>
          <w:rFonts w:ascii="Times New Roman" w:hAnsi="Times New Roman" w:eastAsia="仿宋_GB2312"/>
          <w:sz w:val="30"/>
          <w:szCs w:val="30"/>
        </w:rPr>
        <w:t>对于两端参数协商错误导致的故障，指出一端位置即可得分，同时指出两端故障只计一次得分。示例：如S1偶联端口，无线与核心网两端配置不一致时，故障位置只需指出无线配置错误位置或核心网配置错误位置其中一个即可，如同时列举两端错误位置，只统计一次得分。</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（2）</w:t>
      </w:r>
      <w:r>
        <w:rPr>
          <w:rFonts w:ascii="Times New Roman" w:hAnsi="Times New Roman" w:eastAsia="仿宋_GB2312"/>
          <w:sz w:val="30"/>
          <w:szCs w:val="30"/>
        </w:rPr>
        <w:t>如某一</w:t>
      </w:r>
      <w:r>
        <w:rPr>
          <w:rFonts w:ascii="Arial Narrow" w:hAnsi="Arial Narrow" w:eastAsia="仿宋_GB2312" w:cs="Arial"/>
          <w:sz w:val="30"/>
          <w:szCs w:val="30"/>
        </w:rPr>
        <w:t>故障</w:t>
      </w:r>
      <w:r>
        <w:rPr>
          <w:rFonts w:ascii="Times New Roman" w:hAnsi="Times New Roman" w:eastAsia="仿宋_GB2312"/>
          <w:sz w:val="30"/>
          <w:szCs w:val="30"/>
        </w:rPr>
        <w:t>存在多种</w:t>
      </w:r>
      <w:r>
        <w:rPr>
          <w:rFonts w:hint="eastAsia" w:ascii="Times New Roman" w:hAnsi="Times New Roman" w:eastAsia="仿宋_GB2312"/>
          <w:sz w:val="30"/>
          <w:szCs w:val="30"/>
        </w:rPr>
        <w:t>解决</w:t>
      </w:r>
      <w:r>
        <w:rPr>
          <w:rFonts w:ascii="Times New Roman" w:hAnsi="Times New Roman" w:eastAsia="仿宋_GB2312"/>
          <w:sz w:val="30"/>
          <w:szCs w:val="30"/>
        </w:rPr>
        <w:t>方案，以最少改动方案为准，</w:t>
      </w:r>
      <w:r>
        <w:rPr>
          <w:rFonts w:hint="eastAsia" w:ascii="Times New Roman" w:hAnsi="Times New Roman" w:eastAsia="仿宋_GB2312"/>
          <w:sz w:val="30"/>
          <w:szCs w:val="30"/>
        </w:rPr>
        <w:t>选择</w:t>
      </w:r>
      <w:r>
        <w:rPr>
          <w:rFonts w:ascii="Times New Roman" w:hAnsi="Times New Roman" w:eastAsia="仿宋_GB2312"/>
          <w:sz w:val="30"/>
          <w:szCs w:val="30"/>
        </w:rPr>
        <w:t>其他方案不得分。</w:t>
      </w:r>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（3）</w:t>
      </w:r>
      <w:r>
        <w:rPr>
          <w:rFonts w:ascii="Times New Roman" w:hAnsi="Times New Roman" w:eastAsia="仿宋_GB2312"/>
          <w:sz w:val="30"/>
          <w:szCs w:val="30"/>
        </w:rPr>
        <w:t>网络中共存在</w:t>
      </w:r>
      <w:r>
        <w:rPr>
          <w:rFonts w:hint="eastAsia" w:ascii="Times New Roman" w:hAnsi="Times New Roman" w:eastAsia="仿宋_GB2312"/>
          <w:sz w:val="30"/>
          <w:szCs w:val="30"/>
        </w:rPr>
        <w:t>的</w:t>
      </w:r>
      <w:r>
        <w:rPr>
          <w:rFonts w:ascii="Times New Roman" w:hAnsi="Times New Roman" w:eastAsia="仿宋_GB2312"/>
          <w:sz w:val="30"/>
          <w:szCs w:val="30"/>
        </w:rPr>
        <w:t>故障</w:t>
      </w:r>
      <w:r>
        <w:rPr>
          <w:rFonts w:hint="eastAsia" w:ascii="Times New Roman" w:hAnsi="Times New Roman" w:eastAsia="仿宋_GB2312"/>
          <w:sz w:val="30"/>
          <w:szCs w:val="30"/>
        </w:rPr>
        <w:t>已事先设定</w:t>
      </w:r>
      <w:r>
        <w:rPr>
          <w:rFonts w:ascii="Times New Roman" w:hAnsi="Times New Roman" w:eastAsia="仿宋_GB2312"/>
          <w:sz w:val="30"/>
          <w:szCs w:val="30"/>
        </w:rPr>
        <w:t>，每正确指出一处故障，得</w:t>
      </w:r>
      <w:r>
        <w:rPr>
          <w:rFonts w:hint="eastAsia" w:ascii="Times New Roman" w:hAnsi="Times New Roman" w:eastAsia="仿宋_GB2312"/>
          <w:sz w:val="30"/>
          <w:szCs w:val="30"/>
        </w:rPr>
        <w:t>相应</w:t>
      </w:r>
      <w:r>
        <w:rPr>
          <w:rFonts w:ascii="Times New Roman" w:hAnsi="Times New Roman" w:eastAsia="仿宋_GB2312"/>
          <w:sz w:val="30"/>
          <w:szCs w:val="30"/>
        </w:rPr>
        <w:t>分</w:t>
      </w:r>
      <w:r>
        <w:rPr>
          <w:rFonts w:hint="eastAsia" w:ascii="Times New Roman" w:hAnsi="Times New Roman" w:eastAsia="仿宋_GB2312"/>
          <w:sz w:val="30"/>
          <w:szCs w:val="30"/>
        </w:rPr>
        <w:t>数</w:t>
      </w:r>
      <w:r>
        <w:rPr>
          <w:rFonts w:ascii="Times New Roman" w:hAnsi="Times New Roman" w:eastAsia="仿宋_GB2312"/>
          <w:sz w:val="30"/>
          <w:szCs w:val="30"/>
        </w:rPr>
        <w:t>，</w:t>
      </w:r>
      <w:r>
        <w:rPr>
          <w:rFonts w:ascii="Arial Narrow" w:hAnsi="Arial Narrow" w:eastAsia="仿宋_GB2312" w:cs="Arial"/>
          <w:sz w:val="30"/>
          <w:szCs w:val="30"/>
        </w:rPr>
        <w:t>故障</w:t>
      </w:r>
      <w:r>
        <w:rPr>
          <w:rFonts w:ascii="Times New Roman" w:hAnsi="Times New Roman" w:eastAsia="仿宋_GB2312"/>
          <w:sz w:val="30"/>
          <w:szCs w:val="30"/>
        </w:rPr>
        <w:t>指出错误、重复或指出不存在的故障不得分。</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答题卡中仅限填入</w:t>
      </w:r>
      <w:r>
        <w:rPr>
          <w:rFonts w:hint="eastAsia" w:ascii="Times New Roman" w:hAnsi="Times New Roman" w:eastAsia="仿宋_GB2312"/>
          <w:sz w:val="30"/>
          <w:szCs w:val="30"/>
        </w:rPr>
        <w:t>规定个数</w:t>
      </w:r>
      <w:r>
        <w:rPr>
          <w:rFonts w:ascii="Times New Roman" w:hAnsi="Times New Roman" w:eastAsia="仿宋_GB2312"/>
          <w:sz w:val="30"/>
          <w:szCs w:val="30"/>
        </w:rPr>
        <w:t>故障，每多填入一个故障，扣1分。</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故障排除过程中由于某个操作造成需要新增部分参数配置，不计入故障点。</w:t>
      </w:r>
    </w:p>
    <w:p>
      <w:pPr>
        <w:snapToGrid w:val="0"/>
        <w:spacing w:line="560" w:lineRule="exact"/>
        <w:ind w:firstLine="600" w:firstLineChars="200"/>
        <w:outlineLvl w:val="0"/>
        <w:rPr>
          <w:rFonts w:ascii="黑体" w:hAnsi="黑体" w:eastAsia="黑体" w:cs="黑体"/>
          <w:bCs/>
          <w:sz w:val="30"/>
          <w:szCs w:val="30"/>
        </w:rPr>
      </w:pPr>
      <w:bookmarkStart w:id="9" w:name="_Toc522022176"/>
      <w:r>
        <w:rPr>
          <w:rFonts w:hint="eastAsia" w:ascii="黑体" w:hAnsi="黑体" w:eastAsia="黑体" w:cs="黑体"/>
          <w:bCs/>
          <w:sz w:val="30"/>
          <w:szCs w:val="30"/>
        </w:rPr>
        <w:t>十、评分标准制定原则、评分方法、评分细则</w:t>
      </w:r>
      <w:bookmarkEnd w:id="9"/>
    </w:p>
    <w:p>
      <w:pPr>
        <w:snapToGrid w:val="0"/>
        <w:spacing w:line="560" w:lineRule="exact"/>
        <w:ind w:firstLine="600" w:firstLineChars="200"/>
        <w:rPr>
          <w:rFonts w:ascii="Times New Roman" w:hAnsi="Times New Roman" w:eastAsia="仿宋_GB2312"/>
          <w:kern w:val="0"/>
          <w:sz w:val="30"/>
          <w:szCs w:val="30"/>
        </w:rPr>
      </w:pPr>
      <w:r>
        <w:rPr>
          <w:rFonts w:ascii="Times New Roman" w:hAnsi="Times New Roman" w:eastAsia="仿宋_GB2312"/>
          <w:kern w:val="0"/>
          <w:sz w:val="30"/>
          <w:szCs w:val="30"/>
        </w:rPr>
        <w:t>（一）</w:t>
      </w:r>
      <w:r>
        <w:rPr>
          <w:rFonts w:ascii="Arial Narrow" w:hAnsi="Arial Narrow" w:eastAsia="仿宋_GB2312" w:cs="Arial"/>
          <w:sz w:val="30"/>
          <w:szCs w:val="30"/>
        </w:rPr>
        <w:t>评分</w:t>
      </w:r>
      <w:r>
        <w:rPr>
          <w:rFonts w:ascii="Times New Roman" w:hAnsi="Times New Roman" w:eastAsia="仿宋_GB2312"/>
          <w:kern w:val="0"/>
          <w:sz w:val="30"/>
          <w:szCs w:val="30"/>
        </w:rPr>
        <w:t>标准制定原则</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1. 本次大赛的评定原则由专家组制定，以技能考核为主，兼顾团队协作精神综合评定。主要考核以下几个方面：</w:t>
      </w:r>
    </w:p>
    <w:p>
      <w:pPr>
        <w:pStyle w:val="27"/>
        <w:numPr>
          <w:ilvl w:val="0"/>
          <w:numId w:val="2"/>
        </w:numPr>
        <w:snapToGrid w:val="0"/>
        <w:spacing w:line="560" w:lineRule="exact"/>
        <w:ind w:firstLineChars="0"/>
        <w:rPr>
          <w:rFonts w:ascii="Arial Narrow" w:hAnsi="Arial Narrow" w:eastAsia="仿宋_GB2312" w:cs="Arial"/>
          <w:sz w:val="30"/>
          <w:szCs w:val="30"/>
        </w:rPr>
      </w:pPr>
      <w:r>
        <w:rPr>
          <w:rFonts w:ascii="Arial Narrow" w:hAnsi="Arial Narrow" w:eastAsia="仿宋_GB2312" w:cs="Arial"/>
          <w:sz w:val="30"/>
          <w:szCs w:val="30"/>
        </w:rPr>
        <w:t>LTE</w:t>
      </w:r>
      <w:r>
        <w:rPr>
          <w:rFonts w:hint="eastAsia" w:ascii="Times New Roman" w:hAnsi="Times New Roman" w:eastAsia="仿宋_GB2312"/>
          <w:b/>
          <w:bCs/>
          <w:color w:val="000000"/>
          <w:sz w:val="30"/>
          <w:szCs w:val="30"/>
          <w:u w:color="000000"/>
        </w:rPr>
        <w:t>&amp;Pre5G</w:t>
      </w:r>
      <w:r>
        <w:rPr>
          <w:rFonts w:ascii="Arial Narrow" w:hAnsi="Arial Narrow" w:eastAsia="仿宋_GB2312" w:cs="Arial"/>
          <w:sz w:val="30"/>
          <w:szCs w:val="30"/>
        </w:rPr>
        <w:t>&amp;</w:t>
      </w:r>
      <w:r>
        <w:rPr>
          <w:rFonts w:hint="eastAsia" w:ascii="Arial Narrow" w:hAnsi="Arial Narrow" w:eastAsia="仿宋_GB2312" w:cs="Arial"/>
          <w:sz w:val="30"/>
          <w:szCs w:val="30"/>
        </w:rPr>
        <w:t>NB-IoT</w:t>
      </w:r>
      <w:r>
        <w:rPr>
          <w:rFonts w:ascii="Arial Narrow" w:hAnsi="Arial Narrow" w:eastAsia="仿宋_GB2312" w:cs="Arial"/>
          <w:sz w:val="30"/>
          <w:szCs w:val="30"/>
        </w:rPr>
        <w:t>网络基础知识；</w:t>
      </w:r>
    </w:p>
    <w:p>
      <w:pPr>
        <w:pStyle w:val="27"/>
        <w:numPr>
          <w:ilvl w:val="0"/>
          <w:numId w:val="2"/>
        </w:numPr>
        <w:snapToGrid w:val="0"/>
        <w:spacing w:line="560" w:lineRule="exact"/>
        <w:ind w:firstLineChars="0"/>
        <w:rPr>
          <w:rFonts w:ascii="Arial Narrow" w:hAnsi="Arial Narrow" w:eastAsia="仿宋_GB2312" w:cs="Arial"/>
          <w:sz w:val="30"/>
          <w:szCs w:val="30"/>
        </w:rPr>
      </w:pPr>
      <w:r>
        <w:rPr>
          <w:rFonts w:ascii="Arial Narrow" w:hAnsi="Arial Narrow" w:eastAsia="仿宋_GB2312" w:cs="Arial"/>
          <w:sz w:val="30"/>
          <w:szCs w:val="30"/>
        </w:rPr>
        <w:t>LTE</w:t>
      </w:r>
      <w:r>
        <w:rPr>
          <w:rFonts w:hint="eastAsia" w:ascii="Times New Roman" w:hAnsi="Times New Roman" w:eastAsia="仿宋_GB2312"/>
          <w:b/>
          <w:bCs/>
          <w:color w:val="000000"/>
          <w:sz w:val="30"/>
          <w:szCs w:val="30"/>
          <w:u w:color="000000"/>
        </w:rPr>
        <w:t>&amp;Pre5G</w:t>
      </w:r>
      <w:r>
        <w:rPr>
          <w:rFonts w:ascii="Arial Narrow" w:hAnsi="Arial Narrow" w:eastAsia="仿宋_GB2312" w:cs="Arial"/>
          <w:sz w:val="30"/>
          <w:szCs w:val="30"/>
        </w:rPr>
        <w:t>&amp;</w:t>
      </w:r>
      <w:r>
        <w:rPr>
          <w:rFonts w:hint="eastAsia" w:ascii="Arial Narrow" w:hAnsi="Arial Narrow" w:eastAsia="仿宋_GB2312" w:cs="Arial"/>
          <w:sz w:val="30"/>
          <w:szCs w:val="30"/>
        </w:rPr>
        <w:t>NB-IoT</w:t>
      </w:r>
      <w:r>
        <w:rPr>
          <w:rFonts w:ascii="Arial Narrow" w:hAnsi="Arial Narrow" w:eastAsia="仿宋_GB2312" w:cs="Arial"/>
          <w:sz w:val="30"/>
          <w:szCs w:val="30"/>
        </w:rPr>
        <w:t>站点工程实施操作和规范；</w:t>
      </w:r>
    </w:p>
    <w:p>
      <w:pPr>
        <w:pStyle w:val="27"/>
        <w:numPr>
          <w:ilvl w:val="0"/>
          <w:numId w:val="2"/>
        </w:numPr>
        <w:snapToGrid w:val="0"/>
        <w:spacing w:line="560" w:lineRule="exact"/>
        <w:ind w:firstLineChars="0"/>
        <w:rPr>
          <w:rFonts w:ascii="Arial Narrow" w:hAnsi="Arial Narrow" w:eastAsia="仿宋_GB2312" w:cs="Arial"/>
          <w:sz w:val="30"/>
          <w:szCs w:val="30"/>
        </w:rPr>
      </w:pPr>
      <w:r>
        <w:rPr>
          <w:rFonts w:ascii="Arial Narrow" w:hAnsi="Arial Narrow" w:eastAsia="仿宋_GB2312" w:cs="Arial"/>
          <w:sz w:val="30"/>
          <w:szCs w:val="30"/>
        </w:rPr>
        <w:t>LTE</w:t>
      </w:r>
      <w:r>
        <w:rPr>
          <w:rFonts w:hint="eastAsia" w:ascii="Times New Roman" w:hAnsi="Times New Roman" w:eastAsia="仿宋_GB2312"/>
          <w:b/>
          <w:bCs/>
          <w:color w:val="000000"/>
          <w:sz w:val="30"/>
          <w:szCs w:val="30"/>
          <w:u w:color="000000"/>
        </w:rPr>
        <w:t>&amp;Pre5G</w:t>
      </w:r>
      <w:r>
        <w:rPr>
          <w:rFonts w:ascii="Arial Narrow" w:hAnsi="Arial Narrow" w:eastAsia="仿宋_GB2312" w:cs="Arial"/>
          <w:sz w:val="30"/>
          <w:szCs w:val="30"/>
        </w:rPr>
        <w:t>&amp;</w:t>
      </w:r>
      <w:r>
        <w:rPr>
          <w:rFonts w:hint="eastAsia" w:ascii="Arial Narrow" w:hAnsi="Arial Narrow" w:eastAsia="仿宋_GB2312" w:cs="Arial"/>
          <w:sz w:val="30"/>
          <w:szCs w:val="30"/>
        </w:rPr>
        <w:t>NB-IoT</w:t>
      </w:r>
      <w:r>
        <w:rPr>
          <w:rFonts w:ascii="Arial Narrow" w:hAnsi="Arial Narrow" w:eastAsia="仿宋_GB2312" w:cs="Arial"/>
          <w:sz w:val="30"/>
          <w:szCs w:val="30"/>
        </w:rPr>
        <w:t>网络规划与部署能力；</w:t>
      </w:r>
    </w:p>
    <w:p>
      <w:pPr>
        <w:pStyle w:val="27"/>
        <w:numPr>
          <w:ilvl w:val="0"/>
          <w:numId w:val="2"/>
        </w:numPr>
        <w:snapToGrid w:val="0"/>
        <w:spacing w:line="560" w:lineRule="exact"/>
        <w:ind w:firstLineChars="0"/>
        <w:rPr>
          <w:rFonts w:ascii="Arial Narrow" w:hAnsi="Arial Narrow" w:eastAsia="仿宋_GB2312" w:cs="Arial"/>
          <w:sz w:val="30"/>
          <w:szCs w:val="30"/>
        </w:rPr>
      </w:pPr>
      <w:r>
        <w:rPr>
          <w:rFonts w:ascii="Arial Narrow" w:hAnsi="Arial Narrow" w:eastAsia="仿宋_GB2312" w:cs="Arial"/>
          <w:sz w:val="30"/>
          <w:szCs w:val="30"/>
        </w:rPr>
        <w:t>LTE</w:t>
      </w:r>
      <w:r>
        <w:rPr>
          <w:rFonts w:hint="eastAsia" w:ascii="Times New Roman" w:hAnsi="Times New Roman" w:eastAsia="仿宋_GB2312"/>
          <w:b/>
          <w:bCs/>
          <w:color w:val="000000"/>
          <w:sz w:val="30"/>
          <w:szCs w:val="30"/>
          <w:u w:color="000000"/>
        </w:rPr>
        <w:t>&amp;Pre5G</w:t>
      </w:r>
      <w:r>
        <w:rPr>
          <w:rFonts w:ascii="Arial Narrow" w:hAnsi="Arial Narrow" w:eastAsia="仿宋_GB2312" w:cs="Arial"/>
          <w:sz w:val="30"/>
          <w:szCs w:val="30"/>
        </w:rPr>
        <w:t>&amp;</w:t>
      </w:r>
      <w:r>
        <w:rPr>
          <w:rFonts w:hint="eastAsia" w:ascii="Arial Narrow" w:hAnsi="Arial Narrow" w:eastAsia="仿宋_GB2312" w:cs="Arial"/>
          <w:sz w:val="30"/>
          <w:szCs w:val="30"/>
        </w:rPr>
        <w:t>NB-IoT</w:t>
      </w:r>
      <w:r>
        <w:rPr>
          <w:rFonts w:ascii="Arial Narrow" w:hAnsi="Arial Narrow" w:eastAsia="仿宋_GB2312" w:cs="Arial"/>
          <w:sz w:val="30"/>
          <w:szCs w:val="30"/>
        </w:rPr>
        <w:t>网络常见业务调测能力；</w:t>
      </w:r>
    </w:p>
    <w:p>
      <w:pPr>
        <w:pStyle w:val="27"/>
        <w:numPr>
          <w:ilvl w:val="0"/>
          <w:numId w:val="2"/>
        </w:numPr>
        <w:snapToGrid w:val="0"/>
        <w:spacing w:line="560" w:lineRule="exact"/>
        <w:ind w:firstLineChars="0"/>
        <w:rPr>
          <w:rFonts w:ascii="Arial Narrow" w:hAnsi="Arial Narrow" w:eastAsia="仿宋_GB2312" w:cs="Arial"/>
          <w:sz w:val="30"/>
          <w:szCs w:val="30"/>
        </w:rPr>
      </w:pPr>
      <w:bookmarkStart w:id="10" w:name="OLE_LINK8"/>
      <w:bookmarkStart w:id="11" w:name="OLE_LINK7"/>
      <w:r>
        <w:rPr>
          <w:rFonts w:ascii="Arial Narrow" w:hAnsi="Arial Narrow" w:eastAsia="仿宋_GB2312" w:cs="Arial"/>
          <w:sz w:val="30"/>
          <w:szCs w:val="30"/>
        </w:rPr>
        <w:t>LTE</w:t>
      </w:r>
      <w:r>
        <w:rPr>
          <w:rFonts w:hint="eastAsia" w:ascii="Times New Roman" w:hAnsi="Times New Roman" w:eastAsia="仿宋_GB2312"/>
          <w:b/>
          <w:bCs/>
          <w:color w:val="000000"/>
          <w:sz w:val="30"/>
          <w:szCs w:val="30"/>
          <w:u w:color="000000"/>
        </w:rPr>
        <w:t>&amp;Pre5G</w:t>
      </w:r>
      <w:r>
        <w:rPr>
          <w:rFonts w:ascii="Arial Narrow" w:hAnsi="Arial Narrow" w:eastAsia="仿宋_GB2312" w:cs="Arial"/>
          <w:sz w:val="30"/>
          <w:szCs w:val="30"/>
        </w:rPr>
        <w:t>&amp;</w:t>
      </w:r>
      <w:r>
        <w:rPr>
          <w:rFonts w:hint="eastAsia" w:ascii="Arial Narrow" w:hAnsi="Arial Narrow" w:eastAsia="仿宋_GB2312" w:cs="Arial"/>
          <w:sz w:val="30"/>
          <w:szCs w:val="30"/>
        </w:rPr>
        <w:t>NB-IoT</w:t>
      </w:r>
      <w:r>
        <w:rPr>
          <w:rFonts w:ascii="Arial Narrow" w:hAnsi="Arial Narrow" w:eastAsia="仿宋_GB2312" w:cs="Arial"/>
          <w:sz w:val="30"/>
          <w:szCs w:val="30"/>
        </w:rPr>
        <w:t>网络</w:t>
      </w:r>
      <w:bookmarkEnd w:id="10"/>
      <w:bookmarkEnd w:id="11"/>
      <w:r>
        <w:rPr>
          <w:rFonts w:ascii="Arial Narrow" w:hAnsi="Arial Narrow" w:eastAsia="仿宋_GB2312" w:cs="Arial"/>
          <w:sz w:val="30"/>
          <w:szCs w:val="30"/>
        </w:rPr>
        <w:t>故障定位与排除能力；</w:t>
      </w:r>
    </w:p>
    <w:p>
      <w:pPr>
        <w:pStyle w:val="27"/>
        <w:numPr>
          <w:ilvl w:val="0"/>
          <w:numId w:val="2"/>
        </w:numPr>
        <w:snapToGrid w:val="0"/>
        <w:spacing w:line="560" w:lineRule="exact"/>
        <w:ind w:firstLineChars="0"/>
        <w:rPr>
          <w:rFonts w:ascii="Arial Narrow" w:hAnsi="Arial Narrow" w:eastAsia="仿宋_GB2312" w:cs="Arial"/>
          <w:sz w:val="30"/>
          <w:szCs w:val="30"/>
        </w:rPr>
      </w:pPr>
      <w:r>
        <w:rPr>
          <w:rFonts w:ascii="Arial Narrow" w:hAnsi="Arial Narrow" w:eastAsia="仿宋_GB2312" w:cs="Arial"/>
          <w:sz w:val="30"/>
          <w:szCs w:val="30"/>
        </w:rPr>
        <w:t>LTE</w:t>
      </w:r>
      <w:r>
        <w:rPr>
          <w:rFonts w:hint="eastAsia" w:ascii="Times New Roman" w:hAnsi="Times New Roman" w:eastAsia="仿宋_GB2312"/>
          <w:b/>
          <w:bCs/>
          <w:color w:val="000000"/>
          <w:sz w:val="30"/>
          <w:szCs w:val="30"/>
          <w:u w:color="000000"/>
        </w:rPr>
        <w:t>&amp;Pre5G</w:t>
      </w:r>
      <w:r>
        <w:rPr>
          <w:rFonts w:ascii="Arial Narrow" w:hAnsi="Arial Narrow" w:eastAsia="仿宋_GB2312" w:cs="Arial"/>
          <w:sz w:val="30"/>
          <w:szCs w:val="30"/>
        </w:rPr>
        <w:t>&amp;</w:t>
      </w:r>
      <w:r>
        <w:rPr>
          <w:rFonts w:hint="eastAsia" w:ascii="Arial Narrow" w:hAnsi="Arial Narrow" w:eastAsia="仿宋_GB2312" w:cs="Arial"/>
          <w:sz w:val="30"/>
          <w:szCs w:val="30"/>
        </w:rPr>
        <w:t>NB-IoT</w:t>
      </w:r>
      <w:r>
        <w:rPr>
          <w:rFonts w:ascii="Arial Narrow" w:hAnsi="Arial Narrow" w:eastAsia="仿宋_GB2312" w:cs="Arial"/>
          <w:sz w:val="30"/>
          <w:szCs w:val="30"/>
        </w:rPr>
        <w:t>网络指标分析与优化；</w:t>
      </w:r>
    </w:p>
    <w:p>
      <w:pPr>
        <w:pStyle w:val="27"/>
        <w:numPr>
          <w:ilvl w:val="0"/>
          <w:numId w:val="2"/>
        </w:numPr>
        <w:snapToGrid w:val="0"/>
        <w:spacing w:line="560" w:lineRule="exact"/>
        <w:ind w:firstLineChars="0"/>
        <w:rPr>
          <w:rFonts w:ascii="Arial Narrow" w:hAnsi="Arial Narrow" w:eastAsia="仿宋_GB2312" w:cs="Arial"/>
          <w:sz w:val="30"/>
          <w:szCs w:val="30"/>
        </w:rPr>
      </w:pPr>
      <w:r>
        <w:rPr>
          <w:rFonts w:ascii="Arial Narrow" w:hAnsi="Arial Narrow" w:eastAsia="仿宋_GB2312" w:cs="Arial"/>
          <w:sz w:val="30"/>
          <w:szCs w:val="30"/>
        </w:rPr>
        <w:t>团队组织协同能力。</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2.充分体现“公正、公平、科学”的执裁原则，本赛项主体为客观题。</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3.竞赛成绩评定在加密且不受外界干扰的情况下进行。</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（二）评分方法</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比赛总成绩满分100分。各部分分别计算得分，计入团队总分，错误不传递。</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本次竞赛共设20名裁判，其中裁判长1名，加密裁判2名，现场裁判8名，评分裁判6名，记分员3名。</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裁判长为竞赛的总负责人，当竞赛中出现裁判员不能判定的问题时，裁判长将依据规则进行最终的判定。</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现场裁判负责保持比赛公平公正且有序的进行，并对参赛选手的疑问进行解答。</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本次竞赛采用机考评分与结果评分相结合，所有题目均采用客观评分，机考部分的各队完成状态及得分将在裁判计算机上显示（以比赛结束时的状态为准），裁判长实时汇总各赛位的成绩，经复核无误，由裁判长、监督人员和仲裁人员签字确认。结果评分，每个部分由两名评分裁判独立评分，其中共设LTE&amp;</w:t>
      </w:r>
      <w:r>
        <w:rPr>
          <w:rFonts w:hint="eastAsia" w:ascii="Times New Roman" w:hAnsi="Times New Roman" w:eastAsia="仿宋_GB2312"/>
          <w:b/>
          <w:bCs/>
          <w:color w:val="000000"/>
          <w:sz w:val="30"/>
          <w:szCs w:val="30"/>
          <w:u w:color="000000"/>
        </w:rPr>
        <w:t>Pre5G与</w:t>
      </w:r>
      <w:r>
        <w:rPr>
          <w:rFonts w:hint="eastAsia" w:ascii="Arial Narrow" w:hAnsi="Arial Narrow" w:eastAsia="仿宋_GB2312" w:cs="Arial"/>
          <w:sz w:val="30"/>
          <w:szCs w:val="30"/>
        </w:rPr>
        <w:t>NB-IoT</w:t>
      </w:r>
      <w:r>
        <w:rPr>
          <w:rFonts w:ascii="Arial Narrow" w:hAnsi="Arial Narrow" w:eastAsia="仿宋_GB2312" w:cs="Arial"/>
          <w:sz w:val="30"/>
          <w:szCs w:val="30"/>
        </w:rPr>
        <w:t>网络规划评分裁判2名，LTE&amp;</w:t>
      </w:r>
      <w:r>
        <w:rPr>
          <w:rFonts w:hint="eastAsia" w:ascii="Times New Roman" w:hAnsi="Times New Roman" w:eastAsia="仿宋_GB2312"/>
          <w:b/>
          <w:bCs/>
          <w:color w:val="000000"/>
          <w:sz w:val="30"/>
          <w:szCs w:val="30"/>
          <w:u w:color="000000"/>
        </w:rPr>
        <w:t>Pre5G与</w:t>
      </w:r>
      <w:r>
        <w:rPr>
          <w:rFonts w:hint="eastAsia" w:ascii="Arial Narrow" w:hAnsi="Arial Narrow" w:eastAsia="仿宋_GB2312" w:cs="Arial"/>
          <w:sz w:val="30"/>
          <w:szCs w:val="30"/>
        </w:rPr>
        <w:t>NB-IoT</w:t>
      </w:r>
      <w:r>
        <w:rPr>
          <w:rFonts w:ascii="Arial Narrow" w:hAnsi="Arial Narrow" w:eastAsia="仿宋_GB2312" w:cs="Arial"/>
          <w:sz w:val="30"/>
          <w:szCs w:val="30"/>
        </w:rPr>
        <w:t>网络配置与优化评分裁判2名，LTE&amp;</w:t>
      </w:r>
      <w:r>
        <w:rPr>
          <w:rFonts w:hint="eastAsia" w:ascii="Times New Roman" w:hAnsi="Times New Roman" w:eastAsia="仿宋_GB2312"/>
          <w:b/>
          <w:bCs/>
          <w:color w:val="000000"/>
          <w:sz w:val="30"/>
          <w:szCs w:val="30"/>
          <w:u w:color="000000"/>
        </w:rPr>
        <w:t>Pre5G与</w:t>
      </w:r>
      <w:r>
        <w:rPr>
          <w:rFonts w:hint="eastAsia" w:ascii="Arial Narrow" w:hAnsi="Arial Narrow" w:eastAsia="仿宋_GB2312" w:cs="Arial"/>
          <w:sz w:val="30"/>
          <w:szCs w:val="30"/>
        </w:rPr>
        <w:t>NB-IoT</w:t>
      </w:r>
      <w:r>
        <w:rPr>
          <w:rFonts w:ascii="Arial Narrow" w:hAnsi="Arial Narrow" w:eastAsia="仿宋_GB2312" w:cs="Arial"/>
          <w:sz w:val="30"/>
          <w:szCs w:val="30"/>
        </w:rPr>
        <w:t>网络故障排除评分裁判2名，</w:t>
      </w:r>
      <w:r>
        <w:rPr>
          <w:rFonts w:hint="eastAsia" w:ascii="Arial Narrow" w:hAnsi="Arial Narrow" w:eastAsia="仿宋_GB2312" w:cs="Arial"/>
          <w:sz w:val="30"/>
          <w:szCs w:val="30"/>
        </w:rPr>
        <w:t>3</w:t>
      </w:r>
      <w:r>
        <w:rPr>
          <w:rFonts w:ascii="Arial Narrow" w:hAnsi="Arial Narrow" w:eastAsia="仿宋_GB2312" w:cs="Arial"/>
          <w:sz w:val="30"/>
          <w:szCs w:val="30"/>
        </w:rPr>
        <w:t>名记分员在监督人员的现场监督下负责计分，裁判长在竞赛结束 18 小时内提交赛位评分结果，经复核无误，由裁判长、监督人员和仲裁人员签字确认后公布。</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（三）复核检查</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1. 为保障成绩评判的准确性，监督组对赛项总成绩排名前 30%的所有参赛队伍的成绩进行复核。对其余成绩进行抽检复核，抽检覆盖率不得低于 15%。复核、抽检错误率超过 5%的，裁判组需对所有成绩进行复核。复核抽检完成后，最终生成参赛队总成绩表，由裁判长签字确认后，将工作任务书、现场记录表、确认表等相关纸质文档移交执委会。 </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2.评分中所有涂改处均需向裁判长说明并备案；在复查中发现的问题均需向裁判长说明并备案。 </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3. 各项竞赛内容得分总和为参赛队得分，按照得分从高到低排定名次。比赛成绩与完成比赛任务的用时不挂钩。</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4. 出现2个或2个以上参赛队同分情况下，则并列名次。</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（四）评分流程</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1.比赛结束后，评分裁判对各赛位进行评分，机考部分由对应评分裁判导出并确认分数，结果评分由对应评分裁判截图、拍照并确认分数，并将结果评分部分的成绩与机考评分部分的成绩相加，得到各赛位的最终成绩，交由裁判长进行汇总。</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2.第二组和第一组加密裁判分别对参赛编号进行解密，得到各参赛队成绩。</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（五）评分细则</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评分标准由专家组制定，综合考察参赛选手对LTE&amp;</w:t>
      </w:r>
      <w:r>
        <w:rPr>
          <w:rFonts w:hint="eastAsia" w:ascii="Arial Narrow" w:hAnsi="Arial Narrow" w:eastAsia="仿宋_GB2312" w:cs="Arial"/>
          <w:sz w:val="30"/>
          <w:szCs w:val="30"/>
        </w:rPr>
        <w:t>Pre5G及NB-IoT</w:t>
      </w:r>
      <w:r>
        <w:rPr>
          <w:rFonts w:ascii="Arial Narrow" w:hAnsi="Arial Narrow" w:eastAsia="仿宋_GB2312" w:cs="Arial"/>
          <w:sz w:val="30"/>
          <w:szCs w:val="30"/>
        </w:rPr>
        <w:t>无线接入网、承载网及核心网的组网规划、业务开通、综合联调、网络优化与故障排查的能力。</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本次竞赛分为两部分，两部分得分总和为参赛队得分，按照得分从高到低排定名次。</w:t>
      </w:r>
    </w:p>
    <w:p>
      <w:pPr>
        <w:pStyle w:val="7"/>
      </w:pPr>
      <w:r>
        <w:t>表6 赛项评分分配</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4261" w:type="dxa"/>
            <w:vAlign w:val="center"/>
          </w:tcPr>
          <w:p>
            <w:pPr>
              <w:pStyle w:val="28"/>
              <w:ind w:firstLine="0" w:firstLineChars="0"/>
              <w:jc w:val="center"/>
              <w:rPr>
                <w:rFonts w:ascii="宋体" w:eastAsia="宋体" w:cs="Times New Roman"/>
                <w:b/>
                <w:bCs/>
                <w:snapToGrid w:val="0"/>
                <w:sz w:val="24"/>
                <w:szCs w:val="24"/>
              </w:rPr>
            </w:pPr>
            <w:r>
              <w:rPr>
                <w:rFonts w:ascii="宋体" w:eastAsia="宋体" w:cs="Times New Roman"/>
                <w:b/>
                <w:bCs/>
                <w:snapToGrid w:val="0"/>
                <w:sz w:val="24"/>
                <w:szCs w:val="24"/>
              </w:rPr>
              <w:t>评分项目</w:t>
            </w:r>
          </w:p>
        </w:tc>
        <w:tc>
          <w:tcPr>
            <w:tcW w:w="4261" w:type="dxa"/>
            <w:vAlign w:val="center"/>
          </w:tcPr>
          <w:p>
            <w:pPr>
              <w:pStyle w:val="28"/>
              <w:ind w:firstLine="0" w:firstLineChars="0"/>
              <w:jc w:val="center"/>
              <w:rPr>
                <w:rFonts w:ascii="宋体" w:eastAsia="宋体" w:cs="Times New Roman"/>
                <w:b/>
                <w:bCs/>
                <w:snapToGrid w:val="0"/>
                <w:sz w:val="24"/>
                <w:szCs w:val="24"/>
              </w:rPr>
            </w:pPr>
            <w:r>
              <w:rPr>
                <w:rFonts w:ascii="宋体" w:eastAsia="宋体" w:cs="Times New Roman"/>
                <w:b/>
                <w:bCs/>
                <w:snapToGrid w:val="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pacing w:line="560" w:lineRule="exact"/>
              <w:ind w:firstLine="480"/>
              <w:jc w:val="left"/>
              <w:rPr>
                <w:rFonts w:ascii="宋体" w:hAnsi="宋体"/>
                <w:sz w:val="24"/>
                <w:szCs w:val="24"/>
              </w:rPr>
            </w:pPr>
            <w:r>
              <w:rPr>
                <w:rFonts w:ascii="宋体" w:hAnsi="宋体"/>
                <w:sz w:val="24"/>
                <w:szCs w:val="24"/>
              </w:rPr>
              <w:t>LTE</w:t>
            </w:r>
            <w:r>
              <w:rPr>
                <w:rFonts w:hint="eastAsia" w:ascii="宋体" w:hAnsi="宋体"/>
                <w:sz w:val="24"/>
                <w:szCs w:val="24"/>
              </w:rPr>
              <w:t>&amp;Pre5G</w:t>
            </w:r>
            <w:r>
              <w:rPr>
                <w:rFonts w:ascii="宋体" w:hAnsi="宋体"/>
                <w:sz w:val="24"/>
                <w:szCs w:val="24"/>
              </w:rPr>
              <w:t>网络配置与优化</w:t>
            </w:r>
          </w:p>
        </w:tc>
        <w:tc>
          <w:tcPr>
            <w:tcW w:w="4261" w:type="dxa"/>
          </w:tcPr>
          <w:p>
            <w:pPr>
              <w:spacing w:line="560" w:lineRule="exact"/>
              <w:ind w:firstLine="480"/>
              <w:jc w:val="center"/>
              <w:rPr>
                <w:rFonts w:ascii="宋体" w:hAnsi="宋体"/>
                <w:sz w:val="24"/>
                <w:szCs w:val="24"/>
              </w:rPr>
            </w:pPr>
            <w:r>
              <w:rPr>
                <w:rFonts w:hint="eastAsia" w:ascii="宋体" w:hAnsi="宋体"/>
                <w:sz w:val="24"/>
                <w:szCs w:val="24"/>
              </w:rPr>
              <w:t>20</w:t>
            </w:r>
            <w:r>
              <w:rPr>
                <w:rFonts w:ascii="宋体" w:hAnsi="宋体"/>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pacing w:line="560" w:lineRule="exact"/>
              <w:ind w:firstLine="480"/>
              <w:jc w:val="left"/>
              <w:rPr>
                <w:rFonts w:ascii="宋体" w:hAnsi="宋体"/>
                <w:sz w:val="24"/>
                <w:szCs w:val="24"/>
              </w:rPr>
            </w:pPr>
            <w:r>
              <w:rPr>
                <w:rFonts w:ascii="宋体" w:hAnsi="宋体"/>
                <w:sz w:val="24"/>
                <w:szCs w:val="24"/>
              </w:rPr>
              <w:t>LTE</w:t>
            </w:r>
            <w:r>
              <w:rPr>
                <w:rFonts w:hint="eastAsia" w:ascii="宋体" w:hAnsi="宋体"/>
                <w:sz w:val="24"/>
                <w:szCs w:val="24"/>
              </w:rPr>
              <w:t>&amp;Pre5G</w:t>
            </w:r>
            <w:r>
              <w:rPr>
                <w:rFonts w:ascii="宋体" w:hAnsi="宋体"/>
                <w:sz w:val="24"/>
                <w:szCs w:val="24"/>
              </w:rPr>
              <w:t>网络故障排除</w:t>
            </w:r>
          </w:p>
        </w:tc>
        <w:tc>
          <w:tcPr>
            <w:tcW w:w="4261" w:type="dxa"/>
          </w:tcPr>
          <w:p>
            <w:pPr>
              <w:spacing w:line="560" w:lineRule="exact"/>
              <w:ind w:firstLine="480"/>
              <w:jc w:val="center"/>
              <w:rPr>
                <w:rFonts w:ascii="宋体" w:hAnsi="宋体"/>
                <w:sz w:val="24"/>
                <w:szCs w:val="24"/>
              </w:rPr>
            </w:pPr>
            <w:r>
              <w:rPr>
                <w:rFonts w:hint="eastAsia" w:ascii="宋体" w:hAnsi="宋体"/>
                <w:sz w:val="24"/>
                <w:szCs w:val="24"/>
              </w:rPr>
              <w:t>3</w:t>
            </w:r>
            <w:r>
              <w:rPr>
                <w:rFonts w:ascii="宋体" w:hAnsi="宋体"/>
                <w:sz w:val="24"/>
                <w:szCs w:val="24"/>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pacing w:line="560" w:lineRule="exact"/>
              <w:ind w:firstLine="480"/>
              <w:jc w:val="left"/>
              <w:rPr>
                <w:rFonts w:ascii="宋体" w:hAnsi="宋体"/>
                <w:sz w:val="24"/>
                <w:szCs w:val="24"/>
              </w:rPr>
            </w:pPr>
            <w:r>
              <w:rPr>
                <w:rFonts w:hint="eastAsia" w:ascii="宋体" w:hAnsi="宋体"/>
                <w:sz w:val="24"/>
                <w:szCs w:val="24"/>
              </w:rPr>
              <w:t>NB-IoT网络规划</w:t>
            </w:r>
          </w:p>
        </w:tc>
        <w:tc>
          <w:tcPr>
            <w:tcW w:w="4261" w:type="dxa"/>
          </w:tcPr>
          <w:p>
            <w:pPr>
              <w:spacing w:line="560" w:lineRule="exact"/>
              <w:ind w:firstLine="480"/>
              <w:jc w:val="center"/>
              <w:rPr>
                <w:rFonts w:ascii="宋体" w:hAnsi="宋体"/>
                <w:sz w:val="24"/>
                <w:szCs w:val="24"/>
              </w:rPr>
            </w:pPr>
            <w:r>
              <w:rPr>
                <w:rFonts w:hint="eastAsia" w:ascii="宋体" w:hAnsi="宋体"/>
                <w:sz w:val="24"/>
                <w:szCs w:val="24"/>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pacing w:line="560" w:lineRule="exact"/>
              <w:ind w:firstLine="480"/>
              <w:jc w:val="left"/>
              <w:rPr>
                <w:rFonts w:ascii="宋体" w:hAnsi="宋体"/>
                <w:sz w:val="24"/>
                <w:szCs w:val="24"/>
              </w:rPr>
            </w:pPr>
            <w:r>
              <w:rPr>
                <w:rFonts w:hint="eastAsia" w:ascii="宋体" w:hAnsi="宋体"/>
                <w:sz w:val="24"/>
                <w:szCs w:val="24"/>
              </w:rPr>
              <w:t>NB-IoT业务调试</w:t>
            </w:r>
          </w:p>
        </w:tc>
        <w:tc>
          <w:tcPr>
            <w:tcW w:w="4261" w:type="dxa"/>
          </w:tcPr>
          <w:p>
            <w:pPr>
              <w:spacing w:line="560" w:lineRule="exact"/>
              <w:ind w:firstLine="480"/>
              <w:jc w:val="center"/>
              <w:rPr>
                <w:rFonts w:ascii="宋体" w:hAnsi="宋体"/>
                <w:sz w:val="24"/>
                <w:szCs w:val="24"/>
              </w:rPr>
            </w:pPr>
            <w:r>
              <w:rPr>
                <w:rFonts w:hint="eastAsia" w:ascii="宋体" w:hAnsi="宋体"/>
                <w:sz w:val="24"/>
                <w:szCs w:val="24"/>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pacing w:line="560" w:lineRule="exact"/>
              <w:ind w:firstLine="480"/>
              <w:jc w:val="left"/>
              <w:rPr>
                <w:rFonts w:ascii="宋体" w:hAnsi="宋体"/>
                <w:sz w:val="24"/>
                <w:szCs w:val="24"/>
              </w:rPr>
            </w:pPr>
            <w:r>
              <w:rPr>
                <w:rFonts w:hint="eastAsia" w:ascii="宋体" w:hAnsi="宋体"/>
                <w:sz w:val="24"/>
                <w:szCs w:val="24"/>
              </w:rPr>
              <w:t>NB-IoT网络故障排除</w:t>
            </w:r>
          </w:p>
        </w:tc>
        <w:tc>
          <w:tcPr>
            <w:tcW w:w="4261" w:type="dxa"/>
          </w:tcPr>
          <w:p>
            <w:pPr>
              <w:spacing w:line="560" w:lineRule="exact"/>
              <w:ind w:firstLine="480"/>
              <w:jc w:val="center"/>
              <w:rPr>
                <w:rFonts w:ascii="宋体" w:hAnsi="宋体"/>
                <w:sz w:val="24"/>
                <w:szCs w:val="24"/>
              </w:rPr>
            </w:pPr>
            <w:r>
              <w:rPr>
                <w:rFonts w:hint="eastAsia" w:ascii="宋体" w:hAnsi="宋体"/>
                <w:sz w:val="24"/>
                <w:szCs w:val="24"/>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pacing w:line="560" w:lineRule="exact"/>
              <w:ind w:firstLine="480"/>
              <w:jc w:val="left"/>
              <w:rPr>
                <w:rFonts w:ascii="宋体" w:hAnsi="宋体"/>
                <w:sz w:val="24"/>
                <w:szCs w:val="24"/>
              </w:rPr>
            </w:pPr>
            <w:r>
              <w:rPr>
                <w:rFonts w:ascii="宋体" w:hAnsi="宋体"/>
                <w:sz w:val="24"/>
                <w:szCs w:val="24"/>
              </w:rPr>
              <w:t>合计</w:t>
            </w:r>
          </w:p>
        </w:tc>
        <w:tc>
          <w:tcPr>
            <w:tcW w:w="4261" w:type="dxa"/>
          </w:tcPr>
          <w:p>
            <w:pPr>
              <w:spacing w:line="560" w:lineRule="exact"/>
              <w:ind w:firstLine="480"/>
              <w:jc w:val="center"/>
              <w:rPr>
                <w:rFonts w:ascii="宋体" w:hAnsi="宋体"/>
                <w:sz w:val="24"/>
                <w:szCs w:val="24"/>
              </w:rPr>
            </w:pPr>
            <w:r>
              <w:rPr>
                <w:rFonts w:ascii="宋体" w:hAnsi="宋体"/>
                <w:sz w:val="24"/>
                <w:szCs w:val="24"/>
              </w:rPr>
              <w:t>100分</w:t>
            </w:r>
          </w:p>
        </w:tc>
      </w:tr>
    </w:tbl>
    <w:p>
      <w:pPr>
        <w:pStyle w:val="7"/>
      </w:pPr>
      <w:r>
        <w:t>表7赛项评分细则</w:t>
      </w:r>
    </w:p>
    <w:tbl>
      <w:tblPr>
        <w:tblStyle w:val="20"/>
        <w:tblW w:w="8522" w:type="dxa"/>
        <w:jc w:val="center"/>
        <w:tblInd w:w="0" w:type="dxa"/>
        <w:tblLayout w:type="fixed"/>
        <w:tblCellMar>
          <w:top w:w="0" w:type="dxa"/>
          <w:left w:w="108" w:type="dxa"/>
          <w:bottom w:w="0" w:type="dxa"/>
          <w:right w:w="108" w:type="dxa"/>
        </w:tblCellMar>
      </w:tblPr>
      <w:tblGrid>
        <w:gridCol w:w="1463"/>
        <w:gridCol w:w="3878"/>
        <w:gridCol w:w="1408"/>
        <w:gridCol w:w="1773"/>
      </w:tblGrid>
      <w:tr>
        <w:tblPrEx>
          <w:tblLayout w:type="fixed"/>
          <w:tblCellMar>
            <w:top w:w="0" w:type="dxa"/>
            <w:left w:w="108" w:type="dxa"/>
            <w:bottom w:w="0" w:type="dxa"/>
            <w:right w:w="108" w:type="dxa"/>
          </w:tblCellMar>
        </w:tblPrEx>
        <w:trPr>
          <w:jc w:val="center"/>
        </w:trPr>
        <w:tc>
          <w:tcPr>
            <w:tcW w:w="1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b/>
                <w:sz w:val="24"/>
                <w:szCs w:val="24"/>
              </w:rPr>
            </w:pPr>
            <w:r>
              <w:rPr>
                <w:rFonts w:asciiTheme="minorEastAsia" w:hAnsiTheme="minorEastAsia"/>
                <w:b/>
                <w:sz w:val="24"/>
                <w:szCs w:val="24"/>
              </w:rPr>
              <w:t>评分项目</w:t>
            </w:r>
          </w:p>
        </w:tc>
        <w:tc>
          <w:tcPr>
            <w:tcW w:w="387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b/>
                <w:sz w:val="24"/>
                <w:szCs w:val="24"/>
              </w:rPr>
            </w:pPr>
            <w:r>
              <w:rPr>
                <w:rFonts w:asciiTheme="minorEastAsia" w:hAnsiTheme="minorEastAsia"/>
                <w:b/>
                <w:sz w:val="24"/>
                <w:szCs w:val="24"/>
              </w:rPr>
              <w:t>评分细则</w:t>
            </w:r>
          </w:p>
        </w:tc>
        <w:tc>
          <w:tcPr>
            <w:tcW w:w="140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b/>
                <w:sz w:val="24"/>
                <w:szCs w:val="24"/>
              </w:rPr>
            </w:pPr>
            <w:r>
              <w:rPr>
                <w:rFonts w:asciiTheme="minorEastAsia" w:hAnsiTheme="minorEastAsia"/>
                <w:b/>
                <w:sz w:val="24"/>
                <w:szCs w:val="24"/>
              </w:rPr>
              <w:t>分值</w:t>
            </w:r>
          </w:p>
        </w:tc>
        <w:tc>
          <w:tcPr>
            <w:tcW w:w="1773"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b/>
                <w:sz w:val="24"/>
                <w:szCs w:val="24"/>
              </w:rPr>
            </w:pPr>
            <w:r>
              <w:rPr>
                <w:rFonts w:asciiTheme="minorEastAsia" w:hAnsiTheme="minorEastAsia"/>
                <w:b/>
                <w:sz w:val="24"/>
                <w:szCs w:val="24"/>
              </w:rPr>
              <w:t>评分方式</w:t>
            </w:r>
          </w:p>
        </w:tc>
      </w:tr>
      <w:tr>
        <w:tblPrEx>
          <w:tblLayout w:type="fixed"/>
          <w:tblCellMar>
            <w:top w:w="0" w:type="dxa"/>
            <w:left w:w="108" w:type="dxa"/>
            <w:bottom w:w="0" w:type="dxa"/>
            <w:right w:w="108" w:type="dxa"/>
          </w:tblCellMar>
        </w:tblPrEx>
        <w:trPr>
          <w:jc w:val="center"/>
        </w:trPr>
        <w:tc>
          <w:tcPr>
            <w:tcW w:w="1463" w:type="dxa"/>
            <w:vMerge w:val="restart"/>
            <w:tcBorders>
              <w:top w:val="single" w:color="auto" w:sz="4" w:space="0"/>
              <w:left w:val="single" w:color="auto" w:sz="4" w:space="0"/>
              <w:right w:val="single" w:color="auto" w:sz="4" w:space="0"/>
            </w:tcBorders>
            <w:vAlign w:val="center"/>
          </w:tcPr>
          <w:p>
            <w:pPr>
              <w:spacing w:line="560" w:lineRule="exact"/>
              <w:rPr>
                <w:rFonts w:asciiTheme="minorEastAsia" w:hAnsiTheme="minorEastAsia"/>
                <w:sz w:val="24"/>
                <w:szCs w:val="24"/>
              </w:rPr>
            </w:pPr>
            <w:r>
              <w:rPr>
                <w:rFonts w:asciiTheme="minorEastAsia" w:hAnsiTheme="minorEastAsia"/>
                <w:sz w:val="24"/>
                <w:szCs w:val="24"/>
              </w:rPr>
              <w:t>LTE</w:t>
            </w:r>
            <w:r>
              <w:rPr>
                <w:rFonts w:hint="eastAsia" w:ascii="宋体" w:hAnsi="宋体"/>
                <w:sz w:val="24"/>
                <w:szCs w:val="24"/>
              </w:rPr>
              <w:t>&amp;Pre5G</w:t>
            </w:r>
            <w:r>
              <w:rPr>
                <w:rFonts w:asciiTheme="minorEastAsia" w:hAnsiTheme="minorEastAsia"/>
                <w:sz w:val="24"/>
                <w:szCs w:val="24"/>
              </w:rPr>
              <w:t>网络配置与优化（</w:t>
            </w:r>
            <w:r>
              <w:rPr>
                <w:rFonts w:hint="eastAsia" w:asciiTheme="minorEastAsia" w:hAnsiTheme="minorEastAsia"/>
                <w:sz w:val="24"/>
                <w:szCs w:val="24"/>
              </w:rPr>
              <w:t>20</w:t>
            </w:r>
            <w:r>
              <w:rPr>
                <w:rFonts w:asciiTheme="minorEastAsia" w:hAnsiTheme="minorEastAsia"/>
                <w:sz w:val="24"/>
                <w:szCs w:val="24"/>
              </w:rPr>
              <w:t>%）</w:t>
            </w:r>
          </w:p>
        </w:tc>
        <w:tc>
          <w:tcPr>
            <w:tcW w:w="387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asciiTheme="minorEastAsia" w:hAnsiTheme="minorEastAsia"/>
                <w:sz w:val="24"/>
                <w:szCs w:val="24"/>
              </w:rPr>
              <w:t>LTE</w:t>
            </w:r>
            <w:r>
              <w:rPr>
                <w:rFonts w:hint="eastAsia" w:ascii="宋体" w:hAnsi="宋体"/>
                <w:sz w:val="24"/>
                <w:szCs w:val="24"/>
              </w:rPr>
              <w:t>&amp;Pre5G</w:t>
            </w:r>
            <w:r>
              <w:rPr>
                <w:rFonts w:asciiTheme="minorEastAsia" w:hAnsiTheme="minorEastAsia"/>
                <w:sz w:val="24"/>
                <w:szCs w:val="24"/>
              </w:rPr>
              <w:t>接入网、承载网、核心网容量计算</w:t>
            </w:r>
          </w:p>
        </w:tc>
        <w:tc>
          <w:tcPr>
            <w:tcW w:w="1408" w:type="dxa"/>
            <w:vMerge w:val="restart"/>
            <w:tcBorders>
              <w:top w:val="single" w:color="auto" w:sz="4" w:space="0"/>
              <w:left w:val="nil"/>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hint="eastAsia" w:asciiTheme="minorEastAsia" w:hAnsiTheme="minorEastAsia"/>
                <w:sz w:val="24"/>
                <w:szCs w:val="24"/>
              </w:rPr>
              <w:t>20</w:t>
            </w:r>
          </w:p>
        </w:tc>
        <w:tc>
          <w:tcPr>
            <w:tcW w:w="1773" w:type="dxa"/>
            <w:vMerge w:val="restart"/>
            <w:tcBorders>
              <w:left w:val="nil"/>
              <w:right w:val="single" w:color="auto" w:sz="4" w:space="0"/>
            </w:tcBorders>
            <w:vAlign w:val="center"/>
          </w:tcPr>
          <w:p>
            <w:pPr>
              <w:adjustRightInd w:val="0"/>
              <w:snapToGrid w:val="0"/>
              <w:spacing w:line="560" w:lineRule="exact"/>
              <w:jc w:val="left"/>
              <w:rPr>
                <w:rFonts w:asciiTheme="minorEastAsia" w:hAnsiTheme="minorEastAsia"/>
                <w:sz w:val="24"/>
                <w:szCs w:val="24"/>
              </w:rPr>
            </w:pPr>
            <w:r>
              <w:rPr>
                <w:rFonts w:asciiTheme="minorEastAsia" w:hAnsiTheme="minorEastAsia"/>
                <w:sz w:val="24"/>
                <w:szCs w:val="24"/>
              </w:rPr>
              <w:t>结果评分（客观）</w:t>
            </w:r>
          </w:p>
          <w:p>
            <w:pPr>
              <w:adjustRightInd w:val="0"/>
              <w:snapToGrid w:val="0"/>
              <w:spacing w:line="560" w:lineRule="exact"/>
              <w:jc w:val="left"/>
              <w:rPr>
                <w:rFonts w:asciiTheme="minorEastAsia" w:hAnsiTheme="minorEastAsia"/>
                <w:sz w:val="24"/>
                <w:szCs w:val="24"/>
              </w:rPr>
            </w:pPr>
            <w:r>
              <w:rPr>
                <w:rFonts w:asciiTheme="minorEastAsia" w:hAnsiTheme="minorEastAsia"/>
                <w:sz w:val="24"/>
                <w:szCs w:val="24"/>
              </w:rPr>
              <w:t>机考评分（客观）</w:t>
            </w:r>
          </w:p>
          <w:p>
            <w:pPr>
              <w:spacing w:line="560" w:lineRule="exact"/>
              <w:rPr>
                <w:rFonts w:asciiTheme="minorEastAsia" w:hAnsiTheme="minorEastAsia"/>
                <w:sz w:val="24"/>
                <w:szCs w:val="24"/>
              </w:rPr>
            </w:pPr>
            <w:r>
              <w:rPr>
                <w:rFonts w:asciiTheme="minorEastAsia" w:hAnsiTheme="minorEastAsia"/>
                <w:sz w:val="24"/>
                <w:szCs w:val="24"/>
              </w:rPr>
              <w:t>（2名裁判）</w:t>
            </w:r>
          </w:p>
        </w:tc>
      </w:tr>
      <w:tr>
        <w:tblPrEx>
          <w:tblLayout w:type="fixed"/>
          <w:tblCellMar>
            <w:top w:w="0" w:type="dxa"/>
            <w:left w:w="108" w:type="dxa"/>
            <w:bottom w:w="0" w:type="dxa"/>
            <w:right w:w="108" w:type="dxa"/>
          </w:tblCellMar>
        </w:tblPrEx>
        <w:trPr>
          <w:jc w:val="center"/>
        </w:trPr>
        <w:tc>
          <w:tcPr>
            <w:tcW w:w="1463" w:type="dxa"/>
            <w:vMerge w:val="continue"/>
            <w:tcBorders>
              <w:left w:val="single" w:color="auto" w:sz="4" w:space="0"/>
              <w:right w:val="single" w:color="auto" w:sz="4" w:space="0"/>
            </w:tcBorders>
            <w:vAlign w:val="center"/>
          </w:tcPr>
          <w:p>
            <w:pPr>
              <w:spacing w:line="560" w:lineRule="exact"/>
              <w:rPr>
                <w:rFonts w:asciiTheme="minorEastAsia" w:hAnsiTheme="minorEastAsia"/>
                <w:sz w:val="24"/>
                <w:szCs w:val="24"/>
              </w:rPr>
            </w:pPr>
          </w:p>
        </w:tc>
        <w:tc>
          <w:tcPr>
            <w:tcW w:w="3878" w:type="dxa"/>
            <w:tcBorders>
              <w:top w:val="single" w:color="auto" w:sz="4" w:space="0"/>
              <w:left w:val="nil"/>
              <w:bottom w:val="single" w:color="auto" w:sz="4" w:space="0"/>
              <w:right w:val="single" w:color="auto" w:sz="4" w:space="0"/>
            </w:tcBorders>
            <w:vAlign w:val="center"/>
          </w:tcPr>
          <w:p>
            <w:pPr>
              <w:adjustRightInd w:val="0"/>
              <w:snapToGrid w:val="0"/>
              <w:spacing w:line="560" w:lineRule="exact"/>
              <w:rPr>
                <w:rFonts w:asciiTheme="minorEastAsia" w:hAnsiTheme="minorEastAsia"/>
                <w:sz w:val="24"/>
                <w:szCs w:val="24"/>
              </w:rPr>
            </w:pPr>
            <w:r>
              <w:rPr>
                <w:rFonts w:asciiTheme="minorEastAsia" w:hAnsiTheme="minorEastAsia"/>
                <w:sz w:val="24"/>
                <w:szCs w:val="24"/>
              </w:rPr>
              <w:t>LTE</w:t>
            </w:r>
            <w:r>
              <w:rPr>
                <w:rFonts w:hint="eastAsia" w:ascii="宋体" w:hAnsi="宋体"/>
                <w:sz w:val="24"/>
                <w:szCs w:val="24"/>
              </w:rPr>
              <w:t>&amp;Pre5G</w:t>
            </w:r>
            <w:r>
              <w:rPr>
                <w:rFonts w:asciiTheme="minorEastAsia" w:hAnsiTheme="minorEastAsia"/>
                <w:sz w:val="24"/>
                <w:szCs w:val="24"/>
              </w:rPr>
              <w:t>设备配置、数据配置、手机拨测业务功能测试</w:t>
            </w:r>
          </w:p>
        </w:tc>
        <w:tc>
          <w:tcPr>
            <w:tcW w:w="1408" w:type="dxa"/>
            <w:vMerge w:val="continue"/>
            <w:tcBorders>
              <w:left w:val="nil"/>
              <w:right w:val="single" w:color="auto" w:sz="4" w:space="0"/>
            </w:tcBorders>
            <w:vAlign w:val="center"/>
          </w:tcPr>
          <w:p>
            <w:pPr>
              <w:adjustRightInd w:val="0"/>
              <w:snapToGrid w:val="0"/>
              <w:spacing w:line="560" w:lineRule="exact"/>
              <w:jc w:val="center"/>
              <w:rPr>
                <w:rFonts w:asciiTheme="minorEastAsia" w:hAnsiTheme="minorEastAsia"/>
                <w:sz w:val="24"/>
                <w:szCs w:val="24"/>
              </w:rPr>
            </w:pPr>
          </w:p>
        </w:tc>
        <w:tc>
          <w:tcPr>
            <w:tcW w:w="1773" w:type="dxa"/>
            <w:vMerge w:val="continue"/>
            <w:tcBorders>
              <w:left w:val="nil"/>
              <w:right w:val="single" w:color="auto" w:sz="4" w:space="0"/>
            </w:tcBorders>
            <w:vAlign w:val="center"/>
          </w:tcPr>
          <w:p>
            <w:pPr>
              <w:spacing w:line="560" w:lineRule="exact"/>
              <w:rPr>
                <w:rFonts w:asciiTheme="minorEastAsia" w:hAnsiTheme="minorEastAsia"/>
                <w:sz w:val="24"/>
                <w:szCs w:val="24"/>
              </w:rPr>
            </w:pPr>
          </w:p>
        </w:tc>
      </w:tr>
      <w:tr>
        <w:tblPrEx>
          <w:tblLayout w:type="fixed"/>
          <w:tblCellMar>
            <w:top w:w="0" w:type="dxa"/>
            <w:left w:w="108" w:type="dxa"/>
            <w:bottom w:w="0" w:type="dxa"/>
            <w:right w:w="108" w:type="dxa"/>
          </w:tblCellMar>
        </w:tblPrEx>
        <w:trPr>
          <w:jc w:val="center"/>
        </w:trPr>
        <w:tc>
          <w:tcPr>
            <w:tcW w:w="1463" w:type="dxa"/>
            <w:vMerge w:val="continue"/>
            <w:tcBorders>
              <w:left w:val="single" w:color="auto" w:sz="4" w:space="0"/>
              <w:right w:val="single" w:color="auto" w:sz="4" w:space="0"/>
            </w:tcBorders>
            <w:vAlign w:val="center"/>
          </w:tcPr>
          <w:p>
            <w:pPr>
              <w:spacing w:line="560" w:lineRule="exact"/>
              <w:rPr>
                <w:rFonts w:asciiTheme="minorEastAsia" w:hAnsiTheme="minorEastAsia"/>
                <w:sz w:val="24"/>
                <w:szCs w:val="24"/>
              </w:rPr>
            </w:pPr>
          </w:p>
        </w:tc>
        <w:tc>
          <w:tcPr>
            <w:tcW w:w="387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asciiTheme="minorEastAsia" w:hAnsiTheme="minorEastAsia"/>
                <w:sz w:val="24"/>
                <w:szCs w:val="24"/>
              </w:rPr>
              <w:t>LTE</w:t>
            </w:r>
            <w:r>
              <w:rPr>
                <w:rFonts w:hint="eastAsia" w:ascii="宋体" w:hAnsi="宋体"/>
                <w:sz w:val="24"/>
                <w:szCs w:val="24"/>
              </w:rPr>
              <w:t>&amp;Pre5G</w:t>
            </w:r>
            <w:r>
              <w:rPr>
                <w:rFonts w:asciiTheme="minorEastAsia" w:hAnsiTheme="minorEastAsia"/>
                <w:sz w:val="24"/>
                <w:szCs w:val="24"/>
              </w:rPr>
              <w:t>设备配置、数据配置、手机漫游业务功能测试</w:t>
            </w:r>
          </w:p>
        </w:tc>
        <w:tc>
          <w:tcPr>
            <w:tcW w:w="1408" w:type="dxa"/>
            <w:vMerge w:val="continue"/>
            <w:tcBorders>
              <w:left w:val="nil"/>
              <w:right w:val="single" w:color="auto" w:sz="4" w:space="0"/>
            </w:tcBorders>
            <w:vAlign w:val="center"/>
          </w:tcPr>
          <w:p>
            <w:pPr>
              <w:adjustRightInd w:val="0"/>
              <w:snapToGrid w:val="0"/>
              <w:spacing w:line="560" w:lineRule="exact"/>
              <w:jc w:val="center"/>
              <w:rPr>
                <w:rFonts w:asciiTheme="minorEastAsia" w:hAnsiTheme="minorEastAsia"/>
                <w:sz w:val="24"/>
                <w:szCs w:val="24"/>
              </w:rPr>
            </w:pPr>
          </w:p>
        </w:tc>
        <w:tc>
          <w:tcPr>
            <w:tcW w:w="1773" w:type="dxa"/>
            <w:vMerge w:val="continue"/>
            <w:tcBorders>
              <w:left w:val="nil"/>
              <w:right w:val="single" w:color="auto" w:sz="4" w:space="0"/>
            </w:tcBorders>
            <w:vAlign w:val="center"/>
          </w:tcPr>
          <w:p>
            <w:pPr>
              <w:spacing w:line="560" w:lineRule="exact"/>
              <w:rPr>
                <w:rFonts w:asciiTheme="minorEastAsia" w:hAnsiTheme="minorEastAsia"/>
                <w:sz w:val="24"/>
                <w:szCs w:val="24"/>
              </w:rPr>
            </w:pPr>
          </w:p>
        </w:tc>
      </w:tr>
      <w:tr>
        <w:tblPrEx>
          <w:tblLayout w:type="fixed"/>
          <w:tblCellMar>
            <w:top w:w="0" w:type="dxa"/>
            <w:left w:w="108" w:type="dxa"/>
            <w:bottom w:w="0" w:type="dxa"/>
            <w:right w:w="108" w:type="dxa"/>
          </w:tblCellMar>
        </w:tblPrEx>
        <w:trPr>
          <w:jc w:val="center"/>
        </w:trPr>
        <w:tc>
          <w:tcPr>
            <w:tcW w:w="1463" w:type="dxa"/>
            <w:vMerge w:val="continue"/>
            <w:tcBorders>
              <w:left w:val="single" w:color="auto" w:sz="4" w:space="0"/>
              <w:right w:val="single" w:color="auto" w:sz="4" w:space="0"/>
            </w:tcBorders>
            <w:vAlign w:val="center"/>
          </w:tcPr>
          <w:p>
            <w:pPr>
              <w:spacing w:line="560" w:lineRule="exact"/>
              <w:rPr>
                <w:rFonts w:asciiTheme="minorEastAsia" w:hAnsiTheme="minorEastAsia"/>
                <w:sz w:val="24"/>
                <w:szCs w:val="24"/>
              </w:rPr>
            </w:pPr>
          </w:p>
        </w:tc>
        <w:tc>
          <w:tcPr>
            <w:tcW w:w="387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asciiTheme="minorEastAsia" w:hAnsiTheme="minorEastAsia"/>
                <w:sz w:val="24"/>
                <w:szCs w:val="24"/>
              </w:rPr>
              <w:t>LTE</w:t>
            </w:r>
            <w:r>
              <w:rPr>
                <w:rFonts w:hint="eastAsia" w:ascii="宋体" w:hAnsi="宋体"/>
                <w:sz w:val="24"/>
                <w:szCs w:val="24"/>
              </w:rPr>
              <w:t>&amp;Pre5G</w:t>
            </w:r>
            <w:r>
              <w:rPr>
                <w:rFonts w:asciiTheme="minorEastAsia" w:hAnsiTheme="minorEastAsia"/>
                <w:sz w:val="24"/>
                <w:szCs w:val="24"/>
              </w:rPr>
              <w:t>设备配置、数据配置、手机切换业务功能测试</w:t>
            </w:r>
          </w:p>
        </w:tc>
        <w:tc>
          <w:tcPr>
            <w:tcW w:w="1408" w:type="dxa"/>
            <w:vMerge w:val="continue"/>
            <w:tcBorders>
              <w:left w:val="nil"/>
              <w:right w:val="single" w:color="auto" w:sz="4" w:space="0"/>
            </w:tcBorders>
            <w:vAlign w:val="center"/>
          </w:tcPr>
          <w:p>
            <w:pPr>
              <w:adjustRightInd w:val="0"/>
              <w:snapToGrid w:val="0"/>
              <w:spacing w:line="560" w:lineRule="exact"/>
              <w:jc w:val="center"/>
              <w:rPr>
                <w:rFonts w:asciiTheme="minorEastAsia" w:hAnsiTheme="minorEastAsia"/>
                <w:sz w:val="24"/>
                <w:szCs w:val="24"/>
              </w:rPr>
            </w:pPr>
          </w:p>
        </w:tc>
        <w:tc>
          <w:tcPr>
            <w:tcW w:w="1773" w:type="dxa"/>
            <w:vMerge w:val="continue"/>
            <w:tcBorders>
              <w:left w:val="nil"/>
              <w:right w:val="single" w:color="auto" w:sz="4" w:space="0"/>
            </w:tcBorders>
            <w:vAlign w:val="center"/>
          </w:tcPr>
          <w:p>
            <w:pPr>
              <w:spacing w:line="560" w:lineRule="exact"/>
              <w:rPr>
                <w:rFonts w:asciiTheme="minorEastAsia" w:hAnsiTheme="minorEastAsia"/>
                <w:sz w:val="24"/>
                <w:szCs w:val="24"/>
              </w:rPr>
            </w:pPr>
          </w:p>
        </w:tc>
      </w:tr>
      <w:tr>
        <w:tblPrEx>
          <w:tblLayout w:type="fixed"/>
          <w:tblCellMar>
            <w:top w:w="0" w:type="dxa"/>
            <w:left w:w="108" w:type="dxa"/>
            <w:bottom w:w="0" w:type="dxa"/>
            <w:right w:w="108" w:type="dxa"/>
          </w:tblCellMar>
        </w:tblPrEx>
        <w:trPr>
          <w:trHeight w:val="563" w:hRule="atLeast"/>
          <w:jc w:val="center"/>
        </w:trPr>
        <w:tc>
          <w:tcPr>
            <w:tcW w:w="1463"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rPr>
                <w:rFonts w:asciiTheme="minorEastAsia" w:hAnsiTheme="minorEastAsia"/>
                <w:sz w:val="24"/>
                <w:szCs w:val="24"/>
              </w:rPr>
            </w:pPr>
          </w:p>
        </w:tc>
        <w:tc>
          <w:tcPr>
            <w:tcW w:w="387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asciiTheme="minorEastAsia" w:hAnsiTheme="minorEastAsia"/>
                <w:sz w:val="24"/>
                <w:szCs w:val="24"/>
              </w:rPr>
              <w:t>手机业务速率优化</w:t>
            </w:r>
          </w:p>
        </w:tc>
        <w:tc>
          <w:tcPr>
            <w:tcW w:w="1408" w:type="dxa"/>
            <w:vMerge w:val="continue"/>
            <w:tcBorders>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p>
        </w:tc>
        <w:tc>
          <w:tcPr>
            <w:tcW w:w="1773" w:type="dxa"/>
            <w:vMerge w:val="continue"/>
            <w:tcBorders>
              <w:left w:val="nil"/>
              <w:bottom w:val="single" w:color="auto" w:sz="4" w:space="0"/>
              <w:right w:val="single" w:color="auto" w:sz="4" w:space="0"/>
            </w:tcBorders>
            <w:vAlign w:val="center"/>
          </w:tcPr>
          <w:p>
            <w:pPr>
              <w:spacing w:line="560" w:lineRule="exact"/>
              <w:rPr>
                <w:rFonts w:asciiTheme="minorEastAsia" w:hAnsiTheme="minorEastAsia"/>
                <w:sz w:val="24"/>
                <w:szCs w:val="24"/>
              </w:rPr>
            </w:pPr>
          </w:p>
        </w:tc>
      </w:tr>
      <w:tr>
        <w:tblPrEx>
          <w:tblLayout w:type="fixed"/>
          <w:tblCellMar>
            <w:top w:w="0" w:type="dxa"/>
            <w:left w:w="108" w:type="dxa"/>
            <w:bottom w:w="0" w:type="dxa"/>
            <w:right w:w="108" w:type="dxa"/>
          </w:tblCellMar>
        </w:tblPrEx>
        <w:trPr>
          <w:jc w:val="center"/>
        </w:trPr>
        <w:tc>
          <w:tcPr>
            <w:tcW w:w="146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asciiTheme="minorEastAsia" w:hAnsiTheme="minorEastAsia"/>
                <w:sz w:val="24"/>
                <w:szCs w:val="24"/>
              </w:rPr>
              <w:t>LTE</w:t>
            </w:r>
            <w:r>
              <w:rPr>
                <w:rFonts w:hint="eastAsia" w:ascii="宋体" w:hAnsi="宋体"/>
                <w:sz w:val="24"/>
                <w:szCs w:val="24"/>
              </w:rPr>
              <w:t>&amp;Pre5G</w:t>
            </w:r>
            <w:r>
              <w:rPr>
                <w:rFonts w:asciiTheme="minorEastAsia" w:hAnsiTheme="minorEastAsia"/>
                <w:sz w:val="24"/>
                <w:szCs w:val="24"/>
              </w:rPr>
              <w:t>网络故障排除（</w:t>
            </w:r>
            <w:r>
              <w:rPr>
                <w:rFonts w:hint="eastAsia" w:asciiTheme="minorEastAsia" w:hAnsiTheme="minorEastAsia"/>
                <w:sz w:val="24"/>
                <w:szCs w:val="24"/>
              </w:rPr>
              <w:t>3</w:t>
            </w:r>
            <w:r>
              <w:rPr>
                <w:rFonts w:asciiTheme="minorEastAsia" w:hAnsiTheme="minorEastAsia"/>
                <w:sz w:val="24"/>
                <w:szCs w:val="24"/>
              </w:rPr>
              <w:t>0%）</w:t>
            </w:r>
          </w:p>
        </w:tc>
        <w:tc>
          <w:tcPr>
            <w:tcW w:w="387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asciiTheme="minorEastAsia" w:hAnsiTheme="minorEastAsia"/>
                <w:sz w:val="24"/>
                <w:szCs w:val="24"/>
              </w:rPr>
              <w:t>无线接入网故障排除</w:t>
            </w:r>
          </w:p>
        </w:tc>
        <w:tc>
          <w:tcPr>
            <w:tcW w:w="140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hint="eastAsia" w:asciiTheme="minorEastAsia" w:hAnsiTheme="minorEastAsia"/>
                <w:sz w:val="24"/>
                <w:szCs w:val="24"/>
              </w:rPr>
              <w:t>1</w:t>
            </w:r>
            <w:r>
              <w:rPr>
                <w:rFonts w:asciiTheme="minorEastAsia" w:hAnsiTheme="minorEastAsia"/>
                <w:sz w:val="24"/>
                <w:szCs w:val="24"/>
              </w:rPr>
              <w:t>0</w:t>
            </w:r>
          </w:p>
        </w:tc>
        <w:tc>
          <w:tcPr>
            <w:tcW w:w="1773" w:type="dxa"/>
            <w:vMerge w:val="restart"/>
            <w:tcBorders>
              <w:top w:val="single" w:color="auto" w:sz="4" w:space="0"/>
              <w:left w:val="single" w:color="auto" w:sz="4" w:space="0"/>
              <w:right w:val="single" w:color="auto" w:sz="4" w:space="0"/>
            </w:tcBorders>
            <w:vAlign w:val="center"/>
          </w:tcPr>
          <w:p>
            <w:pPr>
              <w:adjustRightInd w:val="0"/>
              <w:snapToGrid w:val="0"/>
              <w:spacing w:line="560" w:lineRule="exact"/>
              <w:rPr>
                <w:rFonts w:asciiTheme="minorEastAsia" w:hAnsiTheme="minorEastAsia"/>
                <w:sz w:val="24"/>
                <w:szCs w:val="24"/>
              </w:rPr>
            </w:pPr>
          </w:p>
        </w:tc>
      </w:tr>
      <w:tr>
        <w:tblPrEx>
          <w:tblLayout w:type="fixed"/>
          <w:tblCellMar>
            <w:top w:w="0" w:type="dxa"/>
            <w:left w:w="108" w:type="dxa"/>
            <w:bottom w:w="0" w:type="dxa"/>
            <w:right w:w="108" w:type="dxa"/>
          </w:tblCellMar>
        </w:tblPrEx>
        <w:trPr>
          <w:jc w:val="center"/>
        </w:trPr>
        <w:tc>
          <w:tcPr>
            <w:tcW w:w="1463"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rPr>
                <w:rFonts w:asciiTheme="minorEastAsia" w:hAnsiTheme="minorEastAsia"/>
                <w:sz w:val="24"/>
                <w:szCs w:val="24"/>
              </w:rPr>
            </w:pPr>
          </w:p>
        </w:tc>
        <w:tc>
          <w:tcPr>
            <w:tcW w:w="387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asciiTheme="minorEastAsia" w:hAnsiTheme="minorEastAsia"/>
                <w:sz w:val="24"/>
                <w:szCs w:val="24"/>
              </w:rPr>
              <w:t>数据通信网络故障排除</w:t>
            </w:r>
          </w:p>
        </w:tc>
        <w:tc>
          <w:tcPr>
            <w:tcW w:w="140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hint="eastAsia" w:asciiTheme="minorEastAsia" w:hAnsiTheme="minorEastAsia"/>
                <w:sz w:val="24"/>
                <w:szCs w:val="24"/>
              </w:rPr>
              <w:t>5</w:t>
            </w:r>
          </w:p>
        </w:tc>
        <w:tc>
          <w:tcPr>
            <w:tcW w:w="1773" w:type="dxa"/>
            <w:vMerge w:val="continue"/>
            <w:tcBorders>
              <w:left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p>
        </w:tc>
      </w:tr>
      <w:tr>
        <w:tblPrEx>
          <w:tblLayout w:type="fixed"/>
          <w:tblCellMar>
            <w:top w:w="0" w:type="dxa"/>
            <w:left w:w="108" w:type="dxa"/>
            <w:bottom w:w="0" w:type="dxa"/>
            <w:right w:w="108" w:type="dxa"/>
          </w:tblCellMar>
        </w:tblPrEx>
        <w:trPr>
          <w:jc w:val="center"/>
        </w:trPr>
        <w:tc>
          <w:tcPr>
            <w:tcW w:w="1463"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rPr>
                <w:rFonts w:asciiTheme="minorEastAsia" w:hAnsiTheme="minorEastAsia"/>
                <w:sz w:val="24"/>
                <w:szCs w:val="24"/>
              </w:rPr>
            </w:pPr>
          </w:p>
        </w:tc>
        <w:tc>
          <w:tcPr>
            <w:tcW w:w="387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asciiTheme="minorEastAsia" w:hAnsiTheme="minorEastAsia"/>
                <w:sz w:val="24"/>
                <w:szCs w:val="24"/>
              </w:rPr>
              <w:t>传输网故障排除</w:t>
            </w:r>
          </w:p>
        </w:tc>
        <w:tc>
          <w:tcPr>
            <w:tcW w:w="140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asciiTheme="minorEastAsia" w:hAnsiTheme="minorEastAsia"/>
                <w:sz w:val="24"/>
                <w:szCs w:val="24"/>
              </w:rPr>
              <w:t>5</w:t>
            </w:r>
          </w:p>
        </w:tc>
        <w:tc>
          <w:tcPr>
            <w:tcW w:w="1773" w:type="dxa"/>
            <w:vMerge w:val="continue"/>
            <w:tcBorders>
              <w:left w:val="single" w:color="auto" w:sz="4" w:space="0"/>
              <w:right w:val="single" w:color="auto" w:sz="4" w:space="0"/>
            </w:tcBorders>
            <w:vAlign w:val="center"/>
          </w:tcPr>
          <w:p>
            <w:pPr>
              <w:spacing w:line="560" w:lineRule="exact"/>
              <w:jc w:val="center"/>
              <w:rPr>
                <w:rFonts w:asciiTheme="minorEastAsia" w:hAnsiTheme="minorEastAsia"/>
                <w:sz w:val="24"/>
                <w:szCs w:val="24"/>
              </w:rPr>
            </w:pPr>
          </w:p>
        </w:tc>
      </w:tr>
      <w:tr>
        <w:tblPrEx>
          <w:tblLayout w:type="fixed"/>
          <w:tblCellMar>
            <w:top w:w="0" w:type="dxa"/>
            <w:left w:w="108" w:type="dxa"/>
            <w:bottom w:w="0" w:type="dxa"/>
            <w:right w:w="108" w:type="dxa"/>
          </w:tblCellMar>
        </w:tblPrEx>
        <w:trPr>
          <w:jc w:val="center"/>
        </w:trPr>
        <w:tc>
          <w:tcPr>
            <w:tcW w:w="1463"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rPr>
                <w:rFonts w:asciiTheme="minorEastAsia" w:hAnsiTheme="minorEastAsia"/>
                <w:sz w:val="24"/>
                <w:szCs w:val="24"/>
              </w:rPr>
            </w:pPr>
          </w:p>
        </w:tc>
        <w:tc>
          <w:tcPr>
            <w:tcW w:w="387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asciiTheme="minorEastAsia" w:hAnsiTheme="minorEastAsia"/>
                <w:sz w:val="24"/>
                <w:szCs w:val="24"/>
              </w:rPr>
              <w:t>核心网业务故障排除</w:t>
            </w:r>
          </w:p>
        </w:tc>
        <w:tc>
          <w:tcPr>
            <w:tcW w:w="140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hint="eastAsia" w:asciiTheme="minorEastAsia" w:hAnsiTheme="minorEastAsia"/>
                <w:sz w:val="24"/>
                <w:szCs w:val="24"/>
              </w:rPr>
              <w:t>5</w:t>
            </w:r>
          </w:p>
        </w:tc>
        <w:tc>
          <w:tcPr>
            <w:tcW w:w="1773" w:type="dxa"/>
            <w:vMerge w:val="continue"/>
            <w:tcBorders>
              <w:left w:val="single" w:color="auto" w:sz="4" w:space="0"/>
              <w:right w:val="single" w:color="auto" w:sz="4" w:space="0"/>
            </w:tcBorders>
            <w:vAlign w:val="center"/>
          </w:tcPr>
          <w:p>
            <w:pPr>
              <w:spacing w:line="560" w:lineRule="exact"/>
              <w:jc w:val="center"/>
              <w:rPr>
                <w:rFonts w:asciiTheme="minorEastAsia" w:hAnsiTheme="minorEastAsia"/>
                <w:sz w:val="24"/>
                <w:szCs w:val="24"/>
              </w:rPr>
            </w:pPr>
          </w:p>
        </w:tc>
      </w:tr>
      <w:tr>
        <w:tblPrEx>
          <w:tblLayout w:type="fixed"/>
          <w:tblCellMar>
            <w:top w:w="0" w:type="dxa"/>
            <w:left w:w="108" w:type="dxa"/>
            <w:bottom w:w="0" w:type="dxa"/>
            <w:right w:w="108" w:type="dxa"/>
          </w:tblCellMar>
        </w:tblPrEx>
        <w:trPr>
          <w:jc w:val="center"/>
        </w:trPr>
        <w:tc>
          <w:tcPr>
            <w:tcW w:w="1463" w:type="dxa"/>
            <w:vMerge w:val="continue"/>
            <w:tcBorders>
              <w:top w:val="single" w:color="auto" w:sz="4" w:space="0"/>
              <w:left w:val="single" w:color="auto" w:sz="4" w:space="0"/>
              <w:bottom w:val="single" w:color="auto" w:sz="4" w:space="0"/>
              <w:right w:val="single" w:color="auto" w:sz="4" w:space="0"/>
            </w:tcBorders>
            <w:vAlign w:val="center"/>
          </w:tcPr>
          <w:p>
            <w:pPr>
              <w:spacing w:line="560" w:lineRule="exact"/>
              <w:rPr>
                <w:rFonts w:asciiTheme="minorEastAsia" w:hAnsiTheme="minorEastAsia"/>
                <w:sz w:val="24"/>
                <w:szCs w:val="24"/>
              </w:rPr>
            </w:pPr>
          </w:p>
        </w:tc>
        <w:tc>
          <w:tcPr>
            <w:tcW w:w="387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asciiTheme="minorEastAsia" w:hAnsiTheme="minorEastAsia"/>
                <w:sz w:val="24"/>
                <w:szCs w:val="24"/>
              </w:rPr>
              <w:t>手机终端故障排除</w:t>
            </w:r>
          </w:p>
        </w:tc>
        <w:tc>
          <w:tcPr>
            <w:tcW w:w="140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hint="eastAsia" w:asciiTheme="minorEastAsia" w:hAnsiTheme="minorEastAsia"/>
                <w:sz w:val="24"/>
                <w:szCs w:val="24"/>
              </w:rPr>
              <w:t>5</w:t>
            </w:r>
          </w:p>
        </w:tc>
        <w:tc>
          <w:tcPr>
            <w:tcW w:w="1773" w:type="dxa"/>
            <w:vMerge w:val="continue"/>
            <w:tcBorders>
              <w:left w:val="single" w:color="auto" w:sz="4" w:space="0"/>
              <w:right w:val="single" w:color="auto" w:sz="4" w:space="0"/>
            </w:tcBorders>
            <w:vAlign w:val="center"/>
          </w:tcPr>
          <w:p>
            <w:pPr>
              <w:spacing w:line="560" w:lineRule="exact"/>
              <w:jc w:val="center"/>
              <w:rPr>
                <w:rFonts w:asciiTheme="minorEastAsia" w:hAnsiTheme="minorEastAsia"/>
                <w:sz w:val="24"/>
                <w:szCs w:val="24"/>
              </w:rPr>
            </w:pPr>
          </w:p>
        </w:tc>
      </w:tr>
      <w:tr>
        <w:tblPrEx>
          <w:tblLayout w:type="fixed"/>
          <w:tblCellMar>
            <w:top w:w="0" w:type="dxa"/>
            <w:left w:w="108" w:type="dxa"/>
            <w:bottom w:w="0" w:type="dxa"/>
            <w:right w:w="108" w:type="dxa"/>
          </w:tblCellMar>
        </w:tblPrEx>
        <w:trPr>
          <w:jc w:val="center"/>
        </w:trPr>
        <w:tc>
          <w:tcPr>
            <w:tcW w:w="1463" w:type="dxa"/>
            <w:vMerge w:val="restart"/>
            <w:tcBorders>
              <w:top w:val="single" w:color="auto" w:sz="4" w:space="0"/>
              <w:left w:val="single" w:color="auto" w:sz="4" w:space="0"/>
              <w:right w:val="single" w:color="auto" w:sz="4" w:space="0"/>
            </w:tcBorders>
            <w:vAlign w:val="center"/>
          </w:tcPr>
          <w:p>
            <w:pPr>
              <w:spacing w:line="560" w:lineRule="exact"/>
              <w:rPr>
                <w:rFonts w:asciiTheme="minorEastAsia" w:hAnsiTheme="minorEastAsia"/>
                <w:sz w:val="24"/>
                <w:szCs w:val="24"/>
              </w:rPr>
            </w:pPr>
            <w:r>
              <w:rPr>
                <w:rFonts w:hint="eastAsia" w:asciiTheme="minorEastAsia" w:hAnsiTheme="minorEastAsia"/>
                <w:sz w:val="24"/>
                <w:szCs w:val="24"/>
              </w:rPr>
              <w:t>NB-IoT网络规划（20%）</w:t>
            </w:r>
          </w:p>
        </w:tc>
        <w:tc>
          <w:tcPr>
            <w:tcW w:w="387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hint="eastAsia" w:asciiTheme="minorEastAsia" w:hAnsiTheme="minorEastAsia"/>
                <w:sz w:val="24"/>
                <w:szCs w:val="24"/>
              </w:rPr>
              <w:t>上行链路预算</w:t>
            </w:r>
          </w:p>
        </w:tc>
        <w:tc>
          <w:tcPr>
            <w:tcW w:w="140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hint="eastAsia" w:asciiTheme="minorEastAsia" w:hAnsiTheme="minorEastAsia"/>
                <w:sz w:val="24"/>
                <w:szCs w:val="24"/>
              </w:rPr>
              <w:t>5</w:t>
            </w:r>
          </w:p>
        </w:tc>
        <w:tc>
          <w:tcPr>
            <w:tcW w:w="1773" w:type="dxa"/>
            <w:tcBorders>
              <w:left w:val="single" w:color="auto" w:sz="4" w:space="0"/>
              <w:right w:val="single" w:color="auto" w:sz="4" w:space="0"/>
            </w:tcBorders>
            <w:vAlign w:val="center"/>
          </w:tcPr>
          <w:p>
            <w:pPr>
              <w:adjustRightInd w:val="0"/>
              <w:snapToGrid w:val="0"/>
              <w:spacing w:line="560" w:lineRule="exact"/>
              <w:jc w:val="left"/>
              <w:rPr>
                <w:rFonts w:asciiTheme="minorEastAsia" w:hAnsiTheme="minorEastAsia"/>
                <w:sz w:val="24"/>
                <w:szCs w:val="24"/>
              </w:rPr>
            </w:pPr>
            <w:r>
              <w:rPr>
                <w:rFonts w:hint="eastAsia" w:asciiTheme="minorEastAsia" w:hAnsiTheme="minorEastAsia"/>
                <w:sz w:val="24"/>
                <w:szCs w:val="24"/>
              </w:rPr>
              <w:t>结果评分（客观）</w:t>
            </w:r>
          </w:p>
          <w:p>
            <w:pPr>
              <w:adjustRightInd w:val="0"/>
              <w:snapToGrid w:val="0"/>
              <w:spacing w:line="560" w:lineRule="exact"/>
              <w:jc w:val="left"/>
              <w:rPr>
                <w:rFonts w:asciiTheme="minorEastAsia" w:hAnsiTheme="minorEastAsia"/>
                <w:sz w:val="24"/>
                <w:szCs w:val="24"/>
              </w:rPr>
            </w:pPr>
            <w:r>
              <w:rPr>
                <w:rFonts w:hint="eastAsia" w:asciiTheme="minorEastAsia" w:hAnsiTheme="minorEastAsia"/>
                <w:sz w:val="24"/>
                <w:szCs w:val="24"/>
              </w:rPr>
              <w:t>机考评分（客观）</w:t>
            </w:r>
          </w:p>
          <w:p>
            <w:pPr>
              <w:adjustRightInd w:val="0"/>
              <w:snapToGrid w:val="0"/>
              <w:spacing w:line="560" w:lineRule="exact"/>
              <w:jc w:val="left"/>
              <w:rPr>
                <w:rFonts w:asciiTheme="minorEastAsia" w:hAnsiTheme="minorEastAsia"/>
                <w:sz w:val="24"/>
                <w:szCs w:val="24"/>
              </w:rPr>
            </w:pPr>
            <w:r>
              <w:rPr>
                <w:rFonts w:hint="eastAsia" w:asciiTheme="minorEastAsia" w:hAnsiTheme="minorEastAsia"/>
                <w:sz w:val="24"/>
                <w:szCs w:val="24"/>
              </w:rPr>
              <w:t>（2名裁判）</w:t>
            </w:r>
          </w:p>
        </w:tc>
      </w:tr>
      <w:tr>
        <w:tblPrEx>
          <w:tblLayout w:type="fixed"/>
          <w:tblCellMar>
            <w:top w:w="0" w:type="dxa"/>
            <w:left w:w="108" w:type="dxa"/>
            <w:bottom w:w="0" w:type="dxa"/>
            <w:right w:w="108" w:type="dxa"/>
          </w:tblCellMar>
        </w:tblPrEx>
        <w:trPr>
          <w:jc w:val="center"/>
        </w:trPr>
        <w:tc>
          <w:tcPr>
            <w:tcW w:w="1463" w:type="dxa"/>
            <w:vMerge w:val="continue"/>
            <w:tcBorders>
              <w:left w:val="single" w:color="auto" w:sz="4" w:space="0"/>
              <w:right w:val="single" w:color="auto" w:sz="4" w:space="0"/>
            </w:tcBorders>
            <w:vAlign w:val="center"/>
          </w:tcPr>
          <w:p>
            <w:pPr>
              <w:spacing w:line="560" w:lineRule="exact"/>
              <w:rPr>
                <w:rFonts w:asciiTheme="minorEastAsia" w:hAnsiTheme="minorEastAsia"/>
                <w:sz w:val="24"/>
                <w:szCs w:val="24"/>
              </w:rPr>
            </w:pPr>
          </w:p>
        </w:tc>
        <w:tc>
          <w:tcPr>
            <w:tcW w:w="387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hint="eastAsia" w:asciiTheme="minorEastAsia" w:hAnsiTheme="minorEastAsia"/>
                <w:sz w:val="24"/>
                <w:szCs w:val="24"/>
              </w:rPr>
              <w:t>上行NPUSCH与NPRACH信道容量计算</w:t>
            </w:r>
          </w:p>
        </w:tc>
        <w:tc>
          <w:tcPr>
            <w:tcW w:w="140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hint="eastAsia" w:asciiTheme="minorEastAsia" w:hAnsiTheme="minorEastAsia"/>
                <w:sz w:val="24"/>
                <w:szCs w:val="24"/>
              </w:rPr>
              <w:t>10</w:t>
            </w:r>
          </w:p>
        </w:tc>
        <w:tc>
          <w:tcPr>
            <w:tcW w:w="1773" w:type="dxa"/>
            <w:tcBorders>
              <w:left w:val="single" w:color="auto" w:sz="4" w:space="0"/>
              <w:right w:val="single" w:color="auto" w:sz="4" w:space="0"/>
            </w:tcBorders>
            <w:vAlign w:val="center"/>
          </w:tcPr>
          <w:p>
            <w:pPr>
              <w:adjustRightInd w:val="0"/>
              <w:snapToGrid w:val="0"/>
              <w:spacing w:line="560" w:lineRule="exact"/>
              <w:jc w:val="left"/>
              <w:rPr>
                <w:rFonts w:asciiTheme="minorEastAsia" w:hAnsiTheme="minorEastAsia"/>
                <w:sz w:val="24"/>
                <w:szCs w:val="24"/>
              </w:rPr>
            </w:pPr>
          </w:p>
        </w:tc>
      </w:tr>
      <w:tr>
        <w:tblPrEx>
          <w:tblLayout w:type="fixed"/>
          <w:tblCellMar>
            <w:top w:w="0" w:type="dxa"/>
            <w:left w:w="108" w:type="dxa"/>
            <w:bottom w:w="0" w:type="dxa"/>
            <w:right w:w="108" w:type="dxa"/>
          </w:tblCellMar>
        </w:tblPrEx>
        <w:trPr>
          <w:jc w:val="center"/>
        </w:trPr>
        <w:tc>
          <w:tcPr>
            <w:tcW w:w="1463" w:type="dxa"/>
            <w:vMerge w:val="continue"/>
            <w:tcBorders>
              <w:left w:val="single" w:color="auto" w:sz="4" w:space="0"/>
              <w:bottom w:val="single" w:color="auto" w:sz="4" w:space="0"/>
              <w:right w:val="single" w:color="auto" w:sz="4" w:space="0"/>
            </w:tcBorders>
            <w:vAlign w:val="center"/>
          </w:tcPr>
          <w:p>
            <w:pPr>
              <w:spacing w:line="560" w:lineRule="exact"/>
              <w:rPr>
                <w:rFonts w:asciiTheme="minorEastAsia" w:hAnsiTheme="minorEastAsia"/>
                <w:sz w:val="24"/>
                <w:szCs w:val="24"/>
              </w:rPr>
            </w:pPr>
          </w:p>
        </w:tc>
        <w:tc>
          <w:tcPr>
            <w:tcW w:w="387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hint="eastAsia" w:asciiTheme="minorEastAsia" w:hAnsiTheme="minorEastAsia"/>
                <w:sz w:val="24"/>
                <w:szCs w:val="24"/>
              </w:rPr>
              <w:t>网络规划方案</w:t>
            </w:r>
          </w:p>
        </w:tc>
        <w:tc>
          <w:tcPr>
            <w:tcW w:w="140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hint="eastAsia" w:asciiTheme="minorEastAsia" w:hAnsiTheme="minorEastAsia"/>
                <w:sz w:val="24"/>
                <w:szCs w:val="24"/>
              </w:rPr>
              <w:t>5</w:t>
            </w:r>
          </w:p>
        </w:tc>
        <w:tc>
          <w:tcPr>
            <w:tcW w:w="1773" w:type="dxa"/>
            <w:tcBorders>
              <w:left w:val="single" w:color="auto" w:sz="4" w:space="0"/>
              <w:right w:val="single" w:color="auto" w:sz="4" w:space="0"/>
            </w:tcBorders>
            <w:vAlign w:val="center"/>
          </w:tcPr>
          <w:p>
            <w:pPr>
              <w:spacing w:line="560" w:lineRule="exact"/>
              <w:rPr>
                <w:rFonts w:asciiTheme="minorEastAsia" w:hAnsiTheme="minorEastAsia"/>
                <w:sz w:val="24"/>
                <w:szCs w:val="24"/>
              </w:rPr>
            </w:pPr>
          </w:p>
        </w:tc>
      </w:tr>
      <w:tr>
        <w:tblPrEx>
          <w:tblLayout w:type="fixed"/>
          <w:tblCellMar>
            <w:top w:w="0" w:type="dxa"/>
            <w:left w:w="108" w:type="dxa"/>
            <w:bottom w:w="0" w:type="dxa"/>
            <w:right w:w="108" w:type="dxa"/>
          </w:tblCellMar>
        </w:tblPrEx>
        <w:trPr>
          <w:jc w:val="center"/>
        </w:trPr>
        <w:tc>
          <w:tcPr>
            <w:tcW w:w="1463" w:type="dxa"/>
            <w:vMerge w:val="restart"/>
            <w:tcBorders>
              <w:top w:val="single" w:color="auto" w:sz="4" w:space="0"/>
              <w:left w:val="single" w:color="auto" w:sz="4" w:space="0"/>
              <w:right w:val="single" w:color="auto" w:sz="4" w:space="0"/>
            </w:tcBorders>
            <w:vAlign w:val="center"/>
          </w:tcPr>
          <w:p>
            <w:pPr>
              <w:spacing w:line="560" w:lineRule="exact"/>
              <w:rPr>
                <w:rFonts w:asciiTheme="minorEastAsia" w:hAnsiTheme="minorEastAsia"/>
                <w:sz w:val="24"/>
                <w:szCs w:val="24"/>
              </w:rPr>
            </w:pPr>
            <w:r>
              <w:rPr>
                <w:rFonts w:hint="eastAsia" w:ascii="宋体" w:hAnsi="宋体"/>
                <w:sz w:val="24"/>
                <w:szCs w:val="24"/>
              </w:rPr>
              <w:t>NB-IoT业务调试（10%）</w:t>
            </w:r>
          </w:p>
        </w:tc>
        <w:tc>
          <w:tcPr>
            <w:tcW w:w="387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hint="eastAsia" w:asciiTheme="minorEastAsia" w:hAnsiTheme="minorEastAsia"/>
                <w:sz w:val="24"/>
                <w:szCs w:val="24"/>
              </w:rPr>
              <w:t>NB-IoT数据配置</w:t>
            </w:r>
          </w:p>
        </w:tc>
        <w:tc>
          <w:tcPr>
            <w:tcW w:w="140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hint="eastAsia" w:asciiTheme="minorEastAsia" w:hAnsiTheme="minorEastAsia"/>
                <w:sz w:val="24"/>
                <w:szCs w:val="24"/>
              </w:rPr>
              <w:t>5</w:t>
            </w:r>
          </w:p>
        </w:tc>
        <w:tc>
          <w:tcPr>
            <w:tcW w:w="1773" w:type="dxa"/>
            <w:tcBorders>
              <w:left w:val="single" w:color="auto" w:sz="4" w:space="0"/>
              <w:right w:val="single" w:color="auto" w:sz="4" w:space="0"/>
            </w:tcBorders>
            <w:vAlign w:val="center"/>
          </w:tcPr>
          <w:p>
            <w:pPr>
              <w:spacing w:line="560" w:lineRule="exact"/>
              <w:rPr>
                <w:rFonts w:asciiTheme="minorEastAsia" w:hAnsiTheme="minorEastAsia"/>
                <w:sz w:val="24"/>
                <w:szCs w:val="24"/>
              </w:rPr>
            </w:pPr>
          </w:p>
        </w:tc>
      </w:tr>
      <w:tr>
        <w:tblPrEx>
          <w:tblLayout w:type="fixed"/>
          <w:tblCellMar>
            <w:top w:w="0" w:type="dxa"/>
            <w:left w:w="108" w:type="dxa"/>
            <w:bottom w:w="0" w:type="dxa"/>
            <w:right w:w="108" w:type="dxa"/>
          </w:tblCellMar>
        </w:tblPrEx>
        <w:trPr>
          <w:jc w:val="center"/>
        </w:trPr>
        <w:tc>
          <w:tcPr>
            <w:tcW w:w="1463" w:type="dxa"/>
            <w:vMerge w:val="continue"/>
            <w:tcBorders>
              <w:left w:val="single" w:color="auto" w:sz="4" w:space="0"/>
              <w:bottom w:val="single" w:color="auto" w:sz="4" w:space="0"/>
              <w:right w:val="single" w:color="auto" w:sz="4" w:space="0"/>
            </w:tcBorders>
            <w:vAlign w:val="center"/>
          </w:tcPr>
          <w:p>
            <w:pPr>
              <w:spacing w:line="560" w:lineRule="exact"/>
              <w:rPr>
                <w:rFonts w:asciiTheme="minorEastAsia" w:hAnsiTheme="minorEastAsia"/>
                <w:sz w:val="24"/>
                <w:szCs w:val="24"/>
              </w:rPr>
            </w:pPr>
          </w:p>
        </w:tc>
        <w:tc>
          <w:tcPr>
            <w:tcW w:w="387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hint="eastAsia" w:asciiTheme="minorEastAsia" w:hAnsiTheme="minorEastAsia"/>
                <w:sz w:val="24"/>
                <w:szCs w:val="24"/>
              </w:rPr>
              <w:t>智能门锁、智能抄表、智能停车三种业务功能测试、速率测试</w:t>
            </w:r>
          </w:p>
        </w:tc>
        <w:tc>
          <w:tcPr>
            <w:tcW w:w="140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hint="eastAsia" w:asciiTheme="minorEastAsia" w:hAnsiTheme="minorEastAsia"/>
                <w:sz w:val="24"/>
                <w:szCs w:val="24"/>
              </w:rPr>
              <w:t>5</w:t>
            </w:r>
          </w:p>
        </w:tc>
        <w:tc>
          <w:tcPr>
            <w:tcW w:w="1773" w:type="dxa"/>
            <w:tcBorders>
              <w:left w:val="single" w:color="auto" w:sz="4" w:space="0"/>
              <w:right w:val="single" w:color="auto" w:sz="4" w:space="0"/>
            </w:tcBorders>
            <w:vAlign w:val="center"/>
          </w:tcPr>
          <w:p>
            <w:pPr>
              <w:spacing w:line="560" w:lineRule="exact"/>
              <w:rPr>
                <w:rFonts w:asciiTheme="minorEastAsia" w:hAnsiTheme="minorEastAsia"/>
                <w:sz w:val="24"/>
                <w:szCs w:val="24"/>
              </w:rPr>
            </w:pPr>
          </w:p>
        </w:tc>
      </w:tr>
      <w:tr>
        <w:tblPrEx>
          <w:tblLayout w:type="fixed"/>
          <w:tblCellMar>
            <w:top w:w="0" w:type="dxa"/>
            <w:left w:w="108" w:type="dxa"/>
            <w:bottom w:w="0" w:type="dxa"/>
            <w:right w:w="108" w:type="dxa"/>
          </w:tblCellMar>
        </w:tblPrEx>
        <w:trPr>
          <w:jc w:val="center"/>
        </w:trPr>
        <w:tc>
          <w:tcPr>
            <w:tcW w:w="1463" w:type="dxa"/>
            <w:tcBorders>
              <w:top w:val="nil"/>
              <w:left w:val="single" w:color="auto" w:sz="4" w:space="0"/>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hint="eastAsia" w:ascii="宋体" w:hAnsi="宋体"/>
                <w:sz w:val="24"/>
                <w:szCs w:val="24"/>
              </w:rPr>
              <w:t>NB-IoT网络故障排除（20%）</w:t>
            </w:r>
          </w:p>
        </w:tc>
        <w:tc>
          <w:tcPr>
            <w:tcW w:w="3878" w:type="dxa"/>
            <w:tcBorders>
              <w:top w:val="single" w:color="auto" w:sz="4" w:space="0"/>
              <w:left w:val="nil"/>
              <w:bottom w:val="single" w:color="auto" w:sz="4" w:space="0"/>
              <w:right w:val="single" w:color="auto" w:sz="4" w:space="0"/>
            </w:tcBorders>
            <w:vAlign w:val="center"/>
          </w:tcPr>
          <w:p>
            <w:pPr>
              <w:adjustRightInd w:val="0"/>
              <w:snapToGrid w:val="0"/>
              <w:spacing w:line="560" w:lineRule="exact"/>
              <w:rPr>
                <w:rFonts w:asciiTheme="minorEastAsia" w:hAnsiTheme="minorEastAsia"/>
                <w:sz w:val="24"/>
                <w:szCs w:val="24"/>
              </w:rPr>
            </w:pPr>
            <w:r>
              <w:rPr>
                <w:rFonts w:hint="eastAsia" w:asciiTheme="minorEastAsia" w:hAnsiTheme="minorEastAsia"/>
                <w:sz w:val="24"/>
                <w:szCs w:val="24"/>
              </w:rPr>
              <w:t>无线接入网、核心网、数据通信网、传输网及智能终端故障排除</w:t>
            </w:r>
          </w:p>
        </w:tc>
        <w:tc>
          <w:tcPr>
            <w:tcW w:w="140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hint="eastAsia" w:asciiTheme="minorEastAsia" w:hAnsiTheme="minorEastAsia"/>
                <w:sz w:val="24"/>
                <w:szCs w:val="24"/>
              </w:rPr>
              <w:t>20</w:t>
            </w:r>
          </w:p>
        </w:tc>
        <w:tc>
          <w:tcPr>
            <w:tcW w:w="17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jc w:val="left"/>
              <w:rPr>
                <w:rFonts w:asciiTheme="minorEastAsia" w:hAnsiTheme="minorEastAsia"/>
                <w:sz w:val="24"/>
                <w:szCs w:val="24"/>
              </w:rPr>
            </w:pPr>
            <w:r>
              <w:rPr>
                <w:rFonts w:asciiTheme="minorEastAsia" w:hAnsiTheme="minorEastAsia"/>
                <w:sz w:val="24"/>
                <w:szCs w:val="24"/>
              </w:rPr>
              <w:t>结果评分（客观）</w:t>
            </w:r>
          </w:p>
          <w:p>
            <w:pPr>
              <w:adjustRightInd w:val="0"/>
              <w:snapToGrid w:val="0"/>
              <w:spacing w:line="560" w:lineRule="exact"/>
              <w:jc w:val="left"/>
              <w:rPr>
                <w:rFonts w:asciiTheme="minorEastAsia" w:hAnsiTheme="minorEastAsia"/>
                <w:sz w:val="24"/>
                <w:szCs w:val="24"/>
              </w:rPr>
            </w:pPr>
            <w:r>
              <w:rPr>
                <w:rFonts w:asciiTheme="minorEastAsia" w:hAnsiTheme="minorEastAsia"/>
                <w:sz w:val="24"/>
                <w:szCs w:val="24"/>
              </w:rPr>
              <w:t>机考评分（客观）</w:t>
            </w:r>
          </w:p>
          <w:p>
            <w:pPr>
              <w:adjustRightInd w:val="0"/>
              <w:snapToGrid w:val="0"/>
              <w:spacing w:line="560" w:lineRule="exact"/>
              <w:jc w:val="center"/>
              <w:rPr>
                <w:rFonts w:asciiTheme="minorEastAsia" w:hAnsiTheme="minorEastAsia"/>
                <w:sz w:val="24"/>
                <w:szCs w:val="24"/>
              </w:rPr>
            </w:pPr>
            <w:r>
              <w:rPr>
                <w:rFonts w:asciiTheme="minorEastAsia" w:hAnsiTheme="minorEastAsia"/>
                <w:sz w:val="24"/>
                <w:szCs w:val="24"/>
              </w:rPr>
              <w:t>（2名裁判）</w:t>
            </w:r>
          </w:p>
        </w:tc>
      </w:tr>
      <w:tr>
        <w:tblPrEx>
          <w:tblLayout w:type="fixed"/>
          <w:tblCellMar>
            <w:top w:w="0" w:type="dxa"/>
            <w:left w:w="108" w:type="dxa"/>
            <w:bottom w:w="0" w:type="dxa"/>
            <w:right w:w="108" w:type="dxa"/>
          </w:tblCellMar>
        </w:tblPrEx>
        <w:trPr>
          <w:jc w:val="center"/>
        </w:trPr>
        <w:tc>
          <w:tcPr>
            <w:tcW w:w="1463" w:type="dxa"/>
            <w:tcBorders>
              <w:top w:val="nil"/>
              <w:left w:val="single" w:color="auto" w:sz="4" w:space="0"/>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asciiTheme="minorEastAsia" w:hAnsiTheme="minorEastAsia"/>
                <w:sz w:val="24"/>
                <w:szCs w:val="24"/>
              </w:rPr>
              <w:t>扣分项</w:t>
            </w:r>
          </w:p>
        </w:tc>
        <w:tc>
          <w:tcPr>
            <w:tcW w:w="3878" w:type="dxa"/>
            <w:tcBorders>
              <w:top w:val="single" w:color="auto" w:sz="4" w:space="0"/>
              <w:left w:val="nil"/>
              <w:bottom w:val="single" w:color="auto" w:sz="4" w:space="0"/>
              <w:right w:val="single" w:color="auto" w:sz="4" w:space="0"/>
            </w:tcBorders>
            <w:vAlign w:val="center"/>
          </w:tcPr>
          <w:p>
            <w:pPr>
              <w:adjustRightInd w:val="0"/>
              <w:snapToGrid w:val="0"/>
              <w:spacing w:line="560" w:lineRule="exact"/>
              <w:rPr>
                <w:rFonts w:asciiTheme="minorEastAsia" w:hAnsiTheme="minorEastAsia"/>
                <w:sz w:val="24"/>
                <w:szCs w:val="24"/>
              </w:rPr>
            </w:pPr>
            <w:r>
              <w:rPr>
                <w:rFonts w:asciiTheme="minorEastAsia" w:hAnsiTheme="minorEastAsia"/>
                <w:sz w:val="24"/>
                <w:szCs w:val="24"/>
              </w:rPr>
              <w:t>违纪扣分</w:t>
            </w:r>
          </w:p>
        </w:tc>
        <w:tc>
          <w:tcPr>
            <w:tcW w:w="1408" w:type="dxa"/>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asciiTheme="minorEastAsia" w:hAnsiTheme="minorEastAsia"/>
                <w:sz w:val="24"/>
                <w:szCs w:val="24"/>
              </w:rPr>
              <w:t>视情节而定</w:t>
            </w:r>
          </w:p>
        </w:tc>
        <w:tc>
          <w:tcPr>
            <w:tcW w:w="17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asciiTheme="minorEastAsia" w:hAnsiTheme="minorEastAsia"/>
                <w:sz w:val="24"/>
                <w:szCs w:val="24"/>
              </w:rPr>
              <w:t>裁判长</w:t>
            </w:r>
          </w:p>
        </w:tc>
      </w:tr>
      <w:tr>
        <w:tblPrEx>
          <w:tblLayout w:type="fixed"/>
          <w:tblCellMar>
            <w:top w:w="0" w:type="dxa"/>
            <w:left w:w="108" w:type="dxa"/>
            <w:bottom w:w="0" w:type="dxa"/>
            <w:right w:w="108" w:type="dxa"/>
          </w:tblCellMar>
        </w:tblPrEx>
        <w:trPr>
          <w:trHeight w:val="468" w:hRule="atLeast"/>
          <w:jc w:val="center"/>
        </w:trPr>
        <w:tc>
          <w:tcPr>
            <w:tcW w:w="1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asciiTheme="minorEastAsia" w:hAnsiTheme="minorEastAsia"/>
                <w:sz w:val="24"/>
                <w:szCs w:val="24"/>
              </w:rPr>
              <w:t>总  计</w:t>
            </w:r>
          </w:p>
        </w:tc>
        <w:tc>
          <w:tcPr>
            <w:tcW w:w="7059" w:type="dxa"/>
            <w:gridSpan w:val="3"/>
            <w:tcBorders>
              <w:top w:val="single" w:color="auto" w:sz="4" w:space="0"/>
              <w:left w:val="nil"/>
              <w:bottom w:val="single" w:color="auto" w:sz="4" w:space="0"/>
              <w:right w:val="single" w:color="auto" w:sz="4" w:space="0"/>
            </w:tcBorders>
            <w:vAlign w:val="center"/>
          </w:tcPr>
          <w:p>
            <w:pPr>
              <w:adjustRightInd w:val="0"/>
              <w:snapToGrid w:val="0"/>
              <w:spacing w:line="560" w:lineRule="exact"/>
              <w:jc w:val="center"/>
              <w:rPr>
                <w:rFonts w:asciiTheme="minorEastAsia" w:hAnsiTheme="minorEastAsia"/>
                <w:sz w:val="24"/>
                <w:szCs w:val="24"/>
              </w:rPr>
            </w:pPr>
            <w:r>
              <w:rPr>
                <w:rFonts w:asciiTheme="minorEastAsia" w:hAnsiTheme="minorEastAsia"/>
                <w:sz w:val="24"/>
                <w:szCs w:val="24"/>
              </w:rPr>
              <w:t>100</w:t>
            </w:r>
            <w:r>
              <w:rPr>
                <w:rFonts w:hint="eastAsia" w:asciiTheme="minorEastAsia" w:hAnsiTheme="minorEastAsia"/>
                <w:sz w:val="24"/>
                <w:szCs w:val="24"/>
              </w:rPr>
              <w:t>%</w:t>
            </w:r>
          </w:p>
        </w:tc>
      </w:tr>
    </w:tbl>
    <w:p>
      <w:pPr>
        <w:snapToGrid w:val="0"/>
        <w:spacing w:line="560" w:lineRule="exact"/>
        <w:ind w:firstLine="600" w:firstLineChars="200"/>
        <w:outlineLvl w:val="0"/>
        <w:rPr>
          <w:rFonts w:ascii="黑体" w:hAnsi="黑体" w:eastAsia="黑体" w:cs="黑体"/>
          <w:bCs/>
          <w:sz w:val="30"/>
          <w:szCs w:val="30"/>
        </w:rPr>
      </w:pPr>
      <w:bookmarkStart w:id="12" w:name="_Toc522022177"/>
      <w:r>
        <w:rPr>
          <w:rFonts w:hint="eastAsia" w:ascii="黑体" w:hAnsi="黑体" w:eastAsia="黑体" w:cs="黑体"/>
          <w:bCs/>
          <w:sz w:val="30"/>
          <w:szCs w:val="30"/>
        </w:rPr>
        <w:t>十一、奖项设置</w:t>
      </w:r>
      <w:bookmarkEnd w:id="12"/>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赛项设参赛选手团体奖，一等奖占比10%，二等奖占比20%，三等奖占比30%。奖项数量为非整数时向上取整。获得一等奖的参赛队指导教师由组委会颁发优秀指导教师证书。</w:t>
      </w:r>
    </w:p>
    <w:p>
      <w:pPr>
        <w:snapToGrid w:val="0"/>
        <w:spacing w:line="560" w:lineRule="exact"/>
        <w:ind w:firstLine="600" w:firstLineChars="200"/>
        <w:outlineLvl w:val="0"/>
        <w:rPr>
          <w:rFonts w:ascii="黑体" w:hAnsi="黑体" w:eastAsia="黑体" w:cs="黑体"/>
          <w:bCs/>
          <w:sz w:val="30"/>
          <w:szCs w:val="30"/>
        </w:rPr>
      </w:pPr>
      <w:bookmarkStart w:id="13" w:name="_Toc522022178"/>
      <w:r>
        <w:rPr>
          <w:rFonts w:hint="eastAsia" w:ascii="黑体" w:hAnsi="黑体" w:eastAsia="黑体" w:cs="黑体"/>
          <w:bCs/>
          <w:sz w:val="30"/>
          <w:szCs w:val="30"/>
        </w:rPr>
        <w:t>十二、技术规范</w:t>
      </w:r>
      <w:bookmarkEnd w:id="13"/>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（一）通信行业标准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1.无线通信系统室内覆盖工程设计规范  YD/T 5120－2005</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2.综合布线系统工程设计规范 GB50311-2007</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3.移动通信直放站工程设计规范  YD/T 5115－2005</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4.无线通信系统室内覆盖工程验收规范  YD/T 5160-2007</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（二）职业资格标准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1.电信机务员国家职业标准（职业编码3-03-03-01）</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2.网络设备调试员国家职业标准（职业编码6-08-04-16）</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3.通信网络管理员国家职业标准（职业编码3-03-03-06）</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4.用户通信终端维修员国家职业标准（职业编码3-03-03-04）</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（三）相关知识与技能</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1.移动通信基本概念及原理。</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2.LTE、Pre5G与NB-IoT关键技术、协议规范。</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 LTE、Pre5G与NB-IoT设备基础知识、设备配置操作、工程规范。</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 LTE、Pre5G与NB-IoT仿真系统操作能力。</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5. LTE、Pre5G与NB-IoT网络系统各种线缆的认知与应用。</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6. LTE、Pre5G与NB-IoT网络优化原理、技术规范。</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（四）基础技术及要求</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 LTE、Pre5G与NB-IoT无线接入网设备调试技术、系统组网技术、网络优化技术。</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 LTE、Pre5G与NB-IoT无线接入网设备常见故障的分析和排查技术。</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3.承载网设备调试技术、系统组网技术。</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4.承载网设备常见故障的分析和排查技术。</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5. EPC核心网设备调试技术、系统组网技术。</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6. EPC核心网设备常见故障的分析和排查技术。</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7. LTE、Pre5G与NB-IoT工程规范和文档编写。</w:t>
      </w:r>
    </w:p>
    <w:p>
      <w:pPr>
        <w:snapToGrid w:val="0"/>
        <w:spacing w:line="560" w:lineRule="exact"/>
        <w:ind w:firstLine="600" w:firstLineChars="200"/>
        <w:outlineLvl w:val="0"/>
        <w:rPr>
          <w:rFonts w:ascii="黑体" w:hAnsi="黑体" w:eastAsia="黑体" w:cs="黑体"/>
          <w:bCs/>
          <w:sz w:val="30"/>
          <w:szCs w:val="30"/>
        </w:rPr>
      </w:pPr>
      <w:bookmarkStart w:id="14" w:name="_Toc522022179"/>
      <w:r>
        <w:rPr>
          <w:rFonts w:hint="eastAsia" w:ascii="黑体" w:hAnsi="黑体" w:eastAsia="黑体" w:cs="黑体"/>
          <w:bCs/>
          <w:sz w:val="30"/>
          <w:szCs w:val="30"/>
        </w:rPr>
        <w:t>十三、建议使用的比赛器材、技术平台和场地要求</w:t>
      </w:r>
      <w:bookmarkEnd w:id="14"/>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（一）赛项所需器材及技术平台</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赛项专家组参照现行的移动通信工程设备操作规范，提出技术需求，按照大赛相关制度最终确认比赛平台，具体设备器材需求</w:t>
      </w:r>
      <w:r>
        <w:rPr>
          <w:rFonts w:hint="eastAsia" w:ascii="Arial Narrow" w:hAnsi="Arial Narrow" w:eastAsia="仿宋_GB2312" w:cs="Arial"/>
          <w:sz w:val="30"/>
          <w:szCs w:val="30"/>
        </w:rPr>
        <w:t>建议</w:t>
      </w:r>
      <w:r>
        <w:rPr>
          <w:rFonts w:ascii="Arial Narrow" w:hAnsi="Arial Narrow" w:eastAsia="仿宋_GB2312" w:cs="Arial"/>
          <w:sz w:val="30"/>
          <w:szCs w:val="30"/>
        </w:rPr>
        <w:t>见表8。</w:t>
      </w:r>
    </w:p>
    <w:p>
      <w:pPr>
        <w:pStyle w:val="7"/>
      </w:pPr>
      <w:r>
        <w:t>表8 “4G全网建设技术”赛项设备</w:t>
      </w:r>
      <w:r>
        <w:rPr>
          <w:rFonts w:hint="eastAsia"/>
        </w:rPr>
        <w:t>建议</w:t>
      </w:r>
      <w:r>
        <w:t>清单</w:t>
      </w:r>
    </w:p>
    <w:tbl>
      <w:tblPr>
        <w:tblStyle w:val="20"/>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2062"/>
        <w:gridCol w:w="4394"/>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tcPr>
          <w:p>
            <w:pPr>
              <w:spacing w:line="560" w:lineRule="exact"/>
              <w:rPr>
                <w:rFonts w:ascii="仿宋" w:hAnsi="仿宋" w:eastAsia="仿宋"/>
                <w:b/>
                <w:sz w:val="24"/>
                <w:szCs w:val="24"/>
              </w:rPr>
            </w:pPr>
            <w:r>
              <w:rPr>
                <w:rFonts w:ascii="仿宋" w:hAnsi="仿宋" w:eastAsia="仿宋"/>
                <w:b/>
                <w:sz w:val="24"/>
                <w:szCs w:val="24"/>
              </w:rPr>
              <w:t>序号</w:t>
            </w:r>
          </w:p>
        </w:tc>
        <w:tc>
          <w:tcPr>
            <w:tcW w:w="2062" w:type="dxa"/>
          </w:tcPr>
          <w:p>
            <w:pPr>
              <w:spacing w:line="560" w:lineRule="exact"/>
              <w:rPr>
                <w:rFonts w:ascii="仿宋" w:hAnsi="仿宋" w:eastAsia="仿宋"/>
                <w:b/>
                <w:sz w:val="24"/>
                <w:szCs w:val="24"/>
              </w:rPr>
            </w:pPr>
            <w:r>
              <w:rPr>
                <w:rFonts w:ascii="仿宋" w:hAnsi="仿宋" w:eastAsia="仿宋"/>
                <w:b/>
                <w:sz w:val="24"/>
                <w:szCs w:val="24"/>
              </w:rPr>
              <w:t>设备及软件名称</w:t>
            </w:r>
          </w:p>
        </w:tc>
        <w:tc>
          <w:tcPr>
            <w:tcW w:w="4394" w:type="dxa"/>
          </w:tcPr>
          <w:p>
            <w:pPr>
              <w:spacing w:line="560" w:lineRule="exact"/>
              <w:rPr>
                <w:rFonts w:ascii="仿宋" w:hAnsi="仿宋" w:eastAsia="仿宋"/>
                <w:b/>
                <w:sz w:val="24"/>
                <w:szCs w:val="24"/>
              </w:rPr>
            </w:pPr>
            <w:r>
              <w:rPr>
                <w:rFonts w:ascii="仿宋" w:hAnsi="仿宋" w:eastAsia="仿宋"/>
                <w:b/>
                <w:sz w:val="24"/>
                <w:szCs w:val="24"/>
              </w:rPr>
              <w:t>规格及要求</w:t>
            </w:r>
          </w:p>
        </w:tc>
        <w:tc>
          <w:tcPr>
            <w:tcW w:w="851" w:type="dxa"/>
          </w:tcPr>
          <w:p>
            <w:pPr>
              <w:spacing w:line="560" w:lineRule="exact"/>
              <w:rPr>
                <w:rFonts w:ascii="仿宋" w:hAnsi="仿宋" w:eastAsia="仿宋"/>
                <w:b/>
                <w:sz w:val="24"/>
                <w:szCs w:val="24"/>
              </w:rPr>
            </w:pPr>
            <w:r>
              <w:rPr>
                <w:rFonts w:ascii="仿宋" w:hAnsi="仿宋" w:eastAsia="仿宋"/>
                <w:b/>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tcPr>
          <w:p>
            <w:pPr>
              <w:spacing w:line="560" w:lineRule="exact"/>
              <w:rPr>
                <w:rFonts w:ascii="仿宋" w:hAnsi="仿宋" w:eastAsia="仿宋"/>
                <w:sz w:val="24"/>
                <w:szCs w:val="24"/>
              </w:rPr>
            </w:pPr>
            <w:r>
              <w:rPr>
                <w:rFonts w:ascii="仿宋" w:hAnsi="仿宋" w:eastAsia="仿宋"/>
                <w:sz w:val="24"/>
                <w:szCs w:val="24"/>
              </w:rPr>
              <w:t>1</w:t>
            </w:r>
          </w:p>
        </w:tc>
        <w:tc>
          <w:tcPr>
            <w:tcW w:w="2062" w:type="dxa"/>
          </w:tcPr>
          <w:p>
            <w:pPr>
              <w:spacing w:line="560" w:lineRule="exact"/>
              <w:rPr>
                <w:rFonts w:ascii="仿宋" w:hAnsi="仿宋" w:eastAsia="仿宋"/>
                <w:sz w:val="24"/>
                <w:szCs w:val="24"/>
              </w:rPr>
            </w:pPr>
            <w:r>
              <w:rPr>
                <w:rFonts w:ascii="仿宋" w:hAnsi="仿宋" w:eastAsia="仿宋"/>
                <w:sz w:val="24"/>
                <w:szCs w:val="24"/>
              </w:rPr>
              <w:t>4G LTE</w:t>
            </w:r>
            <w:r>
              <w:rPr>
                <w:rFonts w:hint="eastAsia" w:ascii="仿宋" w:hAnsi="仿宋" w:eastAsia="仿宋"/>
                <w:sz w:val="24"/>
                <w:szCs w:val="24"/>
              </w:rPr>
              <w:t>&amp;Pre5G</w:t>
            </w:r>
            <w:r>
              <w:rPr>
                <w:rFonts w:ascii="仿宋" w:hAnsi="仿宋" w:eastAsia="仿宋"/>
                <w:sz w:val="24"/>
                <w:szCs w:val="24"/>
              </w:rPr>
              <w:t>全网竞技系统</w:t>
            </w:r>
          </w:p>
        </w:tc>
        <w:tc>
          <w:tcPr>
            <w:tcW w:w="4394" w:type="dxa"/>
          </w:tcPr>
          <w:p>
            <w:pPr>
              <w:spacing w:line="560" w:lineRule="exact"/>
              <w:rPr>
                <w:rFonts w:ascii="仿宋" w:hAnsi="仿宋" w:eastAsia="仿宋"/>
                <w:sz w:val="24"/>
                <w:szCs w:val="24"/>
              </w:rPr>
            </w:pPr>
            <w:r>
              <w:rPr>
                <w:rFonts w:ascii="仿宋" w:hAnsi="仿宋" w:eastAsia="仿宋"/>
                <w:sz w:val="24"/>
                <w:szCs w:val="24"/>
              </w:rPr>
              <w:t>1.竞技平台包含4G-LTE</w:t>
            </w:r>
            <w:r>
              <w:rPr>
                <w:rFonts w:hint="eastAsia" w:ascii="仿宋" w:hAnsi="仿宋" w:eastAsia="仿宋"/>
                <w:sz w:val="24"/>
                <w:szCs w:val="24"/>
              </w:rPr>
              <w:t>&amp;Pre5G</w:t>
            </w:r>
            <w:r>
              <w:rPr>
                <w:rFonts w:ascii="仿宋" w:hAnsi="仿宋" w:eastAsia="仿宋"/>
                <w:sz w:val="24"/>
                <w:szCs w:val="24"/>
              </w:rPr>
              <w:t>无线网络，4G-LTE</w:t>
            </w:r>
            <w:r>
              <w:rPr>
                <w:rFonts w:hint="eastAsia" w:ascii="仿宋" w:hAnsi="仿宋" w:eastAsia="仿宋"/>
                <w:sz w:val="24"/>
                <w:szCs w:val="24"/>
              </w:rPr>
              <w:t>&amp;Pre5G</w:t>
            </w:r>
            <w:r>
              <w:rPr>
                <w:rFonts w:ascii="仿宋" w:hAnsi="仿宋" w:eastAsia="仿宋"/>
                <w:sz w:val="24"/>
                <w:szCs w:val="24"/>
              </w:rPr>
              <w:t xml:space="preserve"> EPC核心网络，数据通信网络及光传输网络全网。包括终端、BBU、RRU、MME、SGW、PGW、HSS、OTN、PTN、路由器、交换机等LTE</w:t>
            </w:r>
            <w:r>
              <w:rPr>
                <w:rFonts w:hint="eastAsia" w:ascii="仿宋" w:hAnsi="仿宋" w:eastAsia="仿宋"/>
                <w:sz w:val="24"/>
                <w:szCs w:val="24"/>
              </w:rPr>
              <w:t>&amp;Pre5G</w:t>
            </w:r>
            <w:r>
              <w:rPr>
                <w:rFonts w:ascii="仿宋" w:hAnsi="仿宋" w:eastAsia="仿宋"/>
                <w:sz w:val="24"/>
                <w:szCs w:val="24"/>
              </w:rPr>
              <w:t>网络相关设备。</w:t>
            </w:r>
          </w:p>
          <w:p>
            <w:pPr>
              <w:spacing w:line="560" w:lineRule="exact"/>
              <w:rPr>
                <w:rFonts w:ascii="仿宋" w:hAnsi="仿宋" w:eastAsia="仿宋"/>
                <w:sz w:val="24"/>
                <w:szCs w:val="24"/>
              </w:rPr>
            </w:pPr>
            <w:r>
              <w:rPr>
                <w:rFonts w:ascii="仿宋" w:hAnsi="仿宋" w:eastAsia="仿宋"/>
                <w:sz w:val="24"/>
                <w:szCs w:val="24"/>
              </w:rPr>
              <w:t>2.竞技平台支持运营级网络规模，</w:t>
            </w:r>
            <w:r>
              <w:rPr>
                <w:rFonts w:hint="eastAsia" w:ascii="仿宋" w:hAnsi="仿宋" w:eastAsia="仿宋"/>
                <w:sz w:val="24"/>
                <w:szCs w:val="24"/>
              </w:rPr>
              <w:t>至少</w:t>
            </w:r>
            <w:r>
              <w:rPr>
                <w:rFonts w:ascii="仿宋" w:hAnsi="仿宋" w:eastAsia="仿宋"/>
                <w:sz w:val="24"/>
                <w:szCs w:val="24"/>
              </w:rPr>
              <w:t>支持3个城市组网，</w:t>
            </w:r>
            <w:r>
              <w:rPr>
                <w:rFonts w:hint="eastAsia" w:ascii="仿宋" w:hAnsi="仿宋" w:eastAsia="仿宋"/>
                <w:sz w:val="24"/>
                <w:szCs w:val="24"/>
              </w:rPr>
              <w:t>至少</w:t>
            </w:r>
            <w:r>
              <w:rPr>
                <w:rFonts w:ascii="仿宋" w:hAnsi="仿宋" w:eastAsia="仿宋"/>
                <w:sz w:val="24"/>
                <w:szCs w:val="24"/>
              </w:rPr>
              <w:t>支持17个机房</w:t>
            </w:r>
            <w:r>
              <w:rPr>
                <w:rFonts w:hint="eastAsia" w:ascii="仿宋" w:hAnsi="仿宋" w:eastAsia="仿宋"/>
                <w:sz w:val="24"/>
                <w:szCs w:val="24"/>
              </w:rPr>
              <w:t>设备</w:t>
            </w:r>
            <w:r>
              <w:rPr>
                <w:rFonts w:ascii="仿宋" w:hAnsi="仿宋" w:eastAsia="仿宋"/>
                <w:sz w:val="24"/>
                <w:szCs w:val="24"/>
              </w:rPr>
              <w:t>部署，</w:t>
            </w:r>
            <w:r>
              <w:rPr>
                <w:rFonts w:hint="eastAsia" w:ascii="仿宋" w:hAnsi="仿宋" w:eastAsia="仿宋"/>
                <w:sz w:val="24"/>
                <w:szCs w:val="24"/>
              </w:rPr>
              <w:t>机房类型包括站点机房、汇聚机房、中心机房、核心网机房、省骨干网机房。</w:t>
            </w:r>
            <w:r>
              <w:rPr>
                <w:rFonts w:ascii="仿宋" w:hAnsi="仿宋" w:eastAsia="仿宋"/>
                <w:sz w:val="24"/>
                <w:szCs w:val="24"/>
              </w:rPr>
              <w:t xml:space="preserve">  </w:t>
            </w:r>
          </w:p>
          <w:p>
            <w:pPr>
              <w:spacing w:line="560" w:lineRule="exact"/>
              <w:rPr>
                <w:rFonts w:ascii="仿宋" w:hAnsi="仿宋" w:eastAsia="仿宋"/>
                <w:sz w:val="24"/>
                <w:szCs w:val="24"/>
              </w:rPr>
            </w:pPr>
            <w:r>
              <w:rPr>
                <w:rFonts w:ascii="仿宋" w:hAnsi="仿宋" w:eastAsia="仿宋"/>
                <w:sz w:val="24"/>
                <w:szCs w:val="24"/>
              </w:rPr>
              <w:t>3.支持拓扑规划、容量规划、设备配置与线缆连接、数据配置功能。</w:t>
            </w:r>
          </w:p>
          <w:p>
            <w:pPr>
              <w:spacing w:line="560" w:lineRule="exact"/>
              <w:rPr>
                <w:rFonts w:ascii="仿宋" w:hAnsi="仿宋" w:eastAsia="仿宋"/>
                <w:sz w:val="24"/>
                <w:szCs w:val="24"/>
              </w:rPr>
            </w:pPr>
            <w:r>
              <w:rPr>
                <w:rFonts w:ascii="仿宋" w:hAnsi="仿宋" w:eastAsia="仿宋"/>
                <w:sz w:val="24"/>
                <w:szCs w:val="24"/>
              </w:rPr>
              <w:t>4.支持手机上网、漫游、切换、上下行速率测试等业务验证。</w:t>
            </w:r>
          </w:p>
          <w:p>
            <w:pPr>
              <w:spacing w:line="560" w:lineRule="exact"/>
              <w:rPr>
                <w:rFonts w:ascii="仿宋" w:hAnsi="仿宋" w:eastAsia="仿宋"/>
                <w:sz w:val="24"/>
                <w:szCs w:val="24"/>
              </w:rPr>
            </w:pPr>
            <w:r>
              <w:rPr>
                <w:rFonts w:ascii="仿宋" w:hAnsi="仿宋" w:eastAsia="仿宋"/>
                <w:sz w:val="24"/>
                <w:szCs w:val="24"/>
              </w:rPr>
              <w:t>5.支持告警、PING、TRACE、光路检测、状态查询、业务观察等常用调试及故障处理工具。</w:t>
            </w:r>
          </w:p>
        </w:tc>
        <w:tc>
          <w:tcPr>
            <w:tcW w:w="851" w:type="dxa"/>
          </w:tcPr>
          <w:p>
            <w:pPr>
              <w:spacing w:line="560" w:lineRule="exact"/>
              <w:rPr>
                <w:rFonts w:ascii="仿宋" w:hAnsi="仿宋" w:eastAsia="仿宋"/>
                <w:sz w:val="24"/>
                <w:szCs w:val="24"/>
              </w:rPr>
            </w:pPr>
            <w:r>
              <w:rPr>
                <w:rFonts w:ascii="仿宋" w:hAnsi="仿宋" w:eastAsia="仿宋"/>
                <w:sz w:val="24"/>
                <w:szCs w:val="24"/>
              </w:rPr>
              <w:t>每参赛队2套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tcPr>
          <w:p>
            <w:pPr>
              <w:spacing w:line="560" w:lineRule="exact"/>
              <w:rPr>
                <w:rFonts w:ascii="仿宋" w:hAnsi="仿宋" w:eastAsia="仿宋"/>
                <w:sz w:val="24"/>
                <w:szCs w:val="24"/>
              </w:rPr>
            </w:pPr>
            <w:r>
              <w:rPr>
                <w:rFonts w:ascii="仿宋" w:hAnsi="仿宋" w:eastAsia="仿宋"/>
                <w:sz w:val="24"/>
                <w:szCs w:val="24"/>
              </w:rPr>
              <w:t>2</w:t>
            </w:r>
          </w:p>
        </w:tc>
        <w:tc>
          <w:tcPr>
            <w:tcW w:w="2062" w:type="dxa"/>
          </w:tcPr>
          <w:p>
            <w:pPr>
              <w:spacing w:line="560" w:lineRule="exact"/>
              <w:rPr>
                <w:rFonts w:ascii="仿宋" w:hAnsi="仿宋" w:eastAsia="仿宋"/>
                <w:sz w:val="24"/>
                <w:szCs w:val="24"/>
              </w:rPr>
            </w:pPr>
            <w:r>
              <w:rPr>
                <w:rFonts w:hint="eastAsia" w:ascii="仿宋" w:hAnsi="仿宋" w:eastAsia="仿宋"/>
                <w:sz w:val="24"/>
                <w:szCs w:val="24"/>
              </w:rPr>
              <w:t>NB-IoT</w:t>
            </w:r>
            <w:r>
              <w:rPr>
                <w:rFonts w:ascii="仿宋" w:hAnsi="仿宋" w:eastAsia="仿宋"/>
                <w:sz w:val="24"/>
                <w:szCs w:val="24"/>
              </w:rPr>
              <w:t>全网竞技系统</w:t>
            </w:r>
          </w:p>
        </w:tc>
        <w:tc>
          <w:tcPr>
            <w:tcW w:w="4394" w:type="dxa"/>
          </w:tcPr>
          <w:p>
            <w:pPr>
              <w:spacing w:line="560" w:lineRule="exact"/>
              <w:rPr>
                <w:rFonts w:ascii="仿宋" w:hAnsi="仿宋" w:eastAsia="仿宋"/>
                <w:sz w:val="24"/>
                <w:szCs w:val="24"/>
              </w:rPr>
            </w:pPr>
            <w:r>
              <w:rPr>
                <w:rFonts w:ascii="仿宋" w:hAnsi="仿宋" w:eastAsia="仿宋"/>
                <w:sz w:val="24"/>
                <w:szCs w:val="24"/>
              </w:rPr>
              <w:t>1.竞技平台包含</w:t>
            </w:r>
            <w:r>
              <w:rPr>
                <w:rFonts w:hint="eastAsia" w:ascii="仿宋" w:hAnsi="仿宋" w:eastAsia="仿宋"/>
                <w:sz w:val="24"/>
                <w:szCs w:val="24"/>
              </w:rPr>
              <w:t>NB-IoT</w:t>
            </w:r>
            <w:r>
              <w:rPr>
                <w:rFonts w:ascii="仿宋" w:hAnsi="仿宋" w:eastAsia="仿宋"/>
                <w:sz w:val="24"/>
                <w:szCs w:val="24"/>
              </w:rPr>
              <w:t>无线网络</w:t>
            </w:r>
            <w:r>
              <w:rPr>
                <w:rFonts w:hint="eastAsia" w:ascii="仿宋" w:hAnsi="仿宋" w:eastAsia="仿宋"/>
                <w:sz w:val="24"/>
                <w:szCs w:val="24"/>
              </w:rPr>
              <w:t>、</w:t>
            </w:r>
            <w:r>
              <w:rPr>
                <w:rFonts w:ascii="仿宋" w:hAnsi="仿宋" w:eastAsia="仿宋"/>
                <w:sz w:val="24"/>
                <w:szCs w:val="24"/>
              </w:rPr>
              <w:t>EPC核心网络</w:t>
            </w:r>
            <w:r>
              <w:rPr>
                <w:rFonts w:hint="eastAsia" w:ascii="仿宋" w:hAnsi="仿宋" w:eastAsia="仿宋"/>
                <w:sz w:val="24"/>
                <w:szCs w:val="24"/>
              </w:rPr>
              <w:t>、</w:t>
            </w:r>
            <w:r>
              <w:rPr>
                <w:rFonts w:ascii="仿宋" w:hAnsi="仿宋" w:eastAsia="仿宋"/>
                <w:sz w:val="24"/>
                <w:szCs w:val="24"/>
              </w:rPr>
              <w:t>数据通信网络及光传输网络全网。包括终端、BBU、RRU、MME、SGW、PGW、HSS、OTN、PTN、路由器、交换机等</w:t>
            </w:r>
            <w:r>
              <w:rPr>
                <w:rFonts w:hint="eastAsia" w:ascii="仿宋" w:hAnsi="仿宋" w:eastAsia="仿宋"/>
                <w:sz w:val="24"/>
                <w:szCs w:val="24"/>
              </w:rPr>
              <w:t>NB-IoT</w:t>
            </w:r>
            <w:r>
              <w:rPr>
                <w:rFonts w:ascii="仿宋" w:hAnsi="仿宋" w:eastAsia="仿宋"/>
                <w:sz w:val="24"/>
                <w:szCs w:val="24"/>
              </w:rPr>
              <w:t>网络相关设备。</w:t>
            </w:r>
          </w:p>
          <w:p>
            <w:pPr>
              <w:spacing w:line="560" w:lineRule="exact"/>
              <w:rPr>
                <w:rFonts w:ascii="仿宋" w:hAnsi="仿宋" w:eastAsia="仿宋"/>
                <w:sz w:val="24"/>
                <w:szCs w:val="24"/>
              </w:rPr>
            </w:pPr>
            <w:r>
              <w:rPr>
                <w:rFonts w:ascii="仿宋" w:hAnsi="仿宋" w:eastAsia="仿宋"/>
                <w:sz w:val="24"/>
                <w:szCs w:val="24"/>
              </w:rPr>
              <w:t>2.竞技平台支持运营级网络规模，</w:t>
            </w:r>
            <w:r>
              <w:rPr>
                <w:rFonts w:hint="eastAsia" w:ascii="仿宋" w:hAnsi="仿宋" w:eastAsia="仿宋"/>
                <w:sz w:val="24"/>
                <w:szCs w:val="24"/>
              </w:rPr>
              <w:t>为A市全市组网模型</w:t>
            </w:r>
            <w:r>
              <w:rPr>
                <w:rFonts w:ascii="仿宋" w:hAnsi="仿宋" w:eastAsia="仿宋"/>
                <w:sz w:val="24"/>
                <w:szCs w:val="24"/>
              </w:rPr>
              <w:t xml:space="preserve"> </w:t>
            </w:r>
          </w:p>
          <w:p>
            <w:pPr>
              <w:spacing w:line="560" w:lineRule="exact"/>
              <w:rPr>
                <w:rFonts w:ascii="仿宋" w:hAnsi="仿宋" w:eastAsia="仿宋"/>
                <w:sz w:val="24"/>
                <w:szCs w:val="24"/>
              </w:rPr>
            </w:pPr>
            <w:r>
              <w:rPr>
                <w:rFonts w:ascii="仿宋" w:hAnsi="仿宋" w:eastAsia="仿宋"/>
                <w:sz w:val="24"/>
                <w:szCs w:val="24"/>
              </w:rPr>
              <w:t>3.支持拓扑规划、</w:t>
            </w:r>
            <w:r>
              <w:rPr>
                <w:rFonts w:hint="eastAsia" w:ascii="仿宋" w:hAnsi="仿宋" w:eastAsia="仿宋"/>
                <w:sz w:val="24"/>
                <w:szCs w:val="24"/>
              </w:rPr>
              <w:t>覆盖规划、</w:t>
            </w:r>
            <w:r>
              <w:rPr>
                <w:rFonts w:ascii="仿宋" w:hAnsi="仿宋" w:eastAsia="仿宋"/>
                <w:sz w:val="24"/>
                <w:szCs w:val="24"/>
              </w:rPr>
              <w:t>容量规划、设备配置与线缆连接、数据配置功能。</w:t>
            </w:r>
          </w:p>
          <w:p>
            <w:pPr>
              <w:spacing w:line="560" w:lineRule="exact"/>
              <w:rPr>
                <w:rFonts w:ascii="仿宋" w:hAnsi="仿宋" w:eastAsia="仿宋"/>
                <w:sz w:val="24"/>
                <w:szCs w:val="24"/>
              </w:rPr>
            </w:pPr>
            <w:r>
              <w:rPr>
                <w:rFonts w:ascii="仿宋" w:hAnsi="仿宋" w:eastAsia="仿宋"/>
                <w:sz w:val="24"/>
                <w:szCs w:val="24"/>
              </w:rPr>
              <w:t>4.支持</w:t>
            </w:r>
            <w:r>
              <w:rPr>
                <w:rFonts w:hint="eastAsia" w:ascii="仿宋" w:hAnsi="仿宋" w:eastAsia="仿宋"/>
                <w:sz w:val="24"/>
                <w:szCs w:val="24"/>
              </w:rPr>
              <w:t>多种蜂窝物联网典型应用，至少包含智能门锁、智能抄表等业务测试。</w:t>
            </w:r>
          </w:p>
          <w:p>
            <w:pPr>
              <w:pStyle w:val="27"/>
              <w:spacing w:line="560" w:lineRule="exact"/>
              <w:ind w:firstLine="0" w:firstLineChars="0"/>
              <w:rPr>
                <w:rFonts w:ascii="仿宋" w:hAnsi="仿宋" w:eastAsia="仿宋" w:cs="Times New Roman"/>
                <w:sz w:val="24"/>
                <w:szCs w:val="24"/>
              </w:rPr>
            </w:pPr>
            <w:r>
              <w:rPr>
                <w:rFonts w:ascii="仿宋" w:hAnsi="仿宋" w:eastAsia="仿宋" w:cs="Times New Roman"/>
                <w:sz w:val="24"/>
                <w:szCs w:val="24"/>
              </w:rPr>
              <w:t>5.支持告警、PING、TRACE、光路检测、状态查询、业务观察等常用调试及故障处理工具。</w:t>
            </w:r>
          </w:p>
        </w:tc>
        <w:tc>
          <w:tcPr>
            <w:tcW w:w="851" w:type="dxa"/>
          </w:tcPr>
          <w:p>
            <w:pPr>
              <w:spacing w:line="560" w:lineRule="exact"/>
              <w:rPr>
                <w:rFonts w:ascii="仿宋" w:hAnsi="仿宋" w:eastAsia="仿宋"/>
                <w:sz w:val="24"/>
                <w:szCs w:val="24"/>
              </w:rPr>
            </w:pPr>
            <w:r>
              <w:rPr>
                <w:rFonts w:ascii="仿宋" w:hAnsi="仿宋" w:eastAsia="仿宋"/>
                <w:sz w:val="24"/>
                <w:szCs w:val="24"/>
              </w:rPr>
              <w:t>每5个参赛队</w:t>
            </w:r>
            <w:r>
              <w:rPr>
                <w:rFonts w:hint="eastAsia" w:ascii="仿宋" w:hAnsi="仿宋" w:eastAsia="仿宋"/>
                <w:sz w:val="24"/>
                <w:szCs w:val="24"/>
              </w:rPr>
              <w:t>2</w:t>
            </w:r>
            <w:r>
              <w:rPr>
                <w:rFonts w:ascii="仿宋" w:hAnsi="仿宋" w:eastAsia="仿宋"/>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tcPr>
          <w:p>
            <w:pPr>
              <w:spacing w:line="560" w:lineRule="exact"/>
              <w:rPr>
                <w:rFonts w:ascii="仿宋" w:hAnsi="仿宋" w:eastAsia="仿宋"/>
                <w:sz w:val="24"/>
                <w:szCs w:val="24"/>
              </w:rPr>
            </w:pPr>
            <w:r>
              <w:rPr>
                <w:rFonts w:hint="eastAsia" w:ascii="仿宋" w:hAnsi="仿宋" w:eastAsia="仿宋"/>
                <w:sz w:val="24"/>
                <w:szCs w:val="24"/>
              </w:rPr>
              <w:t>3</w:t>
            </w:r>
          </w:p>
        </w:tc>
        <w:tc>
          <w:tcPr>
            <w:tcW w:w="2062" w:type="dxa"/>
          </w:tcPr>
          <w:p>
            <w:pPr>
              <w:spacing w:line="560" w:lineRule="exact"/>
              <w:rPr>
                <w:rFonts w:ascii="仿宋" w:hAnsi="仿宋" w:eastAsia="仿宋"/>
                <w:sz w:val="24"/>
                <w:szCs w:val="24"/>
              </w:rPr>
            </w:pPr>
            <w:r>
              <w:rPr>
                <w:rFonts w:hint="eastAsia" w:ascii="仿宋" w:hAnsi="仿宋" w:eastAsia="仿宋"/>
                <w:sz w:val="24"/>
                <w:szCs w:val="24"/>
              </w:rPr>
              <w:t>后台服务器</w:t>
            </w:r>
          </w:p>
        </w:tc>
        <w:tc>
          <w:tcPr>
            <w:tcW w:w="4394" w:type="dxa"/>
          </w:tcPr>
          <w:p>
            <w:pPr>
              <w:spacing w:line="560" w:lineRule="exact"/>
              <w:rPr>
                <w:rFonts w:ascii="仿宋" w:hAnsi="仿宋" w:eastAsia="仿宋"/>
                <w:sz w:val="24"/>
                <w:szCs w:val="24"/>
              </w:rPr>
            </w:pPr>
            <w:r>
              <w:rPr>
                <w:rFonts w:hint="eastAsia" w:ascii="仿宋" w:hAnsi="仿宋" w:eastAsia="仿宋"/>
                <w:sz w:val="24"/>
                <w:szCs w:val="24"/>
              </w:rPr>
              <w:t>CPU：Xeon E3-1230 V6，硬盘：1TB，内存：8G，主频：3300MHz，低负载智能降频 ：1600MHz，最大Turbo频率：3700MHz（单核心3700Mhz），安装</w:t>
            </w:r>
            <w:r>
              <w:rPr>
                <w:rFonts w:ascii="仿宋" w:hAnsi="仿宋" w:eastAsia="仿宋"/>
                <w:sz w:val="24"/>
                <w:szCs w:val="24"/>
              </w:rPr>
              <w:t>4G LTE全网竞技系统</w:t>
            </w:r>
            <w:r>
              <w:rPr>
                <w:rFonts w:hint="eastAsia" w:ascii="仿宋" w:hAnsi="仿宋" w:eastAsia="仿宋"/>
                <w:sz w:val="24"/>
                <w:szCs w:val="24"/>
              </w:rPr>
              <w:t>和NB-IoT</w:t>
            </w:r>
            <w:r>
              <w:rPr>
                <w:rFonts w:ascii="仿宋" w:hAnsi="仿宋" w:eastAsia="仿宋"/>
                <w:sz w:val="24"/>
                <w:szCs w:val="24"/>
              </w:rPr>
              <w:t>全网竞技系统。</w:t>
            </w:r>
          </w:p>
        </w:tc>
        <w:tc>
          <w:tcPr>
            <w:tcW w:w="851" w:type="dxa"/>
          </w:tcPr>
          <w:p>
            <w:pPr>
              <w:spacing w:line="560" w:lineRule="exact"/>
              <w:rPr>
                <w:rFonts w:ascii="仿宋" w:hAnsi="仿宋" w:eastAsia="仿宋"/>
                <w:sz w:val="24"/>
                <w:szCs w:val="24"/>
              </w:rPr>
            </w:pPr>
            <w:r>
              <w:rPr>
                <w:rFonts w:ascii="仿宋" w:hAnsi="仿宋" w:eastAsia="仿宋"/>
                <w:sz w:val="24"/>
                <w:szCs w:val="24"/>
              </w:rPr>
              <w:t>1</w:t>
            </w:r>
            <w:r>
              <w:rPr>
                <w:rFonts w:hint="eastAsia" w:ascii="仿宋" w:hAnsi="仿宋" w:eastAsia="仿宋"/>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tcPr>
          <w:p>
            <w:pPr>
              <w:spacing w:line="560" w:lineRule="exact"/>
              <w:rPr>
                <w:rFonts w:ascii="仿宋" w:hAnsi="仿宋" w:eastAsia="仿宋"/>
                <w:sz w:val="24"/>
                <w:szCs w:val="24"/>
              </w:rPr>
            </w:pPr>
            <w:r>
              <w:rPr>
                <w:rFonts w:hint="eastAsia" w:ascii="仿宋" w:hAnsi="仿宋" w:eastAsia="仿宋"/>
                <w:sz w:val="24"/>
                <w:szCs w:val="24"/>
              </w:rPr>
              <w:t>4</w:t>
            </w:r>
          </w:p>
        </w:tc>
        <w:tc>
          <w:tcPr>
            <w:tcW w:w="2062" w:type="dxa"/>
          </w:tcPr>
          <w:p>
            <w:pPr>
              <w:spacing w:line="560" w:lineRule="exact"/>
              <w:rPr>
                <w:rFonts w:ascii="仿宋" w:hAnsi="仿宋" w:eastAsia="仿宋"/>
                <w:sz w:val="24"/>
                <w:szCs w:val="24"/>
              </w:rPr>
            </w:pPr>
            <w:r>
              <w:rPr>
                <w:rFonts w:ascii="仿宋" w:hAnsi="仿宋" w:eastAsia="仿宋"/>
                <w:sz w:val="24"/>
                <w:szCs w:val="24"/>
              </w:rPr>
              <w:t>台式电脑</w:t>
            </w:r>
          </w:p>
        </w:tc>
        <w:tc>
          <w:tcPr>
            <w:tcW w:w="4394" w:type="dxa"/>
          </w:tcPr>
          <w:p>
            <w:pPr>
              <w:spacing w:line="560" w:lineRule="exact"/>
              <w:rPr>
                <w:rFonts w:ascii="仿宋" w:hAnsi="仿宋" w:eastAsia="仿宋"/>
                <w:sz w:val="24"/>
                <w:szCs w:val="24"/>
              </w:rPr>
            </w:pPr>
            <w:r>
              <w:rPr>
                <w:rFonts w:ascii="仿宋" w:hAnsi="仿宋" w:eastAsia="仿宋"/>
                <w:sz w:val="24"/>
                <w:szCs w:val="24"/>
              </w:rPr>
              <w:t>普通台式电脑，windows 7中文操作系统，预装截屏软件、录屏软件，屏幕分辨率不得低于1366*768。</w:t>
            </w:r>
          </w:p>
        </w:tc>
        <w:tc>
          <w:tcPr>
            <w:tcW w:w="851" w:type="dxa"/>
          </w:tcPr>
          <w:p>
            <w:pPr>
              <w:spacing w:line="560" w:lineRule="exact"/>
              <w:rPr>
                <w:rFonts w:ascii="仿宋" w:hAnsi="仿宋" w:eastAsia="仿宋"/>
                <w:sz w:val="24"/>
                <w:szCs w:val="24"/>
              </w:rPr>
            </w:pPr>
            <w:r>
              <w:rPr>
                <w:rFonts w:ascii="仿宋" w:hAnsi="仿宋" w:eastAsia="仿宋"/>
                <w:sz w:val="24"/>
                <w:szCs w:val="24"/>
              </w:rPr>
              <w:t>每参赛队2台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23" w:type="dxa"/>
          </w:tcPr>
          <w:p>
            <w:pPr>
              <w:spacing w:line="560" w:lineRule="exact"/>
              <w:rPr>
                <w:rFonts w:ascii="仿宋" w:hAnsi="仿宋" w:eastAsia="仿宋"/>
                <w:sz w:val="24"/>
                <w:szCs w:val="24"/>
              </w:rPr>
            </w:pPr>
            <w:r>
              <w:rPr>
                <w:rFonts w:hint="eastAsia" w:ascii="仿宋" w:hAnsi="仿宋" w:eastAsia="仿宋"/>
                <w:sz w:val="24"/>
                <w:szCs w:val="24"/>
              </w:rPr>
              <w:t>5</w:t>
            </w:r>
          </w:p>
        </w:tc>
        <w:tc>
          <w:tcPr>
            <w:tcW w:w="2062" w:type="dxa"/>
          </w:tcPr>
          <w:p>
            <w:pPr>
              <w:spacing w:line="560" w:lineRule="exact"/>
              <w:rPr>
                <w:rFonts w:ascii="仿宋" w:hAnsi="仿宋" w:eastAsia="仿宋"/>
                <w:sz w:val="24"/>
                <w:szCs w:val="24"/>
              </w:rPr>
            </w:pPr>
            <w:r>
              <w:rPr>
                <w:rFonts w:ascii="仿宋" w:hAnsi="仿宋" w:eastAsia="仿宋"/>
                <w:sz w:val="24"/>
                <w:szCs w:val="24"/>
              </w:rPr>
              <w:t>考试U盘</w:t>
            </w:r>
          </w:p>
        </w:tc>
        <w:tc>
          <w:tcPr>
            <w:tcW w:w="4394" w:type="dxa"/>
          </w:tcPr>
          <w:p>
            <w:pPr>
              <w:spacing w:line="560" w:lineRule="exact"/>
              <w:rPr>
                <w:rFonts w:ascii="仿宋" w:hAnsi="仿宋" w:eastAsia="仿宋"/>
                <w:sz w:val="24"/>
                <w:szCs w:val="24"/>
              </w:rPr>
            </w:pPr>
            <w:r>
              <w:rPr>
                <w:rFonts w:ascii="仿宋" w:hAnsi="仿宋" w:eastAsia="仿宋"/>
                <w:sz w:val="24"/>
                <w:szCs w:val="24"/>
              </w:rPr>
              <w:t>用于竞赛结果备份保存，容量不低于4个GB</w:t>
            </w:r>
          </w:p>
        </w:tc>
        <w:tc>
          <w:tcPr>
            <w:tcW w:w="851" w:type="dxa"/>
          </w:tcPr>
          <w:p>
            <w:pPr>
              <w:spacing w:line="560" w:lineRule="exact"/>
              <w:rPr>
                <w:rFonts w:ascii="仿宋" w:hAnsi="仿宋" w:eastAsia="仿宋"/>
                <w:sz w:val="24"/>
                <w:szCs w:val="24"/>
              </w:rPr>
            </w:pPr>
            <w:r>
              <w:rPr>
                <w:rFonts w:ascii="仿宋" w:hAnsi="仿宋" w:eastAsia="仿宋"/>
                <w:sz w:val="24"/>
                <w:szCs w:val="24"/>
              </w:rPr>
              <w:t>每参赛队1个</w:t>
            </w:r>
          </w:p>
        </w:tc>
      </w:tr>
    </w:tbl>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（二）竞赛环境说明</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竞赛场地包括4个区域：参赛选手竞赛区域、</w:t>
      </w:r>
      <w:r>
        <w:rPr>
          <w:rFonts w:hint="eastAsia" w:ascii="Arial Narrow" w:hAnsi="Arial Narrow" w:eastAsia="仿宋_GB2312" w:cs="Arial"/>
          <w:sz w:val="30"/>
          <w:szCs w:val="30"/>
        </w:rPr>
        <w:t>赛事观摩区</w:t>
      </w:r>
      <w:r>
        <w:rPr>
          <w:rFonts w:ascii="Arial Narrow" w:hAnsi="Arial Narrow" w:eastAsia="仿宋_GB2312" w:cs="Arial"/>
          <w:sz w:val="30"/>
          <w:szCs w:val="30"/>
        </w:rPr>
        <w:t>、裁判区域以及后台监控中心区域。</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1.参赛选手竞赛区域：在指定赛场设置比赛工位，每个赛位提供2台电脑及相应软件、工具等供选手使用，赛位大小满足2人同时操作电脑并的需求，具体软硬件需求标准由组委会统一制定。</w:t>
      </w:r>
    </w:p>
    <w:p>
      <w:pPr>
        <w:snapToGrid w:val="0"/>
        <w:spacing w:line="560" w:lineRule="exact"/>
        <w:ind w:firstLine="600" w:firstLineChars="200"/>
        <w:rPr>
          <w:rFonts w:ascii="Arial Narrow" w:hAnsi="Arial Narrow" w:eastAsia="仿宋_GB2312" w:cs="Arial"/>
          <w:sz w:val="30"/>
          <w:szCs w:val="30"/>
        </w:rPr>
      </w:pPr>
      <w:bookmarkStart w:id="15" w:name="OLE_LINK4"/>
      <w:bookmarkStart w:id="16" w:name="OLE_LINK3"/>
      <w:r>
        <w:rPr>
          <w:rFonts w:ascii="Arial Narrow" w:hAnsi="Arial Narrow" w:eastAsia="仿宋_GB2312" w:cs="Arial"/>
          <w:sz w:val="30"/>
          <w:szCs w:val="30"/>
        </w:rPr>
        <w:t>2.</w:t>
      </w:r>
      <w:bookmarkEnd w:id="15"/>
      <w:bookmarkEnd w:id="16"/>
      <w:r>
        <w:rPr>
          <w:rFonts w:hint="eastAsia" w:ascii="Arial Narrow" w:hAnsi="Arial Narrow" w:eastAsia="仿宋_GB2312" w:cs="Arial"/>
          <w:sz w:val="30"/>
          <w:szCs w:val="30"/>
        </w:rPr>
        <w:t>赛事观摩区</w:t>
      </w:r>
      <w:r>
        <w:rPr>
          <w:rFonts w:ascii="Arial Narrow" w:hAnsi="Arial Narrow" w:eastAsia="仿宋_GB2312" w:cs="Arial"/>
          <w:sz w:val="30"/>
          <w:szCs w:val="30"/>
        </w:rPr>
        <w:t>：需要与比赛场地分开的隔离带，活动对象为媒体、观众与指导老师等，需配备50</w:t>
      </w:r>
      <w:r>
        <w:rPr>
          <w:rFonts w:hint="eastAsia" w:ascii="Arial Narrow" w:hAnsi="Arial Narrow" w:eastAsia="仿宋_GB2312" w:cs="Arial"/>
          <w:sz w:val="30"/>
          <w:szCs w:val="30"/>
        </w:rPr>
        <w:t>英寸以上大屏显示设备</w:t>
      </w:r>
      <w:r>
        <w:rPr>
          <w:rFonts w:ascii="Arial Narrow" w:hAnsi="Arial Narrow" w:eastAsia="仿宋_GB2312" w:cs="Arial"/>
          <w:sz w:val="30"/>
          <w:szCs w:val="30"/>
        </w:rPr>
        <w:t>和监控设施，大屏幕计时</w:t>
      </w:r>
      <w:r>
        <w:rPr>
          <w:rFonts w:hint="eastAsia" w:ascii="Arial Narrow" w:hAnsi="Arial Narrow" w:eastAsia="仿宋_GB2312" w:cs="Arial"/>
          <w:sz w:val="30"/>
          <w:szCs w:val="30"/>
        </w:rPr>
        <w:t>器</w:t>
      </w:r>
      <w:r>
        <w:rPr>
          <w:rFonts w:ascii="Arial Narrow" w:hAnsi="Arial Narrow" w:eastAsia="仿宋_GB2312" w:cs="Arial"/>
          <w:sz w:val="30"/>
          <w:szCs w:val="30"/>
        </w:rPr>
        <w:t>，用于倒计时。大赛当天可通过大屏幕展示赛场竞赛效果，既满足场内外信息联动，又可起到公众监督的作用，体现大赛 “公正、公开、公平”的竞赛原则。</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3.裁判区域：在指定裁判工作场地。场地空间满足工作需要，配备必要辅助设备。</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4.后台监控中心区域：由专家组监控整体大赛区域，要求封闭，一人一机，设置监控，具体软硬件需求由组委会统一制定。</w:t>
      </w:r>
    </w:p>
    <w:p>
      <w:pPr>
        <w:snapToGrid w:val="0"/>
        <w:spacing w:line="560" w:lineRule="exact"/>
        <w:ind w:firstLine="600" w:firstLineChars="200"/>
        <w:outlineLvl w:val="0"/>
        <w:rPr>
          <w:rFonts w:ascii="黑体" w:hAnsi="黑体" w:eastAsia="黑体" w:cs="黑体"/>
          <w:bCs/>
          <w:sz w:val="30"/>
          <w:szCs w:val="30"/>
        </w:rPr>
      </w:pPr>
      <w:bookmarkStart w:id="17" w:name="_Toc522022180"/>
      <w:r>
        <w:rPr>
          <w:rFonts w:hint="eastAsia" w:ascii="黑体" w:hAnsi="黑体" w:eastAsia="黑体" w:cs="黑体"/>
          <w:bCs/>
          <w:sz w:val="30"/>
          <w:szCs w:val="30"/>
        </w:rPr>
        <w:t>十四、安全保障</w:t>
      </w:r>
      <w:bookmarkEnd w:id="17"/>
    </w:p>
    <w:p>
      <w:pPr>
        <w:snapToGrid w:val="0"/>
        <w:spacing w:line="560" w:lineRule="exact"/>
        <w:ind w:firstLine="600" w:firstLineChars="200"/>
        <w:rPr>
          <w:rFonts w:ascii="Arial Narrow" w:hAnsi="Arial Narrow" w:eastAsia="仿宋_GB2312" w:cs="Arial"/>
          <w:sz w:val="30"/>
          <w:szCs w:val="30"/>
        </w:rPr>
      </w:pPr>
      <w:bookmarkStart w:id="18" w:name="_Toc361563584"/>
      <w:r>
        <w:rPr>
          <w:rFonts w:hint="eastAsia" w:ascii="Arial Narrow" w:hAnsi="Arial Narrow" w:eastAsia="仿宋_GB2312" w:cs="Arial"/>
          <w:sz w:val="30"/>
          <w:szCs w:val="30"/>
        </w:rPr>
        <w:t>赛事安全是技能竞赛一切工作顺利开展的先决条件，是赛事筹备和运行工作必须考虑的核心问题。赛项执委会采取切实有效措施保证大赛期间参赛选手、指导教师、裁判员、工作人员及观众的人身安全。</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（一）竞赛环境</w:t>
      </w:r>
      <w:bookmarkEnd w:id="18"/>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前组织专人对竞赛现场、住宿场所和交通保障进行考察，并对安全工作提出明确要求。赛场的布置，赛场内的器材、设备，应符合国家有关安全规定。进行赛场仿真模拟测试，以发现可能出现的问题。赛前按照执委会要求排除安全隐患。</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赛场周围设立警戒线，防止无关人员进入发生意外事件。竞赛现场内按照相关职业岗位的要求为选手提供必要的劳动保护。在具有危险性的操作环节，裁判员要严防选手出现错误操作。</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提供保证应急预案实施的条件。</w:t>
      </w:r>
    </w:p>
    <w:p>
      <w:pPr>
        <w:pStyle w:val="7"/>
      </w:pPr>
      <w:r>
        <w:rPr>
          <w:rFonts w:hint="eastAsia"/>
        </w:rPr>
        <w:t>表9 应急预案</w:t>
      </w:r>
    </w:p>
    <w:tbl>
      <w:tblPr>
        <w:tblStyle w:val="20"/>
        <w:tblW w:w="8364"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3260"/>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3" w:hRule="atLeast"/>
        </w:trPr>
        <w:tc>
          <w:tcPr>
            <w:tcW w:w="1560" w:type="dxa"/>
            <w:vAlign w:val="center"/>
          </w:tcPr>
          <w:p>
            <w:pPr>
              <w:pStyle w:val="33"/>
              <w:spacing w:line="560" w:lineRule="exact"/>
              <w:rPr>
                <w:rFonts w:ascii="仿宋" w:hAnsi="仿宋" w:eastAsia="仿宋"/>
                <w:b/>
                <w:bCs/>
              </w:rPr>
            </w:pPr>
            <w:r>
              <w:rPr>
                <w:rFonts w:hint="eastAsia" w:ascii="仿宋" w:hAnsi="仿宋" w:eastAsia="仿宋" w:cs="仿宋_GB2312"/>
                <w:b/>
                <w:bCs/>
              </w:rPr>
              <w:t>突发事件</w:t>
            </w:r>
          </w:p>
        </w:tc>
        <w:tc>
          <w:tcPr>
            <w:tcW w:w="3260" w:type="dxa"/>
            <w:vAlign w:val="center"/>
          </w:tcPr>
          <w:p>
            <w:pPr>
              <w:pStyle w:val="33"/>
              <w:spacing w:line="560" w:lineRule="exact"/>
              <w:rPr>
                <w:rFonts w:ascii="仿宋" w:hAnsi="仿宋" w:eastAsia="仿宋"/>
                <w:b/>
                <w:bCs/>
              </w:rPr>
            </w:pPr>
            <w:r>
              <w:rPr>
                <w:rFonts w:hint="eastAsia" w:ascii="仿宋" w:hAnsi="仿宋" w:eastAsia="仿宋" w:cs="仿宋_GB2312"/>
                <w:b/>
                <w:bCs/>
              </w:rPr>
              <w:t>预防措施</w:t>
            </w:r>
          </w:p>
        </w:tc>
        <w:tc>
          <w:tcPr>
            <w:tcW w:w="3544" w:type="dxa"/>
            <w:vAlign w:val="center"/>
          </w:tcPr>
          <w:p>
            <w:pPr>
              <w:pStyle w:val="33"/>
              <w:spacing w:line="560" w:lineRule="exact"/>
              <w:rPr>
                <w:rFonts w:ascii="仿宋" w:hAnsi="仿宋" w:eastAsia="仿宋"/>
                <w:b/>
                <w:bCs/>
              </w:rPr>
            </w:pPr>
            <w:r>
              <w:rPr>
                <w:rFonts w:hint="eastAsia" w:ascii="仿宋" w:hAnsi="仿宋" w:eastAsia="仿宋" w:cs="仿宋_GB2312"/>
                <w:b/>
                <w:bCs/>
              </w:rPr>
              <w:t>事件发生后应对措施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2" w:hRule="atLeast"/>
        </w:trPr>
        <w:tc>
          <w:tcPr>
            <w:tcW w:w="1560" w:type="dxa"/>
            <w:vAlign w:val="center"/>
          </w:tcPr>
          <w:p>
            <w:pPr>
              <w:pStyle w:val="33"/>
              <w:spacing w:line="560" w:lineRule="exact"/>
              <w:rPr>
                <w:rFonts w:ascii="仿宋" w:hAnsi="仿宋" w:eastAsia="仿宋"/>
              </w:rPr>
            </w:pPr>
            <w:r>
              <w:rPr>
                <w:rFonts w:hint="eastAsia" w:ascii="仿宋" w:hAnsi="仿宋" w:eastAsia="仿宋" w:cs="仿宋_GB2312"/>
              </w:rPr>
              <w:t>设备损坏（如不能启动、反复重启等）</w:t>
            </w:r>
          </w:p>
        </w:tc>
        <w:tc>
          <w:tcPr>
            <w:tcW w:w="3260" w:type="dxa"/>
            <w:vAlign w:val="center"/>
          </w:tcPr>
          <w:p>
            <w:pPr>
              <w:pStyle w:val="33"/>
              <w:spacing w:line="560" w:lineRule="exact"/>
              <w:jc w:val="left"/>
              <w:rPr>
                <w:rFonts w:ascii="仿宋" w:hAnsi="仿宋" w:eastAsia="仿宋"/>
              </w:rPr>
            </w:pPr>
            <w:r>
              <w:rPr>
                <w:rFonts w:hint="eastAsia" w:ascii="仿宋" w:hAnsi="仿宋" w:eastAsia="仿宋" w:cs="仿宋_GB2312"/>
              </w:rPr>
              <w:t>至少提前三天进行竞赛硬件平台联调，完成不少于两次的系统压力测试，现场必须配置额外10%数量的备用赛位。</w:t>
            </w:r>
          </w:p>
        </w:tc>
        <w:tc>
          <w:tcPr>
            <w:tcW w:w="3544" w:type="dxa"/>
            <w:vAlign w:val="center"/>
          </w:tcPr>
          <w:p>
            <w:pPr>
              <w:pStyle w:val="33"/>
              <w:spacing w:line="560" w:lineRule="exact"/>
              <w:jc w:val="left"/>
              <w:rPr>
                <w:rFonts w:ascii="仿宋" w:hAnsi="仿宋" w:eastAsia="仿宋"/>
              </w:rPr>
            </w:pPr>
            <w:r>
              <w:rPr>
                <w:rFonts w:hint="eastAsia" w:ascii="仿宋" w:hAnsi="仿宋" w:eastAsia="仿宋" w:cs="仿宋_GB2312"/>
              </w:rPr>
              <w:t>参赛选手举手示意后，现场裁判计时并确认后更换备机，并由裁判长酌情确定应计入延时时间。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560" w:type="dxa"/>
            <w:vAlign w:val="center"/>
          </w:tcPr>
          <w:p>
            <w:pPr>
              <w:pStyle w:val="33"/>
              <w:spacing w:line="560" w:lineRule="exact"/>
              <w:rPr>
                <w:rFonts w:ascii="仿宋" w:hAnsi="仿宋" w:eastAsia="仿宋"/>
              </w:rPr>
            </w:pPr>
            <w:r>
              <w:rPr>
                <w:rFonts w:hint="eastAsia" w:ascii="仿宋" w:hAnsi="仿宋" w:eastAsia="仿宋" w:cs="仿宋_GB2312"/>
              </w:rPr>
              <w:t>设备掉电</w:t>
            </w:r>
          </w:p>
        </w:tc>
        <w:tc>
          <w:tcPr>
            <w:tcW w:w="3260" w:type="dxa"/>
            <w:vAlign w:val="center"/>
          </w:tcPr>
          <w:p>
            <w:pPr>
              <w:pStyle w:val="33"/>
              <w:spacing w:line="560" w:lineRule="exact"/>
              <w:jc w:val="left"/>
              <w:rPr>
                <w:rFonts w:ascii="仿宋" w:hAnsi="仿宋" w:eastAsia="仿宋"/>
              </w:rPr>
            </w:pPr>
            <w:r>
              <w:rPr>
                <w:rFonts w:hint="eastAsia" w:ascii="仿宋" w:hAnsi="仿宋" w:eastAsia="仿宋" w:cs="仿宋_GB2312"/>
              </w:rPr>
              <w:t>竞赛前检查所有电源插头确保牢固，电源线尽量绑扎在碰不到的地方，如桌子后面等。</w:t>
            </w:r>
          </w:p>
        </w:tc>
        <w:tc>
          <w:tcPr>
            <w:tcW w:w="3544" w:type="dxa"/>
            <w:vAlign w:val="center"/>
          </w:tcPr>
          <w:p>
            <w:pPr>
              <w:pStyle w:val="33"/>
              <w:spacing w:line="560" w:lineRule="exact"/>
              <w:jc w:val="left"/>
              <w:rPr>
                <w:rFonts w:ascii="仿宋" w:hAnsi="仿宋" w:eastAsia="仿宋"/>
              </w:rPr>
            </w:pPr>
            <w:r>
              <w:rPr>
                <w:rFonts w:hint="eastAsia" w:ascii="仿宋" w:hAnsi="仿宋" w:eastAsia="仿宋" w:cs="仿宋_GB2312"/>
              </w:rPr>
              <w:t>参赛选手举手示意后，现场裁判计时并确认后重启机器，并由裁判长酌情确定应计入延时的时间。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7" w:hRule="atLeast"/>
        </w:trPr>
        <w:tc>
          <w:tcPr>
            <w:tcW w:w="1560" w:type="dxa"/>
            <w:vAlign w:val="center"/>
          </w:tcPr>
          <w:p>
            <w:pPr>
              <w:pStyle w:val="33"/>
              <w:spacing w:line="560" w:lineRule="exact"/>
              <w:rPr>
                <w:rFonts w:ascii="仿宋" w:hAnsi="仿宋" w:eastAsia="仿宋"/>
              </w:rPr>
            </w:pPr>
            <w:r>
              <w:rPr>
                <w:rFonts w:hint="eastAsia" w:ascii="仿宋" w:hAnsi="仿宋" w:eastAsia="仿宋" w:cs="仿宋_GB2312"/>
              </w:rPr>
              <w:t>电缆故障</w:t>
            </w:r>
          </w:p>
        </w:tc>
        <w:tc>
          <w:tcPr>
            <w:tcW w:w="3260" w:type="dxa"/>
            <w:vAlign w:val="center"/>
          </w:tcPr>
          <w:p>
            <w:pPr>
              <w:pStyle w:val="33"/>
              <w:spacing w:line="560" w:lineRule="exact"/>
              <w:jc w:val="left"/>
              <w:rPr>
                <w:rFonts w:ascii="仿宋" w:hAnsi="仿宋" w:eastAsia="仿宋"/>
              </w:rPr>
            </w:pPr>
            <w:r>
              <w:rPr>
                <w:rFonts w:hint="eastAsia" w:ascii="仿宋" w:hAnsi="仿宋" w:eastAsia="仿宋" w:cs="仿宋_GB2312"/>
              </w:rPr>
              <w:t>提前测试并准备备用线缆。</w:t>
            </w:r>
          </w:p>
        </w:tc>
        <w:tc>
          <w:tcPr>
            <w:tcW w:w="3544" w:type="dxa"/>
            <w:vAlign w:val="center"/>
          </w:tcPr>
          <w:p>
            <w:pPr>
              <w:pStyle w:val="33"/>
              <w:spacing w:line="560" w:lineRule="exact"/>
              <w:jc w:val="left"/>
              <w:rPr>
                <w:rFonts w:ascii="仿宋" w:hAnsi="仿宋" w:eastAsia="仿宋"/>
              </w:rPr>
            </w:pPr>
            <w:r>
              <w:rPr>
                <w:rFonts w:hint="eastAsia" w:ascii="仿宋" w:hAnsi="仿宋" w:eastAsia="仿宋" w:cs="仿宋_GB2312"/>
              </w:rPr>
              <w:t>使用备用线缆，并用测线仪现场测试后替换。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83" w:hRule="atLeast"/>
        </w:trPr>
        <w:tc>
          <w:tcPr>
            <w:tcW w:w="1560" w:type="dxa"/>
            <w:vAlign w:val="center"/>
          </w:tcPr>
          <w:p>
            <w:pPr>
              <w:pStyle w:val="33"/>
              <w:spacing w:line="560" w:lineRule="exact"/>
              <w:rPr>
                <w:rFonts w:ascii="仿宋" w:hAnsi="仿宋" w:eastAsia="仿宋"/>
              </w:rPr>
            </w:pPr>
            <w:r>
              <w:rPr>
                <w:rFonts w:hint="eastAsia" w:ascii="仿宋" w:hAnsi="仿宋" w:eastAsia="仿宋" w:cs="仿宋_GB2312"/>
              </w:rPr>
              <w:t>现场网络线缆故障</w:t>
            </w:r>
          </w:p>
        </w:tc>
        <w:tc>
          <w:tcPr>
            <w:tcW w:w="3260" w:type="dxa"/>
            <w:vAlign w:val="center"/>
          </w:tcPr>
          <w:p>
            <w:pPr>
              <w:pStyle w:val="33"/>
              <w:spacing w:line="560" w:lineRule="exact"/>
              <w:jc w:val="left"/>
              <w:rPr>
                <w:rFonts w:ascii="仿宋" w:hAnsi="仿宋" w:eastAsia="仿宋"/>
              </w:rPr>
            </w:pPr>
            <w:r>
              <w:rPr>
                <w:rFonts w:hint="eastAsia" w:ascii="仿宋" w:hAnsi="仿宋" w:eastAsia="仿宋" w:cs="仿宋_GB2312"/>
              </w:rPr>
              <w:t>按照规范进行现场布线，尽量走暗槽或现场人员接触不到的地方，对主要线路要在走线槽内留有备用线缆。</w:t>
            </w:r>
          </w:p>
        </w:tc>
        <w:tc>
          <w:tcPr>
            <w:tcW w:w="3544" w:type="dxa"/>
            <w:vAlign w:val="center"/>
          </w:tcPr>
          <w:p>
            <w:pPr>
              <w:pStyle w:val="33"/>
              <w:spacing w:line="560" w:lineRule="exact"/>
              <w:jc w:val="left"/>
              <w:rPr>
                <w:rFonts w:ascii="仿宋" w:hAnsi="仿宋" w:eastAsia="仿宋"/>
              </w:rPr>
            </w:pPr>
            <w:r>
              <w:rPr>
                <w:rFonts w:hint="eastAsia" w:ascii="仿宋" w:hAnsi="仿宋" w:eastAsia="仿宋" w:cs="仿宋_GB2312"/>
              </w:rPr>
              <w:t>启用备用线缆。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1560" w:type="dxa"/>
            <w:vAlign w:val="center"/>
          </w:tcPr>
          <w:p>
            <w:pPr>
              <w:pStyle w:val="33"/>
              <w:spacing w:line="560" w:lineRule="exact"/>
              <w:rPr>
                <w:rFonts w:ascii="仿宋" w:hAnsi="仿宋" w:eastAsia="仿宋"/>
              </w:rPr>
            </w:pPr>
            <w:r>
              <w:rPr>
                <w:rFonts w:hint="eastAsia" w:ascii="仿宋" w:hAnsi="仿宋" w:eastAsia="仿宋" w:cs="仿宋_GB2312"/>
              </w:rPr>
              <w:t>开机负载高电源故障</w:t>
            </w:r>
          </w:p>
        </w:tc>
        <w:tc>
          <w:tcPr>
            <w:tcW w:w="3260" w:type="dxa"/>
            <w:vAlign w:val="center"/>
          </w:tcPr>
          <w:p>
            <w:pPr>
              <w:pStyle w:val="33"/>
              <w:spacing w:line="560" w:lineRule="exact"/>
              <w:jc w:val="left"/>
              <w:rPr>
                <w:rFonts w:ascii="仿宋" w:hAnsi="仿宋" w:eastAsia="仿宋"/>
              </w:rPr>
            </w:pPr>
            <w:r>
              <w:rPr>
                <w:rFonts w:hint="eastAsia" w:ascii="仿宋" w:hAnsi="仿宋" w:eastAsia="仿宋" w:cs="仿宋_GB2312"/>
              </w:rPr>
              <w:t>提前一天开通网络设备，开机直到竞赛结束。</w:t>
            </w:r>
          </w:p>
        </w:tc>
        <w:tc>
          <w:tcPr>
            <w:tcW w:w="3544" w:type="dxa"/>
            <w:vAlign w:val="center"/>
          </w:tcPr>
          <w:p>
            <w:pPr>
              <w:pStyle w:val="33"/>
              <w:spacing w:line="560" w:lineRule="exact"/>
              <w:jc w:val="left"/>
              <w:rPr>
                <w:rFonts w:ascii="仿宋" w:hAnsi="仿宋" w:eastAsia="仿宋"/>
              </w:rPr>
            </w:pPr>
            <w:r>
              <w:rPr>
                <w:rFonts w:hint="eastAsia" w:ascii="仿宋" w:hAnsi="仿宋" w:eastAsia="仿宋" w:cs="仿宋_GB2312"/>
              </w:rPr>
              <w:t>使用备用赛位。</w:t>
            </w:r>
          </w:p>
        </w:tc>
      </w:tr>
    </w:tbl>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赛项</w:t>
      </w:r>
      <w:r>
        <w:rPr>
          <w:rFonts w:hint="eastAsia" w:ascii="Arial Narrow" w:hAnsi="Arial Narrow" w:eastAsia="仿宋_GB2312" w:cs="Arial"/>
          <w:sz w:val="30"/>
          <w:szCs w:val="30"/>
        </w:rPr>
        <w:t>执委会会同承办单位制定开放赛场和竞赛观摩区的人员疏导方案。赛场环境中如存在人员密集、车流人流交错的区域，除了设置齐全的指示标志外，须增加引导人员，并开辟备用通道。</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大赛期间，承办单位须在赛场管理的关键岗位，增加力量，建立安全管理日志。</w:t>
      </w:r>
    </w:p>
    <w:p>
      <w:pPr>
        <w:snapToGrid w:val="0"/>
        <w:spacing w:line="560" w:lineRule="exact"/>
        <w:ind w:firstLine="600" w:firstLineChars="200"/>
        <w:rPr>
          <w:rFonts w:ascii="Arial Narrow" w:hAnsi="Arial Narrow" w:eastAsia="仿宋_GB2312" w:cs="Arial"/>
          <w:sz w:val="30"/>
          <w:szCs w:val="30"/>
        </w:rPr>
      </w:pPr>
      <w:bookmarkStart w:id="19" w:name="_Toc361563585"/>
      <w:r>
        <w:rPr>
          <w:rFonts w:hint="eastAsia" w:ascii="Arial Narrow" w:hAnsi="Arial Narrow" w:eastAsia="仿宋_GB2312" w:cs="Arial"/>
          <w:sz w:val="30"/>
          <w:szCs w:val="30"/>
        </w:rPr>
        <w:t>（二）生活条件</w:t>
      </w:r>
      <w:bookmarkEnd w:id="19"/>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竞赛期间，原则上由执委会统一安排参赛选手和指导教师食宿。承办单位须尊重少数民族的信仰及文化，根据国家相关的民族政策，安排好少数民族选手和教师的饮食起居。</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竞赛期间安排的住宿地应具有宾馆/住宿经营许可资质。以学校宿舍作为住宿地的，大赛期间的住宿、卫生、饮食安全等由执委会和提供宿舍的学校共同负责。</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大赛期间有组织的参观和观摩活动的交通安全由执委会负责。执委会和承办单位须保证竞赛期间选手、指导教师和裁判员、工作人员的交通安全。</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各赛项的安全管理，除了可以采取必要的安全隔离措施外，应严格遵守国家相关法律法规，保护个人隐私和人身自由。</w:t>
      </w:r>
    </w:p>
    <w:p>
      <w:pPr>
        <w:snapToGrid w:val="0"/>
        <w:spacing w:line="560" w:lineRule="exact"/>
        <w:ind w:firstLine="600" w:firstLineChars="200"/>
        <w:rPr>
          <w:rFonts w:ascii="Arial Narrow" w:hAnsi="Arial Narrow" w:eastAsia="仿宋_GB2312" w:cs="Arial"/>
          <w:sz w:val="30"/>
          <w:szCs w:val="30"/>
        </w:rPr>
      </w:pPr>
      <w:bookmarkStart w:id="20" w:name="_Toc361563586"/>
      <w:r>
        <w:rPr>
          <w:rFonts w:hint="eastAsia" w:ascii="Arial Narrow" w:hAnsi="Arial Narrow" w:eastAsia="仿宋_GB2312" w:cs="Arial"/>
          <w:sz w:val="30"/>
          <w:szCs w:val="30"/>
        </w:rPr>
        <w:t>（三）组队责任</w:t>
      </w:r>
      <w:bookmarkEnd w:id="20"/>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1.各学校组织代表队时，须安排为参赛选手购买大赛期间的人身意外伤害保险。</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2.各学校代表队组成后，须制定相关管理制度，并对所有选手、指导教师进行安全教育。</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3.各参赛队伍须加强对参与竞赛人员的安全管理，实现与赛场安全管理的对接。</w:t>
      </w:r>
    </w:p>
    <w:p>
      <w:pPr>
        <w:snapToGrid w:val="0"/>
        <w:spacing w:line="560" w:lineRule="exact"/>
        <w:ind w:firstLine="600" w:firstLineChars="200"/>
        <w:rPr>
          <w:rFonts w:ascii="Arial Narrow" w:hAnsi="Arial Narrow" w:eastAsia="仿宋_GB2312" w:cs="Arial"/>
          <w:sz w:val="30"/>
          <w:szCs w:val="30"/>
        </w:rPr>
      </w:pPr>
      <w:bookmarkStart w:id="21" w:name="_Toc361563587"/>
      <w:r>
        <w:rPr>
          <w:rFonts w:hint="eastAsia" w:ascii="Arial Narrow" w:hAnsi="Arial Narrow" w:eastAsia="仿宋_GB2312" w:cs="Arial"/>
          <w:sz w:val="30"/>
          <w:szCs w:val="30"/>
        </w:rPr>
        <w:t>（四）应急处理</w:t>
      </w:r>
      <w:bookmarkEnd w:id="21"/>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竞赛期间发生意外事故，发现者应第一时间报告赛项执委会，同时采取措施避免事态扩大。赛项执委会应立即启动预案予以解决并报告赛区执委会。赛项出现重大安全问题可以停赛，是否停赛由赛区组委会决定。事后，赛区执委会应向大赛执委会报告详细情况。</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（五）处罚措施</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1.因参赛队伍原因造成重大安全事故的，取消其获奖资格。</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2.参赛队伍有发生重大安全事故隐患，经赛场工作人员提示、</w:t>
      </w:r>
      <w:r>
        <w:rPr>
          <w:rFonts w:hint="eastAsia" w:ascii="仿宋_GB2312" w:hAnsi="仿宋_GB2312" w:eastAsia="仿宋_GB2312" w:cs="仿宋_GB2312"/>
          <w:bCs/>
          <w:kern w:val="0"/>
          <w:sz w:val="30"/>
          <w:szCs w:val="30"/>
        </w:rPr>
        <w:t>警</w:t>
      </w:r>
      <w:r>
        <w:rPr>
          <w:rFonts w:hint="eastAsia" w:ascii="Arial Narrow" w:hAnsi="Arial Narrow" w:eastAsia="仿宋_GB2312" w:cs="Arial"/>
          <w:sz w:val="30"/>
          <w:szCs w:val="30"/>
        </w:rPr>
        <w:t>告无效的，可取消其继续竞赛的资格。</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3.赛事工作人员违规的，按照相应的制度追究责任。情节恶劣并造成重大安全事故的，由司法机关追究相应法律责任。</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十五、经费概算</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按照《全国职业院校技能大赛经费管理暂行办法》的有关要求，制定赛项经费概算。</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本赛项经费实行统筹管理,以下预算仅供参考。</w:t>
      </w:r>
    </w:p>
    <w:p>
      <w:pPr>
        <w:snapToGrid w:val="0"/>
        <w:spacing w:line="560" w:lineRule="exact"/>
        <w:ind w:firstLine="600" w:firstLineChars="200"/>
        <w:rPr>
          <w:rFonts w:ascii="Arial Narrow" w:hAnsi="Arial Narrow" w:eastAsia="仿宋_GB2312" w:cs="Arial"/>
          <w:sz w:val="30"/>
          <w:szCs w:val="30"/>
        </w:rPr>
      </w:pPr>
    </w:p>
    <w:p>
      <w:pPr>
        <w:pStyle w:val="7"/>
      </w:pPr>
      <w:r>
        <w:t>表10 经费预算表</w:t>
      </w:r>
    </w:p>
    <w:tbl>
      <w:tblPr>
        <w:tblStyle w:val="20"/>
        <w:tblW w:w="8640" w:type="dxa"/>
        <w:tblInd w:w="93" w:type="dxa"/>
        <w:tblLayout w:type="fixed"/>
        <w:tblCellMar>
          <w:top w:w="0" w:type="dxa"/>
          <w:left w:w="108" w:type="dxa"/>
          <w:bottom w:w="0" w:type="dxa"/>
          <w:right w:w="108" w:type="dxa"/>
        </w:tblCellMar>
      </w:tblPr>
      <w:tblGrid>
        <w:gridCol w:w="1080"/>
        <w:gridCol w:w="4160"/>
        <w:gridCol w:w="3400"/>
      </w:tblGrid>
      <w:tr>
        <w:tblPrEx>
          <w:tblLayout w:type="fixed"/>
          <w:tblCellMar>
            <w:top w:w="0" w:type="dxa"/>
            <w:left w:w="108" w:type="dxa"/>
            <w:bottom w:w="0" w:type="dxa"/>
            <w:right w:w="108" w:type="dxa"/>
          </w:tblCellMar>
        </w:tblPrEx>
        <w:trPr>
          <w:trHeight w:val="676" w:hRule="atLeast"/>
        </w:trPr>
        <w:tc>
          <w:tcPr>
            <w:tcW w:w="108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b/>
                <w:bCs/>
                <w:color w:val="000000"/>
                <w:kern w:val="0"/>
                <w:sz w:val="24"/>
                <w:szCs w:val="24"/>
              </w:rPr>
            </w:pPr>
            <w:r>
              <w:rPr>
                <w:rFonts w:ascii="仿宋" w:hAnsi="仿宋" w:eastAsia="仿宋"/>
                <w:b/>
                <w:bCs/>
                <w:color w:val="000000"/>
                <w:kern w:val="0"/>
                <w:sz w:val="24"/>
                <w:szCs w:val="24"/>
              </w:rPr>
              <w:t>序号</w:t>
            </w:r>
          </w:p>
        </w:tc>
        <w:tc>
          <w:tcPr>
            <w:tcW w:w="4160" w:type="dxa"/>
            <w:tcBorders>
              <w:top w:val="single" w:color="auto" w:sz="8" w:space="0"/>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b/>
                <w:bCs/>
                <w:color w:val="000000"/>
                <w:kern w:val="0"/>
                <w:sz w:val="24"/>
                <w:szCs w:val="24"/>
              </w:rPr>
            </w:pPr>
            <w:r>
              <w:rPr>
                <w:rFonts w:ascii="仿宋" w:hAnsi="仿宋" w:eastAsia="仿宋"/>
                <w:b/>
                <w:bCs/>
                <w:color w:val="000000"/>
                <w:kern w:val="0"/>
                <w:sz w:val="24"/>
                <w:szCs w:val="24"/>
              </w:rPr>
              <w:t>项目名称</w:t>
            </w:r>
          </w:p>
        </w:tc>
        <w:tc>
          <w:tcPr>
            <w:tcW w:w="3400" w:type="dxa"/>
            <w:tcBorders>
              <w:top w:val="single" w:color="auto" w:sz="8" w:space="0"/>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b/>
                <w:bCs/>
                <w:color w:val="000000"/>
                <w:kern w:val="0"/>
                <w:sz w:val="24"/>
                <w:szCs w:val="24"/>
              </w:rPr>
            </w:pPr>
            <w:r>
              <w:rPr>
                <w:rFonts w:ascii="仿宋" w:hAnsi="仿宋" w:eastAsia="仿宋"/>
                <w:b/>
                <w:bCs/>
                <w:color w:val="000000"/>
                <w:kern w:val="0"/>
                <w:sz w:val="24"/>
                <w:szCs w:val="24"/>
              </w:rPr>
              <w:t>金额（万元）</w:t>
            </w:r>
          </w:p>
        </w:tc>
      </w:tr>
      <w:tr>
        <w:tblPrEx>
          <w:tblLayout w:type="fixed"/>
          <w:tblCellMar>
            <w:top w:w="0" w:type="dxa"/>
            <w:left w:w="108" w:type="dxa"/>
            <w:bottom w:w="0" w:type="dxa"/>
            <w:right w:w="108" w:type="dxa"/>
          </w:tblCellMar>
        </w:tblPrEx>
        <w:trPr>
          <w:trHeight w:val="402" w:hRule="atLeast"/>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1</w:t>
            </w:r>
          </w:p>
        </w:tc>
        <w:tc>
          <w:tcPr>
            <w:tcW w:w="4160" w:type="dxa"/>
            <w:tcBorders>
              <w:top w:val="nil"/>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专家费（含住宿、餐饮、劳务费）</w:t>
            </w:r>
          </w:p>
        </w:tc>
        <w:tc>
          <w:tcPr>
            <w:tcW w:w="3400" w:type="dxa"/>
            <w:tcBorders>
              <w:top w:val="nil"/>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8</w:t>
            </w:r>
          </w:p>
        </w:tc>
      </w:tr>
      <w:tr>
        <w:tblPrEx>
          <w:tblLayout w:type="fixed"/>
          <w:tblCellMar>
            <w:top w:w="0" w:type="dxa"/>
            <w:left w:w="108" w:type="dxa"/>
            <w:bottom w:w="0" w:type="dxa"/>
            <w:right w:w="108" w:type="dxa"/>
          </w:tblCellMar>
        </w:tblPrEx>
        <w:trPr>
          <w:trHeight w:val="402" w:hRule="atLeast"/>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2</w:t>
            </w:r>
          </w:p>
        </w:tc>
        <w:tc>
          <w:tcPr>
            <w:tcW w:w="4160" w:type="dxa"/>
            <w:tcBorders>
              <w:top w:val="nil"/>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裁判费（含住宿、餐饮、劳务费）</w:t>
            </w:r>
          </w:p>
        </w:tc>
        <w:tc>
          <w:tcPr>
            <w:tcW w:w="3400" w:type="dxa"/>
            <w:tcBorders>
              <w:top w:val="nil"/>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10</w:t>
            </w:r>
          </w:p>
        </w:tc>
      </w:tr>
      <w:tr>
        <w:tblPrEx>
          <w:tblLayout w:type="fixed"/>
          <w:tblCellMar>
            <w:top w:w="0" w:type="dxa"/>
            <w:left w:w="108" w:type="dxa"/>
            <w:bottom w:w="0" w:type="dxa"/>
            <w:right w:w="108" w:type="dxa"/>
          </w:tblCellMar>
        </w:tblPrEx>
        <w:trPr>
          <w:trHeight w:val="402" w:hRule="atLeast"/>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3</w:t>
            </w:r>
          </w:p>
        </w:tc>
        <w:tc>
          <w:tcPr>
            <w:tcW w:w="4160" w:type="dxa"/>
            <w:tcBorders>
              <w:top w:val="nil"/>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其他工作人员费用（含住宿、餐饮、劳务费）</w:t>
            </w:r>
          </w:p>
        </w:tc>
        <w:tc>
          <w:tcPr>
            <w:tcW w:w="3400" w:type="dxa"/>
            <w:tcBorders>
              <w:top w:val="nil"/>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8</w:t>
            </w:r>
          </w:p>
        </w:tc>
      </w:tr>
      <w:tr>
        <w:tblPrEx>
          <w:tblLayout w:type="fixed"/>
          <w:tblCellMar>
            <w:top w:w="0" w:type="dxa"/>
            <w:left w:w="108" w:type="dxa"/>
            <w:bottom w:w="0" w:type="dxa"/>
            <w:right w:w="108" w:type="dxa"/>
          </w:tblCellMar>
        </w:tblPrEx>
        <w:trPr>
          <w:trHeight w:val="402" w:hRule="atLeast"/>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4</w:t>
            </w:r>
          </w:p>
        </w:tc>
        <w:tc>
          <w:tcPr>
            <w:tcW w:w="4160" w:type="dxa"/>
            <w:tcBorders>
              <w:top w:val="nil"/>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大赛宣传</w:t>
            </w:r>
          </w:p>
        </w:tc>
        <w:tc>
          <w:tcPr>
            <w:tcW w:w="3400" w:type="dxa"/>
            <w:tcBorders>
              <w:top w:val="nil"/>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8</w:t>
            </w:r>
          </w:p>
        </w:tc>
      </w:tr>
      <w:tr>
        <w:tblPrEx>
          <w:tblLayout w:type="fixed"/>
          <w:tblCellMar>
            <w:top w:w="0" w:type="dxa"/>
            <w:left w:w="108" w:type="dxa"/>
            <w:bottom w:w="0" w:type="dxa"/>
            <w:right w:w="108" w:type="dxa"/>
          </w:tblCellMar>
        </w:tblPrEx>
        <w:trPr>
          <w:trHeight w:val="402" w:hRule="atLeast"/>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5</w:t>
            </w:r>
          </w:p>
        </w:tc>
        <w:tc>
          <w:tcPr>
            <w:tcW w:w="4160" w:type="dxa"/>
            <w:tcBorders>
              <w:top w:val="nil"/>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场地租赁布置</w:t>
            </w:r>
          </w:p>
        </w:tc>
        <w:tc>
          <w:tcPr>
            <w:tcW w:w="3400" w:type="dxa"/>
            <w:tcBorders>
              <w:top w:val="nil"/>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10</w:t>
            </w:r>
          </w:p>
        </w:tc>
      </w:tr>
      <w:tr>
        <w:tblPrEx>
          <w:tblLayout w:type="fixed"/>
          <w:tblCellMar>
            <w:top w:w="0" w:type="dxa"/>
            <w:left w:w="108" w:type="dxa"/>
            <w:bottom w:w="0" w:type="dxa"/>
            <w:right w:w="108" w:type="dxa"/>
          </w:tblCellMar>
        </w:tblPrEx>
        <w:trPr>
          <w:trHeight w:val="402" w:hRule="atLeast"/>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6</w:t>
            </w:r>
          </w:p>
        </w:tc>
        <w:tc>
          <w:tcPr>
            <w:tcW w:w="4160" w:type="dxa"/>
            <w:tcBorders>
              <w:top w:val="nil"/>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赛务筹备会</w:t>
            </w:r>
          </w:p>
        </w:tc>
        <w:tc>
          <w:tcPr>
            <w:tcW w:w="3400" w:type="dxa"/>
            <w:tcBorders>
              <w:top w:val="nil"/>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8</w:t>
            </w:r>
          </w:p>
        </w:tc>
      </w:tr>
      <w:tr>
        <w:tblPrEx>
          <w:tblLayout w:type="fixed"/>
          <w:tblCellMar>
            <w:top w:w="0" w:type="dxa"/>
            <w:left w:w="108" w:type="dxa"/>
            <w:bottom w:w="0" w:type="dxa"/>
            <w:right w:w="108" w:type="dxa"/>
          </w:tblCellMar>
        </w:tblPrEx>
        <w:trPr>
          <w:trHeight w:val="402" w:hRule="atLeast"/>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7</w:t>
            </w:r>
          </w:p>
        </w:tc>
        <w:tc>
          <w:tcPr>
            <w:tcW w:w="4160" w:type="dxa"/>
            <w:tcBorders>
              <w:top w:val="nil"/>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奖品</w:t>
            </w:r>
          </w:p>
        </w:tc>
        <w:tc>
          <w:tcPr>
            <w:tcW w:w="3400" w:type="dxa"/>
            <w:tcBorders>
              <w:top w:val="nil"/>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hint="eastAsia" w:ascii="仿宋" w:hAnsi="仿宋" w:eastAsia="仿宋"/>
                <w:kern w:val="0"/>
                <w:sz w:val="24"/>
                <w:szCs w:val="24"/>
              </w:rPr>
              <w:t>6.6</w:t>
            </w:r>
          </w:p>
        </w:tc>
      </w:tr>
      <w:tr>
        <w:tblPrEx>
          <w:tblLayout w:type="fixed"/>
          <w:tblCellMar>
            <w:top w:w="0" w:type="dxa"/>
            <w:left w:w="108" w:type="dxa"/>
            <w:bottom w:w="0" w:type="dxa"/>
            <w:right w:w="108" w:type="dxa"/>
          </w:tblCellMar>
        </w:tblPrEx>
        <w:trPr>
          <w:trHeight w:val="402" w:hRule="atLeast"/>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8</w:t>
            </w:r>
          </w:p>
        </w:tc>
        <w:tc>
          <w:tcPr>
            <w:tcW w:w="4160" w:type="dxa"/>
            <w:tcBorders>
              <w:top w:val="nil"/>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服装费</w:t>
            </w:r>
          </w:p>
        </w:tc>
        <w:tc>
          <w:tcPr>
            <w:tcW w:w="3400" w:type="dxa"/>
            <w:tcBorders>
              <w:top w:val="nil"/>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1</w:t>
            </w:r>
          </w:p>
        </w:tc>
      </w:tr>
      <w:tr>
        <w:tblPrEx>
          <w:tblLayout w:type="fixed"/>
          <w:tblCellMar>
            <w:top w:w="0" w:type="dxa"/>
            <w:left w:w="108" w:type="dxa"/>
            <w:bottom w:w="0" w:type="dxa"/>
            <w:right w:w="108" w:type="dxa"/>
          </w:tblCellMar>
        </w:tblPrEx>
        <w:trPr>
          <w:trHeight w:val="402" w:hRule="atLeast"/>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9</w:t>
            </w:r>
          </w:p>
        </w:tc>
        <w:tc>
          <w:tcPr>
            <w:tcW w:w="4160" w:type="dxa"/>
            <w:tcBorders>
              <w:top w:val="nil"/>
              <w:left w:val="nil"/>
              <w:bottom w:val="single" w:color="auto" w:sz="8" w:space="0"/>
              <w:right w:val="single" w:color="auto" w:sz="8" w:space="0"/>
            </w:tcBorders>
            <w:shd w:val="clear" w:color="auto" w:fill="auto"/>
            <w:vAlign w:val="center"/>
          </w:tcPr>
          <w:p>
            <w:pPr>
              <w:widowControl/>
              <w:spacing w:line="560" w:lineRule="exact"/>
              <w:jc w:val="left"/>
              <w:rPr>
                <w:rFonts w:ascii="仿宋" w:hAnsi="仿宋" w:eastAsia="仿宋"/>
                <w:kern w:val="0"/>
                <w:sz w:val="24"/>
                <w:szCs w:val="24"/>
              </w:rPr>
            </w:pPr>
            <w:r>
              <w:rPr>
                <w:rFonts w:ascii="仿宋" w:hAnsi="仿宋" w:eastAsia="仿宋"/>
                <w:kern w:val="0"/>
                <w:sz w:val="24"/>
                <w:szCs w:val="24"/>
              </w:rPr>
              <w:t xml:space="preserve"> </w:t>
            </w:r>
            <w:r>
              <w:rPr>
                <w:rFonts w:hint="eastAsia" w:ascii="仿宋" w:hAnsi="仿宋" w:eastAsia="仿宋"/>
                <w:kern w:val="0"/>
                <w:sz w:val="24"/>
                <w:szCs w:val="24"/>
              </w:rPr>
              <w:t>竞赛设备包含：</w:t>
            </w:r>
            <w:r>
              <w:rPr>
                <w:rFonts w:ascii="仿宋" w:hAnsi="仿宋" w:eastAsia="仿宋"/>
                <w:kern w:val="0"/>
                <w:sz w:val="24"/>
                <w:szCs w:val="24"/>
              </w:rPr>
              <w:t xml:space="preserve">4G LTE </w:t>
            </w:r>
            <w:r>
              <w:rPr>
                <w:rFonts w:hint="eastAsia" w:ascii="仿宋" w:hAnsi="仿宋" w:eastAsia="仿宋"/>
                <w:sz w:val="24"/>
                <w:szCs w:val="24"/>
              </w:rPr>
              <w:t>&amp;Pre5G</w:t>
            </w:r>
            <w:r>
              <w:rPr>
                <w:rFonts w:ascii="仿宋" w:hAnsi="仿宋" w:eastAsia="仿宋"/>
                <w:kern w:val="0"/>
                <w:sz w:val="24"/>
                <w:szCs w:val="24"/>
              </w:rPr>
              <w:t>全网竞技系统</w:t>
            </w:r>
            <w:r>
              <w:rPr>
                <w:rFonts w:hint="eastAsia" w:ascii="仿宋" w:hAnsi="仿宋" w:eastAsia="仿宋"/>
                <w:kern w:val="0"/>
                <w:sz w:val="24"/>
                <w:szCs w:val="24"/>
              </w:rPr>
              <w:t>一套、NB-IoT 全网竞技系统一套、本地服务器一套</w:t>
            </w:r>
          </w:p>
        </w:tc>
        <w:tc>
          <w:tcPr>
            <w:tcW w:w="3400" w:type="dxa"/>
            <w:tcBorders>
              <w:top w:val="nil"/>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hint="eastAsia" w:ascii="仿宋" w:hAnsi="仿宋" w:eastAsia="仿宋"/>
                <w:kern w:val="0"/>
                <w:sz w:val="24"/>
                <w:szCs w:val="24"/>
              </w:rPr>
              <w:t>由合作企业提供</w:t>
            </w:r>
          </w:p>
        </w:tc>
      </w:tr>
      <w:tr>
        <w:tblPrEx>
          <w:tblLayout w:type="fixed"/>
          <w:tblCellMar>
            <w:top w:w="0" w:type="dxa"/>
            <w:left w:w="108" w:type="dxa"/>
            <w:bottom w:w="0" w:type="dxa"/>
            <w:right w:w="108" w:type="dxa"/>
          </w:tblCellMar>
        </w:tblPrEx>
        <w:trPr>
          <w:trHeight w:val="402" w:hRule="atLeast"/>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10</w:t>
            </w:r>
          </w:p>
        </w:tc>
        <w:tc>
          <w:tcPr>
            <w:tcW w:w="4160" w:type="dxa"/>
            <w:tcBorders>
              <w:top w:val="nil"/>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资源转化费用</w:t>
            </w:r>
          </w:p>
        </w:tc>
        <w:tc>
          <w:tcPr>
            <w:tcW w:w="3400" w:type="dxa"/>
            <w:tcBorders>
              <w:top w:val="nil"/>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8</w:t>
            </w:r>
          </w:p>
        </w:tc>
      </w:tr>
      <w:tr>
        <w:tblPrEx>
          <w:tblLayout w:type="fixed"/>
          <w:tblCellMar>
            <w:top w:w="0" w:type="dxa"/>
            <w:left w:w="108" w:type="dxa"/>
            <w:bottom w:w="0" w:type="dxa"/>
            <w:right w:w="108" w:type="dxa"/>
          </w:tblCellMar>
        </w:tblPrEx>
        <w:trPr>
          <w:trHeight w:val="402" w:hRule="atLeast"/>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11</w:t>
            </w:r>
          </w:p>
        </w:tc>
        <w:tc>
          <w:tcPr>
            <w:tcW w:w="4160" w:type="dxa"/>
            <w:tcBorders>
              <w:top w:val="nil"/>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不可预见费</w:t>
            </w:r>
          </w:p>
        </w:tc>
        <w:tc>
          <w:tcPr>
            <w:tcW w:w="3400" w:type="dxa"/>
            <w:tcBorders>
              <w:top w:val="nil"/>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5</w:t>
            </w:r>
          </w:p>
        </w:tc>
      </w:tr>
      <w:tr>
        <w:tblPrEx>
          <w:tblLayout w:type="fixed"/>
          <w:tblCellMar>
            <w:top w:w="0" w:type="dxa"/>
            <w:left w:w="108" w:type="dxa"/>
            <w:bottom w:w="0" w:type="dxa"/>
            <w:right w:w="108" w:type="dxa"/>
          </w:tblCellMar>
        </w:tblPrEx>
        <w:trPr>
          <w:trHeight w:val="402" w:hRule="atLeast"/>
        </w:trPr>
        <w:tc>
          <w:tcPr>
            <w:tcW w:w="1080" w:type="dxa"/>
            <w:tcBorders>
              <w:top w:val="nil"/>
              <w:left w:val="single" w:color="auto" w:sz="8" w:space="0"/>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color w:val="000000"/>
                <w:kern w:val="0"/>
                <w:sz w:val="24"/>
                <w:szCs w:val="24"/>
              </w:rPr>
            </w:pPr>
            <w:r>
              <w:rPr>
                <w:rFonts w:ascii="仿宋" w:hAnsi="仿宋" w:eastAsia="仿宋"/>
                <w:color w:val="000000"/>
                <w:kern w:val="0"/>
                <w:sz w:val="24"/>
                <w:szCs w:val="24"/>
              </w:rPr>
              <w:t>　</w:t>
            </w:r>
          </w:p>
        </w:tc>
        <w:tc>
          <w:tcPr>
            <w:tcW w:w="4160" w:type="dxa"/>
            <w:tcBorders>
              <w:top w:val="nil"/>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color w:val="000000"/>
                <w:kern w:val="0"/>
                <w:sz w:val="24"/>
                <w:szCs w:val="24"/>
              </w:rPr>
            </w:pPr>
            <w:r>
              <w:rPr>
                <w:rFonts w:ascii="仿宋" w:hAnsi="仿宋" w:eastAsia="仿宋"/>
                <w:color w:val="000000"/>
                <w:kern w:val="0"/>
                <w:sz w:val="24"/>
                <w:szCs w:val="24"/>
              </w:rPr>
              <w:t>合计</w:t>
            </w:r>
          </w:p>
        </w:tc>
        <w:tc>
          <w:tcPr>
            <w:tcW w:w="3400" w:type="dxa"/>
            <w:tcBorders>
              <w:top w:val="nil"/>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color w:val="000000"/>
                <w:kern w:val="0"/>
                <w:sz w:val="24"/>
                <w:szCs w:val="24"/>
              </w:rPr>
            </w:pPr>
            <w:r>
              <w:rPr>
                <w:rFonts w:hint="eastAsia" w:ascii="仿宋" w:hAnsi="仿宋" w:eastAsia="仿宋"/>
                <w:color w:val="000000"/>
                <w:kern w:val="0"/>
                <w:sz w:val="24"/>
                <w:szCs w:val="24"/>
              </w:rPr>
              <w:t>72.6</w:t>
            </w:r>
          </w:p>
        </w:tc>
      </w:tr>
    </w:tbl>
    <w:p>
      <w:pPr>
        <w:snapToGrid w:val="0"/>
        <w:spacing w:line="560" w:lineRule="exact"/>
        <w:outlineLvl w:val="0"/>
        <w:rPr>
          <w:rFonts w:ascii="黑体" w:hAnsi="黑体" w:eastAsia="黑体" w:cs="黑体"/>
          <w:bCs/>
          <w:sz w:val="30"/>
          <w:szCs w:val="30"/>
        </w:rPr>
      </w:pPr>
      <w:bookmarkStart w:id="22" w:name="_Toc522022181"/>
      <w:r>
        <w:rPr>
          <w:rFonts w:hint="eastAsia" w:ascii="黑体" w:hAnsi="黑体" w:eastAsia="黑体" w:cs="黑体"/>
          <w:bCs/>
          <w:sz w:val="30"/>
          <w:szCs w:val="30"/>
        </w:rPr>
        <w:t>十六、比赛组织与管理</w:t>
      </w:r>
      <w:bookmarkEnd w:id="22"/>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本赛项组织机构包括赛项执行委员会、赛项专家组、赛项承办院校、赛项裁判组、赛项监督组、赛项仲裁组。</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（一）赛项执委会</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赛项执委会全面负责本赛项的筹备与实施工作，接受大赛组委会领导，接受赛项所在分赛区执行委员会的协调和指导。赛项执委会的主要职责包括：领导、协调赛项专家组和赛项承办单位开展本赛项的组织工作，管理赛项经费，选荐赛项专家组人员及赛项裁判与仲裁人员等。</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（二）赛项专家组</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赛项专家组人员须报大赛执委会办公室核准。</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（三）赛项承办院校</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赛项承办院校在赛项执委会领导下，负责承办赛项的具体保障实施工作，主要职责包括：按照赛项技术方案要求落实比赛场地及基础设施，赛项宣传，组织开展各项赛期活动，参赛人员接待，比赛过程文件存档等工作，赛务人员及服务志愿者的组织，赛场秩序维持及安全保障，赛后搜集整理大赛影像文字资料上报大赛执委会等。</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（四）赛项裁判组</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赛项开赛前，结合赛项的特点和具体要求，由全国职业院校技能大赛执委会，根据赛项规模和裁判数量，设定计算机抽签的基本程序，由计算机在裁判人员库中随机抽取裁判人员。抽取的裁判人员须经本人确认才能正式承担裁判工作。裁判长由赛项执委会向大赛组委会推荐，由大赛组委会聘任。</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赛项裁判组根据赛项执委会和赛项专家组的要求和安排，进行赛前培训、赛场检查、现场执裁、评审、鉴定比赛结果、工作总结及建议等工作。</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（五）赛项监督组</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赛项监督工作组由全国职业院校技能大赛执委会从设立的赛项监督员库中随机抽取，每个赛项监督工作组一般由2-3人组成，直接受大赛组委会领导。赛项监督工作组负责监督各赛区、赛项执委会的竞赛筹备与组织工作，同时负责具体赛项的竞赛监督，全程监督竞赛各环节，包括抽签、裁判培训、竞赛组织、成绩评判及汇总、成绩发布、申诉仲裁、成绩抽查复核等。赛项监督工作组对竞赛过程中明显违规现象及环节应及时向竞赛组织方提出异议，可采取必要的技术手段，留取监督的过程资料。赛事结束，向全国大赛组委会提报监督工作报告。赛项监督工作组不参与具体的赛事组织活动。</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（六）赛项仲裁组</w:t>
      </w:r>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赛项仲裁工作组由大赛组委会根据赛区仲裁委员会和赛项仲裁组的要求，贯彻回避原则，在仲裁委员会人员库中遴选组建，赛项仲裁工作组成员一般不超过3人。对不符合大赛和赛项规程规定的仪器、设备、工装、材料、物件、计算机软硬件、竞赛使用工具、用品，竞赛执裁、赛场管理、竞赛成绩以及工作人员的不规范行为等，参赛队领队可在比赛结束后2小时内向仲裁组提出申诉。赛项仲裁工作组在接到申诉报告后的2小时内组织复议，并及时将复议结果以书面形式告知申诉方。申诉方对复议结果仍有异议，可由省（市）领队向赛区仲裁委员会提出申诉。赛区仲裁委员会的仲裁结果为最终结果。</w:t>
      </w:r>
    </w:p>
    <w:p>
      <w:pPr>
        <w:snapToGrid w:val="0"/>
        <w:spacing w:line="560" w:lineRule="exact"/>
        <w:ind w:firstLine="600" w:firstLineChars="200"/>
        <w:outlineLvl w:val="0"/>
        <w:rPr>
          <w:rFonts w:ascii="黑体" w:hAnsi="黑体" w:eastAsia="黑体" w:cs="黑体"/>
          <w:bCs/>
          <w:sz w:val="30"/>
          <w:szCs w:val="30"/>
        </w:rPr>
      </w:pPr>
      <w:bookmarkStart w:id="23" w:name="_Toc522022182"/>
      <w:r>
        <w:rPr>
          <w:rFonts w:hint="eastAsia" w:ascii="黑体" w:hAnsi="黑体" w:eastAsia="黑体" w:cs="黑体"/>
          <w:bCs/>
          <w:sz w:val="30"/>
          <w:szCs w:val="30"/>
        </w:rPr>
        <w:t>十七、教学资源转化建设方案</w:t>
      </w:r>
      <w:bookmarkEnd w:id="23"/>
    </w:p>
    <w:p>
      <w:pPr>
        <w:snapToGrid w:val="0"/>
        <w:spacing w:line="560" w:lineRule="exact"/>
        <w:ind w:firstLine="600" w:firstLineChars="200"/>
        <w:rPr>
          <w:rFonts w:ascii="Arial Narrow" w:hAnsi="Arial Narrow" w:eastAsia="仿宋_GB2312" w:cs="Arial"/>
          <w:sz w:val="30"/>
          <w:szCs w:val="30"/>
        </w:rPr>
      </w:pPr>
      <w:r>
        <w:rPr>
          <w:rFonts w:ascii="Arial Narrow" w:hAnsi="Arial Narrow" w:eastAsia="仿宋_GB2312" w:cs="Arial"/>
          <w:sz w:val="30"/>
          <w:szCs w:val="30"/>
        </w:rPr>
        <w:t>本赛项通过2015、2016年的成功举办</w:t>
      </w:r>
      <w:r>
        <w:rPr>
          <w:rFonts w:hint="eastAsia" w:ascii="Arial Narrow" w:hAnsi="Arial Narrow" w:eastAsia="仿宋_GB2312" w:cs="Arial"/>
          <w:sz w:val="30"/>
          <w:szCs w:val="30"/>
        </w:rPr>
        <w:t>以及近两年在百余所院校的教学应用，</w:t>
      </w:r>
      <w:r>
        <w:rPr>
          <w:rFonts w:ascii="Arial Narrow" w:hAnsi="Arial Narrow" w:eastAsia="仿宋_GB2312" w:cs="Arial"/>
          <w:sz w:val="30"/>
          <w:szCs w:val="30"/>
        </w:rPr>
        <w:t>已形成和积累了较为丰富的教学资源</w:t>
      </w:r>
      <w:r>
        <w:rPr>
          <w:rFonts w:hint="eastAsia" w:ascii="Arial Narrow" w:hAnsi="Arial Narrow" w:eastAsia="仿宋_GB2312" w:cs="Arial"/>
          <w:sz w:val="30"/>
          <w:szCs w:val="30"/>
        </w:rPr>
        <w:t>。在此基础上，2019年全国职业院校技能大赛4G全网建设技术赛项资源转化工作主要聚焦在专业建设、完善升级课程资源、开展师资培养、校企合作与国际合作等工作。具体如下：</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一）专业建设。参与由全国工业和信息化职业教育教学指导委员会牵头的《移动通信技术专业教学标准》，根据行业发展情况修订“移动通信技术应用”专业课程库，确定课程库中每门课程编写课程标准，为学校完善“移动通信技术应用”专业提供课程指导；在“移动通信技术应用”专业课程库基础上，按职业教育专业建设标准流程对现有专业建设方案、课程体系和教学计划进行优化和调整；</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二）教学资源开发。在2018年赛项组织期间，计划联合优秀院校，编写《LTE&amp;Pre5G移动通信技术》、《LTE&amp;Pre5G移动通信技术实训指导》、《NB-IoT窄带物联网技术》、《NB-IoT窄带物联网技术实训指导》等四本教材，并计划于2019年底出版发行，供开设“移动通信技术应用”专业的学校使用；2019年赛项结束后半年内，在“4G全网建设技术”赛项各省赛、国赛所用试题的基础上，编写《移动通信技术应用大赛试题汇编》，为各学校做大赛准备、学校“移动通信技术应用”技能考试提供有效的支撑；教学资源开发具体建设计划与建设内容见表11和表12。</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 xml:space="preserve">（三）师资队伍建设。赛后办年内持续举办通信新技术培训或专业研讨班等有效方式推广大赛成果，不少于2次。由院校与企业共育通信技术专业师资，借助技术研讨班及师资集中培训的机会，推广大赛的成果，有效提高老师专业能力与教学水平，切实优化教学内容和以实践为主的教学理念，促进通信相关课程的人才培养模式创新。 </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四）校企合作。加强与企业合作，以大赛为契机进一步深化校企合作，创新校企互动机制，赛后一个月内联合合作企业专门成立赛项资源成果转化项目组，促进校企联合开发教学资源，提高相关专业教学资源建设水平。</w:t>
      </w:r>
    </w:p>
    <w:p>
      <w:pPr>
        <w:snapToGrid w:val="0"/>
        <w:spacing w:line="560" w:lineRule="exact"/>
        <w:ind w:firstLine="600" w:firstLineChars="200"/>
        <w:rPr>
          <w:rFonts w:ascii="Arial Narrow" w:hAnsi="Arial Narrow" w:eastAsia="仿宋_GB2312" w:cs="Arial"/>
          <w:sz w:val="30"/>
          <w:szCs w:val="30"/>
        </w:rPr>
      </w:pPr>
      <w:r>
        <w:rPr>
          <w:rFonts w:hint="eastAsia" w:ascii="Arial Narrow" w:hAnsi="Arial Narrow" w:eastAsia="仿宋_GB2312" w:cs="Arial"/>
          <w:sz w:val="30"/>
          <w:szCs w:val="30"/>
        </w:rPr>
        <w:t>（五）国际合作。让大赛成果走出国门，接受更大的挑战。积极参与国家一带一路的重大战略，服务国际化人才培养，鼓励并支持专业群国际化交流，推进技术、教育、人才国际化输出，切实推动我国通信领域的国际性发展。</w:t>
      </w:r>
    </w:p>
    <w:p>
      <w:pPr>
        <w:pStyle w:val="7"/>
      </w:pPr>
      <w:r>
        <w:t>表11 教学资源转化建设计划</w:t>
      </w:r>
    </w:p>
    <w:tbl>
      <w:tblPr>
        <w:tblStyle w:val="2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6"/>
        <w:gridCol w:w="819"/>
        <w:gridCol w:w="1507"/>
        <w:gridCol w:w="1243"/>
        <w:gridCol w:w="810"/>
        <w:gridCol w:w="2475"/>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52" w:type="dxa"/>
            <w:gridSpan w:val="3"/>
            <w:vAlign w:val="center"/>
          </w:tcPr>
          <w:p>
            <w:pPr>
              <w:pStyle w:val="33"/>
              <w:spacing w:line="560" w:lineRule="exact"/>
              <w:rPr>
                <w:rFonts w:ascii="仿宋" w:hAnsi="仿宋" w:eastAsia="仿宋"/>
                <w:b/>
              </w:rPr>
            </w:pPr>
            <w:r>
              <w:rPr>
                <w:rFonts w:ascii="仿宋" w:hAnsi="仿宋" w:eastAsia="仿宋"/>
                <w:b/>
              </w:rPr>
              <w:t>资源名称</w:t>
            </w:r>
          </w:p>
        </w:tc>
        <w:tc>
          <w:tcPr>
            <w:tcW w:w="1243" w:type="dxa"/>
            <w:vAlign w:val="center"/>
          </w:tcPr>
          <w:p>
            <w:pPr>
              <w:pStyle w:val="33"/>
              <w:spacing w:line="560" w:lineRule="exact"/>
              <w:rPr>
                <w:rFonts w:ascii="仿宋" w:hAnsi="仿宋" w:eastAsia="仿宋"/>
                <w:b/>
              </w:rPr>
            </w:pPr>
            <w:r>
              <w:rPr>
                <w:rFonts w:ascii="仿宋" w:hAnsi="仿宋" w:eastAsia="仿宋"/>
                <w:b/>
              </w:rPr>
              <w:t>表现形式</w:t>
            </w:r>
          </w:p>
        </w:tc>
        <w:tc>
          <w:tcPr>
            <w:tcW w:w="810" w:type="dxa"/>
            <w:vAlign w:val="center"/>
          </w:tcPr>
          <w:p>
            <w:pPr>
              <w:pStyle w:val="33"/>
              <w:spacing w:line="560" w:lineRule="exact"/>
              <w:rPr>
                <w:rFonts w:ascii="仿宋" w:hAnsi="仿宋" w:eastAsia="仿宋"/>
                <w:b/>
              </w:rPr>
            </w:pPr>
            <w:r>
              <w:rPr>
                <w:rFonts w:ascii="仿宋" w:hAnsi="仿宋" w:eastAsia="仿宋"/>
                <w:b/>
              </w:rPr>
              <w:t>资源数量</w:t>
            </w:r>
          </w:p>
        </w:tc>
        <w:tc>
          <w:tcPr>
            <w:tcW w:w="2475" w:type="dxa"/>
            <w:vAlign w:val="center"/>
          </w:tcPr>
          <w:p>
            <w:pPr>
              <w:pStyle w:val="33"/>
              <w:spacing w:line="560" w:lineRule="exact"/>
              <w:rPr>
                <w:rFonts w:ascii="仿宋" w:hAnsi="仿宋" w:eastAsia="仿宋"/>
                <w:b/>
              </w:rPr>
            </w:pPr>
            <w:r>
              <w:rPr>
                <w:rFonts w:ascii="仿宋" w:hAnsi="仿宋" w:eastAsia="仿宋"/>
                <w:b/>
              </w:rPr>
              <w:t>资源要求</w:t>
            </w:r>
          </w:p>
        </w:tc>
        <w:tc>
          <w:tcPr>
            <w:tcW w:w="1142" w:type="dxa"/>
            <w:vAlign w:val="center"/>
          </w:tcPr>
          <w:p>
            <w:pPr>
              <w:pStyle w:val="33"/>
              <w:spacing w:line="560" w:lineRule="exact"/>
              <w:rPr>
                <w:rFonts w:ascii="仿宋" w:hAnsi="仿宋" w:eastAsia="仿宋"/>
                <w:b/>
              </w:rPr>
            </w:pPr>
            <w:r>
              <w:rPr>
                <w:rFonts w:ascii="仿宋" w:hAnsi="仿宋" w:eastAsia="仿宋"/>
                <w:b/>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6" w:type="dxa"/>
            <w:vMerge w:val="restart"/>
            <w:vAlign w:val="center"/>
          </w:tcPr>
          <w:p>
            <w:pPr>
              <w:pStyle w:val="33"/>
              <w:spacing w:line="560" w:lineRule="exact"/>
              <w:rPr>
                <w:rFonts w:ascii="仿宋" w:hAnsi="仿宋" w:eastAsia="仿宋"/>
              </w:rPr>
            </w:pPr>
            <w:r>
              <w:rPr>
                <w:rFonts w:ascii="仿宋" w:hAnsi="仿宋" w:eastAsia="仿宋"/>
              </w:rPr>
              <w:t>基</w:t>
            </w:r>
          </w:p>
          <w:p>
            <w:pPr>
              <w:pStyle w:val="33"/>
              <w:spacing w:line="560" w:lineRule="exact"/>
              <w:rPr>
                <w:rFonts w:ascii="仿宋" w:hAnsi="仿宋" w:eastAsia="仿宋"/>
              </w:rPr>
            </w:pPr>
            <w:r>
              <w:rPr>
                <w:rFonts w:ascii="仿宋" w:hAnsi="仿宋" w:eastAsia="仿宋"/>
              </w:rPr>
              <w:t>本</w:t>
            </w:r>
          </w:p>
          <w:p>
            <w:pPr>
              <w:pStyle w:val="33"/>
              <w:spacing w:line="560" w:lineRule="exact"/>
              <w:rPr>
                <w:rFonts w:ascii="仿宋" w:hAnsi="仿宋" w:eastAsia="仿宋"/>
              </w:rPr>
            </w:pPr>
            <w:r>
              <w:rPr>
                <w:rFonts w:ascii="仿宋" w:hAnsi="仿宋" w:eastAsia="仿宋"/>
              </w:rPr>
              <w:t>资</w:t>
            </w:r>
          </w:p>
          <w:p>
            <w:pPr>
              <w:pStyle w:val="33"/>
              <w:spacing w:line="560" w:lineRule="exact"/>
              <w:rPr>
                <w:rFonts w:ascii="仿宋" w:hAnsi="仿宋" w:eastAsia="仿宋"/>
              </w:rPr>
            </w:pPr>
            <w:r>
              <w:rPr>
                <w:rFonts w:ascii="仿宋" w:hAnsi="仿宋" w:eastAsia="仿宋"/>
              </w:rPr>
              <w:t>源</w:t>
            </w:r>
          </w:p>
        </w:tc>
        <w:tc>
          <w:tcPr>
            <w:tcW w:w="819" w:type="dxa"/>
            <w:vMerge w:val="restart"/>
            <w:vAlign w:val="center"/>
          </w:tcPr>
          <w:p>
            <w:pPr>
              <w:pStyle w:val="33"/>
              <w:spacing w:line="560" w:lineRule="exact"/>
              <w:rPr>
                <w:rFonts w:ascii="仿宋" w:hAnsi="仿宋" w:eastAsia="仿宋"/>
              </w:rPr>
            </w:pPr>
            <w:r>
              <w:rPr>
                <w:rFonts w:ascii="仿宋" w:hAnsi="仿宋" w:eastAsia="仿宋"/>
              </w:rPr>
              <w:t>风采展示</w:t>
            </w:r>
          </w:p>
        </w:tc>
        <w:tc>
          <w:tcPr>
            <w:tcW w:w="1507" w:type="dxa"/>
            <w:vAlign w:val="center"/>
          </w:tcPr>
          <w:p>
            <w:pPr>
              <w:pStyle w:val="33"/>
              <w:spacing w:line="560" w:lineRule="exact"/>
              <w:rPr>
                <w:rFonts w:ascii="仿宋" w:hAnsi="仿宋" w:eastAsia="仿宋"/>
              </w:rPr>
            </w:pPr>
            <w:r>
              <w:rPr>
                <w:rFonts w:ascii="仿宋" w:hAnsi="仿宋" w:eastAsia="仿宋"/>
              </w:rPr>
              <w:t>赛项宣传片</w:t>
            </w:r>
          </w:p>
        </w:tc>
        <w:tc>
          <w:tcPr>
            <w:tcW w:w="1243" w:type="dxa"/>
            <w:vAlign w:val="center"/>
          </w:tcPr>
          <w:p>
            <w:pPr>
              <w:pStyle w:val="33"/>
              <w:spacing w:line="560" w:lineRule="exact"/>
              <w:rPr>
                <w:rFonts w:ascii="仿宋" w:hAnsi="仿宋" w:eastAsia="仿宋"/>
              </w:rPr>
            </w:pPr>
            <w:r>
              <w:rPr>
                <w:rFonts w:ascii="仿宋" w:hAnsi="仿宋" w:eastAsia="仿宋"/>
              </w:rPr>
              <w:t>视频</w:t>
            </w:r>
          </w:p>
        </w:tc>
        <w:tc>
          <w:tcPr>
            <w:tcW w:w="810" w:type="dxa"/>
            <w:vAlign w:val="center"/>
          </w:tcPr>
          <w:p>
            <w:pPr>
              <w:pStyle w:val="33"/>
              <w:spacing w:line="560" w:lineRule="exact"/>
              <w:rPr>
                <w:rFonts w:ascii="仿宋" w:hAnsi="仿宋" w:eastAsia="仿宋"/>
              </w:rPr>
            </w:pPr>
            <w:r>
              <w:rPr>
                <w:rFonts w:ascii="仿宋" w:hAnsi="仿宋" w:eastAsia="仿宋"/>
              </w:rPr>
              <w:t>1</w:t>
            </w:r>
            <w:r>
              <w:rPr>
                <w:rFonts w:hint="eastAsia" w:ascii="仿宋" w:hAnsi="仿宋" w:eastAsia="仿宋"/>
              </w:rPr>
              <w:t>个</w:t>
            </w:r>
          </w:p>
        </w:tc>
        <w:tc>
          <w:tcPr>
            <w:tcW w:w="2475" w:type="dxa"/>
            <w:vAlign w:val="center"/>
          </w:tcPr>
          <w:p>
            <w:pPr>
              <w:pStyle w:val="33"/>
              <w:spacing w:line="560" w:lineRule="exact"/>
              <w:rPr>
                <w:rFonts w:ascii="仿宋" w:hAnsi="仿宋" w:eastAsia="仿宋"/>
              </w:rPr>
            </w:pPr>
            <w:r>
              <w:rPr>
                <w:rFonts w:ascii="仿宋" w:hAnsi="仿宋" w:eastAsia="仿宋"/>
              </w:rPr>
              <w:t>15分钟以上</w:t>
            </w:r>
          </w:p>
        </w:tc>
        <w:tc>
          <w:tcPr>
            <w:tcW w:w="1142" w:type="dxa"/>
            <w:vAlign w:val="center"/>
          </w:tcPr>
          <w:p>
            <w:pPr>
              <w:pStyle w:val="33"/>
              <w:spacing w:line="560" w:lineRule="exact"/>
              <w:rPr>
                <w:rFonts w:ascii="仿宋" w:hAnsi="仿宋" w:eastAsia="仿宋"/>
              </w:rPr>
            </w:pPr>
            <w:r>
              <w:rPr>
                <w:rFonts w:ascii="仿宋" w:hAnsi="仿宋" w:eastAsia="仿宋"/>
              </w:rPr>
              <w:t>赛后1个月内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6" w:type="dxa"/>
            <w:vMerge w:val="continue"/>
            <w:vAlign w:val="center"/>
          </w:tcPr>
          <w:p>
            <w:pPr>
              <w:pStyle w:val="33"/>
              <w:spacing w:line="560" w:lineRule="exact"/>
              <w:rPr>
                <w:rFonts w:ascii="仿宋" w:hAnsi="仿宋" w:eastAsia="仿宋"/>
              </w:rPr>
            </w:pPr>
          </w:p>
        </w:tc>
        <w:tc>
          <w:tcPr>
            <w:tcW w:w="819" w:type="dxa"/>
            <w:vMerge w:val="continue"/>
            <w:vAlign w:val="center"/>
          </w:tcPr>
          <w:p>
            <w:pPr>
              <w:pStyle w:val="33"/>
              <w:spacing w:line="560" w:lineRule="exact"/>
              <w:rPr>
                <w:rFonts w:ascii="仿宋" w:hAnsi="仿宋" w:eastAsia="仿宋"/>
              </w:rPr>
            </w:pPr>
          </w:p>
        </w:tc>
        <w:tc>
          <w:tcPr>
            <w:tcW w:w="1507" w:type="dxa"/>
            <w:vAlign w:val="center"/>
          </w:tcPr>
          <w:p>
            <w:pPr>
              <w:pStyle w:val="33"/>
              <w:spacing w:line="560" w:lineRule="exact"/>
              <w:rPr>
                <w:rFonts w:ascii="仿宋" w:hAnsi="仿宋" w:eastAsia="仿宋"/>
              </w:rPr>
            </w:pPr>
            <w:r>
              <w:rPr>
                <w:rFonts w:ascii="仿宋" w:hAnsi="仿宋" w:eastAsia="仿宋"/>
              </w:rPr>
              <w:t>风采展示片</w:t>
            </w:r>
          </w:p>
        </w:tc>
        <w:tc>
          <w:tcPr>
            <w:tcW w:w="1243" w:type="dxa"/>
            <w:vAlign w:val="center"/>
          </w:tcPr>
          <w:p>
            <w:pPr>
              <w:pStyle w:val="33"/>
              <w:spacing w:line="560" w:lineRule="exact"/>
              <w:rPr>
                <w:rFonts w:ascii="仿宋" w:hAnsi="仿宋" w:eastAsia="仿宋"/>
              </w:rPr>
            </w:pPr>
            <w:r>
              <w:rPr>
                <w:rFonts w:ascii="仿宋" w:hAnsi="仿宋" w:eastAsia="仿宋"/>
              </w:rPr>
              <w:t>视频</w:t>
            </w:r>
          </w:p>
        </w:tc>
        <w:tc>
          <w:tcPr>
            <w:tcW w:w="810" w:type="dxa"/>
            <w:vAlign w:val="center"/>
          </w:tcPr>
          <w:p>
            <w:pPr>
              <w:pStyle w:val="33"/>
              <w:spacing w:line="560" w:lineRule="exact"/>
              <w:rPr>
                <w:rFonts w:ascii="仿宋" w:hAnsi="仿宋" w:eastAsia="仿宋"/>
              </w:rPr>
            </w:pPr>
            <w:r>
              <w:rPr>
                <w:rFonts w:ascii="仿宋" w:hAnsi="仿宋" w:eastAsia="仿宋"/>
              </w:rPr>
              <w:t>1</w:t>
            </w:r>
            <w:r>
              <w:rPr>
                <w:rFonts w:hint="eastAsia" w:ascii="仿宋" w:hAnsi="仿宋" w:eastAsia="仿宋"/>
              </w:rPr>
              <w:t>个</w:t>
            </w:r>
          </w:p>
        </w:tc>
        <w:tc>
          <w:tcPr>
            <w:tcW w:w="2475" w:type="dxa"/>
            <w:vAlign w:val="center"/>
          </w:tcPr>
          <w:p>
            <w:pPr>
              <w:pStyle w:val="33"/>
              <w:spacing w:line="560" w:lineRule="exact"/>
              <w:rPr>
                <w:rFonts w:ascii="仿宋" w:hAnsi="仿宋" w:eastAsia="仿宋"/>
              </w:rPr>
            </w:pPr>
            <w:r>
              <w:rPr>
                <w:rFonts w:ascii="仿宋" w:hAnsi="仿宋" w:eastAsia="仿宋"/>
              </w:rPr>
              <w:t>10分钟以上</w:t>
            </w:r>
          </w:p>
        </w:tc>
        <w:tc>
          <w:tcPr>
            <w:tcW w:w="1142" w:type="dxa"/>
            <w:vAlign w:val="center"/>
          </w:tcPr>
          <w:p>
            <w:pPr>
              <w:pStyle w:val="33"/>
              <w:spacing w:line="560" w:lineRule="exact"/>
              <w:rPr>
                <w:rFonts w:ascii="仿宋" w:hAnsi="仿宋" w:eastAsia="仿宋"/>
              </w:rPr>
            </w:pPr>
            <w:r>
              <w:rPr>
                <w:rFonts w:ascii="仿宋" w:hAnsi="仿宋" w:eastAsia="仿宋"/>
              </w:rPr>
              <w:t>赛后一个月内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6" w:type="dxa"/>
            <w:vMerge w:val="continue"/>
            <w:vAlign w:val="center"/>
          </w:tcPr>
          <w:p>
            <w:pPr>
              <w:snapToGrid w:val="0"/>
              <w:spacing w:line="560" w:lineRule="exact"/>
              <w:jc w:val="center"/>
              <w:rPr>
                <w:rFonts w:ascii="仿宋" w:hAnsi="仿宋" w:eastAsia="仿宋"/>
                <w:sz w:val="24"/>
                <w:szCs w:val="24"/>
              </w:rPr>
            </w:pPr>
          </w:p>
        </w:tc>
        <w:tc>
          <w:tcPr>
            <w:tcW w:w="819" w:type="dxa"/>
            <w:vAlign w:val="center"/>
          </w:tcPr>
          <w:p>
            <w:pPr>
              <w:pStyle w:val="33"/>
              <w:spacing w:line="560" w:lineRule="exact"/>
              <w:rPr>
                <w:rFonts w:ascii="仿宋" w:hAnsi="仿宋" w:eastAsia="仿宋"/>
              </w:rPr>
            </w:pPr>
            <w:r>
              <w:rPr>
                <w:rFonts w:ascii="仿宋" w:hAnsi="仿宋" w:eastAsia="仿宋"/>
              </w:rPr>
              <w:t>技能</w:t>
            </w:r>
          </w:p>
          <w:p>
            <w:pPr>
              <w:pStyle w:val="33"/>
              <w:spacing w:line="560" w:lineRule="exact"/>
              <w:rPr>
                <w:rFonts w:ascii="仿宋" w:hAnsi="仿宋" w:eastAsia="仿宋"/>
              </w:rPr>
            </w:pPr>
            <w:r>
              <w:rPr>
                <w:rFonts w:ascii="仿宋" w:hAnsi="仿宋" w:eastAsia="仿宋"/>
              </w:rPr>
              <w:t>概要</w:t>
            </w:r>
          </w:p>
        </w:tc>
        <w:tc>
          <w:tcPr>
            <w:tcW w:w="1507" w:type="dxa"/>
            <w:vAlign w:val="center"/>
          </w:tcPr>
          <w:p>
            <w:pPr>
              <w:pStyle w:val="33"/>
              <w:spacing w:line="560" w:lineRule="exact"/>
              <w:rPr>
                <w:rFonts w:ascii="仿宋" w:hAnsi="仿宋" w:eastAsia="仿宋"/>
              </w:rPr>
            </w:pPr>
            <w:r>
              <w:rPr>
                <w:rFonts w:ascii="仿宋" w:hAnsi="仿宋" w:eastAsia="仿宋"/>
              </w:rPr>
              <w:t>技能介绍</w:t>
            </w:r>
          </w:p>
          <w:p>
            <w:pPr>
              <w:pStyle w:val="33"/>
              <w:spacing w:line="560" w:lineRule="exact"/>
              <w:rPr>
                <w:rFonts w:ascii="仿宋" w:hAnsi="仿宋" w:eastAsia="仿宋"/>
              </w:rPr>
            </w:pPr>
            <w:r>
              <w:rPr>
                <w:rFonts w:ascii="仿宋" w:hAnsi="仿宋" w:eastAsia="仿宋"/>
              </w:rPr>
              <w:t>技能要点</w:t>
            </w:r>
          </w:p>
          <w:p>
            <w:pPr>
              <w:pStyle w:val="33"/>
              <w:spacing w:line="560" w:lineRule="exact"/>
              <w:rPr>
                <w:rFonts w:ascii="仿宋" w:hAnsi="仿宋" w:eastAsia="仿宋"/>
              </w:rPr>
            </w:pPr>
            <w:r>
              <w:rPr>
                <w:rFonts w:ascii="仿宋" w:hAnsi="仿宋" w:eastAsia="仿宋"/>
              </w:rPr>
              <w:t>评价指标</w:t>
            </w:r>
          </w:p>
        </w:tc>
        <w:tc>
          <w:tcPr>
            <w:tcW w:w="1243" w:type="dxa"/>
            <w:vAlign w:val="center"/>
          </w:tcPr>
          <w:p>
            <w:pPr>
              <w:pStyle w:val="33"/>
              <w:spacing w:line="560" w:lineRule="exact"/>
              <w:rPr>
                <w:rFonts w:ascii="仿宋" w:hAnsi="仿宋" w:eastAsia="仿宋"/>
              </w:rPr>
            </w:pPr>
            <w:r>
              <w:rPr>
                <w:rFonts w:ascii="仿宋" w:hAnsi="仿宋" w:eastAsia="仿宋"/>
              </w:rPr>
              <w:t>文本文档</w:t>
            </w:r>
          </w:p>
        </w:tc>
        <w:tc>
          <w:tcPr>
            <w:tcW w:w="810" w:type="dxa"/>
            <w:vAlign w:val="center"/>
          </w:tcPr>
          <w:p>
            <w:pPr>
              <w:pStyle w:val="33"/>
              <w:spacing w:line="560" w:lineRule="exact"/>
              <w:rPr>
                <w:rFonts w:ascii="仿宋" w:hAnsi="仿宋" w:eastAsia="仿宋"/>
              </w:rPr>
            </w:pPr>
            <w:r>
              <w:rPr>
                <w:rFonts w:ascii="仿宋" w:hAnsi="仿宋" w:eastAsia="仿宋"/>
              </w:rPr>
              <w:t>3</w:t>
            </w:r>
            <w:r>
              <w:rPr>
                <w:rFonts w:hint="eastAsia" w:ascii="仿宋" w:hAnsi="仿宋" w:eastAsia="仿宋"/>
              </w:rPr>
              <w:t>份</w:t>
            </w:r>
          </w:p>
        </w:tc>
        <w:tc>
          <w:tcPr>
            <w:tcW w:w="2475" w:type="dxa"/>
            <w:vAlign w:val="center"/>
          </w:tcPr>
          <w:p>
            <w:pPr>
              <w:pStyle w:val="33"/>
              <w:spacing w:line="560" w:lineRule="exact"/>
              <w:rPr>
                <w:rFonts w:ascii="仿宋" w:hAnsi="仿宋" w:eastAsia="仿宋"/>
              </w:rPr>
            </w:pPr>
            <w:r>
              <w:rPr>
                <w:rFonts w:ascii="仿宋" w:hAnsi="仿宋" w:eastAsia="仿宋"/>
              </w:rPr>
              <w:t>覆盖移动通信专业方向主要岗位</w:t>
            </w:r>
          </w:p>
        </w:tc>
        <w:tc>
          <w:tcPr>
            <w:tcW w:w="1142" w:type="dxa"/>
            <w:vAlign w:val="center"/>
          </w:tcPr>
          <w:p>
            <w:pPr>
              <w:pStyle w:val="33"/>
              <w:spacing w:line="560" w:lineRule="exact"/>
              <w:rPr>
                <w:rFonts w:ascii="仿宋" w:hAnsi="仿宋" w:eastAsia="仿宋"/>
              </w:rPr>
            </w:pPr>
            <w:r>
              <w:rPr>
                <w:rFonts w:ascii="仿宋" w:hAnsi="仿宋" w:eastAsia="仿宋"/>
              </w:rPr>
              <w:t>赛后3个月内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6" w:type="dxa"/>
            <w:vMerge w:val="continue"/>
            <w:vAlign w:val="center"/>
          </w:tcPr>
          <w:p>
            <w:pPr>
              <w:snapToGrid w:val="0"/>
              <w:spacing w:line="560" w:lineRule="exact"/>
              <w:jc w:val="center"/>
              <w:rPr>
                <w:rFonts w:ascii="仿宋" w:hAnsi="仿宋" w:eastAsia="仿宋"/>
                <w:sz w:val="24"/>
                <w:szCs w:val="24"/>
              </w:rPr>
            </w:pPr>
          </w:p>
        </w:tc>
        <w:tc>
          <w:tcPr>
            <w:tcW w:w="819" w:type="dxa"/>
            <w:vMerge w:val="restart"/>
            <w:vAlign w:val="center"/>
          </w:tcPr>
          <w:p>
            <w:pPr>
              <w:pStyle w:val="33"/>
              <w:spacing w:line="560" w:lineRule="exact"/>
              <w:rPr>
                <w:rFonts w:ascii="仿宋" w:hAnsi="仿宋" w:eastAsia="仿宋"/>
              </w:rPr>
            </w:pPr>
          </w:p>
          <w:p>
            <w:pPr>
              <w:pStyle w:val="33"/>
              <w:spacing w:line="560" w:lineRule="exact"/>
              <w:rPr>
                <w:rFonts w:ascii="仿宋" w:hAnsi="仿宋" w:eastAsia="仿宋"/>
              </w:rPr>
            </w:pPr>
            <w:r>
              <w:rPr>
                <w:rFonts w:ascii="仿宋" w:hAnsi="仿宋" w:eastAsia="仿宋"/>
              </w:rPr>
              <w:t>教学资源</w:t>
            </w:r>
          </w:p>
        </w:tc>
        <w:tc>
          <w:tcPr>
            <w:tcW w:w="1507" w:type="dxa"/>
            <w:vAlign w:val="center"/>
          </w:tcPr>
          <w:p>
            <w:pPr>
              <w:pStyle w:val="33"/>
              <w:spacing w:line="560" w:lineRule="exact"/>
              <w:rPr>
                <w:rFonts w:ascii="仿宋" w:hAnsi="仿宋" w:eastAsia="仿宋"/>
              </w:rPr>
            </w:pPr>
            <w:r>
              <w:rPr>
                <w:rFonts w:ascii="仿宋" w:hAnsi="仿宋" w:eastAsia="仿宋"/>
              </w:rPr>
              <w:t>实训课程方案</w:t>
            </w:r>
          </w:p>
        </w:tc>
        <w:tc>
          <w:tcPr>
            <w:tcW w:w="1243" w:type="dxa"/>
            <w:vAlign w:val="center"/>
          </w:tcPr>
          <w:p>
            <w:pPr>
              <w:pStyle w:val="33"/>
              <w:spacing w:line="560" w:lineRule="exact"/>
              <w:rPr>
                <w:rFonts w:ascii="仿宋" w:hAnsi="仿宋" w:eastAsia="仿宋"/>
              </w:rPr>
            </w:pPr>
            <w:r>
              <w:rPr>
                <w:rFonts w:ascii="仿宋" w:hAnsi="仿宋" w:eastAsia="仿宋"/>
              </w:rPr>
              <w:t>文本文档</w:t>
            </w:r>
          </w:p>
        </w:tc>
        <w:tc>
          <w:tcPr>
            <w:tcW w:w="810" w:type="dxa"/>
            <w:vAlign w:val="center"/>
          </w:tcPr>
          <w:p>
            <w:pPr>
              <w:pStyle w:val="33"/>
              <w:spacing w:line="560" w:lineRule="exact"/>
              <w:rPr>
                <w:rFonts w:ascii="仿宋" w:hAnsi="仿宋" w:eastAsia="仿宋"/>
              </w:rPr>
            </w:pPr>
            <w:r>
              <w:rPr>
                <w:rFonts w:ascii="仿宋" w:hAnsi="仿宋" w:eastAsia="仿宋"/>
              </w:rPr>
              <w:t>2</w:t>
            </w:r>
            <w:r>
              <w:rPr>
                <w:rFonts w:hint="eastAsia" w:ascii="仿宋" w:hAnsi="仿宋" w:eastAsia="仿宋"/>
              </w:rPr>
              <w:t>套</w:t>
            </w:r>
          </w:p>
        </w:tc>
        <w:tc>
          <w:tcPr>
            <w:tcW w:w="2475" w:type="dxa"/>
            <w:vAlign w:val="center"/>
          </w:tcPr>
          <w:p>
            <w:pPr>
              <w:pStyle w:val="33"/>
              <w:spacing w:line="560" w:lineRule="exact"/>
              <w:rPr>
                <w:rFonts w:ascii="仿宋" w:hAnsi="仿宋" w:eastAsia="仿宋"/>
              </w:rPr>
            </w:pPr>
            <w:r>
              <w:rPr>
                <w:rFonts w:ascii="仿宋" w:hAnsi="仿宋" w:eastAsia="仿宋"/>
              </w:rPr>
              <w:t>覆盖移动通讯、光传输、数据通信相关专业</w:t>
            </w:r>
          </w:p>
        </w:tc>
        <w:tc>
          <w:tcPr>
            <w:tcW w:w="1142" w:type="dxa"/>
            <w:vAlign w:val="center"/>
          </w:tcPr>
          <w:p>
            <w:pPr>
              <w:pStyle w:val="33"/>
              <w:spacing w:line="560" w:lineRule="exact"/>
              <w:rPr>
                <w:rFonts w:ascii="仿宋" w:hAnsi="仿宋" w:eastAsia="仿宋"/>
              </w:rPr>
            </w:pPr>
            <w:r>
              <w:rPr>
                <w:rFonts w:ascii="仿宋" w:hAnsi="仿宋" w:eastAsia="仿宋"/>
              </w:rPr>
              <w:t>赛后3个月内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6" w:type="dxa"/>
            <w:vMerge w:val="continue"/>
            <w:vAlign w:val="center"/>
          </w:tcPr>
          <w:p>
            <w:pPr>
              <w:snapToGrid w:val="0"/>
              <w:spacing w:line="560" w:lineRule="exact"/>
              <w:jc w:val="center"/>
              <w:rPr>
                <w:rFonts w:ascii="仿宋" w:hAnsi="仿宋" w:eastAsia="仿宋"/>
                <w:sz w:val="24"/>
                <w:szCs w:val="24"/>
              </w:rPr>
            </w:pPr>
          </w:p>
        </w:tc>
        <w:tc>
          <w:tcPr>
            <w:tcW w:w="819" w:type="dxa"/>
            <w:vMerge w:val="continue"/>
            <w:vAlign w:val="center"/>
          </w:tcPr>
          <w:p>
            <w:pPr>
              <w:pStyle w:val="33"/>
              <w:spacing w:line="560" w:lineRule="exact"/>
              <w:rPr>
                <w:rFonts w:ascii="仿宋" w:hAnsi="仿宋" w:eastAsia="仿宋"/>
              </w:rPr>
            </w:pPr>
          </w:p>
        </w:tc>
        <w:tc>
          <w:tcPr>
            <w:tcW w:w="1507" w:type="dxa"/>
            <w:vAlign w:val="center"/>
          </w:tcPr>
          <w:p>
            <w:pPr>
              <w:pStyle w:val="33"/>
              <w:spacing w:line="560" w:lineRule="exact"/>
              <w:rPr>
                <w:rFonts w:ascii="仿宋" w:hAnsi="仿宋" w:eastAsia="仿宋"/>
              </w:rPr>
            </w:pPr>
            <w:r>
              <w:rPr>
                <w:rFonts w:ascii="仿宋" w:hAnsi="仿宋" w:eastAsia="仿宋"/>
              </w:rPr>
              <w:t>专业教材</w:t>
            </w:r>
          </w:p>
        </w:tc>
        <w:tc>
          <w:tcPr>
            <w:tcW w:w="1243" w:type="dxa"/>
            <w:vAlign w:val="center"/>
          </w:tcPr>
          <w:p>
            <w:pPr>
              <w:pStyle w:val="33"/>
              <w:spacing w:line="560" w:lineRule="exact"/>
              <w:rPr>
                <w:rFonts w:ascii="仿宋" w:hAnsi="仿宋" w:eastAsia="仿宋"/>
              </w:rPr>
            </w:pPr>
            <w:r>
              <w:rPr>
                <w:rFonts w:ascii="仿宋" w:hAnsi="仿宋" w:eastAsia="仿宋"/>
              </w:rPr>
              <w:t>文本</w:t>
            </w:r>
          </w:p>
          <w:p>
            <w:pPr>
              <w:pStyle w:val="33"/>
              <w:spacing w:line="560" w:lineRule="exact"/>
              <w:rPr>
                <w:rFonts w:ascii="仿宋" w:hAnsi="仿宋" w:eastAsia="仿宋"/>
              </w:rPr>
            </w:pPr>
            <w:r>
              <w:rPr>
                <w:rFonts w:ascii="仿宋" w:hAnsi="仿宋" w:eastAsia="仿宋"/>
              </w:rPr>
              <w:t>文档</w:t>
            </w:r>
          </w:p>
        </w:tc>
        <w:tc>
          <w:tcPr>
            <w:tcW w:w="810" w:type="dxa"/>
            <w:vAlign w:val="center"/>
          </w:tcPr>
          <w:p>
            <w:pPr>
              <w:pStyle w:val="33"/>
              <w:spacing w:line="560" w:lineRule="exact"/>
              <w:rPr>
                <w:rFonts w:ascii="仿宋" w:hAnsi="仿宋" w:eastAsia="仿宋"/>
              </w:rPr>
            </w:pPr>
            <w:r>
              <w:rPr>
                <w:rFonts w:ascii="仿宋" w:hAnsi="仿宋" w:eastAsia="仿宋"/>
              </w:rPr>
              <w:t>2</w:t>
            </w:r>
            <w:r>
              <w:rPr>
                <w:rFonts w:hint="eastAsia" w:ascii="仿宋" w:hAnsi="仿宋" w:eastAsia="仿宋"/>
              </w:rPr>
              <w:t>本</w:t>
            </w:r>
          </w:p>
        </w:tc>
        <w:tc>
          <w:tcPr>
            <w:tcW w:w="2475" w:type="dxa"/>
            <w:vAlign w:val="center"/>
          </w:tcPr>
          <w:p>
            <w:pPr>
              <w:pStyle w:val="33"/>
              <w:spacing w:line="560" w:lineRule="exact"/>
              <w:rPr>
                <w:rFonts w:ascii="仿宋" w:hAnsi="仿宋" w:eastAsia="仿宋"/>
              </w:rPr>
            </w:pPr>
            <w:r>
              <w:rPr>
                <w:rFonts w:ascii="仿宋" w:hAnsi="仿宋" w:eastAsia="仿宋"/>
              </w:rPr>
              <w:t>电子教材</w:t>
            </w:r>
          </w:p>
        </w:tc>
        <w:tc>
          <w:tcPr>
            <w:tcW w:w="1142" w:type="dxa"/>
            <w:vAlign w:val="center"/>
          </w:tcPr>
          <w:p>
            <w:pPr>
              <w:pStyle w:val="33"/>
              <w:spacing w:line="560" w:lineRule="exact"/>
              <w:rPr>
                <w:rFonts w:ascii="仿宋" w:hAnsi="仿宋" w:eastAsia="仿宋"/>
              </w:rPr>
            </w:pPr>
            <w:r>
              <w:rPr>
                <w:rFonts w:ascii="仿宋" w:hAnsi="仿宋" w:eastAsia="仿宋"/>
              </w:rPr>
              <w:t>赛后6个月内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6" w:type="dxa"/>
            <w:vMerge w:val="continue"/>
            <w:vAlign w:val="center"/>
          </w:tcPr>
          <w:p>
            <w:pPr>
              <w:snapToGrid w:val="0"/>
              <w:spacing w:line="560" w:lineRule="exact"/>
              <w:jc w:val="center"/>
              <w:rPr>
                <w:rFonts w:ascii="仿宋" w:hAnsi="仿宋" w:eastAsia="仿宋"/>
                <w:sz w:val="24"/>
                <w:szCs w:val="24"/>
              </w:rPr>
            </w:pPr>
          </w:p>
        </w:tc>
        <w:tc>
          <w:tcPr>
            <w:tcW w:w="819" w:type="dxa"/>
            <w:vMerge w:val="continue"/>
            <w:vAlign w:val="center"/>
          </w:tcPr>
          <w:p>
            <w:pPr>
              <w:pStyle w:val="33"/>
              <w:spacing w:line="560" w:lineRule="exact"/>
              <w:rPr>
                <w:rFonts w:ascii="仿宋" w:hAnsi="仿宋" w:eastAsia="仿宋"/>
              </w:rPr>
            </w:pPr>
          </w:p>
        </w:tc>
        <w:tc>
          <w:tcPr>
            <w:tcW w:w="1507" w:type="dxa"/>
            <w:vAlign w:val="center"/>
          </w:tcPr>
          <w:p>
            <w:pPr>
              <w:pStyle w:val="33"/>
              <w:spacing w:line="560" w:lineRule="exact"/>
              <w:rPr>
                <w:rFonts w:ascii="仿宋" w:hAnsi="仿宋" w:eastAsia="仿宋"/>
              </w:rPr>
            </w:pPr>
            <w:r>
              <w:rPr>
                <w:rFonts w:ascii="仿宋" w:hAnsi="仿宋" w:eastAsia="仿宋"/>
              </w:rPr>
              <w:t>技能训练指导书</w:t>
            </w:r>
          </w:p>
        </w:tc>
        <w:tc>
          <w:tcPr>
            <w:tcW w:w="1243" w:type="dxa"/>
            <w:vAlign w:val="center"/>
          </w:tcPr>
          <w:p>
            <w:pPr>
              <w:pStyle w:val="33"/>
              <w:spacing w:line="560" w:lineRule="exact"/>
              <w:rPr>
                <w:rFonts w:ascii="仿宋" w:hAnsi="仿宋" w:eastAsia="仿宋"/>
              </w:rPr>
            </w:pPr>
            <w:r>
              <w:rPr>
                <w:rFonts w:ascii="仿宋" w:hAnsi="仿宋" w:eastAsia="仿宋"/>
              </w:rPr>
              <w:t>文本</w:t>
            </w:r>
          </w:p>
          <w:p>
            <w:pPr>
              <w:pStyle w:val="33"/>
              <w:spacing w:line="560" w:lineRule="exact"/>
              <w:rPr>
                <w:rFonts w:ascii="仿宋" w:hAnsi="仿宋" w:eastAsia="仿宋"/>
              </w:rPr>
            </w:pPr>
            <w:r>
              <w:rPr>
                <w:rFonts w:ascii="仿宋" w:hAnsi="仿宋" w:eastAsia="仿宋"/>
              </w:rPr>
              <w:t>文档</w:t>
            </w:r>
          </w:p>
        </w:tc>
        <w:tc>
          <w:tcPr>
            <w:tcW w:w="810" w:type="dxa"/>
            <w:vAlign w:val="center"/>
          </w:tcPr>
          <w:p>
            <w:pPr>
              <w:pStyle w:val="33"/>
              <w:spacing w:line="560" w:lineRule="exact"/>
              <w:rPr>
                <w:rFonts w:ascii="仿宋" w:hAnsi="仿宋" w:eastAsia="仿宋"/>
              </w:rPr>
            </w:pPr>
            <w:r>
              <w:rPr>
                <w:rFonts w:ascii="仿宋" w:hAnsi="仿宋" w:eastAsia="仿宋"/>
              </w:rPr>
              <w:t>2</w:t>
            </w:r>
            <w:r>
              <w:rPr>
                <w:rFonts w:hint="eastAsia" w:ascii="仿宋" w:hAnsi="仿宋" w:eastAsia="仿宋"/>
              </w:rPr>
              <w:t>本</w:t>
            </w:r>
          </w:p>
        </w:tc>
        <w:tc>
          <w:tcPr>
            <w:tcW w:w="2475" w:type="dxa"/>
            <w:vAlign w:val="center"/>
          </w:tcPr>
          <w:p>
            <w:pPr>
              <w:pStyle w:val="33"/>
              <w:spacing w:line="560" w:lineRule="exact"/>
              <w:rPr>
                <w:rFonts w:ascii="仿宋" w:hAnsi="仿宋" w:eastAsia="仿宋"/>
              </w:rPr>
            </w:pPr>
            <w:r>
              <w:rPr>
                <w:rFonts w:ascii="仿宋" w:hAnsi="仿宋" w:eastAsia="仿宋"/>
              </w:rPr>
              <w:t>电子教材</w:t>
            </w:r>
          </w:p>
        </w:tc>
        <w:tc>
          <w:tcPr>
            <w:tcW w:w="1142" w:type="dxa"/>
            <w:vAlign w:val="center"/>
          </w:tcPr>
          <w:p>
            <w:pPr>
              <w:pStyle w:val="33"/>
              <w:spacing w:line="560" w:lineRule="exact"/>
              <w:rPr>
                <w:rFonts w:ascii="仿宋" w:hAnsi="仿宋" w:eastAsia="仿宋"/>
              </w:rPr>
            </w:pPr>
            <w:r>
              <w:rPr>
                <w:rFonts w:ascii="仿宋" w:hAnsi="仿宋" w:eastAsia="仿宋"/>
              </w:rPr>
              <w:t>赛后6个月内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6" w:type="dxa"/>
            <w:vMerge w:val="continue"/>
            <w:vAlign w:val="center"/>
          </w:tcPr>
          <w:p>
            <w:pPr>
              <w:snapToGrid w:val="0"/>
              <w:spacing w:line="560" w:lineRule="exact"/>
              <w:jc w:val="center"/>
              <w:rPr>
                <w:rFonts w:ascii="仿宋" w:hAnsi="仿宋" w:eastAsia="仿宋"/>
                <w:sz w:val="24"/>
                <w:szCs w:val="24"/>
              </w:rPr>
            </w:pPr>
          </w:p>
        </w:tc>
        <w:tc>
          <w:tcPr>
            <w:tcW w:w="819" w:type="dxa"/>
            <w:vMerge w:val="continue"/>
            <w:vAlign w:val="center"/>
          </w:tcPr>
          <w:p>
            <w:pPr>
              <w:pStyle w:val="33"/>
              <w:spacing w:line="560" w:lineRule="exact"/>
              <w:rPr>
                <w:rFonts w:ascii="仿宋" w:hAnsi="仿宋" w:eastAsia="仿宋"/>
              </w:rPr>
            </w:pPr>
          </w:p>
        </w:tc>
        <w:tc>
          <w:tcPr>
            <w:tcW w:w="1507" w:type="dxa"/>
            <w:vAlign w:val="center"/>
          </w:tcPr>
          <w:p>
            <w:pPr>
              <w:pStyle w:val="33"/>
              <w:spacing w:line="560" w:lineRule="exact"/>
              <w:rPr>
                <w:rFonts w:ascii="仿宋" w:hAnsi="仿宋" w:eastAsia="仿宋"/>
              </w:rPr>
            </w:pPr>
            <w:r>
              <w:rPr>
                <w:rFonts w:ascii="仿宋" w:hAnsi="仿宋" w:eastAsia="仿宋"/>
              </w:rPr>
              <w:t>实习操作演示视频</w:t>
            </w:r>
          </w:p>
        </w:tc>
        <w:tc>
          <w:tcPr>
            <w:tcW w:w="1243" w:type="dxa"/>
            <w:vAlign w:val="center"/>
          </w:tcPr>
          <w:p>
            <w:pPr>
              <w:pStyle w:val="33"/>
              <w:spacing w:line="560" w:lineRule="exact"/>
              <w:rPr>
                <w:rFonts w:ascii="仿宋" w:hAnsi="仿宋" w:eastAsia="仿宋"/>
              </w:rPr>
            </w:pPr>
            <w:r>
              <w:rPr>
                <w:rFonts w:ascii="仿宋" w:hAnsi="仿宋" w:eastAsia="仿宋"/>
              </w:rPr>
              <w:t>视频</w:t>
            </w:r>
          </w:p>
        </w:tc>
        <w:tc>
          <w:tcPr>
            <w:tcW w:w="810" w:type="dxa"/>
            <w:vAlign w:val="center"/>
          </w:tcPr>
          <w:p>
            <w:pPr>
              <w:pStyle w:val="33"/>
              <w:spacing w:line="560" w:lineRule="exact"/>
              <w:rPr>
                <w:rFonts w:ascii="仿宋" w:hAnsi="仿宋" w:eastAsia="仿宋"/>
              </w:rPr>
            </w:pPr>
            <w:r>
              <w:rPr>
                <w:rFonts w:ascii="仿宋" w:hAnsi="仿宋" w:eastAsia="仿宋"/>
              </w:rPr>
              <w:t>20</w:t>
            </w:r>
            <w:r>
              <w:rPr>
                <w:rFonts w:hint="eastAsia" w:ascii="仿宋" w:hAnsi="仿宋" w:eastAsia="仿宋"/>
              </w:rPr>
              <w:t>个</w:t>
            </w:r>
          </w:p>
        </w:tc>
        <w:tc>
          <w:tcPr>
            <w:tcW w:w="2475" w:type="dxa"/>
            <w:vAlign w:val="center"/>
          </w:tcPr>
          <w:p>
            <w:pPr>
              <w:pStyle w:val="33"/>
              <w:spacing w:line="560" w:lineRule="exact"/>
              <w:rPr>
                <w:rFonts w:ascii="仿宋" w:hAnsi="仿宋" w:eastAsia="仿宋"/>
              </w:rPr>
            </w:pPr>
            <w:r>
              <w:rPr>
                <w:rFonts w:ascii="仿宋" w:hAnsi="仿宋" w:eastAsia="仿宋"/>
              </w:rPr>
              <w:t>每个视频30分钟以上</w:t>
            </w:r>
          </w:p>
        </w:tc>
        <w:tc>
          <w:tcPr>
            <w:tcW w:w="1142" w:type="dxa"/>
            <w:vAlign w:val="center"/>
          </w:tcPr>
          <w:p>
            <w:pPr>
              <w:pStyle w:val="33"/>
              <w:spacing w:line="560" w:lineRule="exact"/>
              <w:rPr>
                <w:rFonts w:ascii="仿宋" w:hAnsi="仿宋" w:eastAsia="仿宋"/>
              </w:rPr>
            </w:pPr>
            <w:r>
              <w:rPr>
                <w:rFonts w:ascii="仿宋" w:hAnsi="仿宋" w:eastAsia="仿宋"/>
              </w:rPr>
              <w:t>赛后6个月内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6" w:type="dxa"/>
            <w:vMerge w:val="continue"/>
            <w:vAlign w:val="center"/>
          </w:tcPr>
          <w:p>
            <w:pPr>
              <w:snapToGrid w:val="0"/>
              <w:spacing w:line="560" w:lineRule="exact"/>
              <w:jc w:val="center"/>
              <w:rPr>
                <w:rFonts w:ascii="仿宋" w:hAnsi="仿宋" w:eastAsia="仿宋"/>
                <w:sz w:val="24"/>
                <w:szCs w:val="24"/>
              </w:rPr>
            </w:pPr>
          </w:p>
        </w:tc>
        <w:tc>
          <w:tcPr>
            <w:tcW w:w="819" w:type="dxa"/>
            <w:vMerge w:val="continue"/>
            <w:vAlign w:val="center"/>
          </w:tcPr>
          <w:p>
            <w:pPr>
              <w:pStyle w:val="33"/>
              <w:spacing w:line="560" w:lineRule="exact"/>
              <w:rPr>
                <w:rFonts w:ascii="仿宋" w:hAnsi="仿宋" w:eastAsia="仿宋"/>
              </w:rPr>
            </w:pPr>
          </w:p>
        </w:tc>
        <w:tc>
          <w:tcPr>
            <w:tcW w:w="1507" w:type="dxa"/>
            <w:vAlign w:val="center"/>
          </w:tcPr>
          <w:p>
            <w:pPr>
              <w:pStyle w:val="33"/>
              <w:spacing w:line="560" w:lineRule="exact"/>
              <w:rPr>
                <w:rFonts w:ascii="仿宋" w:hAnsi="仿宋" w:eastAsia="仿宋"/>
              </w:rPr>
            </w:pPr>
            <w:r>
              <w:rPr>
                <w:rFonts w:ascii="仿宋" w:hAnsi="仿宋" w:eastAsia="仿宋"/>
              </w:rPr>
              <w:t>大赛作品集</w:t>
            </w:r>
          </w:p>
        </w:tc>
        <w:tc>
          <w:tcPr>
            <w:tcW w:w="1243" w:type="dxa"/>
            <w:vAlign w:val="center"/>
          </w:tcPr>
          <w:p>
            <w:pPr>
              <w:pStyle w:val="33"/>
              <w:spacing w:line="560" w:lineRule="exact"/>
              <w:rPr>
                <w:rFonts w:ascii="仿宋" w:hAnsi="仿宋" w:eastAsia="仿宋"/>
              </w:rPr>
            </w:pPr>
            <w:r>
              <w:rPr>
                <w:rFonts w:ascii="仿宋" w:hAnsi="仿宋" w:eastAsia="仿宋"/>
              </w:rPr>
              <w:t>文本文档和操作数据</w:t>
            </w:r>
          </w:p>
        </w:tc>
        <w:tc>
          <w:tcPr>
            <w:tcW w:w="810" w:type="dxa"/>
            <w:vAlign w:val="center"/>
          </w:tcPr>
          <w:p>
            <w:pPr>
              <w:pStyle w:val="33"/>
              <w:spacing w:line="560" w:lineRule="exact"/>
              <w:rPr>
                <w:rFonts w:ascii="仿宋" w:hAnsi="仿宋" w:eastAsia="仿宋"/>
              </w:rPr>
            </w:pPr>
            <w:r>
              <w:rPr>
                <w:rFonts w:ascii="仿宋" w:hAnsi="仿宋" w:eastAsia="仿宋"/>
              </w:rPr>
              <w:t>10</w:t>
            </w:r>
            <w:r>
              <w:rPr>
                <w:rFonts w:hint="eastAsia" w:ascii="仿宋" w:hAnsi="仿宋" w:eastAsia="仿宋"/>
              </w:rPr>
              <w:t>份</w:t>
            </w:r>
          </w:p>
        </w:tc>
        <w:tc>
          <w:tcPr>
            <w:tcW w:w="2475" w:type="dxa"/>
            <w:vAlign w:val="center"/>
          </w:tcPr>
          <w:p>
            <w:pPr>
              <w:pStyle w:val="33"/>
              <w:spacing w:line="560" w:lineRule="exact"/>
              <w:rPr>
                <w:rFonts w:ascii="仿宋" w:hAnsi="仿宋" w:eastAsia="仿宋"/>
              </w:rPr>
            </w:pPr>
            <w:r>
              <w:rPr>
                <w:rFonts w:ascii="仿宋" w:hAnsi="仿宋" w:eastAsia="仿宋"/>
              </w:rPr>
              <w:t>包含网络设计及操作数据</w:t>
            </w:r>
          </w:p>
        </w:tc>
        <w:tc>
          <w:tcPr>
            <w:tcW w:w="1142" w:type="dxa"/>
            <w:vAlign w:val="center"/>
          </w:tcPr>
          <w:p>
            <w:pPr>
              <w:pStyle w:val="33"/>
              <w:spacing w:line="560" w:lineRule="exact"/>
              <w:rPr>
                <w:rFonts w:ascii="仿宋" w:hAnsi="仿宋" w:eastAsia="仿宋"/>
              </w:rPr>
            </w:pPr>
            <w:r>
              <w:rPr>
                <w:rFonts w:ascii="仿宋" w:hAnsi="仿宋" w:eastAsia="仿宋"/>
              </w:rPr>
              <w:t>赛后3个月内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526" w:type="dxa"/>
            <w:vMerge w:val="restart"/>
            <w:vAlign w:val="center"/>
          </w:tcPr>
          <w:p>
            <w:pPr>
              <w:snapToGrid w:val="0"/>
              <w:spacing w:line="560" w:lineRule="exact"/>
              <w:jc w:val="center"/>
              <w:rPr>
                <w:rFonts w:ascii="仿宋" w:hAnsi="仿宋" w:eastAsia="仿宋"/>
                <w:sz w:val="24"/>
                <w:szCs w:val="24"/>
              </w:rPr>
            </w:pPr>
            <w:r>
              <w:rPr>
                <w:rFonts w:ascii="仿宋" w:hAnsi="仿宋" w:eastAsia="仿宋"/>
                <w:sz w:val="24"/>
                <w:szCs w:val="24"/>
              </w:rPr>
              <w:t>拓展</w:t>
            </w:r>
          </w:p>
          <w:p>
            <w:pPr>
              <w:snapToGrid w:val="0"/>
              <w:spacing w:line="560" w:lineRule="exact"/>
              <w:jc w:val="center"/>
              <w:rPr>
                <w:rFonts w:ascii="仿宋" w:hAnsi="仿宋" w:eastAsia="仿宋"/>
                <w:sz w:val="24"/>
                <w:szCs w:val="24"/>
              </w:rPr>
            </w:pPr>
            <w:r>
              <w:rPr>
                <w:rFonts w:ascii="仿宋" w:hAnsi="仿宋" w:eastAsia="仿宋"/>
                <w:sz w:val="24"/>
                <w:szCs w:val="24"/>
              </w:rPr>
              <w:t>资源</w:t>
            </w:r>
          </w:p>
        </w:tc>
        <w:tc>
          <w:tcPr>
            <w:tcW w:w="2326" w:type="dxa"/>
            <w:gridSpan w:val="2"/>
            <w:vAlign w:val="center"/>
          </w:tcPr>
          <w:p>
            <w:pPr>
              <w:pStyle w:val="33"/>
              <w:spacing w:line="560" w:lineRule="exact"/>
              <w:rPr>
                <w:rFonts w:ascii="仿宋" w:hAnsi="仿宋" w:eastAsia="仿宋"/>
              </w:rPr>
            </w:pPr>
            <w:r>
              <w:rPr>
                <w:rFonts w:ascii="仿宋" w:hAnsi="仿宋" w:eastAsia="仿宋"/>
              </w:rPr>
              <w:t>案例库</w:t>
            </w:r>
          </w:p>
        </w:tc>
        <w:tc>
          <w:tcPr>
            <w:tcW w:w="1243" w:type="dxa"/>
            <w:vAlign w:val="center"/>
          </w:tcPr>
          <w:p>
            <w:pPr>
              <w:pStyle w:val="33"/>
              <w:spacing w:line="560" w:lineRule="exact"/>
              <w:rPr>
                <w:rFonts w:ascii="仿宋" w:hAnsi="仿宋" w:eastAsia="仿宋"/>
              </w:rPr>
            </w:pPr>
            <w:r>
              <w:rPr>
                <w:rFonts w:ascii="仿宋" w:hAnsi="仿宋" w:eastAsia="仿宋"/>
              </w:rPr>
              <w:t>文本文档和操作数据</w:t>
            </w:r>
          </w:p>
        </w:tc>
        <w:tc>
          <w:tcPr>
            <w:tcW w:w="810" w:type="dxa"/>
            <w:vAlign w:val="center"/>
          </w:tcPr>
          <w:p>
            <w:pPr>
              <w:pStyle w:val="33"/>
              <w:spacing w:line="560" w:lineRule="exact"/>
              <w:rPr>
                <w:rFonts w:ascii="仿宋" w:hAnsi="仿宋" w:eastAsia="仿宋"/>
              </w:rPr>
            </w:pPr>
            <w:r>
              <w:rPr>
                <w:rFonts w:ascii="仿宋" w:hAnsi="仿宋" w:eastAsia="仿宋"/>
              </w:rPr>
              <w:t>10</w:t>
            </w:r>
            <w:r>
              <w:rPr>
                <w:rFonts w:hint="eastAsia" w:ascii="仿宋" w:hAnsi="仿宋" w:eastAsia="仿宋"/>
              </w:rPr>
              <w:t>套</w:t>
            </w:r>
          </w:p>
        </w:tc>
        <w:tc>
          <w:tcPr>
            <w:tcW w:w="2475" w:type="dxa"/>
            <w:vAlign w:val="center"/>
          </w:tcPr>
          <w:p>
            <w:pPr>
              <w:pStyle w:val="33"/>
              <w:spacing w:line="560" w:lineRule="exact"/>
              <w:rPr>
                <w:rFonts w:ascii="仿宋" w:hAnsi="仿宋" w:eastAsia="仿宋"/>
              </w:rPr>
            </w:pPr>
            <w:r>
              <w:rPr>
                <w:rFonts w:ascii="仿宋" w:hAnsi="仿宋" w:eastAsia="仿宋"/>
              </w:rPr>
              <w:t>包含网络设计案例及操作数据</w:t>
            </w:r>
          </w:p>
        </w:tc>
        <w:tc>
          <w:tcPr>
            <w:tcW w:w="1142" w:type="dxa"/>
            <w:vAlign w:val="center"/>
          </w:tcPr>
          <w:p>
            <w:pPr>
              <w:pStyle w:val="33"/>
              <w:spacing w:line="560" w:lineRule="exact"/>
              <w:rPr>
                <w:rFonts w:ascii="仿宋" w:hAnsi="仿宋" w:eastAsia="仿宋"/>
              </w:rPr>
            </w:pPr>
            <w:r>
              <w:rPr>
                <w:rFonts w:ascii="仿宋" w:hAnsi="仿宋" w:eastAsia="仿宋"/>
              </w:rPr>
              <w:t>赛后6个月内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526" w:type="dxa"/>
            <w:vMerge w:val="continue"/>
            <w:vAlign w:val="center"/>
          </w:tcPr>
          <w:p>
            <w:pPr>
              <w:snapToGrid w:val="0"/>
              <w:spacing w:line="560" w:lineRule="exact"/>
              <w:jc w:val="center"/>
              <w:rPr>
                <w:rFonts w:ascii="仿宋" w:hAnsi="仿宋" w:eastAsia="仿宋"/>
                <w:sz w:val="24"/>
                <w:szCs w:val="24"/>
              </w:rPr>
            </w:pPr>
          </w:p>
        </w:tc>
        <w:tc>
          <w:tcPr>
            <w:tcW w:w="2326" w:type="dxa"/>
            <w:gridSpan w:val="2"/>
            <w:vAlign w:val="center"/>
          </w:tcPr>
          <w:p>
            <w:pPr>
              <w:pStyle w:val="33"/>
              <w:spacing w:line="560" w:lineRule="exact"/>
              <w:rPr>
                <w:rFonts w:ascii="仿宋" w:hAnsi="仿宋" w:eastAsia="仿宋"/>
              </w:rPr>
            </w:pPr>
            <w:r>
              <w:rPr>
                <w:rFonts w:ascii="仿宋" w:hAnsi="仿宋" w:eastAsia="仿宋"/>
              </w:rPr>
              <w:t>素材资源库</w:t>
            </w:r>
          </w:p>
        </w:tc>
        <w:tc>
          <w:tcPr>
            <w:tcW w:w="1243" w:type="dxa"/>
            <w:vAlign w:val="center"/>
          </w:tcPr>
          <w:p>
            <w:pPr>
              <w:pStyle w:val="33"/>
              <w:spacing w:line="560" w:lineRule="exact"/>
              <w:rPr>
                <w:rFonts w:ascii="仿宋" w:hAnsi="仿宋" w:eastAsia="仿宋"/>
              </w:rPr>
            </w:pPr>
            <w:r>
              <w:rPr>
                <w:rFonts w:ascii="仿宋" w:hAnsi="仿宋" w:eastAsia="仿宋"/>
              </w:rPr>
              <w:t>视频/</w:t>
            </w:r>
          </w:p>
          <w:p>
            <w:pPr>
              <w:pStyle w:val="33"/>
              <w:spacing w:line="560" w:lineRule="exact"/>
              <w:rPr>
                <w:rFonts w:ascii="仿宋" w:hAnsi="仿宋" w:eastAsia="仿宋"/>
              </w:rPr>
            </w:pPr>
            <w:r>
              <w:rPr>
                <w:rFonts w:ascii="仿宋" w:hAnsi="仿宋" w:eastAsia="仿宋"/>
              </w:rPr>
              <w:t>演示文稿/文本文档/图形图像素材</w:t>
            </w:r>
          </w:p>
        </w:tc>
        <w:tc>
          <w:tcPr>
            <w:tcW w:w="810" w:type="dxa"/>
            <w:vAlign w:val="center"/>
          </w:tcPr>
          <w:p>
            <w:pPr>
              <w:pStyle w:val="33"/>
              <w:spacing w:line="560" w:lineRule="exact"/>
              <w:rPr>
                <w:rFonts w:ascii="仿宋" w:hAnsi="仿宋" w:eastAsia="仿宋"/>
              </w:rPr>
            </w:pPr>
            <w:r>
              <w:rPr>
                <w:rFonts w:ascii="仿宋" w:hAnsi="仿宋" w:eastAsia="仿宋"/>
              </w:rPr>
              <w:t>20</w:t>
            </w:r>
            <w:r>
              <w:rPr>
                <w:rFonts w:hint="eastAsia" w:ascii="仿宋" w:hAnsi="仿宋" w:eastAsia="仿宋"/>
              </w:rPr>
              <w:t>件</w:t>
            </w:r>
          </w:p>
        </w:tc>
        <w:tc>
          <w:tcPr>
            <w:tcW w:w="2475" w:type="dxa"/>
            <w:vAlign w:val="center"/>
          </w:tcPr>
          <w:p>
            <w:pPr>
              <w:pStyle w:val="33"/>
              <w:spacing w:line="560" w:lineRule="exact"/>
              <w:rPr>
                <w:rFonts w:ascii="仿宋" w:hAnsi="仿宋" w:eastAsia="仿宋"/>
              </w:rPr>
            </w:pPr>
            <w:r>
              <w:rPr>
                <w:rFonts w:ascii="仿宋" w:hAnsi="仿宋" w:eastAsia="仿宋"/>
              </w:rPr>
              <w:t>可用于移动通讯、光传输、数据通信相关专业教学资源</w:t>
            </w:r>
          </w:p>
        </w:tc>
        <w:tc>
          <w:tcPr>
            <w:tcW w:w="1142" w:type="dxa"/>
            <w:vAlign w:val="center"/>
          </w:tcPr>
          <w:p>
            <w:pPr>
              <w:pStyle w:val="33"/>
              <w:spacing w:line="560" w:lineRule="exact"/>
              <w:rPr>
                <w:rFonts w:ascii="仿宋" w:hAnsi="仿宋" w:eastAsia="仿宋"/>
              </w:rPr>
            </w:pPr>
            <w:r>
              <w:rPr>
                <w:rFonts w:ascii="仿宋" w:hAnsi="仿宋" w:eastAsia="仿宋"/>
              </w:rPr>
              <w:t>赛后3个月内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526" w:type="dxa"/>
            <w:vMerge w:val="continue"/>
            <w:vAlign w:val="center"/>
          </w:tcPr>
          <w:p>
            <w:pPr>
              <w:snapToGrid w:val="0"/>
              <w:spacing w:line="560" w:lineRule="exact"/>
              <w:jc w:val="center"/>
              <w:rPr>
                <w:rFonts w:ascii="仿宋" w:hAnsi="仿宋" w:eastAsia="仿宋"/>
                <w:sz w:val="24"/>
                <w:szCs w:val="24"/>
              </w:rPr>
            </w:pPr>
          </w:p>
        </w:tc>
        <w:tc>
          <w:tcPr>
            <w:tcW w:w="2326" w:type="dxa"/>
            <w:gridSpan w:val="2"/>
            <w:vAlign w:val="center"/>
          </w:tcPr>
          <w:p>
            <w:pPr>
              <w:pStyle w:val="33"/>
              <w:spacing w:line="560" w:lineRule="exact"/>
              <w:rPr>
                <w:rFonts w:ascii="仿宋" w:hAnsi="仿宋" w:eastAsia="仿宋"/>
              </w:rPr>
            </w:pPr>
            <w:r>
              <w:rPr>
                <w:rFonts w:ascii="仿宋" w:hAnsi="仿宋" w:eastAsia="仿宋"/>
              </w:rPr>
              <w:t>优秀选手访谈</w:t>
            </w:r>
          </w:p>
        </w:tc>
        <w:tc>
          <w:tcPr>
            <w:tcW w:w="1243" w:type="dxa"/>
            <w:vAlign w:val="center"/>
          </w:tcPr>
          <w:p>
            <w:pPr>
              <w:pStyle w:val="33"/>
              <w:spacing w:line="560" w:lineRule="exact"/>
              <w:rPr>
                <w:rFonts w:ascii="仿宋" w:hAnsi="仿宋" w:eastAsia="仿宋"/>
              </w:rPr>
            </w:pPr>
            <w:r>
              <w:rPr>
                <w:rFonts w:ascii="仿宋" w:hAnsi="仿宋" w:eastAsia="仿宋"/>
              </w:rPr>
              <w:t>视频</w:t>
            </w:r>
          </w:p>
        </w:tc>
        <w:tc>
          <w:tcPr>
            <w:tcW w:w="810" w:type="dxa"/>
            <w:vAlign w:val="center"/>
          </w:tcPr>
          <w:p>
            <w:pPr>
              <w:pStyle w:val="33"/>
              <w:spacing w:line="560" w:lineRule="exact"/>
              <w:rPr>
                <w:rFonts w:ascii="仿宋" w:hAnsi="仿宋" w:eastAsia="仿宋"/>
              </w:rPr>
            </w:pPr>
            <w:r>
              <w:rPr>
                <w:rFonts w:ascii="仿宋" w:hAnsi="仿宋" w:eastAsia="仿宋"/>
              </w:rPr>
              <w:t>5</w:t>
            </w:r>
            <w:r>
              <w:rPr>
                <w:rFonts w:hint="eastAsia" w:ascii="仿宋" w:hAnsi="仿宋" w:eastAsia="仿宋"/>
              </w:rPr>
              <w:t>个</w:t>
            </w:r>
          </w:p>
        </w:tc>
        <w:tc>
          <w:tcPr>
            <w:tcW w:w="2475" w:type="dxa"/>
            <w:vAlign w:val="center"/>
          </w:tcPr>
          <w:p>
            <w:pPr>
              <w:pStyle w:val="33"/>
              <w:spacing w:line="560" w:lineRule="exact"/>
              <w:rPr>
                <w:rFonts w:ascii="仿宋" w:hAnsi="仿宋" w:eastAsia="仿宋"/>
              </w:rPr>
            </w:pPr>
            <w:r>
              <w:rPr>
                <w:rFonts w:ascii="仿宋" w:hAnsi="仿宋" w:eastAsia="仿宋"/>
              </w:rPr>
              <w:t>每个视频10分钟以上</w:t>
            </w:r>
          </w:p>
        </w:tc>
        <w:tc>
          <w:tcPr>
            <w:tcW w:w="1142" w:type="dxa"/>
            <w:vAlign w:val="center"/>
          </w:tcPr>
          <w:p>
            <w:pPr>
              <w:pStyle w:val="33"/>
              <w:spacing w:line="560" w:lineRule="exact"/>
              <w:rPr>
                <w:rFonts w:ascii="仿宋" w:hAnsi="仿宋" w:eastAsia="仿宋"/>
              </w:rPr>
            </w:pPr>
            <w:r>
              <w:rPr>
                <w:rFonts w:ascii="仿宋" w:hAnsi="仿宋" w:eastAsia="仿宋"/>
              </w:rPr>
              <w:t>赛后3个月内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26" w:type="dxa"/>
            <w:vMerge w:val="continue"/>
            <w:vAlign w:val="center"/>
          </w:tcPr>
          <w:p>
            <w:pPr>
              <w:snapToGrid w:val="0"/>
              <w:spacing w:line="560" w:lineRule="exact"/>
              <w:jc w:val="center"/>
              <w:rPr>
                <w:rFonts w:ascii="仿宋" w:hAnsi="仿宋" w:eastAsia="仿宋"/>
                <w:sz w:val="24"/>
                <w:szCs w:val="24"/>
              </w:rPr>
            </w:pPr>
          </w:p>
        </w:tc>
        <w:tc>
          <w:tcPr>
            <w:tcW w:w="2326" w:type="dxa"/>
            <w:gridSpan w:val="2"/>
            <w:vAlign w:val="center"/>
          </w:tcPr>
          <w:p>
            <w:pPr>
              <w:pStyle w:val="33"/>
              <w:spacing w:line="560" w:lineRule="exact"/>
              <w:rPr>
                <w:rFonts w:ascii="仿宋" w:hAnsi="仿宋" w:eastAsia="仿宋"/>
              </w:rPr>
            </w:pPr>
            <w:r>
              <w:rPr>
                <w:rFonts w:ascii="仿宋" w:hAnsi="仿宋" w:eastAsia="仿宋"/>
              </w:rPr>
              <w:t>试题</w:t>
            </w:r>
          </w:p>
        </w:tc>
        <w:tc>
          <w:tcPr>
            <w:tcW w:w="1243" w:type="dxa"/>
            <w:vAlign w:val="center"/>
          </w:tcPr>
          <w:p>
            <w:pPr>
              <w:pStyle w:val="33"/>
              <w:spacing w:line="560" w:lineRule="exact"/>
              <w:rPr>
                <w:rFonts w:ascii="仿宋" w:hAnsi="仿宋" w:eastAsia="仿宋"/>
              </w:rPr>
            </w:pPr>
            <w:r>
              <w:rPr>
                <w:rFonts w:ascii="仿宋" w:hAnsi="仿宋" w:eastAsia="仿宋"/>
              </w:rPr>
              <w:t>文本文档</w:t>
            </w:r>
          </w:p>
          <w:p>
            <w:pPr>
              <w:pStyle w:val="33"/>
              <w:spacing w:line="560" w:lineRule="exact"/>
              <w:rPr>
                <w:rFonts w:ascii="仿宋" w:hAnsi="仿宋" w:eastAsia="仿宋"/>
              </w:rPr>
            </w:pPr>
            <w:r>
              <w:rPr>
                <w:rFonts w:ascii="仿宋" w:hAnsi="仿宋" w:eastAsia="仿宋"/>
              </w:rPr>
              <w:t>/操作数据</w:t>
            </w:r>
          </w:p>
        </w:tc>
        <w:tc>
          <w:tcPr>
            <w:tcW w:w="810" w:type="dxa"/>
            <w:vAlign w:val="center"/>
          </w:tcPr>
          <w:p>
            <w:pPr>
              <w:pStyle w:val="33"/>
              <w:spacing w:line="560" w:lineRule="exact"/>
              <w:rPr>
                <w:rFonts w:ascii="仿宋" w:hAnsi="仿宋" w:eastAsia="仿宋"/>
              </w:rPr>
            </w:pPr>
            <w:r>
              <w:rPr>
                <w:rFonts w:ascii="仿宋" w:hAnsi="仿宋" w:eastAsia="仿宋"/>
              </w:rPr>
              <w:t>50</w:t>
            </w:r>
            <w:r>
              <w:rPr>
                <w:rFonts w:hint="eastAsia" w:ascii="仿宋" w:hAnsi="仿宋" w:eastAsia="仿宋"/>
              </w:rPr>
              <w:t>个</w:t>
            </w:r>
          </w:p>
        </w:tc>
        <w:tc>
          <w:tcPr>
            <w:tcW w:w="2475" w:type="dxa"/>
            <w:vAlign w:val="center"/>
          </w:tcPr>
          <w:p>
            <w:pPr>
              <w:pStyle w:val="33"/>
              <w:spacing w:line="560" w:lineRule="exact"/>
              <w:rPr>
                <w:rFonts w:ascii="仿宋" w:hAnsi="仿宋" w:eastAsia="仿宋"/>
              </w:rPr>
            </w:pPr>
            <w:r>
              <w:rPr>
                <w:rFonts w:ascii="仿宋" w:hAnsi="仿宋" w:eastAsia="仿宋"/>
              </w:rPr>
              <w:t>包括任务书和操作环境数据</w:t>
            </w:r>
          </w:p>
        </w:tc>
        <w:tc>
          <w:tcPr>
            <w:tcW w:w="1142" w:type="dxa"/>
            <w:vAlign w:val="center"/>
          </w:tcPr>
          <w:p>
            <w:pPr>
              <w:pStyle w:val="33"/>
              <w:spacing w:line="560" w:lineRule="exact"/>
              <w:rPr>
                <w:rFonts w:ascii="仿宋" w:hAnsi="仿宋" w:eastAsia="仿宋"/>
              </w:rPr>
            </w:pPr>
            <w:r>
              <w:rPr>
                <w:rFonts w:ascii="仿宋" w:hAnsi="仿宋" w:eastAsia="仿宋"/>
              </w:rPr>
              <w:t>赛后6个月内</w:t>
            </w:r>
          </w:p>
        </w:tc>
      </w:tr>
    </w:tbl>
    <w:p>
      <w:pPr>
        <w:snapToGrid w:val="0"/>
        <w:spacing w:line="560" w:lineRule="exact"/>
        <w:rPr>
          <w:rFonts w:ascii="Times New Roman" w:hAnsi="Times New Roman" w:eastAsia="仿宋_GB2312"/>
          <w:sz w:val="24"/>
          <w:szCs w:val="28"/>
        </w:rPr>
      </w:pPr>
    </w:p>
    <w:p>
      <w:pPr>
        <w:snapToGrid w:val="0"/>
        <w:spacing w:line="560" w:lineRule="exact"/>
        <w:jc w:val="center"/>
        <w:rPr>
          <w:rFonts w:ascii="宋体" w:hAnsi="宋体"/>
          <w:sz w:val="22"/>
          <w:szCs w:val="28"/>
        </w:rPr>
      </w:pPr>
      <w:r>
        <w:rPr>
          <w:rFonts w:ascii="宋体" w:hAnsi="宋体"/>
          <w:sz w:val="22"/>
          <w:szCs w:val="28"/>
        </w:rPr>
        <w:t>表12 教学资源转化建设内容</w:t>
      </w:r>
    </w:p>
    <w:tbl>
      <w:tblPr>
        <w:tblStyle w:val="21"/>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476"/>
        <w:gridCol w:w="5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8" w:type="dxa"/>
            <w:vAlign w:val="center"/>
          </w:tcPr>
          <w:p>
            <w:pPr>
              <w:pStyle w:val="33"/>
              <w:spacing w:line="560" w:lineRule="exact"/>
              <w:rPr>
                <w:rFonts w:ascii="仿宋" w:hAnsi="仿宋" w:eastAsia="仿宋"/>
                <w:b/>
              </w:rPr>
            </w:pPr>
            <w:r>
              <w:rPr>
                <w:rFonts w:ascii="仿宋" w:hAnsi="仿宋" w:eastAsia="仿宋"/>
                <w:b/>
              </w:rPr>
              <w:t>序号</w:t>
            </w:r>
          </w:p>
        </w:tc>
        <w:tc>
          <w:tcPr>
            <w:tcW w:w="1476" w:type="dxa"/>
            <w:vAlign w:val="center"/>
          </w:tcPr>
          <w:p>
            <w:pPr>
              <w:pStyle w:val="33"/>
              <w:spacing w:line="560" w:lineRule="exact"/>
              <w:rPr>
                <w:rFonts w:ascii="仿宋" w:hAnsi="仿宋" w:eastAsia="仿宋"/>
                <w:b/>
              </w:rPr>
            </w:pPr>
            <w:r>
              <w:rPr>
                <w:rFonts w:ascii="仿宋" w:hAnsi="仿宋" w:eastAsia="仿宋"/>
                <w:b/>
              </w:rPr>
              <w:t>资源名称</w:t>
            </w:r>
          </w:p>
        </w:tc>
        <w:tc>
          <w:tcPr>
            <w:tcW w:w="5778" w:type="dxa"/>
            <w:vAlign w:val="center"/>
          </w:tcPr>
          <w:p>
            <w:pPr>
              <w:pStyle w:val="33"/>
              <w:spacing w:line="560" w:lineRule="exact"/>
              <w:rPr>
                <w:rFonts w:ascii="仿宋" w:hAnsi="仿宋" w:eastAsia="仿宋"/>
                <w:b/>
              </w:rPr>
            </w:pPr>
            <w:r>
              <w:rPr>
                <w:rFonts w:ascii="仿宋" w:hAnsi="仿宋" w:eastAsia="仿宋"/>
                <w:b/>
              </w:rPr>
              <w:t>教学资源转化建设内容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8" w:type="dxa"/>
          </w:tcPr>
          <w:p>
            <w:pPr>
              <w:widowControl/>
              <w:spacing w:line="560" w:lineRule="exact"/>
              <w:jc w:val="center"/>
              <w:rPr>
                <w:rFonts w:ascii="仿宋" w:hAnsi="仿宋" w:eastAsia="仿宋"/>
                <w:kern w:val="0"/>
                <w:sz w:val="24"/>
                <w:szCs w:val="24"/>
              </w:rPr>
            </w:pPr>
            <w:r>
              <w:rPr>
                <w:rFonts w:ascii="仿宋" w:hAnsi="仿宋" w:eastAsia="仿宋"/>
                <w:kern w:val="0"/>
                <w:sz w:val="24"/>
                <w:szCs w:val="24"/>
              </w:rPr>
              <w:t>1</w:t>
            </w:r>
          </w:p>
        </w:tc>
        <w:tc>
          <w:tcPr>
            <w:tcW w:w="1476" w:type="dxa"/>
          </w:tcPr>
          <w:p>
            <w:pPr>
              <w:widowControl/>
              <w:spacing w:line="560" w:lineRule="exact"/>
              <w:jc w:val="left"/>
              <w:rPr>
                <w:rFonts w:ascii="仿宋" w:hAnsi="仿宋" w:eastAsia="仿宋"/>
                <w:kern w:val="0"/>
                <w:sz w:val="24"/>
                <w:szCs w:val="24"/>
              </w:rPr>
            </w:pPr>
            <w:r>
              <w:rPr>
                <w:rFonts w:ascii="仿宋" w:hAnsi="仿宋" w:eastAsia="仿宋"/>
                <w:kern w:val="0"/>
                <w:sz w:val="24"/>
                <w:szCs w:val="24"/>
              </w:rPr>
              <w:t>风采展示</w:t>
            </w:r>
          </w:p>
        </w:tc>
        <w:tc>
          <w:tcPr>
            <w:tcW w:w="5778" w:type="dxa"/>
          </w:tcPr>
          <w:p>
            <w:pPr>
              <w:widowControl/>
              <w:spacing w:line="560" w:lineRule="exact"/>
              <w:ind w:firstLine="480" w:firstLineChars="200"/>
              <w:jc w:val="left"/>
              <w:rPr>
                <w:rFonts w:ascii="仿宋" w:hAnsi="仿宋" w:eastAsia="仿宋"/>
                <w:kern w:val="0"/>
                <w:sz w:val="24"/>
                <w:szCs w:val="24"/>
              </w:rPr>
            </w:pPr>
            <w:r>
              <w:rPr>
                <w:rFonts w:ascii="仿宋" w:hAnsi="仿宋" w:eastAsia="仿宋"/>
                <w:kern w:val="0"/>
                <w:sz w:val="24"/>
                <w:szCs w:val="24"/>
              </w:rPr>
              <w:t>制作赛项宣传片展示大赛举办情况，包括大赛主题、参赛规模、办赛成果等内容。以及获奖代表队（选手）的风采展示片，参赛感受，获奖感言。供专业媒体进行宣传播放。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8" w:type="dxa"/>
          </w:tcPr>
          <w:p>
            <w:pPr>
              <w:widowControl/>
              <w:spacing w:line="560" w:lineRule="exact"/>
              <w:jc w:val="center"/>
              <w:rPr>
                <w:rFonts w:ascii="仿宋" w:hAnsi="仿宋" w:eastAsia="仿宋"/>
                <w:kern w:val="0"/>
                <w:sz w:val="24"/>
                <w:szCs w:val="24"/>
              </w:rPr>
            </w:pPr>
            <w:r>
              <w:rPr>
                <w:rFonts w:ascii="仿宋" w:hAnsi="仿宋" w:eastAsia="仿宋"/>
                <w:kern w:val="0"/>
                <w:sz w:val="24"/>
                <w:szCs w:val="24"/>
              </w:rPr>
              <w:t>2</w:t>
            </w:r>
          </w:p>
        </w:tc>
        <w:tc>
          <w:tcPr>
            <w:tcW w:w="1476" w:type="dxa"/>
          </w:tcPr>
          <w:p>
            <w:pPr>
              <w:widowControl/>
              <w:spacing w:line="560" w:lineRule="exact"/>
              <w:jc w:val="left"/>
              <w:rPr>
                <w:rFonts w:ascii="仿宋" w:hAnsi="仿宋" w:eastAsia="仿宋"/>
                <w:kern w:val="0"/>
                <w:sz w:val="24"/>
                <w:szCs w:val="24"/>
              </w:rPr>
            </w:pPr>
            <w:r>
              <w:rPr>
                <w:rFonts w:ascii="仿宋" w:hAnsi="仿宋" w:eastAsia="仿宋"/>
                <w:kern w:val="0"/>
                <w:sz w:val="24"/>
                <w:szCs w:val="24"/>
              </w:rPr>
              <w:t>技能概要</w:t>
            </w:r>
          </w:p>
        </w:tc>
        <w:tc>
          <w:tcPr>
            <w:tcW w:w="5778" w:type="dxa"/>
          </w:tcPr>
          <w:p>
            <w:pPr>
              <w:widowControl/>
              <w:spacing w:line="560" w:lineRule="exact"/>
              <w:ind w:firstLine="480" w:firstLineChars="200"/>
              <w:jc w:val="left"/>
              <w:rPr>
                <w:rFonts w:ascii="仿宋" w:hAnsi="仿宋" w:eastAsia="仿宋"/>
                <w:kern w:val="0"/>
                <w:sz w:val="24"/>
                <w:szCs w:val="24"/>
              </w:rPr>
            </w:pPr>
            <w:bookmarkStart w:id="24" w:name="OLE_LINK10"/>
            <w:bookmarkStart w:id="25" w:name="OLE_LINK9"/>
            <w:r>
              <w:rPr>
                <w:rFonts w:ascii="仿宋" w:hAnsi="仿宋" w:eastAsia="仿宋"/>
                <w:kern w:val="0"/>
                <w:sz w:val="24"/>
                <w:szCs w:val="24"/>
              </w:rPr>
              <w:t>结合本次大赛赛项内容设计，输出LTE</w:t>
            </w:r>
            <w:r>
              <w:rPr>
                <w:rFonts w:hint="eastAsia" w:ascii="仿宋" w:hAnsi="仿宋" w:eastAsia="仿宋"/>
                <w:kern w:val="0"/>
                <w:sz w:val="24"/>
                <w:szCs w:val="24"/>
              </w:rPr>
              <w:t>、Pre5G与NB-IoT</w:t>
            </w:r>
            <w:r>
              <w:rPr>
                <w:rFonts w:ascii="仿宋" w:hAnsi="仿宋" w:eastAsia="仿宋"/>
                <w:kern w:val="0"/>
                <w:sz w:val="24"/>
                <w:szCs w:val="24"/>
              </w:rPr>
              <w:t>通信方向的网络规划、工程施工、网络建设、运行维护及网络优化岗位的专业技能需求、技能操作要点、评价指标。</w:t>
            </w:r>
            <w:bookmarkEnd w:id="24"/>
            <w:bookmarkEnd w:id="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8" w:type="dxa"/>
          </w:tcPr>
          <w:p>
            <w:pPr>
              <w:widowControl/>
              <w:spacing w:line="560" w:lineRule="exact"/>
              <w:jc w:val="center"/>
              <w:rPr>
                <w:rFonts w:ascii="仿宋" w:hAnsi="仿宋" w:eastAsia="仿宋"/>
                <w:kern w:val="0"/>
                <w:sz w:val="24"/>
                <w:szCs w:val="24"/>
              </w:rPr>
            </w:pPr>
            <w:r>
              <w:rPr>
                <w:rFonts w:ascii="仿宋" w:hAnsi="仿宋" w:eastAsia="仿宋"/>
                <w:kern w:val="0"/>
                <w:sz w:val="24"/>
                <w:szCs w:val="24"/>
              </w:rPr>
              <w:t>3</w:t>
            </w:r>
          </w:p>
        </w:tc>
        <w:tc>
          <w:tcPr>
            <w:tcW w:w="1476" w:type="dxa"/>
          </w:tcPr>
          <w:p>
            <w:pPr>
              <w:widowControl/>
              <w:spacing w:line="560" w:lineRule="exact"/>
              <w:rPr>
                <w:rFonts w:ascii="仿宋" w:hAnsi="仿宋" w:eastAsia="仿宋"/>
                <w:kern w:val="0"/>
                <w:sz w:val="24"/>
                <w:szCs w:val="24"/>
              </w:rPr>
            </w:pPr>
            <w:r>
              <w:rPr>
                <w:rFonts w:ascii="仿宋" w:hAnsi="仿宋" w:eastAsia="仿宋"/>
                <w:kern w:val="0"/>
                <w:sz w:val="24"/>
                <w:szCs w:val="24"/>
              </w:rPr>
              <w:t>教学资源</w:t>
            </w:r>
          </w:p>
        </w:tc>
        <w:tc>
          <w:tcPr>
            <w:tcW w:w="5778" w:type="dxa"/>
          </w:tcPr>
          <w:p>
            <w:pPr>
              <w:widowControl/>
              <w:spacing w:line="560" w:lineRule="exact"/>
              <w:ind w:firstLine="480"/>
              <w:rPr>
                <w:rFonts w:ascii="仿宋" w:hAnsi="仿宋" w:eastAsia="仿宋"/>
                <w:kern w:val="0"/>
                <w:sz w:val="24"/>
                <w:szCs w:val="24"/>
              </w:rPr>
            </w:pPr>
            <w:r>
              <w:rPr>
                <w:rFonts w:ascii="仿宋" w:hAnsi="仿宋" w:eastAsia="仿宋"/>
                <w:kern w:val="0"/>
                <w:sz w:val="24"/>
                <w:szCs w:val="24"/>
              </w:rPr>
              <w:t>本次竞赛各个环节均是LTE</w:t>
            </w:r>
            <w:r>
              <w:rPr>
                <w:rFonts w:hint="eastAsia" w:ascii="仿宋" w:hAnsi="仿宋" w:eastAsia="仿宋"/>
                <w:kern w:val="0"/>
                <w:sz w:val="24"/>
                <w:szCs w:val="24"/>
              </w:rPr>
              <w:t>、Pre5G与NB-IoT</w:t>
            </w:r>
            <w:r>
              <w:rPr>
                <w:rFonts w:ascii="仿宋" w:hAnsi="仿宋" w:eastAsia="仿宋"/>
                <w:kern w:val="0"/>
                <w:sz w:val="24"/>
                <w:szCs w:val="24"/>
              </w:rPr>
              <w:t>网络建设项目过程的缩影，通过将竞赛环节转化为学生实训案例来丰富课程资源库建设，计划联合相关院校开发移动通信实践课程关于网络建设、网络优化、网络维护等的课程标准、实训教学方案、专业教材、试验指导书、实验实习操作演示视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68" w:type="dxa"/>
          </w:tcPr>
          <w:p>
            <w:pPr>
              <w:widowControl/>
              <w:spacing w:line="560" w:lineRule="exact"/>
              <w:jc w:val="center"/>
              <w:rPr>
                <w:rFonts w:ascii="仿宋" w:hAnsi="仿宋" w:eastAsia="仿宋"/>
                <w:kern w:val="0"/>
                <w:sz w:val="24"/>
                <w:szCs w:val="24"/>
              </w:rPr>
            </w:pPr>
            <w:r>
              <w:rPr>
                <w:rFonts w:ascii="仿宋" w:hAnsi="仿宋" w:eastAsia="仿宋"/>
                <w:kern w:val="0"/>
                <w:sz w:val="24"/>
                <w:szCs w:val="24"/>
              </w:rPr>
              <w:t>4</w:t>
            </w:r>
          </w:p>
        </w:tc>
        <w:tc>
          <w:tcPr>
            <w:tcW w:w="1476" w:type="dxa"/>
          </w:tcPr>
          <w:p>
            <w:pPr>
              <w:widowControl/>
              <w:spacing w:line="560" w:lineRule="exact"/>
              <w:rPr>
                <w:rFonts w:ascii="仿宋" w:hAnsi="仿宋" w:eastAsia="仿宋"/>
                <w:kern w:val="0"/>
                <w:sz w:val="24"/>
                <w:szCs w:val="24"/>
              </w:rPr>
            </w:pPr>
            <w:r>
              <w:rPr>
                <w:rFonts w:ascii="仿宋" w:hAnsi="仿宋" w:eastAsia="仿宋"/>
                <w:kern w:val="0"/>
                <w:sz w:val="24"/>
                <w:szCs w:val="24"/>
              </w:rPr>
              <w:t>拓展资源</w:t>
            </w:r>
          </w:p>
        </w:tc>
        <w:tc>
          <w:tcPr>
            <w:tcW w:w="5778" w:type="dxa"/>
          </w:tcPr>
          <w:p>
            <w:pPr>
              <w:widowControl/>
              <w:spacing w:line="560" w:lineRule="exact"/>
              <w:ind w:firstLine="480"/>
              <w:rPr>
                <w:rFonts w:ascii="仿宋" w:hAnsi="仿宋" w:eastAsia="仿宋"/>
                <w:kern w:val="0"/>
                <w:sz w:val="24"/>
                <w:szCs w:val="24"/>
              </w:rPr>
            </w:pPr>
            <w:r>
              <w:rPr>
                <w:rFonts w:ascii="仿宋" w:hAnsi="仿宋" w:eastAsia="仿宋"/>
                <w:kern w:val="0"/>
                <w:sz w:val="24"/>
                <w:szCs w:val="24"/>
              </w:rPr>
              <w:t>基于本次竞赛备赛所使用的教学视频、练习题，竞赛所用赛项任务书、竞赛练习题、竞赛试题、竞赛平台等均可纳入日后教学素材资源库。在此基础上可再进行课件等的二次开发作为教学资源补充，计划开发试题库，案例库，此外，本次大赛优秀选手访谈、相关操作照片等也可作为素材资源备案。</w:t>
            </w:r>
          </w:p>
        </w:tc>
      </w:tr>
    </w:tbl>
    <w:p>
      <w:pPr>
        <w:snapToGrid w:val="0"/>
        <w:spacing w:line="560" w:lineRule="exact"/>
        <w:outlineLvl w:val="0"/>
        <w:rPr>
          <w:rFonts w:ascii="黑体" w:hAnsi="黑体" w:eastAsia="黑体" w:cs="黑体"/>
          <w:bCs/>
          <w:sz w:val="30"/>
          <w:szCs w:val="30"/>
        </w:rPr>
      </w:pPr>
      <w:bookmarkStart w:id="26" w:name="_Toc522022183"/>
      <w:r>
        <w:rPr>
          <w:rFonts w:hint="eastAsia" w:ascii="黑体" w:hAnsi="黑体" w:eastAsia="黑体" w:cs="黑体"/>
          <w:bCs/>
          <w:sz w:val="30"/>
          <w:szCs w:val="30"/>
        </w:rPr>
        <w:t>十八、筹备工作进度时间表</w:t>
      </w:r>
      <w:bookmarkEnd w:id="26"/>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依据赛项筹备工作，制定筹备工作时间进度表。</w:t>
      </w:r>
    </w:p>
    <w:p>
      <w:pPr>
        <w:snapToGrid w:val="0"/>
        <w:spacing w:line="560" w:lineRule="exact"/>
        <w:jc w:val="center"/>
        <w:rPr>
          <w:rFonts w:asciiTheme="minorEastAsia" w:hAnsiTheme="minorEastAsia"/>
          <w:sz w:val="22"/>
          <w:szCs w:val="28"/>
        </w:rPr>
      </w:pPr>
      <w:r>
        <w:rPr>
          <w:rFonts w:asciiTheme="minorEastAsia" w:hAnsiTheme="minorEastAsia"/>
          <w:sz w:val="22"/>
          <w:szCs w:val="28"/>
        </w:rPr>
        <w:t>表13 工作进度时间表</w:t>
      </w:r>
    </w:p>
    <w:tbl>
      <w:tblPr>
        <w:tblStyle w:val="20"/>
        <w:tblW w:w="8429" w:type="dxa"/>
        <w:tblInd w:w="93" w:type="dxa"/>
        <w:tblLayout w:type="fixed"/>
        <w:tblCellMar>
          <w:top w:w="0" w:type="dxa"/>
          <w:left w:w="108" w:type="dxa"/>
          <w:bottom w:w="0" w:type="dxa"/>
          <w:right w:w="108" w:type="dxa"/>
        </w:tblCellMar>
      </w:tblPr>
      <w:tblGrid>
        <w:gridCol w:w="560"/>
        <w:gridCol w:w="1739"/>
        <w:gridCol w:w="6130"/>
      </w:tblGrid>
      <w:tr>
        <w:tblPrEx>
          <w:tblLayout w:type="fixed"/>
          <w:tblCellMar>
            <w:top w:w="0" w:type="dxa"/>
            <w:left w:w="108" w:type="dxa"/>
            <w:bottom w:w="0" w:type="dxa"/>
            <w:right w:w="108" w:type="dxa"/>
          </w:tblCellMar>
        </w:tblPrEx>
        <w:trPr>
          <w:trHeight w:val="555" w:hRule="atLeast"/>
          <w:tblHeader/>
        </w:trPr>
        <w:tc>
          <w:tcPr>
            <w:tcW w:w="5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b/>
                <w:kern w:val="0"/>
                <w:sz w:val="24"/>
                <w:szCs w:val="24"/>
              </w:rPr>
            </w:pPr>
            <w:r>
              <w:rPr>
                <w:rFonts w:ascii="仿宋" w:hAnsi="仿宋" w:eastAsia="仿宋"/>
                <w:b/>
                <w:kern w:val="0"/>
                <w:sz w:val="24"/>
                <w:szCs w:val="24"/>
              </w:rPr>
              <w:t>序号</w:t>
            </w:r>
          </w:p>
        </w:tc>
        <w:tc>
          <w:tcPr>
            <w:tcW w:w="1739" w:type="dxa"/>
            <w:tcBorders>
              <w:top w:val="single" w:color="auto" w:sz="8" w:space="0"/>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b/>
                <w:kern w:val="0"/>
                <w:sz w:val="24"/>
                <w:szCs w:val="24"/>
              </w:rPr>
            </w:pPr>
            <w:r>
              <w:rPr>
                <w:rFonts w:ascii="仿宋" w:hAnsi="仿宋" w:eastAsia="仿宋"/>
                <w:b/>
                <w:kern w:val="0"/>
                <w:sz w:val="24"/>
                <w:szCs w:val="24"/>
              </w:rPr>
              <w:t>时间点</w:t>
            </w:r>
          </w:p>
        </w:tc>
        <w:tc>
          <w:tcPr>
            <w:tcW w:w="6130" w:type="dxa"/>
            <w:tcBorders>
              <w:top w:val="single" w:color="auto" w:sz="8" w:space="0"/>
              <w:left w:val="nil"/>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b/>
                <w:kern w:val="0"/>
                <w:sz w:val="24"/>
                <w:szCs w:val="24"/>
              </w:rPr>
            </w:pPr>
            <w:r>
              <w:rPr>
                <w:rFonts w:ascii="仿宋" w:hAnsi="仿宋" w:eastAsia="仿宋"/>
                <w:b/>
                <w:kern w:val="0"/>
                <w:sz w:val="24"/>
                <w:szCs w:val="24"/>
              </w:rPr>
              <w:t>事项及内容</w:t>
            </w:r>
          </w:p>
        </w:tc>
      </w:tr>
      <w:tr>
        <w:tblPrEx>
          <w:tblLayout w:type="fixed"/>
          <w:tblCellMar>
            <w:top w:w="0" w:type="dxa"/>
            <w:left w:w="108" w:type="dxa"/>
            <w:bottom w:w="0" w:type="dxa"/>
            <w:right w:w="108" w:type="dxa"/>
          </w:tblCellMar>
        </w:tblPrEx>
        <w:trPr>
          <w:trHeight w:val="600" w:hRule="atLeast"/>
        </w:trPr>
        <w:tc>
          <w:tcPr>
            <w:tcW w:w="560" w:type="dxa"/>
            <w:tcBorders>
              <w:top w:val="nil"/>
              <w:left w:val="single" w:color="auto" w:sz="8" w:space="0"/>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1</w:t>
            </w:r>
          </w:p>
        </w:tc>
        <w:tc>
          <w:tcPr>
            <w:tcW w:w="1739" w:type="dxa"/>
            <w:tcBorders>
              <w:top w:val="nil"/>
              <w:left w:val="nil"/>
              <w:bottom w:val="single" w:color="auto" w:sz="8" w:space="0"/>
              <w:right w:val="single" w:color="auto" w:sz="8" w:space="0"/>
            </w:tcBorders>
            <w:shd w:val="clear" w:color="auto" w:fill="auto"/>
            <w:vAlign w:val="center"/>
          </w:tcPr>
          <w:p>
            <w:pPr>
              <w:widowControl/>
              <w:spacing w:line="560" w:lineRule="exact"/>
              <w:jc w:val="left"/>
              <w:rPr>
                <w:rFonts w:ascii="仿宋" w:hAnsi="仿宋" w:eastAsia="仿宋"/>
                <w:kern w:val="0"/>
                <w:sz w:val="24"/>
                <w:szCs w:val="24"/>
              </w:rPr>
            </w:pPr>
            <w:r>
              <w:rPr>
                <w:rFonts w:ascii="仿宋" w:hAnsi="仿宋" w:eastAsia="仿宋"/>
                <w:kern w:val="0"/>
                <w:sz w:val="24"/>
                <w:szCs w:val="24"/>
              </w:rPr>
              <w:t>2018年8-11月</w:t>
            </w:r>
          </w:p>
        </w:tc>
        <w:tc>
          <w:tcPr>
            <w:tcW w:w="6130" w:type="dxa"/>
            <w:tcBorders>
              <w:top w:val="nil"/>
              <w:left w:val="nil"/>
              <w:bottom w:val="single" w:color="auto" w:sz="8" w:space="0"/>
              <w:right w:val="single" w:color="auto" w:sz="8" w:space="0"/>
            </w:tcBorders>
            <w:shd w:val="clear" w:color="auto" w:fill="auto"/>
            <w:vAlign w:val="center"/>
          </w:tcPr>
          <w:p>
            <w:pPr>
              <w:widowControl/>
              <w:spacing w:line="560" w:lineRule="exact"/>
              <w:rPr>
                <w:rFonts w:ascii="仿宋" w:hAnsi="仿宋" w:eastAsia="仿宋"/>
                <w:kern w:val="0"/>
                <w:sz w:val="24"/>
                <w:szCs w:val="24"/>
              </w:rPr>
            </w:pPr>
            <w:r>
              <w:rPr>
                <w:rFonts w:ascii="仿宋" w:hAnsi="仿宋" w:eastAsia="仿宋"/>
                <w:kern w:val="0"/>
                <w:sz w:val="24"/>
                <w:szCs w:val="24"/>
              </w:rPr>
              <w:t>组织行业、企业专家和院校代表完成竞赛规程的完善和修订工作，交由教育部发布</w:t>
            </w:r>
          </w:p>
        </w:tc>
      </w:tr>
      <w:tr>
        <w:tblPrEx>
          <w:tblLayout w:type="fixed"/>
          <w:tblCellMar>
            <w:top w:w="0" w:type="dxa"/>
            <w:left w:w="108" w:type="dxa"/>
            <w:bottom w:w="0" w:type="dxa"/>
            <w:right w:w="108" w:type="dxa"/>
          </w:tblCellMar>
        </w:tblPrEx>
        <w:trPr>
          <w:trHeight w:val="600" w:hRule="atLeast"/>
        </w:trPr>
        <w:tc>
          <w:tcPr>
            <w:tcW w:w="560" w:type="dxa"/>
            <w:tcBorders>
              <w:top w:val="nil"/>
              <w:left w:val="single" w:color="auto" w:sz="8" w:space="0"/>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2</w:t>
            </w:r>
          </w:p>
        </w:tc>
        <w:tc>
          <w:tcPr>
            <w:tcW w:w="1739" w:type="dxa"/>
            <w:tcBorders>
              <w:top w:val="nil"/>
              <w:left w:val="nil"/>
              <w:bottom w:val="single" w:color="auto" w:sz="8" w:space="0"/>
              <w:right w:val="single" w:color="auto" w:sz="8" w:space="0"/>
            </w:tcBorders>
            <w:shd w:val="clear" w:color="auto" w:fill="auto"/>
            <w:vAlign w:val="center"/>
          </w:tcPr>
          <w:p>
            <w:pPr>
              <w:widowControl/>
              <w:spacing w:line="560" w:lineRule="exact"/>
              <w:jc w:val="left"/>
              <w:rPr>
                <w:rFonts w:ascii="仿宋" w:hAnsi="仿宋" w:eastAsia="仿宋"/>
                <w:kern w:val="0"/>
                <w:sz w:val="24"/>
                <w:szCs w:val="24"/>
              </w:rPr>
            </w:pPr>
            <w:r>
              <w:rPr>
                <w:rFonts w:ascii="仿宋" w:hAnsi="仿宋" w:eastAsia="仿宋"/>
                <w:kern w:val="0"/>
                <w:sz w:val="24"/>
                <w:szCs w:val="24"/>
              </w:rPr>
              <w:t>2018年11月-2019年1月</w:t>
            </w:r>
          </w:p>
        </w:tc>
        <w:tc>
          <w:tcPr>
            <w:tcW w:w="6130" w:type="dxa"/>
            <w:tcBorders>
              <w:top w:val="nil"/>
              <w:left w:val="nil"/>
              <w:bottom w:val="single" w:color="auto" w:sz="8" w:space="0"/>
              <w:right w:val="single" w:color="auto" w:sz="8" w:space="0"/>
            </w:tcBorders>
            <w:shd w:val="clear" w:color="auto" w:fill="auto"/>
            <w:vAlign w:val="center"/>
          </w:tcPr>
          <w:p>
            <w:pPr>
              <w:widowControl/>
              <w:spacing w:line="560" w:lineRule="exact"/>
              <w:rPr>
                <w:rFonts w:ascii="仿宋" w:hAnsi="仿宋" w:eastAsia="仿宋"/>
                <w:kern w:val="0"/>
                <w:sz w:val="24"/>
                <w:szCs w:val="24"/>
              </w:rPr>
            </w:pPr>
            <w:r>
              <w:rPr>
                <w:rFonts w:ascii="仿宋" w:hAnsi="仿宋" w:eastAsia="仿宋"/>
                <w:kern w:val="0"/>
                <w:sz w:val="24"/>
                <w:szCs w:val="24"/>
              </w:rPr>
              <w:t>完成相应免费培训工作，组建赛项技术工作团队，开展赛项准备和筹备工作；完成竞赛需要的设备与配置工具、耗材准备工作</w:t>
            </w:r>
          </w:p>
        </w:tc>
      </w:tr>
      <w:tr>
        <w:tblPrEx>
          <w:tblLayout w:type="fixed"/>
          <w:tblCellMar>
            <w:top w:w="0" w:type="dxa"/>
            <w:left w:w="108" w:type="dxa"/>
            <w:bottom w:w="0" w:type="dxa"/>
            <w:right w:w="108" w:type="dxa"/>
          </w:tblCellMar>
        </w:tblPrEx>
        <w:trPr>
          <w:trHeight w:val="600" w:hRule="atLeast"/>
        </w:trPr>
        <w:tc>
          <w:tcPr>
            <w:tcW w:w="560" w:type="dxa"/>
            <w:tcBorders>
              <w:top w:val="nil"/>
              <w:left w:val="single" w:color="auto" w:sz="8" w:space="0"/>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3</w:t>
            </w:r>
          </w:p>
        </w:tc>
        <w:tc>
          <w:tcPr>
            <w:tcW w:w="1739" w:type="dxa"/>
            <w:tcBorders>
              <w:top w:val="nil"/>
              <w:left w:val="nil"/>
              <w:bottom w:val="single" w:color="auto" w:sz="8" w:space="0"/>
              <w:right w:val="single" w:color="auto" w:sz="8" w:space="0"/>
            </w:tcBorders>
            <w:shd w:val="clear" w:color="auto" w:fill="auto"/>
            <w:vAlign w:val="center"/>
          </w:tcPr>
          <w:p>
            <w:pPr>
              <w:widowControl/>
              <w:spacing w:line="560" w:lineRule="exact"/>
              <w:jc w:val="left"/>
              <w:rPr>
                <w:rFonts w:ascii="仿宋" w:hAnsi="仿宋" w:eastAsia="仿宋"/>
                <w:kern w:val="0"/>
                <w:sz w:val="24"/>
                <w:szCs w:val="24"/>
              </w:rPr>
            </w:pPr>
            <w:r>
              <w:rPr>
                <w:rFonts w:ascii="仿宋" w:hAnsi="仿宋" w:eastAsia="仿宋"/>
                <w:kern w:val="0"/>
                <w:sz w:val="24"/>
                <w:szCs w:val="24"/>
              </w:rPr>
              <w:t>2019年2月</w:t>
            </w:r>
          </w:p>
        </w:tc>
        <w:tc>
          <w:tcPr>
            <w:tcW w:w="6130" w:type="dxa"/>
            <w:tcBorders>
              <w:top w:val="nil"/>
              <w:left w:val="nil"/>
              <w:bottom w:val="single" w:color="auto" w:sz="8" w:space="0"/>
              <w:right w:val="single" w:color="auto" w:sz="8" w:space="0"/>
            </w:tcBorders>
            <w:shd w:val="clear" w:color="auto" w:fill="auto"/>
            <w:vAlign w:val="center"/>
          </w:tcPr>
          <w:p>
            <w:pPr>
              <w:widowControl/>
              <w:spacing w:line="560" w:lineRule="exact"/>
              <w:rPr>
                <w:rFonts w:ascii="仿宋" w:hAnsi="仿宋" w:eastAsia="仿宋"/>
                <w:kern w:val="0"/>
                <w:sz w:val="24"/>
                <w:szCs w:val="24"/>
              </w:rPr>
            </w:pPr>
            <w:r>
              <w:rPr>
                <w:rFonts w:ascii="仿宋" w:hAnsi="仿宋" w:eastAsia="仿宋"/>
                <w:kern w:val="0"/>
                <w:sz w:val="24"/>
                <w:szCs w:val="24"/>
              </w:rPr>
              <w:t xml:space="preserve">组建竞赛裁判团队，报全国职业院校技能大赛组委会审核； </w:t>
            </w:r>
          </w:p>
        </w:tc>
      </w:tr>
      <w:tr>
        <w:tblPrEx>
          <w:tblLayout w:type="fixed"/>
          <w:tblCellMar>
            <w:top w:w="0" w:type="dxa"/>
            <w:left w:w="108" w:type="dxa"/>
            <w:bottom w:w="0" w:type="dxa"/>
            <w:right w:w="108" w:type="dxa"/>
          </w:tblCellMar>
        </w:tblPrEx>
        <w:trPr>
          <w:trHeight w:val="600" w:hRule="atLeast"/>
        </w:trPr>
        <w:tc>
          <w:tcPr>
            <w:tcW w:w="560" w:type="dxa"/>
            <w:tcBorders>
              <w:top w:val="nil"/>
              <w:left w:val="single" w:color="auto" w:sz="8" w:space="0"/>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4</w:t>
            </w:r>
          </w:p>
        </w:tc>
        <w:tc>
          <w:tcPr>
            <w:tcW w:w="1739" w:type="dxa"/>
            <w:tcBorders>
              <w:top w:val="nil"/>
              <w:left w:val="nil"/>
              <w:bottom w:val="single" w:color="auto" w:sz="8" w:space="0"/>
              <w:right w:val="single" w:color="auto" w:sz="8" w:space="0"/>
            </w:tcBorders>
            <w:shd w:val="clear" w:color="auto" w:fill="auto"/>
            <w:vAlign w:val="center"/>
          </w:tcPr>
          <w:p>
            <w:pPr>
              <w:widowControl/>
              <w:spacing w:line="560" w:lineRule="exact"/>
              <w:jc w:val="left"/>
              <w:rPr>
                <w:rFonts w:ascii="仿宋" w:hAnsi="仿宋" w:eastAsia="仿宋"/>
                <w:kern w:val="0"/>
                <w:sz w:val="24"/>
                <w:szCs w:val="24"/>
              </w:rPr>
            </w:pPr>
            <w:r>
              <w:rPr>
                <w:rFonts w:ascii="仿宋" w:hAnsi="仿宋" w:eastAsia="仿宋"/>
                <w:kern w:val="0"/>
                <w:sz w:val="24"/>
                <w:szCs w:val="24"/>
              </w:rPr>
              <w:t>2019年3月上旬</w:t>
            </w:r>
          </w:p>
        </w:tc>
        <w:tc>
          <w:tcPr>
            <w:tcW w:w="6130" w:type="dxa"/>
            <w:tcBorders>
              <w:top w:val="nil"/>
              <w:left w:val="nil"/>
              <w:bottom w:val="single" w:color="auto" w:sz="8" w:space="0"/>
              <w:right w:val="single" w:color="auto" w:sz="8" w:space="0"/>
            </w:tcBorders>
            <w:shd w:val="clear" w:color="auto" w:fill="auto"/>
            <w:vAlign w:val="center"/>
          </w:tcPr>
          <w:p>
            <w:pPr>
              <w:widowControl/>
              <w:spacing w:line="560" w:lineRule="exact"/>
              <w:rPr>
                <w:rFonts w:ascii="仿宋" w:hAnsi="仿宋" w:eastAsia="仿宋"/>
                <w:kern w:val="0"/>
                <w:sz w:val="24"/>
                <w:szCs w:val="24"/>
              </w:rPr>
            </w:pPr>
            <w:r>
              <w:rPr>
                <w:rFonts w:ascii="仿宋" w:hAnsi="仿宋" w:eastAsia="仿宋"/>
                <w:kern w:val="0"/>
                <w:sz w:val="24"/>
                <w:szCs w:val="24"/>
              </w:rPr>
              <w:t>专家组到达竞赛场地，公布样题，开始组建竞赛题库</w:t>
            </w:r>
          </w:p>
        </w:tc>
      </w:tr>
      <w:tr>
        <w:tblPrEx>
          <w:tblLayout w:type="fixed"/>
          <w:tblCellMar>
            <w:top w:w="0" w:type="dxa"/>
            <w:left w:w="108" w:type="dxa"/>
            <w:bottom w:w="0" w:type="dxa"/>
            <w:right w:w="108" w:type="dxa"/>
          </w:tblCellMar>
        </w:tblPrEx>
        <w:trPr>
          <w:trHeight w:val="600" w:hRule="atLeast"/>
        </w:trPr>
        <w:tc>
          <w:tcPr>
            <w:tcW w:w="560" w:type="dxa"/>
            <w:tcBorders>
              <w:top w:val="nil"/>
              <w:left w:val="single" w:color="auto" w:sz="8" w:space="0"/>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5</w:t>
            </w:r>
          </w:p>
        </w:tc>
        <w:tc>
          <w:tcPr>
            <w:tcW w:w="1739" w:type="dxa"/>
            <w:tcBorders>
              <w:top w:val="nil"/>
              <w:left w:val="nil"/>
              <w:bottom w:val="single" w:color="auto" w:sz="8" w:space="0"/>
              <w:right w:val="single" w:color="auto" w:sz="8" w:space="0"/>
            </w:tcBorders>
            <w:shd w:val="clear" w:color="auto" w:fill="auto"/>
            <w:vAlign w:val="center"/>
          </w:tcPr>
          <w:p>
            <w:pPr>
              <w:widowControl/>
              <w:spacing w:line="560" w:lineRule="exact"/>
              <w:jc w:val="left"/>
              <w:rPr>
                <w:rFonts w:ascii="仿宋" w:hAnsi="仿宋" w:eastAsia="仿宋"/>
                <w:kern w:val="0"/>
                <w:sz w:val="24"/>
                <w:szCs w:val="24"/>
              </w:rPr>
            </w:pPr>
            <w:r>
              <w:rPr>
                <w:rFonts w:ascii="仿宋" w:hAnsi="仿宋" w:eastAsia="仿宋"/>
                <w:kern w:val="0"/>
                <w:sz w:val="24"/>
                <w:szCs w:val="24"/>
              </w:rPr>
              <w:t>2019年3-6月</w:t>
            </w:r>
          </w:p>
        </w:tc>
        <w:tc>
          <w:tcPr>
            <w:tcW w:w="6130" w:type="dxa"/>
            <w:tcBorders>
              <w:top w:val="nil"/>
              <w:left w:val="nil"/>
              <w:bottom w:val="single" w:color="auto" w:sz="8" w:space="0"/>
              <w:right w:val="single" w:color="auto" w:sz="8" w:space="0"/>
            </w:tcBorders>
            <w:shd w:val="clear" w:color="auto" w:fill="auto"/>
            <w:vAlign w:val="center"/>
          </w:tcPr>
          <w:p>
            <w:pPr>
              <w:widowControl/>
              <w:spacing w:line="560" w:lineRule="exact"/>
              <w:rPr>
                <w:rFonts w:ascii="仿宋" w:hAnsi="仿宋" w:eastAsia="仿宋"/>
                <w:kern w:val="0"/>
                <w:sz w:val="24"/>
                <w:szCs w:val="24"/>
              </w:rPr>
            </w:pPr>
            <w:r>
              <w:rPr>
                <w:rFonts w:ascii="仿宋" w:hAnsi="仿宋" w:eastAsia="仿宋"/>
                <w:kern w:val="0"/>
                <w:sz w:val="24"/>
                <w:szCs w:val="24"/>
              </w:rPr>
              <w:t>竞赛项目实施</w:t>
            </w:r>
          </w:p>
        </w:tc>
      </w:tr>
      <w:tr>
        <w:tblPrEx>
          <w:tblLayout w:type="fixed"/>
          <w:tblCellMar>
            <w:top w:w="0" w:type="dxa"/>
            <w:left w:w="108" w:type="dxa"/>
            <w:bottom w:w="0" w:type="dxa"/>
            <w:right w:w="108" w:type="dxa"/>
          </w:tblCellMar>
        </w:tblPrEx>
        <w:trPr>
          <w:trHeight w:val="600" w:hRule="atLeast"/>
        </w:trPr>
        <w:tc>
          <w:tcPr>
            <w:tcW w:w="560" w:type="dxa"/>
            <w:tcBorders>
              <w:top w:val="nil"/>
              <w:left w:val="single" w:color="auto" w:sz="8" w:space="0"/>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6</w:t>
            </w:r>
          </w:p>
        </w:tc>
        <w:tc>
          <w:tcPr>
            <w:tcW w:w="1739" w:type="dxa"/>
            <w:tcBorders>
              <w:top w:val="nil"/>
              <w:left w:val="nil"/>
              <w:bottom w:val="single" w:color="auto" w:sz="8" w:space="0"/>
              <w:right w:val="single" w:color="auto" w:sz="8" w:space="0"/>
            </w:tcBorders>
            <w:shd w:val="clear" w:color="auto" w:fill="auto"/>
            <w:vAlign w:val="center"/>
          </w:tcPr>
          <w:p>
            <w:pPr>
              <w:widowControl/>
              <w:spacing w:line="560" w:lineRule="exact"/>
              <w:jc w:val="left"/>
              <w:rPr>
                <w:rFonts w:ascii="仿宋" w:hAnsi="仿宋" w:eastAsia="仿宋"/>
                <w:kern w:val="0"/>
                <w:sz w:val="24"/>
                <w:szCs w:val="24"/>
              </w:rPr>
            </w:pPr>
            <w:r>
              <w:rPr>
                <w:rFonts w:ascii="仿宋" w:hAnsi="仿宋" w:eastAsia="仿宋"/>
                <w:kern w:val="0"/>
                <w:sz w:val="24"/>
                <w:szCs w:val="24"/>
              </w:rPr>
              <w:t>2019年6月</w:t>
            </w:r>
          </w:p>
        </w:tc>
        <w:tc>
          <w:tcPr>
            <w:tcW w:w="6130" w:type="dxa"/>
            <w:tcBorders>
              <w:top w:val="nil"/>
              <w:left w:val="nil"/>
              <w:bottom w:val="single" w:color="auto" w:sz="8" w:space="0"/>
              <w:right w:val="single" w:color="auto" w:sz="8" w:space="0"/>
            </w:tcBorders>
            <w:shd w:val="clear" w:color="auto" w:fill="auto"/>
            <w:vAlign w:val="center"/>
          </w:tcPr>
          <w:p>
            <w:pPr>
              <w:widowControl/>
              <w:spacing w:line="560" w:lineRule="exact"/>
              <w:rPr>
                <w:rFonts w:ascii="仿宋" w:hAnsi="仿宋" w:eastAsia="仿宋"/>
                <w:kern w:val="0"/>
                <w:sz w:val="24"/>
                <w:szCs w:val="24"/>
              </w:rPr>
            </w:pPr>
            <w:r>
              <w:rPr>
                <w:rFonts w:ascii="仿宋" w:hAnsi="仿宋" w:eastAsia="仿宋"/>
                <w:kern w:val="0"/>
                <w:sz w:val="24"/>
                <w:szCs w:val="24"/>
              </w:rPr>
              <w:t>竞赛项目总结</w:t>
            </w:r>
          </w:p>
        </w:tc>
      </w:tr>
      <w:tr>
        <w:tblPrEx>
          <w:tblLayout w:type="fixed"/>
          <w:tblCellMar>
            <w:top w:w="0" w:type="dxa"/>
            <w:left w:w="108" w:type="dxa"/>
            <w:bottom w:w="0" w:type="dxa"/>
            <w:right w:w="108" w:type="dxa"/>
          </w:tblCellMar>
        </w:tblPrEx>
        <w:trPr>
          <w:trHeight w:val="600" w:hRule="atLeast"/>
        </w:trPr>
        <w:tc>
          <w:tcPr>
            <w:tcW w:w="560" w:type="dxa"/>
            <w:tcBorders>
              <w:top w:val="nil"/>
              <w:left w:val="single" w:color="auto" w:sz="8" w:space="0"/>
              <w:bottom w:val="single" w:color="auto" w:sz="8" w:space="0"/>
              <w:right w:val="single" w:color="auto" w:sz="8" w:space="0"/>
            </w:tcBorders>
            <w:shd w:val="clear" w:color="auto" w:fill="auto"/>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7</w:t>
            </w:r>
          </w:p>
        </w:tc>
        <w:tc>
          <w:tcPr>
            <w:tcW w:w="1739" w:type="dxa"/>
            <w:tcBorders>
              <w:top w:val="nil"/>
              <w:left w:val="nil"/>
              <w:bottom w:val="single" w:color="auto" w:sz="8" w:space="0"/>
              <w:right w:val="single" w:color="auto" w:sz="8" w:space="0"/>
            </w:tcBorders>
            <w:shd w:val="clear" w:color="auto" w:fill="auto"/>
            <w:vAlign w:val="center"/>
          </w:tcPr>
          <w:p>
            <w:pPr>
              <w:widowControl/>
              <w:spacing w:line="560" w:lineRule="exact"/>
              <w:jc w:val="left"/>
              <w:rPr>
                <w:rFonts w:ascii="仿宋" w:hAnsi="仿宋" w:eastAsia="仿宋"/>
                <w:kern w:val="0"/>
                <w:sz w:val="24"/>
                <w:szCs w:val="24"/>
              </w:rPr>
            </w:pPr>
            <w:r>
              <w:rPr>
                <w:rFonts w:ascii="仿宋" w:hAnsi="仿宋" w:eastAsia="仿宋"/>
                <w:kern w:val="0"/>
                <w:sz w:val="24"/>
                <w:szCs w:val="24"/>
              </w:rPr>
              <w:t>2019年7月</w:t>
            </w:r>
          </w:p>
        </w:tc>
        <w:tc>
          <w:tcPr>
            <w:tcW w:w="6130" w:type="dxa"/>
            <w:tcBorders>
              <w:top w:val="nil"/>
              <w:left w:val="nil"/>
              <w:bottom w:val="single" w:color="auto" w:sz="8" w:space="0"/>
              <w:right w:val="single" w:color="auto" w:sz="8" w:space="0"/>
            </w:tcBorders>
            <w:shd w:val="clear" w:color="auto" w:fill="auto"/>
            <w:vAlign w:val="center"/>
          </w:tcPr>
          <w:p>
            <w:pPr>
              <w:widowControl/>
              <w:spacing w:line="560" w:lineRule="exact"/>
              <w:rPr>
                <w:rFonts w:ascii="仿宋" w:hAnsi="仿宋" w:eastAsia="仿宋"/>
                <w:kern w:val="0"/>
                <w:sz w:val="24"/>
                <w:szCs w:val="24"/>
              </w:rPr>
            </w:pPr>
            <w:r>
              <w:rPr>
                <w:rFonts w:ascii="仿宋" w:hAnsi="仿宋" w:eastAsia="仿宋"/>
                <w:kern w:val="0"/>
                <w:sz w:val="24"/>
                <w:szCs w:val="24"/>
              </w:rPr>
              <w:t>围绕本竞赛项目的相关教学成果研讨会及展示等活动</w:t>
            </w:r>
          </w:p>
        </w:tc>
      </w:tr>
    </w:tbl>
    <w:p>
      <w:pPr>
        <w:snapToGrid w:val="0"/>
        <w:spacing w:line="560" w:lineRule="exact"/>
        <w:ind w:firstLine="600" w:firstLineChars="200"/>
        <w:outlineLvl w:val="0"/>
        <w:rPr>
          <w:rFonts w:ascii="黑体" w:hAnsi="黑体" w:eastAsia="黑体" w:cs="黑体"/>
          <w:bCs/>
          <w:sz w:val="30"/>
          <w:szCs w:val="30"/>
        </w:rPr>
      </w:pPr>
      <w:bookmarkStart w:id="27" w:name="_Toc522022184"/>
      <w:r>
        <w:rPr>
          <w:rFonts w:hint="eastAsia" w:ascii="黑体" w:hAnsi="黑体" w:eastAsia="黑体" w:cs="黑体"/>
          <w:bCs/>
          <w:sz w:val="30"/>
          <w:szCs w:val="30"/>
        </w:rPr>
        <w:t>十九、裁判人员建议</w:t>
      </w:r>
      <w:bookmarkEnd w:id="27"/>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建议裁判人员需具备：通信技术、移动通信技术、通信网络与设备等专业经验或相关行业经验，建议</w:t>
      </w:r>
      <w:bookmarkStart w:id="28" w:name="_Hlk491562679"/>
      <w:r>
        <w:rPr>
          <w:rFonts w:ascii="Times New Roman" w:hAnsi="Times New Roman" w:eastAsia="仿宋_GB2312"/>
          <w:sz w:val="30"/>
          <w:szCs w:val="30"/>
        </w:rPr>
        <w:t>裁判人员</w:t>
      </w:r>
      <w:bookmarkEnd w:id="28"/>
      <w:r>
        <w:rPr>
          <w:rFonts w:ascii="Times New Roman" w:hAnsi="Times New Roman" w:eastAsia="仿宋_GB2312"/>
          <w:sz w:val="30"/>
          <w:szCs w:val="30"/>
        </w:rPr>
        <w:t>需具有</w:t>
      </w:r>
      <w:r>
        <w:rPr>
          <w:rFonts w:hint="eastAsia" w:ascii="Times New Roman" w:hAnsi="Times New Roman" w:eastAsia="仿宋_GB2312"/>
          <w:sz w:val="30"/>
          <w:szCs w:val="30"/>
        </w:rPr>
        <w:t>副高</w:t>
      </w:r>
      <w:r>
        <w:rPr>
          <w:rFonts w:ascii="Times New Roman" w:hAnsi="Times New Roman" w:eastAsia="仿宋_GB2312"/>
          <w:sz w:val="30"/>
          <w:szCs w:val="30"/>
        </w:rPr>
        <w:t>及以上专业技术职称或高级技师职业资格。</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建议裁判组人员由高校教师、行业专家、企业工程技术人员和高职院校教师组成，以便从不同角度综合评价学生，使之更为合理。</w:t>
      </w:r>
    </w:p>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裁判人员专业能力需求见表14。</w:t>
      </w:r>
    </w:p>
    <w:p>
      <w:pPr>
        <w:pStyle w:val="7"/>
      </w:pPr>
      <w:r>
        <w:t>表14 裁判专业能力需求表</w:t>
      </w:r>
    </w:p>
    <w:tbl>
      <w:tblPr>
        <w:tblStyle w:val="20"/>
        <w:tblpPr w:leftFromText="180" w:rightFromText="180" w:vertAnchor="text" w:horzAnchor="margin" w:tblpXSpec="center" w:tblpY="8"/>
        <w:tblW w:w="852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8"/>
        <w:gridCol w:w="1493"/>
        <w:gridCol w:w="1866"/>
        <w:gridCol w:w="1991"/>
        <w:gridCol w:w="1769"/>
        <w:gridCol w:w="6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8" w:type="dxa"/>
            <w:tcBorders>
              <w:top w:val="single" w:color="auto" w:sz="8" w:space="0"/>
            </w:tcBorders>
            <w:vAlign w:val="center"/>
          </w:tcPr>
          <w:p>
            <w:pPr>
              <w:adjustRightInd w:val="0"/>
              <w:snapToGrid w:val="0"/>
              <w:spacing w:line="560" w:lineRule="exact"/>
              <w:jc w:val="center"/>
              <w:rPr>
                <w:rFonts w:ascii="仿宋" w:hAnsi="仿宋" w:eastAsia="仿宋"/>
                <w:b/>
                <w:color w:val="000000"/>
                <w:sz w:val="24"/>
                <w:szCs w:val="24"/>
              </w:rPr>
            </w:pPr>
            <w:r>
              <w:rPr>
                <w:rFonts w:ascii="仿宋" w:hAnsi="仿宋" w:eastAsia="仿宋"/>
                <w:b/>
                <w:color w:val="000000"/>
                <w:sz w:val="24"/>
                <w:szCs w:val="24"/>
              </w:rPr>
              <w:t>序号</w:t>
            </w:r>
          </w:p>
        </w:tc>
        <w:tc>
          <w:tcPr>
            <w:tcW w:w="1493" w:type="dxa"/>
            <w:tcBorders>
              <w:top w:val="single" w:color="auto" w:sz="8" w:space="0"/>
            </w:tcBorders>
            <w:vAlign w:val="center"/>
          </w:tcPr>
          <w:p>
            <w:pPr>
              <w:adjustRightInd w:val="0"/>
              <w:snapToGrid w:val="0"/>
              <w:spacing w:line="560" w:lineRule="exact"/>
              <w:jc w:val="center"/>
              <w:rPr>
                <w:rFonts w:ascii="仿宋" w:hAnsi="仿宋" w:eastAsia="仿宋"/>
                <w:b/>
                <w:color w:val="000000"/>
                <w:sz w:val="24"/>
                <w:szCs w:val="24"/>
              </w:rPr>
            </w:pPr>
            <w:r>
              <w:rPr>
                <w:rFonts w:ascii="仿宋" w:hAnsi="仿宋" w:eastAsia="仿宋"/>
                <w:b/>
                <w:color w:val="000000"/>
                <w:sz w:val="24"/>
                <w:szCs w:val="24"/>
              </w:rPr>
              <w:t>专业技术方向</w:t>
            </w:r>
          </w:p>
        </w:tc>
        <w:tc>
          <w:tcPr>
            <w:tcW w:w="1866" w:type="dxa"/>
            <w:tcBorders>
              <w:top w:val="single" w:color="auto" w:sz="8" w:space="0"/>
            </w:tcBorders>
            <w:vAlign w:val="center"/>
          </w:tcPr>
          <w:p>
            <w:pPr>
              <w:adjustRightInd w:val="0"/>
              <w:snapToGrid w:val="0"/>
              <w:spacing w:line="560" w:lineRule="exact"/>
              <w:jc w:val="center"/>
              <w:rPr>
                <w:rFonts w:ascii="仿宋" w:hAnsi="仿宋" w:eastAsia="仿宋"/>
                <w:b/>
                <w:color w:val="000000"/>
                <w:sz w:val="24"/>
                <w:szCs w:val="24"/>
              </w:rPr>
            </w:pPr>
            <w:r>
              <w:rPr>
                <w:rFonts w:ascii="仿宋" w:hAnsi="仿宋" w:eastAsia="仿宋"/>
                <w:b/>
                <w:color w:val="000000"/>
                <w:sz w:val="24"/>
                <w:szCs w:val="24"/>
              </w:rPr>
              <w:t>知识能力要求</w:t>
            </w:r>
          </w:p>
        </w:tc>
        <w:tc>
          <w:tcPr>
            <w:tcW w:w="1991" w:type="dxa"/>
            <w:tcBorders>
              <w:top w:val="single" w:color="auto" w:sz="8" w:space="0"/>
            </w:tcBorders>
            <w:vAlign w:val="center"/>
          </w:tcPr>
          <w:p>
            <w:pPr>
              <w:adjustRightInd w:val="0"/>
              <w:snapToGrid w:val="0"/>
              <w:spacing w:line="560" w:lineRule="exact"/>
              <w:jc w:val="center"/>
              <w:rPr>
                <w:rFonts w:ascii="仿宋" w:hAnsi="仿宋" w:eastAsia="仿宋"/>
                <w:b/>
                <w:color w:val="000000"/>
                <w:sz w:val="24"/>
                <w:szCs w:val="24"/>
              </w:rPr>
            </w:pPr>
            <w:r>
              <w:rPr>
                <w:rFonts w:ascii="仿宋" w:hAnsi="仿宋" w:eastAsia="仿宋"/>
                <w:b/>
                <w:color w:val="000000"/>
                <w:sz w:val="24"/>
                <w:szCs w:val="24"/>
              </w:rPr>
              <w:t>执裁、教学、工作经历</w:t>
            </w:r>
          </w:p>
        </w:tc>
        <w:tc>
          <w:tcPr>
            <w:tcW w:w="1769" w:type="dxa"/>
            <w:tcBorders>
              <w:top w:val="single" w:color="auto" w:sz="8" w:space="0"/>
            </w:tcBorders>
            <w:vAlign w:val="center"/>
          </w:tcPr>
          <w:p>
            <w:pPr>
              <w:adjustRightInd w:val="0"/>
              <w:snapToGrid w:val="0"/>
              <w:spacing w:line="560" w:lineRule="exact"/>
              <w:jc w:val="center"/>
              <w:rPr>
                <w:rFonts w:ascii="仿宋" w:hAnsi="仿宋" w:eastAsia="仿宋"/>
                <w:b/>
                <w:color w:val="000000"/>
                <w:sz w:val="24"/>
                <w:szCs w:val="24"/>
              </w:rPr>
            </w:pPr>
            <w:r>
              <w:rPr>
                <w:rFonts w:ascii="仿宋" w:hAnsi="仿宋" w:eastAsia="仿宋"/>
                <w:b/>
                <w:color w:val="000000"/>
                <w:sz w:val="24"/>
                <w:szCs w:val="24"/>
              </w:rPr>
              <w:t>专业技术职称</w:t>
            </w:r>
          </w:p>
          <w:p>
            <w:pPr>
              <w:adjustRightInd w:val="0"/>
              <w:snapToGrid w:val="0"/>
              <w:spacing w:line="560" w:lineRule="exact"/>
              <w:jc w:val="center"/>
              <w:rPr>
                <w:rFonts w:ascii="仿宋" w:hAnsi="仿宋" w:eastAsia="仿宋"/>
                <w:b/>
                <w:color w:val="000000"/>
                <w:sz w:val="24"/>
                <w:szCs w:val="24"/>
              </w:rPr>
            </w:pPr>
            <w:r>
              <w:rPr>
                <w:rFonts w:ascii="仿宋" w:hAnsi="仿宋" w:eastAsia="仿宋"/>
                <w:b/>
                <w:color w:val="000000"/>
                <w:sz w:val="24"/>
                <w:szCs w:val="24"/>
              </w:rPr>
              <w:t>（职业资格等级）</w:t>
            </w:r>
          </w:p>
        </w:tc>
        <w:tc>
          <w:tcPr>
            <w:tcW w:w="685" w:type="dxa"/>
            <w:tcBorders>
              <w:top w:val="single" w:color="auto" w:sz="8" w:space="0"/>
            </w:tcBorders>
            <w:vAlign w:val="center"/>
          </w:tcPr>
          <w:p>
            <w:pPr>
              <w:adjustRightInd w:val="0"/>
              <w:snapToGrid w:val="0"/>
              <w:spacing w:line="560" w:lineRule="exact"/>
              <w:jc w:val="center"/>
              <w:rPr>
                <w:rFonts w:ascii="仿宋" w:hAnsi="仿宋" w:eastAsia="仿宋"/>
                <w:b/>
                <w:color w:val="000000"/>
                <w:sz w:val="24"/>
                <w:szCs w:val="24"/>
              </w:rPr>
            </w:pPr>
            <w:r>
              <w:rPr>
                <w:rFonts w:ascii="仿宋" w:hAnsi="仿宋" w:eastAsia="仿宋"/>
                <w:b/>
                <w:color w:val="000000"/>
                <w:sz w:val="24"/>
                <w:szCs w:val="24"/>
              </w:rPr>
              <w:t>人数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8" w:type="dxa"/>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1</w:t>
            </w:r>
          </w:p>
        </w:tc>
        <w:tc>
          <w:tcPr>
            <w:tcW w:w="1493" w:type="dxa"/>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计算机网络</w:t>
            </w:r>
          </w:p>
        </w:tc>
        <w:tc>
          <w:tcPr>
            <w:tcW w:w="1866" w:type="dxa"/>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计算机网络技术原理</w:t>
            </w:r>
          </w:p>
          <w:p>
            <w:pPr>
              <w:widowControl/>
              <w:spacing w:line="560" w:lineRule="exact"/>
              <w:jc w:val="center"/>
              <w:rPr>
                <w:rFonts w:ascii="仿宋" w:hAnsi="仿宋" w:eastAsia="仿宋"/>
                <w:kern w:val="0"/>
                <w:sz w:val="24"/>
                <w:szCs w:val="24"/>
              </w:rPr>
            </w:pPr>
            <w:r>
              <w:rPr>
                <w:rFonts w:ascii="仿宋" w:hAnsi="仿宋" w:eastAsia="仿宋"/>
                <w:kern w:val="0"/>
                <w:sz w:val="24"/>
                <w:szCs w:val="24"/>
              </w:rPr>
              <w:t>计算机网络设备操作、维护、网络优化</w:t>
            </w:r>
          </w:p>
        </w:tc>
        <w:tc>
          <w:tcPr>
            <w:tcW w:w="1991" w:type="dxa"/>
            <w:vAlign w:val="center"/>
          </w:tcPr>
          <w:p>
            <w:pPr>
              <w:widowControl/>
              <w:spacing w:line="560" w:lineRule="exact"/>
              <w:jc w:val="left"/>
              <w:rPr>
                <w:rFonts w:ascii="仿宋" w:hAnsi="仿宋" w:eastAsia="仿宋"/>
                <w:kern w:val="0"/>
                <w:sz w:val="24"/>
                <w:szCs w:val="24"/>
              </w:rPr>
            </w:pPr>
            <w:r>
              <w:rPr>
                <w:rFonts w:ascii="仿宋" w:hAnsi="仿宋" w:eastAsia="仿宋"/>
                <w:kern w:val="0"/>
                <w:sz w:val="24"/>
                <w:szCs w:val="24"/>
              </w:rPr>
              <w:t>五年及以上相关教学经验，具有省级或行业职业技能竞赛执裁经验</w:t>
            </w:r>
          </w:p>
        </w:tc>
        <w:tc>
          <w:tcPr>
            <w:tcW w:w="1769" w:type="dxa"/>
            <w:vAlign w:val="center"/>
          </w:tcPr>
          <w:p>
            <w:pPr>
              <w:widowControl/>
              <w:spacing w:line="560" w:lineRule="exact"/>
              <w:jc w:val="center"/>
              <w:rPr>
                <w:rFonts w:ascii="仿宋" w:hAnsi="仿宋" w:eastAsia="仿宋"/>
                <w:kern w:val="0"/>
                <w:sz w:val="24"/>
                <w:szCs w:val="24"/>
              </w:rPr>
            </w:pPr>
            <w:bookmarkStart w:id="29" w:name="OLE_LINK6"/>
            <w:bookmarkStart w:id="30" w:name="OLE_LINK5"/>
            <w:r>
              <w:rPr>
                <w:rFonts w:ascii="仿宋" w:hAnsi="仿宋" w:eastAsia="仿宋"/>
                <w:kern w:val="0"/>
                <w:sz w:val="24"/>
                <w:szCs w:val="24"/>
              </w:rPr>
              <w:t>副高及以</w:t>
            </w:r>
          </w:p>
          <w:p>
            <w:pPr>
              <w:widowControl/>
              <w:spacing w:line="560" w:lineRule="exact"/>
              <w:jc w:val="center"/>
              <w:rPr>
                <w:rFonts w:ascii="仿宋" w:hAnsi="仿宋" w:eastAsia="仿宋"/>
                <w:kern w:val="0"/>
                <w:sz w:val="24"/>
                <w:szCs w:val="24"/>
              </w:rPr>
            </w:pPr>
            <w:r>
              <w:rPr>
                <w:rFonts w:ascii="仿宋" w:hAnsi="仿宋" w:eastAsia="仿宋"/>
                <w:kern w:val="0"/>
                <w:sz w:val="24"/>
                <w:szCs w:val="24"/>
              </w:rPr>
              <w:t>上专业技术职称或高级技师职业资格</w:t>
            </w:r>
            <w:bookmarkEnd w:id="29"/>
            <w:bookmarkEnd w:id="30"/>
          </w:p>
        </w:tc>
        <w:tc>
          <w:tcPr>
            <w:tcW w:w="685" w:type="dxa"/>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8" w:type="dxa"/>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2</w:t>
            </w:r>
          </w:p>
        </w:tc>
        <w:tc>
          <w:tcPr>
            <w:tcW w:w="1493" w:type="dxa"/>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光通信</w:t>
            </w:r>
          </w:p>
        </w:tc>
        <w:tc>
          <w:tcPr>
            <w:tcW w:w="1866" w:type="dxa"/>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光传输和无源光网络技术原理</w:t>
            </w:r>
          </w:p>
          <w:p>
            <w:pPr>
              <w:widowControl/>
              <w:spacing w:line="560" w:lineRule="exact"/>
              <w:jc w:val="center"/>
              <w:rPr>
                <w:rFonts w:ascii="仿宋" w:hAnsi="仿宋" w:eastAsia="仿宋"/>
                <w:kern w:val="0"/>
                <w:sz w:val="24"/>
                <w:szCs w:val="24"/>
              </w:rPr>
            </w:pPr>
            <w:r>
              <w:rPr>
                <w:rFonts w:ascii="仿宋" w:hAnsi="仿宋" w:eastAsia="仿宋"/>
                <w:kern w:val="0"/>
                <w:sz w:val="24"/>
                <w:szCs w:val="24"/>
              </w:rPr>
              <w:t>光传输和无源光网络设备操作、维护、施工规范、网络优化</w:t>
            </w:r>
          </w:p>
        </w:tc>
        <w:tc>
          <w:tcPr>
            <w:tcW w:w="1991" w:type="dxa"/>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五年及以上相关教学经验，具有省级或行业职业技能竞赛执裁经验</w:t>
            </w:r>
          </w:p>
        </w:tc>
        <w:tc>
          <w:tcPr>
            <w:tcW w:w="1769" w:type="dxa"/>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副高及以</w:t>
            </w:r>
          </w:p>
          <w:p>
            <w:pPr>
              <w:widowControl/>
              <w:spacing w:line="560" w:lineRule="exact"/>
              <w:jc w:val="center"/>
              <w:rPr>
                <w:rFonts w:ascii="仿宋" w:hAnsi="仿宋" w:eastAsia="仿宋"/>
                <w:kern w:val="0"/>
                <w:sz w:val="24"/>
                <w:szCs w:val="24"/>
              </w:rPr>
            </w:pPr>
            <w:r>
              <w:rPr>
                <w:rFonts w:ascii="仿宋" w:hAnsi="仿宋" w:eastAsia="仿宋"/>
                <w:kern w:val="0"/>
                <w:sz w:val="24"/>
                <w:szCs w:val="24"/>
              </w:rPr>
              <w:t>上专业技术职称或高级技师职业资格</w:t>
            </w:r>
          </w:p>
        </w:tc>
        <w:tc>
          <w:tcPr>
            <w:tcW w:w="685" w:type="dxa"/>
            <w:vAlign w:val="center"/>
          </w:tcPr>
          <w:p>
            <w:pPr>
              <w:adjustRightInd w:val="0"/>
              <w:snapToGrid w:val="0"/>
              <w:spacing w:line="560" w:lineRule="exact"/>
              <w:jc w:val="center"/>
              <w:rPr>
                <w:rFonts w:ascii="仿宋" w:hAnsi="仿宋" w:eastAsia="仿宋"/>
                <w:sz w:val="24"/>
                <w:szCs w:val="24"/>
              </w:rPr>
            </w:pPr>
            <w:r>
              <w:rPr>
                <w:rFonts w:ascii="仿宋" w:hAnsi="仿宋" w:eastAsia="仿宋"/>
                <w:sz w:val="24"/>
                <w:szCs w:val="24"/>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8" w:type="dxa"/>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3</w:t>
            </w:r>
          </w:p>
        </w:tc>
        <w:tc>
          <w:tcPr>
            <w:tcW w:w="1493" w:type="dxa"/>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移动通信技术</w:t>
            </w:r>
          </w:p>
        </w:tc>
        <w:tc>
          <w:tcPr>
            <w:tcW w:w="1866" w:type="dxa"/>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移动通信网络架构及常用技术</w:t>
            </w:r>
          </w:p>
          <w:p>
            <w:pPr>
              <w:widowControl/>
              <w:spacing w:line="560" w:lineRule="exact"/>
              <w:jc w:val="center"/>
              <w:rPr>
                <w:rFonts w:ascii="仿宋" w:hAnsi="仿宋" w:eastAsia="仿宋"/>
                <w:kern w:val="0"/>
                <w:sz w:val="24"/>
                <w:szCs w:val="24"/>
              </w:rPr>
            </w:pPr>
            <w:r>
              <w:rPr>
                <w:rFonts w:ascii="仿宋" w:hAnsi="仿宋" w:eastAsia="仿宋"/>
                <w:kern w:val="0"/>
                <w:sz w:val="24"/>
                <w:szCs w:val="24"/>
              </w:rPr>
              <w:t>通信网络规划与优化</w:t>
            </w:r>
          </w:p>
        </w:tc>
        <w:tc>
          <w:tcPr>
            <w:tcW w:w="1991" w:type="dxa"/>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五年及以上相关教学经验，具有省级或行业职业技能竞赛执裁经验</w:t>
            </w:r>
          </w:p>
        </w:tc>
        <w:tc>
          <w:tcPr>
            <w:tcW w:w="1769" w:type="dxa"/>
            <w:vAlign w:val="center"/>
          </w:tcPr>
          <w:p>
            <w:pPr>
              <w:widowControl/>
              <w:spacing w:line="560" w:lineRule="exact"/>
              <w:jc w:val="center"/>
              <w:rPr>
                <w:rFonts w:ascii="仿宋" w:hAnsi="仿宋" w:eastAsia="仿宋"/>
                <w:kern w:val="0"/>
                <w:sz w:val="24"/>
                <w:szCs w:val="24"/>
              </w:rPr>
            </w:pPr>
            <w:r>
              <w:rPr>
                <w:rFonts w:ascii="仿宋" w:hAnsi="仿宋" w:eastAsia="仿宋"/>
                <w:kern w:val="0"/>
                <w:sz w:val="24"/>
                <w:szCs w:val="24"/>
              </w:rPr>
              <w:t>副高及以</w:t>
            </w:r>
          </w:p>
          <w:p>
            <w:pPr>
              <w:widowControl/>
              <w:spacing w:line="560" w:lineRule="exact"/>
              <w:jc w:val="center"/>
              <w:rPr>
                <w:rFonts w:ascii="仿宋" w:hAnsi="仿宋" w:eastAsia="仿宋"/>
                <w:kern w:val="0"/>
                <w:sz w:val="24"/>
                <w:szCs w:val="24"/>
              </w:rPr>
            </w:pPr>
            <w:r>
              <w:rPr>
                <w:rFonts w:ascii="仿宋" w:hAnsi="仿宋" w:eastAsia="仿宋"/>
                <w:kern w:val="0"/>
                <w:sz w:val="24"/>
                <w:szCs w:val="24"/>
              </w:rPr>
              <w:t>上专业技术职称或高级技师职业资格</w:t>
            </w:r>
          </w:p>
        </w:tc>
        <w:tc>
          <w:tcPr>
            <w:tcW w:w="685" w:type="dxa"/>
            <w:vAlign w:val="center"/>
          </w:tcPr>
          <w:p>
            <w:pPr>
              <w:adjustRightInd w:val="0"/>
              <w:snapToGrid w:val="0"/>
              <w:spacing w:line="560" w:lineRule="exact"/>
              <w:jc w:val="center"/>
              <w:rPr>
                <w:rFonts w:ascii="仿宋" w:hAnsi="仿宋" w:eastAsia="仿宋"/>
                <w:sz w:val="24"/>
                <w:szCs w:val="24"/>
              </w:rPr>
            </w:pPr>
            <w:r>
              <w:rPr>
                <w:rFonts w:ascii="仿宋" w:hAnsi="仿宋" w:eastAsia="仿宋"/>
                <w:sz w:val="24"/>
                <w:szCs w:val="24"/>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18" w:type="dxa"/>
            <w:tcBorders>
              <w:bottom w:val="single" w:color="auto" w:sz="8" w:space="0"/>
            </w:tcBorders>
            <w:vAlign w:val="center"/>
          </w:tcPr>
          <w:p>
            <w:pPr>
              <w:adjustRightInd w:val="0"/>
              <w:snapToGrid w:val="0"/>
              <w:spacing w:line="560" w:lineRule="exact"/>
              <w:jc w:val="center"/>
              <w:rPr>
                <w:rFonts w:ascii="仿宋" w:hAnsi="仿宋" w:eastAsia="仿宋"/>
                <w:sz w:val="24"/>
              </w:rPr>
            </w:pPr>
            <w:r>
              <w:rPr>
                <w:rFonts w:ascii="仿宋" w:hAnsi="仿宋" w:eastAsia="仿宋"/>
                <w:b/>
                <w:sz w:val="24"/>
                <w:szCs w:val="24"/>
              </w:rPr>
              <w:t>裁判总人数</w:t>
            </w:r>
          </w:p>
        </w:tc>
        <w:tc>
          <w:tcPr>
            <w:tcW w:w="7804" w:type="dxa"/>
            <w:gridSpan w:val="5"/>
            <w:tcBorders>
              <w:bottom w:val="single" w:color="auto" w:sz="8" w:space="0"/>
            </w:tcBorders>
            <w:vAlign w:val="center"/>
          </w:tcPr>
          <w:p>
            <w:pPr>
              <w:adjustRightInd w:val="0"/>
              <w:snapToGrid w:val="0"/>
              <w:spacing w:line="560" w:lineRule="exact"/>
              <w:jc w:val="center"/>
              <w:rPr>
                <w:rFonts w:ascii="仿宋" w:hAnsi="仿宋" w:eastAsia="仿宋"/>
                <w:sz w:val="24"/>
              </w:rPr>
            </w:pPr>
            <w:r>
              <w:rPr>
                <w:rFonts w:ascii="仿宋" w:hAnsi="仿宋" w:eastAsia="仿宋"/>
                <w:sz w:val="24"/>
              </w:rPr>
              <w:t>20</w:t>
            </w:r>
          </w:p>
        </w:tc>
      </w:tr>
    </w:tbl>
    <w:p>
      <w:pPr>
        <w:snapToGrid w:val="0"/>
        <w:spacing w:line="560" w:lineRule="exact"/>
        <w:ind w:firstLine="600" w:firstLineChars="200"/>
        <w:rPr>
          <w:rFonts w:ascii="Times New Roman" w:hAnsi="Times New Roman" w:eastAsia="仿宋_GB2312"/>
          <w:sz w:val="30"/>
          <w:szCs w:val="30"/>
        </w:rPr>
      </w:pPr>
      <w:r>
        <w:rPr>
          <w:rFonts w:ascii="Times New Roman" w:hAnsi="Times New Roman" w:eastAsia="仿宋_GB2312"/>
          <w:sz w:val="30"/>
          <w:szCs w:val="30"/>
        </w:rPr>
        <w:t>赛项需要的裁判数量以及分工见表15。</w:t>
      </w:r>
    </w:p>
    <w:p>
      <w:pPr>
        <w:pStyle w:val="7"/>
      </w:pPr>
      <w:r>
        <w:t>表15 裁判数量分配表</w:t>
      </w:r>
    </w:p>
    <w:tbl>
      <w:tblPr>
        <w:tblStyle w:val="20"/>
        <w:tblW w:w="8522" w:type="dxa"/>
        <w:jc w:val="center"/>
        <w:tblInd w:w="0" w:type="dxa"/>
        <w:tblLayout w:type="fixed"/>
        <w:tblCellMar>
          <w:top w:w="0" w:type="dxa"/>
          <w:left w:w="108" w:type="dxa"/>
          <w:bottom w:w="0" w:type="dxa"/>
          <w:right w:w="108" w:type="dxa"/>
        </w:tblCellMar>
      </w:tblPr>
      <w:tblGrid>
        <w:gridCol w:w="2235"/>
        <w:gridCol w:w="4056"/>
        <w:gridCol w:w="2231"/>
      </w:tblGrid>
      <w:tr>
        <w:tblPrEx>
          <w:tblLayout w:type="fixed"/>
          <w:tblCellMar>
            <w:top w:w="0" w:type="dxa"/>
            <w:left w:w="108" w:type="dxa"/>
            <w:bottom w:w="0" w:type="dxa"/>
            <w:right w:w="108" w:type="dxa"/>
          </w:tblCellMar>
        </w:tblPrEx>
        <w:trPr>
          <w:trHeight w:val="270" w:hRule="atLeast"/>
          <w:jc w:val="center"/>
        </w:trPr>
        <w:tc>
          <w:tcPr>
            <w:tcW w:w="223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b/>
                <w:kern w:val="0"/>
                <w:sz w:val="24"/>
                <w:szCs w:val="24"/>
              </w:rPr>
            </w:pPr>
            <w:r>
              <w:rPr>
                <w:rFonts w:ascii="仿宋" w:hAnsi="仿宋" w:eastAsia="仿宋"/>
                <w:b/>
                <w:kern w:val="0"/>
                <w:sz w:val="24"/>
                <w:szCs w:val="24"/>
              </w:rPr>
              <w:t>序号</w:t>
            </w:r>
          </w:p>
        </w:tc>
        <w:tc>
          <w:tcPr>
            <w:tcW w:w="4056" w:type="dxa"/>
            <w:tcBorders>
              <w:top w:val="single" w:color="auto" w:sz="4" w:space="0"/>
              <w:left w:val="nil"/>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b/>
                <w:kern w:val="0"/>
                <w:sz w:val="24"/>
                <w:szCs w:val="24"/>
              </w:rPr>
            </w:pPr>
            <w:r>
              <w:rPr>
                <w:rFonts w:ascii="仿宋" w:hAnsi="仿宋" w:eastAsia="仿宋"/>
                <w:b/>
                <w:kern w:val="0"/>
                <w:sz w:val="24"/>
                <w:szCs w:val="24"/>
              </w:rPr>
              <w:t>裁判分工</w:t>
            </w:r>
          </w:p>
        </w:tc>
        <w:tc>
          <w:tcPr>
            <w:tcW w:w="2231" w:type="dxa"/>
            <w:tcBorders>
              <w:top w:val="single" w:color="auto" w:sz="4" w:space="0"/>
              <w:left w:val="nil"/>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b/>
                <w:kern w:val="0"/>
                <w:sz w:val="24"/>
                <w:szCs w:val="24"/>
              </w:rPr>
            </w:pPr>
            <w:r>
              <w:rPr>
                <w:rFonts w:ascii="仿宋" w:hAnsi="仿宋" w:eastAsia="仿宋"/>
                <w:b/>
                <w:kern w:val="0"/>
                <w:sz w:val="24"/>
                <w:szCs w:val="24"/>
              </w:rPr>
              <w:t>裁判人数</w:t>
            </w:r>
          </w:p>
        </w:tc>
      </w:tr>
      <w:tr>
        <w:tblPrEx>
          <w:tblLayout w:type="fixed"/>
          <w:tblCellMar>
            <w:top w:w="0" w:type="dxa"/>
            <w:left w:w="108" w:type="dxa"/>
            <w:bottom w:w="0" w:type="dxa"/>
            <w:right w:w="108" w:type="dxa"/>
          </w:tblCellMar>
        </w:tblPrEx>
        <w:trPr>
          <w:trHeight w:val="270" w:hRule="atLeast"/>
          <w:jc w:val="center"/>
        </w:trPr>
        <w:tc>
          <w:tcPr>
            <w:tcW w:w="2235"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kern w:val="0"/>
                <w:sz w:val="24"/>
                <w:szCs w:val="24"/>
              </w:rPr>
            </w:pPr>
            <w:r>
              <w:rPr>
                <w:rFonts w:ascii="仿宋" w:hAnsi="仿宋" w:eastAsia="仿宋"/>
                <w:kern w:val="0"/>
                <w:sz w:val="24"/>
                <w:szCs w:val="24"/>
              </w:rPr>
              <w:t>1</w:t>
            </w:r>
          </w:p>
        </w:tc>
        <w:tc>
          <w:tcPr>
            <w:tcW w:w="4056" w:type="dxa"/>
            <w:tcBorders>
              <w:top w:val="single" w:color="auto" w:sz="4" w:space="0"/>
              <w:left w:val="nil"/>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kern w:val="0"/>
                <w:sz w:val="24"/>
                <w:szCs w:val="24"/>
              </w:rPr>
            </w:pPr>
            <w:r>
              <w:rPr>
                <w:rFonts w:ascii="仿宋" w:hAnsi="仿宋" w:eastAsia="仿宋"/>
                <w:kern w:val="0"/>
                <w:sz w:val="24"/>
                <w:szCs w:val="24"/>
              </w:rPr>
              <w:t>裁判长</w:t>
            </w:r>
          </w:p>
        </w:tc>
        <w:tc>
          <w:tcPr>
            <w:tcW w:w="2231" w:type="dxa"/>
            <w:tcBorders>
              <w:top w:val="single" w:color="auto" w:sz="4" w:space="0"/>
              <w:left w:val="nil"/>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kern w:val="0"/>
                <w:sz w:val="24"/>
                <w:szCs w:val="24"/>
              </w:rPr>
            </w:pPr>
            <w:r>
              <w:rPr>
                <w:rFonts w:ascii="仿宋" w:hAnsi="仿宋" w:eastAsia="仿宋"/>
                <w:kern w:val="0"/>
                <w:sz w:val="24"/>
                <w:szCs w:val="24"/>
              </w:rPr>
              <w:t>1</w:t>
            </w:r>
          </w:p>
        </w:tc>
      </w:tr>
      <w:tr>
        <w:tblPrEx>
          <w:tblLayout w:type="fixed"/>
          <w:tblCellMar>
            <w:top w:w="0" w:type="dxa"/>
            <w:left w:w="108" w:type="dxa"/>
            <w:bottom w:w="0" w:type="dxa"/>
            <w:right w:w="108" w:type="dxa"/>
          </w:tblCellMar>
        </w:tblPrEx>
        <w:trPr>
          <w:trHeight w:val="270" w:hRule="atLeast"/>
          <w:jc w:val="center"/>
        </w:trPr>
        <w:tc>
          <w:tcPr>
            <w:tcW w:w="2235" w:type="dxa"/>
            <w:tcBorders>
              <w:top w:val="nil"/>
              <w:left w:val="single" w:color="auto" w:sz="4" w:space="0"/>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kern w:val="0"/>
                <w:sz w:val="24"/>
                <w:szCs w:val="24"/>
              </w:rPr>
            </w:pPr>
            <w:r>
              <w:rPr>
                <w:rFonts w:ascii="仿宋" w:hAnsi="仿宋" w:eastAsia="仿宋"/>
                <w:kern w:val="0"/>
                <w:sz w:val="24"/>
                <w:szCs w:val="24"/>
              </w:rPr>
              <w:t>2</w:t>
            </w:r>
          </w:p>
        </w:tc>
        <w:tc>
          <w:tcPr>
            <w:tcW w:w="4056" w:type="dxa"/>
            <w:tcBorders>
              <w:top w:val="nil"/>
              <w:left w:val="nil"/>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kern w:val="0"/>
                <w:sz w:val="24"/>
                <w:szCs w:val="24"/>
              </w:rPr>
            </w:pPr>
            <w:r>
              <w:rPr>
                <w:rFonts w:ascii="仿宋" w:hAnsi="仿宋" w:eastAsia="仿宋"/>
                <w:kern w:val="0"/>
                <w:sz w:val="24"/>
                <w:szCs w:val="24"/>
              </w:rPr>
              <w:t>检录（兼一次加密）</w:t>
            </w:r>
          </w:p>
        </w:tc>
        <w:tc>
          <w:tcPr>
            <w:tcW w:w="2231" w:type="dxa"/>
            <w:tcBorders>
              <w:top w:val="nil"/>
              <w:left w:val="nil"/>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kern w:val="0"/>
                <w:sz w:val="24"/>
                <w:szCs w:val="24"/>
              </w:rPr>
            </w:pPr>
            <w:r>
              <w:rPr>
                <w:rFonts w:ascii="仿宋" w:hAnsi="仿宋" w:eastAsia="仿宋"/>
                <w:kern w:val="0"/>
                <w:sz w:val="24"/>
                <w:szCs w:val="24"/>
              </w:rPr>
              <w:t>1</w:t>
            </w:r>
          </w:p>
        </w:tc>
      </w:tr>
      <w:tr>
        <w:tblPrEx>
          <w:tblLayout w:type="fixed"/>
          <w:tblCellMar>
            <w:top w:w="0" w:type="dxa"/>
            <w:left w:w="108" w:type="dxa"/>
            <w:bottom w:w="0" w:type="dxa"/>
            <w:right w:w="108" w:type="dxa"/>
          </w:tblCellMar>
        </w:tblPrEx>
        <w:trPr>
          <w:trHeight w:val="270" w:hRule="atLeast"/>
          <w:jc w:val="center"/>
        </w:trPr>
        <w:tc>
          <w:tcPr>
            <w:tcW w:w="2235" w:type="dxa"/>
            <w:tcBorders>
              <w:top w:val="nil"/>
              <w:left w:val="single" w:color="auto" w:sz="4" w:space="0"/>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kern w:val="0"/>
                <w:sz w:val="24"/>
                <w:szCs w:val="24"/>
              </w:rPr>
            </w:pPr>
            <w:r>
              <w:rPr>
                <w:rFonts w:ascii="仿宋" w:hAnsi="仿宋" w:eastAsia="仿宋"/>
                <w:kern w:val="0"/>
                <w:sz w:val="24"/>
                <w:szCs w:val="24"/>
              </w:rPr>
              <w:t>3</w:t>
            </w:r>
          </w:p>
        </w:tc>
        <w:tc>
          <w:tcPr>
            <w:tcW w:w="4056" w:type="dxa"/>
            <w:tcBorders>
              <w:top w:val="nil"/>
              <w:left w:val="nil"/>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kern w:val="0"/>
                <w:sz w:val="24"/>
                <w:szCs w:val="24"/>
              </w:rPr>
            </w:pPr>
            <w:r>
              <w:rPr>
                <w:rFonts w:ascii="仿宋" w:hAnsi="仿宋" w:eastAsia="仿宋"/>
                <w:kern w:val="0"/>
                <w:sz w:val="24"/>
                <w:szCs w:val="24"/>
              </w:rPr>
              <w:t>二次加密</w:t>
            </w:r>
          </w:p>
        </w:tc>
        <w:tc>
          <w:tcPr>
            <w:tcW w:w="2231" w:type="dxa"/>
            <w:tcBorders>
              <w:top w:val="nil"/>
              <w:left w:val="nil"/>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kern w:val="0"/>
                <w:sz w:val="24"/>
                <w:szCs w:val="24"/>
              </w:rPr>
            </w:pPr>
            <w:r>
              <w:rPr>
                <w:rFonts w:ascii="仿宋" w:hAnsi="仿宋" w:eastAsia="仿宋"/>
                <w:kern w:val="0"/>
                <w:sz w:val="24"/>
                <w:szCs w:val="24"/>
              </w:rPr>
              <w:t>1</w:t>
            </w:r>
          </w:p>
        </w:tc>
      </w:tr>
      <w:tr>
        <w:tblPrEx>
          <w:tblLayout w:type="fixed"/>
          <w:tblCellMar>
            <w:top w:w="0" w:type="dxa"/>
            <w:left w:w="108" w:type="dxa"/>
            <w:bottom w:w="0" w:type="dxa"/>
            <w:right w:w="108" w:type="dxa"/>
          </w:tblCellMar>
        </w:tblPrEx>
        <w:trPr>
          <w:trHeight w:val="270" w:hRule="atLeast"/>
          <w:jc w:val="center"/>
        </w:trPr>
        <w:tc>
          <w:tcPr>
            <w:tcW w:w="2235" w:type="dxa"/>
            <w:tcBorders>
              <w:top w:val="nil"/>
              <w:left w:val="single" w:color="auto" w:sz="4" w:space="0"/>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kern w:val="0"/>
                <w:sz w:val="24"/>
                <w:szCs w:val="24"/>
              </w:rPr>
            </w:pPr>
            <w:r>
              <w:rPr>
                <w:rFonts w:ascii="仿宋" w:hAnsi="仿宋" w:eastAsia="仿宋"/>
                <w:kern w:val="0"/>
                <w:sz w:val="24"/>
                <w:szCs w:val="24"/>
              </w:rPr>
              <w:t>4</w:t>
            </w:r>
          </w:p>
        </w:tc>
        <w:tc>
          <w:tcPr>
            <w:tcW w:w="4056" w:type="dxa"/>
            <w:tcBorders>
              <w:top w:val="nil"/>
              <w:left w:val="nil"/>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kern w:val="0"/>
                <w:sz w:val="24"/>
                <w:szCs w:val="24"/>
              </w:rPr>
            </w:pPr>
            <w:r>
              <w:rPr>
                <w:rFonts w:ascii="仿宋" w:hAnsi="仿宋" w:eastAsia="仿宋"/>
                <w:kern w:val="0"/>
                <w:sz w:val="24"/>
                <w:szCs w:val="24"/>
              </w:rPr>
              <w:t>现场裁判</w:t>
            </w:r>
          </w:p>
        </w:tc>
        <w:tc>
          <w:tcPr>
            <w:tcW w:w="2231" w:type="dxa"/>
            <w:tcBorders>
              <w:top w:val="nil"/>
              <w:left w:val="nil"/>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kern w:val="0"/>
                <w:sz w:val="24"/>
                <w:szCs w:val="24"/>
              </w:rPr>
            </w:pPr>
            <w:r>
              <w:rPr>
                <w:rFonts w:ascii="仿宋" w:hAnsi="仿宋" w:eastAsia="仿宋"/>
                <w:kern w:val="0"/>
                <w:sz w:val="24"/>
                <w:szCs w:val="24"/>
              </w:rPr>
              <w:t>8</w:t>
            </w:r>
          </w:p>
        </w:tc>
      </w:tr>
      <w:tr>
        <w:tblPrEx>
          <w:tblLayout w:type="fixed"/>
          <w:tblCellMar>
            <w:top w:w="0" w:type="dxa"/>
            <w:left w:w="108" w:type="dxa"/>
            <w:bottom w:w="0" w:type="dxa"/>
            <w:right w:w="108" w:type="dxa"/>
          </w:tblCellMar>
        </w:tblPrEx>
        <w:trPr>
          <w:trHeight w:val="270" w:hRule="atLeast"/>
          <w:jc w:val="center"/>
        </w:trPr>
        <w:tc>
          <w:tcPr>
            <w:tcW w:w="2235" w:type="dxa"/>
            <w:tcBorders>
              <w:top w:val="nil"/>
              <w:left w:val="single" w:color="auto" w:sz="4" w:space="0"/>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kern w:val="0"/>
                <w:sz w:val="24"/>
                <w:szCs w:val="24"/>
              </w:rPr>
            </w:pPr>
            <w:r>
              <w:rPr>
                <w:rFonts w:ascii="仿宋" w:hAnsi="仿宋" w:eastAsia="仿宋"/>
                <w:kern w:val="0"/>
                <w:sz w:val="24"/>
                <w:szCs w:val="24"/>
              </w:rPr>
              <w:t>5</w:t>
            </w:r>
          </w:p>
        </w:tc>
        <w:tc>
          <w:tcPr>
            <w:tcW w:w="4056" w:type="dxa"/>
            <w:tcBorders>
              <w:top w:val="nil"/>
              <w:left w:val="nil"/>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kern w:val="0"/>
                <w:sz w:val="24"/>
                <w:szCs w:val="24"/>
              </w:rPr>
            </w:pPr>
            <w:r>
              <w:rPr>
                <w:rFonts w:ascii="仿宋" w:hAnsi="仿宋" w:eastAsia="仿宋"/>
                <w:kern w:val="0"/>
                <w:sz w:val="24"/>
                <w:szCs w:val="24"/>
              </w:rPr>
              <w:t>评分裁判</w:t>
            </w:r>
          </w:p>
        </w:tc>
        <w:tc>
          <w:tcPr>
            <w:tcW w:w="2231" w:type="dxa"/>
            <w:tcBorders>
              <w:top w:val="nil"/>
              <w:left w:val="nil"/>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kern w:val="0"/>
                <w:sz w:val="24"/>
                <w:szCs w:val="24"/>
              </w:rPr>
            </w:pPr>
            <w:r>
              <w:rPr>
                <w:rFonts w:ascii="仿宋" w:hAnsi="仿宋" w:eastAsia="仿宋"/>
                <w:kern w:val="0"/>
                <w:sz w:val="24"/>
                <w:szCs w:val="24"/>
              </w:rPr>
              <w:t>6</w:t>
            </w:r>
          </w:p>
        </w:tc>
      </w:tr>
      <w:tr>
        <w:tblPrEx>
          <w:tblLayout w:type="fixed"/>
          <w:tblCellMar>
            <w:top w:w="0" w:type="dxa"/>
            <w:left w:w="108" w:type="dxa"/>
            <w:bottom w:w="0" w:type="dxa"/>
            <w:right w:w="108" w:type="dxa"/>
          </w:tblCellMar>
        </w:tblPrEx>
        <w:trPr>
          <w:trHeight w:val="270" w:hRule="atLeast"/>
          <w:jc w:val="center"/>
        </w:trPr>
        <w:tc>
          <w:tcPr>
            <w:tcW w:w="2235" w:type="dxa"/>
            <w:tcBorders>
              <w:top w:val="nil"/>
              <w:left w:val="single" w:color="auto" w:sz="4" w:space="0"/>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kern w:val="0"/>
                <w:sz w:val="24"/>
                <w:szCs w:val="24"/>
              </w:rPr>
            </w:pPr>
            <w:r>
              <w:rPr>
                <w:rFonts w:ascii="仿宋" w:hAnsi="仿宋" w:eastAsia="仿宋"/>
                <w:kern w:val="0"/>
                <w:sz w:val="24"/>
                <w:szCs w:val="24"/>
              </w:rPr>
              <w:t>6</w:t>
            </w:r>
          </w:p>
        </w:tc>
        <w:tc>
          <w:tcPr>
            <w:tcW w:w="4056" w:type="dxa"/>
            <w:tcBorders>
              <w:top w:val="nil"/>
              <w:left w:val="nil"/>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kern w:val="0"/>
                <w:sz w:val="24"/>
                <w:szCs w:val="24"/>
              </w:rPr>
            </w:pPr>
            <w:r>
              <w:rPr>
                <w:rFonts w:ascii="仿宋" w:hAnsi="仿宋" w:eastAsia="仿宋"/>
                <w:kern w:val="0"/>
                <w:sz w:val="24"/>
                <w:szCs w:val="24"/>
              </w:rPr>
              <w:t>记分员</w:t>
            </w:r>
          </w:p>
        </w:tc>
        <w:tc>
          <w:tcPr>
            <w:tcW w:w="2231" w:type="dxa"/>
            <w:tcBorders>
              <w:top w:val="nil"/>
              <w:left w:val="nil"/>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kern w:val="0"/>
                <w:sz w:val="24"/>
                <w:szCs w:val="24"/>
              </w:rPr>
            </w:pPr>
            <w:r>
              <w:rPr>
                <w:rFonts w:ascii="仿宋" w:hAnsi="仿宋" w:eastAsia="仿宋"/>
                <w:kern w:val="0"/>
                <w:sz w:val="24"/>
                <w:szCs w:val="24"/>
              </w:rPr>
              <w:t>3</w:t>
            </w:r>
          </w:p>
        </w:tc>
      </w:tr>
      <w:tr>
        <w:tblPrEx>
          <w:tblLayout w:type="fixed"/>
          <w:tblCellMar>
            <w:top w:w="0" w:type="dxa"/>
            <w:left w:w="108" w:type="dxa"/>
            <w:bottom w:w="0" w:type="dxa"/>
            <w:right w:w="108" w:type="dxa"/>
          </w:tblCellMar>
        </w:tblPrEx>
        <w:trPr>
          <w:trHeight w:val="270" w:hRule="atLeast"/>
          <w:jc w:val="center"/>
        </w:trPr>
        <w:tc>
          <w:tcPr>
            <w:tcW w:w="2235" w:type="dxa"/>
            <w:tcBorders>
              <w:top w:val="nil"/>
              <w:left w:val="single" w:color="auto" w:sz="4" w:space="0"/>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kern w:val="0"/>
                <w:sz w:val="24"/>
                <w:szCs w:val="24"/>
              </w:rPr>
            </w:pPr>
            <w:r>
              <w:rPr>
                <w:rFonts w:ascii="仿宋" w:hAnsi="仿宋" w:eastAsia="仿宋"/>
                <w:kern w:val="0"/>
                <w:sz w:val="24"/>
                <w:szCs w:val="24"/>
              </w:rPr>
              <w:t>7</w:t>
            </w:r>
          </w:p>
        </w:tc>
        <w:tc>
          <w:tcPr>
            <w:tcW w:w="4056" w:type="dxa"/>
            <w:tcBorders>
              <w:top w:val="nil"/>
              <w:left w:val="nil"/>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kern w:val="0"/>
                <w:sz w:val="24"/>
                <w:szCs w:val="24"/>
              </w:rPr>
            </w:pPr>
            <w:r>
              <w:rPr>
                <w:rFonts w:ascii="仿宋" w:hAnsi="仿宋" w:eastAsia="仿宋"/>
                <w:kern w:val="0"/>
                <w:sz w:val="24"/>
                <w:szCs w:val="24"/>
              </w:rPr>
              <w:t>合计</w:t>
            </w:r>
          </w:p>
        </w:tc>
        <w:tc>
          <w:tcPr>
            <w:tcW w:w="2231" w:type="dxa"/>
            <w:tcBorders>
              <w:top w:val="nil"/>
              <w:left w:val="nil"/>
              <w:bottom w:val="single" w:color="auto" w:sz="4" w:space="0"/>
              <w:right w:val="single" w:color="auto" w:sz="4" w:space="0"/>
            </w:tcBorders>
            <w:shd w:val="clear" w:color="auto" w:fill="auto"/>
            <w:vAlign w:val="bottom"/>
          </w:tcPr>
          <w:p>
            <w:pPr>
              <w:widowControl/>
              <w:spacing w:line="560" w:lineRule="exact"/>
              <w:jc w:val="center"/>
              <w:rPr>
                <w:rFonts w:ascii="仿宋" w:hAnsi="仿宋" w:eastAsia="仿宋"/>
                <w:kern w:val="0"/>
                <w:sz w:val="24"/>
                <w:szCs w:val="24"/>
              </w:rPr>
            </w:pPr>
            <w:r>
              <w:rPr>
                <w:rFonts w:ascii="仿宋" w:hAnsi="仿宋" w:eastAsia="仿宋"/>
                <w:kern w:val="0"/>
                <w:sz w:val="24"/>
                <w:szCs w:val="24"/>
              </w:rPr>
              <w:t>20</w:t>
            </w:r>
          </w:p>
        </w:tc>
      </w:tr>
    </w:tbl>
    <w:p>
      <w:pPr>
        <w:pStyle w:val="2"/>
        <w:spacing w:before="0" w:after="0" w:line="360" w:lineRule="auto"/>
        <w:ind w:firstLine="602" w:firstLineChars="200"/>
        <w:jc w:val="left"/>
        <w:rPr>
          <w:rFonts w:ascii="Arial Narrow" w:hAnsi="Arial Narrow" w:eastAsia="仿宋_GB2312" w:cs="Arial"/>
          <w:b w:val="0"/>
          <w:sz w:val="30"/>
          <w:szCs w:val="30"/>
        </w:rPr>
      </w:pPr>
      <w:bookmarkStart w:id="31" w:name="_Toc522022185"/>
      <w:r>
        <w:rPr>
          <w:rFonts w:hint="eastAsia" w:ascii="黑体" w:hAnsi="黑体" w:eastAsia="黑体" w:cs="黑体"/>
          <w:sz w:val="30"/>
          <w:szCs w:val="30"/>
        </w:rPr>
        <w:t>二十、赛题公开承诺</w:t>
      </w:r>
      <w:bookmarkEnd w:id="31"/>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承诺保证于开赛1个月前在大赛网络信息发布平台上（www.chinaskills-jsw.org)公开全部赛题。</w:t>
      </w:r>
    </w:p>
    <w:p>
      <w:pPr>
        <w:pStyle w:val="2"/>
        <w:spacing w:before="0" w:after="0" w:line="360" w:lineRule="auto"/>
        <w:ind w:firstLine="602" w:firstLineChars="200"/>
        <w:jc w:val="left"/>
        <w:rPr>
          <w:rFonts w:ascii="黑体" w:hAnsi="黑体" w:eastAsia="黑体" w:cs="黑体"/>
          <w:sz w:val="30"/>
          <w:szCs w:val="30"/>
        </w:rPr>
      </w:pPr>
      <w:bookmarkStart w:id="32" w:name="_Toc522022186"/>
      <w:r>
        <w:rPr>
          <w:rFonts w:hint="eastAsia" w:ascii="黑体" w:hAnsi="黑体" w:eastAsia="黑体" w:cs="黑体"/>
          <w:sz w:val="30"/>
          <w:szCs w:val="30"/>
        </w:rPr>
        <w:t>二十一、其他</w:t>
      </w:r>
      <w:bookmarkEnd w:id="32"/>
    </w:p>
    <w:p>
      <w:pPr>
        <w:snapToGrid w:val="0"/>
        <w:spacing w:line="560" w:lineRule="exact"/>
        <w:ind w:firstLine="600" w:firstLineChars="200"/>
        <w:rPr>
          <w:rFonts w:ascii="Times New Roman" w:hAnsi="Times New Roman" w:eastAsia="仿宋_GB2312"/>
          <w:sz w:val="30"/>
          <w:szCs w:val="30"/>
        </w:rPr>
      </w:pPr>
      <w:r>
        <w:rPr>
          <w:rFonts w:hint="eastAsia" w:ascii="Times New Roman" w:hAnsi="Times New Roman" w:eastAsia="仿宋_GB2312"/>
          <w:sz w:val="30"/>
          <w:szCs w:val="30"/>
        </w:rPr>
        <w:t>无。</w:t>
      </w: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Calibri">
    <w:panose1 w:val="020F0502020204030204"/>
    <w:charset w:val="01"/>
    <w:family w:val="auto"/>
    <w:pitch w:val="default"/>
    <w:sig w:usb0="E0002AFF" w:usb1="C000247B" w:usb2="00000009" w:usb3="00000000" w:csb0="200001F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5ACCB7"/>
    <w:multiLevelType w:val="singleLevel"/>
    <w:tmpl w:val="835ACCB7"/>
    <w:lvl w:ilvl="0" w:tentative="0">
      <w:start w:val="2"/>
      <w:numFmt w:val="chineseCounting"/>
      <w:suff w:val="nothing"/>
      <w:lvlText w:val="%1、"/>
      <w:lvlJc w:val="left"/>
      <w:rPr>
        <w:rFonts w:hint="eastAsia"/>
      </w:rPr>
    </w:lvl>
  </w:abstractNum>
  <w:abstractNum w:abstractNumId="1">
    <w:nsid w:val="78314513"/>
    <w:multiLevelType w:val="multilevel"/>
    <w:tmpl w:val="78314513"/>
    <w:lvl w:ilvl="0" w:tentative="0">
      <w:start w:val="1"/>
      <w:numFmt w:val="decimal"/>
      <w:lvlText w:val="%1)"/>
      <w:lvlJc w:val="left"/>
      <w:pPr>
        <w:ind w:left="1020" w:hanging="420"/>
      </w:p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E0F22"/>
    <w:rsid w:val="000262E0"/>
    <w:rsid w:val="000317BE"/>
    <w:rsid w:val="000556E1"/>
    <w:rsid w:val="00130E94"/>
    <w:rsid w:val="001810D5"/>
    <w:rsid w:val="001C465D"/>
    <w:rsid w:val="00202850"/>
    <w:rsid w:val="00262759"/>
    <w:rsid w:val="002661B7"/>
    <w:rsid w:val="00276AAC"/>
    <w:rsid w:val="00283A35"/>
    <w:rsid w:val="002B5F82"/>
    <w:rsid w:val="002C480C"/>
    <w:rsid w:val="002D20E0"/>
    <w:rsid w:val="002E28FF"/>
    <w:rsid w:val="00346A6E"/>
    <w:rsid w:val="0036421D"/>
    <w:rsid w:val="003700BF"/>
    <w:rsid w:val="003C794C"/>
    <w:rsid w:val="003E2741"/>
    <w:rsid w:val="003E6C27"/>
    <w:rsid w:val="003F2026"/>
    <w:rsid w:val="00400E40"/>
    <w:rsid w:val="00441D94"/>
    <w:rsid w:val="00477986"/>
    <w:rsid w:val="004D0258"/>
    <w:rsid w:val="004E0F22"/>
    <w:rsid w:val="004F50D0"/>
    <w:rsid w:val="00544B6F"/>
    <w:rsid w:val="00573387"/>
    <w:rsid w:val="005B54F8"/>
    <w:rsid w:val="005C6401"/>
    <w:rsid w:val="005D13EC"/>
    <w:rsid w:val="005D2BB0"/>
    <w:rsid w:val="005E76CE"/>
    <w:rsid w:val="0065796A"/>
    <w:rsid w:val="006877E2"/>
    <w:rsid w:val="00697C28"/>
    <w:rsid w:val="006A0574"/>
    <w:rsid w:val="006D3E4E"/>
    <w:rsid w:val="006F7FBD"/>
    <w:rsid w:val="00702C5F"/>
    <w:rsid w:val="007213A9"/>
    <w:rsid w:val="0075362B"/>
    <w:rsid w:val="00784178"/>
    <w:rsid w:val="00795163"/>
    <w:rsid w:val="007A2999"/>
    <w:rsid w:val="007C0B60"/>
    <w:rsid w:val="00877D58"/>
    <w:rsid w:val="008A6C11"/>
    <w:rsid w:val="008B144A"/>
    <w:rsid w:val="008B6EFA"/>
    <w:rsid w:val="008C0FAC"/>
    <w:rsid w:val="008E5D59"/>
    <w:rsid w:val="008F614C"/>
    <w:rsid w:val="00932025"/>
    <w:rsid w:val="00974FB5"/>
    <w:rsid w:val="00975712"/>
    <w:rsid w:val="00995519"/>
    <w:rsid w:val="009E5942"/>
    <w:rsid w:val="00A61460"/>
    <w:rsid w:val="00A61E5F"/>
    <w:rsid w:val="00A65425"/>
    <w:rsid w:val="00AC739E"/>
    <w:rsid w:val="00B1356F"/>
    <w:rsid w:val="00B650C3"/>
    <w:rsid w:val="00B70865"/>
    <w:rsid w:val="00BA5261"/>
    <w:rsid w:val="00C11218"/>
    <w:rsid w:val="00C23559"/>
    <w:rsid w:val="00C3566A"/>
    <w:rsid w:val="00C72A98"/>
    <w:rsid w:val="00C97199"/>
    <w:rsid w:val="00CB6598"/>
    <w:rsid w:val="00CC0A26"/>
    <w:rsid w:val="00CC15E1"/>
    <w:rsid w:val="00CC4E33"/>
    <w:rsid w:val="00CD2F7A"/>
    <w:rsid w:val="00D554F5"/>
    <w:rsid w:val="00D67D30"/>
    <w:rsid w:val="00D85E01"/>
    <w:rsid w:val="00D96AE3"/>
    <w:rsid w:val="00DA5872"/>
    <w:rsid w:val="00DD38D0"/>
    <w:rsid w:val="00DF0B6B"/>
    <w:rsid w:val="00E35F3C"/>
    <w:rsid w:val="00E40016"/>
    <w:rsid w:val="00E534EB"/>
    <w:rsid w:val="00E7294C"/>
    <w:rsid w:val="00ED06A8"/>
    <w:rsid w:val="00EE76E9"/>
    <w:rsid w:val="00F01A5F"/>
    <w:rsid w:val="00F265A2"/>
    <w:rsid w:val="00F36DDD"/>
    <w:rsid w:val="00F43F0D"/>
    <w:rsid w:val="00F57AEC"/>
    <w:rsid w:val="00F6730F"/>
    <w:rsid w:val="00F71140"/>
    <w:rsid w:val="00F83B3C"/>
    <w:rsid w:val="00FA1B26"/>
    <w:rsid w:val="00FB13F2"/>
    <w:rsid w:val="00FB338D"/>
    <w:rsid w:val="00FC3658"/>
    <w:rsid w:val="0729444A"/>
    <w:rsid w:val="09923145"/>
    <w:rsid w:val="10907F32"/>
    <w:rsid w:val="15405F2B"/>
    <w:rsid w:val="1A464D4B"/>
    <w:rsid w:val="28627691"/>
    <w:rsid w:val="4E011963"/>
    <w:rsid w:val="51DB12F6"/>
    <w:rsid w:val="5E4A6A02"/>
    <w:rsid w:val="5F9C1C10"/>
    <w:rsid w:val="62411A37"/>
    <w:rsid w:val="62860A3B"/>
    <w:rsid w:val="6DA52782"/>
    <w:rsid w:val="72591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uiPriority="0" w:name="toc 2"/>
    <w:lsdException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nhideWhenUsed="0" w:uiPriority="0"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5"/>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23"/>
    <w:uiPriority w:val="0"/>
    <w:rPr>
      <w:b/>
      <w:bCs/>
    </w:rPr>
  </w:style>
  <w:style w:type="paragraph" w:styleId="6">
    <w:name w:val="annotation text"/>
    <w:basedOn w:val="1"/>
    <w:link w:val="22"/>
    <w:qFormat/>
    <w:uiPriority w:val="0"/>
    <w:pPr>
      <w:jc w:val="left"/>
    </w:pPr>
  </w:style>
  <w:style w:type="paragraph" w:styleId="7">
    <w:name w:val="caption"/>
    <w:basedOn w:val="1"/>
    <w:next w:val="1"/>
    <w:unhideWhenUsed/>
    <w:qFormat/>
    <w:uiPriority w:val="0"/>
    <w:pPr>
      <w:spacing w:line="560" w:lineRule="exact"/>
      <w:jc w:val="center"/>
    </w:pPr>
    <w:rPr>
      <w:rFonts w:eastAsia="黑体" w:asciiTheme="majorHAnsi" w:hAnsiTheme="majorHAnsi" w:cstheme="majorBidi"/>
      <w:sz w:val="24"/>
      <w:szCs w:val="20"/>
    </w:rPr>
  </w:style>
  <w:style w:type="paragraph" w:styleId="8">
    <w:name w:val="Document Map"/>
    <w:basedOn w:val="1"/>
    <w:link w:val="26"/>
    <w:uiPriority w:val="0"/>
    <w:rPr>
      <w:rFonts w:ascii="宋体"/>
      <w:sz w:val="18"/>
      <w:szCs w:val="18"/>
    </w:rPr>
  </w:style>
  <w:style w:type="paragraph" w:styleId="9">
    <w:name w:val="toc 3"/>
    <w:basedOn w:val="1"/>
    <w:next w:val="1"/>
    <w:unhideWhenUsed/>
    <w:uiPriority w:val="39"/>
    <w:pPr>
      <w:ind w:left="840" w:leftChars="400"/>
    </w:pPr>
  </w:style>
  <w:style w:type="paragraph" w:styleId="10">
    <w:name w:val="Balloon Text"/>
    <w:basedOn w:val="1"/>
    <w:link w:val="24"/>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unhideWhenUsed/>
    <w:qFormat/>
    <w:uiPriority w:val="39"/>
  </w:style>
  <w:style w:type="paragraph" w:styleId="14">
    <w:name w:val="footnote text"/>
    <w:basedOn w:val="1"/>
    <w:link w:val="25"/>
    <w:qFormat/>
    <w:uiPriority w:val="0"/>
    <w:pPr>
      <w:snapToGrid w:val="0"/>
      <w:jc w:val="left"/>
    </w:pPr>
    <w:rPr>
      <w:kern w:val="0"/>
      <w:sz w:val="18"/>
      <w:szCs w:val="18"/>
    </w:rPr>
  </w:style>
  <w:style w:type="character" w:styleId="16">
    <w:name w:val="Strong"/>
    <w:qFormat/>
    <w:uiPriority w:val="0"/>
    <w:rPr>
      <w:b/>
      <w:bCs/>
    </w:rPr>
  </w:style>
  <w:style w:type="character" w:styleId="17">
    <w:name w:val="Hyperlink"/>
    <w:basedOn w:val="15"/>
    <w:unhideWhenUsed/>
    <w:qFormat/>
    <w:uiPriority w:val="99"/>
    <w:rPr>
      <w:color w:val="0000FF"/>
      <w:u w:val="single"/>
    </w:rPr>
  </w:style>
  <w:style w:type="character" w:styleId="18">
    <w:name w:val="annotation reference"/>
    <w:basedOn w:val="15"/>
    <w:qFormat/>
    <w:uiPriority w:val="0"/>
    <w:rPr>
      <w:sz w:val="21"/>
      <w:szCs w:val="21"/>
    </w:rPr>
  </w:style>
  <w:style w:type="character" w:styleId="19">
    <w:name w:val="footnote reference"/>
    <w:qFormat/>
    <w:uiPriority w:val="0"/>
    <w:rPr>
      <w:rFonts w:cs="Times New Roman"/>
      <w:vertAlign w:val="superscript"/>
    </w:rPr>
  </w:style>
  <w:style w:type="table" w:styleId="21">
    <w:name w:val="Table Grid"/>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2">
    <w:name w:val="批注文字 Char"/>
    <w:basedOn w:val="15"/>
    <w:link w:val="6"/>
    <w:qFormat/>
    <w:uiPriority w:val="0"/>
    <w:rPr>
      <w:kern w:val="2"/>
      <w:sz w:val="21"/>
      <w:szCs w:val="22"/>
    </w:rPr>
  </w:style>
  <w:style w:type="character" w:customStyle="1" w:styleId="23">
    <w:name w:val="批注主题 Char"/>
    <w:basedOn w:val="22"/>
    <w:link w:val="5"/>
    <w:qFormat/>
    <w:uiPriority w:val="0"/>
    <w:rPr>
      <w:b/>
      <w:bCs/>
      <w:kern w:val="2"/>
      <w:sz w:val="21"/>
      <w:szCs w:val="22"/>
    </w:rPr>
  </w:style>
  <w:style w:type="character" w:customStyle="1" w:styleId="24">
    <w:name w:val="批注框文本 Char"/>
    <w:basedOn w:val="15"/>
    <w:link w:val="10"/>
    <w:qFormat/>
    <w:uiPriority w:val="0"/>
    <w:rPr>
      <w:kern w:val="2"/>
      <w:sz w:val="18"/>
      <w:szCs w:val="18"/>
    </w:rPr>
  </w:style>
  <w:style w:type="character" w:customStyle="1" w:styleId="25">
    <w:name w:val="脚注文本 Char"/>
    <w:basedOn w:val="15"/>
    <w:link w:val="14"/>
    <w:qFormat/>
    <w:uiPriority w:val="0"/>
    <w:rPr>
      <w:sz w:val="18"/>
      <w:szCs w:val="18"/>
    </w:rPr>
  </w:style>
  <w:style w:type="character" w:customStyle="1" w:styleId="26">
    <w:name w:val="文档结构图 Char"/>
    <w:basedOn w:val="15"/>
    <w:link w:val="8"/>
    <w:qFormat/>
    <w:uiPriority w:val="0"/>
    <w:rPr>
      <w:rFonts w:ascii="宋体" w:hAnsi="Calibri" w:eastAsia="宋体" w:cs="Times New Roman"/>
      <w:kern w:val="2"/>
      <w:sz w:val="18"/>
      <w:szCs w:val="18"/>
    </w:rPr>
  </w:style>
  <w:style w:type="paragraph" w:styleId="27">
    <w:name w:val="List Paragraph"/>
    <w:basedOn w:val="1"/>
    <w:unhideWhenUsed/>
    <w:qFormat/>
    <w:uiPriority w:val="99"/>
    <w:pPr>
      <w:ind w:firstLine="420" w:firstLineChars="200"/>
    </w:pPr>
    <w:rPr>
      <w:rFonts w:asciiTheme="minorHAnsi" w:hAnsiTheme="minorHAnsi" w:eastAsiaTheme="minorEastAsia" w:cstheme="minorBidi"/>
    </w:rPr>
  </w:style>
  <w:style w:type="paragraph" w:customStyle="1" w:styleId="28">
    <w:name w:val="正文1"/>
    <w:basedOn w:val="1"/>
    <w:link w:val="29"/>
    <w:qFormat/>
    <w:uiPriority w:val="0"/>
    <w:pPr>
      <w:snapToGrid w:val="0"/>
      <w:spacing w:line="560" w:lineRule="exact"/>
      <w:ind w:firstLine="600" w:firstLineChars="200"/>
      <w:jc w:val="left"/>
    </w:pPr>
    <w:rPr>
      <w:rFonts w:ascii="仿宋_GB2312" w:hAnsi="宋体" w:eastAsia="仿宋_GB2312" w:cs="Arial"/>
      <w:kern w:val="0"/>
      <w:sz w:val="30"/>
      <w:szCs w:val="30"/>
    </w:rPr>
  </w:style>
  <w:style w:type="character" w:customStyle="1" w:styleId="29">
    <w:name w:val="正文1 Char"/>
    <w:basedOn w:val="15"/>
    <w:link w:val="28"/>
    <w:qFormat/>
    <w:locked/>
    <w:uiPriority w:val="0"/>
    <w:rPr>
      <w:rFonts w:ascii="仿宋_GB2312" w:hAnsi="宋体" w:eastAsia="仿宋_GB2312" w:cs="Arial"/>
      <w:sz w:val="30"/>
      <w:szCs w:val="30"/>
    </w:rPr>
  </w:style>
  <w:style w:type="paragraph" w:customStyle="1" w:styleId="30">
    <w:name w:val="ol"/>
    <w:basedOn w:val="1"/>
    <w:link w:val="31"/>
    <w:qFormat/>
    <w:uiPriority w:val="0"/>
    <w:pPr>
      <w:snapToGrid w:val="0"/>
      <w:spacing w:line="480" w:lineRule="exact"/>
      <w:ind w:firstLine="560" w:firstLineChars="200"/>
    </w:pPr>
    <w:rPr>
      <w:rFonts w:ascii="仿宋_GB2312" w:hAnsi="仿宋_GB2312" w:eastAsia="仿宋_GB2312"/>
      <w:kern w:val="0"/>
      <w:sz w:val="28"/>
      <w:szCs w:val="28"/>
    </w:rPr>
  </w:style>
  <w:style w:type="character" w:customStyle="1" w:styleId="31">
    <w:name w:val="ol Char"/>
    <w:link w:val="30"/>
    <w:qFormat/>
    <w:uiPriority w:val="0"/>
    <w:rPr>
      <w:rFonts w:ascii="仿宋_GB2312" w:hAnsi="仿宋_GB2312" w:eastAsia="仿宋_GB2312" w:cs="Times New Roman"/>
      <w:sz w:val="28"/>
      <w:szCs w:val="28"/>
    </w:rPr>
  </w:style>
  <w:style w:type="character" w:customStyle="1" w:styleId="32">
    <w:name w:val="标题 2 Char"/>
    <w:basedOn w:val="15"/>
    <w:link w:val="3"/>
    <w:qFormat/>
    <w:uiPriority w:val="9"/>
    <w:rPr>
      <w:rFonts w:asciiTheme="majorHAnsi" w:hAnsiTheme="majorHAnsi" w:eastAsiaTheme="majorEastAsia" w:cstheme="majorBidi"/>
      <w:b/>
      <w:bCs/>
      <w:kern w:val="2"/>
      <w:sz w:val="32"/>
      <w:szCs w:val="32"/>
    </w:rPr>
  </w:style>
  <w:style w:type="paragraph" w:customStyle="1" w:styleId="33">
    <w:name w:val="table样式1"/>
    <w:basedOn w:val="1"/>
    <w:link w:val="34"/>
    <w:qFormat/>
    <w:uiPriority w:val="0"/>
    <w:pPr>
      <w:jc w:val="center"/>
    </w:pPr>
    <w:rPr>
      <w:rFonts w:ascii="宋体" w:hAnsi="宋体"/>
      <w:sz w:val="24"/>
      <w:szCs w:val="24"/>
    </w:rPr>
  </w:style>
  <w:style w:type="character" w:customStyle="1" w:styleId="34">
    <w:name w:val="table样式1 Char"/>
    <w:basedOn w:val="15"/>
    <w:link w:val="33"/>
    <w:qFormat/>
    <w:locked/>
    <w:uiPriority w:val="0"/>
    <w:rPr>
      <w:rFonts w:ascii="宋体" w:hAnsi="宋体" w:eastAsia="宋体" w:cs="Times New Roman"/>
      <w:kern w:val="2"/>
      <w:sz w:val="24"/>
      <w:szCs w:val="24"/>
    </w:rPr>
  </w:style>
  <w:style w:type="character" w:customStyle="1" w:styleId="35">
    <w:name w:val="标题 3 Char"/>
    <w:basedOn w:val="15"/>
    <w:link w:val="4"/>
    <w:qFormat/>
    <w:uiPriority w:val="9"/>
    <w:rPr>
      <w:rFonts w:ascii="Calibri" w:hAnsi="Calibri" w:eastAsia="宋体" w:cs="Times New Roman"/>
      <w:b/>
      <w:bCs/>
      <w:kern w:val="2"/>
      <w:sz w:val="32"/>
      <w:szCs w:val="32"/>
    </w:rPr>
  </w:style>
  <w:style w:type="character" w:customStyle="1" w:styleId="36">
    <w:name w:val="标题 1 Char"/>
    <w:basedOn w:val="15"/>
    <w:link w:val="2"/>
    <w:qFormat/>
    <w:uiPriority w:val="9"/>
    <w:rPr>
      <w:rFonts w:ascii="Calibri" w:hAnsi="Calibri" w:eastAsia="宋体" w:cs="Times New Roman"/>
      <w:b/>
      <w:bCs/>
      <w:kern w:val="44"/>
      <w:sz w:val="44"/>
      <w:szCs w:val="44"/>
    </w:rPr>
  </w:style>
  <w:style w:type="paragraph" w:customStyle="1" w:styleId="3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5" w:themeColor="accent1" w:themeShade="BF"/>
      <w:kern w:val="0"/>
      <w:sz w:val="32"/>
      <w:szCs w:val="32"/>
    </w:rPr>
  </w:style>
  <w:style w:type="paragraph" w:customStyle="1" w:styleId="38">
    <w:name w:val="图"/>
    <w:basedOn w:val="1"/>
    <w:link w:val="39"/>
    <w:qFormat/>
    <w:uiPriority w:val="0"/>
    <w:pPr>
      <w:snapToGrid w:val="0"/>
      <w:spacing w:line="240" w:lineRule="atLeast"/>
    </w:pPr>
    <w:rPr>
      <w:rFonts w:ascii="Arial Narrow" w:hAnsi="Arial Narrow" w:eastAsia="仿宋_GB2312" w:cs="Arial"/>
      <w:sz w:val="30"/>
      <w:szCs w:val="30"/>
    </w:rPr>
  </w:style>
  <w:style w:type="character" w:customStyle="1" w:styleId="39">
    <w:name w:val="图 Char"/>
    <w:basedOn w:val="15"/>
    <w:link w:val="38"/>
    <w:qFormat/>
    <w:uiPriority w:val="0"/>
    <w:rPr>
      <w:rFonts w:ascii="Arial Narrow" w:hAnsi="Arial Narrow" w:eastAsia="仿宋_GB2312" w:cs="Arial"/>
      <w:kern w:val="2"/>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392BF9-68D7-498C-B906-786A0E4362B0}">
  <ds:schemaRefs/>
</ds:datastoreItem>
</file>

<file path=docProps/app.xml><?xml version="1.0" encoding="utf-8"?>
<Properties xmlns="http://schemas.openxmlformats.org/officeDocument/2006/extended-properties" xmlns:vt="http://schemas.openxmlformats.org/officeDocument/2006/docPropsVTypes">
  <Template>Normal</Template>
  <Pages>53</Pages>
  <Words>4313</Words>
  <Characters>24588</Characters>
  <Lines>204</Lines>
  <Paragraphs>57</Paragraphs>
  <TotalTime>30</TotalTime>
  <ScaleCrop>false</ScaleCrop>
  <LinksUpToDate>false</LinksUpToDate>
  <CharactersWithSpaces>28844</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2018-08-13T00:31:00Z</dcterms:created>
  <dc:creator>Administrator</dc:creator>
  <cp:lastModifiedBy>徐园园</cp:lastModifiedBy>
  <cp:lastPrinted>2018-08-14T07:29:00Z</cp:lastPrinted>
  <dcterms:modified xsi:type="dcterms:W3CDTF">2018-12-12T03:17:27Z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