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ind w:firstLine="723"/>
        <w:jc w:val="center"/>
        <w:rPr>
          <w:rFonts w:ascii="黑体" w:hAnsi="黑体" w:eastAsia="黑体" w:cs="黑体"/>
          <w:b/>
          <w:sz w:val="36"/>
          <w:szCs w:val="36"/>
        </w:rPr>
      </w:pPr>
      <w:r>
        <w:rPr>
          <w:rFonts w:hint="eastAsia" w:ascii="黑体" w:hAnsi="黑体" w:eastAsia="黑体" w:cs="黑体"/>
          <w:b/>
          <w:sz w:val="36"/>
          <w:szCs w:val="36"/>
        </w:rPr>
        <w:t>2019年全国职业院校技能大赛</w:t>
      </w:r>
    </w:p>
    <w:p>
      <w:pPr>
        <w:snapToGrid w:val="0"/>
        <w:spacing w:line="540" w:lineRule="exact"/>
        <w:ind w:firstLine="723"/>
        <w:jc w:val="center"/>
        <w:rPr>
          <w:rFonts w:ascii="黑体" w:hAnsi="黑体" w:eastAsia="黑体" w:cs="黑体"/>
          <w:b/>
          <w:sz w:val="36"/>
          <w:szCs w:val="36"/>
        </w:rPr>
      </w:pPr>
      <w:r>
        <w:rPr>
          <w:rFonts w:hint="eastAsia" w:ascii="黑体" w:hAnsi="黑体" w:eastAsia="黑体" w:cs="黑体"/>
          <w:b/>
          <w:sz w:val="36"/>
          <w:szCs w:val="36"/>
        </w:rPr>
        <w:t>赛项申报方案</w:t>
      </w:r>
    </w:p>
    <w:p>
      <w:pPr>
        <w:pStyle w:val="2"/>
        <w:spacing w:line="560" w:lineRule="exact"/>
        <w:rPr>
          <w:rFonts w:ascii="黑体" w:hAnsi="黑体" w:eastAsia="黑体" w:cs="黑体"/>
          <w:b w:val="0"/>
          <w:bCs w:val="0"/>
          <w:sz w:val="30"/>
          <w:szCs w:val="30"/>
        </w:rPr>
      </w:pPr>
      <w:bookmarkStart w:id="0" w:name="_Toc491101512"/>
      <w:bookmarkStart w:id="1" w:name="_Toc27413"/>
      <w:r>
        <w:rPr>
          <w:rFonts w:hint="eastAsia" w:ascii="黑体" w:hAnsi="黑体" w:eastAsia="黑体" w:cs="黑体"/>
          <w:b w:val="0"/>
          <w:bCs w:val="0"/>
          <w:sz w:val="30"/>
          <w:szCs w:val="30"/>
        </w:rPr>
        <w:t>赛项名称</w:t>
      </w:r>
      <w:bookmarkEnd w:id="0"/>
      <w:bookmarkEnd w:id="1"/>
    </w:p>
    <w:p>
      <w:pPr>
        <w:pStyle w:val="3"/>
        <w:spacing w:before="163" w:line="560" w:lineRule="exact"/>
        <w:rPr>
          <w:rFonts w:ascii="仿宋_GB2312" w:hAnsi="仿宋_GB2312" w:eastAsia="仿宋_GB2312" w:cs="仿宋_GB2312"/>
          <w:b w:val="0"/>
          <w:bCs w:val="0"/>
        </w:rPr>
      </w:pPr>
      <w:bookmarkStart w:id="2" w:name="_Toc491101513"/>
      <w:bookmarkStart w:id="3" w:name="_Toc27009"/>
      <w:r>
        <w:rPr>
          <w:rFonts w:hint="eastAsia" w:ascii="仿宋_GB2312" w:hAnsi="仿宋_GB2312" w:eastAsia="仿宋_GB2312" w:cs="仿宋_GB2312"/>
          <w:b w:val="0"/>
          <w:bCs w:val="0"/>
        </w:rPr>
        <w:t>赛项名称</w:t>
      </w:r>
      <w:bookmarkEnd w:id="2"/>
      <w:bookmarkEnd w:id="3"/>
    </w:p>
    <w:p>
      <w:pPr>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轨道交通信号控制系统设计与应用</w:t>
      </w:r>
    </w:p>
    <w:p>
      <w:pPr>
        <w:pStyle w:val="3"/>
        <w:spacing w:before="163" w:line="560" w:lineRule="exact"/>
        <w:rPr>
          <w:rFonts w:ascii="仿宋_GB2312" w:hAnsi="仿宋_GB2312" w:eastAsia="仿宋_GB2312" w:cs="仿宋_GB2312"/>
          <w:b w:val="0"/>
          <w:bCs w:val="0"/>
        </w:rPr>
      </w:pPr>
      <w:bookmarkStart w:id="4" w:name="_Toc491101514"/>
      <w:bookmarkStart w:id="5" w:name="_Toc18399"/>
      <w:r>
        <w:rPr>
          <w:rFonts w:hint="eastAsia" w:ascii="仿宋_GB2312" w:hAnsi="仿宋_GB2312" w:eastAsia="仿宋_GB2312" w:cs="仿宋_GB2312"/>
          <w:b w:val="0"/>
          <w:bCs w:val="0"/>
        </w:rPr>
        <w:t>压题彩照</w:t>
      </w:r>
      <w:bookmarkEnd w:id="4"/>
      <w:bookmarkEnd w:id="5"/>
    </w:p>
    <w:p>
      <w:pPr>
        <w:ind w:firstLine="0" w:firstLineChars="0"/>
        <w:jc w:val="center"/>
        <w:rPr>
          <w:rFonts w:ascii="仿宋_GB2312" w:hAnsi="仿宋_GB2312" w:eastAsia="仿宋_GB2312" w:cs="仿宋_GB2312"/>
        </w:rPr>
      </w:pPr>
      <w:bookmarkStart w:id="6" w:name="_Toc491101515"/>
      <w:r>
        <w:drawing>
          <wp:inline distT="0" distB="0" distL="0" distR="0">
            <wp:extent cx="5699125" cy="3005455"/>
            <wp:effectExtent l="0" t="0" r="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
                    <a:stretch>
                      <a:fillRect/>
                    </a:stretch>
                  </pic:blipFill>
                  <pic:spPr>
                    <a:xfrm>
                      <a:off x="0" y="0"/>
                      <a:ext cx="5699125" cy="3005455"/>
                    </a:xfrm>
                    <a:prstGeom prst="rect">
                      <a:avLst/>
                    </a:prstGeom>
                  </pic:spPr>
                </pic:pic>
              </a:graphicData>
            </a:graphic>
          </wp:inline>
        </w:drawing>
      </w:r>
      <w:r>
        <w:rPr>
          <w:rFonts w:hint="eastAsia" w:ascii="宋体" w:hAnsi="宋体" w:cs="宋体"/>
          <w:b/>
          <w:szCs w:val="30"/>
        </w:rPr>
        <w:t xml:space="preserve"> </w:t>
      </w:r>
    </w:p>
    <w:p>
      <w:pPr>
        <w:ind w:firstLine="482"/>
        <w:jc w:val="center"/>
        <w:rPr>
          <w:rFonts w:ascii="宋体" w:hAnsi="宋体" w:cs="宋体"/>
          <w:b/>
          <w:bCs/>
          <w:kern w:val="0"/>
        </w:rPr>
      </w:pPr>
      <w:r>
        <w:rPr>
          <w:rFonts w:hint="eastAsia" w:ascii="宋体" w:hAnsi="宋体" w:cs="宋体"/>
          <w:b/>
          <w:bCs/>
          <w:kern w:val="0"/>
        </w:rPr>
        <w:t>比赛现场图示</w:t>
      </w:r>
    </w:p>
    <w:p>
      <w:pPr>
        <w:pStyle w:val="3"/>
        <w:spacing w:before="163" w:line="560" w:lineRule="exact"/>
        <w:rPr>
          <w:rFonts w:ascii="仿宋_GB2312" w:hAnsi="仿宋_GB2312" w:eastAsia="仿宋_GB2312" w:cs="仿宋_GB2312"/>
          <w:b w:val="0"/>
          <w:bCs w:val="0"/>
        </w:rPr>
      </w:pPr>
      <w:bookmarkStart w:id="7" w:name="_Toc29586"/>
      <w:r>
        <w:rPr>
          <w:rFonts w:hint="eastAsia" w:ascii="仿宋_GB2312" w:hAnsi="仿宋_GB2312" w:eastAsia="仿宋_GB2312" w:cs="仿宋_GB2312"/>
          <w:b w:val="0"/>
          <w:bCs w:val="0"/>
        </w:rPr>
        <w:t>赛项归属产业类型</w:t>
      </w:r>
      <w:bookmarkEnd w:id="6"/>
      <w:bookmarkEnd w:id="7"/>
    </w:p>
    <w:p>
      <w:pPr>
        <w:widowControl/>
        <w:spacing w:line="560" w:lineRule="exact"/>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交通运输产业</w:t>
      </w:r>
    </w:p>
    <w:p>
      <w:pPr>
        <w:pStyle w:val="3"/>
        <w:spacing w:before="163" w:line="560" w:lineRule="exact"/>
        <w:rPr>
          <w:rFonts w:ascii="仿宋_GB2312" w:hAnsi="仿宋_GB2312" w:eastAsia="仿宋_GB2312" w:cs="仿宋_GB2312"/>
          <w:b w:val="0"/>
          <w:bCs w:val="0"/>
        </w:rPr>
      </w:pPr>
      <w:bookmarkStart w:id="8" w:name="_Toc491101516"/>
      <w:bookmarkStart w:id="9" w:name="_Toc24836"/>
      <w:r>
        <w:rPr>
          <w:rFonts w:hint="eastAsia" w:ascii="仿宋_GB2312" w:hAnsi="仿宋_GB2312" w:eastAsia="仿宋_GB2312" w:cs="仿宋_GB2312"/>
          <w:b w:val="0"/>
          <w:bCs w:val="0"/>
        </w:rPr>
        <w:t>赛项归属专业大类</w:t>
      </w:r>
      <w:bookmarkEnd w:id="8"/>
      <w:bookmarkEnd w:id="9"/>
    </w:p>
    <w:p>
      <w:pPr>
        <w:widowControl/>
        <w:spacing w:line="560" w:lineRule="exact"/>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赛项涉及交通运输专业大类，涵盖铁道运输和城市轨道交通类的相关专业，符合《战略性新兴产业重点产品和服务指导目录(2016版)》，是与国家战略性新兴产业中轨道交通装备产业中的轨道交通通信信号系统的重要部分。</w:t>
      </w:r>
    </w:p>
    <w:p>
      <w:pPr>
        <w:widowControl/>
        <w:spacing w:line="560" w:lineRule="exact"/>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本赛项涉及的专业名称与专业代码如下表所示：</w:t>
      </w:r>
    </w:p>
    <w:tbl>
      <w:tblPr>
        <w:tblStyle w:val="32"/>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599"/>
        <w:gridCol w:w="1650"/>
        <w:gridCol w:w="1350"/>
        <w:gridCol w:w="3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801" w:type="dxa"/>
            <w:vAlign w:val="center"/>
          </w:tcPr>
          <w:p>
            <w:pPr>
              <w:ind w:firstLine="0" w:firstLineChars="0"/>
              <w:jc w:val="center"/>
              <w:rPr>
                <w:rFonts w:ascii="宋体" w:hAnsi="宋体" w:cs="宋体"/>
              </w:rPr>
            </w:pPr>
            <w:r>
              <w:rPr>
                <w:rFonts w:hint="eastAsia" w:ascii="宋体" w:hAnsi="宋体" w:cs="宋体"/>
              </w:rPr>
              <w:t>组别</w:t>
            </w:r>
          </w:p>
        </w:tc>
        <w:tc>
          <w:tcPr>
            <w:tcW w:w="1599" w:type="dxa"/>
            <w:vAlign w:val="center"/>
          </w:tcPr>
          <w:p>
            <w:pPr>
              <w:ind w:firstLine="0" w:firstLineChars="0"/>
              <w:jc w:val="center"/>
              <w:rPr>
                <w:rFonts w:ascii="宋体" w:hAnsi="宋体" w:cs="宋体"/>
              </w:rPr>
            </w:pPr>
            <w:r>
              <w:rPr>
                <w:rFonts w:hint="eastAsia" w:ascii="宋体" w:hAnsi="宋体" w:cs="宋体"/>
              </w:rPr>
              <w:t>专业大类</w:t>
            </w:r>
          </w:p>
        </w:tc>
        <w:tc>
          <w:tcPr>
            <w:tcW w:w="1650" w:type="dxa"/>
            <w:vAlign w:val="center"/>
          </w:tcPr>
          <w:p>
            <w:pPr>
              <w:ind w:firstLine="0" w:firstLineChars="0"/>
              <w:jc w:val="center"/>
              <w:rPr>
                <w:rFonts w:ascii="宋体" w:hAnsi="宋体" w:cs="宋体"/>
              </w:rPr>
            </w:pPr>
            <w:r>
              <w:rPr>
                <w:rFonts w:hint="eastAsia" w:ascii="宋体" w:hAnsi="宋体" w:cs="宋体"/>
              </w:rPr>
              <w:t>专业类</w:t>
            </w:r>
          </w:p>
        </w:tc>
        <w:tc>
          <w:tcPr>
            <w:tcW w:w="1350" w:type="dxa"/>
            <w:vAlign w:val="center"/>
          </w:tcPr>
          <w:p>
            <w:pPr>
              <w:ind w:firstLine="0" w:firstLineChars="0"/>
              <w:jc w:val="center"/>
              <w:rPr>
                <w:rFonts w:ascii="宋体" w:hAnsi="宋体" w:cs="宋体"/>
              </w:rPr>
            </w:pPr>
            <w:r>
              <w:rPr>
                <w:rFonts w:hint="eastAsia" w:ascii="宋体" w:hAnsi="宋体" w:cs="宋体"/>
              </w:rPr>
              <w:t>专业代码</w:t>
            </w:r>
          </w:p>
        </w:tc>
        <w:tc>
          <w:tcPr>
            <w:tcW w:w="3526" w:type="dxa"/>
            <w:vAlign w:val="center"/>
          </w:tcPr>
          <w:p>
            <w:pPr>
              <w:ind w:firstLine="0" w:firstLineChars="0"/>
              <w:jc w:val="center"/>
              <w:rPr>
                <w:rFonts w:ascii="宋体" w:hAnsi="宋体" w:cs="宋体"/>
              </w:rPr>
            </w:pPr>
            <w:r>
              <w:rPr>
                <w:rFonts w:hint="eastAsia" w:ascii="宋体" w:hAnsi="宋体" w:cs="宋体"/>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801" w:type="dxa"/>
            <w:vMerge w:val="restart"/>
            <w:vAlign w:val="center"/>
          </w:tcPr>
          <w:p>
            <w:pPr>
              <w:ind w:firstLine="0" w:firstLineChars="0"/>
              <w:jc w:val="center"/>
              <w:rPr>
                <w:rFonts w:ascii="宋体" w:hAnsi="宋体" w:cs="宋体"/>
              </w:rPr>
            </w:pPr>
            <w:r>
              <w:rPr>
                <w:rFonts w:hint="eastAsia" w:ascii="宋体" w:hAnsi="宋体" w:cs="宋体"/>
              </w:rPr>
              <w:t>高职</w:t>
            </w:r>
          </w:p>
        </w:tc>
        <w:tc>
          <w:tcPr>
            <w:tcW w:w="1599" w:type="dxa"/>
            <w:vMerge w:val="restart"/>
            <w:vAlign w:val="center"/>
          </w:tcPr>
          <w:p>
            <w:pPr>
              <w:ind w:firstLine="0" w:firstLineChars="0"/>
              <w:jc w:val="center"/>
              <w:rPr>
                <w:rFonts w:ascii="宋体" w:hAnsi="宋体" w:cs="宋体"/>
              </w:rPr>
            </w:pPr>
            <w:r>
              <w:rPr>
                <w:rFonts w:hint="eastAsia" w:ascii="宋体" w:hAnsi="宋体" w:cs="宋体"/>
              </w:rPr>
              <w:t>交通运输</w:t>
            </w:r>
          </w:p>
          <w:p>
            <w:pPr>
              <w:ind w:firstLine="0" w:firstLineChars="0"/>
              <w:jc w:val="center"/>
              <w:rPr>
                <w:rFonts w:ascii="宋体" w:hAnsi="宋体" w:cs="宋体"/>
              </w:rPr>
            </w:pPr>
            <w:r>
              <w:rPr>
                <w:rFonts w:hint="eastAsia" w:ascii="宋体" w:hAnsi="宋体" w:cs="宋体"/>
              </w:rPr>
              <w:t>大类</w:t>
            </w:r>
          </w:p>
        </w:tc>
        <w:tc>
          <w:tcPr>
            <w:tcW w:w="1650" w:type="dxa"/>
            <w:vMerge w:val="restart"/>
            <w:vAlign w:val="center"/>
          </w:tcPr>
          <w:p>
            <w:pPr>
              <w:ind w:firstLine="0" w:firstLineChars="0"/>
              <w:jc w:val="center"/>
              <w:rPr>
                <w:rFonts w:ascii="宋体" w:hAnsi="宋体" w:cs="宋体"/>
              </w:rPr>
            </w:pPr>
            <w:r>
              <w:rPr>
                <w:rFonts w:hint="eastAsia" w:ascii="宋体" w:hAnsi="宋体" w:cs="宋体"/>
              </w:rPr>
              <w:t>铁道运输类</w:t>
            </w:r>
          </w:p>
        </w:tc>
        <w:tc>
          <w:tcPr>
            <w:tcW w:w="1350" w:type="dxa"/>
            <w:vAlign w:val="center"/>
          </w:tcPr>
          <w:p>
            <w:pPr>
              <w:ind w:firstLine="0" w:firstLineChars="0"/>
              <w:jc w:val="center"/>
              <w:rPr>
                <w:rFonts w:ascii="宋体" w:hAnsi="宋体" w:cs="宋体"/>
              </w:rPr>
            </w:pPr>
            <w:r>
              <w:rPr>
                <w:rFonts w:hint="eastAsia" w:ascii="宋体" w:hAnsi="宋体" w:cs="宋体"/>
              </w:rPr>
              <w:t>600106</w:t>
            </w:r>
          </w:p>
        </w:tc>
        <w:tc>
          <w:tcPr>
            <w:tcW w:w="3526" w:type="dxa"/>
            <w:vAlign w:val="center"/>
          </w:tcPr>
          <w:p>
            <w:pPr>
              <w:ind w:firstLine="0" w:firstLineChars="0"/>
              <w:jc w:val="center"/>
              <w:rPr>
                <w:rFonts w:ascii="宋体" w:hAnsi="宋体" w:cs="宋体"/>
              </w:rPr>
            </w:pPr>
            <w:r>
              <w:rPr>
                <w:rFonts w:hint="eastAsia" w:ascii="宋体" w:hAnsi="宋体" w:cs="宋体"/>
              </w:rPr>
              <w:t>铁道信号自动控制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801" w:type="dxa"/>
            <w:vMerge w:val="continue"/>
            <w:vAlign w:val="center"/>
          </w:tcPr>
          <w:p>
            <w:pPr>
              <w:ind w:firstLine="0" w:firstLineChars="0"/>
              <w:jc w:val="center"/>
              <w:rPr>
                <w:rFonts w:ascii="宋体" w:hAnsi="宋体" w:cs="宋体"/>
              </w:rPr>
            </w:pPr>
          </w:p>
        </w:tc>
        <w:tc>
          <w:tcPr>
            <w:tcW w:w="1599" w:type="dxa"/>
            <w:vMerge w:val="continue"/>
          </w:tcPr>
          <w:p>
            <w:pPr>
              <w:ind w:firstLine="0" w:firstLineChars="0"/>
              <w:rPr>
                <w:rFonts w:ascii="宋体" w:hAnsi="宋体" w:cs="宋体"/>
              </w:rPr>
            </w:pPr>
          </w:p>
        </w:tc>
        <w:tc>
          <w:tcPr>
            <w:tcW w:w="1650" w:type="dxa"/>
            <w:vMerge w:val="continue"/>
            <w:vAlign w:val="center"/>
          </w:tcPr>
          <w:p>
            <w:pPr>
              <w:ind w:firstLine="0" w:firstLineChars="0"/>
              <w:jc w:val="center"/>
              <w:rPr>
                <w:rFonts w:ascii="宋体" w:hAnsi="宋体" w:cs="宋体"/>
              </w:rPr>
            </w:pPr>
          </w:p>
        </w:tc>
        <w:tc>
          <w:tcPr>
            <w:tcW w:w="1350" w:type="dxa"/>
            <w:vAlign w:val="center"/>
          </w:tcPr>
          <w:p>
            <w:pPr>
              <w:ind w:firstLine="0" w:firstLineChars="0"/>
              <w:jc w:val="center"/>
              <w:rPr>
                <w:rFonts w:ascii="宋体" w:hAnsi="宋体" w:cs="宋体"/>
              </w:rPr>
            </w:pPr>
            <w:r>
              <w:rPr>
                <w:rFonts w:hint="eastAsia" w:ascii="宋体" w:hAnsi="宋体" w:cs="宋体"/>
              </w:rPr>
              <w:t>600107</w:t>
            </w:r>
          </w:p>
        </w:tc>
        <w:tc>
          <w:tcPr>
            <w:tcW w:w="3526" w:type="dxa"/>
            <w:vAlign w:val="center"/>
          </w:tcPr>
          <w:p>
            <w:pPr>
              <w:ind w:firstLine="0" w:firstLineChars="0"/>
              <w:jc w:val="center"/>
              <w:rPr>
                <w:rFonts w:ascii="宋体" w:hAnsi="宋体" w:cs="宋体"/>
              </w:rPr>
            </w:pPr>
            <w:r>
              <w:rPr>
                <w:rFonts w:hint="eastAsia" w:ascii="宋体" w:hAnsi="宋体" w:cs="宋体"/>
              </w:rPr>
              <w:t>铁道通信与信息化技术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801" w:type="dxa"/>
            <w:vMerge w:val="continue"/>
            <w:vAlign w:val="center"/>
          </w:tcPr>
          <w:p>
            <w:pPr>
              <w:ind w:firstLine="0" w:firstLineChars="0"/>
              <w:jc w:val="center"/>
              <w:rPr>
                <w:rFonts w:ascii="宋体" w:hAnsi="宋体" w:cs="宋体"/>
              </w:rPr>
            </w:pPr>
          </w:p>
        </w:tc>
        <w:tc>
          <w:tcPr>
            <w:tcW w:w="1599" w:type="dxa"/>
            <w:vMerge w:val="continue"/>
          </w:tcPr>
          <w:p>
            <w:pPr>
              <w:ind w:firstLine="0" w:firstLineChars="0"/>
              <w:rPr>
                <w:rFonts w:ascii="宋体" w:hAnsi="宋体" w:cs="宋体"/>
              </w:rPr>
            </w:pPr>
          </w:p>
        </w:tc>
        <w:tc>
          <w:tcPr>
            <w:tcW w:w="1650" w:type="dxa"/>
            <w:vMerge w:val="restart"/>
            <w:vAlign w:val="center"/>
          </w:tcPr>
          <w:p>
            <w:pPr>
              <w:ind w:firstLine="0" w:firstLineChars="0"/>
              <w:jc w:val="center"/>
              <w:rPr>
                <w:rFonts w:ascii="宋体" w:hAnsi="宋体" w:cs="宋体"/>
              </w:rPr>
            </w:pPr>
            <w:r>
              <w:rPr>
                <w:rFonts w:hint="eastAsia" w:ascii="宋体" w:hAnsi="宋体" w:cs="宋体"/>
              </w:rPr>
              <w:t>城市轨道交通类</w:t>
            </w:r>
          </w:p>
        </w:tc>
        <w:tc>
          <w:tcPr>
            <w:tcW w:w="1350" w:type="dxa"/>
            <w:vAlign w:val="center"/>
          </w:tcPr>
          <w:p>
            <w:pPr>
              <w:ind w:firstLine="0" w:firstLineChars="0"/>
              <w:jc w:val="center"/>
              <w:rPr>
                <w:rFonts w:ascii="宋体" w:hAnsi="宋体" w:cs="宋体"/>
              </w:rPr>
            </w:pPr>
            <w:r>
              <w:rPr>
                <w:rFonts w:hint="eastAsia" w:ascii="宋体" w:hAnsi="宋体" w:cs="宋体"/>
              </w:rPr>
              <w:t>600602</w:t>
            </w:r>
          </w:p>
        </w:tc>
        <w:tc>
          <w:tcPr>
            <w:tcW w:w="3526" w:type="dxa"/>
            <w:vAlign w:val="center"/>
          </w:tcPr>
          <w:p>
            <w:pPr>
              <w:ind w:firstLine="0" w:firstLineChars="0"/>
              <w:jc w:val="center"/>
              <w:rPr>
                <w:rFonts w:ascii="宋体" w:hAnsi="宋体" w:cs="宋体"/>
              </w:rPr>
            </w:pPr>
            <w:r>
              <w:rPr>
                <w:rFonts w:hint="eastAsia" w:ascii="宋体" w:hAnsi="宋体" w:cs="宋体"/>
              </w:rPr>
              <w:t>城市轨道交通机电技术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801" w:type="dxa"/>
            <w:vMerge w:val="continue"/>
            <w:vAlign w:val="center"/>
          </w:tcPr>
          <w:p>
            <w:pPr>
              <w:ind w:firstLine="0" w:firstLineChars="0"/>
              <w:jc w:val="center"/>
              <w:rPr>
                <w:rFonts w:ascii="宋体" w:hAnsi="宋体" w:cs="宋体"/>
              </w:rPr>
            </w:pPr>
          </w:p>
        </w:tc>
        <w:tc>
          <w:tcPr>
            <w:tcW w:w="1599" w:type="dxa"/>
            <w:vMerge w:val="continue"/>
          </w:tcPr>
          <w:p>
            <w:pPr>
              <w:ind w:firstLine="0" w:firstLineChars="0"/>
              <w:rPr>
                <w:rFonts w:ascii="宋体" w:hAnsi="宋体" w:cs="宋体"/>
              </w:rPr>
            </w:pPr>
          </w:p>
        </w:tc>
        <w:tc>
          <w:tcPr>
            <w:tcW w:w="1650" w:type="dxa"/>
            <w:vMerge w:val="continue"/>
            <w:vAlign w:val="center"/>
          </w:tcPr>
          <w:p>
            <w:pPr>
              <w:ind w:firstLine="0" w:firstLineChars="0"/>
              <w:jc w:val="center"/>
              <w:rPr>
                <w:rFonts w:ascii="宋体" w:hAnsi="宋体" w:cs="宋体"/>
              </w:rPr>
            </w:pPr>
          </w:p>
        </w:tc>
        <w:tc>
          <w:tcPr>
            <w:tcW w:w="1350" w:type="dxa"/>
            <w:vAlign w:val="center"/>
          </w:tcPr>
          <w:p>
            <w:pPr>
              <w:ind w:firstLine="0" w:firstLineChars="0"/>
              <w:jc w:val="center"/>
              <w:rPr>
                <w:rFonts w:ascii="宋体" w:hAnsi="宋体" w:cs="宋体"/>
              </w:rPr>
            </w:pPr>
            <w:r>
              <w:rPr>
                <w:rFonts w:hint="eastAsia" w:ascii="宋体" w:hAnsi="宋体" w:cs="宋体"/>
              </w:rPr>
              <w:t>600603</w:t>
            </w:r>
          </w:p>
        </w:tc>
        <w:tc>
          <w:tcPr>
            <w:tcW w:w="3526" w:type="dxa"/>
            <w:vAlign w:val="center"/>
          </w:tcPr>
          <w:p>
            <w:pPr>
              <w:ind w:firstLine="0" w:firstLineChars="0"/>
              <w:jc w:val="center"/>
              <w:rPr>
                <w:rFonts w:ascii="宋体" w:hAnsi="宋体" w:cs="宋体"/>
              </w:rPr>
            </w:pPr>
            <w:r>
              <w:rPr>
                <w:rFonts w:hint="eastAsia" w:ascii="宋体" w:hAnsi="宋体" w:cs="宋体"/>
              </w:rPr>
              <w:t>城市轨道交通通信信号技术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801" w:type="dxa"/>
            <w:vMerge w:val="continue"/>
            <w:vAlign w:val="center"/>
          </w:tcPr>
          <w:p>
            <w:pPr>
              <w:ind w:firstLine="0" w:firstLineChars="0"/>
              <w:jc w:val="center"/>
              <w:rPr>
                <w:rFonts w:ascii="宋体" w:hAnsi="宋体" w:cs="宋体"/>
              </w:rPr>
            </w:pPr>
          </w:p>
        </w:tc>
        <w:tc>
          <w:tcPr>
            <w:tcW w:w="1599" w:type="dxa"/>
            <w:vMerge w:val="restart"/>
            <w:vAlign w:val="center"/>
          </w:tcPr>
          <w:p>
            <w:pPr>
              <w:ind w:firstLine="0" w:firstLineChars="0"/>
              <w:jc w:val="center"/>
              <w:rPr>
                <w:rFonts w:ascii="宋体" w:hAnsi="宋体" w:cs="宋体"/>
              </w:rPr>
            </w:pPr>
            <w:r>
              <w:rPr>
                <w:rFonts w:hint="eastAsia" w:ascii="宋体" w:hAnsi="宋体" w:cs="宋体"/>
              </w:rPr>
              <w:t>装备制造</w:t>
            </w:r>
          </w:p>
          <w:p>
            <w:pPr>
              <w:ind w:firstLine="0" w:firstLineChars="0"/>
              <w:jc w:val="center"/>
              <w:rPr>
                <w:rFonts w:ascii="宋体" w:hAnsi="宋体" w:cs="宋体"/>
              </w:rPr>
            </w:pPr>
            <w:r>
              <w:rPr>
                <w:rFonts w:hint="eastAsia" w:ascii="宋体" w:hAnsi="宋体" w:cs="宋体"/>
              </w:rPr>
              <w:t>大类</w:t>
            </w:r>
          </w:p>
        </w:tc>
        <w:tc>
          <w:tcPr>
            <w:tcW w:w="1650" w:type="dxa"/>
            <w:vMerge w:val="restart"/>
            <w:vAlign w:val="center"/>
          </w:tcPr>
          <w:p>
            <w:pPr>
              <w:ind w:firstLine="0" w:firstLineChars="0"/>
              <w:jc w:val="center"/>
              <w:rPr>
                <w:rFonts w:ascii="宋体" w:hAnsi="宋体" w:cs="宋体"/>
              </w:rPr>
            </w:pPr>
            <w:r>
              <w:rPr>
                <w:rFonts w:hint="eastAsia" w:ascii="宋体" w:hAnsi="宋体" w:cs="宋体"/>
              </w:rPr>
              <w:t>机械设计制造类</w:t>
            </w:r>
          </w:p>
        </w:tc>
        <w:tc>
          <w:tcPr>
            <w:tcW w:w="1350" w:type="dxa"/>
            <w:vAlign w:val="center"/>
          </w:tcPr>
          <w:p>
            <w:pPr>
              <w:ind w:firstLine="0" w:firstLineChars="0"/>
              <w:jc w:val="center"/>
              <w:rPr>
                <w:rFonts w:ascii="宋体" w:hAnsi="宋体" w:cs="宋体"/>
              </w:rPr>
            </w:pPr>
            <w:r>
              <w:rPr>
                <w:rFonts w:hint="eastAsia" w:ascii="宋体" w:hAnsi="宋体" w:cs="宋体"/>
              </w:rPr>
              <w:t>560102</w:t>
            </w:r>
          </w:p>
        </w:tc>
        <w:tc>
          <w:tcPr>
            <w:tcW w:w="3526" w:type="dxa"/>
            <w:vAlign w:val="center"/>
          </w:tcPr>
          <w:p>
            <w:pPr>
              <w:ind w:firstLine="0" w:firstLineChars="0"/>
              <w:jc w:val="center"/>
              <w:rPr>
                <w:rFonts w:ascii="宋体" w:hAnsi="宋体" w:cs="宋体"/>
              </w:rPr>
            </w:pPr>
            <w:r>
              <w:rPr>
                <w:rFonts w:hint="eastAsia" w:ascii="宋体" w:hAnsi="宋体" w:cs="宋体"/>
              </w:rPr>
              <w:t>机械制造与自动化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801" w:type="dxa"/>
            <w:vMerge w:val="continue"/>
            <w:vAlign w:val="center"/>
          </w:tcPr>
          <w:p>
            <w:pPr>
              <w:ind w:firstLine="0" w:firstLineChars="0"/>
              <w:jc w:val="center"/>
              <w:rPr>
                <w:rFonts w:ascii="宋体" w:hAnsi="宋体" w:cs="宋体"/>
              </w:rPr>
            </w:pPr>
          </w:p>
        </w:tc>
        <w:tc>
          <w:tcPr>
            <w:tcW w:w="1599" w:type="dxa"/>
            <w:vMerge w:val="continue"/>
            <w:vAlign w:val="center"/>
          </w:tcPr>
          <w:p>
            <w:pPr>
              <w:ind w:firstLine="0" w:firstLineChars="0"/>
              <w:jc w:val="center"/>
              <w:rPr>
                <w:rFonts w:ascii="宋体" w:hAnsi="宋体" w:cs="宋体"/>
              </w:rPr>
            </w:pPr>
          </w:p>
        </w:tc>
        <w:tc>
          <w:tcPr>
            <w:tcW w:w="1650" w:type="dxa"/>
            <w:vMerge w:val="continue"/>
            <w:vAlign w:val="center"/>
          </w:tcPr>
          <w:p>
            <w:pPr>
              <w:ind w:firstLine="0" w:firstLineChars="0"/>
              <w:jc w:val="center"/>
              <w:rPr>
                <w:rFonts w:ascii="宋体" w:hAnsi="宋体" w:cs="宋体"/>
              </w:rPr>
            </w:pPr>
          </w:p>
        </w:tc>
        <w:tc>
          <w:tcPr>
            <w:tcW w:w="1350" w:type="dxa"/>
            <w:vAlign w:val="center"/>
          </w:tcPr>
          <w:p>
            <w:pPr>
              <w:ind w:firstLine="0" w:firstLineChars="0"/>
              <w:jc w:val="center"/>
              <w:rPr>
                <w:rFonts w:ascii="宋体" w:hAnsi="宋体" w:cs="宋体"/>
              </w:rPr>
            </w:pPr>
            <w:r>
              <w:rPr>
                <w:rFonts w:hint="eastAsia" w:ascii="宋体" w:hAnsi="宋体" w:cs="宋体"/>
              </w:rPr>
              <w:t>560117</w:t>
            </w:r>
          </w:p>
        </w:tc>
        <w:tc>
          <w:tcPr>
            <w:tcW w:w="3526" w:type="dxa"/>
            <w:vAlign w:val="center"/>
          </w:tcPr>
          <w:p>
            <w:pPr>
              <w:ind w:firstLine="0" w:firstLineChars="0"/>
              <w:jc w:val="center"/>
              <w:rPr>
                <w:rFonts w:ascii="宋体" w:hAnsi="宋体" w:cs="宋体"/>
              </w:rPr>
            </w:pPr>
            <w:r>
              <w:rPr>
                <w:rFonts w:hint="eastAsia" w:ascii="宋体" w:hAnsi="宋体" w:cs="宋体"/>
              </w:rPr>
              <w:t>机械装备制造技术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801" w:type="dxa"/>
            <w:vMerge w:val="continue"/>
            <w:vAlign w:val="center"/>
          </w:tcPr>
          <w:p>
            <w:pPr>
              <w:ind w:firstLine="0" w:firstLineChars="0"/>
              <w:jc w:val="center"/>
              <w:rPr>
                <w:rFonts w:ascii="宋体" w:hAnsi="宋体" w:cs="宋体"/>
              </w:rPr>
            </w:pPr>
          </w:p>
        </w:tc>
        <w:tc>
          <w:tcPr>
            <w:tcW w:w="1599" w:type="dxa"/>
            <w:vMerge w:val="continue"/>
            <w:vAlign w:val="center"/>
          </w:tcPr>
          <w:p>
            <w:pPr>
              <w:ind w:firstLine="0" w:firstLineChars="0"/>
              <w:jc w:val="center"/>
              <w:rPr>
                <w:rFonts w:ascii="宋体" w:hAnsi="宋体" w:cs="宋体"/>
              </w:rPr>
            </w:pPr>
          </w:p>
        </w:tc>
        <w:tc>
          <w:tcPr>
            <w:tcW w:w="1650" w:type="dxa"/>
            <w:vMerge w:val="restart"/>
            <w:vAlign w:val="center"/>
          </w:tcPr>
          <w:p>
            <w:pPr>
              <w:ind w:firstLine="0" w:firstLineChars="0"/>
              <w:jc w:val="center"/>
              <w:rPr>
                <w:rFonts w:ascii="宋体" w:hAnsi="宋体" w:cs="宋体"/>
              </w:rPr>
            </w:pPr>
            <w:r>
              <w:rPr>
                <w:rFonts w:hint="eastAsia" w:ascii="宋体" w:hAnsi="宋体" w:cs="宋体"/>
              </w:rPr>
              <w:t>机电设备类</w:t>
            </w:r>
          </w:p>
        </w:tc>
        <w:tc>
          <w:tcPr>
            <w:tcW w:w="1350" w:type="dxa"/>
            <w:vAlign w:val="center"/>
          </w:tcPr>
          <w:p>
            <w:pPr>
              <w:ind w:firstLine="0" w:firstLineChars="0"/>
              <w:jc w:val="center"/>
              <w:rPr>
                <w:rFonts w:ascii="宋体" w:hAnsi="宋体" w:cs="宋体"/>
              </w:rPr>
            </w:pPr>
            <w:r>
              <w:rPr>
                <w:rFonts w:hint="eastAsia" w:ascii="宋体" w:hAnsi="宋体" w:cs="宋体"/>
              </w:rPr>
              <w:t>560202</w:t>
            </w:r>
          </w:p>
        </w:tc>
        <w:tc>
          <w:tcPr>
            <w:tcW w:w="3526" w:type="dxa"/>
            <w:vAlign w:val="center"/>
          </w:tcPr>
          <w:p>
            <w:pPr>
              <w:ind w:firstLine="0" w:firstLineChars="0"/>
              <w:jc w:val="center"/>
              <w:rPr>
                <w:rFonts w:ascii="宋体" w:hAnsi="宋体" w:cs="宋体"/>
              </w:rPr>
            </w:pPr>
            <w:r>
              <w:rPr>
                <w:rFonts w:hint="eastAsia" w:ascii="宋体" w:hAnsi="宋体" w:cs="宋体"/>
              </w:rPr>
              <w:t>机电设备安装技术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801" w:type="dxa"/>
            <w:vMerge w:val="continue"/>
            <w:vAlign w:val="center"/>
          </w:tcPr>
          <w:p>
            <w:pPr>
              <w:ind w:firstLine="0" w:firstLineChars="0"/>
              <w:jc w:val="center"/>
              <w:rPr>
                <w:rFonts w:ascii="宋体" w:hAnsi="宋体" w:cs="宋体"/>
              </w:rPr>
            </w:pPr>
          </w:p>
        </w:tc>
        <w:tc>
          <w:tcPr>
            <w:tcW w:w="1599" w:type="dxa"/>
            <w:vMerge w:val="continue"/>
            <w:vAlign w:val="center"/>
          </w:tcPr>
          <w:p>
            <w:pPr>
              <w:ind w:firstLine="0" w:firstLineChars="0"/>
              <w:jc w:val="center"/>
              <w:rPr>
                <w:rFonts w:ascii="宋体" w:hAnsi="宋体" w:cs="宋体"/>
              </w:rPr>
            </w:pPr>
          </w:p>
        </w:tc>
        <w:tc>
          <w:tcPr>
            <w:tcW w:w="1650" w:type="dxa"/>
            <w:vMerge w:val="continue"/>
            <w:vAlign w:val="center"/>
          </w:tcPr>
          <w:p>
            <w:pPr>
              <w:ind w:firstLine="0" w:firstLineChars="0"/>
              <w:jc w:val="center"/>
              <w:rPr>
                <w:rFonts w:ascii="宋体" w:hAnsi="宋体" w:cs="宋体"/>
              </w:rPr>
            </w:pPr>
          </w:p>
        </w:tc>
        <w:tc>
          <w:tcPr>
            <w:tcW w:w="1350" w:type="dxa"/>
            <w:vAlign w:val="center"/>
          </w:tcPr>
          <w:p>
            <w:pPr>
              <w:ind w:firstLine="0" w:firstLineChars="0"/>
              <w:jc w:val="center"/>
              <w:rPr>
                <w:rFonts w:ascii="宋体" w:hAnsi="宋体" w:cs="宋体"/>
              </w:rPr>
            </w:pPr>
            <w:r>
              <w:rPr>
                <w:rFonts w:hint="eastAsia" w:ascii="宋体" w:hAnsi="宋体" w:cs="宋体"/>
              </w:rPr>
              <w:t>560203</w:t>
            </w:r>
          </w:p>
        </w:tc>
        <w:tc>
          <w:tcPr>
            <w:tcW w:w="3526" w:type="dxa"/>
            <w:vAlign w:val="center"/>
          </w:tcPr>
          <w:p>
            <w:pPr>
              <w:ind w:firstLine="0" w:firstLineChars="0"/>
              <w:jc w:val="center"/>
              <w:rPr>
                <w:rFonts w:ascii="宋体" w:hAnsi="宋体" w:cs="宋体"/>
              </w:rPr>
            </w:pPr>
            <w:r>
              <w:rPr>
                <w:rFonts w:hint="eastAsia" w:ascii="宋体" w:hAnsi="宋体" w:cs="宋体"/>
              </w:rPr>
              <w:t>机电设备维修与管理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801" w:type="dxa"/>
            <w:vMerge w:val="continue"/>
            <w:vAlign w:val="center"/>
          </w:tcPr>
          <w:p>
            <w:pPr>
              <w:ind w:firstLine="0" w:firstLineChars="0"/>
              <w:jc w:val="center"/>
              <w:rPr>
                <w:rFonts w:ascii="宋体" w:hAnsi="宋体" w:cs="宋体"/>
              </w:rPr>
            </w:pPr>
          </w:p>
        </w:tc>
        <w:tc>
          <w:tcPr>
            <w:tcW w:w="1599" w:type="dxa"/>
            <w:vMerge w:val="continue"/>
            <w:vAlign w:val="center"/>
          </w:tcPr>
          <w:p>
            <w:pPr>
              <w:ind w:firstLine="0" w:firstLineChars="0"/>
              <w:jc w:val="center"/>
              <w:rPr>
                <w:rFonts w:ascii="宋体" w:hAnsi="宋体" w:cs="宋体"/>
              </w:rPr>
            </w:pPr>
          </w:p>
        </w:tc>
        <w:tc>
          <w:tcPr>
            <w:tcW w:w="1650" w:type="dxa"/>
            <w:vMerge w:val="restart"/>
            <w:vAlign w:val="center"/>
          </w:tcPr>
          <w:p>
            <w:pPr>
              <w:ind w:firstLine="0" w:firstLineChars="0"/>
              <w:jc w:val="center"/>
              <w:rPr>
                <w:rFonts w:ascii="宋体" w:hAnsi="宋体" w:cs="宋体"/>
              </w:rPr>
            </w:pPr>
            <w:r>
              <w:rPr>
                <w:rFonts w:hint="eastAsia" w:ascii="宋体" w:hAnsi="宋体" w:cs="宋体"/>
              </w:rPr>
              <w:t>自动化类</w:t>
            </w:r>
          </w:p>
        </w:tc>
        <w:tc>
          <w:tcPr>
            <w:tcW w:w="1350" w:type="dxa"/>
            <w:vAlign w:val="center"/>
          </w:tcPr>
          <w:p>
            <w:pPr>
              <w:ind w:firstLine="0" w:firstLineChars="0"/>
              <w:jc w:val="center"/>
              <w:rPr>
                <w:rFonts w:ascii="宋体" w:hAnsi="宋体" w:cs="宋体"/>
              </w:rPr>
            </w:pPr>
            <w:r>
              <w:rPr>
                <w:rFonts w:hint="eastAsia" w:ascii="宋体" w:hAnsi="宋体" w:cs="宋体"/>
              </w:rPr>
              <w:t>560301</w:t>
            </w:r>
          </w:p>
        </w:tc>
        <w:tc>
          <w:tcPr>
            <w:tcW w:w="3526" w:type="dxa"/>
            <w:vAlign w:val="center"/>
          </w:tcPr>
          <w:p>
            <w:pPr>
              <w:ind w:firstLine="0" w:firstLineChars="0"/>
              <w:jc w:val="center"/>
              <w:rPr>
                <w:rFonts w:ascii="宋体" w:hAnsi="宋体" w:cs="宋体"/>
              </w:rPr>
            </w:pPr>
            <w:r>
              <w:rPr>
                <w:rFonts w:hint="eastAsia" w:ascii="宋体" w:hAnsi="宋体" w:cs="宋体"/>
              </w:rPr>
              <w:t>机电一体化技术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801" w:type="dxa"/>
            <w:vMerge w:val="continue"/>
            <w:vAlign w:val="center"/>
          </w:tcPr>
          <w:p>
            <w:pPr>
              <w:ind w:firstLine="0" w:firstLineChars="0"/>
              <w:jc w:val="center"/>
              <w:rPr>
                <w:rFonts w:ascii="宋体" w:hAnsi="宋体" w:cs="宋体"/>
              </w:rPr>
            </w:pPr>
          </w:p>
        </w:tc>
        <w:tc>
          <w:tcPr>
            <w:tcW w:w="1599" w:type="dxa"/>
            <w:vMerge w:val="continue"/>
            <w:vAlign w:val="center"/>
          </w:tcPr>
          <w:p>
            <w:pPr>
              <w:ind w:firstLine="0" w:firstLineChars="0"/>
              <w:jc w:val="center"/>
              <w:rPr>
                <w:rFonts w:ascii="宋体" w:hAnsi="宋体" w:cs="宋体"/>
              </w:rPr>
            </w:pPr>
          </w:p>
        </w:tc>
        <w:tc>
          <w:tcPr>
            <w:tcW w:w="1650" w:type="dxa"/>
            <w:vMerge w:val="continue"/>
            <w:vAlign w:val="center"/>
          </w:tcPr>
          <w:p>
            <w:pPr>
              <w:ind w:firstLine="0" w:firstLineChars="0"/>
              <w:jc w:val="center"/>
              <w:rPr>
                <w:rFonts w:ascii="宋体" w:hAnsi="宋体" w:cs="宋体"/>
              </w:rPr>
            </w:pPr>
          </w:p>
        </w:tc>
        <w:tc>
          <w:tcPr>
            <w:tcW w:w="1350" w:type="dxa"/>
            <w:vAlign w:val="center"/>
          </w:tcPr>
          <w:p>
            <w:pPr>
              <w:ind w:firstLine="0" w:firstLineChars="0"/>
              <w:jc w:val="center"/>
              <w:rPr>
                <w:rFonts w:ascii="宋体" w:hAnsi="宋体" w:cs="宋体"/>
              </w:rPr>
            </w:pPr>
            <w:r>
              <w:rPr>
                <w:rFonts w:hint="eastAsia" w:ascii="宋体" w:hAnsi="宋体" w:cs="宋体"/>
              </w:rPr>
              <w:t>560304</w:t>
            </w:r>
          </w:p>
        </w:tc>
        <w:tc>
          <w:tcPr>
            <w:tcW w:w="3526" w:type="dxa"/>
            <w:vAlign w:val="center"/>
          </w:tcPr>
          <w:p>
            <w:pPr>
              <w:ind w:firstLine="0" w:firstLineChars="0"/>
              <w:jc w:val="center"/>
              <w:rPr>
                <w:rFonts w:ascii="宋体" w:hAnsi="宋体" w:cs="宋体"/>
              </w:rPr>
            </w:pPr>
            <w:r>
              <w:rPr>
                <w:rFonts w:hint="eastAsia" w:ascii="宋体" w:hAnsi="宋体" w:cs="宋体"/>
              </w:rPr>
              <w:t>智能控制技术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801" w:type="dxa"/>
            <w:vMerge w:val="continue"/>
            <w:vAlign w:val="center"/>
          </w:tcPr>
          <w:p>
            <w:pPr>
              <w:ind w:firstLine="0" w:firstLineChars="0"/>
              <w:jc w:val="center"/>
              <w:rPr>
                <w:rFonts w:ascii="宋体" w:hAnsi="宋体" w:cs="宋体"/>
              </w:rPr>
            </w:pPr>
          </w:p>
        </w:tc>
        <w:tc>
          <w:tcPr>
            <w:tcW w:w="1599" w:type="dxa"/>
            <w:vMerge w:val="continue"/>
            <w:vAlign w:val="center"/>
          </w:tcPr>
          <w:p>
            <w:pPr>
              <w:ind w:firstLine="0" w:firstLineChars="0"/>
              <w:jc w:val="center"/>
              <w:rPr>
                <w:rFonts w:ascii="宋体" w:hAnsi="宋体" w:cs="宋体"/>
              </w:rPr>
            </w:pPr>
          </w:p>
        </w:tc>
        <w:tc>
          <w:tcPr>
            <w:tcW w:w="1650" w:type="dxa"/>
            <w:vAlign w:val="center"/>
          </w:tcPr>
          <w:p>
            <w:pPr>
              <w:ind w:firstLine="0" w:firstLineChars="0"/>
              <w:jc w:val="center"/>
              <w:rPr>
                <w:rFonts w:ascii="宋体" w:hAnsi="宋体" w:cs="宋体"/>
              </w:rPr>
            </w:pPr>
            <w:r>
              <w:rPr>
                <w:rFonts w:hint="eastAsia" w:ascii="宋体" w:hAnsi="宋体" w:cs="宋体"/>
              </w:rPr>
              <w:t>铁道装配类</w:t>
            </w:r>
          </w:p>
        </w:tc>
        <w:tc>
          <w:tcPr>
            <w:tcW w:w="1350" w:type="dxa"/>
            <w:vAlign w:val="center"/>
          </w:tcPr>
          <w:p>
            <w:pPr>
              <w:ind w:firstLine="0" w:firstLineChars="0"/>
              <w:jc w:val="center"/>
              <w:rPr>
                <w:rFonts w:ascii="宋体" w:hAnsi="宋体" w:cs="宋体"/>
              </w:rPr>
            </w:pPr>
            <w:r>
              <w:rPr>
                <w:rFonts w:hint="eastAsia" w:ascii="宋体" w:hAnsi="宋体" w:cs="宋体"/>
              </w:rPr>
              <w:t>560402</w:t>
            </w:r>
          </w:p>
        </w:tc>
        <w:tc>
          <w:tcPr>
            <w:tcW w:w="3526" w:type="dxa"/>
            <w:vAlign w:val="center"/>
          </w:tcPr>
          <w:p>
            <w:pPr>
              <w:ind w:firstLine="0" w:firstLineChars="0"/>
              <w:jc w:val="center"/>
              <w:rPr>
                <w:rFonts w:ascii="宋体" w:hAnsi="宋体" w:cs="宋体"/>
              </w:rPr>
            </w:pPr>
            <w:r>
              <w:rPr>
                <w:rFonts w:hint="eastAsia" w:ascii="宋体" w:hAnsi="宋体" w:cs="宋体"/>
              </w:rPr>
              <w:t>铁道通信信号设备制造与维护</w:t>
            </w:r>
          </w:p>
        </w:tc>
      </w:tr>
    </w:tbl>
    <w:p>
      <w:pPr>
        <w:pStyle w:val="2"/>
        <w:spacing w:line="560" w:lineRule="exact"/>
        <w:rPr>
          <w:rFonts w:ascii="黑体" w:hAnsi="黑体" w:eastAsia="黑体" w:cs="黑体"/>
          <w:b w:val="0"/>
          <w:bCs w:val="0"/>
          <w:sz w:val="30"/>
          <w:szCs w:val="30"/>
        </w:rPr>
      </w:pPr>
      <w:bookmarkStart w:id="10" w:name="_Toc491101517"/>
      <w:bookmarkStart w:id="11" w:name="_Toc14397"/>
      <w:r>
        <w:rPr>
          <w:rFonts w:hint="eastAsia" w:ascii="黑体" w:hAnsi="黑体" w:eastAsia="黑体" w:cs="黑体"/>
          <w:b w:val="0"/>
          <w:bCs w:val="0"/>
          <w:sz w:val="30"/>
          <w:szCs w:val="30"/>
        </w:rPr>
        <w:t>赛项申报专家组</w:t>
      </w:r>
      <w:bookmarkEnd w:id="10"/>
      <w:bookmarkEnd w:id="11"/>
    </w:p>
    <w:p>
      <w:pPr>
        <w:spacing w:line="560" w:lineRule="exact"/>
        <w:ind w:firstLine="600"/>
        <w:rPr>
          <w:rFonts w:hint="eastAsia"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本赛项由来自中国职业技术教育学会轨道交通专业委员会、轨道交通相关行业、企业信号专家或职教一线人员、高等职业院校、本科院校的轨道交通专家共同组成大赛专家组，在轨道交通信号系统关键技术研究、轨道交通大赛的组织上具有丰富的经验，完全胜任2019年全国职业院校技能大赛（高职组）轨道交通信号控制系统设计与应用赛项的要求。</w:t>
      </w:r>
    </w:p>
    <w:p>
      <w:pPr>
        <w:pStyle w:val="2"/>
        <w:spacing w:line="560" w:lineRule="exact"/>
        <w:rPr>
          <w:rFonts w:ascii="黑体" w:hAnsi="黑体" w:eastAsia="黑体" w:cs="黑体"/>
          <w:b w:val="0"/>
          <w:bCs w:val="0"/>
          <w:sz w:val="30"/>
          <w:szCs w:val="30"/>
        </w:rPr>
      </w:pPr>
      <w:bookmarkStart w:id="12" w:name="_Toc491101518"/>
      <w:bookmarkStart w:id="13" w:name="_Toc16466"/>
      <w:r>
        <w:rPr>
          <w:rFonts w:hint="eastAsia" w:ascii="黑体" w:hAnsi="黑体" w:eastAsia="黑体" w:cs="黑体"/>
          <w:b w:val="0"/>
          <w:bCs w:val="0"/>
          <w:sz w:val="30"/>
          <w:szCs w:val="30"/>
        </w:rPr>
        <w:t>赛项目的</w:t>
      </w:r>
      <w:bookmarkEnd w:id="12"/>
      <w:bookmarkEnd w:id="13"/>
    </w:p>
    <w:p>
      <w:pPr>
        <w:spacing w:line="560" w:lineRule="exact"/>
        <w:ind w:firstLine="600"/>
        <w:rPr>
          <w:rFonts w:ascii="仿宋_GB2312" w:hAnsi="仿宋_GB2312" w:eastAsia="仿宋_GB2312" w:cs="仿宋_GB2312"/>
          <w:b/>
          <w:kern w:val="0"/>
          <w:sz w:val="30"/>
          <w:szCs w:val="30"/>
        </w:rPr>
      </w:pPr>
      <w:r>
        <w:rPr>
          <w:rFonts w:hint="eastAsia" w:ascii="仿宋_GB2312" w:hAnsi="仿宋_GB2312" w:eastAsia="仿宋_GB2312" w:cs="仿宋_GB2312"/>
          <w:kern w:val="0"/>
          <w:sz w:val="30"/>
          <w:szCs w:val="30"/>
        </w:rPr>
        <w:t>本赛项紧紧围绕轨道交通信号控制系统实训平台，以列控中心（TCC）、客专移频柜内设备（发送器、接收器及衰耗盘）、继电器为载体，充分展现地面列车运行信号控制逻辑设计和信号传输过程，全面考查参赛选手对设备的调试、应用、系统运行与故障检测，系统设备维护和职业素养等专业技能。</w:t>
      </w:r>
    </w:p>
    <w:p>
      <w:pPr>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本赛项将轨道交通行业需求和企业人才需求以及最新的产业技术融入比赛内容，推动职业院校教学改革和校企合作，引导轨道交通类专业的课程设置和教学改革，提高轨道交通信号及相关专业的人才培养质量，促进职业教育与社会实际需求融合，从而提升学生专业能力和职业素养。</w:t>
      </w:r>
    </w:p>
    <w:p>
      <w:pPr>
        <w:snapToGrid w:val="0"/>
        <w:spacing w:line="560" w:lineRule="exact"/>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学生可在赛项的准备过程中，通过职业岗位工作项目和工作任务案例的实训，逐步实践“理实一体化”、“做学教一体化”的教学理念，使学生在信号与控制系统设计、应用、调试等方面得到有效的职业技能训练。</w:t>
      </w:r>
    </w:p>
    <w:p>
      <w:pPr>
        <w:snapToGrid w:val="0"/>
        <w:spacing w:line="560" w:lineRule="exact"/>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通过本赛项平台，可以促进职业院校与行业相关企业开展产教研深入合作，真正响应教育部提倡的“专业与产业、职业岗位对接；专业课程内容与职业标准对接；教学过程与生产过程对接”的职业教育要求，解决轨道交通通信信号专业人才培养路径中“最后一公里”的问题。</w:t>
      </w:r>
    </w:p>
    <w:p>
      <w:pPr>
        <w:pStyle w:val="2"/>
        <w:spacing w:line="560" w:lineRule="exact"/>
        <w:rPr>
          <w:rFonts w:ascii="黑体" w:hAnsi="黑体" w:eastAsia="黑体" w:cs="黑体"/>
          <w:b w:val="0"/>
          <w:bCs w:val="0"/>
          <w:sz w:val="30"/>
          <w:szCs w:val="30"/>
        </w:rPr>
      </w:pPr>
      <w:bookmarkStart w:id="14" w:name="_Toc31110"/>
      <w:bookmarkStart w:id="15" w:name="_Toc491101519"/>
      <w:r>
        <w:rPr>
          <w:rFonts w:hint="eastAsia" w:ascii="黑体" w:hAnsi="黑体" w:eastAsia="黑体" w:cs="黑体"/>
          <w:b w:val="0"/>
          <w:bCs w:val="0"/>
          <w:sz w:val="30"/>
          <w:szCs w:val="30"/>
        </w:rPr>
        <w:t>赛项设计原则</w:t>
      </w:r>
      <w:bookmarkEnd w:id="14"/>
      <w:bookmarkEnd w:id="15"/>
    </w:p>
    <w:p>
      <w:pPr>
        <w:pStyle w:val="3"/>
        <w:spacing w:before="163" w:line="560" w:lineRule="exact"/>
        <w:rPr>
          <w:rFonts w:ascii="仿宋_GB2312" w:hAnsi="仿宋_GB2312" w:eastAsia="仿宋_GB2312" w:cs="仿宋_GB2312"/>
          <w:b w:val="0"/>
          <w:bCs w:val="0"/>
        </w:rPr>
      </w:pPr>
      <w:bookmarkStart w:id="16" w:name="_Toc491101520"/>
      <w:bookmarkStart w:id="17" w:name="_Toc10623"/>
      <w:r>
        <w:rPr>
          <w:rFonts w:hint="eastAsia" w:ascii="仿宋_GB2312" w:hAnsi="仿宋_GB2312" w:eastAsia="仿宋_GB2312" w:cs="仿宋_GB2312"/>
          <w:b w:val="0"/>
          <w:bCs w:val="0"/>
        </w:rPr>
        <w:t>坚持公开、公平、公正</w:t>
      </w:r>
      <w:bookmarkEnd w:id="16"/>
      <w:bookmarkEnd w:id="17"/>
    </w:p>
    <w:p>
      <w:pPr>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整个竞赛过程坚持公平、公正、公开的原则，形成公开考试、公平竞争、公正评选的竞赛导向，赛事全程视频监控，为竞赛选手搭建起公平竞争的平台，为职业技能创新型人才培养创造条件。</w:t>
      </w:r>
    </w:p>
    <w:p>
      <w:pPr>
        <w:pStyle w:val="3"/>
        <w:spacing w:before="163" w:line="560" w:lineRule="exact"/>
        <w:rPr>
          <w:rFonts w:ascii="仿宋_GB2312" w:hAnsi="仿宋_GB2312" w:eastAsia="仿宋_GB2312" w:cs="仿宋_GB2312"/>
          <w:b w:val="0"/>
          <w:bCs w:val="0"/>
        </w:rPr>
      </w:pPr>
      <w:bookmarkStart w:id="18" w:name="_Toc491101521"/>
      <w:bookmarkStart w:id="19" w:name="_Toc22274"/>
      <w:r>
        <w:rPr>
          <w:rFonts w:hint="eastAsia" w:ascii="仿宋_GB2312" w:hAnsi="仿宋_GB2312" w:eastAsia="仿宋_GB2312" w:cs="仿宋_GB2312"/>
          <w:b w:val="0"/>
          <w:bCs w:val="0"/>
        </w:rPr>
        <w:t>赛项关联岗位面广、人才需求量大、职业院校开设专业点多</w:t>
      </w:r>
      <w:bookmarkEnd w:id="18"/>
      <w:bookmarkEnd w:id="19"/>
    </w:p>
    <w:p>
      <w:pPr>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赛项关联职业岗位面广。铁路信号技术涵盖了越来越多的高新领域，信号设备逐步趋向数字化、网络化、智能化、一体化。铁路总公司在铁道信号工工种上增加了5个新的岗位：高速铁路现场信号设备维修岗位、动车组列控车载信号设备维修岗位、高速铁路控制中心信号设备维修岗位、高速铁路通信综合维修岗位、动车组车载通信设备维修岗位，本赛项涉及的内容与这5个新岗位紧密相关。</w:t>
      </w:r>
    </w:p>
    <w:p>
      <w:pPr>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中国轨道交通信号控制系统，即满足中国轨道交通高密度、大编组运行特点，也兼容国外专业系统技术，具有完全自主知识产权的列控系统实现了产业化，实现高铁自主化列控系统工程应用，支撑高铁技术可持续发展和走出去战略。信号控制系统涉及了轨道交通车、机、工、电、辆、供所有专业的应用，也是轨道交通向国外推广的核心标准。本赛项涉及的是列控系统中最基础最广泛的信号技术。</w:t>
      </w:r>
    </w:p>
    <w:p>
      <w:pPr>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2．人才需求量大。按照中长期铁路网调整规划，到2020年 铁路网规模将达到15万公里，其中高速铁路3万公里，覆盖80%以上的大城市；“十三五”期间，我国铁路建设规划基本建设投资3.8万亿元。连同检测、保养、维修、更换等“铁路后市场” 铁路产业整体将达到10万亿量级。据铁道部发展计划司测算，铁路每投资1亿元，就能提供1000个工作岗位，按电务部门工作岗位占总人数16%的比例估算，铁路和相关企业对信号工及技师的人才需求量非常大。</w:t>
      </w:r>
    </w:p>
    <w:p>
      <w:pPr>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3．职业院校开设专业点多。目前举办铁道类专业的高职院校有柳州铁道职业技术学院、吉林铁道职业技术学院、南京铁道职业技术学院、西安铁路职业技术学院、天津铁道职业技术学院等20余所传统铁道运输类职业院校，也有山东职业学院、黑龙江交通职业技术学院、辽宁轨道交通职业技术学院等近百所地方交通运输类高职学院，每年为铁路企业培养轨道交通通信信号专业技术人才2万余人，且就业率均达到90%以上。</w:t>
      </w:r>
    </w:p>
    <w:p>
      <w:pPr>
        <w:pStyle w:val="3"/>
        <w:spacing w:before="163" w:line="560" w:lineRule="exact"/>
        <w:rPr>
          <w:rFonts w:ascii="仿宋_GB2312" w:hAnsi="仿宋_GB2312" w:eastAsia="仿宋_GB2312" w:cs="仿宋_GB2312"/>
          <w:b w:val="0"/>
          <w:bCs w:val="0"/>
        </w:rPr>
      </w:pPr>
      <w:bookmarkStart w:id="20" w:name="_Toc26019"/>
      <w:bookmarkStart w:id="21" w:name="_Toc491101522"/>
      <w:r>
        <w:rPr>
          <w:rFonts w:hint="eastAsia" w:ascii="仿宋_GB2312" w:hAnsi="仿宋_GB2312" w:eastAsia="仿宋_GB2312" w:cs="仿宋_GB2312"/>
          <w:b w:val="0"/>
          <w:bCs w:val="0"/>
        </w:rPr>
        <w:t>竞赛内容对应相关职业岗位或岗位群、体现专业核心能力与核心知识、涵盖丰富的专业知识与专业技能点</w:t>
      </w:r>
      <w:bookmarkEnd w:id="20"/>
      <w:bookmarkEnd w:id="21"/>
    </w:p>
    <w:p>
      <w:pPr>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竞赛内容对应铁路信号工岗位群。铁路信号工岗位群要求能从事铁路信号设备生产、安装、调试、维修养护、管理及工程设计与施工、技术改造等工作，具有较强的铁路信号设备基本结构、工作原理、技术条件、维护标准、施工工艺等专业技术理论知识和较强的铁路信号设备安装、调试、日常养护、故障处理及检维修等实践技能。本次竞赛实践技能考核内容“列控中心系统功能、信号设备逻辑设计、组合内部配线、焊接与安装、调试、导通，故障检测与处理，日常数据测试与分析，综合应用，工作过程记录、撰写工作报告”都是铁路信号设备安装、调试、日常养护、故障处理及检维修等职业关键能力，也是信号专业的核心能力。</w:t>
      </w:r>
    </w:p>
    <w:p>
      <w:pPr>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体现专业核心能力与核心知识。本赛项以铁路信号工职业技能鉴定理论标准为要求，考核学生对车站信号、区间信号、列车控制中心系统、轨道电路等信号专业核心技能的掌握情况。通过本赛项的竞赛，考核参赛选手的铁道信号控制系统的安装、调试和维护的技能、检测维修工具的使用技能、现场问题的分析和处理技能、信号综合应用、信号逻辑关系设计、团队的组织和协作能力。</w:t>
      </w:r>
    </w:p>
    <w:p>
      <w:pPr>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3．涵盖丰富的专业知识与专业技能点。本赛项把轨道交通信号控制系统实训平台实际工作项目作为竞赛试题，竞赛内容是现场岗位工作的真实任务，实现考核实际工作过程的全部知识点与专业技能点，做到赛项与实际岗位需求、职业素养培养目标零距离对接，提升高职院校学生的实践能力和技术综合应用能力，培养适合铁路企业相关岗位的“准员工”。</w:t>
      </w:r>
    </w:p>
    <w:p>
      <w:pPr>
        <w:pStyle w:val="3"/>
        <w:spacing w:before="163" w:line="560" w:lineRule="exact"/>
        <w:rPr>
          <w:rFonts w:ascii="仿宋_GB2312" w:hAnsi="仿宋_GB2312" w:eastAsia="仿宋_GB2312" w:cs="仿宋_GB2312"/>
          <w:b w:val="0"/>
          <w:bCs w:val="0"/>
        </w:rPr>
      </w:pPr>
      <w:bookmarkStart w:id="22" w:name="_Toc17909"/>
      <w:bookmarkStart w:id="23" w:name="_Toc491101523"/>
      <w:r>
        <w:rPr>
          <w:rFonts w:hint="eastAsia" w:ascii="仿宋_GB2312" w:hAnsi="仿宋_GB2312" w:eastAsia="仿宋_GB2312" w:cs="仿宋_GB2312"/>
          <w:b w:val="0"/>
          <w:bCs w:val="0"/>
        </w:rPr>
        <w:t>竞赛平台技术成熟。根据行业特点，赛项选择相对先进、通用性强、社会保有量高的设备与软件</w:t>
      </w:r>
      <w:bookmarkEnd w:id="22"/>
      <w:bookmarkEnd w:id="23"/>
    </w:p>
    <w:p>
      <w:pPr>
        <w:pStyle w:val="25"/>
        <w:shd w:val="clear" w:color="auto" w:fill="FFFFFF"/>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本竞赛平台在2015年山东省职院校信号控制系统赛项中，被指定为竞赛平台，比赛过程中平台运行稳定可靠，零故障，保障了比赛的顺利进行。</w:t>
      </w:r>
    </w:p>
    <w:p>
      <w:pPr>
        <w:pStyle w:val="25"/>
        <w:shd w:val="clear" w:color="auto" w:fill="FFFFFF"/>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2016年、2017年该平台被列为黑龙江省信号控制系统设计与应用赛项的技术平台，并且在整个比赛时间内运行稳定，为参赛选手顺利完成比赛提供了良好的软硬件基础。</w:t>
      </w:r>
    </w:p>
    <w:p>
      <w:pPr>
        <w:pStyle w:val="25"/>
        <w:shd w:val="clear" w:color="auto" w:fill="FFFFFF"/>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2017年6月23日，该平台又被列为北京市信号控制系统应用赛项的技术平台，赛项在北京信息职业技术学院隆重举行，由北京工业职业技术学院、北京农业职业技术学院、北京信息职业技术学院的5个参赛队伍，15名参赛选手参加。在比赛和训练期间，技术平台功能成熟可靠，没有出现任何技术故障问题。</w:t>
      </w:r>
    </w:p>
    <w:p>
      <w:pPr>
        <w:pStyle w:val="25"/>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2017年9月，该平台又被列为全国轨道交通信号控制系统设计与应用行业赛的技术平台。该赛项由中国职业技术教育学会轨道交通专业委员会主办，在山东职业学院开赛。来自全国8个省（山东、浙江、广东、陕西、湖南、安徽、江苏、天津）14所高职院校代表队的42名选手参与了此次比赛。在比赛和训练期间，技术平台功能成熟可靠，没有出现任何技术故障问题。</w:t>
      </w:r>
    </w:p>
    <w:p>
      <w:pPr>
        <w:pStyle w:val="25"/>
        <w:ind w:firstLine="0" w:firstLineChars="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4975860" cy="3312160"/>
            <wp:effectExtent l="0" t="0" r="15240" b="254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8"/>
                    <a:stretch>
                      <a:fillRect/>
                    </a:stretch>
                  </pic:blipFill>
                  <pic:spPr>
                    <a:xfrm>
                      <a:off x="0" y="0"/>
                      <a:ext cx="4975860" cy="3312160"/>
                    </a:xfrm>
                    <a:prstGeom prst="rect">
                      <a:avLst/>
                    </a:prstGeom>
                    <a:noFill/>
                    <a:ln w="9525">
                      <a:noFill/>
                    </a:ln>
                  </pic:spPr>
                </pic:pic>
              </a:graphicData>
            </a:graphic>
          </wp:inline>
        </w:drawing>
      </w:r>
    </w:p>
    <w:p>
      <w:pPr>
        <w:pStyle w:val="25"/>
        <w:spacing w:line="560" w:lineRule="exact"/>
        <w:ind w:firstLine="482"/>
        <w:jc w:val="center"/>
        <w:rPr>
          <w:b/>
        </w:rPr>
      </w:pPr>
      <w:r>
        <w:rPr>
          <w:rFonts w:hint="eastAsia"/>
          <w:b/>
          <w:kern w:val="2"/>
        </w:rPr>
        <w:t>2017年全国轨道交通信号控制系统设计与应用行业赛现场</w:t>
      </w:r>
    </w:p>
    <w:p>
      <w:pPr>
        <w:pStyle w:val="25"/>
        <w:spacing w:line="560" w:lineRule="exact"/>
        <w:ind w:firstLine="600"/>
        <w:jc w:val="both"/>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2018年1月-4月，先后在湖南、安徽、山东、浙江、吉林、陕西、北京、河南、新疆、云南、黑龙江、贵州、福建、广东、</w:t>
      </w:r>
      <w:r>
        <w:rPr>
          <w:rFonts w:ascii="仿宋_GB2312" w:hAnsi="仿宋_GB2312" w:eastAsia="仿宋_GB2312" w:cs="仿宋_GB2312"/>
          <w:sz w:val="30"/>
          <w:szCs w:val="30"/>
        </w:rPr>
        <w:t>辽宁</w:t>
      </w:r>
      <w:r>
        <w:rPr>
          <w:rFonts w:hint="eastAsia" w:ascii="仿宋_GB2312" w:hAnsi="仿宋_GB2312" w:eastAsia="仿宋_GB2312" w:cs="仿宋_GB2312"/>
          <w:sz w:val="30"/>
          <w:szCs w:val="30"/>
        </w:rPr>
        <w:t>等地举办了轨道交通信号控制系统设计与应用赛项省/市赛、选拔赛，在比赛和训练期间，技术平台功能安全稳定可靠运行，各地赛项圆满举办！</w:t>
      </w:r>
    </w:p>
    <w:p>
      <w:pPr>
        <w:pStyle w:val="25"/>
        <w:ind w:firstLine="0" w:firstLineChars="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1770" cy="2395220"/>
            <wp:effectExtent l="0" t="0" r="5080" b="508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a:stretch>
                      <a:fillRect/>
                    </a:stretch>
                  </pic:blipFill>
                  <pic:spPr>
                    <a:xfrm>
                      <a:off x="0" y="0"/>
                      <a:ext cx="5271770" cy="2395220"/>
                    </a:xfrm>
                    <a:prstGeom prst="rect">
                      <a:avLst/>
                    </a:prstGeom>
                    <a:noFill/>
                    <a:ln w="9525">
                      <a:noFill/>
                    </a:ln>
                  </pic:spPr>
                </pic:pic>
              </a:graphicData>
            </a:graphic>
          </wp:inline>
        </w:drawing>
      </w:r>
    </w:p>
    <w:p>
      <w:pPr>
        <w:pStyle w:val="25"/>
        <w:spacing w:line="560" w:lineRule="exact"/>
        <w:ind w:firstLine="482"/>
        <w:jc w:val="center"/>
        <w:rPr>
          <w:b/>
          <w:kern w:val="2"/>
        </w:rPr>
      </w:pPr>
      <w:r>
        <w:rPr>
          <w:rFonts w:hint="eastAsia"/>
          <w:b/>
          <w:kern w:val="2"/>
        </w:rPr>
        <w:t>2018年1月湖南省轨道交通信号控制系统设计与应用大赛现场</w:t>
      </w:r>
    </w:p>
    <w:p>
      <w:pPr>
        <w:ind w:firstLine="0" w:firstLineChars="0"/>
        <w:jc w:val="center"/>
        <w:rPr>
          <w:rFonts w:ascii="仿宋_GB2312" w:hAnsi="仿宋_GB2312" w:eastAsia="仿宋_GB2312" w:cs="仿宋_GB2312"/>
          <w:b/>
          <w:sz w:val="30"/>
          <w:szCs w:val="30"/>
        </w:rPr>
      </w:pPr>
      <w:r>
        <w:rPr>
          <w:rFonts w:hint="eastAsia" w:ascii="仿宋_GB2312" w:hAnsi="仿宋_GB2312" w:eastAsia="仿宋_GB2312" w:cs="仿宋_GB2312"/>
          <w:sz w:val="30"/>
          <w:szCs w:val="30"/>
        </w:rPr>
        <w:drawing>
          <wp:inline distT="0" distB="0" distL="114300" distR="114300">
            <wp:extent cx="5269865" cy="3466465"/>
            <wp:effectExtent l="0" t="0" r="6985" b="635"/>
            <wp:docPr id="4" name="图片 4" descr="13424041846618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4240418466186718"/>
                    <pic:cNvPicPr>
                      <a:picLocks noChangeAspect="1"/>
                    </pic:cNvPicPr>
                  </pic:nvPicPr>
                  <pic:blipFill>
                    <a:blip r:embed="rId10"/>
                    <a:stretch>
                      <a:fillRect/>
                    </a:stretch>
                  </pic:blipFill>
                  <pic:spPr>
                    <a:xfrm>
                      <a:off x="0" y="0"/>
                      <a:ext cx="5269865" cy="3466465"/>
                    </a:xfrm>
                    <a:prstGeom prst="rect">
                      <a:avLst/>
                    </a:prstGeom>
                  </pic:spPr>
                </pic:pic>
              </a:graphicData>
            </a:graphic>
          </wp:inline>
        </w:drawing>
      </w:r>
    </w:p>
    <w:p>
      <w:pPr>
        <w:pStyle w:val="25"/>
        <w:spacing w:line="560" w:lineRule="exact"/>
        <w:ind w:firstLine="482"/>
        <w:jc w:val="center"/>
        <w:rPr>
          <w:b/>
        </w:rPr>
      </w:pPr>
      <w:r>
        <w:rPr>
          <w:rFonts w:hint="eastAsia"/>
          <w:b/>
          <w:kern w:val="2"/>
        </w:rPr>
        <w:t>2018年3月福建省轨道交通信号控制系统设计与应用大赛现场</w:t>
      </w:r>
    </w:p>
    <w:p>
      <w:pPr>
        <w:pStyle w:val="25"/>
        <w:ind w:firstLine="0" w:firstLineChars="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4792980" cy="3195320"/>
            <wp:effectExtent l="0" t="0" r="7620" b="5080"/>
            <wp:docPr id="3" name="图片 3" descr="41540278255419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15402782554190050"/>
                    <pic:cNvPicPr>
                      <a:picLocks noChangeAspect="1"/>
                    </pic:cNvPicPr>
                  </pic:nvPicPr>
                  <pic:blipFill>
                    <a:blip r:embed="rId11"/>
                    <a:stretch>
                      <a:fillRect/>
                    </a:stretch>
                  </pic:blipFill>
                  <pic:spPr>
                    <a:xfrm>
                      <a:off x="0" y="0"/>
                      <a:ext cx="4792980" cy="3195320"/>
                    </a:xfrm>
                    <a:prstGeom prst="rect">
                      <a:avLst/>
                    </a:prstGeom>
                  </pic:spPr>
                </pic:pic>
              </a:graphicData>
            </a:graphic>
          </wp:inline>
        </w:drawing>
      </w:r>
    </w:p>
    <w:p>
      <w:pPr>
        <w:spacing w:line="560" w:lineRule="exact"/>
        <w:ind w:firstLine="0" w:firstLineChars="0"/>
        <w:jc w:val="center"/>
        <w:rPr>
          <w:rFonts w:ascii="宋体" w:hAnsi="宋体" w:cs="宋体"/>
          <w:b/>
        </w:rPr>
      </w:pPr>
      <w:r>
        <w:rPr>
          <w:rFonts w:hint="eastAsia" w:ascii="宋体" w:hAnsi="宋体" w:cs="宋体"/>
          <w:b/>
        </w:rPr>
        <w:t>2018年4月陕西省轨道交通信号控制系统设计与应用大赛现场</w:t>
      </w:r>
    </w:p>
    <w:p>
      <w:pPr>
        <w:pStyle w:val="25"/>
        <w:ind w:firstLine="0" w:firstLineChars="0"/>
        <w:jc w:val="center"/>
        <w:rPr>
          <w:rFonts w:ascii="仿宋_GB2312" w:hAnsi="仿宋_GB2312" w:eastAsia="仿宋_GB2312" w:cs="仿宋_GB2312"/>
          <w:sz w:val="30"/>
          <w:szCs w:val="30"/>
        </w:rPr>
      </w:pPr>
    </w:p>
    <w:p>
      <w:pPr>
        <w:pStyle w:val="25"/>
        <w:ind w:firstLine="0" w:firstLineChars="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4800600" cy="3200400"/>
            <wp:effectExtent l="0" t="0" r="0" b="0"/>
            <wp:docPr id="5" name="图片 5" descr="31840359353940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8403593539403191"/>
                    <pic:cNvPicPr>
                      <a:picLocks noChangeAspect="1"/>
                    </pic:cNvPicPr>
                  </pic:nvPicPr>
                  <pic:blipFill>
                    <a:blip r:embed="rId12"/>
                    <a:stretch>
                      <a:fillRect/>
                    </a:stretch>
                  </pic:blipFill>
                  <pic:spPr>
                    <a:xfrm>
                      <a:off x="0" y="0"/>
                      <a:ext cx="4800600" cy="3200400"/>
                    </a:xfrm>
                    <a:prstGeom prst="rect">
                      <a:avLst/>
                    </a:prstGeom>
                  </pic:spPr>
                </pic:pic>
              </a:graphicData>
            </a:graphic>
          </wp:inline>
        </w:drawing>
      </w:r>
    </w:p>
    <w:p>
      <w:pPr>
        <w:spacing w:line="560" w:lineRule="exact"/>
        <w:ind w:firstLine="0" w:firstLineChars="0"/>
        <w:jc w:val="center"/>
        <w:rPr>
          <w:rFonts w:ascii="宋体" w:hAnsi="宋体" w:cs="宋体"/>
          <w:b/>
        </w:rPr>
      </w:pPr>
      <w:r>
        <w:rPr>
          <w:rFonts w:hint="eastAsia" w:ascii="宋体" w:hAnsi="宋体" w:cs="宋体"/>
          <w:b/>
        </w:rPr>
        <w:t>2018年4月河南</w:t>
      </w:r>
      <w:r>
        <w:rPr>
          <w:rFonts w:ascii="宋体" w:hAnsi="宋体" w:cs="宋体"/>
          <w:b/>
        </w:rPr>
        <w:t>省</w:t>
      </w:r>
      <w:r>
        <w:rPr>
          <w:rFonts w:hint="eastAsia" w:ascii="宋体" w:hAnsi="宋体" w:cs="宋体"/>
          <w:b/>
        </w:rPr>
        <w:t>轨道交通信号控制系统设计与应用大赛现场</w:t>
      </w:r>
    </w:p>
    <w:p>
      <w:pPr>
        <w:pStyle w:val="25"/>
        <w:ind w:firstLine="0" w:firstLineChars="0"/>
        <w:jc w:val="center"/>
        <w:rPr>
          <w:rFonts w:ascii="仿宋_GB2312" w:hAnsi="仿宋_GB2312" w:eastAsia="仿宋_GB2312" w:cs="仿宋_GB2312"/>
          <w:sz w:val="30"/>
          <w:szCs w:val="30"/>
        </w:rPr>
      </w:pPr>
    </w:p>
    <w:p>
      <w:pPr>
        <w:pStyle w:val="25"/>
        <w:ind w:firstLine="0" w:firstLineChars="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4594860" cy="2795270"/>
            <wp:effectExtent l="0" t="0" r="0" b="508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3"/>
                    <a:stretch>
                      <a:fillRect/>
                    </a:stretch>
                  </pic:blipFill>
                  <pic:spPr>
                    <a:xfrm>
                      <a:off x="0" y="0"/>
                      <a:ext cx="4595817" cy="2796130"/>
                    </a:xfrm>
                    <a:prstGeom prst="rect">
                      <a:avLst/>
                    </a:prstGeom>
                    <a:noFill/>
                    <a:ln w="9525">
                      <a:noFill/>
                    </a:ln>
                  </pic:spPr>
                </pic:pic>
              </a:graphicData>
            </a:graphic>
          </wp:inline>
        </w:drawing>
      </w:r>
    </w:p>
    <w:p>
      <w:pPr>
        <w:spacing w:line="560" w:lineRule="exact"/>
        <w:ind w:firstLine="0" w:firstLineChars="0"/>
        <w:jc w:val="center"/>
        <w:rPr>
          <w:rFonts w:ascii="宋体" w:hAnsi="宋体" w:cs="宋体"/>
          <w:b/>
        </w:rPr>
      </w:pPr>
      <w:r>
        <w:rPr>
          <w:rFonts w:hint="eastAsia" w:ascii="宋体" w:hAnsi="宋体" w:cs="宋体"/>
          <w:b/>
        </w:rPr>
        <w:t>2018年4月广州省轨道交通信号控制系统设计与应用大赛现场</w:t>
      </w:r>
    </w:p>
    <w:p>
      <w:pPr>
        <w:pStyle w:val="25"/>
        <w:shd w:val="clear" w:color="auto" w:fill="FFFFFF"/>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2018年5月27日，全国职业院校技能大赛高职组轨道交通信号控制系统设计与应用赛项在吉林省吉林市隆重举行！来自全国24个省、市、自治区71所院校的213名选手同场竞技。来自俄罗斯、韩国、伊朗、肯尼亚等4个国家的60名外国学生前来观摩和体验比赛，并有多位信号专业领域专家、教师前来观摩，大赛期间零安全事故、零设备故障、零投诉！</w:t>
      </w:r>
    </w:p>
    <w:p>
      <w:pPr>
        <w:pStyle w:val="25"/>
        <w:shd w:val="clear" w:color="auto" w:fill="FFFFFF"/>
        <w:ind w:firstLine="0" w:firstLineChars="0"/>
        <w:jc w:val="center"/>
      </w:pPr>
      <w:r>
        <w:drawing>
          <wp:inline distT="0" distB="0" distL="114300" distR="114300">
            <wp:extent cx="5534025" cy="2903220"/>
            <wp:effectExtent l="0" t="0" r="9525" b="1143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4"/>
                    <a:srcRect l="161" t="1396" r="-161" b="11453"/>
                    <a:stretch>
                      <a:fillRect/>
                    </a:stretch>
                  </pic:blipFill>
                  <pic:spPr>
                    <a:xfrm>
                      <a:off x="0" y="0"/>
                      <a:ext cx="5534025" cy="2903220"/>
                    </a:xfrm>
                    <a:prstGeom prst="rect">
                      <a:avLst/>
                    </a:prstGeom>
                    <a:noFill/>
                    <a:ln w="9525">
                      <a:noFill/>
                    </a:ln>
                  </pic:spPr>
                </pic:pic>
              </a:graphicData>
            </a:graphic>
          </wp:inline>
        </w:drawing>
      </w:r>
    </w:p>
    <w:p>
      <w:pPr>
        <w:ind w:firstLine="482"/>
        <w:jc w:val="center"/>
        <w:rPr>
          <w:rFonts w:ascii="宋体" w:hAnsi="宋体" w:cs="宋体"/>
          <w:b/>
          <w:szCs w:val="30"/>
        </w:rPr>
      </w:pPr>
      <w:r>
        <w:rPr>
          <w:rFonts w:hint="eastAsia" w:ascii="宋体" w:hAnsi="宋体" w:cs="宋体"/>
          <w:b/>
          <w:szCs w:val="30"/>
        </w:rPr>
        <w:t>2018年5月全国职业院校技能大赛现场</w:t>
      </w:r>
    </w:p>
    <w:p>
      <w:pPr>
        <w:pStyle w:val="25"/>
        <w:shd w:val="clear" w:color="auto" w:fill="FFFFFF"/>
        <w:ind w:firstLine="0" w:firstLineChars="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276850" cy="5838190"/>
            <wp:effectExtent l="0" t="0" r="0" b="10160"/>
            <wp:docPr id="13" name="图片 13" descr="75286901239214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52869012392147701"/>
                    <pic:cNvPicPr>
                      <a:picLocks noChangeAspect="1"/>
                    </pic:cNvPicPr>
                  </pic:nvPicPr>
                  <pic:blipFill>
                    <a:blip r:embed="rId15"/>
                    <a:stretch>
                      <a:fillRect/>
                    </a:stretch>
                  </pic:blipFill>
                  <pic:spPr>
                    <a:xfrm>
                      <a:off x="0" y="0"/>
                      <a:ext cx="5276850" cy="5838190"/>
                    </a:xfrm>
                    <a:prstGeom prst="rect">
                      <a:avLst/>
                    </a:prstGeom>
                  </pic:spPr>
                </pic:pic>
              </a:graphicData>
            </a:graphic>
          </wp:inline>
        </w:drawing>
      </w:r>
    </w:p>
    <w:p>
      <w:pPr>
        <w:spacing w:line="560" w:lineRule="exact"/>
        <w:ind w:firstLine="482"/>
        <w:jc w:val="center"/>
        <w:rPr>
          <w:rFonts w:ascii="宋体" w:hAnsi="宋体" w:cs="宋体"/>
          <w:b/>
        </w:rPr>
      </w:pPr>
      <w:r>
        <w:rPr>
          <w:rFonts w:hint="eastAsia" w:ascii="宋体" w:hAnsi="宋体" w:cs="宋体"/>
          <w:b/>
        </w:rPr>
        <w:t>国际院校观摩和体验比赛</w:t>
      </w:r>
    </w:p>
    <w:p>
      <w:pPr>
        <w:pStyle w:val="25"/>
        <w:shd w:val="clear" w:color="auto" w:fill="FFFFFF"/>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该竞赛平台采用行业应用级别产品，通过领先的技术实力和优异的产品及服务质量，在同行业领域处于领先地位。平台中涉及的列控中心系统具备与真实列控中心相同的核心逻辑功能、接口标准和数据传输频率。轨道电路移频设备符合与真实设备相同的接口标准、实现与真实设备相同的核心逻辑功能、故障现象等。而列控中心和轨道电路是铁路信号中必不可少的信号设备。本系统具有客用专线铁路相关信号系统的功能逻辑。</w:t>
      </w:r>
    </w:p>
    <w:p>
      <w:pPr>
        <w:pStyle w:val="25"/>
        <w:shd w:val="clear" w:color="auto" w:fill="FFFFFF"/>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该竞赛平台通过领先的技术实力和优异的产品及服务质量，在同行业领域中建立了稳固的市场地位，并树立了良好的服务品牌。目前在湖南、安徽、山东、浙江、吉林、陕西、北京、河南、新疆、云南、黑龙江、贵州、福建、广东、</w:t>
      </w:r>
      <w:r>
        <w:rPr>
          <w:rFonts w:ascii="仿宋_GB2312" w:hAnsi="仿宋_GB2312" w:eastAsia="仿宋_GB2312" w:cs="仿宋_GB2312"/>
          <w:sz w:val="30"/>
          <w:szCs w:val="30"/>
        </w:rPr>
        <w:t>辽宁、</w:t>
      </w:r>
      <w:r>
        <w:rPr>
          <w:rFonts w:hint="eastAsia" w:ascii="仿宋_GB2312" w:hAnsi="仿宋_GB2312" w:eastAsia="仿宋_GB2312" w:cs="仿宋_GB2312"/>
          <w:sz w:val="30"/>
          <w:szCs w:val="30"/>
        </w:rPr>
        <w:t>江苏、</w:t>
      </w:r>
      <w:r>
        <w:rPr>
          <w:rFonts w:ascii="仿宋_GB2312" w:hAnsi="仿宋_GB2312" w:eastAsia="仿宋_GB2312" w:cs="仿宋_GB2312"/>
          <w:sz w:val="30"/>
          <w:szCs w:val="30"/>
        </w:rPr>
        <w:t>四川、</w:t>
      </w:r>
      <w:r>
        <w:rPr>
          <w:rFonts w:hint="eastAsia" w:ascii="仿宋_GB2312" w:hAnsi="仿宋_GB2312" w:eastAsia="仿宋_GB2312" w:cs="仿宋_GB2312"/>
          <w:sz w:val="30"/>
          <w:szCs w:val="30"/>
        </w:rPr>
        <w:t>山西</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江西</w:t>
      </w:r>
      <w:r>
        <w:rPr>
          <w:rFonts w:ascii="仿宋_GB2312" w:hAnsi="仿宋_GB2312" w:eastAsia="仿宋_GB2312" w:cs="仿宋_GB2312"/>
          <w:sz w:val="30"/>
          <w:szCs w:val="30"/>
        </w:rPr>
        <w:t>、内蒙古</w:t>
      </w:r>
      <w:r>
        <w:rPr>
          <w:rFonts w:hint="eastAsia" w:ascii="仿宋_GB2312" w:hAnsi="仿宋_GB2312" w:eastAsia="仿宋_GB2312" w:cs="仿宋_GB2312"/>
          <w:sz w:val="30"/>
          <w:szCs w:val="30"/>
        </w:rPr>
        <w:t>等省市的职业院校中得到广泛使用。</w:t>
      </w:r>
    </w:p>
    <w:p>
      <w:pPr>
        <w:pStyle w:val="2"/>
        <w:spacing w:line="560" w:lineRule="exact"/>
        <w:rPr>
          <w:rFonts w:ascii="黑体" w:hAnsi="黑体" w:eastAsia="黑体" w:cs="黑体"/>
          <w:b w:val="0"/>
          <w:bCs w:val="0"/>
          <w:sz w:val="30"/>
          <w:szCs w:val="30"/>
        </w:rPr>
      </w:pPr>
      <w:bookmarkStart w:id="24" w:name="_Toc19277"/>
      <w:bookmarkStart w:id="25" w:name="_Toc491101524"/>
      <w:r>
        <w:rPr>
          <w:rFonts w:hint="eastAsia" w:ascii="黑体" w:hAnsi="黑体" w:eastAsia="黑体" w:cs="黑体"/>
          <w:b w:val="0"/>
          <w:bCs w:val="0"/>
          <w:sz w:val="30"/>
          <w:szCs w:val="30"/>
        </w:rPr>
        <w:t>赛项方案的特色与创新点</w:t>
      </w:r>
      <w:bookmarkEnd w:id="24"/>
      <w:bookmarkEnd w:id="25"/>
    </w:p>
    <w:p>
      <w:pPr>
        <w:pStyle w:val="3"/>
        <w:spacing w:before="163" w:line="560" w:lineRule="exact"/>
        <w:rPr>
          <w:rFonts w:ascii="仿宋_GB2312" w:hAnsi="仿宋_GB2312" w:eastAsia="仿宋_GB2312" w:cs="仿宋_GB2312"/>
          <w:b w:val="0"/>
          <w:bCs w:val="0"/>
        </w:rPr>
      </w:pPr>
      <w:bookmarkStart w:id="26" w:name="_Toc491101525"/>
      <w:bookmarkStart w:id="27" w:name="_Toc10125"/>
      <w:r>
        <w:rPr>
          <w:rFonts w:hint="eastAsia" w:ascii="仿宋_GB2312" w:hAnsi="仿宋_GB2312" w:eastAsia="仿宋_GB2312" w:cs="仿宋_GB2312"/>
          <w:b w:val="0"/>
          <w:bCs w:val="0"/>
        </w:rPr>
        <w:t>比赛内容全面涵盖关键技术点</w:t>
      </w:r>
      <w:bookmarkEnd w:id="26"/>
      <w:bookmarkEnd w:id="27"/>
    </w:p>
    <w:p>
      <w:pPr>
        <w:spacing w:line="560" w:lineRule="exact"/>
        <w:ind w:firstLine="600"/>
        <w:rPr>
          <w:rFonts w:ascii="仿宋_GB2312" w:hAnsi="仿宋_GB2312" w:eastAsia="仿宋_GB2312" w:cs="仿宋_GB2312"/>
          <w:b/>
          <w:kern w:val="0"/>
          <w:sz w:val="30"/>
          <w:szCs w:val="30"/>
        </w:rPr>
      </w:pPr>
      <w:r>
        <w:rPr>
          <w:rFonts w:hint="eastAsia" w:ascii="仿宋_GB2312" w:hAnsi="仿宋_GB2312" w:eastAsia="仿宋_GB2312" w:cs="仿宋_GB2312"/>
          <w:kern w:val="0"/>
          <w:sz w:val="30"/>
          <w:szCs w:val="30"/>
        </w:rPr>
        <w:t>本竞赛对接国家战略，在内容上以轨道交通中的高速铁路信号控制系统为背景，涵盖铁路信号工岗位技能、体现信号工程项目特色、引领专业教学改革。竞赛内容与实际信号系统一致，根据真实信号工程需求设计相关信号设备、操作标准</w:t>
      </w:r>
      <w:r>
        <w:rPr>
          <w:rFonts w:hint="eastAsia" w:ascii="仿宋_GB2312" w:hAnsi="仿宋_GB2312" w:eastAsia="仿宋_GB2312" w:cs="仿宋_GB2312"/>
          <w:b/>
          <w:kern w:val="0"/>
          <w:sz w:val="30"/>
          <w:szCs w:val="30"/>
        </w:rPr>
        <w:t>。</w:t>
      </w:r>
      <w:r>
        <w:rPr>
          <w:rFonts w:hint="eastAsia" w:ascii="仿宋_GB2312" w:hAnsi="仿宋_GB2312" w:eastAsia="仿宋_GB2312" w:cs="仿宋_GB2312"/>
          <w:kern w:val="0"/>
          <w:sz w:val="30"/>
          <w:szCs w:val="30"/>
        </w:rPr>
        <w:t>评判标准按照信号工程项目验收规范进行。实现了赛项与企业工作任务对接。</w:t>
      </w:r>
    </w:p>
    <w:p>
      <w:pPr>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考核学生对信号系统逻辑设计与配置、信号控制系统安装部署、信号控制系统故障原因分析追查、信号控制系统综合应用、智能监控辅助系统开发、操作规范等六个环节所要求的全部专业知识和技术应用能力。</w:t>
      </w:r>
    </w:p>
    <w:p>
      <w:pPr>
        <w:pStyle w:val="3"/>
        <w:spacing w:before="163" w:line="560" w:lineRule="exact"/>
        <w:rPr>
          <w:rFonts w:ascii="仿宋_GB2312" w:hAnsi="仿宋_GB2312" w:eastAsia="仿宋_GB2312" w:cs="仿宋_GB2312"/>
          <w:b w:val="0"/>
          <w:bCs w:val="0"/>
        </w:rPr>
      </w:pPr>
      <w:bookmarkStart w:id="28" w:name="_Toc491101527"/>
      <w:bookmarkStart w:id="29" w:name="_Toc21925"/>
      <w:r>
        <w:rPr>
          <w:rFonts w:hint="eastAsia" w:ascii="仿宋_GB2312" w:hAnsi="仿宋_GB2312" w:eastAsia="仿宋_GB2312" w:cs="仿宋_GB2312"/>
          <w:b w:val="0"/>
          <w:bCs w:val="0"/>
        </w:rPr>
        <w:t>竞赛结果评判方式公平公开公正</w:t>
      </w:r>
    </w:p>
    <w:p>
      <w:pPr>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本次竞赛所涉及的试题评分标准实现客观化90%以上，通过截图、视频等形式进行客观评判，保证评判公平、公正。另外赛事全程视频监控，为竞赛选手搭建起公平竞争的平台，为职业技能创新型人才培养创造条件。</w:t>
      </w:r>
    </w:p>
    <w:p>
      <w:pPr>
        <w:pStyle w:val="3"/>
        <w:spacing w:before="163" w:line="560" w:lineRule="exact"/>
        <w:rPr>
          <w:rFonts w:ascii="仿宋_GB2312" w:hAnsi="仿宋_GB2312" w:eastAsia="仿宋_GB2312" w:cs="仿宋_GB2312"/>
          <w:b w:val="0"/>
          <w:bCs w:val="0"/>
        </w:rPr>
      </w:pPr>
      <w:r>
        <w:rPr>
          <w:rFonts w:hint="eastAsia" w:ascii="仿宋_GB2312" w:hAnsi="仿宋_GB2312" w:eastAsia="仿宋_GB2312" w:cs="仿宋_GB2312"/>
          <w:b w:val="0"/>
          <w:bCs w:val="0"/>
        </w:rPr>
        <w:t>竞赛过程贴近工程实践</w:t>
      </w:r>
      <w:bookmarkEnd w:id="28"/>
      <w:bookmarkEnd w:id="29"/>
    </w:p>
    <w:p>
      <w:pPr>
        <w:snapToGrid w:val="0"/>
        <w:spacing w:line="560" w:lineRule="exact"/>
        <w:ind w:firstLine="720" w:firstLineChars="240"/>
        <w:rPr>
          <w:rFonts w:ascii="仿宋_GB2312" w:hAnsi="仿宋_GB2312" w:eastAsia="仿宋_GB2312" w:cs="仿宋_GB2312"/>
          <w:sz w:val="30"/>
          <w:szCs w:val="30"/>
        </w:rPr>
      </w:pPr>
      <w:r>
        <w:rPr>
          <w:rFonts w:hint="eastAsia" w:ascii="仿宋_GB2312" w:hAnsi="仿宋_GB2312" w:eastAsia="仿宋_GB2312" w:cs="仿宋_GB2312"/>
          <w:kern w:val="0"/>
          <w:sz w:val="30"/>
          <w:szCs w:val="30"/>
        </w:rPr>
        <w:t>本竞赛环境与实际应用场景相近，使比赛内容更加直观、形象、真实，赛项内容设置着重突出对选手通信信号方向</w:t>
      </w:r>
      <w:r>
        <w:rPr>
          <w:rFonts w:hint="eastAsia" w:ascii="仿宋_GB2312" w:hAnsi="仿宋_GB2312" w:eastAsia="仿宋_GB2312" w:cs="仿宋_GB2312"/>
          <w:sz w:val="30"/>
          <w:szCs w:val="30"/>
        </w:rPr>
        <w:t>实践与创新能力</w:t>
      </w:r>
      <w:r>
        <w:rPr>
          <w:rFonts w:hint="eastAsia" w:ascii="仿宋_GB2312" w:hAnsi="仿宋_GB2312" w:eastAsia="仿宋_GB2312" w:cs="仿宋_GB2312"/>
          <w:kern w:val="0"/>
          <w:sz w:val="30"/>
          <w:szCs w:val="30"/>
        </w:rPr>
        <w:t>的考查和锻炼，通过准备并参加本赛项，将使学生获得极大的职业技能锻炼和提升，具备职业创新意识，这些经验积累将为参赛学生就业后能够迅速投入到实际岗位工作中奠定坚实的职业技能基础。</w:t>
      </w:r>
    </w:p>
    <w:p>
      <w:pPr>
        <w:pStyle w:val="3"/>
        <w:spacing w:before="163" w:line="560" w:lineRule="exact"/>
        <w:rPr>
          <w:rFonts w:ascii="仿宋_GB2312" w:hAnsi="仿宋_GB2312" w:eastAsia="仿宋_GB2312" w:cs="仿宋_GB2312"/>
          <w:b w:val="0"/>
          <w:bCs w:val="0"/>
        </w:rPr>
      </w:pPr>
      <w:bookmarkStart w:id="30" w:name="_Toc491101528"/>
      <w:bookmarkStart w:id="31" w:name="_Toc7272"/>
      <w:r>
        <w:rPr>
          <w:rFonts w:hint="eastAsia" w:ascii="仿宋_GB2312" w:hAnsi="仿宋_GB2312" w:eastAsia="仿宋_GB2312" w:cs="仿宋_GB2312"/>
          <w:b w:val="0"/>
          <w:bCs w:val="0"/>
        </w:rPr>
        <w:t>竞赛资源转化</w:t>
      </w:r>
      <w:bookmarkEnd w:id="30"/>
      <w:bookmarkEnd w:id="31"/>
    </w:p>
    <w:p>
      <w:pPr>
        <w:pStyle w:val="42"/>
        <w:spacing w:line="560" w:lineRule="exact"/>
        <w:ind w:firstLine="600" w:firstLineChars="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本次竞赛秉承“以赛促学、以赛促教”的宗旨，在比赛前、比赛后采用竞赛资源转化研讨、专业人才培养研讨等多种活动引导专业教育教学改革。</w:t>
      </w:r>
    </w:p>
    <w:p>
      <w:pPr>
        <w:pStyle w:val="68"/>
        <w:numPr>
          <w:ilvl w:val="0"/>
          <w:numId w:val="4"/>
        </w:num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已完成的赛项资源转化成果</w:t>
      </w:r>
    </w:p>
    <w:p>
      <w:pPr>
        <w:pStyle w:val="42"/>
        <w:spacing w:line="560" w:lineRule="exact"/>
        <w:ind w:firstLine="600" w:firstLineChars="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本竞赛项目已经在山东省、安徽省、陕西省、吉林省等组织过相关的比赛，且在2018年成功举办了全国职业技能大赛，已经有了一定的竞赛资源库。资源库是采用云平台的形式，内容包括比赛试题，评分标准、比赛经验分享，比赛相关技术资料，行业技能锻炼资源等。可以通过云班课APP在移动终端上查看，非常方便。资源库对职业院校、技师类学校的学生、教师以及社会相关从业人员免费开放。</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kern w:val="0"/>
          <w:sz w:val="30"/>
          <w:szCs w:val="30"/>
        </w:rPr>
        <w:t>(2)赛项资源转化-轨道交通信号控制系统实训平台（大赛使用的技术平台）实验指导书已完成，实验指导书包含25个实验，通过开设与轨道交通信号控制系统相配套的实验项目，使学生能理论联系实践，系统地掌握轨道交通信号控制系统的核心知识，培养学生分析问题、解决问题的能力及良好的专业素质，提高学生实践动手能力，为学习后继专业课程及从事相关的专业技术工作奠定良好的基础。</w:t>
      </w:r>
    </w:p>
    <w:p>
      <w:pPr>
        <w:ind w:firstLine="600"/>
        <w:jc w:val="center"/>
        <w:rPr>
          <w:rFonts w:ascii="仿宋_GB2312" w:hAnsi="仿宋_GB2312" w:eastAsia="仿宋_GB2312" w:cs="仿宋_GB2312"/>
          <w:kern w:val="0"/>
          <w:sz w:val="30"/>
          <w:szCs w:val="30"/>
        </w:rPr>
      </w:pPr>
      <w:r>
        <w:rPr>
          <w:rFonts w:hint="eastAsia" w:ascii="仿宋_GB2312" w:hAnsi="仿宋_GB2312" w:eastAsia="仿宋_GB2312" w:cs="仿宋_GB2312"/>
          <w:sz w:val="30"/>
          <w:szCs w:val="30"/>
        </w:rPr>
        <w:drawing>
          <wp:inline distT="0" distB="0" distL="114300" distR="114300">
            <wp:extent cx="4975860" cy="3764280"/>
            <wp:effectExtent l="0" t="0" r="0" b="7620"/>
            <wp:docPr id="38" name="图片 38" descr="C:\Users\TYT\Desktop\企业微信截图_15336115209730.png企业微信截图_1533611520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TYT\Desktop\企业微信截图_15336115209730.png企业微信截图_15336115209730"/>
                    <pic:cNvPicPr>
                      <a:picLocks noChangeAspect="1" noChangeArrowheads="1"/>
                    </pic:cNvPicPr>
                  </pic:nvPicPr>
                  <pic:blipFill>
                    <a:blip r:embed="rId16"/>
                    <a:srcRect/>
                    <a:stretch>
                      <a:fillRect/>
                    </a:stretch>
                  </pic:blipFill>
                  <pic:spPr>
                    <a:xfrm>
                      <a:off x="0" y="0"/>
                      <a:ext cx="4978500" cy="3766657"/>
                    </a:xfrm>
                    <a:prstGeom prst="rect">
                      <a:avLst/>
                    </a:prstGeom>
                    <a:noFill/>
                    <a:ln>
                      <a:noFill/>
                    </a:ln>
                  </pic:spPr>
                </pic:pic>
              </a:graphicData>
            </a:graphic>
          </wp:inline>
        </w:drawing>
      </w:r>
      <w:r>
        <w:rPr>
          <w:rFonts w:hint="eastAsia" w:ascii="仿宋_GB2312" w:hAnsi="仿宋_GB2312" w:eastAsia="仿宋_GB2312" w:cs="仿宋_GB2312"/>
          <w:sz w:val="30"/>
          <w:szCs w:val="30"/>
        </w:rPr>
        <w:t>《轨道交通信号控制系统实训平台实验指导书》</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kern w:val="0"/>
          <w:sz w:val="30"/>
          <w:szCs w:val="30"/>
        </w:rPr>
        <w:t>(3)</w:t>
      </w:r>
      <w:r>
        <w:rPr>
          <w:rFonts w:hint="eastAsia" w:ascii="仿宋_GB2312" w:hAnsi="仿宋_GB2312" w:eastAsia="仿宋_GB2312" w:cs="仿宋_GB2312"/>
          <w:sz w:val="30"/>
          <w:szCs w:val="30"/>
        </w:rPr>
        <w:t>2018年在东北站（吉林省、黑龙江省、辽宁省、内蒙古自治区）、安徽等地组织了免费的轨道交通信号控制系统设计与应用相关技术师资培训，其中部分师资培训班照片如下：</w:t>
      </w:r>
    </w:p>
    <w:p>
      <w:pPr>
        <w:ind w:firstLine="0" w:firstLineChars="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0" distR="0">
            <wp:extent cx="5090160" cy="2847340"/>
            <wp:effectExtent l="0" t="0" r="0" b="0"/>
            <wp:docPr id="39" name="图片 39" descr="C:\Users\荼蘼\AppData\Local\Temp\WeChat Files\197783124755946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荼蘼\AppData\Local\Temp\WeChat Files\1977831247559465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93971" cy="2850014"/>
                    </a:xfrm>
                    <a:prstGeom prst="rect">
                      <a:avLst/>
                    </a:prstGeom>
                    <a:noFill/>
                    <a:ln>
                      <a:noFill/>
                    </a:ln>
                  </pic:spPr>
                </pic:pic>
              </a:graphicData>
            </a:graphic>
          </wp:inline>
        </w:drawing>
      </w:r>
    </w:p>
    <w:p>
      <w:pPr>
        <w:spacing w:line="560" w:lineRule="exact"/>
        <w:ind w:firstLine="482"/>
        <w:jc w:val="center"/>
        <w:rPr>
          <w:rFonts w:ascii="宋体" w:hAnsi="宋体" w:cs="宋体"/>
          <w:b/>
        </w:rPr>
      </w:pPr>
      <w:r>
        <w:rPr>
          <w:rFonts w:hint="eastAsia" w:ascii="宋体" w:hAnsi="宋体" w:cs="宋体"/>
          <w:b/>
        </w:rPr>
        <w:t>轨道交通信号控制系统设计与应用师资培训班（东北站）</w:t>
      </w:r>
    </w:p>
    <w:p>
      <w:pPr>
        <w:ind w:firstLine="482"/>
        <w:jc w:val="center"/>
        <w:rPr>
          <w:rFonts w:ascii="宋体" w:hAnsi="宋体" w:cs="宋体"/>
          <w:b/>
        </w:rPr>
      </w:pPr>
      <w:r>
        <w:rPr>
          <w:rFonts w:ascii="宋体" w:hAnsi="宋体" w:cs="宋体"/>
          <w:b/>
        </w:rPr>
        <w:drawing>
          <wp:inline distT="0" distB="0" distL="0" distR="0">
            <wp:extent cx="4961255" cy="1566545"/>
            <wp:effectExtent l="0" t="0" r="0" b="0"/>
            <wp:docPr id="14" name="图片 14" descr="C:\Users\ADMINI~1\AppData\Local\Temp\1534243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153424327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61255" cy="1566545"/>
                    </a:xfrm>
                    <a:prstGeom prst="rect">
                      <a:avLst/>
                    </a:prstGeom>
                    <a:noFill/>
                    <a:ln>
                      <a:noFill/>
                    </a:ln>
                  </pic:spPr>
                </pic:pic>
              </a:graphicData>
            </a:graphic>
          </wp:inline>
        </w:drawing>
      </w:r>
    </w:p>
    <w:p>
      <w:pPr>
        <w:spacing w:line="360" w:lineRule="auto"/>
        <w:jc w:val="center"/>
        <w:rPr>
          <w:rFonts w:ascii="微软雅黑" w:hAnsi="微软雅黑" w:eastAsia="微软雅黑" w:cs="宋体"/>
          <w:color w:val="000000" w:themeColor="text1"/>
          <w:kern w:val="0"/>
          <w14:textFill>
            <w14:solidFill>
              <w14:schemeClr w14:val="tx1"/>
            </w14:solidFill>
          </w14:textFill>
        </w:rPr>
      </w:pPr>
      <w:r>
        <w:rPr>
          <w:rFonts w:hint="eastAsia" w:ascii="微软雅黑" w:hAnsi="微软雅黑" w:eastAsia="微软雅黑" w:cs="宋体"/>
          <w:color w:val="000000" w:themeColor="text1"/>
          <w:kern w:val="0"/>
          <w14:textFill>
            <w14:solidFill>
              <w14:schemeClr w14:val="tx1"/>
            </w14:solidFill>
          </w14:textFill>
        </w:rPr>
        <w:t>轨道交通信号控制系统相关技术师资培训</w:t>
      </w:r>
    </w:p>
    <w:p>
      <w:pPr>
        <w:ind w:firstLine="0" w:firstLineChars="0"/>
        <w:rPr>
          <w:rFonts w:ascii="宋体" w:hAnsi="宋体" w:cs="宋体"/>
          <w:b/>
        </w:rPr>
      </w:pPr>
    </w:p>
    <w:p>
      <w:pPr>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(4)</w:t>
      </w:r>
      <w:r>
        <w:rPr>
          <w:rFonts w:hint="eastAsia" w:ascii="仿宋_GB2312" w:hAnsi="仿宋_GB2312" w:eastAsia="仿宋_GB2312" w:cs="仿宋_GB2312"/>
          <w:sz w:val="30"/>
          <w:szCs w:val="30"/>
        </w:rPr>
        <w:t>大赛引领专业建设与课程改革</w:t>
      </w:r>
    </w:p>
    <w:p>
      <w:pPr>
        <w:pStyle w:val="55"/>
        <w:spacing w:before="156" w:after="156" w:line="560" w:lineRule="exact"/>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大赛</w:t>
      </w:r>
      <w:r>
        <w:rPr>
          <w:rFonts w:ascii="仿宋_GB2312" w:hAnsi="仿宋_GB2312" w:eastAsia="仿宋_GB2312" w:cs="仿宋_GB2312"/>
          <w:sz w:val="30"/>
          <w:szCs w:val="30"/>
        </w:rPr>
        <w:t>参赛校</w:t>
      </w:r>
      <w:r>
        <w:rPr>
          <w:rFonts w:hint="eastAsia" w:ascii="仿宋_GB2312" w:hAnsi="仿宋_GB2312" w:eastAsia="仿宋_GB2312" w:cs="仿宋_GB2312"/>
          <w:sz w:val="30"/>
          <w:szCs w:val="30"/>
        </w:rPr>
        <w:t>依托大赛资源、大赛实训平台、轨道交通信号控制系统课程资源，积极探索专业建设及课程改革道路。</w:t>
      </w:r>
    </w:p>
    <w:p>
      <w:pPr>
        <w:pStyle w:val="55"/>
        <w:spacing w:before="156" w:after="156" w:line="560" w:lineRule="exact"/>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例如</w:t>
      </w:r>
      <w:r>
        <w:rPr>
          <w:rFonts w:ascii="仿宋_GB2312" w:hAnsi="仿宋_GB2312" w:eastAsia="仿宋_GB2312" w:cs="仿宋_GB2312"/>
          <w:sz w:val="30"/>
          <w:szCs w:val="30"/>
        </w:rPr>
        <w:t>：</w:t>
      </w:r>
      <w:r>
        <w:rPr>
          <w:rFonts w:hint="eastAsia" w:ascii="仿宋_GB2312" w:hAnsi="仿宋_GB2312" w:eastAsia="仿宋_GB2312" w:cs="仿宋_GB2312"/>
          <w:sz w:val="30"/>
          <w:szCs w:val="30"/>
        </w:rPr>
        <w:t>吉林铁道职业技术学院通过职业技能大赛，建立了吉铁友道-轨道交通信号控制系统产教融合实训基地，基地分成三个区域：列车运行控制系统实训区，车站信号及联锁系统实训区，信号基础实训区，按照铁路行业标准，使用高铁主流信号系统，实现站内、区间信号一体，室内室外信号互联，计算机联锁、列控中心系统联动，完成地面信号传输的完整过程实训。通过全国职业技能大赛推动实践教学发展，以大赛为出发点，丰富院校实践教学案例、推动课程体系创新改革，实现产学融合赛教一体。</w:t>
      </w:r>
    </w:p>
    <w:p>
      <w:pPr>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w:t>
      </w:r>
      <w:r>
        <w:rPr>
          <w:rFonts w:ascii="仿宋_GB2312" w:hAnsi="仿宋_GB2312" w:eastAsia="仿宋_GB2312" w:cs="仿宋_GB2312"/>
          <w:kern w:val="0"/>
          <w:sz w:val="30"/>
          <w:szCs w:val="30"/>
        </w:rPr>
        <w:t>5</w:t>
      </w:r>
      <w:r>
        <w:rPr>
          <w:rFonts w:hint="eastAsia" w:ascii="仿宋_GB2312" w:hAnsi="仿宋_GB2312" w:eastAsia="仿宋_GB2312" w:cs="仿宋_GB2312"/>
          <w:kern w:val="0"/>
          <w:sz w:val="30"/>
          <w:szCs w:val="30"/>
        </w:rPr>
        <w:t>）积极通过各种媒体进行大赛宣传</w:t>
      </w:r>
    </w:p>
    <w:p>
      <w:pPr>
        <w:spacing w:after="100" w:afterAutospacing="1" w:line="36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积极通过中国教育电视台、各地卫视台、新闻媒体网站等渠道与方式，对大赛进行宣传，扩大赛事影响力。部分新闻报道如下：</w:t>
      </w:r>
    </w:p>
    <w:p>
      <w:pPr>
        <w:spacing w:after="100" w:afterAutospacing="1" w:line="360" w:lineRule="auto"/>
        <w:ind w:firstLine="600"/>
        <w:rPr>
          <w:rFonts w:ascii="仿宋_GB2312" w:hAnsi="仿宋_GB2312" w:eastAsia="仿宋_GB2312" w:cs="仿宋_GB2312"/>
          <w:sz w:val="30"/>
          <w:szCs w:val="30"/>
        </w:rPr>
      </w:pPr>
      <w:r>
        <w:rPr>
          <w:rFonts w:ascii="仿宋_GB2312" w:hAnsi="仿宋_GB2312" w:eastAsia="仿宋_GB2312" w:cs="仿宋_GB2312"/>
          <w:sz w:val="30"/>
          <w:szCs w:val="30"/>
        </w:rPr>
        <w:t>赛项执委会</w:t>
      </w:r>
      <w:r>
        <w:rPr>
          <w:rFonts w:hint="eastAsia" w:ascii="仿宋_GB2312" w:hAnsi="仿宋_GB2312" w:eastAsia="仿宋_GB2312" w:cs="仿宋_GB2312"/>
          <w:sz w:val="30"/>
          <w:szCs w:val="30"/>
        </w:rPr>
        <w:t>牵头联合</w:t>
      </w:r>
      <w:r>
        <w:rPr>
          <w:rFonts w:ascii="仿宋_GB2312" w:hAnsi="仿宋_GB2312" w:eastAsia="仿宋_GB2312" w:cs="仿宋_GB2312"/>
          <w:sz w:val="30"/>
          <w:szCs w:val="30"/>
        </w:rPr>
        <w:t>多个赛项组织</w:t>
      </w:r>
      <w:r>
        <w:rPr>
          <w:rFonts w:hint="eastAsia" w:ascii="仿宋_GB2312" w:hAnsi="仿宋_GB2312" w:eastAsia="仿宋_GB2312" w:cs="仿宋_GB2312"/>
          <w:sz w:val="30"/>
          <w:szCs w:val="30"/>
        </w:rPr>
        <w:t>赛项宣传</w:t>
      </w:r>
      <w:r>
        <w:rPr>
          <w:rFonts w:ascii="仿宋_GB2312" w:hAnsi="仿宋_GB2312" w:eastAsia="仿宋_GB2312" w:cs="仿宋_GB2312"/>
          <w:sz w:val="30"/>
          <w:szCs w:val="30"/>
        </w:rPr>
        <w:t>材料，</w:t>
      </w:r>
      <w:r>
        <w:rPr>
          <w:rFonts w:hint="eastAsia" w:ascii="仿宋_GB2312" w:hAnsi="仿宋_GB2312" w:eastAsia="仿宋_GB2312" w:cs="仿宋_GB2312"/>
          <w:sz w:val="30"/>
          <w:szCs w:val="30"/>
        </w:rPr>
        <w:t>积极</w:t>
      </w:r>
      <w:r>
        <w:rPr>
          <w:rFonts w:ascii="仿宋_GB2312" w:hAnsi="仿宋_GB2312" w:eastAsia="仿宋_GB2312" w:cs="仿宋_GB2312"/>
          <w:sz w:val="30"/>
          <w:szCs w:val="30"/>
        </w:rPr>
        <w:t>宣传大赛</w:t>
      </w:r>
      <w:r>
        <w:rPr>
          <w:rFonts w:hint="eastAsia" w:ascii="仿宋_GB2312" w:hAnsi="仿宋_GB2312" w:eastAsia="仿宋_GB2312" w:cs="仿宋_GB2312"/>
          <w:sz w:val="30"/>
          <w:szCs w:val="30"/>
        </w:rPr>
        <w:t>。8月12日中国教育电视台《少年工匠》首次将国赛搬上荧幕，报道了职业院校技能大赛的盛况，让更多人通过电视画面了解国赛。</w:t>
      </w:r>
    </w:p>
    <w:p>
      <w:pPr>
        <w:spacing w:after="100" w:afterAutospacing="1" w:line="360" w:lineRule="auto"/>
        <w:ind w:firstLine="600"/>
        <w:rPr>
          <w:rFonts w:ascii="仿宋_GB2312" w:hAnsi="仿宋_GB2312" w:eastAsia="仿宋_GB2312" w:cs="仿宋_GB2312"/>
          <w:kern w:val="0"/>
          <w:sz w:val="30"/>
          <w:szCs w:val="30"/>
        </w:rPr>
      </w:pPr>
      <w:r>
        <w:rPr>
          <w:rFonts w:ascii="仿宋_GB2312" w:hAnsi="仿宋_GB2312" w:eastAsia="仿宋_GB2312" w:cs="仿宋_GB2312"/>
          <w:kern w:val="0"/>
          <w:sz w:val="30"/>
          <w:szCs w:val="30"/>
        </w:rPr>
        <w:drawing>
          <wp:inline distT="0" distB="0" distL="0" distR="0">
            <wp:extent cx="5283200" cy="2757805"/>
            <wp:effectExtent l="0" t="0" r="0" b="4445"/>
            <wp:docPr id="7" name="图片 7" descr="C:\Users\ADMINI~1\AppData\Local\Temp\企业微信截图_15341455468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企业微信截图_1534145546876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11614" cy="2772651"/>
                    </a:xfrm>
                    <a:prstGeom prst="rect">
                      <a:avLst/>
                    </a:prstGeom>
                    <a:noFill/>
                    <a:ln>
                      <a:noFill/>
                    </a:ln>
                  </pic:spPr>
                </pic:pic>
              </a:graphicData>
            </a:graphic>
          </wp:inline>
        </w:drawing>
      </w:r>
    </w:p>
    <w:p>
      <w:pPr>
        <w:spacing w:after="100" w:afterAutospacing="1" w:line="360" w:lineRule="auto"/>
        <w:jc w:val="center"/>
        <w:rPr>
          <w:rFonts w:ascii="仿宋_GB2312" w:hAnsi="宋体" w:eastAsia="仿宋_GB2312"/>
          <w:b/>
        </w:rPr>
      </w:pPr>
      <w:r>
        <w:rPr>
          <w:rFonts w:ascii="仿宋_GB2312" w:hAnsi="宋体" w:eastAsia="仿宋_GB2312"/>
          <w:b/>
        </w:rPr>
        <w:drawing>
          <wp:inline distT="0" distB="0" distL="0" distR="0">
            <wp:extent cx="5316855" cy="3470910"/>
            <wp:effectExtent l="0" t="0" r="0" b="0"/>
            <wp:docPr id="8" name="图片 8" descr="C:\Users\ADMINI~1\AppData\Local\Temp\WeChat Files\40659864891403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4065986489140314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26928" cy="3477782"/>
                    </a:xfrm>
                    <a:prstGeom prst="rect">
                      <a:avLst/>
                    </a:prstGeom>
                    <a:noFill/>
                    <a:ln>
                      <a:noFill/>
                    </a:ln>
                  </pic:spPr>
                </pic:pic>
              </a:graphicData>
            </a:graphic>
          </wp:inline>
        </w:drawing>
      </w:r>
    </w:p>
    <w:p>
      <w:pPr>
        <w:spacing w:after="100" w:afterAutospacing="1" w:line="360" w:lineRule="auto"/>
        <w:ind w:firstLine="6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直播画面截取</w:t>
      </w:r>
    </w:p>
    <w:p>
      <w:pPr>
        <w:spacing w:after="100" w:afterAutospacing="1" w:line="360" w:lineRule="auto"/>
        <w:jc w:val="center"/>
        <w:rPr>
          <w:rFonts w:ascii="仿宋_GB2312" w:hAnsi="仿宋_GB2312" w:eastAsia="仿宋_GB2312" w:cs="仿宋_GB2312"/>
          <w:sz w:val="30"/>
          <w:szCs w:val="30"/>
        </w:rPr>
      </w:pPr>
      <w:r>
        <w:drawing>
          <wp:inline distT="0" distB="0" distL="0" distR="0">
            <wp:extent cx="4871720" cy="3442970"/>
            <wp:effectExtent l="0" t="0" r="508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4874639" cy="3444881"/>
                    </a:xfrm>
                    <a:prstGeom prst="rect">
                      <a:avLst/>
                    </a:prstGeom>
                  </pic:spPr>
                </pic:pic>
              </a:graphicData>
            </a:graphic>
          </wp:inline>
        </w:drawing>
      </w:r>
    </w:p>
    <w:p>
      <w:pPr>
        <w:spacing w:after="100" w:afterAutospacing="1" w:line="360" w:lineRule="auto"/>
        <w:ind w:firstLine="6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其他新闻</w:t>
      </w:r>
      <w:r>
        <w:rPr>
          <w:rFonts w:ascii="仿宋_GB2312" w:hAnsi="仿宋_GB2312" w:eastAsia="仿宋_GB2312" w:cs="仿宋_GB2312"/>
          <w:sz w:val="30"/>
          <w:szCs w:val="30"/>
        </w:rPr>
        <w:t>媒体截图</w:t>
      </w:r>
    </w:p>
    <w:p>
      <w:pPr>
        <w:spacing w:after="100" w:afterAutospacing="1" w:line="360" w:lineRule="auto"/>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（6）组织10余次</w:t>
      </w:r>
      <w:r>
        <w:rPr>
          <w:rFonts w:ascii="仿宋_GB2312" w:hAnsi="仿宋_GB2312" w:eastAsia="仿宋_GB2312" w:cs="仿宋_GB2312"/>
          <w:sz w:val="30"/>
          <w:szCs w:val="30"/>
        </w:rPr>
        <w:t>专业研讨、论坛</w:t>
      </w:r>
      <w:r>
        <w:rPr>
          <w:rFonts w:hint="eastAsia" w:ascii="仿宋_GB2312" w:hAnsi="仿宋_GB2312" w:eastAsia="仿宋_GB2312" w:cs="仿宋_GB2312"/>
          <w:sz w:val="30"/>
          <w:szCs w:val="30"/>
        </w:rPr>
        <w:t>、</w:t>
      </w:r>
      <w:r>
        <w:rPr>
          <w:rFonts w:ascii="仿宋_GB2312" w:hAnsi="仿宋_GB2312" w:eastAsia="仿宋_GB2312" w:cs="仿宋_GB2312"/>
          <w:sz w:val="30"/>
          <w:szCs w:val="30"/>
        </w:rPr>
        <w:t>培训会，推动专业建设</w:t>
      </w:r>
    </w:p>
    <w:p>
      <w:pPr>
        <w:spacing w:after="100" w:afterAutospacing="1" w:line="360" w:lineRule="auto"/>
        <w:jc w:val="center"/>
        <w:rPr>
          <w:rFonts w:ascii="仿宋_GB2312" w:hAnsi="仿宋_GB2312" w:eastAsia="仿宋_GB2312" w:cs="仿宋_GB2312"/>
          <w:sz w:val="30"/>
          <w:szCs w:val="30"/>
        </w:rPr>
      </w:pPr>
      <w:r>
        <w:rPr>
          <w:rFonts w:ascii="微软雅黑" w:hAnsi="微软雅黑" w:eastAsia="微软雅黑"/>
        </w:rPr>
        <w:drawing>
          <wp:inline distT="0" distB="0" distL="0" distR="0">
            <wp:extent cx="4486910" cy="3184525"/>
            <wp:effectExtent l="0" t="0" r="8890" b="0"/>
            <wp:docPr id="28" name="图片 28" descr="C:\Users\Gavin\AppData\Local\Temp\WeChat Files\3f6213cab0846359a6ceaea08029f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Gavin\AppData\Local\Temp\WeChat Files\3f6213cab0846359a6ceaea08029f8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507687" cy="3198989"/>
                    </a:xfrm>
                    <a:prstGeom prst="rect">
                      <a:avLst/>
                    </a:prstGeom>
                    <a:noFill/>
                    <a:ln>
                      <a:noFill/>
                    </a:ln>
                  </pic:spPr>
                </pic:pic>
              </a:graphicData>
            </a:graphic>
          </wp:inline>
        </w:drawing>
      </w:r>
    </w:p>
    <w:p>
      <w:pPr>
        <w:spacing w:after="100" w:afterAutospacing="1" w:line="360" w:lineRule="auto"/>
        <w:ind w:firstLine="6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专业</w:t>
      </w:r>
      <w:r>
        <w:rPr>
          <w:rFonts w:ascii="仿宋_GB2312" w:hAnsi="仿宋_GB2312" w:eastAsia="仿宋_GB2312" w:cs="仿宋_GB2312"/>
          <w:sz w:val="30"/>
          <w:szCs w:val="30"/>
        </w:rPr>
        <w:t>技术国际交流</w:t>
      </w:r>
    </w:p>
    <w:p>
      <w:pPr>
        <w:spacing w:after="100" w:afterAutospacing="1" w:line="360" w:lineRule="auto"/>
        <w:ind w:firstLine="384" w:firstLineChars="160"/>
        <w:jc w:val="center"/>
        <w:rPr>
          <w:rFonts w:ascii="仿宋_GB2312" w:hAnsi="仿宋_GB2312" w:eastAsia="仿宋_GB2312" w:cs="仿宋_GB2312"/>
          <w:sz w:val="30"/>
          <w:szCs w:val="30"/>
        </w:rPr>
      </w:pPr>
      <w:r>
        <w:rPr>
          <w:rFonts w:ascii="微软雅黑" w:hAnsi="微软雅黑" w:eastAsia="微软雅黑" w:cs="宋体"/>
          <w:color w:val="000000" w:themeColor="text1"/>
          <w:kern w:val="0"/>
          <w14:textFill>
            <w14:solidFill>
              <w14:schemeClr w14:val="tx1"/>
            </w14:solidFill>
          </w14:textFill>
        </w:rPr>
        <w:drawing>
          <wp:inline distT="0" distB="0" distL="0" distR="0">
            <wp:extent cx="4156710" cy="3052445"/>
            <wp:effectExtent l="0" t="0" r="0" b="0"/>
            <wp:docPr id="32" name="图片 32" descr="C:\Users\Gavin\AppData\Local\Temp\WeChat Files\57c1f5ef251f9fa4be5058b9b7a6fd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Gavin\AppData\Local\Temp\WeChat Files\57c1f5ef251f9fa4be5058b9b7a6fd0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63501" cy="3057523"/>
                    </a:xfrm>
                    <a:prstGeom prst="rect">
                      <a:avLst/>
                    </a:prstGeom>
                    <a:noFill/>
                    <a:ln>
                      <a:noFill/>
                    </a:ln>
                  </pic:spPr>
                </pic:pic>
              </a:graphicData>
            </a:graphic>
          </wp:inline>
        </w:drawing>
      </w:r>
    </w:p>
    <w:p>
      <w:pPr>
        <w:spacing w:after="100" w:afterAutospacing="1" w:line="360" w:lineRule="auto"/>
        <w:ind w:firstLineChars="16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t>轨道交通通信</w:t>
      </w:r>
      <w:r>
        <w:rPr>
          <w:rFonts w:ascii="仿宋_GB2312" w:hAnsi="仿宋_GB2312" w:eastAsia="仿宋_GB2312" w:cs="仿宋_GB2312"/>
          <w:sz w:val="30"/>
          <w:szCs w:val="30"/>
        </w:rPr>
        <w:t>信号技术发展论坛</w:t>
      </w:r>
    </w:p>
    <w:p>
      <w:pPr>
        <w:jc w:val="center"/>
        <w:rPr>
          <w:rFonts w:ascii="微软雅黑" w:hAnsi="微软雅黑" w:eastAsia="微软雅黑" w:cs="宋体"/>
          <w:color w:val="000000" w:themeColor="text1"/>
          <w:kern w:val="0"/>
          <w14:textFill>
            <w14:solidFill>
              <w14:schemeClr w14:val="tx1"/>
            </w14:solidFill>
          </w14:textFill>
        </w:rPr>
      </w:pPr>
      <w:r>
        <w:rPr>
          <w:rFonts w:ascii="微软雅黑" w:hAnsi="微软雅黑" w:eastAsia="微软雅黑"/>
        </w:rPr>
        <w:drawing>
          <wp:inline distT="0" distB="0" distL="0" distR="0">
            <wp:extent cx="4258945" cy="4461510"/>
            <wp:effectExtent l="0" t="0" r="8255" b="0"/>
            <wp:docPr id="33" name="图片 33" descr="C:\Users\ADMINI~1\AppData\Local\Temp\15342347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153423479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60832" cy="4463700"/>
                    </a:xfrm>
                    <a:prstGeom prst="rect">
                      <a:avLst/>
                    </a:prstGeom>
                    <a:noFill/>
                    <a:ln>
                      <a:noFill/>
                    </a:ln>
                  </pic:spPr>
                </pic:pic>
              </a:graphicData>
            </a:graphic>
          </wp:inline>
        </w:drawing>
      </w:r>
    </w:p>
    <w:p>
      <w:pPr>
        <w:jc w:val="center"/>
        <w:rPr>
          <w:rFonts w:ascii="微软雅黑" w:hAnsi="微软雅黑" w:eastAsia="微软雅黑" w:cs="宋体"/>
          <w:b/>
          <w:color w:val="000000" w:themeColor="text1"/>
          <w:kern w:val="0"/>
          <w14:textFill>
            <w14:solidFill>
              <w14:schemeClr w14:val="tx1"/>
            </w14:solidFill>
          </w14:textFill>
        </w:rPr>
      </w:pPr>
      <w:r>
        <w:rPr>
          <w:rFonts w:hint="eastAsia" w:ascii="微软雅黑" w:hAnsi="微软雅黑" w:eastAsia="微软雅黑" w:cs="宋体"/>
          <w:b/>
          <w:color w:val="000000" w:themeColor="text1"/>
          <w:kern w:val="0"/>
          <w14:textFill>
            <w14:solidFill>
              <w14:schemeClr w14:val="tx1"/>
            </w14:solidFill>
          </w14:textFill>
        </w:rPr>
        <w:t>专业技术</w:t>
      </w:r>
      <w:r>
        <w:rPr>
          <w:rFonts w:ascii="微软雅黑" w:hAnsi="微软雅黑" w:eastAsia="微软雅黑" w:cs="宋体"/>
          <w:b/>
          <w:color w:val="000000" w:themeColor="text1"/>
          <w:kern w:val="0"/>
          <w14:textFill>
            <w14:solidFill>
              <w14:schemeClr w14:val="tx1"/>
            </w14:solidFill>
          </w14:textFill>
        </w:rPr>
        <w:t>交流培训会</w:t>
      </w:r>
    </w:p>
    <w:p>
      <w:pPr>
        <w:pStyle w:val="68"/>
        <w:spacing w:line="560" w:lineRule="exact"/>
        <w:rPr>
          <w:rFonts w:ascii="仿宋_GB2312" w:hAnsi="仿宋_GB2312" w:eastAsia="仿宋_GB2312" w:cs="仿宋_GB2312"/>
          <w:kern w:val="2"/>
          <w:sz w:val="30"/>
          <w:szCs w:val="30"/>
        </w:rPr>
      </w:pPr>
      <w:r>
        <w:rPr>
          <w:rFonts w:hint="eastAsia" w:ascii="仿宋_GB2312" w:hAnsi="仿宋_GB2312" w:eastAsia="仿宋_GB2312" w:cs="仿宋_GB2312"/>
          <w:kern w:val="2"/>
          <w:sz w:val="30"/>
          <w:szCs w:val="30"/>
        </w:rPr>
        <w:t>2．赛后资源转化成果计划</w:t>
      </w:r>
    </w:p>
    <w:p>
      <w:pPr>
        <w:pStyle w:val="42"/>
        <w:spacing w:line="560" w:lineRule="exact"/>
        <w:ind w:firstLine="600" w:firstLineChars="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本次技能大赛结束后，要在资源转化方面继续加大力度，具体实现以下目标：</w:t>
      </w:r>
    </w:p>
    <w:p>
      <w:pPr>
        <w:pStyle w:val="42"/>
        <w:spacing w:line="560" w:lineRule="exact"/>
        <w:ind w:firstLine="600"/>
        <w:jc w:val="left"/>
        <w:rPr>
          <w:rFonts w:ascii="仿宋_GB2312" w:hAnsi="仿宋_GB2312" w:eastAsia="仿宋_GB2312" w:cs="仿宋_GB2312"/>
          <w:kern w:val="0"/>
          <w:sz w:val="30"/>
          <w:szCs w:val="30"/>
        </w:rPr>
      </w:pPr>
      <w:r>
        <w:rPr>
          <w:rStyle w:val="46"/>
          <w:rFonts w:hint="eastAsia" w:ascii="仿宋_GB2312" w:hAnsi="仿宋_GB2312" w:eastAsia="仿宋_GB2312" w:cs="仿宋_GB2312"/>
          <w:sz w:val="30"/>
          <w:szCs w:val="30"/>
        </w:rPr>
        <w:t>（1）完善竞赛资源库建设。</w:t>
      </w:r>
      <w:r>
        <w:rPr>
          <w:rFonts w:hint="eastAsia" w:ascii="仿宋_GB2312" w:hAnsi="仿宋_GB2312" w:eastAsia="仿宋_GB2312" w:cs="仿宋_GB2312"/>
          <w:kern w:val="0"/>
          <w:sz w:val="30"/>
          <w:szCs w:val="30"/>
        </w:rPr>
        <w:t>比赛后</w:t>
      </w:r>
      <w:r>
        <w:rPr>
          <w:rFonts w:hint="eastAsia" w:ascii="仿宋_GB2312" w:hAnsi="仿宋_GB2312" w:eastAsia="仿宋_GB2312" w:cs="仿宋_GB2312"/>
          <w:sz w:val="30"/>
          <w:szCs w:val="30"/>
        </w:rPr>
        <w:t>将赛项题库、视频资料、实训教程、企业案例等转换为资源库基础素材，放于云平台的教学资源体系，实时分享教学优质资源，</w:t>
      </w:r>
      <w:r>
        <w:rPr>
          <w:rFonts w:hint="eastAsia" w:ascii="仿宋_GB2312" w:hAnsi="仿宋_GB2312" w:eastAsia="仿宋_GB2312" w:cs="仿宋_GB2312"/>
          <w:kern w:val="0"/>
          <w:sz w:val="30"/>
          <w:szCs w:val="30"/>
        </w:rPr>
        <w:t xml:space="preserve">促进赛项资源转化成果的推广。 </w:t>
      </w:r>
    </w:p>
    <w:p>
      <w:pPr>
        <w:pStyle w:val="55"/>
        <w:spacing w:line="560" w:lineRule="exact"/>
        <w:ind w:firstLine="600"/>
        <w:jc w:val="left"/>
        <w:rPr>
          <w:rFonts w:ascii="仿宋_GB2312" w:hAnsi="仿宋_GB2312" w:eastAsia="仿宋_GB2312" w:cs="仿宋_GB2312"/>
          <w:sz w:val="30"/>
          <w:szCs w:val="30"/>
        </w:rPr>
      </w:pPr>
      <w:r>
        <w:rPr>
          <w:rStyle w:val="46"/>
          <w:rFonts w:hint="eastAsia" w:ascii="仿宋_GB2312" w:hAnsi="仿宋_GB2312" w:eastAsia="仿宋_GB2312" w:cs="仿宋_GB2312"/>
          <w:sz w:val="30"/>
          <w:szCs w:val="30"/>
        </w:rPr>
        <w:t>（2）推动课程体系创新改革。</w:t>
      </w:r>
      <w:r>
        <w:rPr>
          <w:rFonts w:hint="eastAsia" w:ascii="仿宋_GB2312" w:hAnsi="仿宋_GB2312" w:eastAsia="仿宋_GB2312" w:cs="仿宋_GB2312"/>
          <w:sz w:val="30"/>
          <w:szCs w:val="30"/>
        </w:rPr>
        <w:t>联合部分高职学院，组织竞赛经验分享会，计划于2019年10月份之前，结合赛项相关内容，推动20所</w:t>
      </w:r>
      <w:r>
        <w:rPr>
          <w:rFonts w:hint="eastAsia" w:ascii="仿宋_GB2312" w:hAnsi="仿宋_GB2312" w:eastAsia="仿宋_GB2312" w:cs="仿宋_GB2312"/>
          <w:kern w:val="0"/>
          <w:sz w:val="30"/>
          <w:szCs w:val="30"/>
        </w:rPr>
        <w:t>轨道交通通信信号类院校的专业</w:t>
      </w:r>
      <w:r>
        <w:rPr>
          <w:rFonts w:hint="eastAsia" w:ascii="仿宋_GB2312" w:hAnsi="仿宋_GB2312" w:eastAsia="仿宋_GB2312" w:cs="仿宋_GB2312"/>
          <w:sz w:val="30"/>
          <w:szCs w:val="30"/>
        </w:rPr>
        <w:t>建设方案、课程体系和教学计划改革。</w:t>
      </w:r>
    </w:p>
    <w:p>
      <w:pPr>
        <w:pStyle w:val="42"/>
        <w:spacing w:line="560" w:lineRule="exact"/>
        <w:ind w:firstLine="600"/>
        <w:rPr>
          <w:rFonts w:ascii="仿宋_GB2312" w:hAnsi="仿宋_GB2312" w:eastAsia="仿宋_GB2312" w:cs="仿宋_GB2312"/>
          <w:sz w:val="30"/>
          <w:szCs w:val="30"/>
        </w:rPr>
      </w:pPr>
      <w:r>
        <w:rPr>
          <w:rStyle w:val="46"/>
          <w:rFonts w:hint="eastAsia" w:ascii="仿宋_GB2312" w:hAnsi="仿宋_GB2312" w:eastAsia="仿宋_GB2312" w:cs="仿宋_GB2312"/>
          <w:sz w:val="30"/>
          <w:szCs w:val="30"/>
        </w:rPr>
        <w:t>（3）移动数字化教学课程资源建设。</w:t>
      </w:r>
      <w:r>
        <w:rPr>
          <w:rFonts w:hint="eastAsia" w:ascii="仿宋_GB2312" w:hAnsi="仿宋_GB2312" w:eastAsia="仿宋_GB2312" w:cs="仿宋_GB2312"/>
          <w:sz w:val="30"/>
          <w:szCs w:val="30"/>
        </w:rPr>
        <w:t>建设适合移动环境下学习的移动数字化课程和资源，服务于教师的课堂教学和学生的自主学习，推动学生情景化、趣味化、交互性的自主学习。课程和资源融入可碎片化学习的微课、 动画、音频等新媒体内容，计划2019年12月底前制作完成，供开设高职</w:t>
      </w:r>
      <w:r>
        <w:rPr>
          <w:rFonts w:hint="eastAsia" w:ascii="仿宋_GB2312" w:hAnsi="仿宋_GB2312" w:eastAsia="仿宋_GB2312" w:cs="仿宋_GB2312"/>
          <w:kern w:val="0"/>
          <w:sz w:val="30"/>
          <w:szCs w:val="30"/>
        </w:rPr>
        <w:t>轨道交通通信信号</w:t>
      </w:r>
      <w:r>
        <w:rPr>
          <w:rFonts w:hint="eastAsia" w:ascii="仿宋_GB2312" w:hAnsi="仿宋_GB2312" w:eastAsia="仿宋_GB2312" w:cs="仿宋_GB2312"/>
          <w:sz w:val="30"/>
          <w:szCs w:val="30"/>
        </w:rPr>
        <w:t>专业的学校使用。</w:t>
      </w:r>
    </w:p>
    <w:p>
      <w:pPr>
        <w:pStyle w:val="55"/>
        <w:spacing w:line="560" w:lineRule="exact"/>
        <w:ind w:firstLineChars="0"/>
        <w:rPr>
          <w:rFonts w:ascii="仿宋_GB2312" w:hAnsi="仿宋_GB2312" w:eastAsia="仿宋_GB2312" w:cs="仿宋_GB2312"/>
          <w:kern w:val="0"/>
          <w:sz w:val="30"/>
          <w:szCs w:val="30"/>
        </w:rPr>
      </w:pPr>
      <w:r>
        <w:rPr>
          <w:rStyle w:val="46"/>
          <w:rFonts w:hint="eastAsia" w:ascii="仿宋_GB2312" w:hAnsi="仿宋_GB2312" w:eastAsia="仿宋_GB2312" w:cs="仿宋_GB2312"/>
          <w:sz w:val="30"/>
          <w:szCs w:val="30"/>
        </w:rPr>
        <w:t>（4）推动师资队伍建设。</w:t>
      </w:r>
      <w:r>
        <w:rPr>
          <w:rFonts w:hint="eastAsia" w:ascii="仿宋_GB2312" w:hAnsi="仿宋_GB2312" w:eastAsia="仿宋_GB2312" w:cs="仿宋_GB2312"/>
          <w:kern w:val="0"/>
          <w:sz w:val="30"/>
          <w:szCs w:val="30"/>
        </w:rPr>
        <w:t>比赛结束后，通过组织研讨会、研修班等活动推动高职相关专业的师资队伍建设，通过将技能大赛的赛项内容拓展转化为职业岗位工作任务教学模块，作为教师工作任务实践教学的重要案例，真正实现“做中学，学中做，做学教一体化”。师资队伍建设的具体计划如下：</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3293"/>
        <w:gridCol w:w="1812"/>
        <w:gridCol w:w="1316"/>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9" w:type="dxa"/>
          </w:tcPr>
          <w:p>
            <w:pPr>
              <w:pStyle w:val="55"/>
              <w:ind w:firstLine="0" w:firstLineChars="0"/>
              <w:jc w:val="center"/>
              <w:rPr>
                <w:rFonts w:ascii="宋体" w:hAnsi="宋体" w:cs="宋体"/>
                <w:kern w:val="0"/>
              </w:rPr>
            </w:pPr>
            <w:r>
              <w:rPr>
                <w:rFonts w:hint="eastAsia" w:ascii="宋体" w:hAnsi="宋体" w:cs="宋体"/>
                <w:kern w:val="0"/>
              </w:rPr>
              <w:t>序号</w:t>
            </w:r>
          </w:p>
        </w:tc>
        <w:tc>
          <w:tcPr>
            <w:tcW w:w="3293" w:type="dxa"/>
          </w:tcPr>
          <w:p>
            <w:pPr>
              <w:pStyle w:val="55"/>
              <w:ind w:firstLine="0" w:firstLineChars="0"/>
              <w:jc w:val="center"/>
              <w:rPr>
                <w:rFonts w:ascii="宋体" w:hAnsi="宋体" w:cs="宋体"/>
                <w:kern w:val="0"/>
              </w:rPr>
            </w:pPr>
            <w:r>
              <w:rPr>
                <w:rFonts w:hint="eastAsia" w:ascii="宋体" w:hAnsi="宋体" w:cs="宋体"/>
                <w:kern w:val="0"/>
              </w:rPr>
              <w:t>活动内容</w:t>
            </w:r>
          </w:p>
        </w:tc>
        <w:tc>
          <w:tcPr>
            <w:tcW w:w="1812" w:type="dxa"/>
          </w:tcPr>
          <w:p>
            <w:pPr>
              <w:pStyle w:val="55"/>
              <w:ind w:firstLine="0" w:firstLineChars="0"/>
              <w:jc w:val="center"/>
              <w:rPr>
                <w:rFonts w:ascii="宋体" w:hAnsi="宋体" w:cs="宋体"/>
                <w:kern w:val="0"/>
              </w:rPr>
            </w:pPr>
            <w:r>
              <w:rPr>
                <w:rFonts w:hint="eastAsia" w:ascii="宋体" w:hAnsi="宋体" w:cs="宋体"/>
                <w:kern w:val="0"/>
              </w:rPr>
              <w:t>时间</w:t>
            </w:r>
          </w:p>
        </w:tc>
        <w:tc>
          <w:tcPr>
            <w:tcW w:w="1316" w:type="dxa"/>
          </w:tcPr>
          <w:p>
            <w:pPr>
              <w:pStyle w:val="55"/>
              <w:ind w:firstLine="0" w:firstLineChars="0"/>
              <w:jc w:val="center"/>
              <w:rPr>
                <w:rFonts w:ascii="宋体" w:hAnsi="宋体" w:cs="宋体"/>
                <w:kern w:val="0"/>
              </w:rPr>
            </w:pPr>
            <w:r>
              <w:rPr>
                <w:rFonts w:hint="eastAsia" w:ascii="宋体" w:hAnsi="宋体" w:cs="宋体"/>
                <w:kern w:val="0"/>
              </w:rPr>
              <w:t>形式</w:t>
            </w:r>
          </w:p>
        </w:tc>
        <w:tc>
          <w:tcPr>
            <w:tcW w:w="1152" w:type="dxa"/>
          </w:tcPr>
          <w:p>
            <w:pPr>
              <w:pStyle w:val="55"/>
              <w:ind w:firstLine="0" w:firstLineChars="0"/>
              <w:jc w:val="center"/>
              <w:rPr>
                <w:rFonts w:ascii="宋体" w:hAnsi="宋体" w:cs="宋体"/>
                <w:kern w:val="0"/>
              </w:rPr>
            </w:pPr>
            <w:r>
              <w:rPr>
                <w:rFonts w:hint="eastAsia" w:ascii="宋体" w:hAnsi="宋体" w:cs="宋体"/>
                <w:kern w:val="0"/>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16" w:hRule="atLeast"/>
        </w:trPr>
        <w:tc>
          <w:tcPr>
            <w:tcW w:w="949" w:type="dxa"/>
          </w:tcPr>
          <w:p>
            <w:pPr>
              <w:pStyle w:val="55"/>
              <w:ind w:firstLine="0" w:firstLineChars="0"/>
              <w:jc w:val="center"/>
              <w:rPr>
                <w:rFonts w:ascii="宋体" w:hAnsi="宋体" w:cs="宋体"/>
                <w:kern w:val="0"/>
              </w:rPr>
            </w:pPr>
            <w:r>
              <w:rPr>
                <w:rFonts w:hint="eastAsia" w:ascii="宋体" w:hAnsi="宋体" w:cs="宋体"/>
                <w:kern w:val="0"/>
              </w:rPr>
              <w:t>1</w:t>
            </w:r>
          </w:p>
        </w:tc>
        <w:tc>
          <w:tcPr>
            <w:tcW w:w="3293" w:type="dxa"/>
          </w:tcPr>
          <w:p>
            <w:pPr>
              <w:pStyle w:val="55"/>
              <w:ind w:firstLine="0" w:firstLineChars="0"/>
              <w:jc w:val="center"/>
              <w:rPr>
                <w:rFonts w:ascii="宋体" w:hAnsi="宋体" w:cs="宋体"/>
                <w:kern w:val="0"/>
              </w:rPr>
            </w:pPr>
            <w:r>
              <w:rPr>
                <w:rFonts w:hint="eastAsia" w:ascii="宋体" w:hAnsi="宋体" w:cs="宋体"/>
                <w:kern w:val="0"/>
              </w:rPr>
              <w:t>轨道交通通信信号技术研讨会</w:t>
            </w:r>
          </w:p>
        </w:tc>
        <w:tc>
          <w:tcPr>
            <w:tcW w:w="1812" w:type="dxa"/>
          </w:tcPr>
          <w:p>
            <w:pPr>
              <w:pStyle w:val="55"/>
              <w:ind w:firstLine="0" w:firstLineChars="0"/>
              <w:jc w:val="center"/>
              <w:rPr>
                <w:rFonts w:ascii="宋体" w:hAnsi="宋体" w:cs="宋体"/>
                <w:kern w:val="0"/>
              </w:rPr>
            </w:pPr>
            <w:r>
              <w:rPr>
                <w:rFonts w:hint="eastAsia" w:ascii="宋体" w:hAnsi="宋体" w:cs="宋体"/>
                <w:kern w:val="0"/>
              </w:rPr>
              <w:t>2019年8月</w:t>
            </w:r>
          </w:p>
        </w:tc>
        <w:tc>
          <w:tcPr>
            <w:tcW w:w="1316" w:type="dxa"/>
          </w:tcPr>
          <w:p>
            <w:pPr>
              <w:pStyle w:val="55"/>
              <w:ind w:firstLine="0" w:firstLineChars="0"/>
              <w:jc w:val="center"/>
              <w:rPr>
                <w:rFonts w:ascii="宋体" w:hAnsi="宋体" w:cs="宋体"/>
                <w:kern w:val="0"/>
              </w:rPr>
            </w:pPr>
            <w:r>
              <w:rPr>
                <w:rFonts w:hint="eastAsia" w:ascii="宋体" w:hAnsi="宋体" w:cs="宋体"/>
                <w:kern w:val="0"/>
              </w:rPr>
              <w:t>研讨会</w:t>
            </w:r>
          </w:p>
        </w:tc>
        <w:tc>
          <w:tcPr>
            <w:tcW w:w="1152" w:type="dxa"/>
          </w:tcPr>
          <w:p>
            <w:pPr>
              <w:pStyle w:val="55"/>
              <w:ind w:firstLine="0" w:firstLineChars="0"/>
              <w:jc w:val="center"/>
              <w:rPr>
                <w:rFonts w:ascii="宋体" w:hAnsi="宋体" w:cs="宋体"/>
                <w:kern w:val="0"/>
              </w:rPr>
            </w:pPr>
            <w:r>
              <w:rPr>
                <w:rFonts w:hint="eastAsia" w:ascii="宋体" w:hAnsi="宋体" w:cs="宋体"/>
                <w:kern w:val="0"/>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9" w:type="dxa"/>
          </w:tcPr>
          <w:p>
            <w:pPr>
              <w:pStyle w:val="55"/>
              <w:ind w:firstLine="0" w:firstLineChars="0"/>
              <w:jc w:val="center"/>
              <w:rPr>
                <w:rFonts w:ascii="宋体" w:hAnsi="宋体" w:cs="宋体"/>
                <w:kern w:val="0"/>
              </w:rPr>
            </w:pPr>
            <w:r>
              <w:rPr>
                <w:rFonts w:hint="eastAsia" w:ascii="宋体" w:hAnsi="宋体" w:cs="宋体"/>
                <w:kern w:val="0"/>
              </w:rPr>
              <w:t>2</w:t>
            </w:r>
          </w:p>
        </w:tc>
        <w:tc>
          <w:tcPr>
            <w:tcW w:w="3293" w:type="dxa"/>
          </w:tcPr>
          <w:p>
            <w:pPr>
              <w:pStyle w:val="55"/>
              <w:ind w:firstLine="0" w:firstLineChars="0"/>
              <w:jc w:val="center"/>
              <w:rPr>
                <w:rFonts w:ascii="宋体" w:hAnsi="宋体" w:cs="宋体"/>
                <w:kern w:val="0"/>
              </w:rPr>
            </w:pPr>
            <w:r>
              <w:rPr>
                <w:rFonts w:hint="eastAsia" w:ascii="宋体" w:hAnsi="宋体" w:cs="宋体"/>
                <w:kern w:val="0"/>
              </w:rPr>
              <w:t>轨道交通通信信号技术产业创新应用</w:t>
            </w:r>
          </w:p>
        </w:tc>
        <w:tc>
          <w:tcPr>
            <w:tcW w:w="1812" w:type="dxa"/>
          </w:tcPr>
          <w:p>
            <w:pPr>
              <w:pStyle w:val="55"/>
              <w:ind w:firstLine="0" w:firstLineChars="0"/>
              <w:jc w:val="center"/>
              <w:rPr>
                <w:rFonts w:ascii="宋体" w:hAnsi="宋体" w:cs="宋体"/>
                <w:kern w:val="0"/>
              </w:rPr>
            </w:pPr>
            <w:r>
              <w:rPr>
                <w:rFonts w:hint="eastAsia" w:ascii="宋体" w:hAnsi="宋体" w:cs="宋体"/>
                <w:kern w:val="0"/>
              </w:rPr>
              <w:t>2019年10月</w:t>
            </w:r>
          </w:p>
        </w:tc>
        <w:tc>
          <w:tcPr>
            <w:tcW w:w="1316" w:type="dxa"/>
          </w:tcPr>
          <w:p>
            <w:pPr>
              <w:pStyle w:val="55"/>
              <w:ind w:firstLine="0" w:firstLineChars="0"/>
              <w:jc w:val="center"/>
              <w:rPr>
                <w:rFonts w:ascii="宋体" w:hAnsi="宋体" w:cs="宋体"/>
                <w:kern w:val="0"/>
              </w:rPr>
            </w:pPr>
            <w:r>
              <w:rPr>
                <w:rFonts w:hint="eastAsia" w:ascii="宋体" w:hAnsi="宋体" w:cs="宋体"/>
                <w:kern w:val="0"/>
              </w:rPr>
              <w:t>研修班</w:t>
            </w:r>
          </w:p>
        </w:tc>
        <w:tc>
          <w:tcPr>
            <w:tcW w:w="1152" w:type="dxa"/>
          </w:tcPr>
          <w:p>
            <w:pPr>
              <w:pStyle w:val="55"/>
              <w:ind w:firstLine="0" w:firstLineChars="0"/>
              <w:jc w:val="center"/>
              <w:rPr>
                <w:rFonts w:ascii="宋体" w:hAnsi="宋体" w:cs="宋体"/>
                <w:kern w:val="0"/>
              </w:rPr>
            </w:pPr>
            <w:r>
              <w:rPr>
                <w:rFonts w:hint="eastAsia" w:ascii="宋体" w:hAnsi="宋体" w:cs="宋体"/>
                <w:kern w:val="0"/>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9" w:type="dxa"/>
          </w:tcPr>
          <w:p>
            <w:pPr>
              <w:pStyle w:val="55"/>
              <w:ind w:firstLine="0" w:firstLineChars="0"/>
              <w:jc w:val="center"/>
              <w:rPr>
                <w:rFonts w:ascii="宋体" w:hAnsi="宋体" w:cs="宋体"/>
                <w:kern w:val="0"/>
              </w:rPr>
            </w:pPr>
            <w:r>
              <w:rPr>
                <w:rFonts w:hint="eastAsia" w:ascii="宋体" w:hAnsi="宋体" w:cs="宋体"/>
                <w:kern w:val="0"/>
              </w:rPr>
              <w:t>3</w:t>
            </w:r>
          </w:p>
        </w:tc>
        <w:tc>
          <w:tcPr>
            <w:tcW w:w="3293" w:type="dxa"/>
          </w:tcPr>
          <w:p>
            <w:pPr>
              <w:pStyle w:val="55"/>
              <w:ind w:firstLine="0" w:firstLineChars="0"/>
              <w:jc w:val="center"/>
              <w:rPr>
                <w:rFonts w:ascii="宋体" w:hAnsi="宋体" w:cs="宋体"/>
                <w:kern w:val="0"/>
              </w:rPr>
            </w:pPr>
            <w:r>
              <w:rPr>
                <w:rFonts w:hint="eastAsia" w:ascii="宋体" w:hAnsi="宋体" w:cs="宋体"/>
                <w:kern w:val="0"/>
              </w:rPr>
              <w:t>轨道交通通信信号关键技术-一线骨干教师培训</w:t>
            </w:r>
          </w:p>
        </w:tc>
        <w:tc>
          <w:tcPr>
            <w:tcW w:w="1812" w:type="dxa"/>
          </w:tcPr>
          <w:p>
            <w:pPr>
              <w:pStyle w:val="55"/>
              <w:ind w:firstLine="0" w:firstLineChars="0"/>
              <w:jc w:val="center"/>
              <w:rPr>
                <w:rFonts w:ascii="宋体" w:hAnsi="宋体" w:cs="宋体"/>
                <w:kern w:val="0"/>
              </w:rPr>
            </w:pPr>
            <w:r>
              <w:rPr>
                <w:rFonts w:hint="eastAsia" w:ascii="宋体" w:hAnsi="宋体" w:cs="宋体"/>
                <w:kern w:val="0"/>
              </w:rPr>
              <w:t>2019年11月</w:t>
            </w:r>
          </w:p>
        </w:tc>
        <w:tc>
          <w:tcPr>
            <w:tcW w:w="1316" w:type="dxa"/>
          </w:tcPr>
          <w:p>
            <w:pPr>
              <w:pStyle w:val="55"/>
              <w:ind w:firstLine="0" w:firstLineChars="0"/>
              <w:jc w:val="center"/>
              <w:rPr>
                <w:rFonts w:ascii="宋体" w:hAnsi="宋体" w:cs="宋体"/>
                <w:kern w:val="0"/>
              </w:rPr>
            </w:pPr>
            <w:r>
              <w:rPr>
                <w:rFonts w:hint="eastAsia" w:ascii="宋体" w:hAnsi="宋体" w:cs="宋体"/>
                <w:kern w:val="0"/>
              </w:rPr>
              <w:t>研修班</w:t>
            </w:r>
          </w:p>
        </w:tc>
        <w:tc>
          <w:tcPr>
            <w:tcW w:w="1152" w:type="dxa"/>
          </w:tcPr>
          <w:p>
            <w:pPr>
              <w:pStyle w:val="55"/>
              <w:ind w:firstLine="0" w:firstLineChars="0"/>
              <w:jc w:val="center"/>
              <w:rPr>
                <w:rFonts w:ascii="宋体" w:hAnsi="宋体" w:cs="宋体"/>
                <w:kern w:val="0"/>
              </w:rPr>
            </w:pPr>
            <w:r>
              <w:rPr>
                <w:rFonts w:hint="eastAsia" w:ascii="宋体" w:hAnsi="宋体" w:cs="宋体"/>
                <w:kern w:val="0"/>
              </w:rPr>
              <w:t>北京</w:t>
            </w:r>
          </w:p>
        </w:tc>
      </w:tr>
    </w:tbl>
    <w:p>
      <w:pPr>
        <w:pStyle w:val="55"/>
        <w:spacing w:line="560" w:lineRule="exact"/>
        <w:ind w:firstLineChars="0"/>
        <w:rPr>
          <w:rStyle w:val="46"/>
          <w:rFonts w:ascii="仿宋_GB2312" w:hAnsi="仿宋_GB2312" w:eastAsia="仿宋_GB2312" w:cs="仿宋_GB2312"/>
          <w:sz w:val="30"/>
          <w:szCs w:val="30"/>
        </w:rPr>
      </w:pPr>
      <w:bookmarkStart w:id="32" w:name="_Toc763"/>
      <w:bookmarkStart w:id="33" w:name="_Toc491101529"/>
      <w:r>
        <w:rPr>
          <w:rStyle w:val="46"/>
          <w:rFonts w:hint="eastAsia" w:ascii="仿宋_GB2312" w:hAnsi="仿宋_GB2312" w:eastAsia="仿宋_GB2312" w:cs="仿宋_GB2312"/>
          <w:sz w:val="30"/>
          <w:szCs w:val="30"/>
        </w:rPr>
        <w:t>（5）落实产教融合，联合</w:t>
      </w:r>
      <w:r>
        <w:rPr>
          <w:rStyle w:val="46"/>
          <w:rFonts w:ascii="仿宋_GB2312" w:hAnsi="仿宋_GB2312" w:eastAsia="仿宋_GB2312" w:cs="仿宋_GB2312"/>
          <w:sz w:val="30"/>
          <w:szCs w:val="30"/>
        </w:rPr>
        <w:t>多方资源</w:t>
      </w:r>
      <w:r>
        <w:rPr>
          <w:rStyle w:val="46"/>
          <w:rFonts w:hint="eastAsia" w:ascii="仿宋_GB2312" w:hAnsi="仿宋_GB2312" w:eastAsia="仿宋_GB2312" w:cs="仿宋_GB2312"/>
          <w:sz w:val="30"/>
          <w:szCs w:val="30"/>
        </w:rPr>
        <w:t>组建</w:t>
      </w:r>
      <w:r>
        <w:rPr>
          <w:rStyle w:val="46"/>
          <w:rFonts w:ascii="仿宋_GB2312" w:hAnsi="仿宋_GB2312" w:eastAsia="仿宋_GB2312" w:cs="仿宋_GB2312"/>
          <w:sz w:val="30"/>
          <w:szCs w:val="30"/>
        </w:rPr>
        <w:t>轨道交通产教联盟，</w:t>
      </w:r>
      <w:r>
        <w:rPr>
          <w:rStyle w:val="46"/>
          <w:rFonts w:hint="eastAsia" w:ascii="仿宋_GB2312" w:hAnsi="仿宋_GB2312" w:eastAsia="仿宋_GB2312" w:cs="仿宋_GB2312"/>
          <w:sz w:val="30"/>
          <w:szCs w:val="30"/>
        </w:rPr>
        <w:t>积极推动职业教育发展</w:t>
      </w:r>
    </w:p>
    <w:p>
      <w:pPr>
        <w:pStyle w:val="55"/>
        <w:spacing w:line="560" w:lineRule="exact"/>
        <w:ind w:firstLineChars="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2018年9月份，赛项执委会将联合中国通信工业协会、北京交通大学、教育与科研部门、铁路行业高校、职业技术学院、各地中国方路局集团公司、各类轨道交通企业等单位成立轨道交通产教联盟。联盟是由中国通信工业协会报请中华人民共和国工业和信息化部批准、并经国家民政部注册登记的全国非营利性社团组织。旨在开展学术研究、交流考察、教育培训、技术转移、咨询服务等工作，为高校及职业技术院校和企业提供合作对接服务，为政府和社会提供人才培养服务，推动我国轨道交通技术应用专业健康发展，促进职业院校和信息技术企业资源有效整合，发挥桥梁和纽带作用，推动我国轨道交通技术快速健康发展。</w:t>
      </w:r>
    </w:p>
    <w:p>
      <w:pPr>
        <w:pStyle w:val="55"/>
        <w:spacing w:line="560" w:lineRule="exact"/>
        <w:ind w:firstLineChars="0"/>
        <w:rPr>
          <w:rFonts w:ascii="仿宋_GB2312" w:hAnsi="仿宋_GB2312" w:eastAsia="仿宋_GB2312" w:cs="仿宋_GB2312"/>
          <w:kern w:val="0"/>
          <w:sz w:val="30"/>
          <w:szCs w:val="30"/>
        </w:rPr>
      </w:pPr>
      <w:r>
        <w:rPr>
          <w:rFonts w:ascii="仿宋_GB2312" w:hAnsi="仿宋_GB2312" w:eastAsia="仿宋_GB2312" w:cs="仿宋_GB2312"/>
          <w:kern w:val="0"/>
          <w:sz w:val="30"/>
          <w:szCs w:val="30"/>
        </w:rPr>
        <w:t xml:space="preserve"> </w:t>
      </w:r>
    </w:p>
    <w:p>
      <w:pPr>
        <w:pStyle w:val="55"/>
        <w:ind w:firstLineChars="0"/>
        <w:rPr>
          <w:b/>
          <w:bCs/>
          <w:kern w:val="0"/>
        </w:rPr>
      </w:pPr>
      <w:r>
        <w:rPr>
          <w:rFonts w:ascii="仿宋" w:hAnsi="仿宋" w:eastAsia="仿宋"/>
          <w:sz w:val="30"/>
          <w:szCs w:val="30"/>
        </w:rPr>
        <w:drawing>
          <wp:inline distT="0" distB="0" distL="0" distR="0">
            <wp:extent cx="5074920" cy="2819400"/>
            <wp:effectExtent l="0" t="0" r="0" b="0"/>
            <wp:docPr id="68" name="图片 68" descr="C:\Users\ADMINI~1\AppData\Local\Temp\15341436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1\AppData\Local\Temp\153414368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74920" cy="2819400"/>
                    </a:xfrm>
                    <a:prstGeom prst="rect">
                      <a:avLst/>
                    </a:prstGeom>
                    <a:noFill/>
                    <a:ln>
                      <a:noFill/>
                    </a:ln>
                  </pic:spPr>
                </pic:pic>
              </a:graphicData>
            </a:graphic>
          </wp:inline>
        </w:drawing>
      </w:r>
    </w:p>
    <w:p>
      <w:pPr>
        <w:pStyle w:val="55"/>
        <w:ind w:firstLineChars="0"/>
        <w:jc w:val="center"/>
        <w:rPr>
          <w:b/>
          <w:bCs/>
          <w:kern w:val="0"/>
        </w:rPr>
      </w:pPr>
      <w:r>
        <w:rPr>
          <w:rFonts w:hint="eastAsia"/>
          <w:b/>
          <w:bCs/>
          <w:kern w:val="0"/>
        </w:rPr>
        <w:t>中国通信工业协会轨道交通产教联盟筹备工作会</w:t>
      </w:r>
    </w:p>
    <w:p>
      <w:pPr>
        <w:pStyle w:val="2"/>
        <w:spacing w:line="560" w:lineRule="exact"/>
        <w:rPr>
          <w:rFonts w:ascii="黑体" w:hAnsi="黑体" w:eastAsia="黑体" w:cs="黑体"/>
          <w:b w:val="0"/>
          <w:bCs w:val="0"/>
          <w:sz w:val="30"/>
          <w:szCs w:val="30"/>
        </w:rPr>
      </w:pPr>
      <w:r>
        <w:rPr>
          <w:rFonts w:hint="eastAsia" w:ascii="黑体" w:hAnsi="黑体" w:eastAsia="黑体" w:cs="黑体"/>
          <w:b w:val="0"/>
          <w:bCs w:val="0"/>
          <w:sz w:val="30"/>
          <w:szCs w:val="30"/>
        </w:rPr>
        <w:t>竞赛内容简介（须附英文对照简介）</w:t>
      </w:r>
      <w:bookmarkEnd w:id="32"/>
      <w:bookmarkEnd w:id="33"/>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轨道交通信号控制系统设计与应用主要以地面列车运行控制系统为技术主体，由轨道交通信号控制系统-信号主控台和轨道交通信号控制系统-信号组合柜组成。轨道交通信号控制系统-信号组合柜由列控中心系统、轨道交通信号控制系统操作终端、客专移频柜内设备（客专发送器、客专接收器、客专衰耗盘）、模拟网络盘、模拟轨道、轨道继电器和方向继电器等组成；信号主控台包含可编程逻辑控制器、人机交互界面、设备执行单元、传感单元、操作单元等。搭建轨道交通信号控制系统，实现列控中心对轨道电路发码控制、客专轨道电路信号传输、CAN总线通讯等功能，让学生通过实践来掌握相关技术。</w:t>
      </w:r>
    </w:p>
    <w:p>
      <w:pPr>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The design and application of the rail traffic signal control system is mainly based on the ground train operation control system, which is composed of the rail traffic signal control system-the signal main console and rail traffic signal control system - signal combination cabinet. Rail traffic signal control system - signal combination cabinet is composed of the control center system, the operation terminal of the rail traffic signal control system, the device (transmitter, receiver, attenuation disk), analog network disk, simulation track, track relay and directional relay, etc. Rail traffic signal control system-the signal main console includes PLC,human-computer interaction interface, equipment execution unit, sensor unit, operation unit, etc. Structures, orbit traffic signal control system, the implementation of the train control center track circuit code control, customer designed track circuit signal transmission, CAN bus communication, and other functions, to let the students to master relevant technology through practice.</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竞赛内容主要包括：</w:t>
      </w:r>
    </w:p>
    <w:p>
      <w:pPr>
        <w:pStyle w:val="3"/>
        <w:spacing w:before="163" w:line="560" w:lineRule="exact"/>
        <w:rPr>
          <w:rFonts w:ascii="仿宋_GB2312" w:hAnsi="仿宋_GB2312" w:eastAsia="仿宋_GB2312" w:cs="仿宋_GB2312"/>
          <w:b w:val="0"/>
          <w:bCs w:val="0"/>
          <w:kern w:val="1"/>
        </w:rPr>
      </w:pPr>
      <w:bookmarkStart w:id="34" w:name="_Toc1057"/>
      <w:r>
        <w:rPr>
          <w:rFonts w:hint="eastAsia" w:ascii="仿宋_GB2312" w:hAnsi="仿宋_GB2312" w:eastAsia="仿宋_GB2312" w:cs="仿宋_GB2312"/>
          <w:b w:val="0"/>
          <w:bCs w:val="0"/>
          <w:kern w:val="1"/>
        </w:rPr>
        <w:t>信号系统逻辑设计与配置</w:t>
      </w:r>
      <w:bookmarkEnd w:id="34"/>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包含设计信号设备逻辑，设计相关信号设备的运行参数。</w:t>
      </w:r>
    </w:p>
    <w:p>
      <w:pPr>
        <w:pStyle w:val="3"/>
        <w:spacing w:before="163" w:line="560" w:lineRule="exact"/>
        <w:rPr>
          <w:rFonts w:ascii="仿宋_GB2312" w:hAnsi="仿宋_GB2312" w:eastAsia="仿宋_GB2312" w:cs="仿宋_GB2312"/>
          <w:b w:val="0"/>
          <w:bCs w:val="0"/>
          <w:kern w:val="1"/>
        </w:rPr>
      </w:pPr>
      <w:bookmarkStart w:id="35" w:name="_Toc29119"/>
      <w:r>
        <w:rPr>
          <w:rFonts w:hint="eastAsia" w:ascii="仿宋_GB2312" w:hAnsi="仿宋_GB2312" w:eastAsia="仿宋_GB2312" w:cs="仿宋_GB2312"/>
          <w:b w:val="0"/>
          <w:bCs w:val="0"/>
          <w:kern w:val="1"/>
        </w:rPr>
        <w:t>信号控制系统安装部署</w:t>
      </w:r>
      <w:bookmarkEnd w:id="35"/>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包含系统设备安装、布线、焊接、调试、环境部署等。</w:t>
      </w:r>
    </w:p>
    <w:p>
      <w:pPr>
        <w:pStyle w:val="3"/>
        <w:spacing w:before="163" w:line="560" w:lineRule="exact"/>
        <w:rPr>
          <w:rFonts w:ascii="仿宋_GB2312" w:hAnsi="仿宋_GB2312" w:eastAsia="仿宋_GB2312" w:cs="仿宋_GB2312"/>
          <w:b w:val="0"/>
          <w:bCs w:val="0"/>
          <w:kern w:val="1"/>
        </w:rPr>
      </w:pPr>
      <w:bookmarkStart w:id="36" w:name="_Toc26277"/>
      <w:r>
        <w:rPr>
          <w:rFonts w:hint="eastAsia" w:ascii="仿宋_GB2312" w:hAnsi="仿宋_GB2312" w:eastAsia="仿宋_GB2312" w:cs="仿宋_GB2312"/>
          <w:b w:val="0"/>
          <w:bCs w:val="0"/>
          <w:kern w:val="1"/>
        </w:rPr>
        <w:t>信号控制系统故障原因分析追查</w:t>
      </w:r>
      <w:bookmarkEnd w:id="36"/>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按照行业操作规范，找出信号系统故障现象，进行原因分析；对故障进行排除和追查。处理好后对运行结果进行数据测量。</w:t>
      </w:r>
    </w:p>
    <w:p>
      <w:pPr>
        <w:pStyle w:val="3"/>
        <w:spacing w:before="163" w:line="560" w:lineRule="exact"/>
        <w:rPr>
          <w:rFonts w:ascii="仿宋_GB2312" w:hAnsi="仿宋_GB2312" w:eastAsia="仿宋_GB2312" w:cs="仿宋_GB2312"/>
          <w:b w:val="0"/>
          <w:bCs w:val="0"/>
          <w:kern w:val="1"/>
        </w:rPr>
      </w:pPr>
      <w:bookmarkStart w:id="37" w:name="_Toc23519"/>
      <w:r>
        <w:rPr>
          <w:rFonts w:hint="eastAsia" w:ascii="仿宋_GB2312" w:hAnsi="仿宋_GB2312" w:eastAsia="仿宋_GB2312" w:cs="仿宋_GB2312"/>
          <w:b w:val="0"/>
          <w:bCs w:val="0"/>
          <w:kern w:val="1"/>
        </w:rPr>
        <w:t>智能监控辅助系统开发</w:t>
      </w:r>
      <w:bookmarkEnd w:id="37"/>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按要求编写PLC以及人机交互界面的程序，并下载、运行。对运行结果进行测试和记录。</w:t>
      </w:r>
    </w:p>
    <w:p>
      <w:pPr>
        <w:pStyle w:val="3"/>
        <w:spacing w:before="163" w:line="560" w:lineRule="exact"/>
        <w:rPr>
          <w:rFonts w:ascii="仿宋_GB2312" w:hAnsi="仿宋_GB2312" w:eastAsia="仿宋_GB2312" w:cs="仿宋_GB2312"/>
          <w:b w:val="0"/>
          <w:bCs w:val="0"/>
          <w:kern w:val="1"/>
        </w:rPr>
      </w:pPr>
      <w:bookmarkStart w:id="38" w:name="_Toc6368"/>
      <w:r>
        <w:rPr>
          <w:rFonts w:hint="eastAsia" w:ascii="仿宋_GB2312" w:hAnsi="仿宋_GB2312" w:eastAsia="仿宋_GB2312" w:cs="仿宋_GB2312"/>
          <w:b w:val="0"/>
          <w:bCs w:val="0"/>
          <w:kern w:val="1"/>
        </w:rPr>
        <w:t>信号控制系统综合应用</w:t>
      </w:r>
      <w:bookmarkEnd w:id="38"/>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根据列控中心的编码逻辑，综合操作继电器、邻站列控中心、排列进路、模拟区段占用等，实现要求的场景。</w:t>
      </w:r>
    </w:p>
    <w:p>
      <w:pPr>
        <w:pStyle w:val="3"/>
        <w:spacing w:before="163" w:line="560" w:lineRule="exact"/>
        <w:rPr>
          <w:rFonts w:ascii="仿宋_GB2312" w:hAnsi="仿宋_GB2312" w:eastAsia="仿宋_GB2312" w:cs="仿宋_GB2312"/>
          <w:b w:val="0"/>
          <w:bCs w:val="0"/>
          <w:kern w:val="1"/>
        </w:rPr>
      </w:pPr>
      <w:bookmarkStart w:id="39" w:name="_Hlk501960407"/>
      <w:bookmarkStart w:id="40" w:name="_Toc643"/>
      <w:bookmarkStart w:id="41" w:name="_Toc491101530"/>
      <w:r>
        <w:rPr>
          <w:rFonts w:hint="eastAsia" w:ascii="仿宋_GB2312" w:hAnsi="仿宋_GB2312" w:eastAsia="仿宋_GB2312" w:cs="仿宋_GB2312"/>
          <w:b w:val="0"/>
          <w:bCs w:val="0"/>
          <w:kern w:val="1"/>
        </w:rPr>
        <w:t>操作规范</w:t>
      </w:r>
      <w:bookmarkEnd w:id="39"/>
      <w:bookmarkEnd w:id="40"/>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考核编制工作报告能力、操作安全规范、文明竞赛、工位环境整洁、卫生等。</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The competition includes:</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 Logic relation design of signal system</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Include the signal equipment logic to comb and calculate or design the relevant signal equipment operation parameters.</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 Signal control system installation and deployment</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Include system equipment installation, wiring, commissioning, environment deployment, etc.</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(3) Analysis of fault causes of signal control system</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According to the operation standard of the industry, find out the signal system failure phenomenon and analyze the cause; Troubleshooting and troubleshooting. After processing, the operation results are measured.</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 Intelligent monitoring and assist system development</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Write the program of PLC and HMI as required, and download and run. Test and record the running results.</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(5) Integrated application of signal control system</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According to the coding logic of the center, integrated operation relay, adjacent station control center, alignment, simulation section occupancy, etc., realize the required scenarios.</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(6) Operation specifications</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The examination and preparation work report ability, the operation safety standard, the civilization competition, the work place environment is clean, the health and so on.</w:t>
      </w:r>
    </w:p>
    <w:p>
      <w:pPr>
        <w:pStyle w:val="2"/>
        <w:spacing w:line="560" w:lineRule="exact"/>
        <w:rPr>
          <w:rFonts w:ascii="黑体" w:hAnsi="黑体" w:eastAsia="黑体" w:cs="黑体"/>
          <w:b w:val="0"/>
          <w:bCs w:val="0"/>
          <w:sz w:val="30"/>
          <w:szCs w:val="30"/>
        </w:rPr>
      </w:pPr>
      <w:bookmarkStart w:id="42" w:name="_Toc16279"/>
      <w:r>
        <w:rPr>
          <w:rFonts w:hint="eastAsia" w:ascii="黑体" w:hAnsi="黑体" w:eastAsia="黑体" w:cs="黑体"/>
          <w:b w:val="0"/>
          <w:bCs w:val="0"/>
          <w:sz w:val="30"/>
          <w:szCs w:val="30"/>
        </w:rPr>
        <w:t>竞赛方式（含组队要求、是否邀请境外代表队参赛）</w:t>
      </w:r>
      <w:bookmarkEnd w:id="41"/>
      <w:bookmarkEnd w:id="42"/>
    </w:p>
    <w:p>
      <w:pPr>
        <w:snapToGrid w:val="0"/>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参考《全国职业院校技能大赛参赛报名办法》的有关要求，具体计划如下：</w:t>
      </w:r>
    </w:p>
    <w:p>
      <w:pPr>
        <w:pStyle w:val="42"/>
        <w:spacing w:line="560" w:lineRule="exact"/>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（一）轨道交通信号控制系统设计与应用赛项采取团体比赛形式。</w:t>
      </w:r>
    </w:p>
    <w:p>
      <w:pPr>
        <w:pStyle w:val="42"/>
        <w:spacing w:line="560" w:lineRule="exact"/>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（二）不得跨校组队，同一学校报名参赛队不超过1支。</w:t>
      </w:r>
    </w:p>
    <w:p>
      <w:pPr>
        <w:pStyle w:val="42"/>
        <w:spacing w:line="560" w:lineRule="exact"/>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（三）竞赛分预赛和决赛两个阶段。预赛由各省、自治区、直辖市等有关部门自行组织，决赛由2019年全国职业院校技能大赛组委会统一组织。</w:t>
      </w:r>
    </w:p>
    <w:p>
      <w:pPr>
        <w:pStyle w:val="42"/>
        <w:spacing w:line="560" w:lineRule="exact"/>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（四）报名方式以省、自治区、直辖市为单位组织报名参赛。报名通过全国职业院校技能大赛网络报名系统统一进行。</w:t>
      </w:r>
    </w:p>
    <w:p>
      <w:pPr>
        <w:pStyle w:val="42"/>
        <w:spacing w:line="560" w:lineRule="exact"/>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（五）每个参赛队由3名选手（设场上队长1名）和1-2名指导教师组成。参赛选手须为全日制在籍学生，选手年龄须不超过25周岁；指导教师须为本校专兼职教师。</w:t>
      </w:r>
    </w:p>
    <w:p>
      <w:pPr>
        <w:spacing w:line="560" w:lineRule="exact"/>
        <w:ind w:firstLine="0"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（六）凡在往届全国职业院校技能大赛中获一等奖的选手，不能再参加同一项目同一组别的比赛。</w:t>
      </w:r>
    </w:p>
    <w:p>
      <w:pPr>
        <w:spacing w:line="560" w:lineRule="exact"/>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（七）参赛选手和指导教师报名获得确认后不得随意更换。如比赛前参赛选手和指导教师因故无法参赛，须由省级教育行政部门于相应赛项开赛 10 个工作日之前出具书面说明，经大赛执委会办公室核实后予以更换；团体赛选手因特殊原因不能参加比赛时，由大赛执委会办公室根据赛项的特点决定是否可进行缺员比赛，并上报大赛执委会备案。</w:t>
      </w:r>
    </w:p>
    <w:p>
      <w:pPr>
        <w:pStyle w:val="53"/>
        <w:spacing w:line="560" w:lineRule="exact"/>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（八）本赛项诚挚邀请国际团队参赛或者到场观摩。</w:t>
      </w:r>
    </w:p>
    <w:p>
      <w:pPr>
        <w:pStyle w:val="2"/>
        <w:spacing w:line="560" w:lineRule="exact"/>
        <w:rPr>
          <w:rFonts w:ascii="黑体" w:hAnsi="黑体" w:eastAsia="黑体" w:cs="黑体"/>
          <w:b w:val="0"/>
          <w:bCs w:val="0"/>
          <w:sz w:val="30"/>
          <w:szCs w:val="30"/>
        </w:rPr>
      </w:pPr>
      <w:bookmarkStart w:id="43" w:name="_Toc18066"/>
      <w:bookmarkStart w:id="44" w:name="_Toc491101531"/>
      <w:r>
        <w:rPr>
          <w:rFonts w:hint="eastAsia" w:ascii="黑体" w:hAnsi="黑体" w:eastAsia="黑体" w:cs="黑体"/>
          <w:b w:val="0"/>
          <w:bCs w:val="0"/>
          <w:sz w:val="30"/>
          <w:szCs w:val="30"/>
        </w:rPr>
        <w:t>竞赛时间安排与流程</w:t>
      </w:r>
      <w:bookmarkEnd w:id="43"/>
      <w:bookmarkEnd w:id="44"/>
    </w:p>
    <w:p>
      <w:pPr>
        <w:pStyle w:val="3"/>
        <w:spacing w:before="163" w:line="560" w:lineRule="exact"/>
        <w:rPr>
          <w:rFonts w:ascii="仿宋_GB2312" w:hAnsi="仿宋_GB2312" w:eastAsia="仿宋_GB2312" w:cs="仿宋_GB2312"/>
        </w:rPr>
      </w:pPr>
      <w:bookmarkStart w:id="45" w:name="_Toc491101532"/>
      <w:bookmarkStart w:id="46" w:name="_Toc12906"/>
      <w:r>
        <w:rPr>
          <w:rFonts w:hint="eastAsia" w:ascii="仿宋_GB2312" w:hAnsi="仿宋_GB2312" w:eastAsia="仿宋_GB2312" w:cs="仿宋_GB2312"/>
        </w:rPr>
        <w:t>时间安排</w:t>
      </w:r>
      <w:bookmarkEnd w:id="45"/>
      <w:bookmarkEnd w:id="46"/>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时间安排：3个小时</w:t>
      </w:r>
    </w:p>
    <w:p>
      <w:pPr>
        <w:pStyle w:val="3"/>
        <w:spacing w:before="163" w:line="560" w:lineRule="exact"/>
        <w:rPr>
          <w:rFonts w:ascii="仿宋_GB2312" w:hAnsi="仿宋_GB2312" w:eastAsia="仿宋_GB2312" w:cs="仿宋_GB2312"/>
        </w:rPr>
      </w:pPr>
      <w:bookmarkStart w:id="47" w:name="_Toc31289"/>
      <w:bookmarkStart w:id="48" w:name="_Toc491101533"/>
      <w:r>
        <w:rPr>
          <w:rFonts w:hint="eastAsia" w:ascii="仿宋_GB2312" w:hAnsi="仿宋_GB2312" w:eastAsia="仿宋_GB2312" w:cs="仿宋_GB2312"/>
        </w:rPr>
        <w:t>竞赛时间安排及其流程图</w:t>
      </w:r>
      <w:bookmarkEnd w:id="47"/>
      <w:bookmarkEnd w:id="48"/>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竞赛项目采取任务书形式下达竞赛要求，由3名选手合作完成竞赛任务书给定的任务。竞赛时间连续3小时。</w:t>
      </w:r>
    </w:p>
    <w:p>
      <w:pPr>
        <w:spacing w:line="560" w:lineRule="exact"/>
        <w:ind w:firstLine="482"/>
        <w:jc w:val="center"/>
        <w:rPr>
          <w:rFonts w:ascii="仿宋_GB2312" w:hAnsi="仿宋_GB2312" w:eastAsia="仿宋_GB2312" w:cs="仿宋_GB2312"/>
          <w:b/>
          <w:sz w:val="30"/>
          <w:szCs w:val="30"/>
        </w:rPr>
      </w:pPr>
      <w:r>
        <w:rPr>
          <w:rFonts w:hint="eastAsia" w:ascii="宋体" w:hAnsi="宋体" w:cs="宋体"/>
          <w:b/>
        </w:rPr>
        <w:t>竞赛时间安排</w:t>
      </w:r>
    </w:p>
    <w:tbl>
      <w:tblPr>
        <w:tblStyle w:val="32"/>
        <w:tblW w:w="82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659"/>
        <w:gridCol w:w="4041"/>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051" w:type="dxa"/>
            <w:shd w:val="clear" w:color="auto" w:fill="FFFFFF"/>
            <w:vAlign w:val="center"/>
          </w:tcPr>
          <w:p>
            <w:pPr>
              <w:ind w:firstLine="0" w:firstLineChars="0"/>
              <w:jc w:val="center"/>
              <w:rPr>
                <w:rFonts w:ascii="宋体" w:hAnsi="宋体" w:cs="宋体"/>
              </w:rPr>
            </w:pPr>
            <w:r>
              <w:rPr>
                <w:rFonts w:hint="eastAsia" w:ascii="宋体" w:hAnsi="宋体" w:cs="宋体"/>
                <w:kern w:val="1"/>
              </w:rPr>
              <w:t>日期</w:t>
            </w: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时间</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内容</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1051" w:type="dxa"/>
            <w:vMerge w:val="restart"/>
            <w:shd w:val="clear" w:color="auto" w:fill="FFFFFF"/>
            <w:vAlign w:val="center"/>
          </w:tcPr>
          <w:p>
            <w:pPr>
              <w:ind w:firstLine="0" w:firstLineChars="0"/>
              <w:jc w:val="center"/>
              <w:rPr>
                <w:rFonts w:ascii="宋体" w:hAnsi="宋体" w:cs="宋体"/>
              </w:rPr>
            </w:pPr>
            <w:r>
              <w:rPr>
                <w:rFonts w:hint="eastAsia" w:ascii="宋体" w:hAnsi="宋体" w:cs="宋体"/>
                <w:kern w:val="1"/>
              </w:rPr>
              <w:t>第一天</w:t>
            </w: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12:00之前</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各参赛队报到</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驻地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1051" w:type="dxa"/>
            <w:vMerge w:val="continue"/>
            <w:shd w:val="clear" w:color="auto" w:fill="FFFFFF"/>
            <w:vAlign w:val="center"/>
          </w:tcPr>
          <w:p>
            <w:pPr>
              <w:ind w:firstLine="0" w:firstLineChars="0"/>
              <w:jc w:val="center"/>
              <w:rPr>
                <w:rFonts w:ascii="宋体" w:hAnsi="宋体" w:cs="宋体"/>
              </w:rPr>
            </w:pP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13:30-14:00</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领队会（赛场纪律和赛场要求）</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会议厅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1051" w:type="dxa"/>
            <w:vMerge w:val="continue"/>
            <w:shd w:val="clear" w:color="auto" w:fill="FFFFFF"/>
            <w:vAlign w:val="center"/>
          </w:tcPr>
          <w:p>
            <w:pPr>
              <w:ind w:firstLine="0" w:firstLineChars="0"/>
              <w:jc w:val="center"/>
              <w:rPr>
                <w:rFonts w:ascii="宋体" w:hAnsi="宋体" w:cs="宋体"/>
              </w:rPr>
            </w:pP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14:00-15:00</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场地参观，领队参观场地</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1051" w:type="dxa"/>
            <w:vMerge w:val="restart"/>
            <w:shd w:val="clear" w:color="auto" w:fill="FFFFFF"/>
            <w:vAlign w:val="center"/>
          </w:tcPr>
          <w:p>
            <w:pPr>
              <w:ind w:firstLine="0" w:firstLineChars="0"/>
              <w:jc w:val="center"/>
              <w:rPr>
                <w:rFonts w:ascii="宋体" w:hAnsi="宋体" w:cs="宋体"/>
              </w:rPr>
            </w:pPr>
            <w:r>
              <w:rPr>
                <w:rFonts w:hint="eastAsia" w:ascii="宋体" w:hAnsi="宋体" w:cs="宋体"/>
                <w:kern w:val="1"/>
              </w:rPr>
              <w:t>第二天</w:t>
            </w: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8:00-8:30</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参赛队赛场检录</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1051" w:type="dxa"/>
            <w:vMerge w:val="continue"/>
            <w:shd w:val="clear" w:color="auto" w:fill="FFFFFF"/>
            <w:vAlign w:val="center"/>
          </w:tcPr>
          <w:p>
            <w:pPr>
              <w:ind w:firstLine="0" w:firstLineChars="0"/>
              <w:jc w:val="center"/>
              <w:rPr>
                <w:rFonts w:ascii="宋体" w:hAnsi="宋体" w:cs="宋体"/>
              </w:rPr>
            </w:pP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8:30-8:45</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赛队抽签和二次加密</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jc w:val="center"/>
        </w:trPr>
        <w:tc>
          <w:tcPr>
            <w:tcW w:w="1051" w:type="dxa"/>
            <w:vMerge w:val="continue"/>
            <w:shd w:val="clear" w:color="auto" w:fill="FFFFFF"/>
            <w:vAlign w:val="center"/>
          </w:tcPr>
          <w:p>
            <w:pPr>
              <w:ind w:firstLine="0" w:firstLineChars="0"/>
              <w:jc w:val="center"/>
              <w:rPr>
                <w:rFonts w:ascii="宋体" w:hAnsi="宋体" w:cs="宋体"/>
              </w:rPr>
            </w:pP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8:45-9:00</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设备工具检查确认、题目发放</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051" w:type="dxa"/>
            <w:vMerge w:val="continue"/>
            <w:shd w:val="clear" w:color="auto" w:fill="FFFFFF"/>
            <w:vAlign w:val="center"/>
          </w:tcPr>
          <w:p>
            <w:pPr>
              <w:ind w:firstLine="0" w:firstLineChars="0"/>
              <w:jc w:val="center"/>
              <w:rPr>
                <w:rFonts w:ascii="宋体" w:hAnsi="宋体" w:cs="宋体"/>
              </w:rPr>
            </w:pP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9:00-12:00</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参赛队竞赛（3小时）</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051" w:type="dxa"/>
            <w:vMerge w:val="continue"/>
            <w:shd w:val="clear" w:color="auto" w:fill="FFFFFF"/>
            <w:vAlign w:val="center"/>
          </w:tcPr>
          <w:p>
            <w:pPr>
              <w:ind w:firstLine="0" w:firstLineChars="0"/>
              <w:jc w:val="center"/>
              <w:rPr>
                <w:rFonts w:ascii="宋体" w:hAnsi="宋体" w:cs="宋体"/>
              </w:rPr>
            </w:pP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12:00-14:00</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申诉受理</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051" w:type="dxa"/>
            <w:vMerge w:val="continue"/>
            <w:shd w:val="clear" w:color="auto" w:fill="FFFFFF"/>
            <w:vAlign w:val="center"/>
          </w:tcPr>
          <w:p>
            <w:pPr>
              <w:ind w:firstLine="0" w:firstLineChars="0"/>
              <w:jc w:val="center"/>
              <w:rPr>
                <w:rFonts w:ascii="宋体" w:hAnsi="宋体" w:cs="宋体"/>
              </w:rPr>
            </w:pP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14:00-22:00</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评分核分</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051" w:type="dxa"/>
            <w:vMerge w:val="restart"/>
            <w:shd w:val="clear" w:color="auto" w:fill="FFFFFF"/>
            <w:vAlign w:val="center"/>
          </w:tcPr>
          <w:p>
            <w:pPr>
              <w:ind w:firstLine="0" w:firstLineChars="0"/>
              <w:jc w:val="center"/>
              <w:rPr>
                <w:rFonts w:ascii="宋体" w:hAnsi="宋体" w:cs="宋体"/>
              </w:rPr>
            </w:pPr>
            <w:r>
              <w:rPr>
                <w:rFonts w:hint="eastAsia" w:ascii="宋体" w:hAnsi="宋体" w:cs="宋体"/>
                <w:kern w:val="1"/>
              </w:rPr>
              <w:t>第三天</w:t>
            </w:r>
          </w:p>
        </w:tc>
        <w:tc>
          <w:tcPr>
            <w:tcW w:w="1659" w:type="dxa"/>
            <w:shd w:val="clear" w:color="auto" w:fill="FFFFFF"/>
            <w:vAlign w:val="center"/>
          </w:tcPr>
          <w:p>
            <w:pPr>
              <w:ind w:firstLine="0" w:firstLineChars="0"/>
              <w:rPr>
                <w:rFonts w:ascii="宋体" w:hAnsi="宋体" w:cs="宋体"/>
              </w:rPr>
            </w:pPr>
            <w:r>
              <w:rPr>
                <w:rFonts w:hint="eastAsia" w:ascii="宋体" w:hAnsi="宋体" w:cs="宋体"/>
                <w:kern w:val="1"/>
              </w:rPr>
              <w:t>07:00-09:00</w:t>
            </w:r>
          </w:p>
        </w:tc>
        <w:tc>
          <w:tcPr>
            <w:tcW w:w="4041" w:type="dxa"/>
            <w:shd w:val="clear" w:color="auto" w:fill="FFFFFF"/>
            <w:vAlign w:val="center"/>
          </w:tcPr>
          <w:p>
            <w:pPr>
              <w:jc w:val="center"/>
              <w:rPr>
                <w:rFonts w:ascii="宋体" w:hAnsi="宋体" w:cs="宋体"/>
              </w:rPr>
            </w:pPr>
            <w:r>
              <w:rPr>
                <w:rFonts w:hint="eastAsia" w:ascii="宋体" w:hAnsi="宋体" w:cs="宋体"/>
              </w:rPr>
              <w:t>成绩公示</w:t>
            </w:r>
          </w:p>
        </w:tc>
        <w:tc>
          <w:tcPr>
            <w:tcW w:w="1509" w:type="dxa"/>
            <w:shd w:val="clear" w:color="auto" w:fill="FFFFFF"/>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1051" w:type="dxa"/>
            <w:vMerge w:val="continue"/>
            <w:shd w:val="clear" w:color="auto" w:fill="FFFFFF"/>
            <w:vAlign w:val="center"/>
          </w:tcPr>
          <w:p>
            <w:pPr>
              <w:ind w:firstLine="0" w:firstLineChars="0"/>
              <w:jc w:val="center"/>
              <w:rPr>
                <w:rFonts w:ascii="宋体" w:hAnsi="宋体" w:cs="宋体"/>
              </w:rPr>
            </w:pP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rPr>
              <w:t>10:30-11:00</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参赛代表团集合</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驻地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1051" w:type="dxa"/>
            <w:vMerge w:val="continue"/>
            <w:shd w:val="clear" w:color="auto" w:fill="FFFFFF"/>
            <w:vAlign w:val="center"/>
          </w:tcPr>
          <w:p>
            <w:pPr>
              <w:ind w:firstLine="0" w:firstLineChars="0"/>
              <w:jc w:val="center"/>
              <w:rPr>
                <w:rFonts w:ascii="宋体" w:hAnsi="宋体" w:cs="宋体"/>
              </w:rPr>
            </w:pPr>
          </w:p>
        </w:tc>
        <w:tc>
          <w:tcPr>
            <w:tcW w:w="1659" w:type="dxa"/>
            <w:shd w:val="clear" w:color="auto" w:fill="FFFFFF"/>
            <w:vAlign w:val="center"/>
          </w:tcPr>
          <w:p>
            <w:pPr>
              <w:ind w:firstLine="0" w:firstLineChars="0"/>
              <w:jc w:val="center"/>
              <w:rPr>
                <w:rFonts w:ascii="宋体" w:hAnsi="宋体" w:cs="宋体"/>
              </w:rPr>
            </w:pPr>
            <w:r>
              <w:rPr>
                <w:rFonts w:hint="eastAsia" w:ascii="宋体" w:hAnsi="宋体" w:cs="宋体"/>
                <w:kern w:val="1"/>
              </w:rPr>
              <w:t>11:00-12:00</w:t>
            </w:r>
          </w:p>
        </w:tc>
        <w:tc>
          <w:tcPr>
            <w:tcW w:w="4041" w:type="dxa"/>
            <w:shd w:val="clear" w:color="auto" w:fill="FFFFFF"/>
            <w:vAlign w:val="center"/>
          </w:tcPr>
          <w:p>
            <w:pPr>
              <w:ind w:firstLine="0" w:firstLineChars="0"/>
              <w:jc w:val="center"/>
              <w:rPr>
                <w:rFonts w:ascii="宋体" w:hAnsi="宋体" w:cs="宋体"/>
              </w:rPr>
            </w:pPr>
            <w:r>
              <w:rPr>
                <w:rFonts w:hint="eastAsia" w:ascii="宋体" w:hAnsi="宋体" w:cs="宋体"/>
                <w:kern w:val="1"/>
              </w:rPr>
              <w:t>赛项闭幕式</w:t>
            </w:r>
          </w:p>
        </w:tc>
        <w:tc>
          <w:tcPr>
            <w:tcW w:w="1509" w:type="dxa"/>
            <w:shd w:val="clear" w:color="auto" w:fill="FFFFFF"/>
            <w:vAlign w:val="center"/>
          </w:tcPr>
          <w:p>
            <w:pPr>
              <w:ind w:firstLine="0" w:firstLineChars="0"/>
              <w:jc w:val="center"/>
              <w:rPr>
                <w:rFonts w:ascii="宋体" w:hAnsi="宋体" w:cs="宋体"/>
              </w:rPr>
            </w:pPr>
            <w:r>
              <w:rPr>
                <w:rFonts w:hint="eastAsia" w:ascii="宋体" w:hAnsi="宋体" w:cs="宋体"/>
                <w:kern w:val="1"/>
              </w:rPr>
              <w:t>会议厅</w:t>
            </w:r>
          </w:p>
        </w:tc>
      </w:tr>
    </w:tbl>
    <w:p>
      <w:pPr>
        <w:spacing w:line="560" w:lineRule="exact"/>
        <w:ind w:firstLine="0" w:firstLineChars="0"/>
        <w:rPr>
          <w:rFonts w:ascii="仿宋_GB2312" w:hAnsi="仿宋_GB2312" w:eastAsia="仿宋_GB2312" w:cs="仿宋_GB2312"/>
          <w:sz w:val="30"/>
          <w:szCs w:val="30"/>
        </w:rPr>
      </w:pPr>
    </w:p>
    <w:p>
      <w:pPr>
        <w:ind w:firstLine="6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0" distR="0">
            <wp:extent cx="4008755" cy="44329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008755" cy="4432935"/>
                    </a:xfrm>
                    <a:prstGeom prst="rect">
                      <a:avLst/>
                    </a:prstGeom>
                    <a:noFill/>
                    <a:ln>
                      <a:noFill/>
                    </a:ln>
                  </pic:spPr>
                </pic:pic>
              </a:graphicData>
            </a:graphic>
          </wp:inline>
        </w:drawing>
      </w:r>
    </w:p>
    <w:p>
      <w:pPr>
        <w:spacing w:line="560" w:lineRule="exact"/>
        <w:ind w:firstLine="482"/>
        <w:jc w:val="center"/>
        <w:rPr>
          <w:rFonts w:ascii="宋体" w:hAnsi="宋体" w:cs="宋体"/>
          <w:b/>
          <w:bCs/>
        </w:rPr>
      </w:pPr>
      <w:r>
        <w:rPr>
          <w:rFonts w:hint="eastAsia" w:ascii="宋体" w:hAnsi="宋体" w:cs="宋体"/>
          <w:b/>
          <w:bCs/>
        </w:rPr>
        <w:t>竞赛流程图</w:t>
      </w:r>
    </w:p>
    <w:p>
      <w:pPr>
        <w:pStyle w:val="2"/>
        <w:spacing w:line="560" w:lineRule="exact"/>
        <w:rPr>
          <w:rFonts w:ascii="黑体" w:hAnsi="黑体" w:eastAsia="黑体" w:cs="黑体"/>
          <w:b w:val="0"/>
          <w:bCs w:val="0"/>
          <w:sz w:val="30"/>
          <w:szCs w:val="30"/>
        </w:rPr>
      </w:pPr>
      <w:bookmarkStart w:id="49" w:name="_Toc491101534"/>
      <w:bookmarkStart w:id="50" w:name="_Toc6065"/>
      <w:r>
        <w:rPr>
          <w:rFonts w:hint="eastAsia" w:ascii="黑体" w:hAnsi="黑体" w:eastAsia="黑体" w:cs="黑体"/>
          <w:b w:val="0"/>
          <w:bCs w:val="0"/>
          <w:sz w:val="30"/>
          <w:szCs w:val="30"/>
        </w:rPr>
        <w:t>竞赛试题</w:t>
      </w:r>
      <w:bookmarkEnd w:id="49"/>
      <w:bookmarkEnd w:id="50"/>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赛题均是实践操作题，</w:t>
      </w:r>
      <w:r>
        <w:rPr>
          <w:rFonts w:hint="eastAsia" w:ascii="仿宋_GB2312" w:hAnsi="仿宋_GB2312" w:eastAsia="仿宋_GB2312" w:cs="仿宋_GB2312"/>
          <w:b/>
          <w:sz w:val="30"/>
          <w:szCs w:val="30"/>
        </w:rPr>
        <w:t>承诺保证于开赛1个月前在大赛网络信息发布平台上（www.chinaskills-jsw.org)公开全部赛题，公开方式为赛题库公开。</w:t>
      </w:r>
    </w:p>
    <w:p>
      <w:pPr>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在赛前从公开的赛题库内容中建立不少于10套的竞赛赛卷，各套赛卷的重复率不超过50%。正式赛卷于比赛前三天内，将赛卷随机排序后，在监督组的监督下，由裁判长指定相关人员抽取正式赛卷与备用赛卷。赛题类型齐全、完整且具有专业性，满足比赛需要。设计的赛题难易程度相同，体现比赛公平。</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赛项比赛结束后一周内，正式赛卷（包括评分标准）通过大赛网络信息发布平台（www.chinaskills-jsw.org）公布。</w:t>
      </w:r>
    </w:p>
    <w:p>
      <w:pPr>
        <w:spacing w:line="56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竞赛样卷见附件一。</w:t>
      </w:r>
    </w:p>
    <w:p>
      <w:pPr>
        <w:pStyle w:val="2"/>
        <w:spacing w:line="560" w:lineRule="exact"/>
        <w:rPr>
          <w:rFonts w:ascii="黑体" w:hAnsi="黑体" w:eastAsia="黑体" w:cs="黑体"/>
          <w:b w:val="0"/>
          <w:bCs w:val="0"/>
          <w:sz w:val="30"/>
          <w:szCs w:val="30"/>
        </w:rPr>
      </w:pPr>
      <w:bookmarkStart w:id="51" w:name="_Toc491101535"/>
      <w:bookmarkStart w:id="52" w:name="_Toc23498"/>
      <w:r>
        <w:rPr>
          <w:rFonts w:hint="eastAsia" w:ascii="黑体" w:hAnsi="黑体" w:eastAsia="黑体" w:cs="黑体"/>
          <w:b w:val="0"/>
          <w:bCs w:val="0"/>
          <w:sz w:val="30"/>
          <w:szCs w:val="30"/>
        </w:rPr>
        <w:t>评分标准制定原则、评分方法、评分细则</w:t>
      </w:r>
      <w:bookmarkEnd w:id="51"/>
      <w:bookmarkEnd w:id="52"/>
    </w:p>
    <w:p>
      <w:pPr>
        <w:pStyle w:val="3"/>
        <w:spacing w:before="163" w:line="560" w:lineRule="exact"/>
        <w:rPr>
          <w:rFonts w:ascii="仿宋_GB2312" w:hAnsi="仿宋_GB2312" w:eastAsia="仿宋_GB2312" w:cs="仿宋_GB2312"/>
        </w:rPr>
      </w:pPr>
      <w:bookmarkStart w:id="53" w:name="_Toc491101536"/>
      <w:bookmarkStart w:id="54" w:name="_Toc2158"/>
      <w:r>
        <w:rPr>
          <w:rFonts w:hint="eastAsia" w:ascii="仿宋_GB2312" w:hAnsi="仿宋_GB2312" w:eastAsia="仿宋_GB2312" w:cs="仿宋_GB2312"/>
        </w:rPr>
        <w:t>评分标准制定原则</w:t>
      </w:r>
      <w:bookmarkEnd w:id="53"/>
      <w:bookmarkEnd w:id="54"/>
    </w:p>
    <w:p>
      <w:pPr>
        <w:snapToGrid w:val="0"/>
        <w:spacing w:line="560" w:lineRule="exact"/>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sz w:val="30"/>
          <w:szCs w:val="30"/>
        </w:rPr>
        <w:t>参照按照《全国职业院校技能大赛成绩管理办法》的相关要求</w:t>
      </w:r>
      <w:r>
        <w:rPr>
          <w:rFonts w:hint="eastAsia" w:ascii="仿宋_GB2312" w:hAnsi="仿宋_GB2312" w:eastAsia="仿宋_GB2312" w:cs="仿宋_GB2312"/>
          <w:kern w:val="0"/>
          <w:sz w:val="30"/>
          <w:szCs w:val="30"/>
        </w:rPr>
        <w:t>，根据申报赛项自身的特点，选定具有较强操作性的评分方法，编制评分细则。</w:t>
      </w:r>
    </w:p>
    <w:p>
      <w:pPr>
        <w:snapToGrid w:val="0"/>
        <w:spacing w:line="560" w:lineRule="exact"/>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竞赛成绩评定本着公平公正公开的原则，评分标准注重对参赛选手价值观与态度、工业通信与控制技术应用能力、团队协作与沟通及组织与管理能力的考察。以技能考核为主，兼顾团队协作精神和职业道德素养综合评定。</w:t>
      </w:r>
    </w:p>
    <w:p>
      <w:pPr>
        <w:snapToGrid w:val="0"/>
        <w:spacing w:line="560" w:lineRule="exact"/>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评分裁判负责对参赛队伍（选手）的技能展示、操作规范和竞赛作品等按赛项评分标准进行评定。赛项评分标准力争客观，各评分得分点可量化，评分过程全程可追溯。</w:t>
      </w:r>
    </w:p>
    <w:p>
      <w:pPr>
        <w:pStyle w:val="3"/>
        <w:spacing w:before="163" w:line="560" w:lineRule="exact"/>
        <w:rPr>
          <w:rFonts w:ascii="仿宋_GB2312" w:hAnsi="仿宋_GB2312" w:eastAsia="仿宋_GB2312" w:cs="仿宋_GB2312"/>
        </w:rPr>
      </w:pPr>
      <w:bookmarkStart w:id="55" w:name="_Toc27755"/>
      <w:bookmarkStart w:id="56" w:name="_Toc491101537"/>
      <w:r>
        <w:rPr>
          <w:rFonts w:hint="eastAsia" w:ascii="仿宋_GB2312" w:hAnsi="仿宋_GB2312" w:eastAsia="仿宋_GB2312" w:cs="仿宋_GB2312"/>
        </w:rPr>
        <w:t>评判方法</w:t>
      </w:r>
      <w:bookmarkEnd w:id="55"/>
    </w:p>
    <w:p>
      <w:pPr>
        <w:snapToGrid w:val="0"/>
        <w:spacing w:line="560" w:lineRule="exact"/>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本赛项评判方法分为结果性评分和过程性评分，不同考核内容适应不同评判办法，具体如下：</w:t>
      </w:r>
    </w:p>
    <w:tbl>
      <w:tblPr>
        <w:tblStyle w:val="32"/>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173"/>
        <w:gridCol w:w="3616"/>
        <w:gridCol w:w="1703"/>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994" w:type="dxa"/>
            <w:shd w:val="clear" w:color="auto" w:fill="auto"/>
            <w:vAlign w:val="center"/>
          </w:tcPr>
          <w:p>
            <w:pPr>
              <w:ind w:firstLine="0" w:firstLineChars="0"/>
              <w:jc w:val="center"/>
              <w:rPr>
                <w:rFonts w:ascii="宋体" w:hAnsi="宋体" w:cs="宋体"/>
              </w:rPr>
            </w:pPr>
            <w:r>
              <w:rPr>
                <w:rFonts w:hint="eastAsia" w:ascii="宋体" w:hAnsi="宋体" w:cs="宋体"/>
              </w:rPr>
              <w:t>大项</w:t>
            </w:r>
          </w:p>
        </w:tc>
        <w:tc>
          <w:tcPr>
            <w:tcW w:w="1173" w:type="dxa"/>
            <w:shd w:val="clear" w:color="auto" w:fill="auto"/>
            <w:vAlign w:val="center"/>
          </w:tcPr>
          <w:p>
            <w:pPr>
              <w:ind w:firstLine="0" w:firstLineChars="0"/>
              <w:jc w:val="center"/>
              <w:rPr>
                <w:rFonts w:ascii="宋体" w:hAnsi="宋体" w:cs="宋体"/>
              </w:rPr>
            </w:pPr>
            <w:r>
              <w:rPr>
                <w:rFonts w:hint="eastAsia" w:ascii="宋体" w:hAnsi="宋体" w:cs="宋体"/>
              </w:rPr>
              <w:t>小项</w:t>
            </w:r>
          </w:p>
        </w:tc>
        <w:tc>
          <w:tcPr>
            <w:tcW w:w="3616" w:type="dxa"/>
            <w:shd w:val="clear" w:color="auto" w:fill="auto"/>
            <w:vAlign w:val="center"/>
          </w:tcPr>
          <w:p>
            <w:pPr>
              <w:ind w:firstLine="0" w:firstLineChars="0"/>
              <w:jc w:val="center"/>
              <w:rPr>
                <w:rFonts w:ascii="宋体" w:hAnsi="宋体" w:cs="宋体"/>
              </w:rPr>
            </w:pPr>
            <w:r>
              <w:rPr>
                <w:rFonts w:hint="eastAsia" w:ascii="宋体" w:hAnsi="宋体" w:cs="宋体"/>
              </w:rPr>
              <w:t>考核内容</w:t>
            </w:r>
          </w:p>
        </w:tc>
        <w:tc>
          <w:tcPr>
            <w:tcW w:w="1703" w:type="dxa"/>
            <w:shd w:val="clear" w:color="auto" w:fill="auto"/>
            <w:vAlign w:val="center"/>
          </w:tcPr>
          <w:p>
            <w:pPr>
              <w:ind w:firstLine="0" w:firstLineChars="0"/>
              <w:jc w:val="center"/>
              <w:rPr>
                <w:rFonts w:ascii="宋体" w:hAnsi="宋体" w:cs="宋体"/>
              </w:rPr>
            </w:pPr>
            <w:r>
              <w:rPr>
                <w:rFonts w:hint="eastAsia" w:ascii="宋体" w:hAnsi="宋体" w:cs="宋体"/>
              </w:rPr>
              <w:t>评分方式</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分数比例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trPr>
        <w:tc>
          <w:tcPr>
            <w:tcW w:w="994" w:type="dxa"/>
            <w:vMerge w:val="restart"/>
            <w:shd w:val="clear" w:color="auto" w:fill="auto"/>
            <w:vAlign w:val="center"/>
          </w:tcPr>
          <w:p>
            <w:pPr>
              <w:ind w:firstLine="0" w:firstLineChars="0"/>
              <w:rPr>
                <w:rFonts w:ascii="宋体" w:hAnsi="宋体" w:cs="宋体"/>
              </w:rPr>
            </w:pPr>
            <w:r>
              <w:rPr>
                <w:rFonts w:hint="eastAsia" w:ascii="宋体" w:hAnsi="宋体" w:cs="宋体"/>
              </w:rPr>
              <w:t>信号系统逻辑设计与配置</w:t>
            </w:r>
          </w:p>
        </w:tc>
        <w:tc>
          <w:tcPr>
            <w:tcW w:w="1173" w:type="dxa"/>
            <w:shd w:val="clear" w:color="auto" w:fill="auto"/>
            <w:vAlign w:val="center"/>
          </w:tcPr>
          <w:p>
            <w:pPr>
              <w:ind w:firstLine="0" w:firstLineChars="0"/>
              <w:rPr>
                <w:rFonts w:ascii="宋体" w:hAnsi="宋体" w:cs="宋体"/>
              </w:rPr>
            </w:pPr>
            <w:r>
              <w:rPr>
                <w:rFonts w:hint="eastAsia" w:ascii="宋体" w:hAnsi="宋体" w:cs="宋体"/>
              </w:rPr>
              <w:t xml:space="preserve"> 信号设备逻辑设计</w:t>
            </w:r>
          </w:p>
        </w:tc>
        <w:tc>
          <w:tcPr>
            <w:tcW w:w="3616" w:type="dxa"/>
            <w:shd w:val="clear" w:color="auto" w:fill="auto"/>
            <w:vAlign w:val="center"/>
          </w:tcPr>
          <w:p>
            <w:pPr>
              <w:ind w:firstLine="0" w:firstLineChars="0"/>
              <w:rPr>
                <w:rFonts w:ascii="宋体" w:hAnsi="宋体" w:cs="宋体"/>
              </w:rPr>
            </w:pPr>
            <w:r>
              <w:rPr>
                <w:rFonts w:hint="eastAsia" w:ascii="宋体" w:hAnsi="宋体" w:cs="宋体"/>
              </w:rPr>
              <w:t>按要求运用流程图，结构图或时序图等设计信号设备逻辑；应用信号系统相关知识及技能分析解决技术难题。</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结果性评分（PDF格式答题卡）</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trPr>
        <w:tc>
          <w:tcPr>
            <w:tcW w:w="994" w:type="dxa"/>
            <w:vMerge w:val="continue"/>
            <w:shd w:val="clear" w:color="auto" w:fill="auto"/>
            <w:vAlign w:val="center"/>
          </w:tcPr>
          <w:p>
            <w:pPr>
              <w:ind w:firstLine="0" w:firstLineChars="0"/>
              <w:rPr>
                <w:rFonts w:ascii="宋体" w:hAnsi="宋体" w:cs="宋体"/>
              </w:rPr>
            </w:pPr>
          </w:p>
        </w:tc>
        <w:tc>
          <w:tcPr>
            <w:tcW w:w="1173" w:type="dxa"/>
            <w:shd w:val="clear" w:color="auto" w:fill="auto"/>
            <w:vAlign w:val="center"/>
          </w:tcPr>
          <w:p>
            <w:pPr>
              <w:ind w:firstLine="0" w:firstLineChars="0"/>
              <w:rPr>
                <w:rFonts w:ascii="宋体" w:hAnsi="宋体" w:cs="宋体"/>
              </w:rPr>
            </w:pPr>
            <w:r>
              <w:rPr>
                <w:rFonts w:hint="eastAsia" w:ascii="宋体" w:hAnsi="宋体" w:cs="宋体"/>
              </w:rPr>
              <w:t xml:space="preserve"> 配置或设计相关信号设备的运行参数</w:t>
            </w:r>
          </w:p>
        </w:tc>
        <w:tc>
          <w:tcPr>
            <w:tcW w:w="3616" w:type="dxa"/>
            <w:shd w:val="clear" w:color="auto" w:fill="auto"/>
            <w:vAlign w:val="center"/>
          </w:tcPr>
          <w:p>
            <w:pPr>
              <w:ind w:firstLine="0" w:firstLineChars="0"/>
              <w:rPr>
                <w:rFonts w:ascii="宋体" w:hAnsi="宋体" w:cs="宋体"/>
              </w:rPr>
            </w:pPr>
            <w:r>
              <w:rPr>
                <w:rFonts w:hint="eastAsia" w:ascii="宋体" w:hAnsi="宋体" w:cs="宋体"/>
              </w:rPr>
              <w:t>配置或设计计算信号设备运行参数。</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结果性评分（PDF格式答题卡）</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994" w:type="dxa"/>
            <w:vMerge w:val="restart"/>
            <w:shd w:val="clear" w:color="auto" w:fill="auto"/>
            <w:vAlign w:val="center"/>
          </w:tcPr>
          <w:p>
            <w:pPr>
              <w:ind w:firstLine="0" w:firstLineChars="0"/>
              <w:rPr>
                <w:rFonts w:ascii="宋体" w:hAnsi="宋体" w:cs="宋体"/>
              </w:rPr>
            </w:pPr>
            <w:r>
              <w:rPr>
                <w:rFonts w:hint="eastAsia" w:ascii="宋体" w:hAnsi="宋体" w:cs="宋体"/>
              </w:rPr>
              <w:t>信号控制系统安装部署</w:t>
            </w:r>
          </w:p>
        </w:tc>
        <w:tc>
          <w:tcPr>
            <w:tcW w:w="1173" w:type="dxa"/>
            <w:shd w:val="clear" w:color="auto" w:fill="auto"/>
            <w:vAlign w:val="center"/>
          </w:tcPr>
          <w:p>
            <w:pPr>
              <w:ind w:firstLine="0" w:firstLineChars="0"/>
              <w:rPr>
                <w:rFonts w:ascii="宋体" w:hAnsi="宋体" w:cs="宋体"/>
              </w:rPr>
            </w:pPr>
            <w:r>
              <w:rPr>
                <w:rFonts w:hint="eastAsia" w:ascii="宋体" w:hAnsi="宋体" w:cs="宋体"/>
              </w:rPr>
              <w:t xml:space="preserve"> 系统设备安装、布线</w:t>
            </w:r>
          </w:p>
        </w:tc>
        <w:tc>
          <w:tcPr>
            <w:tcW w:w="3616" w:type="dxa"/>
            <w:shd w:val="clear" w:color="auto" w:fill="auto"/>
            <w:vAlign w:val="center"/>
          </w:tcPr>
          <w:p>
            <w:pPr>
              <w:ind w:firstLine="0" w:firstLineChars="0"/>
              <w:rPr>
                <w:rFonts w:ascii="宋体" w:hAnsi="宋体" w:cs="宋体"/>
              </w:rPr>
            </w:pPr>
            <w:r>
              <w:rPr>
                <w:rFonts w:hint="eastAsia" w:ascii="宋体" w:hAnsi="宋体" w:cs="宋体"/>
              </w:rPr>
              <w:t>按照提供的接线图完成设备安装、连线及基本测试；设备正确安装、线路连接正确，端子选型正确，线号管方向正确，走线合理，线色正确，焊接标准等。</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结果性评分（竞赛结束后，现场结果性评分）</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994" w:type="dxa"/>
            <w:vMerge w:val="continue"/>
            <w:shd w:val="clear" w:color="auto" w:fill="auto"/>
            <w:vAlign w:val="center"/>
          </w:tcPr>
          <w:p>
            <w:pPr>
              <w:ind w:firstLine="0" w:firstLineChars="0"/>
              <w:rPr>
                <w:rFonts w:ascii="宋体" w:hAnsi="宋体" w:cs="宋体"/>
              </w:rPr>
            </w:pPr>
          </w:p>
        </w:tc>
        <w:tc>
          <w:tcPr>
            <w:tcW w:w="1173" w:type="dxa"/>
            <w:shd w:val="clear" w:color="auto" w:fill="auto"/>
            <w:vAlign w:val="center"/>
          </w:tcPr>
          <w:p>
            <w:pPr>
              <w:ind w:firstLine="0" w:firstLineChars="0"/>
              <w:rPr>
                <w:rFonts w:ascii="宋体" w:hAnsi="宋体" w:cs="宋体"/>
              </w:rPr>
            </w:pPr>
            <w:r>
              <w:rPr>
                <w:rFonts w:hint="eastAsia" w:ascii="宋体" w:hAnsi="宋体" w:cs="宋体"/>
              </w:rPr>
              <w:t>功能调试</w:t>
            </w:r>
          </w:p>
        </w:tc>
        <w:tc>
          <w:tcPr>
            <w:tcW w:w="3616" w:type="dxa"/>
            <w:shd w:val="clear" w:color="auto" w:fill="auto"/>
            <w:vAlign w:val="center"/>
          </w:tcPr>
          <w:p>
            <w:pPr>
              <w:ind w:firstLine="0" w:firstLineChars="0"/>
              <w:rPr>
                <w:rFonts w:ascii="宋体" w:hAnsi="宋体" w:cs="宋体"/>
              </w:rPr>
            </w:pPr>
            <w:r>
              <w:rPr>
                <w:rFonts w:hint="eastAsia" w:ascii="宋体" w:hAnsi="宋体" w:cs="宋体"/>
              </w:rPr>
              <w:t>上电前安全检查，上电后初步检测设备工作状态是否正常；按要求运行程序、调试、记录数据。</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结果性评分（PDF格式答题卡）</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94" w:type="dxa"/>
            <w:vMerge w:val="continue"/>
            <w:shd w:val="clear" w:color="auto" w:fill="auto"/>
            <w:vAlign w:val="center"/>
          </w:tcPr>
          <w:p>
            <w:pPr>
              <w:ind w:firstLine="0" w:firstLineChars="0"/>
              <w:rPr>
                <w:rFonts w:ascii="宋体" w:hAnsi="宋体" w:cs="宋体"/>
              </w:rPr>
            </w:pPr>
          </w:p>
        </w:tc>
        <w:tc>
          <w:tcPr>
            <w:tcW w:w="1173" w:type="dxa"/>
            <w:shd w:val="clear" w:color="auto" w:fill="auto"/>
            <w:vAlign w:val="center"/>
          </w:tcPr>
          <w:p>
            <w:pPr>
              <w:ind w:firstLine="0" w:firstLineChars="0"/>
              <w:rPr>
                <w:rFonts w:ascii="宋体" w:hAnsi="宋体" w:cs="宋体"/>
              </w:rPr>
            </w:pPr>
            <w:r>
              <w:rPr>
                <w:rFonts w:hint="eastAsia" w:ascii="宋体" w:hAnsi="宋体" w:cs="宋体"/>
              </w:rPr>
              <w:t xml:space="preserve"> 环境部署</w:t>
            </w:r>
          </w:p>
        </w:tc>
        <w:tc>
          <w:tcPr>
            <w:tcW w:w="3616" w:type="dxa"/>
            <w:shd w:val="clear" w:color="auto" w:fill="auto"/>
            <w:vAlign w:val="center"/>
          </w:tcPr>
          <w:p>
            <w:pPr>
              <w:ind w:firstLine="0" w:firstLineChars="0"/>
              <w:rPr>
                <w:rFonts w:ascii="宋体" w:hAnsi="宋体" w:cs="宋体"/>
              </w:rPr>
            </w:pPr>
            <w:r>
              <w:rPr>
                <w:rFonts w:hint="eastAsia" w:ascii="宋体" w:hAnsi="宋体" w:cs="宋体"/>
              </w:rPr>
              <w:t>根据要求配置各信号场景或对要求的信号场景截图。</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结果性评分（PDF格式答题卡）</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994" w:type="dxa"/>
            <w:vMerge w:val="restart"/>
            <w:shd w:val="clear" w:color="auto" w:fill="auto"/>
            <w:vAlign w:val="center"/>
          </w:tcPr>
          <w:p>
            <w:pPr>
              <w:ind w:firstLine="0" w:firstLineChars="0"/>
              <w:rPr>
                <w:rFonts w:ascii="宋体" w:hAnsi="宋体" w:cs="宋体"/>
              </w:rPr>
            </w:pPr>
            <w:r>
              <w:rPr>
                <w:rFonts w:hint="eastAsia" w:ascii="宋体" w:hAnsi="宋体" w:cs="宋体"/>
              </w:rPr>
              <w:t>信号控制系统故障原因分析追查</w:t>
            </w:r>
          </w:p>
        </w:tc>
        <w:tc>
          <w:tcPr>
            <w:tcW w:w="1173" w:type="dxa"/>
            <w:shd w:val="clear" w:color="auto" w:fill="auto"/>
            <w:vAlign w:val="center"/>
          </w:tcPr>
          <w:p>
            <w:pPr>
              <w:ind w:firstLine="0" w:firstLineChars="0"/>
              <w:rPr>
                <w:rFonts w:ascii="宋体" w:hAnsi="宋体" w:cs="宋体"/>
              </w:rPr>
            </w:pPr>
            <w:r>
              <w:rPr>
                <w:rFonts w:hint="eastAsia" w:ascii="宋体" w:hAnsi="宋体" w:cs="宋体"/>
              </w:rPr>
              <w:t>确定故障现象</w:t>
            </w:r>
          </w:p>
        </w:tc>
        <w:tc>
          <w:tcPr>
            <w:tcW w:w="3616" w:type="dxa"/>
            <w:shd w:val="clear" w:color="auto" w:fill="auto"/>
            <w:vAlign w:val="center"/>
          </w:tcPr>
          <w:p>
            <w:pPr>
              <w:ind w:firstLine="0" w:firstLineChars="0"/>
              <w:rPr>
                <w:rFonts w:ascii="宋体" w:hAnsi="宋体" w:cs="宋体"/>
              </w:rPr>
            </w:pPr>
            <w:r>
              <w:rPr>
                <w:rFonts w:hint="eastAsia" w:ascii="宋体" w:hAnsi="宋体" w:cs="宋体"/>
              </w:rPr>
              <w:t>通过给定的辅助资料等确定故障现象，并将故障定位和处理方法写在答题卡对应位置。</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结果性评分（PDF格式答题卡）</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vMerge w:val="continue"/>
            <w:shd w:val="clear" w:color="auto" w:fill="auto"/>
            <w:vAlign w:val="center"/>
          </w:tcPr>
          <w:p>
            <w:pPr>
              <w:ind w:firstLine="0" w:firstLineChars="0"/>
              <w:rPr>
                <w:rFonts w:ascii="宋体" w:hAnsi="宋体" w:cs="宋体"/>
              </w:rPr>
            </w:pPr>
          </w:p>
        </w:tc>
        <w:tc>
          <w:tcPr>
            <w:tcW w:w="1173" w:type="dxa"/>
            <w:shd w:val="clear" w:color="auto" w:fill="auto"/>
            <w:vAlign w:val="center"/>
          </w:tcPr>
          <w:p>
            <w:pPr>
              <w:ind w:firstLine="0" w:firstLineChars="0"/>
              <w:rPr>
                <w:rFonts w:ascii="宋体" w:hAnsi="宋体" w:cs="宋体"/>
              </w:rPr>
            </w:pPr>
            <w:r>
              <w:rPr>
                <w:rFonts w:hint="eastAsia" w:ascii="宋体" w:hAnsi="宋体" w:cs="宋体"/>
              </w:rPr>
              <w:t>故障排除和追查</w:t>
            </w:r>
          </w:p>
        </w:tc>
        <w:tc>
          <w:tcPr>
            <w:tcW w:w="3616" w:type="dxa"/>
            <w:shd w:val="clear" w:color="auto" w:fill="auto"/>
            <w:vAlign w:val="center"/>
          </w:tcPr>
          <w:p>
            <w:pPr>
              <w:ind w:firstLine="0" w:firstLineChars="0"/>
              <w:rPr>
                <w:rFonts w:ascii="宋体" w:hAnsi="宋体" w:cs="宋体"/>
              </w:rPr>
            </w:pPr>
            <w:r>
              <w:rPr>
                <w:rFonts w:hint="eastAsia" w:ascii="宋体" w:hAnsi="宋体" w:cs="宋体"/>
              </w:rPr>
              <w:t>用万用表、烙铁等工具进行电路板电路的维修，确定电路板电源电路无误后，再上电测试。</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结果性评分（PDF格式答题卡；若涉及焊接工艺部分，需现场结束后结果性评分）</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vMerge w:val="continue"/>
            <w:shd w:val="clear" w:color="auto" w:fill="auto"/>
            <w:vAlign w:val="center"/>
          </w:tcPr>
          <w:p>
            <w:pPr>
              <w:ind w:firstLine="0" w:firstLineChars="0"/>
              <w:rPr>
                <w:rFonts w:ascii="宋体" w:hAnsi="宋体" w:cs="宋体"/>
              </w:rPr>
            </w:pPr>
          </w:p>
        </w:tc>
        <w:tc>
          <w:tcPr>
            <w:tcW w:w="1173" w:type="dxa"/>
            <w:shd w:val="clear" w:color="auto" w:fill="auto"/>
            <w:vAlign w:val="center"/>
          </w:tcPr>
          <w:p>
            <w:pPr>
              <w:ind w:firstLine="0" w:firstLineChars="0"/>
              <w:rPr>
                <w:rFonts w:ascii="宋体" w:hAnsi="宋体" w:cs="宋体"/>
              </w:rPr>
            </w:pPr>
            <w:r>
              <w:rPr>
                <w:rFonts w:hint="eastAsia" w:ascii="宋体" w:hAnsi="宋体" w:cs="宋体"/>
              </w:rPr>
              <w:t>数据测量</w:t>
            </w:r>
          </w:p>
        </w:tc>
        <w:tc>
          <w:tcPr>
            <w:tcW w:w="3616" w:type="dxa"/>
            <w:shd w:val="clear" w:color="auto" w:fill="auto"/>
            <w:vAlign w:val="center"/>
          </w:tcPr>
          <w:p>
            <w:pPr>
              <w:ind w:firstLine="0" w:firstLineChars="0"/>
              <w:rPr>
                <w:rFonts w:ascii="宋体" w:hAnsi="宋体" w:cs="宋体"/>
              </w:rPr>
            </w:pPr>
            <w:r>
              <w:rPr>
                <w:rFonts w:hint="eastAsia" w:ascii="宋体" w:hAnsi="宋体" w:cs="宋体"/>
              </w:rPr>
              <w:t>按题目要求对特定场景下设备数据进行测量和记录。</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结果性评分（PDF格式答题卡）</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shd w:val="clear" w:color="auto" w:fill="auto"/>
            <w:vAlign w:val="center"/>
          </w:tcPr>
          <w:p>
            <w:pPr>
              <w:ind w:firstLine="0" w:firstLineChars="0"/>
              <w:rPr>
                <w:rFonts w:ascii="宋体" w:hAnsi="宋体" w:cs="宋体"/>
              </w:rPr>
            </w:pPr>
            <w:r>
              <w:rPr>
                <w:rFonts w:hint="eastAsia" w:ascii="宋体" w:hAnsi="宋体" w:cs="宋体"/>
              </w:rPr>
              <w:t>智能监控辅助系统开发</w:t>
            </w:r>
          </w:p>
        </w:tc>
        <w:tc>
          <w:tcPr>
            <w:tcW w:w="1173" w:type="dxa"/>
            <w:shd w:val="clear" w:color="auto" w:fill="auto"/>
            <w:vAlign w:val="center"/>
          </w:tcPr>
          <w:p>
            <w:pPr>
              <w:ind w:firstLine="0" w:firstLineChars="0"/>
              <w:rPr>
                <w:rFonts w:ascii="宋体" w:hAnsi="宋体" w:cs="宋体"/>
              </w:rPr>
            </w:pPr>
            <w:r>
              <w:rPr>
                <w:rFonts w:hint="eastAsia" w:ascii="宋体" w:hAnsi="宋体" w:cs="宋体"/>
              </w:rPr>
              <w:t>PLC以及人机交互界面设计调试</w:t>
            </w:r>
          </w:p>
        </w:tc>
        <w:tc>
          <w:tcPr>
            <w:tcW w:w="3616" w:type="dxa"/>
            <w:shd w:val="clear" w:color="auto" w:fill="auto"/>
            <w:vAlign w:val="center"/>
          </w:tcPr>
          <w:p>
            <w:pPr>
              <w:ind w:firstLine="0" w:firstLineChars="0"/>
              <w:rPr>
                <w:rFonts w:ascii="宋体" w:hAnsi="宋体" w:cs="宋体"/>
              </w:rPr>
            </w:pPr>
            <w:r>
              <w:rPr>
                <w:rFonts w:hint="eastAsia" w:ascii="宋体" w:hAnsi="宋体" w:cs="宋体"/>
              </w:rPr>
              <w:t>按要求实现PLC以及人机交互界面逻辑编程、调试。按照要求完成可编程逻辑控制器的功能设计。涉及：位逻辑、比较（整数或实数）、传送（字节、字、双字、实数、）、定时器（接通延时定时器）、子程序调用，标准指令库使用等；PLC内部寄存器的使用：输入输出映像寄存器、变量存储器（V）、位存储区（M）、特殊存储区（SM）、模拟量输入映像寄存器（AIW0、AIW2、AIW4、AIW6）、定时器存储区（T）；PLC自由口使用。能够根据题目需求，利用提供的PLC及相关传感器模块或者执行机构，查阅对应技术文档，快速找到对应信息，并利用这些信息完成相应功能。</w:t>
            </w:r>
          </w:p>
          <w:p>
            <w:pPr>
              <w:ind w:firstLine="0" w:firstLineChars="0"/>
              <w:rPr>
                <w:rFonts w:ascii="宋体" w:hAnsi="宋体" w:cs="宋体"/>
              </w:rPr>
            </w:pPr>
            <w:r>
              <w:rPr>
                <w:rFonts w:hint="eastAsia" w:ascii="宋体" w:hAnsi="宋体" w:cs="宋体"/>
              </w:rPr>
              <w:t>按照要求完成人机交互界面的界面设计与功能要求。涉及：触摸屏系统参数的设置；元件列表中各元件的属性；设计程序的编译，模拟与下载；向量图库与图片库的建立与使用；键盘的设计与使用；窗口的类型以及掌握窗口的建立、删除与设定；了解宏指令的结构，语法，语句，熟练掌握宏指令的读取及写入函数。能够根据题目需求，查阅提供的人机交互界面技术文档，快速找到对应信息，并利用这些信息完成相应功能。</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结果性评分（PDF格式答题卡；若需要录制视频，评分裁判根据选手提交视频进行结果性评分</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shd w:val="clear" w:color="auto" w:fill="auto"/>
            <w:vAlign w:val="center"/>
          </w:tcPr>
          <w:p>
            <w:pPr>
              <w:ind w:firstLine="0" w:firstLineChars="0"/>
              <w:rPr>
                <w:rFonts w:ascii="宋体" w:hAnsi="宋体" w:cs="宋体"/>
              </w:rPr>
            </w:pPr>
            <w:r>
              <w:rPr>
                <w:rFonts w:hint="eastAsia" w:ascii="宋体" w:hAnsi="宋体" w:cs="宋体"/>
              </w:rPr>
              <w:t>信号控制系统综合应用</w:t>
            </w:r>
          </w:p>
        </w:tc>
        <w:tc>
          <w:tcPr>
            <w:tcW w:w="1173" w:type="dxa"/>
            <w:shd w:val="clear" w:color="auto" w:fill="auto"/>
            <w:vAlign w:val="center"/>
          </w:tcPr>
          <w:p>
            <w:pPr>
              <w:ind w:firstLine="0" w:firstLineChars="0"/>
              <w:rPr>
                <w:rFonts w:ascii="宋体" w:hAnsi="宋体" w:cs="宋体"/>
              </w:rPr>
            </w:pPr>
            <w:r>
              <w:rPr>
                <w:rFonts w:hint="eastAsia" w:ascii="宋体" w:hAnsi="宋体" w:cs="宋体"/>
              </w:rPr>
              <w:t>信号控制系统的综合应用</w:t>
            </w:r>
          </w:p>
        </w:tc>
        <w:tc>
          <w:tcPr>
            <w:tcW w:w="3616" w:type="dxa"/>
            <w:shd w:val="clear" w:color="auto" w:fill="auto"/>
            <w:vAlign w:val="center"/>
          </w:tcPr>
          <w:p>
            <w:pPr>
              <w:ind w:firstLine="0" w:firstLineChars="0"/>
              <w:rPr>
                <w:rFonts w:ascii="宋体" w:hAnsi="宋体" w:cs="宋体"/>
              </w:rPr>
            </w:pPr>
            <w:r>
              <w:rPr>
                <w:rFonts w:hint="eastAsia" w:ascii="宋体" w:hAnsi="宋体" w:cs="宋体"/>
              </w:rPr>
              <w:t>通过操作轨道交通信号控制系统操作终端、模拟轨道和移频设备等实现场景的演变过程。考察学生对信号设备的综合水平，对轨道交通信号的原理掌握情况，以及分析和推理能力。</w:t>
            </w:r>
          </w:p>
        </w:tc>
        <w:tc>
          <w:tcPr>
            <w:tcW w:w="1703" w:type="dxa"/>
            <w:shd w:val="clear" w:color="auto" w:fill="auto"/>
            <w:vAlign w:val="center"/>
          </w:tcPr>
          <w:p>
            <w:pPr>
              <w:ind w:firstLine="0" w:firstLineChars="0"/>
              <w:rPr>
                <w:rFonts w:ascii="宋体" w:hAnsi="宋体" w:cs="宋体"/>
              </w:rPr>
            </w:pPr>
            <w:r>
              <w:rPr>
                <w:rFonts w:hint="eastAsia" w:ascii="宋体" w:hAnsi="宋体" w:cs="宋体"/>
              </w:rPr>
              <w:t>结果性评分（PDF格式答题卡）</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994" w:type="dxa"/>
            <w:vMerge w:val="restart"/>
            <w:shd w:val="clear" w:color="auto" w:fill="auto"/>
            <w:vAlign w:val="center"/>
          </w:tcPr>
          <w:p>
            <w:pPr>
              <w:ind w:firstLine="0" w:firstLineChars="0"/>
              <w:rPr>
                <w:rFonts w:ascii="宋体" w:hAnsi="宋体" w:cs="宋体"/>
              </w:rPr>
            </w:pPr>
            <w:r>
              <w:rPr>
                <w:rFonts w:hint="eastAsia" w:ascii="宋体" w:hAnsi="宋体" w:cs="宋体"/>
              </w:rPr>
              <w:t>操作规范</w:t>
            </w:r>
          </w:p>
        </w:tc>
        <w:tc>
          <w:tcPr>
            <w:tcW w:w="1173" w:type="dxa"/>
            <w:vMerge w:val="restart"/>
            <w:shd w:val="clear" w:color="auto" w:fill="auto"/>
            <w:vAlign w:val="center"/>
          </w:tcPr>
          <w:p>
            <w:pPr>
              <w:ind w:firstLine="0" w:firstLineChars="0"/>
              <w:rPr>
                <w:rFonts w:ascii="宋体" w:hAnsi="宋体" w:cs="宋体"/>
              </w:rPr>
            </w:pPr>
            <w:r>
              <w:rPr>
                <w:rFonts w:hint="eastAsia" w:ascii="宋体" w:hAnsi="宋体" w:cs="宋体"/>
              </w:rPr>
              <w:t>工作报告</w:t>
            </w:r>
          </w:p>
        </w:tc>
        <w:tc>
          <w:tcPr>
            <w:tcW w:w="3616" w:type="dxa"/>
            <w:shd w:val="clear" w:color="auto" w:fill="auto"/>
            <w:vAlign w:val="center"/>
          </w:tcPr>
          <w:p>
            <w:pPr>
              <w:ind w:firstLine="0" w:firstLineChars="0"/>
              <w:rPr>
                <w:rFonts w:ascii="宋体" w:hAnsi="宋体" w:cs="宋体"/>
              </w:rPr>
            </w:pPr>
            <w:r>
              <w:rPr>
                <w:rFonts w:hint="eastAsia" w:ascii="宋体" w:hAnsi="宋体" w:cs="宋体"/>
              </w:rPr>
              <w:t>简单描述任务要求。</w:t>
            </w:r>
          </w:p>
        </w:tc>
        <w:tc>
          <w:tcPr>
            <w:tcW w:w="1703" w:type="dxa"/>
            <w:vMerge w:val="restart"/>
            <w:shd w:val="clear" w:color="auto" w:fill="auto"/>
            <w:vAlign w:val="center"/>
          </w:tcPr>
          <w:p>
            <w:pPr>
              <w:ind w:firstLine="0" w:firstLineChars="0"/>
              <w:rPr>
                <w:rFonts w:ascii="宋体" w:hAnsi="宋体" w:cs="宋体"/>
              </w:rPr>
            </w:pPr>
            <w:r>
              <w:rPr>
                <w:rFonts w:hint="eastAsia" w:ascii="宋体" w:hAnsi="宋体" w:cs="宋体"/>
              </w:rPr>
              <w:t>结果性评分（PDF格式答题卡）</w:t>
            </w:r>
          </w:p>
        </w:tc>
        <w:tc>
          <w:tcPr>
            <w:tcW w:w="1233" w:type="dxa"/>
            <w:vMerge w:val="restart"/>
            <w:shd w:val="clear" w:color="auto" w:fill="auto"/>
            <w:vAlign w:val="center"/>
          </w:tcPr>
          <w:p>
            <w:pPr>
              <w:ind w:firstLine="0" w:firstLineChars="0"/>
              <w:rPr>
                <w:rFonts w:ascii="宋体" w:hAnsi="宋体" w:cs="宋体"/>
              </w:rPr>
            </w:pPr>
            <w:r>
              <w:rPr>
                <w:rFonts w:hint="eastAsia" w:ascii="宋体" w:hAnsi="宋体" w:cs="宋体"/>
                <w:kern w:val="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vMerge w:val="continue"/>
            <w:shd w:val="clear" w:color="auto" w:fill="auto"/>
            <w:vAlign w:val="center"/>
          </w:tcPr>
          <w:p>
            <w:pPr>
              <w:ind w:firstLine="0" w:firstLineChars="0"/>
              <w:rPr>
                <w:rFonts w:ascii="宋体" w:hAnsi="宋体" w:cs="宋体"/>
              </w:rPr>
            </w:pPr>
          </w:p>
        </w:tc>
        <w:tc>
          <w:tcPr>
            <w:tcW w:w="1173" w:type="dxa"/>
            <w:vMerge w:val="continue"/>
            <w:shd w:val="clear" w:color="auto" w:fill="auto"/>
            <w:vAlign w:val="center"/>
          </w:tcPr>
          <w:p>
            <w:pPr>
              <w:ind w:firstLine="0" w:firstLineChars="0"/>
              <w:rPr>
                <w:rFonts w:ascii="宋体" w:hAnsi="宋体" w:cs="宋体"/>
              </w:rPr>
            </w:pPr>
          </w:p>
        </w:tc>
        <w:tc>
          <w:tcPr>
            <w:tcW w:w="3616" w:type="dxa"/>
            <w:shd w:val="clear" w:color="auto" w:fill="auto"/>
            <w:vAlign w:val="center"/>
          </w:tcPr>
          <w:p>
            <w:pPr>
              <w:ind w:firstLine="0" w:firstLineChars="0"/>
              <w:rPr>
                <w:rFonts w:ascii="宋体" w:hAnsi="宋体" w:cs="宋体"/>
              </w:rPr>
            </w:pPr>
            <w:r>
              <w:rPr>
                <w:rFonts w:hint="eastAsia" w:ascii="宋体" w:hAnsi="宋体" w:cs="宋体"/>
              </w:rPr>
              <w:t>记录操作过程。</w:t>
            </w:r>
          </w:p>
        </w:tc>
        <w:tc>
          <w:tcPr>
            <w:tcW w:w="1703" w:type="dxa"/>
            <w:vMerge w:val="continue"/>
            <w:shd w:val="clear" w:color="auto" w:fill="auto"/>
            <w:vAlign w:val="center"/>
          </w:tcPr>
          <w:p>
            <w:pPr>
              <w:ind w:firstLine="0" w:firstLineChars="0"/>
              <w:rPr>
                <w:rFonts w:ascii="宋体" w:hAnsi="宋体" w:cs="宋体"/>
              </w:rPr>
            </w:pPr>
          </w:p>
        </w:tc>
        <w:tc>
          <w:tcPr>
            <w:tcW w:w="1233" w:type="dxa"/>
            <w:vMerge w:val="continue"/>
            <w:shd w:val="clear" w:color="auto" w:fill="auto"/>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994" w:type="dxa"/>
            <w:vMerge w:val="continue"/>
            <w:shd w:val="clear" w:color="auto" w:fill="auto"/>
            <w:vAlign w:val="center"/>
          </w:tcPr>
          <w:p>
            <w:pPr>
              <w:ind w:firstLine="0" w:firstLineChars="0"/>
              <w:rPr>
                <w:rFonts w:ascii="宋体" w:hAnsi="宋体" w:cs="宋体"/>
              </w:rPr>
            </w:pPr>
          </w:p>
        </w:tc>
        <w:tc>
          <w:tcPr>
            <w:tcW w:w="1173" w:type="dxa"/>
            <w:vMerge w:val="continue"/>
            <w:shd w:val="clear" w:color="auto" w:fill="auto"/>
            <w:vAlign w:val="center"/>
          </w:tcPr>
          <w:p>
            <w:pPr>
              <w:ind w:firstLine="0" w:firstLineChars="0"/>
              <w:rPr>
                <w:rFonts w:ascii="宋体" w:hAnsi="宋体" w:cs="宋体"/>
              </w:rPr>
            </w:pPr>
          </w:p>
        </w:tc>
        <w:tc>
          <w:tcPr>
            <w:tcW w:w="3616" w:type="dxa"/>
            <w:shd w:val="clear" w:color="auto" w:fill="auto"/>
            <w:vAlign w:val="center"/>
          </w:tcPr>
          <w:p>
            <w:pPr>
              <w:ind w:firstLine="0" w:firstLineChars="0"/>
              <w:rPr>
                <w:rFonts w:ascii="宋体" w:hAnsi="宋体" w:cs="宋体"/>
              </w:rPr>
            </w:pPr>
            <w:r>
              <w:rPr>
                <w:rFonts w:hint="eastAsia" w:ascii="宋体" w:hAnsi="宋体" w:cs="宋体"/>
              </w:rPr>
              <w:t>记录实施结果，或进行任务总结。</w:t>
            </w:r>
          </w:p>
        </w:tc>
        <w:tc>
          <w:tcPr>
            <w:tcW w:w="1703" w:type="dxa"/>
            <w:vMerge w:val="continue"/>
            <w:shd w:val="clear" w:color="auto" w:fill="auto"/>
            <w:vAlign w:val="center"/>
          </w:tcPr>
          <w:p>
            <w:pPr>
              <w:ind w:firstLine="0" w:firstLineChars="0"/>
              <w:rPr>
                <w:rFonts w:ascii="宋体" w:hAnsi="宋体" w:cs="宋体"/>
              </w:rPr>
            </w:pPr>
          </w:p>
        </w:tc>
        <w:tc>
          <w:tcPr>
            <w:tcW w:w="1233" w:type="dxa"/>
            <w:vMerge w:val="continue"/>
            <w:shd w:val="clear" w:color="auto" w:fill="auto"/>
            <w:vAlign w:val="center"/>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994" w:type="dxa"/>
            <w:vMerge w:val="continue"/>
            <w:shd w:val="clear" w:color="auto" w:fill="auto"/>
            <w:vAlign w:val="center"/>
          </w:tcPr>
          <w:p>
            <w:pPr>
              <w:ind w:firstLine="0" w:firstLineChars="0"/>
              <w:rPr>
                <w:rFonts w:ascii="宋体" w:hAnsi="宋体" w:cs="宋体"/>
              </w:rPr>
            </w:pPr>
          </w:p>
        </w:tc>
        <w:tc>
          <w:tcPr>
            <w:tcW w:w="1173" w:type="dxa"/>
            <w:shd w:val="clear" w:color="auto" w:fill="auto"/>
            <w:vAlign w:val="center"/>
          </w:tcPr>
          <w:p>
            <w:pPr>
              <w:ind w:firstLine="0" w:firstLineChars="0"/>
              <w:rPr>
                <w:rFonts w:ascii="宋体" w:hAnsi="宋体" w:cs="宋体"/>
              </w:rPr>
            </w:pPr>
            <w:r>
              <w:rPr>
                <w:rFonts w:hint="eastAsia" w:ascii="宋体" w:hAnsi="宋体" w:cs="宋体"/>
              </w:rPr>
              <w:t>现场管理及安全</w:t>
            </w:r>
          </w:p>
        </w:tc>
        <w:tc>
          <w:tcPr>
            <w:tcW w:w="3616" w:type="dxa"/>
            <w:shd w:val="clear" w:color="auto" w:fill="auto"/>
            <w:vAlign w:val="center"/>
          </w:tcPr>
          <w:p>
            <w:pPr>
              <w:ind w:firstLine="0" w:firstLineChars="0"/>
              <w:rPr>
                <w:rFonts w:ascii="宋体" w:hAnsi="宋体" w:cs="宋体"/>
              </w:rPr>
            </w:pPr>
            <w:r>
              <w:rPr>
                <w:rFonts w:hint="eastAsia" w:ascii="宋体" w:hAnsi="宋体" w:cs="宋体"/>
              </w:rPr>
              <w:t>严格遵守大赛规章制度，遵守安全操作规范、赛项工艺标准、行业作业标准、职业素养等。</w:t>
            </w:r>
          </w:p>
        </w:tc>
        <w:tc>
          <w:tcPr>
            <w:tcW w:w="1703" w:type="dxa"/>
            <w:shd w:val="clear" w:color="auto" w:fill="auto"/>
            <w:vAlign w:val="center"/>
          </w:tcPr>
          <w:p>
            <w:pPr>
              <w:ind w:firstLine="0" w:firstLineChars="0"/>
              <w:rPr>
                <w:rFonts w:ascii="宋体" w:hAnsi="宋体" w:cs="宋体"/>
              </w:rPr>
            </w:pPr>
            <w:r>
              <w:rPr>
                <w:rFonts w:hint="eastAsia" w:ascii="宋体" w:hAnsi="宋体" w:cs="宋体"/>
              </w:rPr>
              <w:t>过程性评分</w:t>
            </w:r>
          </w:p>
        </w:tc>
        <w:tc>
          <w:tcPr>
            <w:tcW w:w="1233" w:type="dxa"/>
            <w:shd w:val="clear" w:color="auto" w:fill="auto"/>
            <w:vAlign w:val="center"/>
          </w:tcPr>
          <w:p>
            <w:pPr>
              <w:ind w:firstLine="0" w:firstLineChars="0"/>
              <w:rPr>
                <w:rFonts w:ascii="宋体" w:hAnsi="宋体" w:cs="宋体"/>
              </w:rPr>
            </w:pPr>
            <w:r>
              <w:rPr>
                <w:rFonts w:hint="eastAsia" w:ascii="宋体" w:hAnsi="宋体" w:cs="宋体"/>
                <w:kern w:val="0"/>
              </w:rPr>
              <w:t>4%</w:t>
            </w:r>
          </w:p>
        </w:tc>
      </w:tr>
    </w:tbl>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1.结果性评分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通过对本赛项技术平台设备的操作，在规定时间内，按任务书要求实现竞赛内容，并将竞赛结果按照要求放到答题卡内，最后转成PDF格式提交，任务结果以PDF格式竞赛答题卡结论为准，写在任务书上无效。裁判分组对参赛队的竞赛结果进行评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系统设备安装、布线涉及布线结果或者工艺部分需要现场查看，进行结果性评分。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2.过程性评分</w:t>
      </w:r>
    </w:p>
    <w:p>
      <w:pPr>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操作规范中涉及现场管理及安全部分，裁判根据参赛队伍（选手）在分步操作过程中的规范性、合理性以及完成质量等，依据评分标准按步给分。</w:t>
      </w:r>
    </w:p>
    <w:p>
      <w:pPr>
        <w:pStyle w:val="3"/>
        <w:spacing w:before="163" w:line="560" w:lineRule="exact"/>
        <w:rPr>
          <w:rFonts w:ascii="仿宋_GB2312" w:hAnsi="仿宋_GB2312" w:eastAsia="仿宋_GB2312" w:cs="仿宋_GB2312"/>
        </w:rPr>
      </w:pPr>
      <w:bookmarkStart w:id="57" w:name="_Toc17580"/>
      <w:r>
        <w:rPr>
          <w:rFonts w:hint="eastAsia" w:ascii="仿宋_GB2312" w:hAnsi="仿宋_GB2312" w:eastAsia="仿宋_GB2312" w:cs="仿宋_GB2312"/>
        </w:rPr>
        <w:t>评分细则</w:t>
      </w:r>
      <w:bookmarkEnd w:id="57"/>
    </w:p>
    <w:p>
      <w:pPr>
        <w:spacing w:line="560" w:lineRule="exact"/>
        <w:ind w:firstLine="600"/>
        <w:jc w:val="left"/>
        <w:rPr>
          <w:rFonts w:ascii="仿宋" w:hAnsi="仿宋" w:eastAsia="仿宋"/>
          <w:sz w:val="30"/>
          <w:szCs w:val="30"/>
        </w:rPr>
      </w:pPr>
      <w:r>
        <w:rPr>
          <w:rFonts w:hint="eastAsia" w:ascii="仿宋_GB2312" w:hAnsi="仿宋_GB2312" w:eastAsia="仿宋_GB2312" w:cs="仿宋_GB2312"/>
          <w:sz w:val="30"/>
          <w:szCs w:val="30"/>
        </w:rPr>
        <w:t>本竞赛采用满分100分，</w:t>
      </w:r>
      <w:r>
        <w:rPr>
          <w:rFonts w:hint="eastAsia" w:ascii="仿宋" w:hAnsi="仿宋" w:eastAsia="仿宋"/>
          <w:sz w:val="30"/>
          <w:szCs w:val="30"/>
        </w:rPr>
        <w:t>针对</w:t>
      </w:r>
      <w:r>
        <w:rPr>
          <w:rFonts w:ascii="仿宋" w:hAnsi="仿宋" w:eastAsia="仿宋"/>
          <w:sz w:val="30"/>
          <w:szCs w:val="30"/>
        </w:rPr>
        <w:t>竞赛样</w:t>
      </w:r>
      <w:r>
        <w:rPr>
          <w:rFonts w:hint="eastAsia" w:ascii="仿宋" w:hAnsi="仿宋" w:eastAsia="仿宋"/>
          <w:sz w:val="30"/>
          <w:szCs w:val="30"/>
        </w:rPr>
        <w:t>卷</w:t>
      </w:r>
      <w:r>
        <w:rPr>
          <w:rFonts w:ascii="仿宋" w:hAnsi="仿宋" w:eastAsia="仿宋"/>
          <w:sz w:val="30"/>
          <w:szCs w:val="30"/>
        </w:rPr>
        <w:t>（</w:t>
      </w:r>
      <w:r>
        <w:rPr>
          <w:rFonts w:hint="eastAsia" w:ascii="仿宋" w:hAnsi="仿宋" w:eastAsia="仿宋"/>
          <w:sz w:val="30"/>
          <w:szCs w:val="30"/>
        </w:rPr>
        <w:t>附件一</w:t>
      </w:r>
      <w:r>
        <w:rPr>
          <w:rFonts w:ascii="仿宋" w:hAnsi="仿宋" w:eastAsia="仿宋"/>
          <w:sz w:val="30"/>
          <w:szCs w:val="30"/>
        </w:rPr>
        <w:t>）</w:t>
      </w:r>
      <w:r>
        <w:rPr>
          <w:rFonts w:hint="eastAsia" w:ascii="仿宋" w:hAnsi="仿宋" w:eastAsia="仿宋"/>
          <w:sz w:val="30"/>
          <w:szCs w:val="30"/>
        </w:rPr>
        <w:t>，竞赛考核评分标准如下。</w:t>
      </w:r>
    </w:p>
    <w:p>
      <w:pPr>
        <w:spacing w:line="560" w:lineRule="exact"/>
        <w:ind w:firstLine="0" w:firstLineChars="0"/>
        <w:jc w:val="left"/>
        <w:rPr>
          <w:rFonts w:ascii="仿宋" w:hAnsi="仿宋" w:eastAsia="仿宋"/>
          <w:sz w:val="30"/>
          <w:szCs w:val="30"/>
        </w:rPr>
      </w:pPr>
      <w:r>
        <w:rPr>
          <w:rFonts w:hint="eastAsia" w:ascii="仿宋" w:hAnsi="仿宋" w:eastAsia="仿宋"/>
          <w:sz w:val="30"/>
          <w:szCs w:val="30"/>
        </w:rPr>
        <w:t>1.任务一至任务五评分标准：</w:t>
      </w:r>
    </w:p>
    <w:tbl>
      <w:tblPr>
        <w:tblStyle w:val="33"/>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227"/>
        <w:gridCol w:w="587"/>
        <w:gridCol w:w="5222"/>
        <w:gridCol w:w="425"/>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1039" w:type="dxa"/>
            <w:vAlign w:val="center"/>
          </w:tcPr>
          <w:p>
            <w:pPr>
              <w:ind w:firstLine="0" w:firstLineChars="0"/>
              <w:jc w:val="center"/>
              <w:rPr>
                <w:rFonts w:ascii="宋体" w:hAnsi="宋体" w:cs="宋体"/>
                <w:b/>
              </w:rPr>
            </w:pPr>
            <w:bookmarkStart w:id="58" w:name="_Hlk484075079"/>
            <w:bookmarkStart w:id="59" w:name="_Hlk484073652"/>
            <w:bookmarkStart w:id="60" w:name="_Toc10606"/>
            <w:r>
              <w:rPr>
                <w:rFonts w:hint="eastAsia" w:ascii="宋体" w:hAnsi="宋体" w:cs="宋体"/>
                <w:b/>
              </w:rPr>
              <w:t>一级</w:t>
            </w:r>
          </w:p>
          <w:p>
            <w:pPr>
              <w:ind w:firstLine="0" w:firstLineChars="0"/>
              <w:jc w:val="center"/>
              <w:rPr>
                <w:rFonts w:ascii="宋体" w:hAnsi="宋体" w:cs="宋体"/>
                <w:b/>
              </w:rPr>
            </w:pPr>
            <w:r>
              <w:rPr>
                <w:rFonts w:hint="eastAsia" w:ascii="宋体" w:hAnsi="宋体" w:cs="宋体"/>
                <w:b/>
              </w:rPr>
              <w:t>目录</w:t>
            </w:r>
          </w:p>
        </w:tc>
        <w:tc>
          <w:tcPr>
            <w:tcW w:w="1227" w:type="dxa"/>
            <w:vAlign w:val="center"/>
          </w:tcPr>
          <w:p>
            <w:pPr>
              <w:ind w:firstLine="0" w:firstLineChars="0"/>
              <w:jc w:val="center"/>
              <w:rPr>
                <w:rFonts w:ascii="宋体" w:hAnsi="宋体" w:cs="宋体"/>
                <w:b/>
              </w:rPr>
            </w:pPr>
            <w:r>
              <w:rPr>
                <w:rFonts w:hint="eastAsia" w:ascii="宋体" w:hAnsi="宋体" w:cs="宋体"/>
                <w:b/>
              </w:rPr>
              <w:t>二级</w:t>
            </w:r>
          </w:p>
          <w:p>
            <w:pPr>
              <w:ind w:firstLine="0" w:firstLineChars="0"/>
              <w:jc w:val="center"/>
              <w:rPr>
                <w:rFonts w:ascii="宋体" w:hAnsi="宋体" w:cs="宋体"/>
                <w:b/>
              </w:rPr>
            </w:pPr>
            <w:r>
              <w:rPr>
                <w:rFonts w:hint="eastAsia" w:ascii="宋体" w:hAnsi="宋体" w:cs="宋体"/>
                <w:b/>
              </w:rPr>
              <w:t>目录</w:t>
            </w:r>
          </w:p>
        </w:tc>
        <w:tc>
          <w:tcPr>
            <w:tcW w:w="5809" w:type="dxa"/>
            <w:gridSpan w:val="2"/>
            <w:vAlign w:val="center"/>
          </w:tcPr>
          <w:p>
            <w:pPr>
              <w:ind w:firstLine="0" w:firstLineChars="0"/>
              <w:jc w:val="center"/>
              <w:rPr>
                <w:rFonts w:ascii="宋体" w:hAnsi="宋体" w:cs="宋体"/>
                <w:b/>
              </w:rPr>
            </w:pPr>
            <w:r>
              <w:rPr>
                <w:rFonts w:hint="eastAsia" w:ascii="宋体" w:hAnsi="宋体" w:cs="宋体"/>
                <w:b/>
              </w:rPr>
              <w:t>评分标准</w:t>
            </w:r>
          </w:p>
        </w:tc>
        <w:tc>
          <w:tcPr>
            <w:tcW w:w="425" w:type="dxa"/>
            <w:vAlign w:val="center"/>
          </w:tcPr>
          <w:p>
            <w:pPr>
              <w:ind w:firstLine="0" w:firstLineChars="0"/>
              <w:jc w:val="center"/>
              <w:rPr>
                <w:rFonts w:ascii="宋体" w:hAnsi="宋体" w:cs="宋体"/>
                <w:b/>
              </w:rPr>
            </w:pPr>
            <w:r>
              <w:rPr>
                <w:rFonts w:hint="eastAsia" w:ascii="宋体" w:hAnsi="宋体" w:cs="宋体"/>
                <w:b/>
              </w:rPr>
              <w:t>子项扣分</w:t>
            </w:r>
          </w:p>
        </w:tc>
        <w:tc>
          <w:tcPr>
            <w:tcW w:w="426" w:type="dxa"/>
            <w:vAlign w:val="center"/>
          </w:tcPr>
          <w:p>
            <w:pPr>
              <w:ind w:firstLine="0" w:firstLineChars="0"/>
              <w:jc w:val="center"/>
              <w:rPr>
                <w:rFonts w:ascii="宋体" w:hAnsi="宋体" w:cs="宋体"/>
                <w:b/>
              </w:rPr>
            </w:pPr>
            <w:r>
              <w:rPr>
                <w:rFonts w:hint="eastAsia" w:ascii="宋体" w:hAnsi="宋体" w:cs="宋体"/>
                <w:b/>
              </w:rPr>
              <w:t>扣分</w:t>
            </w:r>
          </w:p>
          <w:p>
            <w:pPr>
              <w:ind w:firstLine="0" w:firstLineChars="0"/>
              <w:jc w:val="center"/>
              <w:rPr>
                <w:rFonts w:ascii="宋体" w:hAnsi="宋体" w:cs="宋体"/>
                <w:b/>
              </w:rPr>
            </w:pPr>
            <w:r>
              <w:rPr>
                <w:rFonts w:hint="eastAsia" w:ascii="宋体" w:hAnsi="宋体" w:cs="宋体"/>
                <w:b/>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1039" w:type="dxa"/>
            <w:vMerge w:val="restart"/>
            <w:vAlign w:val="center"/>
          </w:tcPr>
          <w:p>
            <w:pPr>
              <w:autoSpaceDN w:val="0"/>
              <w:adjustRightInd w:val="0"/>
              <w:snapToGrid w:val="0"/>
              <w:ind w:firstLine="0" w:firstLineChars="0"/>
              <w:jc w:val="left"/>
              <w:outlineLvl w:val="0"/>
              <w:rPr>
                <w:rFonts w:ascii="宋体" w:hAnsi="宋体" w:cs="宋体"/>
              </w:rPr>
            </w:pPr>
            <w:r>
              <w:rPr>
                <w:rFonts w:hint="eastAsia" w:ascii="宋体" w:hAnsi="宋体" w:cs="宋体"/>
              </w:rPr>
              <w:t>任务一信号系统逻辑设计与配置（10分）</w:t>
            </w:r>
          </w:p>
        </w:tc>
        <w:tc>
          <w:tcPr>
            <w:tcW w:w="1227" w:type="dxa"/>
            <w:vMerge w:val="restart"/>
            <w:vAlign w:val="center"/>
          </w:tcPr>
          <w:p>
            <w:pPr>
              <w:ind w:firstLine="0" w:firstLineChars="0"/>
              <w:rPr>
                <w:rFonts w:ascii="宋体" w:hAnsi="宋体" w:cs="宋体"/>
                <w:b/>
                <w:bCs/>
                <w:iCs/>
              </w:rPr>
            </w:pPr>
            <w:r>
              <w:rPr>
                <w:rFonts w:hint="eastAsia" w:ascii="宋体" w:hAnsi="宋体" w:cs="宋体"/>
              </w:rPr>
              <w:t>（一）信号设备逻辑设计（6分）</w:t>
            </w:r>
          </w:p>
          <w:p>
            <w:pPr>
              <w:ind w:firstLine="0" w:firstLineChars="0"/>
              <w:rPr>
                <w:rFonts w:ascii="宋体" w:hAnsi="宋体" w:cs="宋体"/>
              </w:rPr>
            </w:pPr>
          </w:p>
        </w:tc>
        <w:tc>
          <w:tcPr>
            <w:tcW w:w="5809" w:type="dxa"/>
            <w:gridSpan w:val="2"/>
            <w:vAlign w:val="center"/>
          </w:tcPr>
          <w:p>
            <w:pPr>
              <w:ind w:firstLine="0" w:firstLineChars="0"/>
              <w:rPr>
                <w:rFonts w:ascii="宋体" w:hAnsi="宋体" w:cs="宋体"/>
              </w:rPr>
            </w:pPr>
            <w:r>
              <w:rPr>
                <w:rFonts w:hint="eastAsia" w:ascii="宋体" w:hAnsi="宋体" w:cs="宋体"/>
              </w:rPr>
              <w:t>对照“图1-1-逻辑关系图”，设备图片选取每错一处扣0.5分，逻辑线或逻辑关系每错一处扣0.5分，</w:t>
            </w:r>
            <w:r>
              <w:rPr>
                <w:rFonts w:hint="eastAsia" w:ascii="宋体" w:hAnsi="宋体" w:cs="宋体"/>
                <w:b/>
                <w:bCs/>
              </w:rPr>
              <w:t>共3分扣完为止。</w:t>
            </w:r>
          </w:p>
        </w:tc>
        <w:tc>
          <w:tcPr>
            <w:tcW w:w="425" w:type="dxa"/>
          </w:tcPr>
          <w:p>
            <w:pPr>
              <w:ind w:firstLine="0" w:firstLineChars="0"/>
              <w:jc w:val="center"/>
              <w:rPr>
                <w:rFonts w:ascii="宋体" w:hAnsi="宋体" w:cs="宋体"/>
              </w:rPr>
            </w:pPr>
          </w:p>
        </w:tc>
        <w:tc>
          <w:tcPr>
            <w:tcW w:w="426" w:type="dxa"/>
            <w:vMerge w:val="restart"/>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039" w:type="dxa"/>
            <w:vMerge w:val="continue"/>
            <w:vAlign w:val="center"/>
          </w:tcPr>
          <w:p>
            <w:pPr>
              <w:ind w:firstLine="0" w:firstLineChars="0"/>
              <w:jc w:val="center"/>
              <w:rPr>
                <w:rFonts w:ascii="宋体" w:hAnsi="宋体" w:cs="宋体"/>
              </w:rPr>
            </w:pPr>
          </w:p>
        </w:tc>
        <w:tc>
          <w:tcPr>
            <w:tcW w:w="1227" w:type="dxa"/>
            <w:vMerge w:val="continue"/>
            <w:vAlign w:val="center"/>
          </w:tcPr>
          <w:p>
            <w:pPr>
              <w:ind w:firstLine="0" w:firstLineChars="0"/>
              <w:rPr>
                <w:rFonts w:ascii="宋体" w:hAnsi="宋体" w:cs="宋体"/>
              </w:rPr>
            </w:pPr>
          </w:p>
        </w:tc>
        <w:tc>
          <w:tcPr>
            <w:tcW w:w="5809" w:type="dxa"/>
            <w:gridSpan w:val="2"/>
            <w:vAlign w:val="center"/>
          </w:tcPr>
          <w:p>
            <w:pPr>
              <w:ind w:firstLine="0" w:firstLineChars="0"/>
              <w:rPr>
                <w:rFonts w:ascii="宋体" w:hAnsi="宋体" w:cs="宋体"/>
              </w:rPr>
            </w:pPr>
            <w:r>
              <w:rPr>
                <w:rFonts w:hint="eastAsia" w:ascii="宋体" w:hAnsi="宋体" w:cs="宋体"/>
              </w:rPr>
              <w:t>两个参数每错一处扣0.5分，</w:t>
            </w:r>
            <w:r>
              <w:rPr>
                <w:rFonts w:hint="eastAsia" w:ascii="宋体" w:hAnsi="宋体" w:cs="宋体"/>
                <w:b/>
                <w:bCs/>
              </w:rPr>
              <w:t>共1分扣完为止</w:t>
            </w:r>
            <w:r>
              <w:rPr>
                <w:rFonts w:hint="eastAsia" w:ascii="宋体" w:hAnsi="宋体" w:cs="宋体"/>
              </w:rPr>
              <w:t>。</w:t>
            </w:r>
          </w:p>
        </w:tc>
        <w:tc>
          <w:tcPr>
            <w:tcW w:w="425" w:type="dxa"/>
          </w:tcPr>
          <w:p>
            <w:pPr>
              <w:ind w:firstLine="0" w:firstLineChars="0"/>
              <w:jc w:val="center"/>
              <w:rPr>
                <w:rFonts w:ascii="宋体" w:hAnsi="宋体" w:cs="宋体"/>
              </w:rPr>
            </w:pPr>
          </w:p>
        </w:tc>
        <w:tc>
          <w:tcPr>
            <w:tcW w:w="426" w:type="dxa"/>
            <w:vMerge w:val="continue"/>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039" w:type="dxa"/>
            <w:vMerge w:val="continue"/>
            <w:vAlign w:val="center"/>
          </w:tcPr>
          <w:p>
            <w:pPr>
              <w:ind w:firstLine="0" w:firstLineChars="0"/>
              <w:jc w:val="center"/>
              <w:rPr>
                <w:rFonts w:ascii="宋体" w:hAnsi="宋体" w:cs="宋体"/>
              </w:rPr>
            </w:pPr>
          </w:p>
        </w:tc>
        <w:tc>
          <w:tcPr>
            <w:tcW w:w="1227" w:type="dxa"/>
            <w:vMerge w:val="continue"/>
            <w:vAlign w:val="center"/>
          </w:tcPr>
          <w:p>
            <w:pPr>
              <w:ind w:firstLine="0" w:firstLineChars="0"/>
              <w:rPr>
                <w:rFonts w:ascii="宋体" w:hAnsi="宋体" w:cs="宋体"/>
              </w:rPr>
            </w:pPr>
          </w:p>
        </w:tc>
        <w:tc>
          <w:tcPr>
            <w:tcW w:w="5809" w:type="dxa"/>
            <w:gridSpan w:val="2"/>
            <w:vAlign w:val="center"/>
          </w:tcPr>
          <w:p>
            <w:pPr>
              <w:ind w:firstLine="0" w:firstLineChars="0"/>
              <w:rPr>
                <w:rFonts w:ascii="宋体" w:hAnsi="宋体" w:cs="宋体"/>
              </w:rPr>
            </w:pPr>
            <w:r>
              <w:rPr>
                <w:rFonts w:hint="eastAsia" w:ascii="宋体" w:hAnsi="宋体" w:cs="宋体"/>
              </w:rPr>
              <w:t>列出的4点功能，每错1处扣0.5分，</w:t>
            </w:r>
            <w:r>
              <w:rPr>
                <w:rFonts w:hint="eastAsia" w:ascii="宋体" w:hAnsi="宋体" w:cs="宋体"/>
                <w:b/>
                <w:bCs/>
              </w:rPr>
              <w:t>共2分扣完为止</w:t>
            </w:r>
            <w:r>
              <w:rPr>
                <w:rFonts w:hint="eastAsia" w:ascii="宋体" w:hAnsi="宋体" w:cs="宋体"/>
              </w:rPr>
              <w:t>。</w:t>
            </w:r>
          </w:p>
        </w:tc>
        <w:tc>
          <w:tcPr>
            <w:tcW w:w="425" w:type="dxa"/>
          </w:tcPr>
          <w:p>
            <w:pPr>
              <w:ind w:firstLine="0" w:firstLineChars="0"/>
              <w:jc w:val="center"/>
              <w:rPr>
                <w:rFonts w:ascii="宋体" w:hAnsi="宋体" w:cs="宋体"/>
              </w:rPr>
            </w:pPr>
          </w:p>
        </w:tc>
        <w:tc>
          <w:tcPr>
            <w:tcW w:w="426" w:type="dxa"/>
            <w:vMerge w:val="continue"/>
          </w:tcPr>
          <w:p>
            <w:pPr>
              <w:ind w:firstLine="0" w:firstLineChars="0"/>
              <w:jc w:val="center"/>
              <w:rPr>
                <w:rFonts w:ascii="宋体" w:hAnsi="宋体" w:cs="宋体"/>
              </w:rPr>
            </w:pPr>
          </w:p>
        </w:tc>
      </w:tr>
      <w:bookmarkEnd w:id="5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jc w:val="center"/>
        </w:trPr>
        <w:tc>
          <w:tcPr>
            <w:tcW w:w="1039" w:type="dxa"/>
            <w:vMerge w:val="continue"/>
            <w:vAlign w:val="center"/>
          </w:tcPr>
          <w:p>
            <w:pPr>
              <w:ind w:firstLine="0" w:firstLineChars="0"/>
              <w:jc w:val="center"/>
              <w:rPr>
                <w:rFonts w:ascii="宋体" w:hAnsi="宋体" w:cs="宋体"/>
              </w:rPr>
            </w:pPr>
          </w:p>
        </w:tc>
        <w:tc>
          <w:tcPr>
            <w:tcW w:w="1227" w:type="dxa"/>
            <w:vAlign w:val="center"/>
          </w:tcPr>
          <w:p>
            <w:pPr>
              <w:ind w:firstLine="0" w:firstLineChars="0"/>
              <w:rPr>
                <w:rFonts w:ascii="宋体" w:hAnsi="宋体" w:cs="宋体"/>
              </w:rPr>
            </w:pPr>
            <w:r>
              <w:rPr>
                <w:rFonts w:hint="eastAsia" w:ascii="宋体" w:hAnsi="宋体" w:cs="宋体"/>
              </w:rPr>
              <w:t>（二）写出各信号设备主要配置参数和传输参数（4分）</w:t>
            </w:r>
          </w:p>
        </w:tc>
        <w:tc>
          <w:tcPr>
            <w:tcW w:w="5809" w:type="dxa"/>
            <w:gridSpan w:val="2"/>
            <w:vAlign w:val="center"/>
          </w:tcPr>
          <w:p>
            <w:pPr>
              <w:ind w:firstLine="0" w:firstLineChars="0"/>
              <w:jc w:val="left"/>
              <w:rPr>
                <w:rFonts w:ascii="宋体" w:hAnsi="宋体" w:cs="宋体"/>
              </w:rPr>
            </w:pPr>
            <w:r>
              <w:rPr>
                <w:rFonts w:hint="eastAsia" w:ascii="宋体" w:hAnsi="宋体" w:cs="宋体"/>
              </w:rPr>
              <w:t>载频值、发送器功出电压范围、衰耗盘主轨道接收电平、送端模拟网络盘补偿电缆长度4个参数，每错一个扣1分，</w:t>
            </w:r>
            <w:r>
              <w:rPr>
                <w:rFonts w:hint="eastAsia" w:ascii="宋体" w:hAnsi="宋体" w:cs="宋体"/>
                <w:b/>
                <w:bCs/>
              </w:rPr>
              <w:t>共4分扣完为止。</w:t>
            </w:r>
          </w:p>
        </w:tc>
        <w:tc>
          <w:tcPr>
            <w:tcW w:w="425" w:type="dxa"/>
          </w:tcPr>
          <w:p>
            <w:pPr>
              <w:ind w:firstLine="0" w:firstLineChars="0"/>
              <w:jc w:val="center"/>
              <w:rPr>
                <w:rFonts w:ascii="宋体" w:hAnsi="宋体" w:cs="宋体"/>
              </w:rPr>
            </w:pPr>
          </w:p>
        </w:tc>
        <w:tc>
          <w:tcPr>
            <w:tcW w:w="426"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039" w:type="dxa"/>
            <w:vMerge w:val="restart"/>
            <w:vAlign w:val="center"/>
          </w:tcPr>
          <w:p>
            <w:pPr>
              <w:autoSpaceDN w:val="0"/>
              <w:adjustRightInd w:val="0"/>
              <w:snapToGrid w:val="0"/>
              <w:ind w:firstLine="0" w:firstLineChars="0"/>
              <w:jc w:val="left"/>
              <w:outlineLvl w:val="0"/>
              <w:rPr>
                <w:rFonts w:ascii="宋体" w:hAnsi="宋体" w:cs="宋体"/>
                <w:b/>
                <w:bCs/>
              </w:rPr>
            </w:pPr>
            <w:r>
              <w:rPr>
                <w:rFonts w:hint="eastAsia" w:ascii="宋体" w:hAnsi="宋体" w:cs="宋体"/>
              </w:rPr>
              <w:t>任务二 信号控制系统安装部署（25分）</w:t>
            </w:r>
          </w:p>
          <w:p>
            <w:pPr>
              <w:ind w:firstLine="0" w:firstLineChars="0"/>
              <w:jc w:val="center"/>
              <w:rPr>
                <w:rFonts w:ascii="宋体" w:hAnsi="宋体" w:cs="宋体"/>
              </w:rPr>
            </w:pPr>
          </w:p>
        </w:tc>
        <w:tc>
          <w:tcPr>
            <w:tcW w:w="1227" w:type="dxa"/>
            <w:vMerge w:val="restart"/>
            <w:vAlign w:val="center"/>
          </w:tcPr>
          <w:p>
            <w:pPr>
              <w:autoSpaceDE w:val="0"/>
              <w:autoSpaceDN w:val="0"/>
              <w:adjustRightInd w:val="0"/>
              <w:ind w:firstLine="0" w:firstLineChars="0"/>
              <w:jc w:val="left"/>
              <w:rPr>
                <w:rFonts w:ascii="宋体" w:hAnsi="宋体" w:cs="宋体"/>
              </w:rPr>
            </w:pPr>
            <w:r>
              <w:rPr>
                <w:rFonts w:hint="eastAsia" w:ascii="宋体" w:hAnsi="宋体" w:cs="宋体"/>
              </w:rPr>
              <w:t>（一）系统设备安装、布线（14分）</w:t>
            </w:r>
            <w:r>
              <w:rPr>
                <w:rFonts w:hint="eastAsia" w:ascii="宋体" w:hAnsi="宋体" w:cs="宋体"/>
                <w:b/>
                <w:bCs/>
              </w:rPr>
              <w:t>（此部分共14分，采用扣分制，扣完14分为止。）</w:t>
            </w:r>
          </w:p>
          <w:p>
            <w:pPr>
              <w:ind w:firstLine="0" w:firstLineChars="0"/>
              <w:rPr>
                <w:rFonts w:ascii="宋体" w:hAnsi="宋体" w:cs="宋体"/>
              </w:rPr>
            </w:pPr>
          </w:p>
        </w:tc>
        <w:tc>
          <w:tcPr>
            <w:tcW w:w="587" w:type="dxa"/>
            <w:vMerge w:val="restart"/>
            <w:vAlign w:val="center"/>
          </w:tcPr>
          <w:p>
            <w:pPr>
              <w:ind w:firstLine="0" w:firstLineChars="0"/>
              <w:jc w:val="center"/>
              <w:rPr>
                <w:rFonts w:ascii="宋体" w:hAnsi="宋体" w:cs="宋体"/>
              </w:rPr>
            </w:pPr>
            <w:r>
              <w:rPr>
                <w:rFonts w:hint="eastAsia" w:ascii="宋体" w:hAnsi="宋体" w:cs="宋体"/>
              </w:rPr>
              <w:t>组合柜</w:t>
            </w:r>
          </w:p>
        </w:tc>
        <w:tc>
          <w:tcPr>
            <w:tcW w:w="5222" w:type="dxa"/>
            <w:vAlign w:val="center"/>
          </w:tcPr>
          <w:p>
            <w:pPr>
              <w:ind w:firstLine="0" w:firstLineChars="0"/>
              <w:rPr>
                <w:rFonts w:ascii="宋体" w:hAnsi="宋体" w:cs="宋体"/>
              </w:rPr>
            </w:pPr>
            <w:r>
              <w:rPr>
                <w:rFonts w:hint="eastAsia" w:ascii="宋体" w:hAnsi="宋体" w:cs="宋体"/>
              </w:rPr>
              <w:t>1.无线号管、用错线号管、线号管字方向不一致，每处扣0.5分，</w:t>
            </w:r>
            <w:r>
              <w:rPr>
                <w:rFonts w:hint="eastAsia" w:ascii="宋体" w:hAnsi="宋体" w:cs="宋体"/>
                <w:b/>
                <w:bCs/>
              </w:rPr>
              <w:t>最多扣2分；</w:t>
            </w:r>
          </w:p>
        </w:tc>
        <w:tc>
          <w:tcPr>
            <w:tcW w:w="425" w:type="dxa"/>
          </w:tcPr>
          <w:p>
            <w:pPr>
              <w:ind w:firstLine="0" w:firstLineChars="0"/>
              <w:jc w:val="center"/>
              <w:rPr>
                <w:rFonts w:ascii="宋体" w:hAnsi="宋体" w:cs="宋体"/>
              </w:rPr>
            </w:pPr>
          </w:p>
        </w:tc>
        <w:tc>
          <w:tcPr>
            <w:tcW w:w="426" w:type="dxa"/>
            <w:vMerge w:val="restart"/>
            <w:shd w:val="clear" w:color="auto" w:fill="auto"/>
          </w:tcPr>
          <w:p>
            <w:pPr>
              <w:widowControl/>
              <w:ind w:firstLine="0" w:firstLineChars="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7" w:type="dxa"/>
            <w:vMerge w:val="continue"/>
            <w:vAlign w:val="center"/>
          </w:tcPr>
          <w:p>
            <w:pPr>
              <w:ind w:firstLine="0" w:firstLineChars="0"/>
              <w:rPr>
                <w:rFonts w:ascii="宋体" w:hAnsi="宋体" w:cs="宋体"/>
              </w:rPr>
            </w:pPr>
          </w:p>
        </w:tc>
        <w:tc>
          <w:tcPr>
            <w:tcW w:w="5222" w:type="dxa"/>
            <w:vAlign w:val="center"/>
          </w:tcPr>
          <w:p>
            <w:pPr>
              <w:ind w:firstLine="0" w:firstLineChars="0"/>
              <w:rPr>
                <w:rFonts w:ascii="宋体" w:hAnsi="宋体" w:cs="宋体"/>
              </w:rPr>
            </w:pPr>
            <w:r>
              <w:rPr>
                <w:rFonts w:hint="eastAsia" w:ascii="宋体" w:hAnsi="宋体" w:cs="宋体"/>
              </w:rPr>
              <w:t>2.每漏接一根线或线头悬空，扣0.5分，</w:t>
            </w:r>
            <w:r>
              <w:rPr>
                <w:rFonts w:hint="eastAsia" w:ascii="宋体" w:hAnsi="宋体" w:cs="宋体"/>
                <w:b/>
                <w:bCs/>
              </w:rPr>
              <w:t>最多扣2分；</w:t>
            </w:r>
          </w:p>
        </w:tc>
        <w:tc>
          <w:tcPr>
            <w:tcW w:w="425" w:type="dxa"/>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7" w:type="dxa"/>
            <w:vMerge w:val="continue"/>
            <w:vAlign w:val="center"/>
          </w:tcPr>
          <w:p>
            <w:pPr>
              <w:ind w:firstLine="0" w:firstLineChars="0"/>
              <w:rPr>
                <w:rFonts w:ascii="宋体" w:hAnsi="宋体" w:cs="宋体"/>
              </w:rPr>
            </w:pPr>
          </w:p>
        </w:tc>
        <w:tc>
          <w:tcPr>
            <w:tcW w:w="5222" w:type="dxa"/>
            <w:vAlign w:val="center"/>
          </w:tcPr>
          <w:p>
            <w:pPr>
              <w:ind w:firstLine="0" w:firstLineChars="0"/>
              <w:rPr>
                <w:rFonts w:ascii="宋体" w:hAnsi="宋体" w:cs="宋体"/>
              </w:rPr>
            </w:pPr>
            <w:r>
              <w:rPr>
                <w:rFonts w:hint="eastAsia" w:ascii="宋体" w:hAnsi="宋体" w:cs="宋体"/>
              </w:rPr>
              <w:t>3.冷压端子未压、选型错误、松动或铜线裸露较多（0.5cm以上），每处扣0.5分，</w:t>
            </w:r>
            <w:r>
              <w:rPr>
                <w:rFonts w:hint="eastAsia" w:ascii="宋体" w:hAnsi="宋体" w:cs="宋体"/>
                <w:b/>
                <w:bCs/>
              </w:rPr>
              <w:t>最多扣2分；</w:t>
            </w:r>
            <w:r>
              <w:rPr>
                <w:rFonts w:hint="eastAsia" w:ascii="宋体" w:hAnsi="宋体" w:cs="宋体"/>
              </w:rPr>
              <w:t>（当出现2中情况时，按2中扣分，此项不重复扣分。）</w:t>
            </w:r>
          </w:p>
        </w:tc>
        <w:tc>
          <w:tcPr>
            <w:tcW w:w="425" w:type="dxa"/>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7" w:type="dxa"/>
            <w:vMerge w:val="continue"/>
            <w:vAlign w:val="center"/>
          </w:tcPr>
          <w:p>
            <w:pPr>
              <w:ind w:firstLine="0" w:firstLineChars="0"/>
              <w:rPr>
                <w:rFonts w:ascii="宋体" w:hAnsi="宋体" w:cs="宋体"/>
              </w:rPr>
            </w:pPr>
          </w:p>
        </w:tc>
        <w:tc>
          <w:tcPr>
            <w:tcW w:w="5222" w:type="dxa"/>
            <w:vAlign w:val="center"/>
          </w:tcPr>
          <w:p>
            <w:pPr>
              <w:ind w:firstLine="0" w:firstLineChars="0"/>
              <w:rPr>
                <w:rFonts w:ascii="宋体" w:hAnsi="宋体" w:cs="宋体"/>
              </w:rPr>
            </w:pPr>
            <w:r>
              <w:rPr>
                <w:rFonts w:hint="eastAsia" w:ascii="宋体" w:hAnsi="宋体" w:cs="宋体"/>
              </w:rPr>
              <w:t>4.未安装线槽盖每个扣0.5分，</w:t>
            </w:r>
            <w:r>
              <w:rPr>
                <w:rFonts w:hint="eastAsia" w:ascii="宋体" w:hAnsi="宋体" w:cs="宋体"/>
                <w:b/>
                <w:bCs/>
              </w:rPr>
              <w:t>最多扣2分</w:t>
            </w:r>
            <w:r>
              <w:rPr>
                <w:rFonts w:hint="eastAsia" w:ascii="宋体" w:hAnsi="宋体" w:cs="宋体"/>
              </w:rPr>
              <w:t xml:space="preserve">； </w:t>
            </w:r>
          </w:p>
        </w:tc>
        <w:tc>
          <w:tcPr>
            <w:tcW w:w="425" w:type="dxa"/>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7" w:type="dxa"/>
            <w:vMerge w:val="continue"/>
            <w:vAlign w:val="center"/>
          </w:tcPr>
          <w:p>
            <w:pPr>
              <w:ind w:firstLine="0" w:firstLineChars="0"/>
              <w:rPr>
                <w:rFonts w:ascii="宋体" w:hAnsi="宋体" w:cs="宋体"/>
              </w:rPr>
            </w:pPr>
          </w:p>
        </w:tc>
        <w:tc>
          <w:tcPr>
            <w:tcW w:w="5222" w:type="dxa"/>
            <w:vAlign w:val="center"/>
          </w:tcPr>
          <w:p>
            <w:pPr>
              <w:ind w:firstLine="0" w:firstLineChars="0"/>
              <w:rPr>
                <w:rFonts w:ascii="宋体" w:hAnsi="宋体" w:cs="宋体"/>
              </w:rPr>
            </w:pPr>
            <w:r>
              <w:rPr>
                <w:rFonts w:hint="eastAsia" w:ascii="宋体" w:hAnsi="宋体" w:cs="宋体"/>
              </w:rPr>
              <w:t>5.按提供的布线图上的线色选择线缆接线，若出现线色与布线图不一致，每处扣0.5分，</w:t>
            </w:r>
            <w:r>
              <w:rPr>
                <w:rFonts w:hint="eastAsia" w:ascii="宋体" w:hAnsi="宋体" w:cs="宋体"/>
                <w:b/>
                <w:bCs/>
              </w:rPr>
              <w:t>最多扣1分。</w:t>
            </w:r>
          </w:p>
        </w:tc>
        <w:tc>
          <w:tcPr>
            <w:tcW w:w="425" w:type="dxa"/>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7" w:type="dxa"/>
            <w:vMerge w:val="continue"/>
            <w:vAlign w:val="center"/>
          </w:tcPr>
          <w:p>
            <w:pPr>
              <w:ind w:firstLine="0" w:firstLineChars="0"/>
              <w:rPr>
                <w:rFonts w:ascii="宋体" w:hAnsi="宋体" w:cs="宋体"/>
              </w:rPr>
            </w:pPr>
          </w:p>
        </w:tc>
        <w:tc>
          <w:tcPr>
            <w:tcW w:w="5222" w:type="dxa"/>
            <w:vAlign w:val="center"/>
          </w:tcPr>
          <w:p>
            <w:pPr>
              <w:numPr>
                <w:ilvl w:val="0"/>
                <w:numId w:val="5"/>
              </w:numPr>
              <w:ind w:firstLine="0" w:firstLineChars="0"/>
              <w:rPr>
                <w:rFonts w:ascii="宋体" w:hAnsi="宋体" w:cs="宋体"/>
                <w:b/>
                <w:bCs/>
              </w:rPr>
            </w:pPr>
            <w:r>
              <w:rPr>
                <w:rFonts w:hint="eastAsia" w:ascii="宋体" w:hAnsi="宋体" w:cs="宋体"/>
              </w:rPr>
              <w:t>焊接不标准，每处扣0.5分，</w:t>
            </w:r>
            <w:r>
              <w:rPr>
                <w:rFonts w:hint="eastAsia" w:ascii="宋体" w:hAnsi="宋体" w:cs="宋体"/>
                <w:b/>
                <w:bCs/>
              </w:rPr>
              <w:t>最多扣4分。</w:t>
            </w:r>
          </w:p>
          <w:p>
            <w:pPr>
              <w:ind w:firstLine="0" w:firstLineChars="0"/>
              <w:rPr>
                <w:rFonts w:ascii="宋体" w:hAnsi="宋体" w:cs="宋体"/>
                <w:b/>
                <w:bCs/>
              </w:rPr>
            </w:pPr>
            <w:r>
              <w:rPr>
                <w:rFonts w:hint="eastAsia" w:ascii="宋体" w:hAnsi="宋体" w:cs="宋体"/>
                <w:b/>
                <w:bCs/>
              </w:rPr>
              <w:t>具体如下：（1）继电器焊接处需要套塑料套管，如出现继电器焊接处不套塑料套管，每处扣0.5分  （2）继电器要求从下往上穿焊，如果出现穿焊方向错误、虚焊、搭焊、有毛刺每处扣0.5分。</w:t>
            </w:r>
          </w:p>
        </w:tc>
        <w:tc>
          <w:tcPr>
            <w:tcW w:w="425" w:type="dxa"/>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0" w:hRule="atLeast"/>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7" w:type="dxa"/>
            <w:vMerge w:val="continue"/>
            <w:vAlign w:val="center"/>
          </w:tcPr>
          <w:p>
            <w:pPr>
              <w:ind w:firstLine="0" w:firstLineChars="0"/>
              <w:rPr>
                <w:rFonts w:ascii="宋体" w:hAnsi="宋体" w:cs="宋体"/>
              </w:rPr>
            </w:pPr>
          </w:p>
        </w:tc>
        <w:tc>
          <w:tcPr>
            <w:tcW w:w="5222" w:type="dxa"/>
            <w:vAlign w:val="center"/>
          </w:tcPr>
          <w:p>
            <w:pPr>
              <w:numPr>
                <w:ilvl w:val="0"/>
                <w:numId w:val="5"/>
              </w:numPr>
              <w:ind w:firstLine="0" w:firstLineChars="0"/>
              <w:rPr>
                <w:rFonts w:ascii="宋体" w:hAnsi="宋体" w:cs="宋体"/>
                <w:b/>
                <w:bCs/>
              </w:rPr>
            </w:pPr>
            <w:r>
              <w:rPr>
                <w:rFonts w:hint="eastAsia" w:ascii="宋体" w:hAnsi="宋体" w:cs="宋体"/>
              </w:rPr>
              <w:t>走线不合理，每处扣0.5分，</w:t>
            </w:r>
            <w:r>
              <w:rPr>
                <w:rFonts w:hint="eastAsia" w:ascii="宋体" w:hAnsi="宋体" w:cs="宋体"/>
                <w:b/>
                <w:bCs/>
              </w:rPr>
              <w:t>最多扣2分。</w:t>
            </w:r>
          </w:p>
          <w:p>
            <w:pPr>
              <w:ind w:firstLine="0" w:firstLineChars="0"/>
              <w:rPr>
                <w:rFonts w:ascii="宋体" w:hAnsi="宋体" w:cs="宋体"/>
                <w:b/>
                <w:bCs/>
              </w:rPr>
            </w:pPr>
            <w:r>
              <w:rPr>
                <w:rFonts w:hint="eastAsia" w:ascii="宋体" w:hAnsi="宋体" w:cs="宋体"/>
                <w:b/>
                <w:bCs/>
              </w:rPr>
              <w:t>标准：(1) 继电器上的2和3的短接线，统一走线槽 (2)发送器接收器内部的绿色跳线为短跨线，不走线槽(3)继电器上的线不走上边线槽，统一走下边线槽，且正面竖方向外观呈线型垂直 (4)线槽外不允许走线；模块引出的走线应以就近的线槽孔进入线槽 ）如出现违反以上4点的情况，每处扣0.5分，最多扣2分。</w:t>
            </w:r>
          </w:p>
        </w:tc>
        <w:tc>
          <w:tcPr>
            <w:tcW w:w="425" w:type="dxa"/>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7" w:type="dxa"/>
            <w:vMerge w:val="continue"/>
            <w:vAlign w:val="center"/>
          </w:tcPr>
          <w:p>
            <w:pPr>
              <w:ind w:firstLine="0" w:firstLineChars="0"/>
              <w:rPr>
                <w:rFonts w:ascii="宋体" w:hAnsi="宋体" w:cs="宋体"/>
              </w:rPr>
            </w:pPr>
          </w:p>
        </w:tc>
        <w:tc>
          <w:tcPr>
            <w:tcW w:w="5222" w:type="dxa"/>
            <w:vAlign w:val="center"/>
          </w:tcPr>
          <w:p>
            <w:pPr>
              <w:ind w:firstLine="0" w:firstLineChars="0"/>
              <w:rPr>
                <w:rFonts w:ascii="宋体" w:hAnsi="宋体" w:cs="宋体"/>
              </w:rPr>
            </w:pPr>
            <w:r>
              <w:rPr>
                <w:rFonts w:hint="eastAsia" w:ascii="宋体" w:hAnsi="宋体" w:cs="宋体"/>
              </w:rPr>
              <w:t>8.未按照要求绑扎线缆（指线槽与线槽的衔接处裸露在外的线，需要用扎带捆扎），每处扣0.5分，</w:t>
            </w:r>
            <w:r>
              <w:rPr>
                <w:rFonts w:hint="eastAsia" w:ascii="宋体" w:hAnsi="宋体" w:cs="宋体"/>
                <w:b/>
                <w:bCs/>
              </w:rPr>
              <w:t>最多扣1分</w:t>
            </w:r>
            <w:r>
              <w:rPr>
                <w:rFonts w:hint="eastAsia" w:ascii="宋体" w:hAnsi="宋体" w:cs="宋体"/>
              </w:rPr>
              <w:t>。</w:t>
            </w:r>
          </w:p>
        </w:tc>
        <w:tc>
          <w:tcPr>
            <w:tcW w:w="425" w:type="dxa"/>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7" w:type="dxa"/>
            <w:vAlign w:val="center"/>
          </w:tcPr>
          <w:p>
            <w:pPr>
              <w:ind w:firstLine="0" w:firstLineChars="0"/>
              <w:jc w:val="center"/>
              <w:rPr>
                <w:rFonts w:ascii="宋体" w:hAnsi="宋体" w:cs="宋体"/>
              </w:rPr>
            </w:pPr>
            <w:r>
              <w:rPr>
                <w:rFonts w:hint="eastAsia" w:ascii="宋体" w:hAnsi="宋体" w:cs="宋体"/>
              </w:rPr>
              <w:t>主</w:t>
            </w:r>
          </w:p>
          <w:p>
            <w:pPr>
              <w:ind w:firstLine="0" w:firstLineChars="0"/>
              <w:jc w:val="center"/>
              <w:rPr>
                <w:rFonts w:ascii="宋体" w:hAnsi="宋体" w:cs="宋体"/>
              </w:rPr>
            </w:pPr>
            <w:r>
              <w:rPr>
                <w:rFonts w:hint="eastAsia" w:ascii="宋体" w:hAnsi="宋体" w:cs="宋体"/>
              </w:rPr>
              <w:t>控</w:t>
            </w:r>
          </w:p>
          <w:p>
            <w:pPr>
              <w:ind w:firstLine="0" w:firstLineChars="0"/>
              <w:jc w:val="center"/>
              <w:rPr>
                <w:rFonts w:ascii="宋体" w:hAnsi="宋体" w:cs="宋体"/>
              </w:rPr>
            </w:pPr>
            <w:r>
              <w:rPr>
                <w:rFonts w:hint="eastAsia" w:ascii="宋体" w:hAnsi="宋体" w:cs="宋体"/>
              </w:rPr>
              <w:t>台</w:t>
            </w:r>
          </w:p>
        </w:tc>
        <w:tc>
          <w:tcPr>
            <w:tcW w:w="5222" w:type="dxa"/>
            <w:vAlign w:val="center"/>
          </w:tcPr>
          <w:p>
            <w:pPr>
              <w:ind w:firstLine="0" w:firstLineChars="0"/>
              <w:rPr>
                <w:rFonts w:ascii="宋体" w:hAnsi="宋体" w:cs="宋体"/>
              </w:rPr>
            </w:pPr>
            <w:r>
              <w:rPr>
                <w:rFonts w:hint="eastAsia" w:ascii="宋体" w:hAnsi="宋体" w:cs="宋体"/>
              </w:rPr>
              <w:t>9.主控台需要安装的模块有温湿度传感器、光照传感器2个模块，每个模块未安装、安装区域错误、安装松动（与安装区域相对位移超过0.5cm）；扣0.5分，</w:t>
            </w:r>
            <w:r>
              <w:rPr>
                <w:rFonts w:hint="eastAsia" w:ascii="宋体" w:hAnsi="宋体" w:cs="宋体"/>
                <w:b/>
                <w:bCs/>
              </w:rPr>
              <w:t>扣完1分为止</w:t>
            </w:r>
            <w:r>
              <w:rPr>
                <w:rFonts w:hint="eastAsia" w:ascii="宋体" w:hAnsi="宋体" w:cs="宋体"/>
              </w:rPr>
              <w:t>。</w:t>
            </w:r>
          </w:p>
        </w:tc>
        <w:tc>
          <w:tcPr>
            <w:tcW w:w="425" w:type="dxa"/>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vMerge w:val="continue"/>
            <w:vAlign w:val="center"/>
          </w:tcPr>
          <w:p>
            <w:pPr>
              <w:ind w:firstLine="0" w:firstLineChars="0"/>
              <w:rPr>
                <w:rFonts w:ascii="宋体" w:hAnsi="宋体" w:cs="宋体"/>
              </w:rPr>
            </w:pPr>
          </w:p>
        </w:tc>
        <w:tc>
          <w:tcPr>
            <w:tcW w:w="1227" w:type="dxa"/>
            <w:vMerge w:val="restart"/>
            <w:vAlign w:val="center"/>
          </w:tcPr>
          <w:p>
            <w:pPr>
              <w:autoSpaceDE w:val="0"/>
              <w:autoSpaceDN w:val="0"/>
              <w:adjustRightInd w:val="0"/>
              <w:ind w:firstLine="0" w:firstLineChars="0"/>
              <w:jc w:val="left"/>
              <w:rPr>
                <w:rFonts w:ascii="宋体" w:hAnsi="宋体" w:cs="宋体"/>
              </w:rPr>
            </w:pPr>
            <w:r>
              <w:rPr>
                <w:rFonts w:hint="eastAsia" w:ascii="宋体" w:hAnsi="宋体" w:cs="宋体"/>
              </w:rPr>
              <w:t>（二）功能调试（6分）</w:t>
            </w:r>
          </w:p>
          <w:p>
            <w:pPr>
              <w:ind w:firstLine="0" w:firstLineChars="0"/>
              <w:rPr>
                <w:rFonts w:ascii="宋体" w:hAnsi="宋体" w:cs="宋体"/>
              </w:rPr>
            </w:pPr>
          </w:p>
        </w:tc>
        <w:tc>
          <w:tcPr>
            <w:tcW w:w="5809" w:type="dxa"/>
            <w:gridSpan w:val="2"/>
            <w:vAlign w:val="center"/>
          </w:tcPr>
          <w:p>
            <w:pPr>
              <w:ind w:firstLine="0" w:firstLineChars="0"/>
              <w:jc w:val="left"/>
              <w:rPr>
                <w:rFonts w:ascii="宋体" w:hAnsi="宋体" w:cs="宋体"/>
              </w:rPr>
            </w:pPr>
            <w:r>
              <w:rPr>
                <w:rFonts w:hint="eastAsia" w:ascii="宋体" w:hAnsi="宋体" w:cs="宋体"/>
              </w:rPr>
              <w:t>1.对照“图2-1-移频设备状态”，发送器、接收器、衰耗盘三个设备指示灯为绿色，设备调试正常；红色代表设备故障。截图中，发送器、接收器出现故障灯，每处扣1分；衰耗盘上有主发送，接收，轨道三个指示灯，每出现一个红色故障灯扣1分，</w:t>
            </w:r>
            <w:r>
              <w:rPr>
                <w:rFonts w:hint="eastAsia" w:ascii="宋体" w:hAnsi="宋体" w:cs="宋体"/>
                <w:b/>
                <w:bCs/>
              </w:rPr>
              <w:t>共5分扣完为止。</w:t>
            </w:r>
          </w:p>
        </w:tc>
        <w:tc>
          <w:tcPr>
            <w:tcW w:w="425" w:type="dxa"/>
          </w:tcPr>
          <w:p>
            <w:pPr>
              <w:ind w:firstLine="0" w:firstLineChars="0"/>
              <w:rPr>
                <w:rFonts w:ascii="宋体" w:hAnsi="宋体" w:cs="宋体"/>
              </w:rPr>
            </w:pPr>
          </w:p>
        </w:tc>
        <w:tc>
          <w:tcPr>
            <w:tcW w:w="426" w:type="dxa"/>
            <w:vMerge w:val="restart"/>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09" w:type="dxa"/>
            <w:gridSpan w:val="2"/>
            <w:vAlign w:val="center"/>
          </w:tcPr>
          <w:p>
            <w:pPr>
              <w:ind w:firstLine="0" w:firstLineChars="0"/>
              <w:rPr>
                <w:rFonts w:ascii="宋体" w:hAnsi="宋体" w:cs="宋体"/>
              </w:rPr>
            </w:pPr>
            <w:r>
              <w:rPr>
                <w:rFonts w:hint="eastAsia" w:ascii="宋体" w:hAnsi="宋体" w:cs="宋体"/>
              </w:rPr>
              <w:t>2.对照“图2-2-数据显示”，数据不在范围内每个扣0.5分，</w:t>
            </w:r>
            <w:r>
              <w:rPr>
                <w:rFonts w:hint="eastAsia" w:ascii="宋体" w:hAnsi="宋体" w:cs="宋体"/>
                <w:b/>
                <w:bCs/>
              </w:rPr>
              <w:t>扣完1分为止</w:t>
            </w:r>
            <w:r>
              <w:rPr>
                <w:rFonts w:hint="eastAsia" w:ascii="宋体" w:hAnsi="宋体" w:cs="宋体"/>
              </w:rPr>
              <w:t>。</w:t>
            </w:r>
          </w:p>
        </w:tc>
        <w:tc>
          <w:tcPr>
            <w:tcW w:w="425" w:type="dxa"/>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1039" w:type="dxa"/>
            <w:vMerge w:val="continue"/>
            <w:vAlign w:val="center"/>
          </w:tcPr>
          <w:p>
            <w:pPr>
              <w:ind w:firstLine="0" w:firstLineChars="0"/>
              <w:jc w:val="center"/>
              <w:rPr>
                <w:rFonts w:ascii="宋体" w:hAnsi="宋体" w:cs="宋体"/>
              </w:rPr>
            </w:pPr>
          </w:p>
        </w:tc>
        <w:tc>
          <w:tcPr>
            <w:tcW w:w="1227" w:type="dxa"/>
            <w:vMerge w:val="restart"/>
            <w:vAlign w:val="center"/>
          </w:tcPr>
          <w:p>
            <w:pPr>
              <w:autoSpaceDE w:val="0"/>
              <w:autoSpaceDN w:val="0"/>
              <w:adjustRightInd w:val="0"/>
              <w:ind w:firstLine="0" w:firstLineChars="0"/>
              <w:jc w:val="left"/>
              <w:rPr>
                <w:rFonts w:ascii="宋体" w:hAnsi="宋体" w:cs="宋体"/>
              </w:rPr>
            </w:pPr>
            <w:r>
              <w:rPr>
                <w:rFonts w:hint="eastAsia" w:ascii="宋体" w:hAnsi="宋体" w:cs="宋体"/>
              </w:rPr>
              <w:t>（三）环境部署（5分）</w:t>
            </w:r>
          </w:p>
          <w:p>
            <w:pPr>
              <w:ind w:firstLine="0" w:firstLineChars="0"/>
              <w:rPr>
                <w:rFonts w:ascii="宋体" w:hAnsi="宋体" w:cs="宋体"/>
              </w:rPr>
            </w:pPr>
          </w:p>
        </w:tc>
        <w:tc>
          <w:tcPr>
            <w:tcW w:w="5809" w:type="dxa"/>
            <w:gridSpan w:val="2"/>
            <w:vAlign w:val="center"/>
          </w:tcPr>
          <w:p>
            <w:pPr>
              <w:ind w:firstLine="0" w:firstLineChars="0"/>
              <w:rPr>
                <w:rFonts w:ascii="宋体" w:hAnsi="宋体" w:cs="宋体"/>
              </w:rPr>
            </w:pPr>
            <w:r>
              <w:rPr>
                <w:rFonts w:hint="eastAsia" w:ascii="宋体" w:hAnsi="宋体" w:cs="宋体"/>
              </w:rPr>
              <w:t>1.对照“图2-3-操作终端界面”，图片要求能显示低频和载频信息，且能显示整个站场图。低频/载频信息显示不全,每一个扣1分，站场图显示不全，扣0.5分，</w:t>
            </w:r>
            <w:r>
              <w:rPr>
                <w:rFonts w:hint="eastAsia" w:ascii="宋体" w:hAnsi="宋体" w:cs="宋体"/>
                <w:b/>
                <w:bCs/>
              </w:rPr>
              <w:t>共2.5分扣完为止；</w:t>
            </w:r>
          </w:p>
        </w:tc>
        <w:tc>
          <w:tcPr>
            <w:tcW w:w="425" w:type="dxa"/>
            <w:vAlign w:val="center"/>
          </w:tcPr>
          <w:p>
            <w:pPr>
              <w:ind w:firstLine="0" w:firstLineChars="0"/>
              <w:jc w:val="center"/>
              <w:rPr>
                <w:rFonts w:ascii="宋体" w:hAnsi="宋体" w:cs="宋体"/>
              </w:rPr>
            </w:pPr>
          </w:p>
        </w:tc>
        <w:tc>
          <w:tcPr>
            <w:tcW w:w="426" w:type="dxa"/>
            <w:vMerge w:val="restart"/>
            <w:shd w:val="clear" w:color="auto" w:fill="auto"/>
          </w:tcPr>
          <w:p>
            <w:pPr>
              <w:widowControl/>
              <w:ind w:firstLine="0" w:firstLineChars="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039" w:type="dxa"/>
            <w:vMerge w:val="continue"/>
            <w:vAlign w:val="center"/>
          </w:tcPr>
          <w:p>
            <w:pPr>
              <w:ind w:firstLine="0" w:firstLineChars="0"/>
              <w:rPr>
                <w:rFonts w:ascii="宋体" w:hAnsi="宋体" w:cs="宋体"/>
              </w:rPr>
            </w:pPr>
          </w:p>
        </w:tc>
        <w:tc>
          <w:tcPr>
            <w:tcW w:w="1227" w:type="dxa"/>
            <w:vMerge w:val="continue"/>
            <w:vAlign w:val="center"/>
          </w:tcPr>
          <w:p>
            <w:pPr>
              <w:ind w:firstLine="0" w:firstLineChars="0"/>
              <w:rPr>
                <w:rFonts w:ascii="宋体" w:hAnsi="宋体" w:cs="宋体"/>
              </w:rPr>
            </w:pPr>
          </w:p>
        </w:tc>
        <w:tc>
          <w:tcPr>
            <w:tcW w:w="5809" w:type="dxa"/>
            <w:gridSpan w:val="2"/>
            <w:vAlign w:val="center"/>
          </w:tcPr>
          <w:p>
            <w:pPr>
              <w:ind w:firstLine="0" w:firstLineChars="0"/>
              <w:rPr>
                <w:rFonts w:ascii="宋体" w:hAnsi="宋体" w:cs="宋体"/>
                <w:kern w:val="0"/>
              </w:rPr>
            </w:pPr>
            <w:r>
              <w:rPr>
                <w:rFonts w:hint="eastAsia" w:ascii="宋体" w:hAnsi="宋体" w:cs="宋体"/>
              </w:rPr>
              <w:t>2.查看“图 2-4-PIO 视图界面”，873BG_GJQ未亮绿灯</w:t>
            </w:r>
            <w:r>
              <w:rPr>
                <w:rFonts w:hint="eastAsia" w:ascii="宋体" w:hAnsi="宋体" w:cs="宋体"/>
                <w:b/>
                <w:bCs/>
              </w:rPr>
              <w:t>扣2.5分</w:t>
            </w:r>
            <w:r>
              <w:rPr>
                <w:rFonts w:hint="eastAsia" w:ascii="宋体" w:hAnsi="宋体" w:cs="宋体"/>
              </w:rPr>
              <w:t>。</w:t>
            </w:r>
          </w:p>
        </w:tc>
        <w:tc>
          <w:tcPr>
            <w:tcW w:w="425" w:type="dxa"/>
            <w:vAlign w:val="center"/>
          </w:tcPr>
          <w:p>
            <w:pPr>
              <w:ind w:firstLine="0" w:firstLineChars="0"/>
              <w:rPr>
                <w:rFonts w:ascii="宋体" w:hAnsi="宋体" w:cs="宋体"/>
              </w:rPr>
            </w:pPr>
          </w:p>
        </w:tc>
        <w:tc>
          <w:tcPr>
            <w:tcW w:w="426" w:type="dxa"/>
            <w:vMerge w:val="continue"/>
            <w:shd w:val="clear" w:color="auto" w:fill="auto"/>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1039" w:type="dxa"/>
            <w:vMerge w:val="restart"/>
            <w:vAlign w:val="center"/>
          </w:tcPr>
          <w:p>
            <w:pPr>
              <w:ind w:firstLine="0" w:firstLineChars="0"/>
              <w:rPr>
                <w:rFonts w:ascii="宋体" w:hAnsi="宋体" w:cs="宋体"/>
              </w:rPr>
            </w:pPr>
            <w:bookmarkStart w:id="61" w:name="_Hlk484075187"/>
            <w:r>
              <w:rPr>
                <w:rFonts w:hint="eastAsia" w:ascii="宋体" w:hAnsi="宋体" w:cs="宋体"/>
              </w:rPr>
              <w:t>任务三 信号控制系统故障原因分析追查（20分）</w:t>
            </w:r>
          </w:p>
        </w:tc>
        <w:tc>
          <w:tcPr>
            <w:tcW w:w="1227" w:type="dxa"/>
            <w:vAlign w:val="center"/>
          </w:tcPr>
          <w:p>
            <w:pPr>
              <w:widowControl/>
              <w:shd w:val="clear" w:color="auto" w:fill="FFFFFF"/>
              <w:ind w:firstLine="0" w:firstLineChars="0"/>
              <w:jc w:val="left"/>
              <w:rPr>
                <w:rFonts w:ascii="宋体" w:hAnsi="宋体" w:cs="宋体"/>
              </w:rPr>
            </w:pPr>
            <w:r>
              <w:rPr>
                <w:rFonts w:hint="eastAsia" w:ascii="宋体" w:hAnsi="宋体" w:cs="宋体"/>
              </w:rPr>
              <w:t>（一）确定故障现象（8分）</w:t>
            </w:r>
          </w:p>
        </w:tc>
        <w:tc>
          <w:tcPr>
            <w:tcW w:w="5809" w:type="dxa"/>
            <w:gridSpan w:val="2"/>
            <w:vAlign w:val="center"/>
          </w:tcPr>
          <w:p>
            <w:pPr>
              <w:ind w:firstLine="0" w:firstLineChars="0"/>
              <w:rPr>
                <w:rFonts w:ascii="宋体" w:hAnsi="宋体" w:cs="宋体"/>
              </w:rPr>
            </w:pPr>
            <w:r>
              <w:rPr>
                <w:rFonts w:hint="eastAsia" w:ascii="宋体" w:hAnsi="宋体" w:cs="宋体"/>
              </w:rPr>
              <w:t>1.对照表3-1，表中的故障定位和处理方法每错一处扣2分，</w:t>
            </w:r>
            <w:r>
              <w:rPr>
                <w:rFonts w:hint="eastAsia" w:ascii="宋体" w:hAnsi="宋体" w:cs="宋体"/>
                <w:b/>
                <w:bCs/>
              </w:rPr>
              <w:t>共8分扣完为止。</w:t>
            </w:r>
          </w:p>
        </w:tc>
        <w:tc>
          <w:tcPr>
            <w:tcW w:w="425" w:type="dxa"/>
          </w:tcPr>
          <w:p>
            <w:pPr>
              <w:ind w:firstLine="0" w:firstLineChars="0"/>
              <w:jc w:val="center"/>
              <w:rPr>
                <w:rFonts w:ascii="宋体" w:hAnsi="宋体" w:cs="宋体"/>
              </w:rPr>
            </w:pPr>
          </w:p>
        </w:tc>
        <w:tc>
          <w:tcPr>
            <w:tcW w:w="426" w:type="dxa"/>
          </w:tcPr>
          <w:p>
            <w:pPr>
              <w:ind w:firstLine="0" w:firstLineChars="0"/>
              <w:jc w:val="center"/>
              <w:rPr>
                <w:rFonts w:ascii="宋体" w:hAnsi="宋体" w:cs="宋体"/>
              </w:rPr>
            </w:pPr>
          </w:p>
        </w:tc>
      </w:tr>
      <w:bookmarkEnd w:id="6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039" w:type="dxa"/>
            <w:vMerge w:val="continue"/>
            <w:vAlign w:val="center"/>
          </w:tcPr>
          <w:p>
            <w:pPr>
              <w:ind w:firstLine="0" w:firstLineChars="0"/>
              <w:jc w:val="center"/>
              <w:rPr>
                <w:rFonts w:ascii="宋体" w:hAnsi="宋体" w:cs="宋体"/>
              </w:rPr>
            </w:pPr>
          </w:p>
        </w:tc>
        <w:tc>
          <w:tcPr>
            <w:tcW w:w="1227" w:type="dxa"/>
            <w:vMerge w:val="restart"/>
            <w:vAlign w:val="center"/>
          </w:tcPr>
          <w:p>
            <w:pPr>
              <w:widowControl/>
              <w:shd w:val="clear" w:color="auto" w:fill="FFFFFF"/>
              <w:ind w:firstLine="0" w:firstLineChars="0"/>
              <w:jc w:val="left"/>
              <w:rPr>
                <w:rFonts w:ascii="宋体" w:hAnsi="宋体" w:cs="宋体"/>
              </w:rPr>
            </w:pPr>
            <w:r>
              <w:rPr>
                <w:rFonts w:hint="eastAsia" w:ascii="宋体" w:hAnsi="宋体" w:cs="宋体"/>
              </w:rPr>
              <w:t>（二）故障排查与维修（8分）</w:t>
            </w:r>
          </w:p>
        </w:tc>
        <w:tc>
          <w:tcPr>
            <w:tcW w:w="5809" w:type="dxa"/>
            <w:gridSpan w:val="2"/>
            <w:vAlign w:val="center"/>
          </w:tcPr>
          <w:p>
            <w:pPr>
              <w:ind w:firstLine="0" w:firstLineChars="0"/>
              <w:rPr>
                <w:rFonts w:ascii="宋体" w:hAnsi="宋体" w:cs="宋体"/>
              </w:rPr>
            </w:pPr>
            <w:r>
              <w:rPr>
                <w:rFonts w:hint="eastAsia" w:ascii="宋体" w:hAnsi="宋体" w:cs="宋体"/>
              </w:rPr>
              <w:t>1.查看“</w:t>
            </w:r>
            <w:r>
              <w:rPr>
                <w:rFonts w:hint="eastAsia" w:ascii="宋体" w:hAnsi="宋体" w:cs="宋体"/>
                <w:kern w:val="0"/>
              </w:rPr>
              <w:t>图3-1-八个区段占用</w:t>
            </w:r>
            <w:r>
              <w:rPr>
                <w:rFonts w:hint="eastAsia" w:ascii="宋体" w:hAnsi="宋体" w:cs="宋体"/>
              </w:rPr>
              <w:t>”，图片上模拟轨道对应的8个区段全为红光带，否则结果错误扣4分；</w:t>
            </w:r>
          </w:p>
        </w:tc>
        <w:tc>
          <w:tcPr>
            <w:tcW w:w="425" w:type="dxa"/>
          </w:tcPr>
          <w:p>
            <w:pPr>
              <w:ind w:firstLine="0" w:firstLineChars="0"/>
              <w:jc w:val="center"/>
              <w:rPr>
                <w:rFonts w:ascii="宋体" w:hAnsi="宋体" w:cs="宋体"/>
              </w:rPr>
            </w:pPr>
          </w:p>
        </w:tc>
        <w:tc>
          <w:tcPr>
            <w:tcW w:w="426" w:type="dxa"/>
            <w:vMerge w:val="restart"/>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39" w:type="dxa"/>
            <w:vMerge w:val="continue"/>
            <w:vAlign w:val="center"/>
          </w:tcPr>
          <w:p>
            <w:pPr>
              <w:ind w:firstLine="0" w:firstLineChars="0"/>
              <w:jc w:val="center"/>
              <w:rPr>
                <w:rFonts w:ascii="宋体" w:hAnsi="宋体" w:cs="宋体"/>
              </w:rPr>
            </w:pPr>
          </w:p>
        </w:tc>
        <w:tc>
          <w:tcPr>
            <w:tcW w:w="1227" w:type="dxa"/>
            <w:vMerge w:val="continue"/>
            <w:vAlign w:val="center"/>
          </w:tcPr>
          <w:p>
            <w:pPr>
              <w:ind w:firstLine="0" w:firstLineChars="0"/>
              <w:jc w:val="center"/>
              <w:rPr>
                <w:rFonts w:ascii="宋体" w:hAnsi="宋体" w:cs="宋体"/>
              </w:rPr>
            </w:pPr>
          </w:p>
        </w:tc>
        <w:tc>
          <w:tcPr>
            <w:tcW w:w="5809" w:type="dxa"/>
            <w:gridSpan w:val="2"/>
            <w:vAlign w:val="center"/>
          </w:tcPr>
          <w:p>
            <w:pPr>
              <w:ind w:firstLine="0" w:firstLineChars="0"/>
              <w:rPr>
                <w:rFonts w:ascii="宋体" w:hAnsi="宋体" w:cs="宋体"/>
              </w:rPr>
            </w:pPr>
            <w:r>
              <w:rPr>
                <w:rFonts w:hint="eastAsia" w:ascii="宋体" w:hAnsi="宋体" w:cs="宋体"/>
              </w:rPr>
              <w:t>2.查看</w:t>
            </w:r>
            <w:r>
              <w:rPr>
                <w:rFonts w:hint="eastAsia" w:ascii="宋体" w:hAnsi="宋体" w:cs="宋体"/>
                <w:kern w:val="0"/>
              </w:rPr>
              <w:t>“图3-2-八个区段空闲”，图片上</w:t>
            </w:r>
            <w:r>
              <w:rPr>
                <w:rFonts w:hint="eastAsia" w:ascii="宋体" w:hAnsi="宋体" w:cs="宋体"/>
              </w:rPr>
              <w:t>模拟轨道对应的8个区段全为蓝色光带，否则结果错误扣4分。</w:t>
            </w:r>
          </w:p>
        </w:tc>
        <w:tc>
          <w:tcPr>
            <w:tcW w:w="425" w:type="dxa"/>
          </w:tcPr>
          <w:p>
            <w:pPr>
              <w:ind w:firstLine="0" w:firstLineChars="0"/>
              <w:jc w:val="center"/>
              <w:rPr>
                <w:rFonts w:ascii="宋体" w:hAnsi="宋体" w:cs="宋体"/>
              </w:rPr>
            </w:pPr>
          </w:p>
        </w:tc>
        <w:tc>
          <w:tcPr>
            <w:tcW w:w="426" w:type="dxa"/>
            <w:vMerge w:val="continue"/>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39" w:type="dxa"/>
            <w:vMerge w:val="continue"/>
            <w:vAlign w:val="center"/>
          </w:tcPr>
          <w:p>
            <w:pPr>
              <w:ind w:firstLine="0" w:firstLineChars="0"/>
              <w:jc w:val="center"/>
              <w:rPr>
                <w:rFonts w:ascii="宋体" w:hAnsi="宋体" w:cs="宋体"/>
              </w:rPr>
            </w:pPr>
          </w:p>
        </w:tc>
        <w:tc>
          <w:tcPr>
            <w:tcW w:w="1227" w:type="dxa"/>
            <w:vAlign w:val="center"/>
          </w:tcPr>
          <w:p>
            <w:pPr>
              <w:widowControl/>
              <w:shd w:val="clear" w:color="auto" w:fill="FFFFFF"/>
              <w:ind w:firstLine="0" w:firstLineChars="0"/>
              <w:jc w:val="left"/>
              <w:rPr>
                <w:rFonts w:ascii="宋体" w:hAnsi="宋体" w:cs="宋体"/>
              </w:rPr>
            </w:pPr>
            <w:r>
              <w:rPr>
                <w:rFonts w:hint="eastAsia" w:ascii="宋体" w:hAnsi="宋体" w:cs="宋体"/>
              </w:rPr>
              <w:t>（三）数据测量（4分）</w:t>
            </w:r>
          </w:p>
        </w:tc>
        <w:tc>
          <w:tcPr>
            <w:tcW w:w="5809" w:type="dxa"/>
            <w:gridSpan w:val="2"/>
            <w:vAlign w:val="center"/>
          </w:tcPr>
          <w:p>
            <w:pPr>
              <w:ind w:firstLine="0" w:firstLineChars="0"/>
              <w:rPr>
                <w:rFonts w:ascii="宋体" w:hAnsi="宋体" w:cs="宋体"/>
              </w:rPr>
            </w:pPr>
            <w:r>
              <w:rPr>
                <w:rFonts w:hint="eastAsia" w:ascii="宋体" w:hAnsi="宋体" w:cs="宋体"/>
              </w:rPr>
              <w:t>“轨入（空闲）”、“主轨出（空闲）”、“轨入（占用）”、“主轨出（占用）”4个数据每错一处扣1分，共4分扣完为止。</w:t>
            </w:r>
          </w:p>
        </w:tc>
        <w:tc>
          <w:tcPr>
            <w:tcW w:w="425" w:type="dxa"/>
          </w:tcPr>
          <w:p>
            <w:pPr>
              <w:ind w:firstLine="0" w:firstLineChars="0"/>
              <w:jc w:val="center"/>
              <w:rPr>
                <w:rFonts w:ascii="宋体" w:hAnsi="宋体" w:cs="宋体"/>
              </w:rPr>
            </w:pPr>
          </w:p>
        </w:tc>
        <w:tc>
          <w:tcPr>
            <w:tcW w:w="426" w:type="dxa"/>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1039" w:type="dxa"/>
            <w:vMerge w:val="restart"/>
            <w:vAlign w:val="center"/>
          </w:tcPr>
          <w:p>
            <w:pPr>
              <w:ind w:firstLine="0" w:firstLineChars="0"/>
              <w:rPr>
                <w:rFonts w:ascii="宋体" w:hAnsi="宋体" w:cs="宋体"/>
              </w:rPr>
            </w:pPr>
            <w:r>
              <w:rPr>
                <w:rFonts w:hint="eastAsia" w:ascii="宋体" w:hAnsi="宋体" w:cs="宋体"/>
              </w:rPr>
              <w:t>任务四 智能监控辅助系统开发（20分）</w:t>
            </w:r>
          </w:p>
        </w:tc>
        <w:tc>
          <w:tcPr>
            <w:tcW w:w="1227" w:type="dxa"/>
            <w:vAlign w:val="center"/>
          </w:tcPr>
          <w:p>
            <w:pPr>
              <w:ind w:firstLine="0" w:firstLineChars="0"/>
              <w:rPr>
                <w:rFonts w:ascii="宋体" w:hAnsi="宋体" w:cs="宋体"/>
              </w:rPr>
            </w:pPr>
            <w:r>
              <w:rPr>
                <w:rFonts w:hint="eastAsia" w:ascii="宋体" w:hAnsi="宋体" w:cs="宋体"/>
              </w:rPr>
              <w:t>（一）PLC程序设计（10分）</w:t>
            </w:r>
          </w:p>
          <w:p>
            <w:pPr>
              <w:ind w:firstLine="0" w:firstLineChars="0"/>
              <w:rPr>
                <w:rFonts w:ascii="宋体" w:hAnsi="宋体" w:cs="宋体"/>
              </w:rPr>
            </w:pPr>
          </w:p>
        </w:tc>
        <w:tc>
          <w:tcPr>
            <w:tcW w:w="5809" w:type="dxa"/>
            <w:gridSpan w:val="2"/>
            <w:vAlign w:val="center"/>
          </w:tcPr>
          <w:p>
            <w:pPr>
              <w:ind w:firstLine="0" w:firstLineChars="0"/>
              <w:rPr>
                <w:rFonts w:ascii="宋体" w:hAnsi="宋体" w:cs="宋体"/>
              </w:rPr>
            </w:pPr>
            <w:r>
              <w:rPr>
                <w:rFonts w:hint="eastAsia" w:ascii="宋体" w:hAnsi="宋体" w:cs="宋体"/>
              </w:rPr>
              <w:t>查看视频“设备功能检测.wmv”</w:t>
            </w:r>
          </w:p>
          <w:p>
            <w:pPr>
              <w:ind w:firstLine="0" w:firstLineChars="0"/>
              <w:rPr>
                <w:rFonts w:ascii="宋体" w:hAnsi="宋体" w:cs="宋体"/>
              </w:rPr>
            </w:pPr>
            <w:r>
              <w:rPr>
                <w:rFonts w:hint="eastAsia" w:ascii="宋体" w:hAnsi="宋体" w:cs="宋体"/>
              </w:rPr>
              <w:t>1.启动PLC，初始状态时左侧门开启指示灯、左侧门关闭指示灯、右侧门开启指示灯、右侧门关闭指示灯处于熄灭状态。</w:t>
            </w:r>
            <w:r>
              <w:rPr>
                <w:rFonts w:hint="eastAsia" w:ascii="宋体" w:hAnsi="宋体" w:cs="宋体"/>
                <w:b/>
                <w:bCs/>
              </w:rPr>
              <w:t>（2分）</w:t>
            </w:r>
          </w:p>
          <w:p>
            <w:pPr>
              <w:ind w:firstLine="0" w:firstLineChars="0"/>
              <w:rPr>
                <w:rFonts w:ascii="宋体" w:hAnsi="宋体" w:cs="宋体"/>
              </w:rPr>
            </w:pPr>
            <w:r>
              <w:rPr>
                <w:rFonts w:hint="eastAsia" w:ascii="宋体" w:hAnsi="宋体" w:cs="宋体"/>
              </w:rPr>
              <w:t>2.第一步操作：按下开左侧门按钮，左侧门开启指示灯、左侧门关闭指示灯、右侧门关闭指示灯、右侧门开启指示灯依次顺序点亮（指示灯点亮后保持点亮状态，4个指示灯全部点亮等待第二步操作），间隔时间为2S；点亮过程中选手要按下4个按钮，点亮过程无影响，验证在点亮过程中4个按钮操作无效。</w:t>
            </w:r>
            <w:r>
              <w:rPr>
                <w:rFonts w:hint="eastAsia" w:ascii="宋体" w:hAnsi="宋体" w:cs="宋体"/>
                <w:b/>
                <w:bCs/>
              </w:rPr>
              <w:t>（2分）</w:t>
            </w:r>
          </w:p>
          <w:p>
            <w:pPr>
              <w:ind w:firstLine="0" w:firstLineChars="0"/>
              <w:rPr>
                <w:rFonts w:ascii="宋体" w:hAnsi="宋体" w:cs="宋体"/>
              </w:rPr>
            </w:pPr>
            <w:r>
              <w:rPr>
                <w:rFonts w:hint="eastAsia" w:ascii="宋体" w:hAnsi="宋体" w:cs="宋体"/>
              </w:rPr>
              <w:t>3.第二步操作：按下关左侧门按钮，左侧门关闭指示灯、左侧门开启指示灯、右侧门开启指示灯、右侧门关闭指示灯依次顺序熄灭（指示灯熄灭后保持熄灭状态，4个指示灯全部熄灭等待第三步操作），间隔时间为2S；熄灭过程中选手要按下4个按钮，熄灭过程无影响，验证在熄灭过程中4个按钮操作无效。</w:t>
            </w:r>
            <w:r>
              <w:rPr>
                <w:rFonts w:hint="eastAsia" w:ascii="宋体" w:hAnsi="宋体" w:cs="宋体"/>
                <w:b/>
                <w:bCs/>
              </w:rPr>
              <w:t>（2分）</w:t>
            </w:r>
          </w:p>
          <w:p>
            <w:pPr>
              <w:ind w:firstLine="0" w:firstLineChars="0"/>
              <w:rPr>
                <w:rFonts w:ascii="宋体" w:hAnsi="宋体" w:cs="宋体"/>
              </w:rPr>
            </w:pPr>
            <w:r>
              <w:rPr>
                <w:rFonts w:hint="eastAsia" w:ascii="宋体" w:hAnsi="宋体" w:cs="宋体"/>
              </w:rPr>
              <w:t>4.第三步操作：按下开右侧门按钮，右侧门开启指示灯、右侧门关闭指示灯、左侧门关闭指示灯、左侧门开启指示灯依次顺序点亮（指示灯点亮后保持点亮状态，4个指示灯全部点亮等待第四步操作），间隔时间为2S；点亮过程中选手要按下4个按钮，点亮过程无影响，验证在点亮过程中4个按钮操作无效。</w:t>
            </w:r>
            <w:r>
              <w:rPr>
                <w:rFonts w:hint="eastAsia" w:ascii="宋体" w:hAnsi="宋体" w:cs="宋体"/>
                <w:b/>
                <w:bCs/>
              </w:rPr>
              <w:t>（2分）</w:t>
            </w:r>
          </w:p>
          <w:p>
            <w:pPr>
              <w:ind w:firstLine="0" w:firstLineChars="0"/>
              <w:rPr>
                <w:rFonts w:ascii="宋体" w:hAnsi="宋体" w:cs="宋体"/>
              </w:rPr>
            </w:pPr>
            <w:r>
              <w:rPr>
                <w:rFonts w:hint="eastAsia" w:ascii="宋体" w:hAnsi="宋体" w:cs="宋体"/>
              </w:rPr>
              <w:t>5.第四步操作：按下关右侧门按钮，右侧门关闭指示灯、右侧门开启指示灯、左侧门开启指示灯、左侧门关闭指示灯依次顺序熄灭（指示灯熄灭后保持熄灭状态，4个指示灯全部熄灭后操作停止），间隔时间为2S；熄灭过程中选手要按下4个按钮，熄灭过程无影响，验证在熄灭过程中4个按钮操作无效。</w:t>
            </w:r>
            <w:r>
              <w:rPr>
                <w:rFonts w:hint="eastAsia" w:ascii="宋体" w:hAnsi="宋体" w:cs="宋体"/>
                <w:b/>
                <w:bCs/>
              </w:rPr>
              <w:t>（2分）</w:t>
            </w:r>
          </w:p>
          <w:p>
            <w:pPr>
              <w:ind w:firstLine="0" w:firstLineChars="0"/>
              <w:rPr>
                <w:rFonts w:ascii="宋体" w:hAnsi="宋体" w:cs="宋体"/>
              </w:rPr>
            </w:pPr>
            <w:r>
              <w:rPr>
                <w:rFonts w:hint="eastAsia" w:ascii="宋体" w:hAnsi="宋体" w:cs="宋体"/>
              </w:rPr>
              <w:t>每项不符扣2分，</w:t>
            </w:r>
            <w:r>
              <w:rPr>
                <w:rFonts w:hint="eastAsia" w:ascii="宋体" w:hAnsi="宋体" w:cs="宋体"/>
                <w:b/>
                <w:bCs/>
              </w:rPr>
              <w:t>共10分扣完为止</w:t>
            </w:r>
            <w:r>
              <w:rPr>
                <w:rFonts w:hint="eastAsia" w:ascii="宋体" w:hAnsi="宋体" w:cs="宋体"/>
              </w:rPr>
              <w:t>。</w:t>
            </w:r>
          </w:p>
        </w:tc>
        <w:tc>
          <w:tcPr>
            <w:tcW w:w="425" w:type="dxa"/>
            <w:vAlign w:val="center"/>
          </w:tcPr>
          <w:p>
            <w:pPr>
              <w:ind w:firstLine="0" w:firstLineChars="0"/>
              <w:jc w:val="center"/>
              <w:rPr>
                <w:rFonts w:ascii="宋体" w:hAnsi="宋体" w:cs="宋体"/>
              </w:rPr>
            </w:pPr>
          </w:p>
        </w:tc>
        <w:tc>
          <w:tcPr>
            <w:tcW w:w="426" w:type="dxa"/>
            <w:vAlign w:val="center"/>
          </w:tcPr>
          <w:p>
            <w:pPr>
              <w:ind w:firstLine="0" w:firstLineChars="0"/>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jc w:val="center"/>
        </w:trPr>
        <w:tc>
          <w:tcPr>
            <w:tcW w:w="1039" w:type="dxa"/>
            <w:vMerge w:val="continue"/>
          </w:tcPr>
          <w:p>
            <w:pPr>
              <w:ind w:firstLine="0" w:firstLineChars="0"/>
              <w:jc w:val="center"/>
              <w:rPr>
                <w:rFonts w:ascii="宋体" w:hAnsi="宋体" w:cs="宋体"/>
              </w:rPr>
            </w:pPr>
          </w:p>
        </w:tc>
        <w:tc>
          <w:tcPr>
            <w:tcW w:w="1227" w:type="dxa"/>
            <w:vMerge w:val="restart"/>
            <w:vAlign w:val="center"/>
          </w:tcPr>
          <w:p>
            <w:pPr>
              <w:ind w:firstLine="0" w:firstLineChars="0"/>
              <w:rPr>
                <w:rFonts w:ascii="宋体" w:hAnsi="宋体" w:cs="宋体"/>
                <w:b/>
                <w:bCs/>
              </w:rPr>
            </w:pPr>
            <w:r>
              <w:rPr>
                <w:rFonts w:hint="eastAsia" w:ascii="宋体" w:hAnsi="宋体" w:cs="宋体"/>
              </w:rPr>
              <w:t>（二）人机交互界面设计（10分）</w:t>
            </w:r>
          </w:p>
          <w:p>
            <w:pPr>
              <w:ind w:firstLine="0" w:firstLineChars="0"/>
              <w:rPr>
                <w:rFonts w:ascii="宋体" w:hAnsi="宋体" w:cs="宋体"/>
              </w:rPr>
            </w:pPr>
          </w:p>
        </w:tc>
        <w:tc>
          <w:tcPr>
            <w:tcW w:w="5809" w:type="dxa"/>
            <w:gridSpan w:val="2"/>
            <w:vAlign w:val="center"/>
          </w:tcPr>
          <w:p>
            <w:pPr>
              <w:ind w:firstLine="0" w:firstLineChars="0"/>
              <w:rPr>
                <w:rFonts w:ascii="宋体" w:hAnsi="宋体" w:cs="宋体"/>
              </w:rPr>
            </w:pPr>
            <w:r>
              <w:rPr>
                <w:rFonts w:hint="eastAsia" w:ascii="宋体" w:hAnsi="宋体" w:cs="宋体"/>
              </w:rPr>
              <w:t>对照“图4-1-列车车厢环境监测界面”与右图界面（标题、温湿度图标、光照图标、烟雾图标、趋势图）有一处不同，扣0.5分，</w:t>
            </w:r>
            <w:r>
              <w:rPr>
                <w:rFonts w:hint="eastAsia" w:ascii="宋体" w:hAnsi="宋体" w:cs="宋体"/>
                <w:b/>
                <w:bCs/>
              </w:rPr>
              <w:t>共2分扣完为止。</w:t>
            </w:r>
          </w:p>
        </w:tc>
        <w:tc>
          <w:tcPr>
            <w:tcW w:w="425" w:type="dxa"/>
          </w:tcPr>
          <w:p>
            <w:pPr>
              <w:widowControl/>
              <w:ind w:firstLine="0" w:firstLineChars="0"/>
              <w:jc w:val="left"/>
              <w:rPr>
                <w:rFonts w:ascii="宋体" w:hAnsi="宋体" w:cs="宋体"/>
              </w:rPr>
            </w:pPr>
          </w:p>
        </w:tc>
        <w:tc>
          <w:tcPr>
            <w:tcW w:w="426" w:type="dxa"/>
            <w:vMerge w:val="restart"/>
          </w:tcPr>
          <w:p>
            <w:pPr>
              <w:widowControl/>
              <w:ind w:firstLine="0" w:firstLineChars="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4" w:hRule="atLeast"/>
          <w:jc w:val="center"/>
        </w:trPr>
        <w:tc>
          <w:tcPr>
            <w:tcW w:w="1039" w:type="dxa"/>
            <w:vMerge w:val="continue"/>
          </w:tcPr>
          <w:p>
            <w:pPr>
              <w:ind w:firstLine="0" w:firstLineChars="0"/>
              <w:rPr>
                <w:rFonts w:ascii="宋体" w:hAnsi="宋体" w:cs="宋体"/>
              </w:rPr>
            </w:pPr>
          </w:p>
        </w:tc>
        <w:tc>
          <w:tcPr>
            <w:tcW w:w="1227" w:type="dxa"/>
            <w:vMerge w:val="continue"/>
          </w:tcPr>
          <w:p>
            <w:pPr>
              <w:ind w:firstLine="0" w:firstLineChars="0"/>
              <w:rPr>
                <w:rFonts w:ascii="宋体" w:hAnsi="宋体" w:cs="宋体"/>
              </w:rPr>
            </w:pPr>
          </w:p>
        </w:tc>
        <w:tc>
          <w:tcPr>
            <w:tcW w:w="5809" w:type="dxa"/>
            <w:gridSpan w:val="2"/>
            <w:vAlign w:val="center"/>
          </w:tcPr>
          <w:p>
            <w:pPr>
              <w:ind w:firstLine="0" w:firstLineChars="0"/>
              <w:rPr>
                <w:rFonts w:ascii="宋体" w:hAnsi="宋体" w:cs="宋体"/>
              </w:rPr>
            </w:pPr>
            <w:r>
              <w:rPr>
                <w:rFonts w:hint="eastAsia" w:ascii="宋体" w:hAnsi="宋体" w:cs="宋体"/>
              </w:rPr>
              <w:t>查看考生的录像“列车车厢环境监测功能设计.wmv”</w:t>
            </w:r>
          </w:p>
          <w:p>
            <w:pPr>
              <w:ind w:firstLine="0" w:firstLineChars="0"/>
              <w:rPr>
                <w:rFonts w:ascii="宋体" w:hAnsi="宋体" w:cs="宋体"/>
              </w:rPr>
            </w:pPr>
            <w:r>
              <w:rPr>
                <w:rFonts w:hint="eastAsia" w:ascii="宋体" w:hAnsi="宋体" w:cs="宋体"/>
              </w:rPr>
              <w:t>（1）(共3分)温度：15~35℃，湿度：20~70%，光照：20~1500 Lux,录像视频中3个数据有一个数据不在以上范围内，</w:t>
            </w:r>
            <w:r>
              <w:rPr>
                <w:rFonts w:hint="eastAsia" w:ascii="宋体" w:hAnsi="宋体" w:cs="宋体"/>
                <w:b/>
                <w:bCs/>
              </w:rPr>
              <w:t>扣1分，共3分扣完为止。</w:t>
            </w:r>
          </w:p>
          <w:p>
            <w:pPr>
              <w:ind w:firstLine="0" w:firstLineChars="0"/>
              <w:rPr>
                <w:rFonts w:ascii="宋体" w:hAnsi="宋体" w:cs="宋体"/>
              </w:rPr>
            </w:pPr>
            <w:r>
              <w:rPr>
                <w:rFonts w:hint="eastAsia" w:ascii="宋体" w:hAnsi="宋体" w:cs="宋体"/>
              </w:rPr>
              <w:t>（2）（共3分）温度、湿度数据2个数据的趋势图与真实的温湿度2个数据有一处不对应的，扣1.5分，光照数据趋势图与真实的光照数据不对应，扣1.5分，</w:t>
            </w:r>
            <w:r>
              <w:rPr>
                <w:rFonts w:hint="eastAsia" w:ascii="宋体" w:hAnsi="宋体" w:cs="宋体"/>
                <w:b/>
                <w:bCs/>
              </w:rPr>
              <w:t>共3分扣完为止。</w:t>
            </w:r>
          </w:p>
          <w:p>
            <w:pPr>
              <w:ind w:firstLine="0" w:firstLineChars="0"/>
              <w:rPr>
                <w:rFonts w:ascii="宋体" w:hAnsi="宋体" w:cs="宋体"/>
              </w:rPr>
            </w:pPr>
            <w:r>
              <w:rPr>
                <w:rFonts w:hint="eastAsia" w:ascii="宋体" w:hAnsi="宋体" w:cs="宋体"/>
              </w:rPr>
              <w:t>（3）（共2分）按下主控台烟雾传感器上黑色按钮，烟雾状态由蓝色状态变为红色状态，右上角报警条上显示“烟雾报警”等信息，与上述2功能不一致，每处扣1分，</w:t>
            </w:r>
            <w:r>
              <w:rPr>
                <w:rFonts w:hint="eastAsia" w:ascii="宋体" w:hAnsi="宋体" w:cs="宋体"/>
                <w:b/>
                <w:bCs/>
              </w:rPr>
              <w:t>共2分扣完为止。</w:t>
            </w:r>
          </w:p>
        </w:tc>
        <w:tc>
          <w:tcPr>
            <w:tcW w:w="425" w:type="dxa"/>
          </w:tcPr>
          <w:p>
            <w:pPr>
              <w:widowControl/>
              <w:ind w:firstLine="0" w:firstLineChars="0"/>
              <w:jc w:val="left"/>
              <w:rPr>
                <w:rFonts w:ascii="宋体" w:hAnsi="宋体" w:cs="宋体"/>
              </w:rPr>
            </w:pPr>
          </w:p>
        </w:tc>
        <w:tc>
          <w:tcPr>
            <w:tcW w:w="426" w:type="dxa"/>
            <w:vMerge w:val="continue"/>
          </w:tcPr>
          <w:p>
            <w:pPr>
              <w:widowControl/>
              <w:ind w:firstLine="0" w:firstLineChars="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039" w:type="dxa"/>
            <w:vMerge w:val="restart"/>
          </w:tcPr>
          <w:p>
            <w:pPr>
              <w:widowControl/>
              <w:ind w:firstLine="0" w:firstLineChars="0"/>
              <w:jc w:val="left"/>
              <w:rPr>
                <w:rFonts w:ascii="宋体" w:hAnsi="宋体" w:cs="宋体"/>
              </w:rPr>
            </w:pPr>
            <w:r>
              <w:rPr>
                <w:rFonts w:hint="eastAsia" w:ascii="宋体" w:hAnsi="宋体" w:cs="宋体"/>
              </w:rPr>
              <w:t>任务五 信号控制系统综合应用（15分）</w:t>
            </w:r>
          </w:p>
        </w:tc>
        <w:tc>
          <w:tcPr>
            <w:tcW w:w="1227" w:type="dxa"/>
            <w:vAlign w:val="center"/>
          </w:tcPr>
          <w:p>
            <w:pPr>
              <w:widowControl/>
              <w:ind w:firstLine="0" w:firstLineChars="0"/>
              <w:jc w:val="left"/>
              <w:rPr>
                <w:rFonts w:ascii="宋体" w:hAnsi="宋体" w:cs="宋体"/>
              </w:rPr>
            </w:pPr>
            <w:r>
              <w:rPr>
                <w:rFonts w:hint="eastAsia" w:ascii="宋体" w:hAnsi="宋体" w:cs="宋体"/>
              </w:rPr>
              <w:t>（一）排列进路（4分）</w:t>
            </w:r>
          </w:p>
        </w:tc>
        <w:tc>
          <w:tcPr>
            <w:tcW w:w="5809" w:type="dxa"/>
            <w:gridSpan w:val="2"/>
            <w:vAlign w:val="center"/>
          </w:tcPr>
          <w:p>
            <w:pPr>
              <w:tabs>
                <w:tab w:val="left" w:pos="2093"/>
              </w:tabs>
              <w:ind w:firstLine="0" w:firstLineChars="0"/>
              <w:rPr>
                <w:rFonts w:ascii="宋体" w:hAnsi="宋体" w:cs="宋体"/>
              </w:rPr>
            </w:pPr>
            <w:r>
              <w:rPr>
                <w:rFonts w:hint="eastAsia" w:ascii="宋体" w:hAnsi="宋体" w:cs="宋体"/>
              </w:rPr>
              <w:t>查看“图5-1-排列发车进路，进路信息错误扣4分。</w:t>
            </w:r>
          </w:p>
        </w:tc>
        <w:tc>
          <w:tcPr>
            <w:tcW w:w="425" w:type="dxa"/>
          </w:tcPr>
          <w:p>
            <w:pPr>
              <w:widowControl/>
              <w:ind w:firstLine="0" w:firstLineChars="0"/>
              <w:jc w:val="left"/>
              <w:rPr>
                <w:rFonts w:ascii="宋体" w:hAnsi="宋体" w:cs="宋体"/>
              </w:rPr>
            </w:pPr>
          </w:p>
        </w:tc>
        <w:tc>
          <w:tcPr>
            <w:tcW w:w="426" w:type="dxa"/>
            <w:vMerge w:val="restart"/>
          </w:tcPr>
          <w:p>
            <w:pPr>
              <w:widowControl/>
              <w:ind w:firstLine="0" w:firstLineChars="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039" w:type="dxa"/>
            <w:vMerge w:val="continue"/>
          </w:tcPr>
          <w:p>
            <w:pPr>
              <w:widowControl/>
              <w:ind w:firstLine="0" w:firstLineChars="0"/>
              <w:jc w:val="left"/>
              <w:rPr>
                <w:rFonts w:ascii="宋体" w:hAnsi="宋体" w:cs="宋体"/>
              </w:rPr>
            </w:pPr>
          </w:p>
        </w:tc>
        <w:tc>
          <w:tcPr>
            <w:tcW w:w="1227" w:type="dxa"/>
            <w:vAlign w:val="center"/>
          </w:tcPr>
          <w:p>
            <w:pPr>
              <w:widowControl/>
              <w:ind w:firstLine="0" w:firstLineChars="0"/>
              <w:jc w:val="left"/>
              <w:rPr>
                <w:rFonts w:ascii="宋体" w:hAnsi="宋体" w:cs="宋体"/>
              </w:rPr>
            </w:pPr>
            <w:r>
              <w:rPr>
                <w:rFonts w:hint="eastAsia" w:ascii="宋体" w:hAnsi="宋体" w:cs="宋体"/>
              </w:rPr>
              <w:t>（二）改方（6分）</w:t>
            </w:r>
          </w:p>
        </w:tc>
        <w:tc>
          <w:tcPr>
            <w:tcW w:w="5809" w:type="dxa"/>
            <w:gridSpan w:val="2"/>
            <w:vAlign w:val="center"/>
          </w:tcPr>
          <w:p>
            <w:pPr>
              <w:widowControl/>
              <w:ind w:firstLine="0" w:firstLineChars="0"/>
              <w:jc w:val="left"/>
              <w:rPr>
                <w:rFonts w:ascii="宋体" w:hAnsi="宋体" w:cs="宋体"/>
              </w:rPr>
            </w:pPr>
            <w:r>
              <w:rPr>
                <w:rFonts w:hint="eastAsia" w:ascii="宋体" w:hAnsi="宋体" w:cs="宋体"/>
              </w:rPr>
              <w:t>查看“图5-2-改方过程操作和“图5-3-改方后界面”，改方过程，改方结果错误，每张图片扣3分，共6分扣完为止。</w:t>
            </w:r>
          </w:p>
        </w:tc>
        <w:tc>
          <w:tcPr>
            <w:tcW w:w="425" w:type="dxa"/>
          </w:tcPr>
          <w:p>
            <w:pPr>
              <w:widowControl/>
              <w:ind w:firstLine="0" w:firstLineChars="0"/>
              <w:jc w:val="left"/>
              <w:rPr>
                <w:rFonts w:ascii="宋体" w:hAnsi="宋体" w:cs="宋体"/>
              </w:rPr>
            </w:pPr>
          </w:p>
        </w:tc>
        <w:tc>
          <w:tcPr>
            <w:tcW w:w="426" w:type="dxa"/>
            <w:vMerge w:val="continue"/>
          </w:tcPr>
          <w:p>
            <w:pPr>
              <w:widowControl/>
              <w:ind w:firstLine="0" w:firstLineChars="0"/>
              <w:jc w:val="lef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039" w:type="dxa"/>
            <w:vMerge w:val="continue"/>
          </w:tcPr>
          <w:p>
            <w:pPr>
              <w:widowControl/>
              <w:ind w:firstLine="0" w:firstLineChars="0"/>
              <w:jc w:val="left"/>
              <w:rPr>
                <w:rFonts w:ascii="宋体" w:hAnsi="宋体" w:cs="宋体"/>
              </w:rPr>
            </w:pPr>
          </w:p>
        </w:tc>
        <w:tc>
          <w:tcPr>
            <w:tcW w:w="1227" w:type="dxa"/>
            <w:vAlign w:val="center"/>
          </w:tcPr>
          <w:p>
            <w:pPr>
              <w:widowControl/>
              <w:ind w:firstLine="0" w:firstLineChars="0"/>
              <w:jc w:val="left"/>
              <w:rPr>
                <w:rFonts w:ascii="宋体" w:hAnsi="宋体" w:cs="宋体"/>
              </w:rPr>
            </w:pPr>
            <w:r>
              <w:rPr>
                <w:rFonts w:hint="eastAsia" w:ascii="宋体" w:hAnsi="宋体" w:cs="宋体"/>
              </w:rPr>
              <w:t>（三）区段码序控制（5分）</w:t>
            </w:r>
          </w:p>
        </w:tc>
        <w:tc>
          <w:tcPr>
            <w:tcW w:w="5809" w:type="dxa"/>
            <w:gridSpan w:val="2"/>
            <w:vAlign w:val="center"/>
          </w:tcPr>
          <w:p>
            <w:pPr>
              <w:widowControl/>
              <w:ind w:firstLine="0" w:firstLineChars="0"/>
              <w:jc w:val="left"/>
              <w:rPr>
                <w:rFonts w:ascii="宋体" w:hAnsi="宋体" w:cs="宋体"/>
              </w:rPr>
            </w:pPr>
            <w:r>
              <w:rPr>
                <w:rFonts w:hint="eastAsia" w:ascii="宋体" w:hAnsi="宋体" w:cs="宋体"/>
              </w:rPr>
              <w:t>查看“图5-4-显示HU码”进路信息、码序显示、占用情况错误，扣5分。</w:t>
            </w:r>
          </w:p>
        </w:tc>
        <w:tc>
          <w:tcPr>
            <w:tcW w:w="425" w:type="dxa"/>
          </w:tcPr>
          <w:p>
            <w:pPr>
              <w:widowControl/>
              <w:ind w:firstLine="0" w:firstLineChars="0"/>
              <w:jc w:val="left"/>
              <w:rPr>
                <w:rFonts w:ascii="宋体" w:hAnsi="宋体" w:cs="宋体"/>
              </w:rPr>
            </w:pPr>
          </w:p>
        </w:tc>
        <w:tc>
          <w:tcPr>
            <w:tcW w:w="426" w:type="dxa"/>
            <w:vMerge w:val="continue"/>
          </w:tcPr>
          <w:p>
            <w:pPr>
              <w:widowControl/>
              <w:ind w:firstLine="0" w:firstLineChars="0"/>
              <w:jc w:val="left"/>
              <w:rPr>
                <w:rFonts w:ascii="宋体" w:hAnsi="宋体" w:cs="宋体"/>
              </w:rPr>
            </w:pPr>
          </w:p>
        </w:tc>
      </w:tr>
      <w:bookmarkEnd w:id="59"/>
    </w:tbl>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2.任务六 操作规范评分标准：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（1）工作报告部分，5个小报告，每个小报告满分1.2分，共分为4档，具体如下：</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①任务要求描述题干提炼准确，叙述清楚，简洁流畅；操作过程记录对安装顺序、配置的参数，调试的项目等叙述清晰、详实，逻辑性强；实施结果、原因描述合理、到位；报告结构严谨。（1.2分）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②任务要求描述题干提炼比较准确，叙述比较清楚，比较流畅；操作过程记录对安装顺序、配置的参数，调试的项目等叙述比较清晰、详实，逻辑性较强；实施结果、原因描述比较合理；报告结构比较严谨。（0.9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③任务要求描述题干提炼基本准确，叙述基本清楚；操作过程记录对安装顺序、配置的参数，调试的项目等叙述基本清晰；实施结果、原因描述基本合理。（0.5分）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④任务要求描述题干提炼不准确，叙述不清楚；操作过程记录对安装顺序、配置的参数，调试的项目等叙述不清晰；实施结果、原因描述不合理。（0分）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（2）现场管理及安全部分，基础分数共计4分，共4分扣完为止。</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①遵守安全操作规范：按照安全操作规范比赛，每违反1项扣0.5分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②文明竞赛，服从管理:顶撞裁判、不服从安排，每次扣0.5分；如影响比赛秩序，裁判长可根据现场情况酌情扣分，严重者可停止选手比赛！</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③工位环境整洁、卫生:比赛结束后赛位不做清洁，工位凌乱扣0.5分；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④工作井然有序、不跨区操作:比赛过程中跨区操作扣0.5分；</w:t>
      </w:r>
    </w:p>
    <w:p>
      <w:pPr>
        <w:widowControl/>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⑤接触机柜外壁（包括拆装机柜门）或机柜内部进行安装拆卸布线时需要佩戴绝缘手套。未按规定佩戴绝缘手套扣2分。</w:t>
      </w:r>
    </w:p>
    <w:p>
      <w:pPr>
        <w:widowControl/>
        <w:snapToGrid w:val="0"/>
        <w:spacing w:line="560" w:lineRule="exact"/>
        <w:ind w:firstLine="600"/>
        <w:rPr>
          <w:rFonts w:ascii="仿宋_GB2312" w:hAnsi="仿宋_GB2312" w:eastAsia="仿宋_GB2312" w:cs="仿宋_GB2312"/>
        </w:rPr>
      </w:pPr>
      <w:r>
        <w:rPr>
          <w:rFonts w:hint="eastAsia" w:ascii="仿宋_GB2312" w:hAnsi="仿宋_GB2312" w:eastAsia="仿宋_GB2312" w:cs="仿宋_GB2312"/>
          <w:kern w:val="0"/>
          <w:sz w:val="30"/>
          <w:szCs w:val="30"/>
        </w:rPr>
        <w:t>⑥维修或焊接电路板时需要佩戴防静电手环，在维修时未按照规定佩戴防静电手环，扣1分。</w:t>
      </w:r>
    </w:p>
    <w:p>
      <w:pPr>
        <w:pStyle w:val="3"/>
        <w:spacing w:before="163" w:line="560" w:lineRule="exact"/>
        <w:rPr>
          <w:rFonts w:ascii="仿宋_GB2312" w:hAnsi="仿宋_GB2312" w:eastAsia="仿宋_GB2312" w:cs="仿宋_GB2312"/>
        </w:rPr>
      </w:pPr>
      <w:r>
        <w:rPr>
          <w:rFonts w:hint="eastAsia" w:ascii="仿宋_GB2312" w:hAnsi="仿宋_GB2312" w:eastAsia="仿宋_GB2312" w:cs="仿宋_GB2312"/>
        </w:rPr>
        <w:t>违规违纪评判</w:t>
      </w:r>
      <w:bookmarkEnd w:id="56"/>
      <w:bookmarkEnd w:id="60"/>
    </w:p>
    <w:p>
      <w:pPr>
        <w:snapToGrid w:val="0"/>
        <w:spacing w:line="560" w:lineRule="exact"/>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在竞赛过程中，选手如有不服从裁判判决、扰乱赛场秩序、舞弊等不文明行为，由裁判按照规定扣减相应分数并且给予警告，情节严重的取消竞赛资格，竞赛成绩记0分。具体如下表：</w:t>
      </w:r>
    </w:p>
    <w:tbl>
      <w:tblPr>
        <w:tblStyle w:val="32"/>
        <w:tblW w:w="87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3"/>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5813" w:type="dxa"/>
            <w:vAlign w:val="center"/>
          </w:tcPr>
          <w:p>
            <w:pPr>
              <w:adjustRightInd w:val="0"/>
              <w:snapToGrid w:val="0"/>
              <w:jc w:val="center"/>
              <w:rPr>
                <w:rFonts w:ascii="宋体" w:hAnsi="宋体" w:cs="宋体"/>
              </w:rPr>
            </w:pPr>
            <w:r>
              <w:rPr>
                <w:rFonts w:hint="eastAsia" w:ascii="宋体" w:hAnsi="宋体" w:cs="宋体"/>
              </w:rPr>
              <w:t>考核内容</w:t>
            </w:r>
          </w:p>
        </w:tc>
        <w:tc>
          <w:tcPr>
            <w:tcW w:w="2971" w:type="dxa"/>
            <w:vAlign w:val="center"/>
          </w:tcPr>
          <w:p>
            <w:pPr>
              <w:adjustRightInd w:val="0"/>
              <w:snapToGrid w:val="0"/>
              <w:jc w:val="center"/>
              <w:rPr>
                <w:rFonts w:ascii="宋体" w:hAnsi="宋体" w:cs="宋体"/>
              </w:rPr>
            </w:pPr>
            <w:r>
              <w:rPr>
                <w:rFonts w:hint="eastAsia" w:ascii="宋体" w:hAnsi="宋体" w:cs="宋体"/>
              </w:rPr>
              <w:t>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vAlign w:val="center"/>
          </w:tcPr>
          <w:p>
            <w:pPr>
              <w:adjustRightInd w:val="0"/>
              <w:ind w:firstLine="0" w:firstLineChars="0"/>
              <w:jc w:val="left"/>
              <w:rPr>
                <w:rFonts w:ascii="宋体" w:hAnsi="宋体" w:cs="宋体"/>
              </w:rPr>
            </w:pPr>
            <w:r>
              <w:rPr>
                <w:rFonts w:hint="eastAsia" w:ascii="宋体" w:hAnsi="宋体" w:cs="宋体"/>
              </w:rPr>
              <w:t>在裁判长发出开始比赛指令前，提前操作</w:t>
            </w:r>
          </w:p>
        </w:tc>
        <w:tc>
          <w:tcPr>
            <w:tcW w:w="2971" w:type="dxa"/>
            <w:vAlign w:val="center"/>
          </w:tcPr>
          <w:p>
            <w:pPr>
              <w:adjustRightInd w:val="0"/>
              <w:jc w:val="center"/>
              <w:rPr>
                <w:rFonts w:ascii="宋体" w:hAnsi="宋体" w:cs="宋体"/>
              </w:rPr>
            </w:pPr>
            <w:r>
              <w:rPr>
                <w:rFonts w:hint="eastAsia" w:ascii="宋体" w:hAnsi="宋体" w:cs="宋体"/>
              </w:rPr>
              <w:t>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vAlign w:val="center"/>
          </w:tcPr>
          <w:p>
            <w:pPr>
              <w:adjustRightInd w:val="0"/>
              <w:ind w:firstLine="0" w:firstLineChars="0"/>
              <w:jc w:val="left"/>
              <w:rPr>
                <w:rFonts w:ascii="宋体" w:hAnsi="宋体" w:cs="宋体"/>
              </w:rPr>
            </w:pPr>
            <w:r>
              <w:rPr>
                <w:rFonts w:hint="eastAsia" w:ascii="宋体" w:hAnsi="宋体" w:cs="宋体"/>
              </w:rPr>
              <w:t>选手签名时，使用了真实姓名或者具体参赛队</w:t>
            </w:r>
          </w:p>
        </w:tc>
        <w:tc>
          <w:tcPr>
            <w:tcW w:w="2971" w:type="dxa"/>
            <w:vAlign w:val="center"/>
          </w:tcPr>
          <w:p>
            <w:pPr>
              <w:adjustRightInd w:val="0"/>
              <w:jc w:val="center"/>
              <w:rPr>
                <w:rFonts w:ascii="宋体" w:hAnsi="宋体" w:cs="宋体"/>
              </w:rPr>
            </w:pPr>
            <w:r>
              <w:rPr>
                <w:rFonts w:hint="eastAsia" w:ascii="宋体" w:hAnsi="宋体" w:cs="宋体"/>
              </w:rPr>
              <w:t>取消比赛资格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vAlign w:val="center"/>
          </w:tcPr>
          <w:p>
            <w:pPr>
              <w:ind w:firstLine="0" w:firstLineChars="0"/>
              <w:jc w:val="left"/>
              <w:rPr>
                <w:rFonts w:ascii="宋体" w:hAnsi="宋体" w:cs="宋体"/>
              </w:rPr>
            </w:pPr>
            <w:r>
              <w:rPr>
                <w:rFonts w:hint="eastAsia" w:ascii="宋体" w:hAnsi="宋体" w:cs="宋体"/>
              </w:rPr>
              <w:t>不服从裁判指令</w:t>
            </w:r>
          </w:p>
        </w:tc>
        <w:tc>
          <w:tcPr>
            <w:tcW w:w="2971" w:type="dxa"/>
            <w:vAlign w:val="center"/>
          </w:tcPr>
          <w:p>
            <w:pPr>
              <w:adjustRightInd w:val="0"/>
              <w:jc w:val="center"/>
              <w:rPr>
                <w:rFonts w:ascii="宋体" w:hAnsi="宋体" w:cs="宋体"/>
              </w:rPr>
            </w:pPr>
            <w:r>
              <w:rPr>
                <w:rFonts w:hint="eastAsia" w:ascii="宋体" w:hAnsi="宋体" w:cs="宋体"/>
              </w:rPr>
              <w:t>扣5分/次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vAlign w:val="center"/>
          </w:tcPr>
          <w:p>
            <w:pPr>
              <w:adjustRightInd w:val="0"/>
              <w:ind w:firstLine="0" w:firstLineChars="0"/>
              <w:jc w:val="left"/>
              <w:rPr>
                <w:rFonts w:ascii="宋体" w:hAnsi="宋体" w:cs="宋体"/>
              </w:rPr>
            </w:pPr>
            <w:r>
              <w:rPr>
                <w:rFonts w:hint="eastAsia" w:ascii="宋体" w:hAnsi="宋体" w:cs="宋体"/>
              </w:rPr>
              <w:t>在裁判长发出结束比赛指令后，继续操作</w:t>
            </w:r>
          </w:p>
        </w:tc>
        <w:tc>
          <w:tcPr>
            <w:tcW w:w="2971" w:type="dxa"/>
            <w:vAlign w:val="center"/>
          </w:tcPr>
          <w:p>
            <w:pPr>
              <w:adjustRightInd w:val="0"/>
              <w:jc w:val="center"/>
              <w:rPr>
                <w:rFonts w:ascii="宋体" w:hAnsi="宋体" w:cs="宋体"/>
              </w:rPr>
            </w:pPr>
            <w:r>
              <w:rPr>
                <w:rFonts w:hint="eastAsia" w:ascii="宋体" w:hAnsi="宋体" w:cs="宋体"/>
              </w:rPr>
              <w:t>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vAlign w:val="center"/>
          </w:tcPr>
          <w:p>
            <w:pPr>
              <w:adjustRightInd w:val="0"/>
              <w:ind w:firstLine="0" w:firstLineChars="0"/>
              <w:jc w:val="left"/>
              <w:rPr>
                <w:rFonts w:ascii="宋体" w:hAnsi="宋体" w:cs="宋体"/>
              </w:rPr>
            </w:pPr>
            <w:r>
              <w:rPr>
                <w:rFonts w:hint="eastAsia" w:ascii="宋体" w:hAnsi="宋体" w:cs="宋体"/>
              </w:rPr>
              <w:t>擅自离开本参赛队赛位</w:t>
            </w:r>
          </w:p>
        </w:tc>
        <w:tc>
          <w:tcPr>
            <w:tcW w:w="2971" w:type="dxa"/>
            <w:vAlign w:val="center"/>
          </w:tcPr>
          <w:p>
            <w:pPr>
              <w:adjustRightInd w:val="0"/>
              <w:jc w:val="center"/>
              <w:rPr>
                <w:rFonts w:ascii="宋体" w:hAnsi="宋体" w:cs="宋体"/>
              </w:rPr>
            </w:pPr>
            <w:r>
              <w:rPr>
                <w:rFonts w:hint="eastAsia" w:ascii="宋体" w:hAnsi="宋体" w:cs="宋体"/>
              </w:rPr>
              <w:t>取消比赛资格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vAlign w:val="center"/>
          </w:tcPr>
          <w:p>
            <w:pPr>
              <w:adjustRightInd w:val="0"/>
              <w:ind w:firstLine="0" w:firstLineChars="0"/>
              <w:jc w:val="left"/>
              <w:rPr>
                <w:rFonts w:ascii="宋体" w:hAnsi="宋体" w:cs="宋体"/>
              </w:rPr>
            </w:pPr>
            <w:r>
              <w:rPr>
                <w:rFonts w:hint="eastAsia" w:ascii="宋体" w:hAnsi="宋体" w:cs="宋体"/>
              </w:rPr>
              <w:t>与其他赛位的选手交流</w:t>
            </w:r>
          </w:p>
        </w:tc>
        <w:tc>
          <w:tcPr>
            <w:tcW w:w="2971" w:type="dxa"/>
            <w:vAlign w:val="center"/>
          </w:tcPr>
          <w:p>
            <w:pPr>
              <w:adjustRightInd w:val="0"/>
              <w:jc w:val="center"/>
              <w:rPr>
                <w:rFonts w:ascii="宋体" w:hAnsi="宋体" w:cs="宋体"/>
              </w:rPr>
            </w:pPr>
            <w:r>
              <w:rPr>
                <w:rFonts w:hint="eastAsia" w:ascii="宋体" w:hAnsi="宋体" w:cs="宋体"/>
              </w:rPr>
              <w:t>取消比赛资格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vAlign w:val="center"/>
          </w:tcPr>
          <w:p>
            <w:pPr>
              <w:adjustRightInd w:val="0"/>
              <w:ind w:firstLine="0" w:firstLineChars="0"/>
              <w:jc w:val="left"/>
              <w:rPr>
                <w:rFonts w:ascii="宋体" w:hAnsi="宋体" w:cs="宋体"/>
              </w:rPr>
            </w:pPr>
            <w:r>
              <w:rPr>
                <w:rFonts w:hint="eastAsia" w:ascii="宋体" w:hAnsi="宋体" w:cs="宋体"/>
              </w:rPr>
              <w:t>在赛场大声喧哗、无理取闹</w:t>
            </w:r>
          </w:p>
        </w:tc>
        <w:tc>
          <w:tcPr>
            <w:tcW w:w="2971" w:type="dxa"/>
            <w:vAlign w:val="center"/>
          </w:tcPr>
          <w:p>
            <w:pPr>
              <w:adjustRightInd w:val="0"/>
              <w:jc w:val="center"/>
              <w:rPr>
                <w:rFonts w:ascii="宋体" w:hAnsi="宋体" w:cs="宋体"/>
              </w:rPr>
            </w:pPr>
            <w:r>
              <w:rPr>
                <w:rFonts w:hint="eastAsia" w:ascii="宋体" w:hAnsi="宋体" w:cs="宋体"/>
              </w:rPr>
              <w:t>取消比赛资格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vAlign w:val="center"/>
          </w:tcPr>
          <w:p>
            <w:pPr>
              <w:adjustRightInd w:val="0"/>
              <w:ind w:firstLine="0" w:firstLineChars="0"/>
              <w:jc w:val="left"/>
              <w:rPr>
                <w:rFonts w:ascii="宋体" w:hAnsi="宋体" w:cs="宋体"/>
              </w:rPr>
            </w:pPr>
            <w:r>
              <w:rPr>
                <w:rFonts w:hint="eastAsia" w:ascii="宋体" w:hAnsi="宋体" w:cs="宋体"/>
              </w:rPr>
              <w:t>携带纸张、U盘、手机等不允许携带的物品进场</w:t>
            </w:r>
          </w:p>
        </w:tc>
        <w:tc>
          <w:tcPr>
            <w:tcW w:w="2971" w:type="dxa"/>
            <w:vAlign w:val="center"/>
          </w:tcPr>
          <w:p>
            <w:pPr>
              <w:jc w:val="center"/>
              <w:rPr>
                <w:rFonts w:ascii="宋体" w:hAnsi="宋体" w:cs="宋体"/>
              </w:rPr>
            </w:pPr>
            <w:r>
              <w:rPr>
                <w:rFonts w:hint="eastAsia" w:ascii="宋体" w:hAnsi="宋体" w:cs="宋体"/>
              </w:rPr>
              <w:t>取消比赛资格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shd w:val="clear" w:color="auto" w:fill="auto"/>
            <w:vAlign w:val="center"/>
          </w:tcPr>
          <w:p>
            <w:pPr>
              <w:adjustRightInd w:val="0"/>
              <w:ind w:firstLine="0" w:firstLineChars="0"/>
              <w:jc w:val="left"/>
              <w:rPr>
                <w:rFonts w:ascii="宋体" w:hAnsi="宋体" w:cs="宋体"/>
              </w:rPr>
            </w:pPr>
            <w:r>
              <w:rPr>
                <w:rFonts w:hint="eastAsia" w:ascii="宋体" w:hAnsi="宋体" w:cs="宋体"/>
              </w:rPr>
              <w:t>由于选手不规范操作导致技术平台出现设备损坏</w:t>
            </w:r>
          </w:p>
        </w:tc>
        <w:tc>
          <w:tcPr>
            <w:tcW w:w="2971" w:type="dxa"/>
            <w:shd w:val="clear" w:color="auto" w:fill="auto"/>
            <w:vAlign w:val="center"/>
          </w:tcPr>
          <w:p>
            <w:pPr>
              <w:jc w:val="center"/>
              <w:rPr>
                <w:rFonts w:ascii="宋体" w:hAnsi="宋体" w:cs="宋体"/>
              </w:rPr>
            </w:pPr>
            <w:r>
              <w:rPr>
                <w:rFonts w:hint="eastAsia" w:ascii="宋体" w:hAnsi="宋体" w:cs="宋体"/>
              </w:rPr>
              <w:t>裁判长可根据现场情况酌情扣5-20分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5813" w:type="dxa"/>
            <w:shd w:val="clear" w:color="auto" w:fill="auto"/>
            <w:vAlign w:val="center"/>
          </w:tcPr>
          <w:p>
            <w:pPr>
              <w:adjustRightInd w:val="0"/>
              <w:ind w:firstLine="0" w:firstLineChars="0"/>
              <w:jc w:val="left"/>
              <w:rPr>
                <w:rFonts w:ascii="宋体" w:hAnsi="宋体" w:cs="宋体"/>
              </w:rPr>
            </w:pPr>
            <w:r>
              <w:rPr>
                <w:rFonts w:hint="eastAsia" w:ascii="宋体" w:hAnsi="宋体" w:cs="宋体"/>
              </w:rPr>
              <w:t>违反安全用电致使保险丝烧毁</w:t>
            </w:r>
          </w:p>
        </w:tc>
        <w:tc>
          <w:tcPr>
            <w:tcW w:w="2971" w:type="dxa"/>
            <w:shd w:val="clear" w:color="auto" w:fill="auto"/>
            <w:vAlign w:val="center"/>
          </w:tcPr>
          <w:p>
            <w:pPr>
              <w:jc w:val="center"/>
              <w:rPr>
                <w:rFonts w:ascii="宋体" w:hAnsi="宋体" w:cs="宋体"/>
              </w:rPr>
            </w:pPr>
            <w:r>
              <w:rPr>
                <w:rFonts w:hint="eastAsia" w:ascii="宋体" w:hAnsi="宋体" w:cs="宋体"/>
              </w:rPr>
              <w:t>每次扣1分</w:t>
            </w:r>
          </w:p>
        </w:tc>
      </w:tr>
    </w:tbl>
    <w:p>
      <w:pPr>
        <w:pStyle w:val="2"/>
        <w:spacing w:line="560" w:lineRule="exact"/>
        <w:rPr>
          <w:rFonts w:ascii="黑体" w:hAnsi="黑体" w:eastAsia="黑体" w:cs="黑体"/>
          <w:b w:val="0"/>
          <w:bCs w:val="0"/>
          <w:sz w:val="30"/>
          <w:szCs w:val="30"/>
        </w:rPr>
      </w:pPr>
      <w:bookmarkStart w:id="62" w:name="_Toc491101538"/>
      <w:bookmarkStart w:id="63" w:name="_Toc1030"/>
      <w:r>
        <w:rPr>
          <w:rFonts w:hint="eastAsia" w:ascii="黑体" w:hAnsi="黑体" w:eastAsia="黑体" w:cs="黑体"/>
          <w:b w:val="0"/>
          <w:bCs w:val="0"/>
          <w:sz w:val="30"/>
          <w:szCs w:val="30"/>
        </w:rPr>
        <w:t>奖项设置</w:t>
      </w:r>
      <w:bookmarkEnd w:id="62"/>
      <w:bookmarkEnd w:id="63"/>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按照执行《全国职业院校技能大赛奖惩办法》的有关规定，竞赛奖项只设置团体奖，团体奖将根据参赛代表队总得分，进行排序，以赛项实际参赛队总数为基数，一等奖占比10%，二等奖占比20%，三等奖占比30%，小数点后四舍五入。</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获得一等奖的参赛队的指导教师将荣获“优秀指导教师”奖，授予荣誉证书。</w:t>
      </w:r>
    </w:p>
    <w:p>
      <w:pPr>
        <w:pStyle w:val="2"/>
        <w:spacing w:line="560" w:lineRule="exact"/>
        <w:rPr>
          <w:rFonts w:ascii="黑体" w:hAnsi="黑体" w:eastAsia="黑体" w:cs="黑体"/>
          <w:b w:val="0"/>
          <w:bCs w:val="0"/>
          <w:sz w:val="30"/>
          <w:szCs w:val="30"/>
        </w:rPr>
      </w:pPr>
      <w:bookmarkStart w:id="64" w:name="_Toc491101539"/>
      <w:bookmarkStart w:id="65" w:name="_Toc9553"/>
      <w:r>
        <w:rPr>
          <w:rFonts w:hint="eastAsia" w:ascii="黑体" w:hAnsi="黑体" w:eastAsia="黑体" w:cs="黑体"/>
          <w:b w:val="0"/>
          <w:bCs w:val="0"/>
          <w:sz w:val="30"/>
          <w:szCs w:val="30"/>
        </w:rPr>
        <w:t>技术规范</w:t>
      </w:r>
      <w:bookmarkEnd w:id="64"/>
      <w:bookmarkEnd w:id="65"/>
    </w:p>
    <w:p>
      <w:pPr>
        <w:pStyle w:val="3"/>
        <w:spacing w:before="163" w:line="560" w:lineRule="exact"/>
        <w:rPr>
          <w:rFonts w:ascii="仿宋_GB2312" w:hAnsi="仿宋_GB2312" w:eastAsia="仿宋_GB2312" w:cs="仿宋_GB2312"/>
        </w:rPr>
      </w:pPr>
      <w:bookmarkStart w:id="66" w:name="_Toc491101540"/>
      <w:bookmarkStart w:id="67" w:name="_Toc2856"/>
      <w:r>
        <w:rPr>
          <w:rFonts w:hint="eastAsia" w:ascii="仿宋_GB2312" w:hAnsi="仿宋_GB2312" w:eastAsia="仿宋_GB2312" w:cs="仿宋_GB2312"/>
        </w:rPr>
        <w:t>行业、职业技术标准</w:t>
      </w:r>
      <w:bookmarkEnd w:id="66"/>
      <w:bookmarkEnd w:id="67"/>
    </w:p>
    <w:p>
      <w:pPr>
        <w:pStyle w:val="42"/>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《列控中心技术规范》科技运138号。</w:t>
      </w:r>
    </w:p>
    <w:p>
      <w:pPr>
        <w:pStyle w:val="42"/>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《铁路信号维护规则-技术标准II》。</w:t>
      </w:r>
    </w:p>
    <w:p>
      <w:pPr>
        <w:pStyle w:val="42"/>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《高速铁路现场信号设备维修岗位》高速铁路岗位培训规范。</w:t>
      </w:r>
    </w:p>
    <w:p>
      <w:pPr>
        <w:pStyle w:val="42"/>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TB-10206-99 《铁路信号施工技术安全规则》。</w:t>
      </w:r>
    </w:p>
    <w:p>
      <w:pPr>
        <w:pStyle w:val="42"/>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TB 10007--2006 铁路信号设计规范。</w:t>
      </w:r>
    </w:p>
    <w:p>
      <w:pPr>
        <w:pStyle w:val="42"/>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TB 454-81 铁路信号名词术语。</w:t>
      </w:r>
    </w:p>
    <w:p>
      <w:pPr>
        <w:pStyle w:val="42"/>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TB/T 2852-1997 轨道电路通用技术条件。</w:t>
      </w:r>
    </w:p>
    <w:p>
      <w:pPr>
        <w:pStyle w:val="42"/>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TB/T 3073-2003 铁道信号电气设备电磁兼容性试验及其限值。</w:t>
      </w:r>
    </w:p>
    <w:p>
      <w:pPr>
        <w:pStyle w:val="42"/>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TB/T 3074-2003 铁道信号设备雷电电磁脉冲防护技术条件。</w:t>
      </w:r>
    </w:p>
    <w:p>
      <w:pPr>
        <w:pStyle w:val="53"/>
        <w:numPr>
          <w:ilvl w:val="0"/>
          <w:numId w:val="6"/>
        </w:numPr>
        <w:snapToGrid w:val="0"/>
        <w:spacing w:line="560" w:lineRule="exact"/>
        <w:ind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LD/T81.1-2006 职业技能实训和鉴定设备技术规范。</w:t>
      </w:r>
    </w:p>
    <w:p>
      <w:pPr>
        <w:pStyle w:val="3"/>
        <w:spacing w:before="163" w:line="560" w:lineRule="exact"/>
        <w:rPr>
          <w:rFonts w:ascii="仿宋_GB2312" w:hAnsi="仿宋_GB2312" w:eastAsia="仿宋_GB2312" w:cs="仿宋_GB2312"/>
        </w:rPr>
      </w:pPr>
      <w:bookmarkStart w:id="68" w:name="_Toc9641"/>
      <w:r>
        <w:rPr>
          <w:rFonts w:hint="eastAsia" w:ascii="仿宋_GB2312" w:hAnsi="仿宋_GB2312" w:eastAsia="仿宋_GB2312" w:cs="仿宋_GB2312"/>
        </w:rPr>
        <w:t>专业教育教学要求</w:t>
      </w:r>
      <w:bookmarkEnd w:id="68"/>
    </w:p>
    <w:p>
      <w:pPr>
        <w:pStyle w:val="42"/>
        <w:numPr>
          <w:ilvl w:val="3"/>
          <w:numId w:val="7"/>
        </w:numPr>
        <w:snapToGrid w:val="0"/>
        <w:spacing w:line="560" w:lineRule="exact"/>
        <w:ind w:left="851"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铁路信号工应掌握的理论知识（铁路信号工职业技能鉴定理论知识）。</w:t>
      </w:r>
    </w:p>
    <w:p>
      <w:pPr>
        <w:pStyle w:val="42"/>
        <w:numPr>
          <w:ilvl w:val="3"/>
          <w:numId w:val="7"/>
        </w:numPr>
        <w:snapToGrid w:val="0"/>
        <w:spacing w:line="560" w:lineRule="exact"/>
        <w:ind w:left="851"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铁道信号控制系统原理图和配线图的识读能力。</w:t>
      </w:r>
    </w:p>
    <w:p>
      <w:pPr>
        <w:pStyle w:val="42"/>
        <w:numPr>
          <w:ilvl w:val="3"/>
          <w:numId w:val="7"/>
        </w:numPr>
        <w:snapToGrid w:val="0"/>
        <w:spacing w:line="560" w:lineRule="exact"/>
        <w:ind w:left="851"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铁道信号控制系统日常数据检测、分析能力。</w:t>
      </w:r>
    </w:p>
    <w:p>
      <w:pPr>
        <w:pStyle w:val="42"/>
        <w:numPr>
          <w:ilvl w:val="3"/>
          <w:numId w:val="7"/>
        </w:numPr>
        <w:snapToGrid w:val="0"/>
        <w:spacing w:line="560" w:lineRule="exact"/>
        <w:ind w:left="851"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铁道信号系统设备构成、功能、设备的安装等基本理论知识，以及组合配线、焊接、安装、调试等实践能力。</w:t>
      </w:r>
    </w:p>
    <w:p>
      <w:pPr>
        <w:pStyle w:val="42"/>
        <w:numPr>
          <w:ilvl w:val="3"/>
          <w:numId w:val="7"/>
        </w:numPr>
        <w:snapToGrid w:val="0"/>
        <w:spacing w:line="560" w:lineRule="exact"/>
        <w:ind w:left="851"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铁道信号控制系统故障分析、追查与排除能力。</w:t>
      </w:r>
    </w:p>
    <w:p>
      <w:pPr>
        <w:pStyle w:val="42"/>
        <w:numPr>
          <w:ilvl w:val="3"/>
          <w:numId w:val="7"/>
        </w:numPr>
        <w:snapToGrid w:val="0"/>
        <w:spacing w:line="560" w:lineRule="exact"/>
        <w:ind w:left="851"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掌握列控中心核心功能，了解列控中心主要逻辑。</w:t>
      </w:r>
    </w:p>
    <w:p>
      <w:pPr>
        <w:pStyle w:val="42"/>
        <w:numPr>
          <w:ilvl w:val="3"/>
          <w:numId w:val="7"/>
        </w:numPr>
        <w:snapToGrid w:val="0"/>
        <w:spacing w:line="560" w:lineRule="exact"/>
        <w:ind w:left="851"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熟悉各种区间信号设备的技术指标和正常工作参数，掌握测试各种区间信号设备的电气参数的方法，并能准确判断设备是否正常。</w:t>
      </w:r>
    </w:p>
    <w:p>
      <w:pPr>
        <w:pStyle w:val="42"/>
        <w:numPr>
          <w:ilvl w:val="3"/>
          <w:numId w:val="7"/>
        </w:numPr>
        <w:snapToGrid w:val="0"/>
        <w:spacing w:line="560" w:lineRule="exact"/>
        <w:ind w:left="851"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正确使用各种仪器仪表和工具进行维护、维修设备的能力。</w:t>
      </w:r>
    </w:p>
    <w:p>
      <w:pPr>
        <w:pStyle w:val="42"/>
        <w:numPr>
          <w:ilvl w:val="3"/>
          <w:numId w:val="7"/>
        </w:numPr>
        <w:snapToGrid w:val="0"/>
        <w:spacing w:line="560" w:lineRule="exact"/>
        <w:ind w:left="851" w:firstLineChars="0"/>
        <w:jc w:val="left"/>
        <w:rPr>
          <w:rFonts w:ascii="仿宋_GB2312" w:hAnsi="仿宋_GB2312" w:eastAsia="仿宋_GB2312" w:cs="仿宋_GB2312"/>
          <w:kern w:val="0"/>
          <w:sz w:val="30"/>
          <w:szCs w:val="30"/>
        </w:rPr>
      </w:pPr>
      <w:r>
        <w:rPr>
          <w:rFonts w:hint="eastAsia" w:ascii="仿宋_GB2312" w:hAnsi="仿宋_GB2312" w:eastAsia="仿宋_GB2312" w:cs="仿宋_GB2312"/>
          <w:sz w:val="30"/>
          <w:szCs w:val="30"/>
        </w:rPr>
        <w:t>工作过程记录与工作报告撰写能力。</w:t>
      </w:r>
    </w:p>
    <w:p>
      <w:pPr>
        <w:pStyle w:val="42"/>
        <w:numPr>
          <w:ilvl w:val="3"/>
          <w:numId w:val="7"/>
        </w:numPr>
        <w:tabs>
          <w:tab w:val="left" w:pos="993"/>
        </w:tabs>
        <w:snapToGrid w:val="0"/>
        <w:spacing w:line="560" w:lineRule="exact"/>
        <w:ind w:left="431" w:firstLine="0" w:firstLineChars="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轨道交通行业要求的操作规范和作业标准。</w:t>
      </w:r>
    </w:p>
    <w:p>
      <w:pPr>
        <w:pStyle w:val="2"/>
        <w:spacing w:line="560" w:lineRule="exact"/>
        <w:rPr>
          <w:rFonts w:ascii="黑体" w:hAnsi="黑体" w:eastAsia="黑体" w:cs="黑体"/>
          <w:b w:val="0"/>
          <w:bCs w:val="0"/>
          <w:sz w:val="30"/>
          <w:szCs w:val="30"/>
        </w:rPr>
      </w:pPr>
      <w:bookmarkStart w:id="69" w:name="_Toc13956"/>
      <w:bookmarkStart w:id="70" w:name="_Toc491101542"/>
      <w:r>
        <w:rPr>
          <w:rFonts w:hint="eastAsia" w:ascii="黑体" w:hAnsi="黑体" w:eastAsia="黑体" w:cs="黑体"/>
          <w:b w:val="0"/>
          <w:bCs w:val="0"/>
          <w:sz w:val="30"/>
          <w:szCs w:val="30"/>
        </w:rPr>
        <w:t>建议使用的比赛器材、技术平台和场地要求</w:t>
      </w:r>
      <w:bookmarkEnd w:id="69"/>
      <w:bookmarkEnd w:id="70"/>
    </w:p>
    <w:p>
      <w:pPr>
        <w:pStyle w:val="3"/>
        <w:spacing w:before="163" w:line="560" w:lineRule="exact"/>
        <w:rPr>
          <w:rFonts w:ascii="仿宋_GB2312" w:hAnsi="仿宋_GB2312" w:eastAsia="仿宋_GB2312" w:cs="仿宋_GB2312"/>
        </w:rPr>
      </w:pPr>
      <w:bookmarkStart w:id="71" w:name="_Toc491101543"/>
      <w:bookmarkStart w:id="72" w:name="_Toc21901"/>
      <w:r>
        <w:rPr>
          <w:rFonts w:hint="eastAsia" w:ascii="仿宋_GB2312" w:hAnsi="仿宋_GB2312" w:eastAsia="仿宋_GB2312" w:cs="仿宋_GB2312"/>
        </w:rPr>
        <w:t>建议使用的比赛器材</w:t>
      </w:r>
      <w:bookmarkEnd w:id="71"/>
      <w:bookmarkEnd w:id="72"/>
    </w:p>
    <w:p>
      <w:pPr>
        <w:pStyle w:val="42"/>
        <w:spacing w:line="560" w:lineRule="exact"/>
        <w:ind w:firstLine="0"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每个竞赛工位应提供性能完好的竞赛平台。万用表、螺丝刀套件、尖嘴钳、偏口钳、镊子、烙铁、连接线等。</w:t>
      </w:r>
    </w:p>
    <w:tbl>
      <w:tblPr>
        <w:tblStyle w:val="32"/>
        <w:tblW w:w="8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241"/>
        <w:gridCol w:w="1275"/>
        <w:gridCol w:w="4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37" w:type="dxa"/>
            <w:vAlign w:val="center"/>
          </w:tcPr>
          <w:p>
            <w:pPr>
              <w:widowControl/>
              <w:adjustRightInd w:val="0"/>
              <w:snapToGrid w:val="0"/>
              <w:ind w:firstLine="0" w:firstLineChars="0"/>
              <w:jc w:val="center"/>
              <w:rPr>
                <w:rFonts w:ascii="宋体" w:hAnsi="宋体" w:cs="宋体"/>
                <w:b/>
              </w:rPr>
            </w:pPr>
            <w:r>
              <w:rPr>
                <w:rFonts w:hint="eastAsia" w:ascii="宋体" w:hAnsi="宋体" w:cs="宋体"/>
                <w:b/>
              </w:rPr>
              <w:t>序号</w:t>
            </w:r>
          </w:p>
        </w:tc>
        <w:tc>
          <w:tcPr>
            <w:tcW w:w="2241" w:type="dxa"/>
          </w:tcPr>
          <w:p>
            <w:pPr>
              <w:widowControl/>
              <w:adjustRightInd w:val="0"/>
              <w:snapToGrid w:val="0"/>
              <w:ind w:firstLine="0" w:firstLineChars="0"/>
              <w:jc w:val="center"/>
              <w:rPr>
                <w:rFonts w:ascii="宋体" w:hAnsi="宋体" w:cs="宋体"/>
                <w:b/>
              </w:rPr>
            </w:pPr>
            <w:r>
              <w:rPr>
                <w:rFonts w:hint="eastAsia" w:ascii="宋体" w:hAnsi="宋体" w:cs="宋体"/>
                <w:b/>
              </w:rPr>
              <w:t>设备名称</w:t>
            </w:r>
          </w:p>
        </w:tc>
        <w:tc>
          <w:tcPr>
            <w:tcW w:w="1275" w:type="dxa"/>
            <w:vAlign w:val="center"/>
          </w:tcPr>
          <w:p>
            <w:pPr>
              <w:widowControl/>
              <w:adjustRightInd w:val="0"/>
              <w:snapToGrid w:val="0"/>
              <w:ind w:firstLine="0" w:firstLineChars="0"/>
              <w:jc w:val="center"/>
              <w:rPr>
                <w:rFonts w:ascii="宋体" w:hAnsi="宋体" w:cs="宋体"/>
                <w:b/>
              </w:rPr>
            </w:pPr>
            <w:r>
              <w:rPr>
                <w:rFonts w:hint="eastAsia" w:ascii="宋体" w:hAnsi="宋体" w:cs="宋体"/>
                <w:b/>
              </w:rPr>
              <w:t>设备数量</w:t>
            </w:r>
          </w:p>
        </w:tc>
        <w:tc>
          <w:tcPr>
            <w:tcW w:w="4707" w:type="dxa"/>
          </w:tcPr>
          <w:p>
            <w:pPr>
              <w:widowControl/>
              <w:adjustRightInd w:val="0"/>
              <w:snapToGrid w:val="0"/>
              <w:ind w:firstLine="0" w:firstLineChars="0"/>
              <w:jc w:val="center"/>
              <w:rPr>
                <w:rFonts w:ascii="宋体" w:hAnsi="宋体" w:cs="宋体"/>
                <w:b/>
              </w:rPr>
            </w:pPr>
            <w:r>
              <w:rPr>
                <w:rFonts w:hint="eastAsia" w:ascii="宋体" w:hAnsi="宋体" w:cs="宋体"/>
                <w:b/>
              </w:rPr>
              <w:t>提供方式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widowControl/>
              <w:adjustRightInd w:val="0"/>
              <w:snapToGrid w:val="0"/>
              <w:ind w:firstLine="0" w:firstLineChars="0"/>
              <w:jc w:val="center"/>
              <w:rPr>
                <w:rFonts w:ascii="宋体" w:hAnsi="宋体" w:cs="宋体"/>
              </w:rPr>
            </w:pPr>
            <w:r>
              <w:rPr>
                <w:rFonts w:hint="eastAsia" w:ascii="宋体" w:hAnsi="宋体" w:cs="宋体"/>
              </w:rPr>
              <w:t>1</w:t>
            </w:r>
          </w:p>
        </w:tc>
        <w:tc>
          <w:tcPr>
            <w:tcW w:w="2241" w:type="dxa"/>
            <w:vAlign w:val="center"/>
          </w:tcPr>
          <w:p>
            <w:pPr>
              <w:widowControl/>
              <w:adjustRightInd w:val="0"/>
              <w:snapToGrid w:val="0"/>
              <w:ind w:firstLine="0" w:firstLineChars="0"/>
              <w:jc w:val="center"/>
              <w:rPr>
                <w:rFonts w:ascii="宋体" w:hAnsi="宋体" w:cs="宋体"/>
              </w:rPr>
            </w:pPr>
            <w:r>
              <w:rPr>
                <w:rFonts w:hint="eastAsia" w:ascii="宋体" w:hAnsi="宋体" w:cs="宋体"/>
              </w:rPr>
              <w:t>轨道交通信号控制系统实训平台</w:t>
            </w:r>
          </w:p>
        </w:tc>
        <w:tc>
          <w:tcPr>
            <w:tcW w:w="1275" w:type="dxa"/>
            <w:vAlign w:val="center"/>
          </w:tcPr>
          <w:p>
            <w:pPr>
              <w:widowControl/>
              <w:adjustRightInd w:val="0"/>
              <w:snapToGrid w:val="0"/>
              <w:ind w:firstLine="0" w:firstLineChars="0"/>
              <w:jc w:val="left"/>
              <w:rPr>
                <w:rFonts w:ascii="宋体" w:hAnsi="宋体" w:cs="宋体"/>
              </w:rPr>
            </w:pPr>
            <w:r>
              <w:rPr>
                <w:rFonts w:hint="eastAsia" w:ascii="宋体" w:hAnsi="宋体" w:cs="宋体"/>
              </w:rPr>
              <w:t>1套</w:t>
            </w:r>
          </w:p>
        </w:tc>
        <w:tc>
          <w:tcPr>
            <w:tcW w:w="4707" w:type="dxa"/>
            <w:vAlign w:val="center"/>
          </w:tcPr>
          <w:p>
            <w:pPr>
              <w:widowControl/>
              <w:adjustRightInd w:val="0"/>
              <w:snapToGrid w:val="0"/>
              <w:ind w:firstLine="0" w:firstLineChars="0"/>
              <w:jc w:val="left"/>
              <w:rPr>
                <w:rFonts w:ascii="宋体" w:hAnsi="宋体" w:cs="宋体"/>
              </w:rPr>
            </w:pPr>
            <w:r>
              <w:rPr>
                <w:rFonts w:hint="eastAsia" w:ascii="宋体" w:hAnsi="宋体" w:cs="宋体"/>
              </w:rPr>
              <w:t>由合作企业提供。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widowControl/>
              <w:adjustRightInd w:val="0"/>
              <w:snapToGrid w:val="0"/>
              <w:ind w:firstLine="0" w:firstLineChars="0"/>
              <w:jc w:val="center"/>
              <w:rPr>
                <w:rFonts w:ascii="宋体" w:hAnsi="宋体" w:cs="宋体"/>
              </w:rPr>
            </w:pPr>
            <w:r>
              <w:rPr>
                <w:rFonts w:hint="eastAsia" w:ascii="宋体" w:hAnsi="宋体" w:cs="宋体"/>
              </w:rPr>
              <w:t>2</w:t>
            </w:r>
          </w:p>
        </w:tc>
        <w:tc>
          <w:tcPr>
            <w:tcW w:w="2241" w:type="dxa"/>
            <w:vAlign w:val="center"/>
          </w:tcPr>
          <w:p>
            <w:pPr>
              <w:widowControl/>
              <w:adjustRightInd w:val="0"/>
              <w:snapToGrid w:val="0"/>
              <w:ind w:firstLine="0" w:firstLineChars="0"/>
              <w:jc w:val="center"/>
              <w:rPr>
                <w:rFonts w:ascii="宋体" w:hAnsi="宋体" w:cs="宋体"/>
              </w:rPr>
            </w:pPr>
            <w:r>
              <w:rPr>
                <w:rFonts w:hint="eastAsia" w:ascii="宋体" w:hAnsi="宋体" w:cs="宋体"/>
              </w:rPr>
              <w:t>工具箱</w:t>
            </w:r>
          </w:p>
        </w:tc>
        <w:tc>
          <w:tcPr>
            <w:tcW w:w="1275" w:type="dxa"/>
            <w:vAlign w:val="center"/>
          </w:tcPr>
          <w:p>
            <w:pPr>
              <w:widowControl/>
              <w:adjustRightInd w:val="0"/>
              <w:snapToGrid w:val="0"/>
              <w:ind w:firstLine="0" w:firstLineChars="0"/>
              <w:jc w:val="left"/>
              <w:rPr>
                <w:rFonts w:ascii="宋体" w:hAnsi="宋体" w:cs="宋体"/>
              </w:rPr>
            </w:pPr>
            <w:r>
              <w:rPr>
                <w:rFonts w:hint="eastAsia" w:ascii="宋体" w:hAnsi="宋体" w:cs="宋体"/>
              </w:rPr>
              <w:t>1套</w:t>
            </w:r>
          </w:p>
        </w:tc>
        <w:tc>
          <w:tcPr>
            <w:tcW w:w="4707" w:type="dxa"/>
            <w:vAlign w:val="center"/>
          </w:tcPr>
          <w:p>
            <w:pPr>
              <w:widowControl/>
              <w:adjustRightInd w:val="0"/>
              <w:snapToGrid w:val="0"/>
              <w:ind w:firstLine="0" w:firstLineChars="0"/>
              <w:jc w:val="left"/>
              <w:rPr>
                <w:rFonts w:ascii="宋体" w:hAnsi="宋体" w:cs="宋体"/>
              </w:rPr>
            </w:pPr>
            <w:r>
              <w:rPr>
                <w:rFonts w:hint="eastAsia" w:ascii="宋体" w:hAnsi="宋体" w:cs="宋体"/>
              </w:rPr>
              <w:t>由合作企业提供。通用工具。包括：万用表、螺丝刀套件、镊子、烙铁、信号线连线等。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widowControl/>
              <w:adjustRightInd w:val="0"/>
              <w:snapToGrid w:val="0"/>
              <w:ind w:firstLine="0" w:firstLineChars="0"/>
              <w:jc w:val="center"/>
              <w:rPr>
                <w:rFonts w:ascii="宋体" w:hAnsi="宋体" w:cs="宋体"/>
              </w:rPr>
            </w:pPr>
            <w:r>
              <w:rPr>
                <w:rFonts w:hint="eastAsia" w:ascii="宋体" w:hAnsi="宋体" w:cs="宋体"/>
              </w:rPr>
              <w:t>4</w:t>
            </w:r>
          </w:p>
        </w:tc>
        <w:tc>
          <w:tcPr>
            <w:tcW w:w="2241" w:type="dxa"/>
            <w:vAlign w:val="center"/>
          </w:tcPr>
          <w:p>
            <w:pPr>
              <w:widowControl/>
              <w:adjustRightInd w:val="0"/>
              <w:snapToGrid w:val="0"/>
              <w:ind w:firstLine="0" w:firstLineChars="0"/>
              <w:jc w:val="center"/>
              <w:rPr>
                <w:rFonts w:ascii="宋体" w:hAnsi="宋体" w:cs="宋体"/>
              </w:rPr>
            </w:pPr>
            <w:r>
              <w:rPr>
                <w:rFonts w:hint="eastAsia" w:ascii="宋体" w:hAnsi="宋体" w:cs="宋体"/>
              </w:rPr>
              <w:t>凳子</w:t>
            </w:r>
          </w:p>
        </w:tc>
        <w:tc>
          <w:tcPr>
            <w:tcW w:w="1275" w:type="dxa"/>
            <w:vAlign w:val="center"/>
          </w:tcPr>
          <w:p>
            <w:pPr>
              <w:widowControl/>
              <w:adjustRightInd w:val="0"/>
              <w:snapToGrid w:val="0"/>
              <w:ind w:firstLine="0" w:firstLineChars="0"/>
              <w:jc w:val="left"/>
              <w:rPr>
                <w:rFonts w:ascii="宋体" w:hAnsi="宋体" w:cs="宋体"/>
              </w:rPr>
            </w:pPr>
            <w:r>
              <w:rPr>
                <w:rFonts w:hint="eastAsia" w:ascii="宋体" w:hAnsi="宋体" w:cs="宋体"/>
              </w:rPr>
              <w:t>3把</w:t>
            </w:r>
          </w:p>
        </w:tc>
        <w:tc>
          <w:tcPr>
            <w:tcW w:w="4707" w:type="dxa"/>
            <w:vAlign w:val="center"/>
          </w:tcPr>
          <w:p>
            <w:pPr>
              <w:widowControl/>
              <w:adjustRightInd w:val="0"/>
              <w:snapToGrid w:val="0"/>
              <w:ind w:firstLine="0" w:firstLineChars="0"/>
              <w:jc w:val="left"/>
              <w:rPr>
                <w:rFonts w:ascii="宋体" w:hAnsi="宋体" w:cs="宋体"/>
              </w:rPr>
            </w:pPr>
            <w:r>
              <w:rPr>
                <w:rFonts w:hint="eastAsia" w:ascii="宋体" w:hAnsi="宋体" w:cs="宋体"/>
              </w:rPr>
              <w:t>由承办学校提供。</w:t>
            </w:r>
            <w:r>
              <w:rPr>
                <w:rFonts w:ascii="宋体" w:hAnsi="宋体" w:cs="宋体"/>
              </w:rPr>
              <w:t>另</w:t>
            </w:r>
            <w:r>
              <w:rPr>
                <w:rFonts w:hint="eastAsia" w:ascii="宋体" w:hAnsi="宋体" w:cs="宋体"/>
              </w:rPr>
              <w:t>配工具桌</w:t>
            </w:r>
            <w:r>
              <w:rPr>
                <w:rFonts w:ascii="宋体" w:hAnsi="宋体" w:cs="宋体"/>
              </w:rPr>
              <w:t>一张</w:t>
            </w:r>
            <w:r>
              <w:rPr>
                <w:rFonts w:hint="eastAsia" w:ascii="宋体" w:hAnsi="宋体" w:cs="宋体"/>
              </w:rPr>
              <w:t>。</w:t>
            </w:r>
          </w:p>
        </w:tc>
      </w:tr>
    </w:tbl>
    <w:p>
      <w:pPr>
        <w:pStyle w:val="3"/>
        <w:spacing w:before="163" w:line="560" w:lineRule="exact"/>
        <w:rPr>
          <w:rFonts w:ascii="仿宋_GB2312" w:hAnsi="仿宋_GB2312" w:eastAsia="仿宋_GB2312" w:cs="仿宋_GB2312"/>
        </w:rPr>
      </w:pPr>
      <w:bookmarkStart w:id="73" w:name="_Toc27542"/>
      <w:bookmarkStart w:id="74" w:name="_Toc491101544"/>
      <w:r>
        <w:rPr>
          <w:rFonts w:hint="eastAsia" w:ascii="仿宋_GB2312" w:hAnsi="仿宋_GB2312" w:eastAsia="仿宋_GB2312" w:cs="仿宋_GB2312"/>
        </w:rPr>
        <w:t>建议使用的技术平台</w:t>
      </w:r>
      <w:bookmarkEnd w:id="73"/>
      <w:bookmarkEnd w:id="74"/>
    </w:p>
    <w:p>
      <w:pPr>
        <w:pStyle w:val="58"/>
        <w:spacing w:after="163" w:line="560" w:lineRule="exact"/>
        <w:ind w:firstLine="600"/>
        <w:rPr>
          <w:rFonts w:ascii="仿宋_GB2312" w:hAnsi="仿宋_GB2312" w:eastAsia="仿宋_GB2312" w:cs="仿宋_GB2312"/>
          <w:sz w:val="30"/>
          <w:szCs w:val="30"/>
        </w:rPr>
      </w:pPr>
      <w:bookmarkStart w:id="75" w:name="_Toc491101545"/>
      <w:r>
        <w:rPr>
          <w:rFonts w:hint="eastAsia" w:ascii="仿宋_GB2312" w:hAnsi="仿宋_GB2312" w:eastAsia="仿宋_GB2312" w:cs="仿宋_GB2312"/>
          <w:b/>
          <w:bCs/>
          <w:sz w:val="30"/>
          <w:szCs w:val="30"/>
        </w:rPr>
        <w:t>轨道交通信号控制系统实训平台</w:t>
      </w:r>
      <w:r>
        <w:rPr>
          <w:rFonts w:hint="eastAsia" w:ascii="仿宋_GB2312" w:hAnsi="仿宋_GB2312" w:eastAsia="仿宋_GB2312" w:cs="仿宋_GB2312"/>
          <w:sz w:val="30"/>
          <w:szCs w:val="30"/>
        </w:rPr>
        <w:t>主要用于高职院校交通运输类相关专业的实训教学，以地面列车运行控制系统为技术主体，搭建轨道交通信号控制系统，实现符合真实列控中心规范的核心功能（如改方请求、轨道电路发码控制、CAN总线通讯等功能），让学生通过实践来掌握相关技术。设备图片如下图所示：</w:t>
      </w:r>
    </w:p>
    <w:p>
      <w:pPr>
        <w:pStyle w:val="58"/>
        <w:spacing w:after="163" w:line="240" w:lineRule="auto"/>
        <w:ind w:firstLine="0" w:firstLineChars="0"/>
        <w:jc w:val="center"/>
        <w:rPr>
          <w:rFonts w:ascii="仿宋_GB2312" w:hAnsi="仿宋_GB2312" w:eastAsia="仿宋_GB2312" w:cs="仿宋_GB2312"/>
          <w:bCs/>
          <w:sz w:val="30"/>
          <w:szCs w:val="30"/>
        </w:rPr>
      </w:pPr>
      <w:r>
        <w:rPr>
          <w:rFonts w:hint="eastAsia" w:ascii="仿宋_GB2312" w:hAnsi="仿宋_GB2312" w:eastAsia="仿宋_GB2312" w:cs="仿宋_GB2312"/>
          <w:bCs/>
          <w:sz w:val="30"/>
          <w:szCs w:val="30"/>
          <w:bdr w:val="single" w:color="000000" w:sz="2" w:space="0"/>
        </w:rPr>
        <w:drawing>
          <wp:inline distT="0" distB="0" distL="114300" distR="114300">
            <wp:extent cx="4152900" cy="3055620"/>
            <wp:effectExtent l="0" t="0" r="0" b="0"/>
            <wp:docPr id="16" name="图片 2" descr="13939687885822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139396878858220781"/>
                    <pic:cNvPicPr>
                      <a:picLocks noChangeAspect="1"/>
                    </pic:cNvPicPr>
                  </pic:nvPicPr>
                  <pic:blipFill>
                    <a:blip r:embed="rId27"/>
                    <a:stretch>
                      <a:fillRect/>
                    </a:stretch>
                  </pic:blipFill>
                  <pic:spPr>
                    <a:xfrm>
                      <a:off x="0" y="0"/>
                      <a:ext cx="4166739" cy="3065360"/>
                    </a:xfrm>
                    <a:prstGeom prst="rect">
                      <a:avLst/>
                    </a:prstGeom>
                    <a:noFill/>
                    <a:ln w="9525">
                      <a:noFill/>
                    </a:ln>
                  </pic:spPr>
                </pic:pic>
              </a:graphicData>
            </a:graphic>
          </wp:inline>
        </w:drawing>
      </w:r>
    </w:p>
    <w:p>
      <w:pPr>
        <w:pStyle w:val="58"/>
        <w:spacing w:after="163" w:line="560" w:lineRule="exact"/>
        <w:ind w:firstLine="482"/>
        <w:jc w:val="center"/>
        <w:rPr>
          <w:rFonts w:ascii="宋体" w:hAnsi="宋体" w:cs="宋体"/>
          <w:b/>
          <w:bCs/>
          <w:kern w:val="2"/>
          <w:szCs w:val="24"/>
        </w:rPr>
      </w:pPr>
      <w:r>
        <w:rPr>
          <w:rFonts w:hint="eastAsia" w:ascii="宋体" w:hAnsi="宋体" w:cs="宋体"/>
          <w:b/>
          <w:bCs/>
          <w:kern w:val="2"/>
          <w:szCs w:val="24"/>
        </w:rPr>
        <w:t>轨道交通信号控制系统实训平台</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0" w:firstLineChars="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轨道交通信号控制系统实训平台技术平台产品形态：</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1650" w:firstLineChars="55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信号主控台：长2.1 m；宽0.85 m；高1.1 m</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1650" w:firstLineChars="55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xml:space="preserve">信号组合柜：长0.6 m；宽0.6 m；高1.8 m </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1650" w:firstLineChars="55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额定功率：&lt;600W</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本平台主要由轨道交通信号控制系统-信号主控台和轨道交通信号控制系统-信号组合柜组成。</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（一）轨道交通信号控制系统-信号主控台</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轨道交通信号控制系统-信号主控台以PLC为核心，分别与人机交互界面、传感器、操作单元、执行单元、显示单元交互，并与信号组合柜的灾害继电器连接，为列控中心提供区段灾害状态。</w:t>
      </w:r>
    </w:p>
    <w:p>
      <w:pPr>
        <w:pBdr>
          <w:top w:val="none" w:color="000000" w:sz="0" w:space="0"/>
          <w:left w:val="none" w:color="000000" w:sz="0" w:space="0"/>
          <w:bottom w:val="none" w:color="000000" w:sz="0" w:space="0"/>
          <w:right w:val="none" w:color="000000" w:sz="0" w:space="0"/>
        </w:pBdr>
        <w:autoSpaceDN w:val="0"/>
        <w:adjustRightInd w:val="0"/>
        <w:snapToGrid w:val="0"/>
        <w:ind w:firstLine="0" w:firstLineChars="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304790" cy="2582545"/>
            <wp:effectExtent l="0" t="0" r="10160" b="8255"/>
            <wp:docPr id="21" name="图片 3" descr="10894019829346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108940198293467336"/>
                    <pic:cNvPicPr>
                      <a:picLocks noChangeAspect="1"/>
                    </pic:cNvPicPr>
                  </pic:nvPicPr>
                  <pic:blipFill>
                    <a:blip r:embed="rId28"/>
                    <a:stretch>
                      <a:fillRect/>
                    </a:stretch>
                  </pic:blipFill>
                  <pic:spPr>
                    <a:xfrm>
                      <a:off x="0" y="0"/>
                      <a:ext cx="5304790" cy="2582545"/>
                    </a:xfrm>
                    <a:prstGeom prst="rect">
                      <a:avLst/>
                    </a:prstGeom>
                    <a:noFill/>
                    <a:ln w="9525">
                      <a:noFill/>
                    </a:ln>
                  </pic:spPr>
                </pic:pic>
              </a:graphicData>
            </a:graphic>
          </wp:inline>
        </w:drawing>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482"/>
        <w:jc w:val="center"/>
        <w:rPr>
          <w:rFonts w:ascii="宋体" w:hAnsi="宋体" w:cs="宋体"/>
          <w:b/>
          <w:bCs/>
        </w:rPr>
      </w:pPr>
      <w:r>
        <w:rPr>
          <w:rFonts w:hint="eastAsia" w:ascii="宋体" w:hAnsi="宋体" w:cs="宋体"/>
          <w:b/>
          <w:bCs/>
        </w:rPr>
        <w:t>信号主控台网络拓扑图</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（二）</w:t>
      </w:r>
      <w:r>
        <w:rPr>
          <w:rFonts w:hint="eastAsia" w:ascii="仿宋_GB2312" w:hAnsi="仿宋_GB2312" w:eastAsia="仿宋_GB2312" w:cs="仿宋_GB2312"/>
          <w:kern w:val="0"/>
          <w:sz w:val="30"/>
          <w:szCs w:val="30"/>
        </w:rPr>
        <w:t>轨道交通信号控制系统-</w:t>
      </w:r>
      <w:r>
        <w:rPr>
          <w:rFonts w:hint="eastAsia" w:ascii="仿宋_GB2312" w:hAnsi="仿宋_GB2312" w:eastAsia="仿宋_GB2312" w:cs="仿宋_GB2312"/>
          <w:sz w:val="30"/>
          <w:szCs w:val="30"/>
        </w:rPr>
        <w:t>信号组合柜</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INCLUDEPICTURE \d "https://wx.qq.com/cgi-bin/mmwebwx-bin/webwxgetmsgimg?&amp;MsgID=6459549405518098088&amp;skey=@crypt_17ef6969_847633b3b0e97a682757ae41b321326a" \* MERGEFORMATINET </w:instrText>
      </w:r>
      <w:r>
        <w:rPr>
          <w:rFonts w:hint="eastAsia" w:ascii="仿宋_GB2312" w:hAnsi="仿宋_GB2312" w:eastAsia="仿宋_GB2312" w:cs="仿宋_GB2312"/>
          <w:sz w:val="30"/>
          <w:szCs w:val="30"/>
        </w:rPr>
        <w:fldChar w:fldCharType="end"/>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轨道交通信号控制系统-信号组合柜包含列控中心系统、模拟轨道、一套移频柜内设备（客专发送器、客专接收器、客专衰耗盘）、模拟网络盘、继电器等设备。</w:t>
      </w:r>
    </w:p>
    <w:p>
      <w:pPr>
        <w:ind w:firstLine="0" w:firstLineChars="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5462270" cy="3115945"/>
            <wp:effectExtent l="0" t="0" r="5080" b="8255"/>
            <wp:docPr id="17" name="图片 4" descr="48376697943691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483766979436913070"/>
                    <pic:cNvPicPr>
                      <a:picLocks noChangeAspect="1"/>
                    </pic:cNvPicPr>
                  </pic:nvPicPr>
                  <pic:blipFill>
                    <a:blip r:embed="rId29"/>
                    <a:stretch>
                      <a:fillRect/>
                    </a:stretch>
                  </pic:blipFill>
                  <pic:spPr>
                    <a:xfrm>
                      <a:off x="0" y="0"/>
                      <a:ext cx="5462270" cy="3115945"/>
                    </a:xfrm>
                    <a:prstGeom prst="rect">
                      <a:avLst/>
                    </a:prstGeom>
                    <a:noFill/>
                    <a:ln w="9525">
                      <a:noFill/>
                    </a:ln>
                  </pic:spPr>
                </pic:pic>
              </a:graphicData>
            </a:graphic>
          </wp:inline>
        </w:drawing>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482"/>
        <w:jc w:val="center"/>
        <w:rPr>
          <w:rFonts w:ascii="宋体" w:hAnsi="宋体" w:cs="宋体"/>
          <w:b/>
          <w:bCs/>
        </w:rPr>
      </w:pPr>
      <w:r>
        <w:rPr>
          <w:rFonts w:hint="eastAsia" w:ascii="宋体" w:hAnsi="宋体" w:cs="宋体"/>
          <w:b/>
          <w:bCs/>
        </w:rPr>
        <w:t>信号组合柜网络拓扑图</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通过轨道交通信号控制系统操作终端实现对列控中心系统的功能操作，列控中心通过DI板采集轨道继电器，也通过CAN总线收集轨道状态，并生成码序控制指令发给移频设备。列控中心可以通过DO板控制区间方向，实现改方操作。</w:t>
      </w:r>
    </w:p>
    <w:p>
      <w:pPr>
        <w:spacing w:line="560" w:lineRule="exact"/>
        <w:ind w:left="454" w:firstLine="0"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1.列控中心系统</w:t>
      </w:r>
    </w:p>
    <w:p>
      <w:pPr>
        <w:pStyle w:val="58"/>
        <w:spacing w:after="163"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列控中心系统中包含嵌入式的轨道交通信号控制系统软件，可以实现真实列控中心的主要功能，包括采集轨道电路车辆占压状态，对轨道电路进行发码控制，改方功能，以及列控中心与其他系统通信等功能。</w:t>
      </w:r>
    </w:p>
    <w:p>
      <w:pPr>
        <w:spacing w:line="560" w:lineRule="exact"/>
        <w:ind w:left="454" w:firstLine="0"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2.模拟轨道</w:t>
      </w:r>
    </w:p>
    <w:p>
      <w:pPr>
        <w:pStyle w:val="58"/>
        <w:spacing w:after="163"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模拟区段的空闲、占用等功能。</w:t>
      </w:r>
    </w:p>
    <w:p>
      <w:pPr>
        <w:spacing w:line="560" w:lineRule="exact"/>
        <w:ind w:left="454" w:firstLine="0"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3.移频柜内设备</w:t>
      </w:r>
    </w:p>
    <w:p>
      <w:pPr>
        <w:pStyle w:val="58"/>
        <w:spacing w:after="163"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一套客专移频柜内设备，包含发送器、接收器、衰耗盘。实现真实设备的安装、布线、调试、测量等功能。</w:t>
      </w:r>
    </w:p>
    <w:p>
      <w:pPr>
        <w:pStyle w:val="58"/>
        <w:spacing w:after="163" w:line="560" w:lineRule="exact"/>
        <w:rPr>
          <w:rFonts w:ascii="仿宋_GB2312" w:hAnsi="仿宋_GB2312" w:eastAsia="仿宋_GB2312" w:cs="仿宋_GB2312"/>
          <w:sz w:val="30"/>
          <w:szCs w:val="30"/>
        </w:rPr>
      </w:pPr>
      <w:r>
        <w:drawing>
          <wp:anchor distT="0" distB="0" distL="114300" distR="114300" simplePos="0" relativeHeight="251664384" behindDoc="0" locked="0" layoutInCell="1" allowOverlap="1">
            <wp:simplePos x="0" y="0"/>
            <wp:positionH relativeFrom="column">
              <wp:posOffset>494665</wp:posOffset>
            </wp:positionH>
            <wp:positionV relativeFrom="paragraph">
              <wp:posOffset>801370</wp:posOffset>
            </wp:positionV>
            <wp:extent cx="598805" cy="1292225"/>
            <wp:effectExtent l="0" t="0" r="10795" b="3175"/>
            <wp:wrapNone/>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30"/>
                    <a:stretch>
                      <a:fillRect/>
                    </a:stretch>
                  </pic:blipFill>
                  <pic:spPr>
                    <a:xfrm>
                      <a:off x="0" y="0"/>
                      <a:ext cx="598805" cy="1292225"/>
                    </a:xfrm>
                    <a:prstGeom prst="rect">
                      <a:avLst/>
                    </a:prstGeom>
                  </pic:spPr>
                </pic:pic>
              </a:graphicData>
            </a:graphic>
          </wp:anchor>
        </w:drawing>
      </w:r>
      <w:r>
        <w:rPr>
          <w:rFonts w:hint="eastAsia" w:ascii="仿宋_GB2312" w:hAnsi="仿宋_GB2312" w:eastAsia="仿宋_GB2312" w:cs="仿宋_GB2312"/>
          <w:sz w:val="30"/>
          <w:szCs w:val="30"/>
        </w:rPr>
        <w:t>衰耗盘面板设有测试塞孔，可以测量轨道继电器的电压、功出电压、主轨入电压、轨道出电压等。</w:t>
      </w:r>
    </w:p>
    <w:p>
      <w:pPr>
        <w:pStyle w:val="58"/>
        <w:spacing w:after="163" w:line="240" w:lineRule="auto"/>
        <w:rPr>
          <w:rFonts w:ascii="仿宋_GB2312" w:hAnsi="仿宋_GB2312" w:eastAsia="仿宋_GB2312" w:cs="仿宋_GB2312"/>
          <w:sz w:val="30"/>
          <w:szCs w:val="30"/>
        </w:rPr>
      </w:pPr>
      <w:r>
        <w:drawing>
          <wp:anchor distT="0" distB="0" distL="114300" distR="114300" simplePos="0" relativeHeight="251665408" behindDoc="0" locked="0" layoutInCell="1" allowOverlap="1">
            <wp:simplePos x="0" y="0"/>
            <wp:positionH relativeFrom="column">
              <wp:posOffset>1550670</wp:posOffset>
            </wp:positionH>
            <wp:positionV relativeFrom="paragraph">
              <wp:posOffset>355600</wp:posOffset>
            </wp:positionV>
            <wp:extent cx="1186815" cy="737235"/>
            <wp:effectExtent l="0" t="0" r="13335" b="5715"/>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1"/>
                    <a:stretch>
                      <a:fillRect/>
                    </a:stretch>
                  </pic:blipFill>
                  <pic:spPr>
                    <a:xfrm>
                      <a:off x="0" y="0"/>
                      <a:ext cx="1186815" cy="737235"/>
                    </a:xfrm>
                    <a:prstGeom prst="rect">
                      <a:avLst/>
                    </a:prstGeom>
                  </pic:spPr>
                </pic:pic>
              </a:graphicData>
            </a:graphic>
          </wp:anchor>
        </w:drawing>
      </w:r>
      <w:r>
        <w:rPr>
          <w:rFonts w:hint="eastAsia" w:ascii="仿宋_GB2312" w:hAnsi="仿宋_GB2312" w:eastAsia="仿宋_GB2312" w:cs="仿宋_GB2312"/>
          <w:sz w:val="30"/>
          <w:szCs w:val="30"/>
        </w:rPr>
        <mc:AlternateContent>
          <mc:Choice Requires="wpg">
            <w:drawing>
              <wp:inline distT="0" distB="0" distL="0" distR="0">
                <wp:extent cx="4238625" cy="1524000"/>
                <wp:effectExtent l="0" t="0" r="0" b="0"/>
                <wp:docPr id="27" name="组合 2"/>
                <wp:cNvGraphicFramePr/>
                <a:graphic xmlns:a="http://schemas.openxmlformats.org/drawingml/2006/main">
                  <a:graphicData uri="http://schemas.microsoft.com/office/word/2010/wordprocessingGroup">
                    <wpg:wgp>
                      <wpg:cNvGrpSpPr/>
                      <wpg:grpSpPr>
                        <a:xfrm>
                          <a:off x="0" y="0"/>
                          <a:ext cx="4238724" cy="1523835"/>
                          <a:chOff x="170105" y="792460"/>
                          <a:chExt cx="4794188" cy="2263228"/>
                        </a:xfrm>
                      </wpg:grpSpPr>
                      <wps:wsp>
                        <wps:cNvPr id="29" name="TextBox 6"/>
                        <wps:cNvSpPr txBox="1"/>
                        <wps:spPr>
                          <a:xfrm>
                            <a:off x="170105" y="2669540"/>
                            <a:ext cx="1250315" cy="386148"/>
                          </a:xfrm>
                          <a:prstGeom prst="rect">
                            <a:avLst/>
                          </a:prstGeom>
                          <a:noFill/>
                        </wps:spPr>
                        <wps:txbx>
                          <w:txbxContent>
                            <w:p>
                              <w:pPr>
                                <w:pStyle w:val="25"/>
                                <w:ind w:firstLine="0" w:firstLineChars="0"/>
                              </w:pPr>
                              <w:r>
                                <w:rPr>
                                  <w:rFonts w:hint="eastAsia" w:asciiTheme="minorHAnsi" w:eastAsiaTheme="minorEastAsia" w:cstheme="minorBidi"/>
                                  <w:color w:val="000000" w:themeColor="text1"/>
                                  <w:kern w:val="24"/>
                                  <w14:textFill>
                                    <w14:solidFill>
                                      <w14:schemeClr w14:val="tx1"/>
                                    </w14:solidFill>
                                  </w14:textFill>
                                </w:rPr>
                                <w:t>发送器</w:t>
                              </w:r>
                            </w:p>
                          </w:txbxContent>
                        </wps:txbx>
                        <wps:bodyPr wrap="square" rtlCol="0">
                          <a:noAutofit/>
                        </wps:bodyPr>
                      </wps:wsp>
                      <wps:wsp>
                        <wps:cNvPr id="30" name="TextBox 7"/>
                        <wps:cNvSpPr txBox="1"/>
                        <wps:spPr>
                          <a:xfrm>
                            <a:off x="2006410" y="2618746"/>
                            <a:ext cx="1250315" cy="436942"/>
                          </a:xfrm>
                          <a:prstGeom prst="rect">
                            <a:avLst/>
                          </a:prstGeom>
                          <a:noFill/>
                        </wps:spPr>
                        <wps:txbx>
                          <w:txbxContent>
                            <w:p>
                              <w:pPr>
                                <w:pStyle w:val="25"/>
                                <w:ind w:firstLine="0" w:firstLineChars="0"/>
                              </w:pPr>
                              <w:r>
                                <w:rPr>
                                  <w:rFonts w:hint="eastAsia" w:asciiTheme="minorHAnsi" w:eastAsiaTheme="minorEastAsia" w:cstheme="minorBidi"/>
                                  <w:color w:val="000000" w:themeColor="text1"/>
                                  <w:kern w:val="24"/>
                                  <w14:textFill>
                                    <w14:solidFill>
                                      <w14:schemeClr w14:val="tx1"/>
                                    </w14:solidFill>
                                  </w14:textFill>
                                </w:rPr>
                                <w:t>接收器</w:t>
                              </w:r>
                            </w:p>
                          </w:txbxContent>
                        </wps:txbx>
                        <wps:bodyPr wrap="square" rtlCol="0">
                          <a:noAutofit/>
                        </wps:bodyPr>
                      </wps:wsp>
                      <wps:wsp>
                        <wps:cNvPr id="31" name="TextBox 8"/>
                        <wps:cNvSpPr txBox="1"/>
                        <wps:spPr>
                          <a:xfrm>
                            <a:off x="3912625" y="2546053"/>
                            <a:ext cx="1051668" cy="509635"/>
                          </a:xfrm>
                          <a:prstGeom prst="rect">
                            <a:avLst/>
                          </a:prstGeom>
                          <a:noFill/>
                        </wps:spPr>
                        <wps:txbx>
                          <w:txbxContent>
                            <w:p>
                              <w:pPr>
                                <w:pStyle w:val="25"/>
                                <w:ind w:firstLine="0" w:firstLineChars="0"/>
                              </w:pPr>
                              <w:r>
                                <w:rPr>
                                  <w:rFonts w:hint="eastAsia" w:asciiTheme="minorHAnsi" w:eastAsiaTheme="minorEastAsia" w:cstheme="minorBidi"/>
                                  <w:color w:val="000000"/>
                                  <w:kern w:val="24"/>
                                </w:rPr>
                                <w:t>衰耗盘</w:t>
                              </w:r>
                            </w:p>
                          </w:txbxContent>
                        </wps:txbx>
                        <wps:bodyPr wrap="square" rtlCol="0">
                          <a:noAutofit/>
                        </wps:bodyPr>
                      </wps:wsp>
                      <pic:pic xmlns:pic="http://schemas.openxmlformats.org/drawingml/2006/picture">
                        <pic:nvPicPr>
                          <pic:cNvPr id="3073" name="图片 3073" descr="http://www.crsc.com.cn/Portals/0/BatchImagesThumb/2014/0704/635400786740522637.jpg"/>
                          <pic:cNvPicPr/>
                        </pic:nvPicPr>
                        <pic:blipFill>
                          <a:blip r:embed="rId32" cstate="print">
                            <a:extLst>
                              <a:ext uri="{28A0092B-C50C-407E-A947-70E740481C1C}">
                                <a14:useLocalDpi xmlns:a14="http://schemas.microsoft.com/office/drawing/2010/main" val="0"/>
                              </a:ext>
                            </a:extLst>
                          </a:blip>
                          <a:srcRect/>
                          <a:stretch>
                            <a:fillRect/>
                          </a:stretch>
                        </pic:blipFill>
                        <pic:spPr>
                          <a:xfrm>
                            <a:off x="3663578" y="792460"/>
                            <a:ext cx="1233920" cy="1505047"/>
                          </a:xfrm>
                          <a:prstGeom prst="rect">
                            <a:avLst/>
                          </a:prstGeom>
                          <a:noFill/>
                          <a:ln>
                            <a:noFill/>
                          </a:ln>
                        </pic:spPr>
                      </pic:pic>
                    </wpg:wgp>
                  </a:graphicData>
                </a:graphic>
              </wp:inline>
            </w:drawing>
          </mc:Choice>
          <mc:Fallback>
            <w:pict>
              <v:group id="组合 2" o:spid="_x0000_s1026" o:spt="203" style="height:120pt;width:333.75pt;" coordorigin="170105,792460" coordsize="4794188,2263228" o:gfxdata="UEsDBAoAAAAAAIdO4kAAAAAAAAAAAAAAAAAEAAAAZHJzL1BLAwQUAAAACACHTuJAMzQtBNcAAAAF&#10;AQAADwAAAGRycy9kb3ducmV2LnhtbE2PQUvDQBCF74L/YRnBm91NtanEbEop1VMRbAvibZqdJqHZ&#10;2ZDdJu2/d/Wil4HHe7z3Tb642FYM1PvGsYZkokAQl840XGnY714fnkH4gGywdUwaruRhUdze5JgZ&#10;N/IHDdtQiVjCPkMNdQhdJqUva7LoJ64jjt7R9RZDlH0lTY9jLLetnCqVSosNx4UaO1rVVJ62Z6vh&#10;bcRx+Zish83puLp+7Wbvn5uEtL6/S9QLiECX8BeGH/yIDkVkOrgzGy9aDfGR8Hujl6bzGYiDhumT&#10;UiCLXP6nL74BUEsDBBQAAAAIAIdO4kBglunS2QMAAJ8KAAAOAAAAZHJzL2Uyb0RvYy54bWzlVsFu&#10;4zYQvRfoPwi626IkSrKE2IvEyQYLLNqgm34ATVOWCklkSTpyUPRWoN3b3vspBfo3i/2NzlCSnSZp&#10;i90WBYoeLFMjajTz3vDNnL04tI13J7SpZbf0wznxPdFxua273dL/+vblbOF7xrJuyxrZiaV/L4z/&#10;YvX5Z2e9KkQkK9lshfbASWeKXi39ylpVBIHhlWiZmUslOnhYSt0yC7d6F2w168F72wQRIWnQS71V&#10;WnJhDFgvh4f+yvkvS8Htl2VphPWapQ+xWXfV7rrBa7A6Y8VOM1XVfAyDfUIULas7+OjR1SWzzNvr&#10;+omrtuZaGlnaOZdtIMuy5sLlANmE5FE211rulctlV/Q7dYQJoH2E0ye75V/c3Wiv3i79KPO9jrXA&#10;0Ydffnj/7icvQnB6tStgz7VWb9SNHg274Q7zPZS6xX/IxDs4WO+PsIqD9TgYaRQvsoj6HodnYQJ3&#10;cTIAzytgB98LM8g+8T3YkOURTUdieHU1+chyGi6gmNBHFKVxFC3QRzCFEGCkx8B6BeVkToiZv4fY&#10;m4op4YgwiMaEWD4hdgupXsiDlw6QuU2Il2cPYIb0JrsB4zOwPUg/StM8oWP+E4JhlJA4BHww+3iR&#10;hvT3ybNCaWOvhWw9XCx9DYXv6pHdvTZ2wGnagt/v5Mu6adCOSA1R4coeNgdHsik2cnsPGfRwNpa+&#10;+XbPtPA9bZu1dEdp8HK+t7Ks3Qfw9eGd0Svgj/XzLxARw8keSnciIpsAB7Y+hgiUFBqCO6yyNFxk&#10;1FHKimeZoHGaU3dMjmX4f2cifMyEK1Ssgo9kIs7DKI0GSYgSUIQkRk4fMEGSME1HRUhIng6i8h9g&#10;QtW8gN8o57B6Ik5/3fbgLbuHE7k6Q2/d3U3NUVnw5iRQMcniiY/3P//64e2P3mDaCsOhCY5NpO/7&#10;OdeGY0ua8y64kdqyxgQkuGCWV69athPmttq3G2xSNCAZoQHATQnJFmlGSYKCnM2/UTukaIoBI0KF&#10;eRLgpqkVyg+yiesRiFNAf9L9h455Kfm+FZ0dRgAtGmZh/jBVrQxoVCHajYCOpl9toRw5jB8WuprS&#10;dTdoIpxlEMWpllyX/i5anBOSRxezdULWM0qyq9l5TrNZRq4gQboI1+H6e1TUkBZ7I15LzppLVU8j&#10;Q0iPaE7BP9uSx+FlaPZuaPDumNNTRMoV9/TvQgQTIoSxGs2/AlV3Z8BYLYAZNJcA5GiHzccHDvUT&#10;0MjBH/SeOAUqMzhHj3rvSfHiOI9AEofuTRJCnbr+AweNFU2HOZy60WBxwQ/huiVE73qKm4IcPuPE&#10;hmPWw3u36zRXrn4DUEsDBAoAAAAAAIdO4kAAAAAAAAAAAAAAAAAKAAAAZHJzL21lZGlhL1BLAwQU&#10;AAAACACHTuJA6CMBPnggAADuIQAAFQAAAGRycy9tZWRpYS9pbWFnZTEuanBlZ615B1BT37fuCaFI&#10;kdCkCQQEpYqAdAgB+QEC0qU3EelNehNCUVSE0ER66E16bwIiVZAiXXqv0gQChJA8fO/+773zysxr&#10;+8yaPXPOnj3rm3X2t7+1Fn4avwRQqSmrKgMgEAiYu34A/CygCNwgJiYhJrpBQkJCSnqDjILuJgU5&#10;OQUTDS2EjpUZysbKzMLCziXIzX5HgJOFhUeCV0BIWFRUFMotBZMUkRV8KCrydxMQKSkpBTkF482b&#10;jCIcLBwi/8cD/xWgvgGcgIjBoDsAATUITA3CdwFQAAARXXv71+F/GyACMCERMckNUjLy6wV1VAAB&#10;CAwmIAQTERESXq8Ouv4OEFIT0XAIKxDT6liR3HGnEwmNy77B+aiq45buz0Ouh889wkjJ6BkYmZjv&#10;3uPm4eUTFROXkJSSVvxHSVnlsaqa3lN9A0MjYxPrFza2dvYOjp5e3j6+fv4B4a/fRLx99z4yPuFj&#10;4qek5JTUnNy8/ILCouLP1TW1dfUNjU3N3zq7unt6+773j46NT0xOTf+aWV5ZXVvf2Nza3jn6c3xy&#10;ij47v8D8xQUCwP8N1r8j++9wUV/jIiAkBBOS/MUFIvC9NjA1IRGHMDGNgg6JlTvtHZHQG3SP4rKr&#10;Okg5H+oe3nru8ZOMnkt0+e7RX2j/Fdn/HrCw/ytk/w7sP3DNABRg0HXwwNQAHDjD8OSEkP2/2kMl&#10;wy8tET2T6imzzvYiGoBRzpcS4/OSuzU18rEdgKxo5kMxz97Ve7kcXabJAaV3QmAzUVPhmR+kxyBJ&#10;g3ig3ZGvtbcb5tV17tDRIyI+QjLClNPmPNbGu+t0WZK2HblZ7n8r/0HXfe8pYQ3ZKjzgb5MFybLv&#10;q8iAxIhN4XjbmQaVF4SnoCUNq8JZkNwGnn1e2S5WY4T0ReN5kjHiwr49KspTAzc3eRtn0ntRhasF&#10;nbxHUU8+hR5yaEj4dJYeIRaft7lIt5Uj1r9YH8JXn7hoGcL/oHOn1rYxIySjJPpjXW3GreGIs1cd&#10;qXrFxpCLwLe4y1t/yvaG8ly/oFNS3rr38Bl90fCvVJFFCmOdJkPkPkfukOKBiScxuF2w7kabVe2E&#10;t9BKIKut9mr2EwI42Uk70SuFL/HLzt6/VmIlqOdWHTDUV/bg8a0CFb4noaveNjCy9MgggE5H6X9p&#10;t75j5RNzD1d5JOeWmHf5kefReOAOBg9MKchDpXYEppq/FCgmr8g89RnUuO28JURkSIgH7M034bs3&#10;taZCeEEOLyhIjvOt4qLsIos0h3JDR/NVh15quk/Bh0L45o0EUmxum1bd0uVPy5DTJJ0JREbUqxOT&#10;cB/j6ugqS8JRfgfyNKaWHb4h7nSFf8QcfJbWSwg0pDpt7/UEGpRVi3zLRr6UQagBjdLjkQEBeCCz&#10;vyRmHYeg1X39rKWqtwnndSOp4hGsuBCFB5JOCuxOscN4wCT6FzYQWTitDTZXWJq4/YFnjfAE3l+R&#10;cLIaU1hZQH0QFayIByrkf0g0pE6cKXdRb8+Uzzj+oaceAnFHX900sw9l7G2DHIuRG6ls8L8qW9yV&#10;Z7X4sLKnp2wjPiXw0+7K1KNwmuykjHzFIq2ICIkH6KtP5tOz4SZH+kve6L6D33xPYgOWkFdJ04Ej&#10;JGNVWnRHpXHSzRIcH9eYg502g6BdMwXvecSTBEqm+q0TexsrVEfauI0WnD/oxvwebQD18gVdFYdu&#10;0T0VP3tp/q16tj++Z56JUklDnohO538090Xq9jVLS8wWf1W54goPHoj0Q/wNmsRJe8tm3lvslaOb&#10;Jp+4jNv+BR749Paw+MZejDNCTZ5wnxFecZz9lguZzhZI8RNzhRhWE/HM7OW+SAX+8SjEnqFLSPkq&#10;0SxhgYGZJuWd4UiRh+GzuwePRZK/cp6/w0DUgC+ALCUWD5wOyrKR6GX+wAMhn+N+TF+0WcVl+pTw&#10;7Fx02sF6DfDArjZhyFGmpgg8li6rcmnJusEKdy8BRumOlEAoqGgCYJbVy3bLAEJJ1+e3lFW3YEGD&#10;/AKRwTauftsDQbDitNaHw657+/YORmHqCdNxi9PaBGunfYxLcSOBZNoQTRGpDhzUUydJ6vtXzqat&#10;9qsA8Coj27IWwlMe0uMeFRsAnmgdrhOcQ6pyNuGOTtjGUbYq3OEdsDkMxNF8Dk1BwuWlsy1PqS9T&#10;aca7P/8xIMhR+V0uwKRJ0g+6zB0ft4oBBCH6erNzP9v509c9z5uyiH4LkRIeQo6YzZbEtbS+dLZX&#10;FtDLpHETQlLam2FEPNz8ocfW63pYzvER4vrElZsqKumw/AHlzviUi6cB1BZxWVidukZS+hLqCGVJ&#10;GvY+uTWfCvYF8RceTViz0fXqr/W3oTIBEAX54cL7D1wqsozL7JD2w8rKfcXHlmLbARu5eUPVv8xU&#10;aSu/ZcEFYY8rHo+08SmyG9XZqz17cxz7snf7CUQj57PRjkFqlIVLfpdHRVBZepDjpD3IPicS4Pk3&#10;4487j3i4vIwHzIm8J76/eoQH4nxxM2TARUf7GqfvsCpE7uPxQaYWrk64cbxCCrpLinn6Oggx7KhI&#10;WwEN3MUF6HkOV7xCvZ27DNBFBV26Y9s+ZmiVIyxxlVmPLjcXMzfsLwdi3FZO9jW4GyoqEIh8nk1o&#10;NypzD3qYRVwpKTns8XD8aIqViLqF5CsX5evwdEiFmv+a5zHxwXzMud5LStOXw5opmyNkQA1rfz3l&#10;o6N0tAJOTGgthKS5wrK7RJaAUjgz+YW3JLjdMcDMBQpnjx6s3ZQLCxFcd4/9RVLManQdV41N7g0A&#10;mUfJyZZp8sLV1uUz3B/piQWPlt7PG2r5JAA6e4pq2wilCmvnvfF4h+7sTPSCiUmVvBZBCz6LySoB&#10;a2ZKzn35M4jSqoP+mgJvXPh6gWV5ssg6ZSKEymIulxDRPJKAdRS2ZC5Tz4A4TdwnvoVEclggaBtR&#10;UyibZD44fu0BEM6+P7CGGFBmvXoj+BgWvho6I4wTe+ZQvXkgyLAPHpMr+OjgVkv80cNjkyWVYN18&#10;B1jlx7LjAabTQpbor1WM1+S1OKLfUZDxY8FhSOhL0IzW79pvBJv2UpzjlyMMvPtSrOkxcYhmmIZE&#10;ANGQRyTiINdwKLXRucWmOVWnsLtJ03SdBaJGsE7xp990Q7ZvcZ4tLJ3rspSB8IgGEzix+HtLPFFK&#10;Soob5oAHbF5LOXtGeW+rLbun+lT55v24W9Pi99pOsH/RD2OYuwW91SE8uysU8uPhRjeW8yrbwhdt&#10;+ixSvBw09PCxLpXRcrBrIcxhTjCItmCXnrmuEdWzIRV7pmdYYylpsnPzWUeZKzONZL84v8FsT0BG&#10;aY7S+JokjsE5XOnbZutG5PEg+UpQ9IAAc5qALpts92Xhrjn2Ya87zQB5SU/nX5605sqJ5AHK1Vcg&#10;2A/t6BFDU7PCGDywZup21g28WubGvj6A5Q2PLaT74QH4ZqpzIe5eQzqS6+8bBPUVHHMSIdYcdTwb&#10;s646VRF8fU7R+a7thQPYYtK1mM6YNR4Q6XAbwtItX/JkLR5C4nYUCHG06p1qgPbpxYATkHM+aLob&#10;Zlcb3AkdnO2Xd5AKkt/iFqtj3AKAr/BvKpb/XP9aT3xI+9Z4r8lHnjz0295uX1Qm1m9MnEmNYvOu&#10;IXeI+5bMGJLsVCAPD3zNgy8beK3fD04XeB20+ivoDeCgZHvfmsM9YYBKWBV9El3vXbiTIErv2tnO&#10;VG40Jyy1Y09UPJGhLMbaThZdl5xU54ELRG0kv7Be+EAUN1bfALXSYfVE0TfNDypww+wr7b2gs2Xb&#10;GtK/UYnhCbuqmQECxMtTd3sdrSY3cYelZj+VQiakBztw0lYThXgAlZiiRA+W3/HMvHB4Iv168Xhk&#10;QkBHKaQJvf0YDxiNd/pz4MSxO3WCvNOk0eOZC/AM7pnbrBpKkcJKIUnDzpv3WgOXDiLL2Y5OnFKY&#10;Vq2a7/dKiq16z7+6R4Kj/WAWwAxgtHXkr7Xf+qtgxEoa4qzbW7/fD2vXqYU7z4Kkc3FeGhwX0tht&#10;a8ECTq4jdMqSKVjiP3awiQpfyINbIq79s4jtG7bUnEM8KANXFEhiAiEBpL2vEFq4VqZemJA0HvDF&#10;agCcwUaryIXOhaQsVmL40U+c6Kg/tDMG63t9m6tJI2FfYa2DgAzjV9YmAA9AmnLDiD0UtmQamtAF&#10;SPcehe2d3vFL3YQOmRpUqXTDNWeh8qtJbN1np/XLBBCF7M8MyWNzG6YWPnumUxCDCw974D3l2+Ar&#10;fr6XeQiGBUQA4YDJNh6Ql/Utf+ItNuk057C5a5Z6NnjD+kierlYP2Fa4Jlk1XvtugC45PyeEljDd&#10;YNXPAiPzoLZRu8UXNBfZrZsV3Rt1HLlX7l3Gc+5npOhXwq5Tl0JOJbO2WrEtz3h4buJQe+FG9MOU&#10;07zLblZsOC48cn/9SDxdNKk24iwpxvlNXGgfizWYrdXpNRe9pChILI9gY4fHl2ihwyPQUEPiNSdy&#10;TmRofQZxX3MxiaknyCltbH90CMf06x11pXVDmZchStywJvK2Fd8AC+pZ4rSHh6ZwJGBbs+w15iw3&#10;yt0jHYF7kO95q73Mr5zVYOw3HrD1vmg4eJDQ0s7Yww9Qdd4JoWklXzoJxDrcRniTVsjd2l4ken5z&#10;5X0m1IdTng3394rh/3S0NRxhgwf8DPXMemOkDn/M+dKBjl16mVsXC5aC073zuVmPFjM3T/OboEcS&#10;zVvBz14Guo+PZla0X8eNIxYFyWb5e3ghA2ztnadn2ZW3x1iOZxd3H2dtLhYNH4sCYz3AahvEzVOT&#10;UXLHwzPG0nNPbSDdGrXEhtsIkfbQ1HJbRWO0AWlUoSwNPOqai/V6tABkYfUlmU6Pf48klw/a5JEM&#10;KEya8vt+0BYVZYg1+5/i3X1HXOxDv96DWCHLhhF9iujChNpTeDfHCdtEdh6id5ZY8pmk0lYu1p52&#10;Os0SvnVNz45N+uW5XSRXNyDokmQLHkU2Yr9ielKojLUnstEi8W54L+tvLV4CMed4ZacC80DNCNM5&#10;JiZu+c/UkiRTdUJSKg2fJLtiaD+zgak7ipYiA5vIOpicA8gWJ04/mM4zL/TfWNOj/i5ADGGE7Uoo&#10;j/d8Gm4WmW3s25W/xcZr5clSpN96I5epRPrNAfrNYsb6HmMvzLFRkn0lRHQPK1Nkrk7orpxfcDtp&#10;g5XP9rBux6HBMEqb/LligX8hlM4id1aWJ06seU+XnCXmVarNYqT37TSpMqOu2MH4ZWsWHMwejHpD&#10;Mdacns4C8OeMf7mNyHfQ2ZEQLnpz9NU5DpVSHvwzcoCDabmx23XxPEZ/vNS6urnJruGJlU9outdw&#10;mXq7wpZRwyHstCdspvldFzs9mWk8iZ7Zbk4ONvdWZSqugu3TTIB5f71dWDJjb4HTHVdOuBqnd6MM&#10;rb2J3/gBe91ckU1Qy2ydlxzfYZif686ksFeCwFVfB/TKcUN0IuOTWKhRn+n67JTcRDDu/mPzUt8V&#10;TymA52N8UFUq60EjK/f7V6w22Vs+UyOL721iQ/Ri0uQS32c5fMIUFNWf0SQnEB5FZTra5ufuNDtr&#10;t159qerBAy/b1SIme1Y2pGzfMn5gkurIkQFLqx/cdEDLQZsbBZ9scxh9h/vZMXV7QwnvDJUFcec9&#10;C6772hbuudZ3bH6nmoYsXpU787BC/ZyVlEQ3Fg9U13YF3qXTeULQVMFKcf4cUVT+qVpW9Tkm4o2n&#10;G+NAYh9bLejP3tiqWfMjqT5OmLTee4xdBfzHZFWVsVjQo4UVkRuc4ePMw8118aMa1SzFcH7qDswo&#10;QQkkDSZzjB0EPMdkX4Cxg3DWdjZESsHpagLqJeLD3KW2kGxoj6/XqRuujmmT6+z6uqosQAVpBqD2&#10;fsOKO8NRxJLc1ZeQAMDsGZpIRe4dvLgAFfpSU4t8vnVQJhvMKqUPa52JezfjoTkpizo4QWcpah2J&#10;uyOZLh9UlrFC79j23HKPLTyAehr3cq1GD5ypHBZOLdR6WaVkhG3GnL5tBXr9XuOBnMLJpvzyhC74&#10;0e9Mk026FyMhsQR+dDm8jCycLN6r+RY/y7OqJsr2BelqH/96RuTVwMY9ZnwK5eUidz+T0+ltFZL8&#10;bvWJp/OL6+cAejPbTz3fdnWt1yoI6uv2ns/qju2VufycsBpeOCttldFN0jB4qv8skJmRSp3i0xij&#10;DaPV5CfWMlFHLO8z0nzUinpLBOrJCzRrcWR+Mg9LQiRwQmp9WFaQ62ic5SVsVY/tv714K7No3t7d&#10;z2Nj5tdyYOGrggkpHVQK52hNmSxnkbnmTxu6zyTcsGjB4mWp2nmGS2X15Gn62SoVmPsVDzhjLMpJ&#10;/ILBg1Skc9zQbWXQqRODjHEiTnRan+MgSr43n9t4Vv7wcV3gwOswEbD6vRHVlWY3Wr9HCMr8mu+e&#10;LDnWSBnmt047uk05C3d/IpYppB2n8UD+79mM8IqzGjPWXkzNSfmi4eEjBxRDjMFlwOPfdMlHHcPZ&#10;5cy7VzoYHXIvWlFZqeL6OH+XIBZ1jqhNJy+xqorzzy5uBvXtl9KPXI6qVGQ3pcT0OiZNbNCFhNJ5&#10;3/if5yWkv8DYlu/6mNzN/ECzMOqB8TH88ezX7A4oezbZEU3bZSHUdnS3lsqsl1mFum9aOrWndkLw&#10;5PCa95OeIVq73fzq7xMz3e+JfLoWfOzApc8qqMHhYmTJonbXAMrhXLTD2zM58iRnpvuyy9phOteO&#10;PcYEbRkmbK06fvf0I2T0y+Sq/s+h92g/K4JVVxFOjHvqaUw4tfNh6UFMu8RJAefodVbyjO617k95&#10;Fu5ILJBad4BGpR51BChzGSzbQN8qWjiVbNMa96NNXsuY+cB/MGNobw375XZSOaEz4jeELxtO0aLJ&#10;UIn5GVUbdoOLFes/De2thrLpHp6zlzjct5abWprxkyum/NNqzelUnRWtHlOTLrb+XF2aoP2gIsL+&#10;rig7qd9Gvmi65Y4t4oXenMArh7aLtZdG17ov69VXl+2+66RvRNivV3GYI7C9CZ11ImDKuMtdWJnH&#10;vb4p6VrYcgUrYvXrWd490w1hDiCa7bisOnPzNAkQJvYX6c5kWd2PsTJ+y8jNxXuA1TpBl2nclkmn&#10;YQCCf/tgRp9byyriCoQPzDCnZXiAGlGCbDotCEmVXHCglxyvaQAoT/NkZUqE2Y3VHptPg+v0Kpsu&#10;WX8b3vb1d0kPmFLnRgqy2dnUKxlqtHhixsBxsYwNxIS3hhROS1Itou8VRHMk6qiUPU2AtMB21J0u&#10;P7Ab8PqEq4Yk0W+Mri95kFqqOXv4e/ADlJQv7e0czPN85va+i4bogV1k9YqUpFI5WVwNHTiuq2r6&#10;B96zV4pa6kzrNwmEvbWzPIfPJ13ogFmXyXO+LiEpQp+SpICMddxwnZm6+HBLa01kiWqqAYH/A8G7&#10;b6z88+yTcui5yMp3uHRv5A9ySBYATUpkwqHKG+iCT2y1i8Iq7vI00Qu1rTtiiaQ9SqryxPxbw6/j&#10;/INJ3+GBAGWx4yypO23J53YMiUuB0JcagPfJv2pWfyWV1AHtuclUF/1bdhWv8DOPUAzU8QhmqJn6&#10;bceJf7py56UCa3DiiS1/5pHEG2esoqNiEXJbZX+DVaUKnff1onr/++9paZbOEWEcWdkUmDC8z+zq&#10;wHPP/FNZ3ty2hK7xQtdTpBSL0OmtH+ZGtbdTZZNjtKWv5D6CnjTotUy3n5hok37bG3aHnt7L5dof&#10;UlY58tGy0qVwBsLrYsixGvJfUcYNnlhdtvBpsomfCqAjtonfWgtyG9V9d6s63GfP9XZNUsVHX1g1&#10;xvt7jlzx0N45YpiPMiCInD9iwNaU/rP9iGAw+uPMmzmfSuCFZ2hC5HTMN+lwdffbjD+zNPYS0q/L&#10;an2VX5K0viB3BNyi1l64m95cuXpy0cXYkeLTxlBUQCIlzBeNzKnzcqEhHzBIdXjsJs8v3MSCrI0z&#10;V6U34GWhvHQQuptKTfQjjniObonZkVOGSFudLURPYX64zN5+yt3IcfJMj8Nv1bkaWfu1/JOELv0v&#10;N36Xy2m97vv7GYFWBOqeLlyq3POCjYM+NH6jfWJnifbLrnIHT5DSqd1HKu+Jm6ztyL59R3t10ng2&#10;rjJlUfoskH+oDhNIco0kVi3eF22ZNX4tQcrlIaH0okPMqXMm++eBy4EOjSJUxrTVye9td/xuajoD&#10;6pHimvVzpP9ZsctcCScbHuhs/pRGqGehKCr8/cw4CZg0n7SOAb3nbvVe4DiKPntXulzXGMmzGrUv&#10;Axpg8S5XPjzMZe0WC3S852XBfOjVxhk3SfwPdblxemqC5mHgwnm8OROKZ/1d7MG49ezkZ4fUiNzn&#10;3Sfb96L7l7+0+RXMyOV6FjHdJzzw6cr4uVYF2zHfP2WCv5OVE72pU5qy+vHNHKvhLVhpM9/WVzWg&#10;xXytIimjK4oy0MBmdT6oQMF/IygXLpGWsVhmpkGwd+JefDOCs2fEf4fk9LMpaYqaSOeupc45zQP+&#10;jmYPPDDG7rSRNijtIqN9KfClsoNknBnz4dsRo6yYFdMOh+X6E+XW/1zmu8drn0VhSeMXDKFyKHPh&#10;HmDfkBLuTz288nzUOrLfNvgqxHVolFIRYoLhv/V2RevmjF9ER3bKo/5c4T7pYjxwXdhB/vleBv2h&#10;tEgZAF2Sq6OSvB1OVViaMVxZXqM/ui+aduHsxtmZ3cGaHDD10NfWBfrjnS3nVFu/vBKS4GPfMDUl&#10;bqPuJMfnewqYKnhrq12tj5E8PTZ6LmizLEhI6H3153BZnh25WjDveWh1H6yESdqgvNnzThA/r7R2&#10;SEvBr6s2jMyruC9/lFwrIu7PDO241UoK09CxeIaazT1Ud+NOIa+WxN2VLGyd73r74GHCvkOo7qsL&#10;O6jaxJhuh0vaHpGEddO2MVLeDJXI/Cn4EWvbCQje/8Ij0xP+YLTcwed9UJESYdSjqrUohEmWFIu7&#10;ngLd2GMaOtuESota0JT6cpk0T/lwCj+dWeEPydVWW0fxgH9MWOL/WZrzf/bnomM16+w7tkR2eyYp&#10;iSuaYlZ7+fuetuW2b/3kfdmRxBhW1SzyNvoY9SA1oolMl3KpE+6F2rq+2htfNKgqE4Ize9Nq1yBm&#10;BnZvT8hbA7xra8jMBFWtQ4iMEWSLhe8SlBKemwkDrIuCME/ts7k8e79+LUrpmZukTyWHk7WphGfl&#10;TrvmPe8gWs213r8Shke43Qnzz01Wa0lMOO0rN1myXSa5fLpaH2bntAynV1xu3KdXh8IHwRQ3CAOD&#10;+Oo/rBR7ubju6kROSlwq0ljLghJQfHjgDfZhviNGY2JwDw8kcAVRCTGeSX3GUY/V8g9c5k26himH&#10;XPgHZTftpiYNFJ2KiGVoajjppeJePPWHzFuEZbhVONLXqztQfK7idwU/42J++xQ5yqq2IsNLPssf&#10;d5ttpZncuJY6e+Y9BbnX7QeJXIeBS/plr4f8BbmbW94Ox+VxhBAhtUwwNSq3vQIVtmnwAN8FCufE&#10;P0wjP3lbNr5fTond+6yisJTB5k0zRjn3JBv0PJKngP1vdedflhXJk0UBoTk3GegyeGMjn0QG9xVi&#10;CT/Ys2Aq3WYwuY/9ZPg+Qq/j97XuGtUPXUGQG5/H9+Xl2nyLme8n4UN8SwBvpLWo1FmLmvUEnPHu&#10;86ETK2ealNhpO2nPSiz1RwVPTLcFKqw7Kd/WQHSelu2tNhhQr/GLu18n3Km/rv5c8UtJG0Q0qsyo&#10;jNZM7Y/JO5+7OCMLm69yjfRJrzafTNbNT75rtuniq4IN0Nt4W8BK4nJFQbe+fdKE+ZegGypNZ0VE&#10;lZJj1EqQvEKgLEKz0IRxdAnGIPsq5VXDPfhDe06mbp17sSMkGvAPqfaud+izSLX0OFYPD4ybC1p8&#10;i7YXX7wMJdHIzbTcNDa+3jc73/EsQHYA9nGDN6SD3S5SUOzDQKv84qDHnofmq44OqNrwvYR7iZ9W&#10;m4IP9JrG79FaaHD9AdU+TI/le/2ujD14aSOd0r6AY8EKJpl7L01dnnJOy0xnIU09FRgfof0xVZow&#10;aYPzPn0NdqaOUbr1Zzic4xhrWlB4JU7cVmRBDOMFdnhykv9nTQbG4LuHE4XvSpmZPgoM/PAI7b9O&#10;fCATtR9aaU5/H9A6FS+hraYjMSKNkPcW0DSdmhjt+kcHQGcRy95p3tfD+y82dg8/A0eGdS+DRz2E&#10;lLQtPn5NkNVTLdiID+FikqXUUF37oSCntzrlUOgw2k2ZTVFTU2o/+97ii6EBSuqx7gq8pnRr942g&#10;dKY76iPoh2L+opkyV8SonWI809OllY8ODBu/Z64yujp8XWDuptrnfSrOHOI36OzWo+uLh50D9A2O&#10;zEfanN7F3ql2Fq4aCvq+b0+gda5YdxfJxCV8ZyC6yc2kgSRU0LbZ7+ac5Z2I56B999HP31cuUIz6&#10;960N3+1TaqqKjq1qaO1BpBlHVUBGn0/BcZhRsNIrqsxngRFtTDTO5LUBq5OZ7kuzpjLnZXkoVYoQ&#10;1A3G3rJn31cydJb/KH01OqP/VsSCcixNReeLVLeuNXKns2iTqJNECOSNHeyz5mvdRfOhclm1Wu07&#10;l/eYuBuMOWyVhzbt2GkjlxZ1WhONLfZ9KDwUYtNxtT2oDZ2IeENMlShoC40xeENuhq1fpwNa0l94&#10;b6LqNmkSjzMdLnxZtOunPIKm7zljeMWew2j1k/Ydzu6fRI0RFNiTpP5qOLR7t//4z0laQubTOy1u&#10;ECz9xINXTXVOr2ui/ljrNB1d8RBkftOgN1fs1lmgk9OoFDStDyTDsBhohi7PQm5uf7ezoh+H+scs&#10;eO5oOP1HV+Ff3YV/zbzl2R/DRCA6mjkhsgm9mWRr4y8Cr2jtP/6ZXFvlnp6KWtiWRmZ4oKcMEpT4&#10;WG69EEOTFr2oCzOYFxBuOrUhDpGDm97+Bfnu9DCIKrWBIaJuNsrfRGk3fO7R4rKlaSk191w0w1aW&#10;3pE8lK/78LK7hopBsZnp1AwhPRK+rBV1Dw8k22udretcOW1/NgEuJqFhbbwJRDNDAtcC0xkPcBgu&#10;nzOU1svuqf2Ez1Mg8gPn6UArL7EkSTEyxpbnhJZXAeP15wx5WXjg8Xh5Hvw3ULdLp02S3nlo3Ukd&#10;hAfqVHEnmcsmVFjew4+Wx5QLiBkPp/prZVokC1oOdDsNEGvAknqaaJ/7qjTgAf0Ck8JRDhMvbSKv&#10;6jqFN/Vvgt/x6dA8+EfnhA7DAxKC8dr/f2iV/6dWOxz/6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AvKAAAW0NvbnRlbnRfVHlwZXNd&#10;LnhtbFBLAQIUAAoAAAAAAIdO4kAAAAAAAAAAAAAAAAAGAAAAAAAAAAAAEAAAAP4lAABfcmVscy9Q&#10;SwECFAAUAAAACACHTuJAihRmPNEAAACUAQAACwAAAAAAAAABACAAAAAiJgAAX3JlbHMvLnJlbHNQ&#10;SwECFAAKAAAAAACHTuJAAAAAAAAAAAAAAAAABAAAAAAAAAAAABAAAAAAAAAAZHJzL1BLAQIUAAoA&#10;AAAAAIdO4kAAAAAAAAAAAAAAAAAKAAAAAAAAAAAAEAAAABwnAABkcnMvX3JlbHMvUEsBAhQAFAAA&#10;AAgAh07iQFhgsxu0AAAAIgEAABkAAAAAAAAAAQAgAAAARCcAAGRycy9fcmVscy9lMm9Eb2MueG1s&#10;LnJlbHNQSwECFAAUAAAACACHTuJAMzQtBNcAAAAFAQAADwAAAAAAAAABACAAAAAiAAAAZHJzL2Rv&#10;d25yZXYueG1sUEsBAhQAFAAAAAgAh07iQGCW6dLZAwAAnwoAAA4AAAAAAAAAAQAgAAAAJgEAAGRy&#10;cy9lMm9Eb2MueG1sUEsBAhQACgAAAAAAh07iQAAAAAAAAAAAAAAAAAoAAAAAAAAAAAAQAAAAKwUA&#10;AGRycy9tZWRpYS9QSwECFAAUAAAACACHTuJA6CMBPnggAADuIQAAFQAAAAAAAAABACAAAABTBQAA&#10;ZHJzL21lZGlhL2ltYWdlMS5qcGVnUEsFBgAAAAAKAAoAUwIAAGYpAAAAAA==&#10;">
                <o:lock v:ext="edit" aspectratio="f"/>
                <v:shape id="TextBox 6" o:spid="_x0000_s1026" o:spt="202" type="#_x0000_t202" style="position:absolute;left:170105;top:2669540;height:386148;width:1250315;"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5"/>
                          <w:ind w:firstLine="0" w:firstLineChars="0"/>
                        </w:pPr>
                        <w:r>
                          <w:rPr>
                            <w:rFonts w:hint="eastAsia" w:asciiTheme="minorHAnsi" w:eastAsiaTheme="minorEastAsia" w:cstheme="minorBidi"/>
                            <w:color w:val="000000" w:themeColor="text1"/>
                            <w:kern w:val="24"/>
                            <w14:textFill>
                              <w14:solidFill>
                                <w14:schemeClr w14:val="tx1"/>
                              </w14:solidFill>
                            </w14:textFill>
                          </w:rPr>
                          <w:t>发送器</w:t>
                        </w:r>
                      </w:p>
                    </w:txbxContent>
                  </v:textbox>
                </v:shape>
                <v:shape id="TextBox 7" o:spid="_x0000_s1026" o:spt="202" type="#_x0000_t202" style="position:absolute;left:2006410;top:2618746;height:436942;width:1250315;"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5"/>
                          <w:ind w:firstLine="0" w:firstLineChars="0"/>
                        </w:pPr>
                        <w:r>
                          <w:rPr>
                            <w:rFonts w:hint="eastAsia" w:asciiTheme="minorHAnsi" w:eastAsiaTheme="minorEastAsia" w:cstheme="minorBidi"/>
                            <w:color w:val="000000" w:themeColor="text1"/>
                            <w:kern w:val="24"/>
                            <w14:textFill>
                              <w14:solidFill>
                                <w14:schemeClr w14:val="tx1"/>
                              </w14:solidFill>
                            </w14:textFill>
                          </w:rPr>
                          <w:t>接收器</w:t>
                        </w:r>
                      </w:p>
                    </w:txbxContent>
                  </v:textbox>
                </v:shape>
                <v:shape id="TextBox 8" o:spid="_x0000_s1026" o:spt="202" type="#_x0000_t202" style="position:absolute;left:3912625;top:2546053;height:509635;width:1051668;"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5"/>
                          <w:ind w:firstLine="0" w:firstLineChars="0"/>
                        </w:pPr>
                        <w:r>
                          <w:rPr>
                            <w:rFonts w:hint="eastAsia" w:asciiTheme="minorHAnsi" w:eastAsiaTheme="minorEastAsia" w:cstheme="minorBidi"/>
                            <w:color w:val="000000"/>
                            <w:kern w:val="24"/>
                          </w:rPr>
                          <w:t>衰耗盘</w:t>
                        </w:r>
                      </w:p>
                    </w:txbxContent>
                  </v:textbox>
                </v:shape>
                <v:shape id="_x0000_s1026" o:spid="_x0000_s1026" o:spt="75" alt="http://www.crsc.com.cn/Portals/0/BatchImagesThumb/2014/0704/635400786740522637.jpg" type="#_x0000_t75" style="position:absolute;left:3663578;top:792460;height:1505047;width:1233920;" filled="f" o:preferrelative="t" stroked="f" coordsize="21600,21600" o:gfxdata="UEsDBAoAAAAAAIdO4kAAAAAAAAAAAAAAAAAEAAAAZHJzL1BLAwQUAAAACACHTuJARZhfHb8AAADd&#10;AAAADwAAAGRycy9kb3ducmV2LnhtbEWPzWrDMBCE74G8g9hCb4nkBprgRvahYMipYNchPW6srW1q&#10;rYylOj9PXxUKPQ4z8w2zz692EDNNvnesIVkrEMSNMz23Gur3YrUD4QOywcExabiRhzxbLvaYGnfh&#10;kuYqtCJC2KeooQthTKX0TUcW/dqNxNH7dJPFEOXUSjPhJcLtIJ+UepYWe44LHY702lHzVX1bDW+7&#10;Es/2fD/WpqjGj16d7ClhrR8fEvUCItA1/If/2gejYaO2G/h9E5+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YXx2/&#10;AAAA3QAAAA8AAAAAAAAAAQAgAAAAIgAAAGRycy9kb3ducmV2LnhtbFBLAQIUABQAAAAIAIdO4kAz&#10;LwWeOwAAADkAAAAQAAAAAAAAAAEAIAAAAA4BAABkcnMvc2hhcGV4bWwueG1sUEsFBgAAAAAGAAYA&#10;WwEAALgDAAAAAA==&#10;">
                  <v:fill on="f" focussize="0,0"/>
                  <v:stroke on="f"/>
                  <v:imagedata r:id="rId32" o:title=""/>
                  <o:lock v:ext="edit" aspectratio="f"/>
                </v:shape>
                <w10:wrap type="none"/>
                <w10:anchorlock/>
              </v:group>
            </w:pict>
          </mc:Fallback>
        </mc:AlternateContent>
      </w:r>
    </w:p>
    <w:p>
      <w:pPr>
        <w:spacing w:line="560" w:lineRule="exact"/>
        <w:ind w:left="454" w:firstLine="0"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4.模拟网络盘</w:t>
      </w:r>
    </w:p>
    <w:p>
      <w:pPr>
        <w:spacing w:line="560" w:lineRule="exact"/>
        <w:ind w:left="141" w:right="78"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模拟一定长度电缆传输特性，与真实电缆共同构成一个固定极限长度，由0.5km、1km、2km、2km、4km共六节组成，通过串联连接，可以构成10km以内的间隔为0.5km的20种长度。使所有轨道电路不需要根据所在位置和运行方向改变配置。</w:t>
      </w:r>
    </w:p>
    <w:p>
      <w:pPr>
        <w:ind w:left="142" w:right="79" w:firstLine="6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114300" distR="114300">
            <wp:extent cx="1242060" cy="1514475"/>
            <wp:effectExtent l="0" t="0" r="0" b="9525"/>
            <wp:docPr id="22" name="图片 2" descr="微信图片_2018020809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微信图片_20180208093912"/>
                    <pic:cNvPicPr>
                      <a:picLocks noChangeAspect="1"/>
                    </pic:cNvPicPr>
                  </pic:nvPicPr>
                  <pic:blipFill>
                    <a:blip r:embed="rId33"/>
                    <a:stretch>
                      <a:fillRect/>
                    </a:stretch>
                  </pic:blipFill>
                  <pic:spPr>
                    <a:xfrm>
                      <a:off x="0" y="0"/>
                      <a:ext cx="1243783" cy="1516921"/>
                    </a:xfrm>
                    <a:prstGeom prst="rect">
                      <a:avLst/>
                    </a:prstGeom>
                  </pic:spPr>
                </pic:pic>
              </a:graphicData>
            </a:graphic>
          </wp:inline>
        </w:drawing>
      </w:r>
    </w:p>
    <w:p>
      <w:pPr>
        <w:spacing w:line="560" w:lineRule="exact"/>
        <w:ind w:left="454" w:firstLine="0"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5.继电器</w:t>
      </w:r>
    </w:p>
    <w:p>
      <w:pPr>
        <w:spacing w:line="560" w:lineRule="exact"/>
        <w:ind w:left="141" w:right="78"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轨道继电器。表示轨道占压状态。</w:t>
      </w:r>
    </w:p>
    <w:p>
      <w:pPr>
        <w:spacing w:line="560" w:lineRule="exact"/>
        <w:ind w:left="141" w:right="78"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方向继电器。表示轨道方向，由列控中心系统控制。</w:t>
      </w:r>
    </w:p>
    <w:p>
      <w:pPr>
        <w:ind w:left="142" w:right="79" w:firstLine="6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0" distR="0">
            <wp:extent cx="1059180" cy="1124585"/>
            <wp:effectExtent l="0" t="0" r="762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4"/>
                    <a:stretch>
                      <a:fillRect/>
                    </a:stretch>
                  </pic:blipFill>
                  <pic:spPr>
                    <a:xfrm>
                      <a:off x="0" y="0"/>
                      <a:ext cx="1059180" cy="1124585"/>
                    </a:xfrm>
                    <a:prstGeom prst="rect">
                      <a:avLst/>
                    </a:prstGeom>
                  </pic:spPr>
                </pic:pic>
              </a:graphicData>
            </a:graphic>
          </wp:inline>
        </w:drawing>
      </w:r>
    </w:p>
    <w:p>
      <w:pPr>
        <w:spacing w:line="560" w:lineRule="exact"/>
        <w:ind w:left="454" w:firstLine="0" w:firstLineChars="0"/>
        <w:rPr>
          <w:rFonts w:ascii="仿宋_GB2312" w:hAnsi="仿宋_GB2312" w:eastAsia="仿宋_GB2312" w:cs="仿宋_GB2312"/>
          <w:sz w:val="30"/>
          <w:szCs w:val="30"/>
        </w:rPr>
      </w:pPr>
      <w:r>
        <w:rPr>
          <w:rFonts w:hint="eastAsia" w:ascii="仿宋_GB2312" w:hAnsi="仿宋_GB2312" w:eastAsia="仿宋_GB2312" w:cs="仿宋_GB2312"/>
          <w:sz w:val="30"/>
          <w:szCs w:val="30"/>
        </w:rPr>
        <w:t>6.轨道交通信号控制系统操作终端</w:t>
      </w:r>
    </w:p>
    <w:p>
      <w:pPr>
        <w:spacing w:line="560" w:lineRule="exact"/>
        <w:ind w:left="141" w:right="78"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轨道交通信号控制系统操作终端完成对列控中心输入数据的修改、列控中心相关指令的拟定、系统故障的设计与恢复等。实现列控中心状态显示，逻辑处理结果显示，可在操作终端上模拟轨道占用，信号故障等各类影响列控逻辑的操作。</w:t>
      </w:r>
    </w:p>
    <w:p>
      <w:pPr>
        <w:spacing w:before="156" w:line="560" w:lineRule="exact"/>
        <w:ind w:firstLine="600"/>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本系统（实训平台）适用教材</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本系统可适用十二五”国家重点出版物出版规划项目“高速铁路列车运行控制技术”的课程：李文涛主编的《高速铁路列车运行控制技术---ZPW-2000系列无绝缘轨道电路系统》课程。李凯主编的《高速铁路列车运行控制技术---CTCS-2级列车运行控制系统》</w:t>
      </w:r>
    </w:p>
    <w:p>
      <w:pPr>
        <w:ind w:firstLine="600"/>
        <w:jc w:val="center"/>
        <w:rPr>
          <w:rFonts w:ascii="仿宋_GB2312" w:hAnsi="仿宋_GB2312" w:eastAsia="仿宋_GB2312" w:cs="仿宋_GB2312"/>
          <w:sz w:val="30"/>
          <w:szCs w:val="30"/>
        </w:rPr>
      </w:pPr>
      <w:r>
        <w:rPr>
          <w:rFonts w:hint="eastAsia" w:ascii="仿宋_GB2312" w:hAnsi="仿宋_GB2312" w:eastAsia="仿宋_GB2312" w:cs="仿宋_GB2312"/>
          <w:sz w:val="30"/>
          <w:szCs w:val="30"/>
        </w:rPr>
        <w:drawing>
          <wp:inline distT="0" distB="0" distL="0" distR="0">
            <wp:extent cx="1487805" cy="2087880"/>
            <wp:effectExtent l="0" t="0" r="1714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1487961" cy="2088000"/>
                    </a:xfrm>
                    <a:prstGeom prst="rect">
                      <a:avLst/>
                    </a:prstGeom>
                  </pic:spPr>
                </pic:pic>
              </a:graphicData>
            </a:graphic>
          </wp:inline>
        </w:drawing>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drawing>
          <wp:inline distT="0" distB="0" distL="0" distR="0">
            <wp:extent cx="1508125" cy="2087880"/>
            <wp:effectExtent l="0" t="0" r="1587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08329" cy="2088000"/>
                    </a:xfrm>
                    <a:prstGeom prst="rect">
                      <a:avLst/>
                    </a:prstGeom>
                    <a:noFill/>
                    <a:ln>
                      <a:noFill/>
                    </a:ln>
                  </pic:spPr>
                </pic:pic>
              </a:graphicData>
            </a:graphic>
          </wp:inline>
        </w:drawing>
      </w:r>
    </w:p>
    <w:p>
      <w:pPr>
        <w:pStyle w:val="3"/>
        <w:spacing w:before="163" w:line="560" w:lineRule="exact"/>
        <w:ind w:left="425"/>
        <w:rPr>
          <w:rFonts w:ascii="仿宋_GB2312" w:hAnsi="仿宋_GB2312" w:eastAsia="仿宋_GB2312" w:cs="仿宋_GB2312"/>
        </w:rPr>
      </w:pPr>
      <w:bookmarkStart w:id="76" w:name="_Toc22590"/>
      <w:r>
        <w:rPr>
          <w:rFonts w:hint="eastAsia" w:ascii="仿宋_GB2312" w:hAnsi="仿宋_GB2312" w:eastAsia="仿宋_GB2312" w:cs="仿宋_GB2312"/>
        </w:rPr>
        <w:t>建议使用的场地要求</w:t>
      </w:r>
      <w:bookmarkEnd w:id="75"/>
      <w:bookmarkEnd w:id="76"/>
    </w:p>
    <w:p>
      <w:pPr>
        <w:spacing w:before="156"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竞赛现场分区：竞赛现场设置场内竞赛区、设备保障区、生活供给区，垃圾回收区、医疗站等。</w:t>
      </w:r>
    </w:p>
    <w:p>
      <w:pPr>
        <w:pStyle w:val="53"/>
        <w:ind w:firstLine="600"/>
        <w:jc w:val="center"/>
        <w:rPr>
          <w:rFonts w:ascii="仿宋_GB2312" w:hAnsi="仿宋_GB2312" w:eastAsia="仿宋_GB2312" w:cs="仿宋_GB2312"/>
          <w:sz w:val="30"/>
          <w:szCs w:val="30"/>
        </w:rPr>
      </w:pPr>
      <w:r>
        <w:rPr>
          <w:rFonts w:hint="eastAsia" w:ascii="仿宋_GB2312" w:hAnsi="仿宋_GB2312" w:eastAsia="仿宋_GB2312" w:cs="仿宋_GB2312"/>
          <w:b/>
          <w:bCs/>
          <w:sz w:val="30"/>
          <w:szCs w:val="30"/>
        </w:rPr>
        <w:drawing>
          <wp:inline distT="0" distB="0" distL="114300" distR="114300">
            <wp:extent cx="4455160" cy="3306445"/>
            <wp:effectExtent l="0" t="0" r="2540" b="8255"/>
            <wp:docPr id="36" name="图片 36" descr="1533549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33549372(1)"/>
                    <pic:cNvPicPr>
                      <a:picLocks noChangeAspect="1"/>
                    </pic:cNvPicPr>
                  </pic:nvPicPr>
                  <pic:blipFill>
                    <a:blip r:embed="rId37"/>
                    <a:stretch>
                      <a:fillRect/>
                    </a:stretch>
                  </pic:blipFill>
                  <pic:spPr>
                    <a:xfrm>
                      <a:off x="0" y="0"/>
                      <a:ext cx="4455160" cy="3306445"/>
                    </a:xfrm>
                    <a:prstGeom prst="rect">
                      <a:avLst/>
                    </a:prstGeom>
                  </pic:spPr>
                </pic:pic>
              </a:graphicData>
            </a:graphic>
          </wp:inline>
        </w:drawing>
      </w:r>
    </w:p>
    <w:p>
      <w:pPr>
        <w:snapToGrid w:val="0"/>
        <w:spacing w:line="560" w:lineRule="exact"/>
        <w:ind w:firstLine="482"/>
        <w:jc w:val="center"/>
        <w:rPr>
          <w:rFonts w:ascii="仿宋_GB2312" w:hAnsi="仿宋_GB2312" w:eastAsia="仿宋_GB2312" w:cs="仿宋_GB2312"/>
          <w:sz w:val="30"/>
          <w:szCs w:val="30"/>
        </w:rPr>
      </w:pPr>
      <w:r>
        <w:rPr>
          <w:rFonts w:hint="eastAsia" w:ascii="宋体" w:hAnsi="宋体" w:cs="宋体"/>
          <w:b/>
          <w:bCs/>
        </w:rPr>
        <w:t>竞赛现场布局示意图</w:t>
      </w:r>
    </w:p>
    <w:p>
      <w:pPr>
        <w:pStyle w:val="53"/>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竞赛场地应为地面平整、明亮、通风的室内场地。</w:t>
      </w:r>
    </w:p>
    <w:p>
      <w:pPr>
        <w:pStyle w:val="42"/>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每个竞赛工位分区供电，强电弱电分开布线，现场临时用电规格需满足《施工现场临时用电安全技术规范》JGJ46-2005的要求。每个竞赛工位应能够提供独立的电源，实际运行时峰值电流大约2.5A。每个竞赛工位的保护开关可以选交流电250V/10A，且含安全的接地保护。</w:t>
      </w:r>
    </w:p>
    <w:p>
      <w:pPr>
        <w:pStyle w:val="42"/>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竞赛工位面积：每个赛位占地面积3.5m*3.5m。竞赛场地初步按照可容纳90支队伍的规模设计，并视最终报名情况，及时调整场地布置工位与工位间距大于1m。</w:t>
      </w:r>
    </w:p>
    <w:p>
      <w:pPr>
        <w:snapToGrid w:val="0"/>
        <w:spacing w:line="560" w:lineRule="exact"/>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消防：符合消防安全规定，现场消防器材和消防栓合格有效，应急照明设施状态合格，赛场明显位置张贴紧急疏散图。</w:t>
      </w:r>
    </w:p>
    <w:p>
      <w:pPr>
        <w:pStyle w:val="2"/>
        <w:spacing w:line="560" w:lineRule="exact"/>
        <w:rPr>
          <w:rFonts w:ascii="黑体" w:hAnsi="黑体" w:eastAsia="黑体" w:cs="黑体"/>
          <w:b w:val="0"/>
          <w:bCs w:val="0"/>
          <w:sz w:val="30"/>
          <w:szCs w:val="30"/>
        </w:rPr>
      </w:pPr>
      <w:bookmarkStart w:id="77" w:name="_Toc491101546"/>
      <w:bookmarkStart w:id="78" w:name="_Toc11630"/>
      <w:r>
        <w:rPr>
          <w:rFonts w:hint="eastAsia" w:ascii="黑体" w:hAnsi="黑体" w:eastAsia="黑体" w:cs="黑体"/>
          <w:b w:val="0"/>
          <w:bCs w:val="0"/>
          <w:sz w:val="30"/>
          <w:szCs w:val="30"/>
        </w:rPr>
        <w:t>安全保障</w:t>
      </w:r>
      <w:bookmarkEnd w:id="77"/>
      <w:bookmarkEnd w:id="78"/>
    </w:p>
    <w:p>
      <w:pPr>
        <w:pStyle w:val="3"/>
        <w:spacing w:before="163" w:line="560" w:lineRule="exact"/>
        <w:rPr>
          <w:rFonts w:ascii="仿宋_GB2312" w:hAnsi="仿宋_GB2312" w:eastAsia="仿宋_GB2312" w:cs="仿宋_GB2312"/>
        </w:rPr>
      </w:pPr>
      <w:bookmarkStart w:id="79" w:name="_Toc491101547"/>
      <w:bookmarkStart w:id="80" w:name="_Toc9753"/>
      <w:r>
        <w:rPr>
          <w:rFonts w:hint="eastAsia" w:ascii="仿宋_GB2312" w:hAnsi="仿宋_GB2312" w:eastAsia="仿宋_GB2312" w:cs="仿宋_GB2312"/>
        </w:rPr>
        <w:t>安全操作要求</w:t>
      </w:r>
      <w:bookmarkEnd w:id="79"/>
      <w:bookmarkEnd w:id="80"/>
    </w:p>
    <w:p>
      <w:pPr>
        <w:pStyle w:val="25"/>
        <w:spacing w:line="560" w:lineRule="exact"/>
        <w:ind w:firstLine="450" w:firstLineChars="150"/>
        <w:rPr>
          <w:rFonts w:ascii="仿宋_GB2312" w:hAnsi="仿宋_GB2312" w:eastAsia="仿宋_GB2312" w:cs="仿宋_GB2312"/>
          <w:kern w:val="2"/>
          <w:sz w:val="30"/>
          <w:szCs w:val="30"/>
        </w:rPr>
      </w:pPr>
      <w:r>
        <w:rPr>
          <w:rFonts w:hint="eastAsia" w:ascii="仿宋_GB2312" w:hAnsi="仿宋_GB2312" w:eastAsia="仿宋_GB2312" w:cs="仿宋_GB2312"/>
          <w:kern w:val="2"/>
          <w:sz w:val="30"/>
          <w:szCs w:val="30"/>
        </w:rPr>
        <w:t>1.参赛选手进入赛场比赛，必须穿带符合安全要求的服装，不得穿背心、短裤和拖鞋。</w:t>
      </w:r>
    </w:p>
    <w:p>
      <w:pPr>
        <w:pStyle w:val="25"/>
        <w:spacing w:line="560" w:lineRule="exact"/>
        <w:ind w:firstLine="450" w:firstLineChars="150"/>
        <w:rPr>
          <w:rFonts w:ascii="仿宋_GB2312" w:hAnsi="仿宋_GB2312" w:eastAsia="仿宋_GB2312" w:cs="仿宋_GB2312"/>
          <w:kern w:val="2"/>
          <w:sz w:val="30"/>
          <w:szCs w:val="30"/>
        </w:rPr>
      </w:pPr>
      <w:r>
        <w:rPr>
          <w:rFonts w:hint="eastAsia" w:ascii="仿宋_GB2312" w:hAnsi="仿宋_GB2312" w:eastAsia="仿宋_GB2312" w:cs="仿宋_GB2312"/>
          <w:kern w:val="2"/>
          <w:sz w:val="30"/>
          <w:szCs w:val="30"/>
        </w:rPr>
        <w:t>2.赛场设备是依照赛项要求安放，在确保安全的基础上，满足赛项的可操作性。参赛选手不得擅自移动、调换和更换。</w:t>
      </w:r>
    </w:p>
    <w:p>
      <w:pPr>
        <w:pStyle w:val="25"/>
        <w:spacing w:line="560" w:lineRule="exact"/>
        <w:ind w:firstLine="450" w:firstLineChars="150"/>
        <w:rPr>
          <w:rFonts w:ascii="仿宋_GB2312" w:hAnsi="仿宋_GB2312" w:eastAsia="仿宋_GB2312" w:cs="仿宋_GB2312"/>
          <w:kern w:val="2"/>
          <w:sz w:val="30"/>
          <w:szCs w:val="30"/>
        </w:rPr>
      </w:pPr>
      <w:r>
        <w:rPr>
          <w:rFonts w:hint="eastAsia" w:ascii="仿宋_GB2312" w:hAnsi="仿宋_GB2312" w:eastAsia="仿宋_GB2312" w:cs="仿宋_GB2312"/>
          <w:kern w:val="2"/>
          <w:sz w:val="30"/>
          <w:szCs w:val="30"/>
        </w:rPr>
        <w:t>3.严格遵守操作规程，不得擅自开启电源，不得带电操作，以免造成伤害和事故。</w:t>
      </w:r>
    </w:p>
    <w:p>
      <w:pPr>
        <w:pStyle w:val="25"/>
        <w:spacing w:line="560" w:lineRule="exact"/>
        <w:ind w:firstLine="450" w:firstLineChars="150"/>
        <w:rPr>
          <w:rFonts w:ascii="仿宋_GB2312" w:hAnsi="仿宋_GB2312" w:eastAsia="仿宋_GB2312" w:cs="仿宋_GB2312"/>
          <w:kern w:val="2"/>
          <w:sz w:val="30"/>
          <w:szCs w:val="30"/>
        </w:rPr>
      </w:pPr>
      <w:r>
        <w:rPr>
          <w:rFonts w:hint="eastAsia" w:ascii="仿宋_GB2312" w:hAnsi="仿宋_GB2312" w:eastAsia="仿宋_GB2312" w:cs="仿宋_GB2312"/>
          <w:kern w:val="2"/>
          <w:sz w:val="30"/>
          <w:szCs w:val="30"/>
        </w:rPr>
        <w:t>4.通电检查发现电路需改接时，必须先切断电源，后进行电路的拆除与连接。</w:t>
      </w:r>
    </w:p>
    <w:p>
      <w:pPr>
        <w:pStyle w:val="25"/>
        <w:spacing w:line="560" w:lineRule="exact"/>
        <w:ind w:firstLine="450" w:firstLineChars="150"/>
        <w:rPr>
          <w:rFonts w:ascii="仿宋_GB2312" w:hAnsi="仿宋_GB2312" w:eastAsia="仿宋_GB2312" w:cs="仿宋_GB2312"/>
          <w:kern w:val="2"/>
          <w:sz w:val="30"/>
          <w:szCs w:val="30"/>
        </w:rPr>
      </w:pPr>
      <w:r>
        <w:rPr>
          <w:rFonts w:hint="eastAsia" w:ascii="仿宋_GB2312" w:hAnsi="仿宋_GB2312" w:eastAsia="仿宋_GB2312" w:cs="仿宋_GB2312"/>
          <w:kern w:val="2"/>
          <w:sz w:val="30"/>
          <w:szCs w:val="30"/>
        </w:rPr>
        <w:t>5.有可能造成意外带电的机械部件、电器元件的金属外壳等都必须接地，赛场提供的黄、绿双色绝缘导线，只做接地线。</w:t>
      </w:r>
    </w:p>
    <w:p>
      <w:pPr>
        <w:pStyle w:val="25"/>
        <w:spacing w:line="560" w:lineRule="exact"/>
        <w:ind w:firstLine="450" w:firstLineChars="150"/>
        <w:rPr>
          <w:rFonts w:ascii="仿宋_GB2312" w:hAnsi="仿宋_GB2312" w:eastAsia="仿宋_GB2312" w:cs="仿宋_GB2312"/>
          <w:kern w:val="2"/>
          <w:sz w:val="30"/>
          <w:szCs w:val="30"/>
        </w:rPr>
      </w:pPr>
      <w:r>
        <w:rPr>
          <w:rFonts w:hint="eastAsia" w:ascii="仿宋_GB2312" w:hAnsi="仿宋_GB2312" w:eastAsia="仿宋_GB2312" w:cs="仿宋_GB2312"/>
          <w:kern w:val="2"/>
          <w:sz w:val="30"/>
          <w:szCs w:val="30"/>
        </w:rPr>
        <w:t>6.在电子装接过程中，使用电烙铁时，必须对电源线、插头、手柄等部分进行安全检查，发现局部损坏或松动，必须立即进行更换。工作时电烙铁应放在电烙铁架上，并置于工作台的右前方。</w:t>
      </w:r>
    </w:p>
    <w:p>
      <w:pPr>
        <w:pStyle w:val="25"/>
        <w:spacing w:line="560" w:lineRule="exact"/>
        <w:ind w:firstLine="450" w:firstLineChars="150"/>
        <w:rPr>
          <w:rFonts w:ascii="仿宋_GB2312" w:hAnsi="仿宋_GB2312" w:eastAsia="仿宋_GB2312" w:cs="仿宋_GB2312"/>
          <w:kern w:val="2"/>
          <w:sz w:val="30"/>
          <w:szCs w:val="30"/>
        </w:rPr>
      </w:pPr>
      <w:r>
        <w:rPr>
          <w:rFonts w:hint="eastAsia" w:ascii="仿宋_GB2312" w:hAnsi="仿宋_GB2312" w:eastAsia="仿宋_GB2312" w:cs="仿宋_GB2312"/>
          <w:kern w:val="2"/>
          <w:sz w:val="30"/>
          <w:szCs w:val="30"/>
        </w:rPr>
        <w:t>7.比赛结束，参赛选手必须首先关闭电源，清洁桌面，扫除垃圾，整理工作现场，所有移动过的仪器、设备都必须恢复原状。参赛选手与裁判办理终结手续后，方可离场。</w:t>
      </w:r>
    </w:p>
    <w:p>
      <w:pPr>
        <w:pStyle w:val="25"/>
        <w:spacing w:line="560" w:lineRule="exact"/>
        <w:ind w:firstLine="450" w:firstLineChars="150"/>
        <w:rPr>
          <w:rFonts w:ascii="仿宋_GB2312" w:hAnsi="仿宋_GB2312" w:eastAsia="仿宋_GB2312" w:cs="仿宋_GB2312"/>
          <w:kern w:val="2"/>
          <w:sz w:val="30"/>
          <w:szCs w:val="30"/>
        </w:rPr>
      </w:pPr>
      <w:r>
        <w:rPr>
          <w:rFonts w:hint="eastAsia" w:ascii="仿宋_GB2312" w:hAnsi="仿宋_GB2312" w:eastAsia="仿宋_GB2312" w:cs="仿宋_GB2312"/>
          <w:kern w:val="2"/>
          <w:sz w:val="30"/>
          <w:szCs w:val="30"/>
        </w:rPr>
        <w:t>8.参赛选手应爱护比赛场所的仪器和设备，操作仪器和设备时，应按规定的操作程序谨慎操作。操作中若违反安全操作规定导致发生较严重的安全事故，将立即取消比赛资格。</w:t>
      </w:r>
    </w:p>
    <w:p>
      <w:pPr>
        <w:pStyle w:val="25"/>
        <w:spacing w:line="560" w:lineRule="exact"/>
        <w:ind w:firstLine="450" w:firstLineChars="150"/>
        <w:rPr>
          <w:rFonts w:ascii="仿宋_GB2312" w:hAnsi="仿宋_GB2312" w:eastAsia="仿宋_GB2312" w:cs="仿宋_GB2312"/>
          <w:kern w:val="2"/>
          <w:sz w:val="30"/>
          <w:szCs w:val="30"/>
        </w:rPr>
      </w:pPr>
      <w:r>
        <w:rPr>
          <w:rFonts w:ascii="仿宋_GB2312" w:hAnsi="仿宋_GB2312" w:eastAsia="仿宋_GB2312" w:cs="仿宋_GB2312"/>
          <w:kern w:val="2"/>
          <w:sz w:val="30"/>
          <w:szCs w:val="30"/>
        </w:rPr>
        <w:t>9</w:t>
      </w:r>
      <w:r>
        <w:rPr>
          <w:rFonts w:hint="eastAsia" w:ascii="仿宋_GB2312" w:hAnsi="仿宋_GB2312" w:eastAsia="仿宋_GB2312" w:cs="仿宋_GB2312"/>
          <w:kern w:val="2"/>
          <w:sz w:val="30"/>
          <w:szCs w:val="30"/>
        </w:rPr>
        <w:t>.参赛选手接线时必须戴绝缘手套，焊接时必须戴防静电手环，加强安全防护，确保安全。</w:t>
      </w:r>
    </w:p>
    <w:p>
      <w:pPr>
        <w:pStyle w:val="3"/>
        <w:spacing w:before="163" w:line="560" w:lineRule="exact"/>
        <w:rPr>
          <w:rFonts w:ascii="仿宋_GB2312" w:hAnsi="仿宋_GB2312" w:eastAsia="仿宋_GB2312" w:cs="仿宋_GB2312"/>
        </w:rPr>
      </w:pPr>
      <w:bookmarkStart w:id="81" w:name="_Toc491101548"/>
      <w:bookmarkStart w:id="82" w:name="_Toc13909"/>
      <w:r>
        <w:rPr>
          <w:rFonts w:hint="eastAsia" w:ascii="仿宋_GB2312" w:hAnsi="仿宋_GB2312" w:eastAsia="仿宋_GB2312" w:cs="仿宋_GB2312"/>
        </w:rPr>
        <w:t>比赛及赛场安全保障措施</w:t>
      </w:r>
      <w:bookmarkEnd w:id="81"/>
      <w:bookmarkEnd w:id="82"/>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1.成立相应的安全管理机构负责本赛项筹备和比赛期间的各项安全工作，赛项执委会主任为第一责任人；</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2.制定安全管理的相应规范、流程和突发事件应急预案，保证比赛筹备和实施工作全过程的安全；赛区工位明显位置张贴安全操作须知，列明危险源及安全操作规程和防范措施；</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3.比赛内容涉及的器材、设备应符合国家有关安全规定，并预留有10%的备赛工位和20%的耗材和设备；</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4.赛项执委会在赛前对本赛项全体赛项支持保障人员、裁判员、工作人员进行安全培训，赛项支持保障人员在赛前进行消防安全演练，确保紧急情况下，现场参赛选手和专家紧急撤离，并及时切断配电箱电源开关，保障人员需扑救初期火灾，需掌握初步的人员救护技能；</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5.赛项执委会制定专门方案保证比赛命题、赛题加密、赛题发布、回收和评判过程的安全；</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6.赛项执委会在赛前组织专人对比赛现场、住宿场所和交通保障进行考察，并对安全工作提出明确要求。赛场的布置，赛场内的器材、设备，应符合国家有关安全规定；</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7.赛场周围设立警戒线，防止无关人员进入，发生意外事件。比赛现场内参照相关职业岗位的要求为选手提供必要的劳动保护和医务服务；</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8.承办院校 应提供保障应急预案实施的条件，明确制度和预案，并配备急救人员与设施；除必要的安全隔离措施外，赛项安全应严格遵守国家相关法律法规，保护个人隐私和人身自由；</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9.赛项执委会会同承办院校制定开放赛场和体验区的人员疏导方案。赛场环境中存在人员密集、车流人流交错的区域，除了设置齐全的指示标志外，增加引导人员，并开辟备用通道；</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10.大赛期间，赛项承办院校在赛场管理的关键岗位，增加力量，建立安全管理日志；</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11.比赛期间承办校所安排的住宿地应具有宾馆、住宿经营许可资质，保证住宿、卫生、饮食安全，承办院校须尊重少数民族参赛人员的宗教信仰及文化习俗，根据国家相关的民族、宗教政策，安排好少数民族参赛选手和教师的饮食起居；</w:t>
      </w:r>
    </w:p>
    <w:p>
      <w:pPr>
        <w:pStyle w:val="42"/>
        <w:spacing w:line="56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12.比赛期间发生意外事故时，应采取措施，避免事态扩大，赛场、展示区、体验区的现场布置和现场使用时，全域全程禁烟。</w:t>
      </w:r>
    </w:p>
    <w:p>
      <w:pPr>
        <w:pStyle w:val="2"/>
        <w:spacing w:line="560" w:lineRule="exact"/>
        <w:rPr>
          <w:rFonts w:ascii="黑体" w:hAnsi="黑体" w:eastAsia="黑体" w:cs="黑体"/>
          <w:b w:val="0"/>
          <w:bCs w:val="0"/>
          <w:sz w:val="30"/>
          <w:szCs w:val="30"/>
        </w:rPr>
      </w:pPr>
      <w:bookmarkStart w:id="83" w:name="_Toc491101549"/>
      <w:bookmarkStart w:id="84" w:name="_Toc11803"/>
      <w:r>
        <w:rPr>
          <w:rFonts w:hint="eastAsia" w:ascii="黑体" w:hAnsi="黑体" w:eastAsia="黑体" w:cs="黑体"/>
          <w:b w:val="0"/>
          <w:bCs w:val="0"/>
          <w:sz w:val="30"/>
          <w:szCs w:val="30"/>
        </w:rPr>
        <w:t>经费概算</w:t>
      </w:r>
      <w:bookmarkEnd w:id="83"/>
      <w:bookmarkEnd w:id="84"/>
    </w:p>
    <w:p>
      <w:pPr>
        <w:spacing w:line="560" w:lineRule="exact"/>
        <w:ind w:firstLine="600"/>
        <w:rPr>
          <w:rFonts w:ascii="仿宋_GB2312" w:hAnsi="仿宋_GB2312" w:eastAsia="仿宋_GB2312" w:cs="仿宋_GB2312"/>
          <w:sz w:val="30"/>
          <w:szCs w:val="30"/>
        </w:rPr>
      </w:pPr>
      <w:r>
        <w:rPr>
          <w:rFonts w:ascii="仿宋_GB2312" w:hAnsi="仿宋_GB2312" w:eastAsia="仿宋_GB2312" w:cs="仿宋_GB2312"/>
          <w:sz w:val="30"/>
          <w:szCs w:val="30"/>
        </w:rPr>
        <w:t>参照《全国职业院校技能大赛赛项经费管理规定》的有关要求，制定赛项经费预算。</w:t>
      </w:r>
      <w:r>
        <w:rPr>
          <w:rFonts w:hint="eastAsia" w:ascii="仿宋_GB2312" w:hAnsi="仿宋_GB2312" w:eastAsia="仿宋_GB2312" w:cs="仿宋_GB2312"/>
          <w:sz w:val="30"/>
          <w:szCs w:val="30"/>
        </w:rPr>
        <w:t>经费由大赛组委会统筹管理。</w:t>
      </w:r>
    </w:p>
    <w:p/>
    <w:tbl>
      <w:tblPr>
        <w:tblStyle w:val="32"/>
        <w:tblW w:w="8897"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2427"/>
        <w:gridCol w:w="1361"/>
        <w:gridCol w:w="4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right"/>
        </w:trPr>
        <w:tc>
          <w:tcPr>
            <w:tcW w:w="807" w:type="dxa"/>
            <w:shd w:val="clear" w:color="auto" w:fill="auto"/>
            <w:vAlign w:val="center"/>
          </w:tcPr>
          <w:p>
            <w:pPr>
              <w:ind w:firstLine="0" w:firstLineChars="0"/>
              <w:jc w:val="center"/>
              <w:rPr>
                <w:rFonts w:ascii="宋体" w:hAnsi="宋体" w:cs="宋体"/>
                <w:b/>
                <w:bCs/>
              </w:rPr>
            </w:pPr>
            <w:r>
              <w:rPr>
                <w:rFonts w:hint="eastAsia" w:ascii="宋体" w:hAnsi="宋体" w:cs="宋体"/>
                <w:b/>
                <w:bCs/>
              </w:rPr>
              <w:t>序号</w:t>
            </w:r>
          </w:p>
        </w:tc>
        <w:tc>
          <w:tcPr>
            <w:tcW w:w="2427" w:type="dxa"/>
            <w:shd w:val="clear" w:color="auto" w:fill="auto"/>
            <w:vAlign w:val="center"/>
          </w:tcPr>
          <w:p>
            <w:pPr>
              <w:ind w:firstLine="0" w:firstLineChars="0"/>
              <w:jc w:val="center"/>
              <w:rPr>
                <w:rFonts w:ascii="宋体" w:hAnsi="宋体" w:cs="宋体"/>
                <w:b/>
                <w:bCs/>
              </w:rPr>
            </w:pPr>
            <w:r>
              <w:rPr>
                <w:rFonts w:hint="eastAsia" w:ascii="宋体" w:hAnsi="宋体" w:cs="宋体"/>
                <w:b/>
                <w:bCs/>
              </w:rPr>
              <w:t>项目阶段</w:t>
            </w:r>
          </w:p>
        </w:tc>
        <w:tc>
          <w:tcPr>
            <w:tcW w:w="1361" w:type="dxa"/>
            <w:shd w:val="clear" w:color="auto" w:fill="auto"/>
            <w:vAlign w:val="center"/>
          </w:tcPr>
          <w:p>
            <w:pPr>
              <w:ind w:firstLine="0" w:firstLineChars="0"/>
              <w:jc w:val="center"/>
              <w:rPr>
                <w:rFonts w:ascii="宋体" w:hAnsi="宋体" w:cs="宋体"/>
                <w:b/>
                <w:bCs/>
              </w:rPr>
            </w:pPr>
            <w:r>
              <w:rPr>
                <w:rFonts w:hint="eastAsia" w:ascii="宋体" w:hAnsi="宋体" w:cs="宋体"/>
                <w:b/>
                <w:bCs/>
              </w:rPr>
              <w:t>费用（万元）</w:t>
            </w:r>
          </w:p>
        </w:tc>
        <w:tc>
          <w:tcPr>
            <w:tcW w:w="4302" w:type="dxa"/>
            <w:shd w:val="clear" w:color="auto" w:fill="auto"/>
            <w:vAlign w:val="center"/>
          </w:tcPr>
          <w:p>
            <w:pPr>
              <w:ind w:firstLine="0" w:firstLineChars="0"/>
              <w:jc w:val="center"/>
              <w:rPr>
                <w:rFonts w:ascii="宋体" w:hAnsi="宋体" w:cs="宋体"/>
                <w:b/>
                <w:bCs/>
              </w:rPr>
            </w:pPr>
            <w:r>
              <w:rPr>
                <w:rFonts w:hint="eastAsia" w:ascii="宋体" w:hAnsi="宋体" w:cs="宋体"/>
                <w:b/>
                <w:bCs/>
              </w:rPr>
              <w:t>资金用途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right"/>
        </w:trPr>
        <w:tc>
          <w:tcPr>
            <w:tcW w:w="807" w:type="dxa"/>
            <w:shd w:val="clear" w:color="auto" w:fill="auto"/>
            <w:vAlign w:val="center"/>
          </w:tcPr>
          <w:p>
            <w:pPr>
              <w:ind w:firstLine="0" w:firstLineChars="0"/>
              <w:jc w:val="center"/>
              <w:rPr>
                <w:rFonts w:ascii="宋体" w:hAnsi="宋体" w:cs="宋体"/>
                <w:bCs/>
              </w:rPr>
            </w:pPr>
            <w:r>
              <w:rPr>
                <w:rFonts w:hint="eastAsia" w:ascii="宋体" w:hAnsi="宋体" w:cs="宋体"/>
                <w:bCs/>
              </w:rPr>
              <w:t>1</w:t>
            </w:r>
          </w:p>
        </w:tc>
        <w:tc>
          <w:tcPr>
            <w:tcW w:w="2427" w:type="dxa"/>
            <w:shd w:val="clear" w:color="auto" w:fill="auto"/>
            <w:vAlign w:val="center"/>
          </w:tcPr>
          <w:p>
            <w:pPr>
              <w:ind w:firstLine="0" w:firstLineChars="0"/>
              <w:jc w:val="center"/>
              <w:rPr>
                <w:rFonts w:ascii="宋体" w:hAnsi="宋体" w:cs="宋体"/>
                <w:bCs/>
              </w:rPr>
            </w:pPr>
            <w:r>
              <w:rPr>
                <w:rFonts w:hint="eastAsia" w:ascii="宋体" w:hAnsi="宋体" w:cs="宋体"/>
                <w:bCs/>
              </w:rPr>
              <w:t>赛项方案论证   赛题开发及培训</w:t>
            </w:r>
          </w:p>
        </w:tc>
        <w:tc>
          <w:tcPr>
            <w:tcW w:w="1361" w:type="dxa"/>
            <w:shd w:val="clear" w:color="auto" w:fill="auto"/>
            <w:vAlign w:val="center"/>
          </w:tcPr>
          <w:p>
            <w:pPr>
              <w:ind w:firstLine="0" w:firstLineChars="0"/>
              <w:jc w:val="center"/>
              <w:rPr>
                <w:rFonts w:ascii="宋体" w:hAnsi="宋体" w:cs="宋体"/>
                <w:bCs/>
              </w:rPr>
            </w:pPr>
            <w:r>
              <w:rPr>
                <w:rFonts w:hint="eastAsia" w:ascii="宋体" w:hAnsi="宋体" w:cs="宋体"/>
                <w:bCs/>
              </w:rPr>
              <w:t>6</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高职院校调研，专家论证会议，用餐，住宿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6" w:hRule="atLeast"/>
          <w:jc w:val="right"/>
        </w:trPr>
        <w:tc>
          <w:tcPr>
            <w:tcW w:w="807" w:type="dxa"/>
            <w:vMerge w:val="restart"/>
            <w:shd w:val="clear" w:color="auto" w:fill="auto"/>
            <w:vAlign w:val="center"/>
          </w:tcPr>
          <w:p>
            <w:pPr>
              <w:ind w:firstLine="0" w:firstLineChars="0"/>
              <w:jc w:val="center"/>
              <w:rPr>
                <w:rFonts w:ascii="宋体" w:hAnsi="宋体" w:cs="宋体"/>
                <w:bCs/>
              </w:rPr>
            </w:pPr>
            <w:r>
              <w:rPr>
                <w:rFonts w:hint="eastAsia" w:ascii="宋体" w:hAnsi="宋体" w:cs="宋体"/>
                <w:bCs/>
              </w:rPr>
              <w:t>2</w:t>
            </w:r>
          </w:p>
        </w:tc>
        <w:tc>
          <w:tcPr>
            <w:tcW w:w="2427" w:type="dxa"/>
            <w:vMerge w:val="restart"/>
            <w:shd w:val="clear" w:color="auto" w:fill="auto"/>
            <w:vAlign w:val="center"/>
          </w:tcPr>
          <w:p>
            <w:pPr>
              <w:ind w:firstLine="0" w:firstLineChars="0"/>
              <w:jc w:val="center"/>
              <w:rPr>
                <w:rFonts w:ascii="宋体" w:hAnsi="宋体" w:cs="宋体"/>
                <w:bCs/>
              </w:rPr>
            </w:pPr>
            <w:r>
              <w:rPr>
                <w:rFonts w:hint="eastAsia" w:ascii="宋体" w:hAnsi="宋体" w:cs="宋体"/>
                <w:bCs/>
              </w:rPr>
              <w:t>赛前准备</w:t>
            </w:r>
          </w:p>
        </w:tc>
        <w:tc>
          <w:tcPr>
            <w:tcW w:w="1361" w:type="dxa"/>
            <w:shd w:val="clear" w:color="auto" w:fill="auto"/>
            <w:vAlign w:val="center"/>
          </w:tcPr>
          <w:p>
            <w:pPr>
              <w:ind w:firstLine="0" w:firstLineChars="0"/>
              <w:jc w:val="center"/>
              <w:rPr>
                <w:rFonts w:ascii="宋体" w:hAnsi="宋体" w:cs="宋体"/>
                <w:bCs/>
              </w:rPr>
            </w:pPr>
            <w:r>
              <w:rPr>
                <w:rFonts w:ascii="宋体" w:hAnsi="宋体" w:cs="宋体"/>
                <w:bCs/>
              </w:rPr>
              <w:t>7</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3次专家筹备会、（含差旅交通、食宿）、模拟题开发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right"/>
        </w:trPr>
        <w:tc>
          <w:tcPr>
            <w:tcW w:w="807" w:type="dxa"/>
            <w:vMerge w:val="continue"/>
            <w:shd w:val="clear" w:color="auto" w:fill="auto"/>
            <w:vAlign w:val="center"/>
          </w:tcPr>
          <w:p>
            <w:pPr>
              <w:ind w:firstLine="0" w:firstLineChars="0"/>
              <w:jc w:val="center"/>
              <w:rPr>
                <w:rFonts w:ascii="宋体" w:hAnsi="宋体" w:cs="宋体"/>
                <w:bCs/>
              </w:rPr>
            </w:pPr>
          </w:p>
        </w:tc>
        <w:tc>
          <w:tcPr>
            <w:tcW w:w="2427" w:type="dxa"/>
            <w:vMerge w:val="continue"/>
            <w:shd w:val="clear" w:color="auto" w:fill="auto"/>
            <w:vAlign w:val="center"/>
          </w:tcPr>
          <w:p>
            <w:pPr>
              <w:ind w:firstLine="0" w:firstLineChars="0"/>
              <w:jc w:val="center"/>
              <w:rPr>
                <w:rFonts w:ascii="宋体" w:hAnsi="宋体" w:cs="宋体"/>
                <w:bCs/>
              </w:rPr>
            </w:pPr>
          </w:p>
        </w:tc>
        <w:tc>
          <w:tcPr>
            <w:tcW w:w="1361" w:type="dxa"/>
            <w:shd w:val="clear" w:color="auto" w:fill="auto"/>
            <w:vAlign w:val="center"/>
          </w:tcPr>
          <w:p>
            <w:pPr>
              <w:ind w:firstLine="0" w:firstLineChars="0"/>
              <w:jc w:val="center"/>
              <w:rPr>
                <w:rFonts w:ascii="宋体" w:hAnsi="宋体" w:cs="宋体"/>
                <w:bCs/>
              </w:rPr>
            </w:pPr>
            <w:r>
              <w:rPr>
                <w:rFonts w:ascii="宋体" w:hAnsi="宋体" w:cs="宋体"/>
                <w:bCs/>
              </w:rPr>
              <w:t>3</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全国赛前说明会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right"/>
        </w:trPr>
        <w:tc>
          <w:tcPr>
            <w:tcW w:w="807" w:type="dxa"/>
            <w:vMerge w:val="restart"/>
            <w:shd w:val="clear" w:color="auto" w:fill="auto"/>
            <w:vAlign w:val="center"/>
          </w:tcPr>
          <w:p>
            <w:pPr>
              <w:ind w:firstLine="0" w:firstLineChars="0"/>
              <w:jc w:val="center"/>
              <w:rPr>
                <w:rFonts w:ascii="宋体" w:hAnsi="宋体" w:cs="宋体"/>
                <w:bCs/>
              </w:rPr>
            </w:pPr>
            <w:r>
              <w:rPr>
                <w:rFonts w:hint="eastAsia" w:ascii="宋体" w:hAnsi="宋体" w:cs="宋体"/>
                <w:bCs/>
              </w:rPr>
              <w:t>3</w:t>
            </w:r>
          </w:p>
        </w:tc>
        <w:tc>
          <w:tcPr>
            <w:tcW w:w="2427" w:type="dxa"/>
            <w:vMerge w:val="restart"/>
            <w:shd w:val="clear" w:color="auto" w:fill="auto"/>
            <w:vAlign w:val="center"/>
          </w:tcPr>
          <w:p>
            <w:pPr>
              <w:ind w:firstLine="0" w:firstLineChars="0"/>
              <w:jc w:val="center"/>
              <w:rPr>
                <w:rFonts w:ascii="宋体" w:hAnsi="宋体" w:cs="宋体"/>
                <w:bCs/>
              </w:rPr>
            </w:pPr>
            <w:r>
              <w:rPr>
                <w:rFonts w:hint="eastAsia" w:ascii="宋体" w:hAnsi="宋体" w:cs="宋体"/>
                <w:bCs/>
              </w:rPr>
              <w:t>比赛现场</w:t>
            </w:r>
          </w:p>
        </w:tc>
        <w:tc>
          <w:tcPr>
            <w:tcW w:w="1361" w:type="dxa"/>
            <w:shd w:val="clear" w:color="auto" w:fill="auto"/>
            <w:vAlign w:val="center"/>
          </w:tcPr>
          <w:p>
            <w:pPr>
              <w:ind w:firstLine="0" w:firstLineChars="0"/>
              <w:jc w:val="center"/>
              <w:rPr>
                <w:rFonts w:ascii="宋体" w:hAnsi="宋体" w:cs="宋体"/>
                <w:bCs/>
              </w:rPr>
            </w:pPr>
            <w:r>
              <w:rPr>
                <w:rFonts w:hint="eastAsia" w:ascii="宋体" w:hAnsi="宋体" w:cs="宋体"/>
                <w:bCs/>
              </w:rPr>
              <w:t>企业提供</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竞赛设备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right"/>
        </w:trPr>
        <w:tc>
          <w:tcPr>
            <w:tcW w:w="807" w:type="dxa"/>
            <w:vMerge w:val="continue"/>
            <w:shd w:val="clear" w:color="auto" w:fill="auto"/>
            <w:vAlign w:val="center"/>
          </w:tcPr>
          <w:p>
            <w:pPr>
              <w:ind w:firstLine="0" w:firstLineChars="0"/>
              <w:jc w:val="center"/>
              <w:rPr>
                <w:rFonts w:ascii="宋体" w:hAnsi="宋体" w:cs="宋体"/>
                <w:bCs/>
              </w:rPr>
            </w:pPr>
          </w:p>
        </w:tc>
        <w:tc>
          <w:tcPr>
            <w:tcW w:w="2427" w:type="dxa"/>
            <w:vMerge w:val="continue"/>
            <w:shd w:val="clear" w:color="auto" w:fill="auto"/>
            <w:vAlign w:val="center"/>
          </w:tcPr>
          <w:p>
            <w:pPr>
              <w:ind w:firstLine="0" w:firstLineChars="0"/>
              <w:jc w:val="center"/>
              <w:rPr>
                <w:rFonts w:ascii="宋体" w:hAnsi="宋体" w:cs="宋体"/>
                <w:bCs/>
              </w:rPr>
            </w:pPr>
          </w:p>
        </w:tc>
        <w:tc>
          <w:tcPr>
            <w:tcW w:w="1361" w:type="dxa"/>
            <w:shd w:val="clear" w:color="auto" w:fill="auto"/>
            <w:vAlign w:val="center"/>
          </w:tcPr>
          <w:p>
            <w:pPr>
              <w:ind w:firstLine="0" w:firstLineChars="0"/>
              <w:jc w:val="center"/>
              <w:rPr>
                <w:rFonts w:ascii="宋体" w:hAnsi="宋体" w:cs="宋体"/>
                <w:bCs/>
              </w:rPr>
            </w:pPr>
            <w:r>
              <w:rPr>
                <w:rFonts w:hint="eastAsia" w:ascii="宋体" w:hAnsi="宋体" w:cs="宋体"/>
                <w:bCs/>
              </w:rPr>
              <w:t>1</w:t>
            </w:r>
            <w:r>
              <w:rPr>
                <w:rFonts w:ascii="宋体" w:hAnsi="宋体" w:cs="宋体"/>
                <w:bCs/>
              </w:rPr>
              <w:t>6</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设备运输、安装调试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right"/>
        </w:trPr>
        <w:tc>
          <w:tcPr>
            <w:tcW w:w="807" w:type="dxa"/>
            <w:vMerge w:val="continue"/>
            <w:shd w:val="clear" w:color="auto" w:fill="auto"/>
            <w:vAlign w:val="center"/>
          </w:tcPr>
          <w:p>
            <w:pPr>
              <w:ind w:firstLine="0" w:firstLineChars="0"/>
              <w:jc w:val="center"/>
              <w:rPr>
                <w:rFonts w:ascii="宋体" w:hAnsi="宋体" w:cs="宋体"/>
                <w:bCs/>
              </w:rPr>
            </w:pPr>
          </w:p>
        </w:tc>
        <w:tc>
          <w:tcPr>
            <w:tcW w:w="2427" w:type="dxa"/>
            <w:vMerge w:val="continue"/>
            <w:shd w:val="clear" w:color="auto" w:fill="auto"/>
            <w:vAlign w:val="center"/>
          </w:tcPr>
          <w:p>
            <w:pPr>
              <w:ind w:firstLine="0" w:firstLineChars="0"/>
              <w:jc w:val="center"/>
              <w:rPr>
                <w:rFonts w:ascii="宋体" w:hAnsi="宋体" w:cs="宋体"/>
                <w:bCs/>
              </w:rPr>
            </w:pPr>
          </w:p>
        </w:tc>
        <w:tc>
          <w:tcPr>
            <w:tcW w:w="1361" w:type="dxa"/>
            <w:shd w:val="clear" w:color="auto" w:fill="auto"/>
            <w:vAlign w:val="center"/>
          </w:tcPr>
          <w:p>
            <w:pPr>
              <w:ind w:firstLine="0" w:firstLineChars="0"/>
              <w:jc w:val="center"/>
              <w:rPr>
                <w:rFonts w:ascii="宋体" w:hAnsi="宋体" w:cs="宋体"/>
                <w:bCs/>
              </w:rPr>
            </w:pPr>
            <w:r>
              <w:rPr>
                <w:rFonts w:ascii="宋体" w:hAnsi="宋体" w:cs="宋体"/>
                <w:bCs/>
              </w:rPr>
              <w:t>8</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专家、监考和裁判、现场技术支持、后勤保障劳务费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right"/>
        </w:trPr>
        <w:tc>
          <w:tcPr>
            <w:tcW w:w="807" w:type="dxa"/>
            <w:vMerge w:val="continue"/>
            <w:shd w:val="clear" w:color="auto" w:fill="auto"/>
            <w:vAlign w:val="center"/>
          </w:tcPr>
          <w:p>
            <w:pPr>
              <w:ind w:firstLine="0" w:firstLineChars="0"/>
              <w:jc w:val="center"/>
              <w:rPr>
                <w:rFonts w:ascii="宋体" w:hAnsi="宋体" w:cs="宋体"/>
                <w:bCs/>
              </w:rPr>
            </w:pPr>
          </w:p>
        </w:tc>
        <w:tc>
          <w:tcPr>
            <w:tcW w:w="2427" w:type="dxa"/>
            <w:vMerge w:val="continue"/>
            <w:shd w:val="clear" w:color="auto" w:fill="auto"/>
            <w:vAlign w:val="center"/>
          </w:tcPr>
          <w:p>
            <w:pPr>
              <w:ind w:firstLine="0" w:firstLineChars="0"/>
              <w:jc w:val="center"/>
              <w:rPr>
                <w:rFonts w:ascii="宋体" w:hAnsi="宋体" w:cs="宋体"/>
                <w:bCs/>
              </w:rPr>
            </w:pPr>
          </w:p>
        </w:tc>
        <w:tc>
          <w:tcPr>
            <w:tcW w:w="1361" w:type="dxa"/>
            <w:shd w:val="clear" w:color="auto" w:fill="auto"/>
            <w:vAlign w:val="center"/>
          </w:tcPr>
          <w:p>
            <w:pPr>
              <w:ind w:firstLine="0" w:firstLineChars="0"/>
              <w:jc w:val="center"/>
              <w:rPr>
                <w:rFonts w:ascii="宋体" w:hAnsi="宋体" w:cs="宋体"/>
                <w:bCs/>
              </w:rPr>
            </w:pPr>
            <w:r>
              <w:rPr>
                <w:rFonts w:hint="eastAsia" w:ascii="宋体" w:hAnsi="宋体" w:cs="宋体"/>
                <w:bCs/>
              </w:rPr>
              <w:t>8</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赛场布置、技术展示体验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right"/>
        </w:trPr>
        <w:tc>
          <w:tcPr>
            <w:tcW w:w="807" w:type="dxa"/>
            <w:vMerge w:val="continue"/>
            <w:shd w:val="clear" w:color="auto" w:fill="auto"/>
            <w:vAlign w:val="center"/>
          </w:tcPr>
          <w:p>
            <w:pPr>
              <w:ind w:firstLine="0" w:firstLineChars="0"/>
              <w:jc w:val="center"/>
              <w:rPr>
                <w:rFonts w:ascii="宋体" w:hAnsi="宋体" w:cs="宋体"/>
                <w:bCs/>
              </w:rPr>
            </w:pPr>
          </w:p>
        </w:tc>
        <w:tc>
          <w:tcPr>
            <w:tcW w:w="2427" w:type="dxa"/>
            <w:vMerge w:val="continue"/>
            <w:shd w:val="clear" w:color="auto" w:fill="auto"/>
            <w:vAlign w:val="center"/>
          </w:tcPr>
          <w:p>
            <w:pPr>
              <w:ind w:firstLine="0" w:firstLineChars="0"/>
              <w:jc w:val="center"/>
              <w:rPr>
                <w:rFonts w:ascii="宋体" w:hAnsi="宋体" w:cs="宋体"/>
                <w:bCs/>
              </w:rPr>
            </w:pPr>
          </w:p>
        </w:tc>
        <w:tc>
          <w:tcPr>
            <w:tcW w:w="1361" w:type="dxa"/>
            <w:shd w:val="clear" w:color="auto" w:fill="auto"/>
            <w:vAlign w:val="center"/>
          </w:tcPr>
          <w:p>
            <w:pPr>
              <w:ind w:firstLine="0" w:firstLineChars="0"/>
              <w:jc w:val="center"/>
              <w:rPr>
                <w:rFonts w:ascii="宋体" w:hAnsi="宋体" w:cs="宋体"/>
                <w:bCs/>
              </w:rPr>
            </w:pPr>
            <w:r>
              <w:rPr>
                <w:rFonts w:ascii="宋体" w:hAnsi="宋体" w:cs="宋体"/>
                <w:bCs/>
              </w:rPr>
              <w:t>5</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参赛选手奖品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right"/>
        </w:trPr>
        <w:tc>
          <w:tcPr>
            <w:tcW w:w="807" w:type="dxa"/>
            <w:vMerge w:val="continue"/>
            <w:shd w:val="clear" w:color="auto" w:fill="auto"/>
            <w:vAlign w:val="center"/>
          </w:tcPr>
          <w:p>
            <w:pPr>
              <w:ind w:firstLine="0" w:firstLineChars="0"/>
              <w:jc w:val="center"/>
              <w:rPr>
                <w:rFonts w:ascii="宋体" w:hAnsi="宋体" w:cs="宋体"/>
                <w:bCs/>
              </w:rPr>
            </w:pPr>
          </w:p>
        </w:tc>
        <w:tc>
          <w:tcPr>
            <w:tcW w:w="2427" w:type="dxa"/>
            <w:vMerge w:val="continue"/>
            <w:shd w:val="clear" w:color="auto" w:fill="auto"/>
            <w:vAlign w:val="center"/>
          </w:tcPr>
          <w:p>
            <w:pPr>
              <w:ind w:firstLine="0" w:firstLineChars="0"/>
              <w:jc w:val="center"/>
              <w:rPr>
                <w:rFonts w:ascii="宋体" w:hAnsi="宋体" w:cs="宋体"/>
                <w:bCs/>
              </w:rPr>
            </w:pPr>
          </w:p>
        </w:tc>
        <w:tc>
          <w:tcPr>
            <w:tcW w:w="1361" w:type="dxa"/>
            <w:shd w:val="clear" w:color="auto" w:fill="auto"/>
            <w:vAlign w:val="center"/>
          </w:tcPr>
          <w:p>
            <w:pPr>
              <w:ind w:firstLine="0" w:firstLineChars="0"/>
              <w:jc w:val="center"/>
              <w:rPr>
                <w:rFonts w:ascii="宋体" w:hAnsi="宋体" w:cs="宋体"/>
                <w:bCs/>
              </w:rPr>
            </w:pPr>
            <w:r>
              <w:rPr>
                <w:rFonts w:hint="eastAsia" w:ascii="宋体" w:hAnsi="宋体" w:cs="宋体"/>
                <w:bCs/>
              </w:rPr>
              <w:t>4</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竞赛指南印刷、选手服装等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right"/>
        </w:trPr>
        <w:tc>
          <w:tcPr>
            <w:tcW w:w="807" w:type="dxa"/>
            <w:vMerge w:val="continue"/>
            <w:shd w:val="clear" w:color="auto" w:fill="auto"/>
            <w:vAlign w:val="center"/>
          </w:tcPr>
          <w:p>
            <w:pPr>
              <w:ind w:firstLine="0" w:firstLineChars="0"/>
              <w:jc w:val="center"/>
              <w:rPr>
                <w:rFonts w:ascii="宋体" w:hAnsi="宋体" w:cs="宋体"/>
                <w:bCs/>
              </w:rPr>
            </w:pPr>
          </w:p>
        </w:tc>
        <w:tc>
          <w:tcPr>
            <w:tcW w:w="2427" w:type="dxa"/>
            <w:vMerge w:val="continue"/>
            <w:shd w:val="clear" w:color="auto" w:fill="auto"/>
            <w:vAlign w:val="center"/>
          </w:tcPr>
          <w:p>
            <w:pPr>
              <w:ind w:firstLine="0" w:firstLineChars="0"/>
              <w:jc w:val="center"/>
              <w:rPr>
                <w:rFonts w:ascii="宋体" w:hAnsi="宋体" w:cs="宋体"/>
                <w:bCs/>
              </w:rPr>
            </w:pPr>
          </w:p>
        </w:tc>
        <w:tc>
          <w:tcPr>
            <w:tcW w:w="1361" w:type="dxa"/>
            <w:shd w:val="clear" w:color="auto" w:fill="auto"/>
            <w:vAlign w:val="center"/>
          </w:tcPr>
          <w:p>
            <w:pPr>
              <w:ind w:firstLine="0" w:firstLineChars="0"/>
              <w:jc w:val="center"/>
              <w:rPr>
                <w:rFonts w:ascii="宋体" w:hAnsi="宋体" w:cs="宋体"/>
                <w:bCs/>
              </w:rPr>
            </w:pPr>
            <w:r>
              <w:rPr>
                <w:rFonts w:hint="eastAsia" w:ascii="宋体" w:hAnsi="宋体" w:cs="宋体"/>
                <w:bCs/>
              </w:rPr>
              <w:t>4</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竞赛现场办公文具、耗材等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right"/>
        </w:trPr>
        <w:tc>
          <w:tcPr>
            <w:tcW w:w="807" w:type="dxa"/>
            <w:shd w:val="clear" w:color="auto" w:fill="auto"/>
            <w:vAlign w:val="center"/>
          </w:tcPr>
          <w:p>
            <w:pPr>
              <w:ind w:firstLine="0" w:firstLineChars="0"/>
              <w:jc w:val="center"/>
              <w:rPr>
                <w:rFonts w:ascii="宋体" w:hAnsi="宋体" w:cs="宋体"/>
                <w:bCs/>
              </w:rPr>
            </w:pPr>
            <w:r>
              <w:rPr>
                <w:rFonts w:hint="eastAsia" w:ascii="宋体" w:hAnsi="宋体" w:cs="宋体"/>
                <w:bCs/>
              </w:rPr>
              <w:t>4</w:t>
            </w:r>
          </w:p>
        </w:tc>
        <w:tc>
          <w:tcPr>
            <w:tcW w:w="2427" w:type="dxa"/>
            <w:shd w:val="clear" w:color="auto" w:fill="auto"/>
            <w:vAlign w:val="center"/>
          </w:tcPr>
          <w:p>
            <w:pPr>
              <w:ind w:firstLine="0" w:firstLineChars="0"/>
              <w:jc w:val="center"/>
              <w:rPr>
                <w:rFonts w:ascii="宋体" w:hAnsi="宋体" w:cs="宋体"/>
                <w:bCs/>
              </w:rPr>
            </w:pPr>
            <w:r>
              <w:rPr>
                <w:rFonts w:hint="eastAsia" w:ascii="宋体" w:hAnsi="宋体" w:cs="宋体"/>
                <w:bCs/>
              </w:rPr>
              <w:t>赛后</w:t>
            </w:r>
          </w:p>
        </w:tc>
        <w:tc>
          <w:tcPr>
            <w:tcW w:w="1361" w:type="dxa"/>
            <w:shd w:val="clear" w:color="auto" w:fill="auto"/>
            <w:vAlign w:val="center"/>
          </w:tcPr>
          <w:p>
            <w:pPr>
              <w:ind w:firstLine="0" w:firstLineChars="0"/>
              <w:jc w:val="center"/>
              <w:rPr>
                <w:rFonts w:ascii="宋体" w:hAnsi="宋体" w:cs="宋体"/>
                <w:bCs/>
              </w:rPr>
            </w:pPr>
            <w:r>
              <w:rPr>
                <w:rFonts w:ascii="宋体" w:hAnsi="宋体" w:cs="宋体"/>
                <w:bCs/>
              </w:rPr>
              <w:t>9</w:t>
            </w:r>
          </w:p>
        </w:tc>
        <w:tc>
          <w:tcPr>
            <w:tcW w:w="4302" w:type="dxa"/>
            <w:shd w:val="clear" w:color="auto" w:fill="auto"/>
            <w:vAlign w:val="center"/>
          </w:tcPr>
          <w:p>
            <w:pPr>
              <w:ind w:firstLine="0" w:firstLineChars="0"/>
              <w:jc w:val="center"/>
              <w:rPr>
                <w:rFonts w:ascii="宋体" w:hAnsi="宋体" w:cs="宋体"/>
                <w:bCs/>
              </w:rPr>
            </w:pPr>
            <w:r>
              <w:rPr>
                <w:rFonts w:hint="eastAsia" w:ascii="宋体" w:hAnsi="宋体" w:cs="宋体"/>
                <w:bCs/>
              </w:rPr>
              <w:t>赛项资源转化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right"/>
        </w:trPr>
        <w:tc>
          <w:tcPr>
            <w:tcW w:w="3234" w:type="dxa"/>
            <w:gridSpan w:val="2"/>
            <w:shd w:val="clear" w:color="auto" w:fill="auto"/>
            <w:vAlign w:val="center"/>
          </w:tcPr>
          <w:p>
            <w:pPr>
              <w:ind w:firstLine="0" w:firstLineChars="0"/>
              <w:jc w:val="center"/>
              <w:rPr>
                <w:rFonts w:ascii="宋体" w:hAnsi="宋体" w:cs="宋体"/>
                <w:bCs/>
              </w:rPr>
            </w:pPr>
            <w:r>
              <w:rPr>
                <w:rFonts w:hint="eastAsia" w:ascii="宋体" w:hAnsi="宋体" w:cs="宋体"/>
                <w:bCs/>
              </w:rPr>
              <w:t>总计（万元）</w:t>
            </w:r>
          </w:p>
        </w:tc>
        <w:tc>
          <w:tcPr>
            <w:tcW w:w="5663" w:type="dxa"/>
            <w:gridSpan w:val="2"/>
            <w:shd w:val="clear" w:color="auto" w:fill="auto"/>
            <w:vAlign w:val="center"/>
          </w:tcPr>
          <w:p>
            <w:pPr>
              <w:ind w:firstLine="0" w:firstLineChars="0"/>
              <w:jc w:val="center"/>
              <w:rPr>
                <w:rFonts w:ascii="宋体" w:hAnsi="宋体" w:cs="宋体"/>
                <w:bCs/>
              </w:rPr>
            </w:pPr>
            <w:r>
              <w:rPr>
                <w:rFonts w:ascii="宋体" w:hAnsi="宋体" w:cs="宋体"/>
                <w:bCs/>
              </w:rPr>
              <w:t>70</w:t>
            </w:r>
          </w:p>
        </w:tc>
      </w:tr>
    </w:tbl>
    <w:p>
      <w:pPr>
        <w:pStyle w:val="2"/>
        <w:spacing w:line="560" w:lineRule="exact"/>
        <w:rPr>
          <w:rFonts w:ascii="黑体" w:hAnsi="黑体" w:eastAsia="黑体" w:cs="黑体"/>
          <w:b w:val="0"/>
          <w:bCs w:val="0"/>
          <w:sz w:val="30"/>
          <w:szCs w:val="30"/>
        </w:rPr>
      </w:pPr>
      <w:bookmarkStart w:id="85" w:name="_Toc18375"/>
      <w:bookmarkStart w:id="86" w:name="_Toc491101550"/>
      <w:r>
        <w:rPr>
          <w:rFonts w:hint="eastAsia" w:ascii="黑体" w:hAnsi="黑体" w:eastAsia="黑体" w:cs="黑体"/>
          <w:b w:val="0"/>
          <w:bCs w:val="0"/>
          <w:sz w:val="30"/>
          <w:szCs w:val="30"/>
        </w:rPr>
        <w:t>比赛组织与管理</w:t>
      </w:r>
      <w:bookmarkEnd w:id="85"/>
      <w:bookmarkEnd w:id="86"/>
    </w:p>
    <w:p>
      <w:pPr>
        <w:pStyle w:val="42"/>
        <w:spacing w:line="560" w:lineRule="exact"/>
        <w:ind w:firstLine="0" w:firstLineChars="0"/>
        <w:jc w:val="left"/>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（一）组织保障</w:t>
      </w:r>
    </w:p>
    <w:p>
      <w:pPr>
        <w:pStyle w:val="42"/>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赛项申报单位负责筹划赛项、组织成立执委会、专家组和裁判组，组织设计论证和赛事实施管理等活动。</w:t>
      </w:r>
    </w:p>
    <w:p>
      <w:pPr>
        <w:pStyle w:val="42"/>
        <w:spacing w:line="560" w:lineRule="exact"/>
        <w:ind w:firstLine="0" w:firstLineChars="0"/>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（二）赛项执委会</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赛项执委会在大赛执委会领导下开展工作，并接受赛项所在分赛区执委会的协调和指导，主要职责：全面负责本赛项的筹备与实施工作，协调组织赛项专家和赛项承办校开展工作，统筹管理赛项经费使用，推荐赛项专家组成员、裁判和仲裁人员等。</w:t>
      </w:r>
    </w:p>
    <w:p>
      <w:pPr>
        <w:pStyle w:val="42"/>
        <w:spacing w:line="560" w:lineRule="exact"/>
        <w:ind w:firstLine="0" w:firstLineChars="0"/>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（三）赛项专家组</w:t>
      </w:r>
    </w:p>
    <w:p>
      <w:pPr>
        <w:pStyle w:val="42"/>
        <w:spacing w:line="560" w:lineRule="exact"/>
        <w:ind w:firstLine="600"/>
        <w:rPr>
          <w:rFonts w:ascii="仿宋_GB2312" w:hAnsi="仿宋_GB2312" w:eastAsia="仿宋_GB2312" w:cs="仿宋_GB2312"/>
          <w:sz w:val="30"/>
          <w:szCs w:val="30"/>
          <w:lang w:val="zh-CN"/>
        </w:rPr>
      </w:pPr>
      <w:r>
        <w:rPr>
          <w:rFonts w:hint="eastAsia" w:ascii="仿宋_GB2312" w:hAnsi="仿宋_GB2312" w:eastAsia="仿宋_GB2312" w:cs="仿宋_GB2312"/>
          <w:sz w:val="30"/>
          <w:szCs w:val="30"/>
        </w:rPr>
        <w:t>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pPr>
        <w:pStyle w:val="42"/>
        <w:spacing w:line="560" w:lineRule="exact"/>
        <w:ind w:firstLine="0" w:firstLineChars="0"/>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（四）承办院校</w:t>
      </w:r>
    </w:p>
    <w:p>
      <w:pPr>
        <w:pStyle w:val="64"/>
        <w:spacing w:line="560" w:lineRule="exact"/>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在分赛区执委会和赛项执委会领导下开展工作，负责赛项的具体保障和实施工作，主要职责：按照赛项技术方案落实比赛场地及</w:t>
      </w:r>
    </w:p>
    <w:p>
      <w:pPr>
        <w:pStyle w:val="64"/>
        <w:spacing w:line="560" w:lineRule="exact"/>
        <w:ind w:firstLine="0" w:firstLineChars="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基础设施；配合赛执委会做好比赛组织和接待工作；配合赛区执委会做好大赛宣传工作；维持赛场秩序，保障赛事安全；参与赛项经费预算，管理赛项经费账户，执行赛项预算支出，委托会计师事务所进行赛项经费收支审计；负责比赛过程文件存档和赛后资料上报等。</w:t>
      </w:r>
    </w:p>
    <w:p>
      <w:pPr>
        <w:pStyle w:val="42"/>
        <w:spacing w:line="560" w:lineRule="exact"/>
        <w:ind w:firstLine="0" w:firstLineChars="0"/>
        <w:jc w:val="left"/>
        <w:rPr>
          <w:rFonts w:ascii="仿宋_GB2312" w:hAnsi="仿宋_GB2312" w:eastAsia="仿宋_GB2312" w:cs="仿宋_GB2312"/>
          <w:b/>
          <w:sz w:val="30"/>
          <w:szCs w:val="30"/>
        </w:rPr>
      </w:pPr>
      <w:r>
        <w:rPr>
          <w:rFonts w:hint="eastAsia" w:ascii="仿宋_GB2312" w:hAnsi="仿宋_GB2312" w:eastAsia="仿宋_GB2312" w:cs="仿宋_GB2312"/>
          <w:b/>
          <w:sz w:val="30"/>
          <w:szCs w:val="30"/>
        </w:rPr>
        <w:t>（五）现场裁判、仲裁、监督组</w:t>
      </w:r>
    </w:p>
    <w:p>
      <w:pPr>
        <w:pStyle w:val="64"/>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开赛10天前，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pPr>
        <w:pStyle w:val="2"/>
        <w:spacing w:line="560" w:lineRule="exact"/>
        <w:rPr>
          <w:rFonts w:ascii="黑体" w:hAnsi="黑体" w:eastAsia="黑体" w:cs="黑体"/>
          <w:b w:val="0"/>
          <w:bCs w:val="0"/>
          <w:sz w:val="30"/>
          <w:szCs w:val="30"/>
        </w:rPr>
      </w:pPr>
      <w:bookmarkStart w:id="87" w:name="_Toc18557"/>
      <w:bookmarkStart w:id="88" w:name="_Toc491101551"/>
      <w:r>
        <w:rPr>
          <w:rFonts w:hint="eastAsia" w:ascii="黑体" w:hAnsi="黑体" w:eastAsia="黑体" w:cs="黑体"/>
          <w:b w:val="0"/>
          <w:bCs w:val="0"/>
          <w:sz w:val="30"/>
          <w:szCs w:val="30"/>
        </w:rPr>
        <w:t>教学资源转化建设方案</w:t>
      </w:r>
      <w:bookmarkEnd w:id="87"/>
      <w:bookmarkEnd w:id="88"/>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参照《全国职业院校技能大赛赛项资源转化工作办法》的有关要求，为了展现通信与控制系统集成与维护与开发的关键技术和行业应用，方便各院校学习相关技术和赛项内容的教学资源转化，特制定赛项赛后教学资源转化方案如下： </w:t>
      </w:r>
    </w:p>
    <w:p>
      <w:pPr>
        <w:pStyle w:val="3"/>
        <w:spacing w:before="163" w:line="560" w:lineRule="exact"/>
        <w:rPr>
          <w:rFonts w:ascii="仿宋_GB2312" w:hAnsi="仿宋_GB2312" w:eastAsia="仿宋_GB2312" w:cs="仿宋_GB2312"/>
        </w:rPr>
      </w:pPr>
      <w:bookmarkStart w:id="89" w:name="_Toc491101552"/>
      <w:bookmarkStart w:id="90" w:name="_Toc11035"/>
      <w:r>
        <w:rPr>
          <w:rFonts w:hint="eastAsia" w:ascii="仿宋_GB2312" w:hAnsi="仿宋_GB2312" w:eastAsia="仿宋_GB2312" w:cs="仿宋_GB2312"/>
        </w:rPr>
        <w:t>赛项内容的资源共享</w:t>
      </w:r>
      <w:bookmarkEnd w:id="89"/>
      <w:bookmarkEnd w:id="90"/>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比赛后计划将赛项题库、实训教程、企业案例等转换为资源库基础素材，放于云平台的教学资源体系，为全国职业院校提供一个共有的信息化媒体教学资源库，实时分享教学优质资源。包括：竞赛样题、试题库、竞赛技能考核评分案例、考核环境描述、竞赛过程音视频记录、评委、裁判、专家点评、优秀选手和指导教师访谈等。</w:t>
      </w:r>
    </w:p>
    <w:p>
      <w:pPr>
        <w:pStyle w:val="3"/>
        <w:spacing w:before="163" w:line="560" w:lineRule="exact"/>
        <w:rPr>
          <w:rFonts w:ascii="仿宋_GB2312" w:hAnsi="仿宋_GB2312" w:eastAsia="仿宋_GB2312" w:cs="仿宋_GB2312"/>
        </w:rPr>
      </w:pPr>
      <w:bookmarkStart w:id="91" w:name="_Toc11056"/>
      <w:bookmarkStart w:id="92" w:name="_Toc491101553"/>
      <w:r>
        <w:rPr>
          <w:rFonts w:hint="eastAsia" w:ascii="仿宋_GB2312" w:hAnsi="仿宋_GB2312" w:eastAsia="仿宋_GB2312" w:cs="仿宋_GB2312"/>
        </w:rPr>
        <w:t>推动课程体系创新改革</w:t>
      </w:r>
      <w:bookmarkEnd w:id="91"/>
      <w:bookmarkEnd w:id="92"/>
    </w:p>
    <w:p>
      <w:pPr>
        <w:pStyle w:val="55"/>
        <w:spacing w:line="560" w:lineRule="exact"/>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积极组织竞赛经验分享会，推动课程体系创新改革。积极组织竞赛经验分享会，计划于2019年10月份之前，结合赛项相关内容，推动20所</w:t>
      </w:r>
      <w:r>
        <w:rPr>
          <w:rFonts w:hint="eastAsia" w:ascii="仿宋_GB2312" w:hAnsi="仿宋_GB2312" w:eastAsia="仿宋_GB2312" w:cs="仿宋_GB2312"/>
          <w:kern w:val="0"/>
          <w:sz w:val="30"/>
          <w:szCs w:val="30"/>
        </w:rPr>
        <w:t>轨道交通通信信号类院校的专业</w:t>
      </w:r>
      <w:r>
        <w:rPr>
          <w:rFonts w:hint="eastAsia" w:ascii="仿宋_GB2312" w:hAnsi="仿宋_GB2312" w:eastAsia="仿宋_GB2312" w:cs="仿宋_GB2312"/>
          <w:sz w:val="30"/>
          <w:szCs w:val="30"/>
        </w:rPr>
        <w:t>建设方案、课程体系和教学计划改革。</w:t>
      </w:r>
    </w:p>
    <w:p>
      <w:pPr>
        <w:pStyle w:val="3"/>
        <w:spacing w:before="163" w:line="560" w:lineRule="exact"/>
        <w:rPr>
          <w:rFonts w:ascii="仿宋_GB2312" w:hAnsi="仿宋_GB2312" w:eastAsia="仿宋_GB2312" w:cs="仿宋_GB2312"/>
        </w:rPr>
      </w:pPr>
      <w:bookmarkStart w:id="93" w:name="_Toc28816"/>
      <w:bookmarkStart w:id="94" w:name="_Toc491101554"/>
      <w:r>
        <w:rPr>
          <w:rFonts w:hint="eastAsia" w:ascii="仿宋_GB2312" w:hAnsi="仿宋_GB2312" w:eastAsia="仿宋_GB2312" w:cs="仿宋_GB2312"/>
        </w:rPr>
        <w:t>移动数字化教学课程资源建设</w:t>
      </w:r>
      <w:bookmarkEnd w:id="93"/>
      <w:bookmarkEnd w:id="94"/>
    </w:p>
    <w:p>
      <w:pPr>
        <w:pStyle w:val="42"/>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建设适合移动环境下学习的移动数字化课程和资源，服务于教师的课堂教学和学生的自主学习，推动学生情景化、趣味化、交互性的自主学习。并将课程资源融入可碎片化学习的微课、 动画、音频等新媒体内容，计划2019年12月底前制作完成，供开设高职</w:t>
      </w:r>
      <w:r>
        <w:rPr>
          <w:rFonts w:hint="eastAsia" w:ascii="仿宋_GB2312" w:hAnsi="仿宋_GB2312" w:eastAsia="仿宋_GB2312" w:cs="仿宋_GB2312"/>
          <w:kern w:val="0"/>
          <w:sz w:val="30"/>
          <w:szCs w:val="30"/>
        </w:rPr>
        <w:t>轨道交通通信信号类</w:t>
      </w:r>
      <w:r>
        <w:rPr>
          <w:rFonts w:hint="eastAsia" w:ascii="仿宋_GB2312" w:hAnsi="仿宋_GB2312" w:eastAsia="仿宋_GB2312" w:cs="仿宋_GB2312"/>
          <w:sz w:val="30"/>
          <w:szCs w:val="30"/>
        </w:rPr>
        <w:t>专业的学校使用。</w:t>
      </w:r>
    </w:p>
    <w:p>
      <w:pPr>
        <w:pStyle w:val="3"/>
        <w:spacing w:before="163" w:line="560" w:lineRule="exact"/>
        <w:rPr>
          <w:rFonts w:ascii="仿宋_GB2312" w:hAnsi="仿宋_GB2312" w:eastAsia="仿宋_GB2312" w:cs="仿宋_GB2312"/>
        </w:rPr>
      </w:pPr>
      <w:bookmarkStart w:id="95" w:name="_Toc22341"/>
      <w:bookmarkStart w:id="96" w:name="_Toc491101555"/>
      <w:r>
        <w:rPr>
          <w:rFonts w:hint="eastAsia" w:ascii="仿宋_GB2312" w:hAnsi="仿宋_GB2312" w:eastAsia="仿宋_GB2312" w:cs="仿宋_GB2312"/>
        </w:rPr>
        <w:t>列车运行信号控制技术的应用培训和推广</w:t>
      </w:r>
      <w:bookmarkEnd w:id="95"/>
      <w:bookmarkEnd w:id="96"/>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赛后持续借助轨道交通信号控制系统实训平台设计与应用赛项的推广成果。由院校与企业共育轨道交通通信信号类师资，借助师资培训的机会，推广大赛的成果；以切实转变列车运行信号控制技术应用教育的教学理念，促进轨道交通通信信号类相关课程的人才培养模式创新。</w:t>
      </w:r>
    </w:p>
    <w:p>
      <w:pPr>
        <w:pStyle w:val="3"/>
        <w:spacing w:before="163" w:line="560" w:lineRule="exact"/>
        <w:rPr>
          <w:rFonts w:ascii="仿宋_GB2312" w:hAnsi="仿宋_GB2312" w:eastAsia="仿宋_GB2312" w:cs="仿宋_GB2312"/>
        </w:rPr>
      </w:pPr>
      <w:bookmarkStart w:id="97" w:name="_Toc491101556"/>
      <w:bookmarkStart w:id="98" w:name="_Toc10135"/>
      <w:r>
        <w:rPr>
          <w:rFonts w:hint="eastAsia" w:ascii="仿宋_GB2312" w:hAnsi="仿宋_GB2312" w:eastAsia="仿宋_GB2312" w:cs="仿宋_GB2312"/>
        </w:rPr>
        <w:t>加强大赛与行业企业的深度融合，切实提高大赛科技成果转化效益</w:t>
      </w:r>
      <w:bookmarkEnd w:id="97"/>
      <w:bookmarkEnd w:id="98"/>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加强与行业企业合作，让本次技能大赛的科技成果走进行业企业。注重大赛成果向行业中需要的轨道交通信号与控制技术应用项目转化，将科技成果真正转化为经济生产力，创造经济效益和社会效益。力争在2018年底前与1-2家企业达成合作意向，展开实际应用项目校企联合开发。</w:t>
      </w:r>
    </w:p>
    <w:p>
      <w:pPr>
        <w:pStyle w:val="3"/>
        <w:spacing w:before="163" w:line="560" w:lineRule="exact"/>
        <w:rPr>
          <w:rFonts w:ascii="仿宋_GB2312" w:hAnsi="仿宋_GB2312" w:eastAsia="仿宋_GB2312" w:cs="仿宋_GB2312"/>
        </w:rPr>
      </w:pPr>
      <w:r>
        <w:rPr>
          <w:rFonts w:hint="eastAsia" w:ascii="仿宋_GB2312" w:hAnsi="仿宋_GB2312" w:eastAsia="仿宋_GB2312" w:cs="仿宋_GB2312"/>
        </w:rPr>
        <w:t>落实产教融合，联合</w:t>
      </w:r>
      <w:r>
        <w:rPr>
          <w:rFonts w:ascii="仿宋_GB2312" w:hAnsi="仿宋_GB2312" w:eastAsia="仿宋_GB2312" w:cs="仿宋_GB2312"/>
        </w:rPr>
        <w:t>多部门成立轨道交通产教联盟，</w:t>
      </w:r>
      <w:r>
        <w:rPr>
          <w:rFonts w:hint="eastAsia" w:ascii="仿宋_GB2312" w:hAnsi="仿宋_GB2312" w:eastAsia="仿宋_GB2312" w:cs="仿宋_GB2312"/>
        </w:rPr>
        <w:t>积极推动职业教育发展</w:t>
      </w:r>
    </w:p>
    <w:p>
      <w:pPr>
        <w:pStyle w:val="55"/>
        <w:spacing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2018年9月份，赛项执委会联合中国通信工业协会、北京交通大学、教育与科研部门、铁路行业高校、职业技术学院、各地中国方路局集团公司、各类轨道交通企业等单位成立轨道交通产教联盟。联盟是由中国通信工业协会报请中华人民共和国工业和信息化部批准、并经国家民政部注册登记的全国非营利性社团组织。旨在开展学术研究、交流考察、教育培训、技术转移、咨询服务等工作，为高校及职业技术院校和企业提供合作对接服务，为政府和社会提供人才培养服务，促进职业院校和信息技术企业资源有效整合，发挥桥梁和纽带作用，推动我国轨道交通技术快速健康发展。</w:t>
      </w:r>
    </w:p>
    <w:p>
      <w:pPr>
        <w:pStyle w:val="55"/>
        <w:spacing w:line="560" w:lineRule="exact"/>
        <w:ind w:firstLineChars="0"/>
        <w:rPr>
          <w:rFonts w:ascii="仿宋_GB2312" w:hAnsi="仿宋_GB2312" w:eastAsia="仿宋_GB2312" w:cs="仿宋_GB2312"/>
          <w:kern w:val="0"/>
          <w:sz w:val="30"/>
          <w:szCs w:val="30"/>
        </w:rPr>
      </w:pPr>
      <w:r>
        <w:rPr>
          <w:rFonts w:ascii="仿宋_GB2312" w:hAnsi="仿宋_GB2312" w:eastAsia="仿宋_GB2312" w:cs="仿宋_GB2312"/>
          <w:kern w:val="0"/>
          <w:sz w:val="30"/>
          <w:szCs w:val="30"/>
        </w:rPr>
        <w:t xml:space="preserve"> </w:t>
      </w:r>
    </w:p>
    <w:p>
      <w:pPr>
        <w:pStyle w:val="55"/>
        <w:ind w:firstLineChars="0"/>
        <w:rPr>
          <w:b/>
          <w:bCs/>
          <w:kern w:val="0"/>
        </w:rPr>
      </w:pPr>
      <w:r>
        <w:rPr>
          <w:rFonts w:ascii="仿宋" w:hAnsi="仿宋" w:eastAsia="仿宋"/>
          <w:sz w:val="30"/>
          <w:szCs w:val="30"/>
        </w:rPr>
        <w:drawing>
          <wp:inline distT="0" distB="0" distL="0" distR="0">
            <wp:extent cx="5074920" cy="2819400"/>
            <wp:effectExtent l="0" t="0" r="0" b="0"/>
            <wp:docPr id="6" name="图片 6" descr="C:\Users\ADMINI~1\AppData\Local\Temp\15341436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53414368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74920" cy="2819400"/>
                    </a:xfrm>
                    <a:prstGeom prst="rect">
                      <a:avLst/>
                    </a:prstGeom>
                    <a:noFill/>
                    <a:ln>
                      <a:noFill/>
                    </a:ln>
                  </pic:spPr>
                </pic:pic>
              </a:graphicData>
            </a:graphic>
          </wp:inline>
        </w:drawing>
      </w:r>
    </w:p>
    <w:p>
      <w:pPr>
        <w:pStyle w:val="55"/>
        <w:ind w:firstLineChars="0"/>
        <w:jc w:val="center"/>
        <w:rPr>
          <w:b/>
          <w:bCs/>
          <w:kern w:val="0"/>
        </w:rPr>
      </w:pPr>
      <w:r>
        <w:rPr>
          <w:rFonts w:hint="eastAsia"/>
          <w:b/>
          <w:bCs/>
          <w:kern w:val="0"/>
        </w:rPr>
        <w:t>中国通信工业协会轨道交通产教联盟筹备工作会</w:t>
      </w:r>
    </w:p>
    <w:p>
      <w:pPr>
        <w:pStyle w:val="2"/>
        <w:spacing w:line="560" w:lineRule="exact"/>
        <w:rPr>
          <w:rFonts w:ascii="黑体" w:hAnsi="黑体" w:eastAsia="黑体" w:cs="黑体"/>
          <w:b w:val="0"/>
          <w:bCs w:val="0"/>
          <w:sz w:val="30"/>
          <w:szCs w:val="30"/>
        </w:rPr>
      </w:pPr>
      <w:bookmarkStart w:id="99" w:name="_Toc491101557"/>
      <w:bookmarkStart w:id="100" w:name="_Toc28289"/>
      <w:r>
        <w:rPr>
          <w:rFonts w:hint="eastAsia" w:ascii="黑体" w:hAnsi="黑体" w:eastAsia="黑体" w:cs="黑体"/>
          <w:b w:val="0"/>
          <w:bCs w:val="0"/>
          <w:sz w:val="30"/>
          <w:szCs w:val="30"/>
        </w:rPr>
        <w:t>筹备工作进度时间表</w:t>
      </w:r>
      <w:bookmarkEnd w:id="99"/>
      <w:bookmarkEnd w:id="100"/>
    </w:p>
    <w:p>
      <w:pPr>
        <w:snapToGrid w:val="0"/>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依据赛项筹备工作，制定筹备工作时间进度表。</w:t>
      </w:r>
    </w:p>
    <w:tbl>
      <w:tblPr>
        <w:tblStyle w:val="32"/>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445"/>
        <w:gridCol w:w="4252"/>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exact"/>
          <w:jc w:val="center"/>
        </w:trPr>
        <w:tc>
          <w:tcPr>
            <w:tcW w:w="1076" w:type="dxa"/>
            <w:vAlign w:val="center"/>
          </w:tcPr>
          <w:p>
            <w:pPr>
              <w:ind w:firstLine="0" w:firstLineChars="0"/>
              <w:jc w:val="center"/>
              <w:rPr>
                <w:rFonts w:ascii="宋体" w:hAnsi="宋体" w:cs="宋体"/>
                <w:b/>
              </w:rPr>
            </w:pPr>
            <w:r>
              <w:rPr>
                <w:rFonts w:hint="eastAsia" w:ascii="宋体" w:hAnsi="宋体" w:cs="宋体"/>
                <w:b/>
              </w:rPr>
              <w:t>序号</w:t>
            </w:r>
          </w:p>
        </w:tc>
        <w:tc>
          <w:tcPr>
            <w:tcW w:w="1445" w:type="dxa"/>
            <w:vAlign w:val="center"/>
          </w:tcPr>
          <w:p>
            <w:pPr>
              <w:ind w:firstLine="0" w:firstLineChars="0"/>
              <w:jc w:val="center"/>
              <w:rPr>
                <w:rFonts w:ascii="宋体" w:hAnsi="宋体" w:cs="宋体"/>
                <w:b/>
              </w:rPr>
            </w:pPr>
            <w:r>
              <w:rPr>
                <w:rFonts w:hint="eastAsia" w:ascii="宋体" w:hAnsi="宋体" w:cs="宋体"/>
                <w:b/>
              </w:rPr>
              <w:t>筹备阶段</w:t>
            </w:r>
          </w:p>
        </w:tc>
        <w:tc>
          <w:tcPr>
            <w:tcW w:w="4252" w:type="dxa"/>
            <w:vAlign w:val="center"/>
          </w:tcPr>
          <w:p>
            <w:pPr>
              <w:ind w:firstLine="0" w:firstLineChars="0"/>
              <w:jc w:val="center"/>
              <w:rPr>
                <w:rFonts w:ascii="宋体" w:hAnsi="宋体" w:cs="宋体"/>
                <w:b/>
              </w:rPr>
            </w:pPr>
            <w:r>
              <w:rPr>
                <w:rFonts w:hint="eastAsia" w:ascii="宋体" w:hAnsi="宋体" w:cs="宋体"/>
                <w:b/>
              </w:rPr>
              <w:t>内　容</w:t>
            </w:r>
          </w:p>
        </w:tc>
        <w:tc>
          <w:tcPr>
            <w:tcW w:w="2016" w:type="dxa"/>
            <w:vAlign w:val="center"/>
          </w:tcPr>
          <w:p>
            <w:pPr>
              <w:ind w:firstLine="0" w:firstLineChars="0"/>
              <w:jc w:val="center"/>
              <w:rPr>
                <w:rFonts w:ascii="宋体" w:hAnsi="宋体" w:cs="宋体"/>
                <w:b/>
              </w:rPr>
            </w:pPr>
            <w:r>
              <w:rPr>
                <w:rFonts w:hint="eastAsia" w:ascii="宋体" w:hAnsi="宋体" w:cs="宋体"/>
                <w:b/>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jc w:val="center"/>
        </w:trPr>
        <w:tc>
          <w:tcPr>
            <w:tcW w:w="1076" w:type="dxa"/>
            <w:vMerge w:val="restart"/>
            <w:vAlign w:val="center"/>
          </w:tcPr>
          <w:p>
            <w:pPr>
              <w:ind w:firstLine="0" w:firstLineChars="0"/>
              <w:rPr>
                <w:rFonts w:ascii="宋体" w:hAnsi="宋体" w:cs="宋体"/>
              </w:rPr>
            </w:pPr>
            <w:r>
              <w:rPr>
                <w:rFonts w:hint="eastAsia" w:ascii="宋体" w:hAnsi="宋体" w:cs="宋体"/>
              </w:rPr>
              <w:t>1</w:t>
            </w:r>
          </w:p>
        </w:tc>
        <w:tc>
          <w:tcPr>
            <w:tcW w:w="1445" w:type="dxa"/>
            <w:vMerge w:val="restart"/>
            <w:vAlign w:val="center"/>
          </w:tcPr>
          <w:p>
            <w:pPr>
              <w:ind w:firstLine="0" w:firstLineChars="0"/>
              <w:rPr>
                <w:rFonts w:ascii="宋体" w:hAnsi="宋体" w:cs="宋体"/>
              </w:rPr>
            </w:pPr>
            <w:r>
              <w:rPr>
                <w:rFonts w:hint="eastAsia" w:ascii="宋体" w:hAnsi="宋体" w:cs="宋体"/>
              </w:rPr>
              <w:t>申报、立项</w:t>
            </w:r>
          </w:p>
        </w:tc>
        <w:tc>
          <w:tcPr>
            <w:tcW w:w="4252" w:type="dxa"/>
            <w:vAlign w:val="center"/>
          </w:tcPr>
          <w:p>
            <w:pPr>
              <w:ind w:firstLine="0" w:firstLineChars="0"/>
              <w:rPr>
                <w:rFonts w:ascii="宋体" w:hAnsi="宋体" w:cs="宋体"/>
              </w:rPr>
            </w:pPr>
            <w:r>
              <w:rPr>
                <w:rFonts w:hint="eastAsia" w:ascii="宋体" w:hAnsi="宋体" w:cs="宋体"/>
              </w:rPr>
              <w:t>赛项设计专家研讨会，完成赛项申报方案</w:t>
            </w:r>
          </w:p>
        </w:tc>
        <w:tc>
          <w:tcPr>
            <w:tcW w:w="2016" w:type="dxa"/>
            <w:vAlign w:val="center"/>
          </w:tcPr>
          <w:p>
            <w:pPr>
              <w:ind w:firstLine="0" w:firstLineChars="0"/>
              <w:rPr>
                <w:rFonts w:ascii="宋体" w:hAnsi="宋体" w:cs="宋体"/>
              </w:rPr>
            </w:pPr>
            <w:r>
              <w:rPr>
                <w:rFonts w:hint="eastAsia" w:ascii="宋体" w:hAnsi="宋体" w:cs="宋体"/>
              </w:rPr>
              <w:t>2018年8月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exact"/>
          <w:jc w:val="center"/>
        </w:trPr>
        <w:tc>
          <w:tcPr>
            <w:tcW w:w="1076" w:type="dxa"/>
            <w:vMerge w:val="continue"/>
            <w:vAlign w:val="center"/>
          </w:tcPr>
          <w:p>
            <w:pPr>
              <w:ind w:firstLine="0" w:firstLineChars="0"/>
              <w:rPr>
                <w:rFonts w:ascii="宋体" w:hAnsi="宋体" w:cs="宋体"/>
              </w:rPr>
            </w:pPr>
          </w:p>
        </w:tc>
        <w:tc>
          <w:tcPr>
            <w:tcW w:w="1445" w:type="dxa"/>
            <w:vMerge w:val="continue"/>
            <w:vAlign w:val="center"/>
          </w:tcPr>
          <w:p>
            <w:pPr>
              <w:ind w:firstLine="0" w:firstLineChars="0"/>
              <w:rPr>
                <w:rFonts w:ascii="宋体" w:hAnsi="宋体" w:cs="宋体"/>
              </w:rPr>
            </w:pPr>
          </w:p>
        </w:tc>
        <w:tc>
          <w:tcPr>
            <w:tcW w:w="4252" w:type="dxa"/>
            <w:vAlign w:val="center"/>
          </w:tcPr>
          <w:p>
            <w:pPr>
              <w:ind w:firstLine="0" w:firstLineChars="0"/>
              <w:rPr>
                <w:rFonts w:ascii="宋体" w:hAnsi="宋体" w:cs="宋体"/>
              </w:rPr>
            </w:pPr>
            <w:r>
              <w:rPr>
                <w:rFonts w:hint="eastAsia" w:ascii="宋体" w:hAnsi="宋体" w:cs="宋体"/>
              </w:rPr>
              <w:t>确定赛项</w:t>
            </w:r>
          </w:p>
        </w:tc>
        <w:tc>
          <w:tcPr>
            <w:tcW w:w="2016" w:type="dxa"/>
            <w:vMerge w:val="restart"/>
            <w:vAlign w:val="center"/>
          </w:tcPr>
          <w:p>
            <w:pPr>
              <w:ind w:firstLine="0" w:firstLineChars="0"/>
              <w:rPr>
                <w:rFonts w:ascii="宋体" w:hAnsi="宋体" w:cs="宋体"/>
              </w:rPr>
            </w:pPr>
            <w:r>
              <w:rPr>
                <w:rFonts w:hint="eastAsia" w:ascii="宋体" w:hAnsi="宋体" w:cs="宋体"/>
              </w:rPr>
              <w:t>2019年1月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076" w:type="dxa"/>
            <w:vMerge w:val="continue"/>
            <w:vAlign w:val="center"/>
          </w:tcPr>
          <w:p>
            <w:pPr>
              <w:ind w:firstLine="0" w:firstLineChars="0"/>
              <w:rPr>
                <w:rFonts w:ascii="宋体" w:hAnsi="宋体" w:cs="宋体"/>
              </w:rPr>
            </w:pPr>
          </w:p>
        </w:tc>
        <w:tc>
          <w:tcPr>
            <w:tcW w:w="1445" w:type="dxa"/>
            <w:vMerge w:val="continue"/>
            <w:vAlign w:val="center"/>
          </w:tcPr>
          <w:p>
            <w:pPr>
              <w:ind w:firstLine="0" w:firstLineChars="0"/>
              <w:rPr>
                <w:rFonts w:ascii="宋体" w:hAnsi="宋体" w:cs="宋体"/>
              </w:rPr>
            </w:pPr>
          </w:p>
        </w:tc>
        <w:tc>
          <w:tcPr>
            <w:tcW w:w="4252" w:type="dxa"/>
            <w:vAlign w:val="center"/>
          </w:tcPr>
          <w:p>
            <w:pPr>
              <w:ind w:firstLine="0" w:firstLineChars="0"/>
              <w:rPr>
                <w:rFonts w:ascii="宋体" w:hAnsi="宋体" w:cs="宋体"/>
              </w:rPr>
            </w:pPr>
            <w:r>
              <w:rPr>
                <w:rFonts w:hint="eastAsia" w:ascii="宋体" w:hAnsi="宋体" w:cs="宋体"/>
              </w:rPr>
              <w:t>成立赛项执委会、专家组</w:t>
            </w:r>
          </w:p>
        </w:tc>
        <w:tc>
          <w:tcPr>
            <w:tcW w:w="2016" w:type="dxa"/>
            <w:vMerge w:val="continue"/>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4" w:hRule="atLeast"/>
          <w:jc w:val="center"/>
        </w:trPr>
        <w:tc>
          <w:tcPr>
            <w:tcW w:w="1076" w:type="dxa"/>
            <w:vMerge w:val="restart"/>
            <w:vAlign w:val="center"/>
          </w:tcPr>
          <w:p>
            <w:pPr>
              <w:ind w:firstLine="0" w:firstLineChars="0"/>
              <w:rPr>
                <w:rFonts w:ascii="宋体" w:hAnsi="宋体" w:cs="宋体"/>
              </w:rPr>
            </w:pPr>
            <w:r>
              <w:rPr>
                <w:rFonts w:hint="eastAsia" w:ascii="宋体" w:hAnsi="宋体" w:cs="宋体"/>
              </w:rPr>
              <w:t>2</w:t>
            </w:r>
          </w:p>
          <w:p>
            <w:pPr>
              <w:ind w:firstLine="0" w:firstLineChars="0"/>
              <w:rPr>
                <w:rFonts w:ascii="宋体" w:hAnsi="宋体" w:cs="宋体"/>
              </w:rPr>
            </w:pPr>
          </w:p>
        </w:tc>
        <w:tc>
          <w:tcPr>
            <w:tcW w:w="1445" w:type="dxa"/>
            <w:vMerge w:val="restart"/>
            <w:vAlign w:val="center"/>
          </w:tcPr>
          <w:p>
            <w:pPr>
              <w:ind w:firstLine="0" w:firstLineChars="0"/>
              <w:rPr>
                <w:rFonts w:ascii="宋体" w:hAnsi="宋体" w:cs="宋体"/>
              </w:rPr>
            </w:pPr>
            <w:r>
              <w:rPr>
                <w:rFonts w:hint="eastAsia" w:ascii="宋体" w:hAnsi="宋体" w:cs="宋体"/>
              </w:rPr>
              <w:t>赛前准备</w:t>
            </w:r>
          </w:p>
        </w:tc>
        <w:tc>
          <w:tcPr>
            <w:tcW w:w="4252" w:type="dxa"/>
            <w:vAlign w:val="center"/>
          </w:tcPr>
          <w:p>
            <w:pPr>
              <w:ind w:firstLine="0" w:firstLineChars="0"/>
              <w:rPr>
                <w:rFonts w:ascii="宋体" w:hAnsi="宋体" w:cs="宋体"/>
              </w:rPr>
            </w:pPr>
            <w:r>
              <w:rPr>
                <w:rFonts w:hint="eastAsia" w:ascii="宋体" w:hAnsi="宋体" w:cs="宋体"/>
              </w:rPr>
              <w:t>赛项专家会议3-5轮次会议，确定赛项规程、样题、赛项技术方案、赛场方案、体验环节设计方案、开放方案、宣传方案、教学资源转化方案、赛事安全规章、突发事件应急预案等</w:t>
            </w:r>
          </w:p>
        </w:tc>
        <w:tc>
          <w:tcPr>
            <w:tcW w:w="2016" w:type="dxa"/>
            <w:vAlign w:val="center"/>
          </w:tcPr>
          <w:p>
            <w:pPr>
              <w:ind w:firstLine="0" w:firstLineChars="0"/>
              <w:rPr>
                <w:rFonts w:ascii="宋体" w:hAnsi="宋体" w:cs="宋体"/>
              </w:rPr>
            </w:pPr>
            <w:r>
              <w:rPr>
                <w:rFonts w:hint="eastAsia" w:ascii="宋体" w:hAnsi="宋体" w:cs="宋体"/>
              </w:rPr>
              <w:t>2019年2月～3月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exact"/>
          <w:jc w:val="center"/>
        </w:trPr>
        <w:tc>
          <w:tcPr>
            <w:tcW w:w="1076" w:type="dxa"/>
            <w:vMerge w:val="continue"/>
            <w:vAlign w:val="center"/>
          </w:tcPr>
          <w:p>
            <w:pPr>
              <w:ind w:firstLine="0" w:firstLineChars="0"/>
              <w:rPr>
                <w:rFonts w:ascii="宋体" w:hAnsi="宋体" w:cs="宋体"/>
              </w:rPr>
            </w:pPr>
          </w:p>
        </w:tc>
        <w:tc>
          <w:tcPr>
            <w:tcW w:w="1445" w:type="dxa"/>
            <w:vMerge w:val="continue"/>
            <w:vAlign w:val="center"/>
          </w:tcPr>
          <w:p>
            <w:pPr>
              <w:ind w:firstLine="0" w:firstLineChars="0"/>
              <w:rPr>
                <w:rFonts w:ascii="宋体" w:hAnsi="宋体" w:cs="宋体"/>
              </w:rPr>
            </w:pPr>
          </w:p>
        </w:tc>
        <w:tc>
          <w:tcPr>
            <w:tcW w:w="4252" w:type="dxa"/>
            <w:vAlign w:val="center"/>
          </w:tcPr>
          <w:p>
            <w:pPr>
              <w:ind w:firstLine="0" w:firstLineChars="0"/>
              <w:rPr>
                <w:rFonts w:ascii="宋体" w:hAnsi="宋体" w:cs="宋体"/>
              </w:rPr>
            </w:pPr>
            <w:r>
              <w:rPr>
                <w:rFonts w:hint="eastAsia" w:ascii="宋体" w:hAnsi="宋体" w:cs="宋体"/>
              </w:rPr>
              <w:t>确定分赛区及承办校</w:t>
            </w:r>
          </w:p>
        </w:tc>
        <w:tc>
          <w:tcPr>
            <w:tcW w:w="2016" w:type="dxa"/>
            <w:vAlign w:val="center"/>
          </w:tcPr>
          <w:p>
            <w:pPr>
              <w:ind w:firstLine="0" w:firstLineChars="0"/>
              <w:rPr>
                <w:rFonts w:ascii="宋体" w:hAnsi="宋体" w:cs="宋体"/>
              </w:rPr>
            </w:pPr>
            <w:r>
              <w:rPr>
                <w:rFonts w:hint="eastAsia" w:ascii="宋体" w:hAnsi="宋体" w:cs="宋体"/>
              </w:rPr>
              <w:t>2019年3月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exact"/>
          <w:jc w:val="center"/>
        </w:trPr>
        <w:tc>
          <w:tcPr>
            <w:tcW w:w="1076" w:type="dxa"/>
            <w:vMerge w:val="continue"/>
            <w:vAlign w:val="center"/>
          </w:tcPr>
          <w:p>
            <w:pPr>
              <w:ind w:firstLine="0" w:firstLineChars="0"/>
              <w:rPr>
                <w:rFonts w:ascii="宋体" w:hAnsi="宋体" w:cs="宋体"/>
              </w:rPr>
            </w:pPr>
          </w:p>
        </w:tc>
        <w:tc>
          <w:tcPr>
            <w:tcW w:w="1445" w:type="dxa"/>
            <w:vMerge w:val="continue"/>
            <w:vAlign w:val="center"/>
          </w:tcPr>
          <w:p>
            <w:pPr>
              <w:ind w:firstLine="0" w:firstLineChars="0"/>
              <w:rPr>
                <w:rFonts w:ascii="宋体" w:hAnsi="宋体" w:cs="宋体"/>
              </w:rPr>
            </w:pPr>
          </w:p>
        </w:tc>
        <w:tc>
          <w:tcPr>
            <w:tcW w:w="4252" w:type="dxa"/>
            <w:vAlign w:val="center"/>
          </w:tcPr>
          <w:p>
            <w:pPr>
              <w:ind w:firstLine="0" w:firstLineChars="0"/>
              <w:rPr>
                <w:rFonts w:ascii="宋体" w:hAnsi="宋体" w:cs="宋体"/>
              </w:rPr>
            </w:pPr>
            <w:r>
              <w:rPr>
                <w:rFonts w:hint="eastAsia" w:ascii="宋体" w:hAnsi="宋体" w:cs="宋体"/>
              </w:rPr>
              <w:t>全国赛项说明会</w:t>
            </w:r>
          </w:p>
        </w:tc>
        <w:tc>
          <w:tcPr>
            <w:tcW w:w="2016" w:type="dxa"/>
            <w:vAlign w:val="center"/>
          </w:tcPr>
          <w:p>
            <w:pPr>
              <w:ind w:firstLine="0" w:firstLineChars="0"/>
              <w:rPr>
                <w:rFonts w:ascii="宋体" w:hAnsi="宋体" w:cs="宋体"/>
              </w:rPr>
            </w:pPr>
            <w:r>
              <w:rPr>
                <w:rFonts w:hint="eastAsia" w:ascii="宋体" w:hAnsi="宋体" w:cs="宋体"/>
              </w:rPr>
              <w:t>2019年3月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exact"/>
          <w:jc w:val="center"/>
        </w:trPr>
        <w:tc>
          <w:tcPr>
            <w:tcW w:w="1076" w:type="dxa"/>
            <w:vMerge w:val="continue"/>
            <w:vAlign w:val="center"/>
          </w:tcPr>
          <w:p>
            <w:pPr>
              <w:ind w:firstLine="0" w:firstLineChars="0"/>
              <w:rPr>
                <w:rFonts w:ascii="宋体" w:hAnsi="宋体" w:cs="宋体"/>
              </w:rPr>
            </w:pPr>
          </w:p>
        </w:tc>
        <w:tc>
          <w:tcPr>
            <w:tcW w:w="1445" w:type="dxa"/>
            <w:vMerge w:val="continue"/>
            <w:vAlign w:val="center"/>
          </w:tcPr>
          <w:p>
            <w:pPr>
              <w:ind w:firstLine="0" w:firstLineChars="0"/>
              <w:rPr>
                <w:rFonts w:ascii="宋体" w:hAnsi="宋体" w:cs="宋体"/>
              </w:rPr>
            </w:pPr>
          </w:p>
        </w:tc>
        <w:tc>
          <w:tcPr>
            <w:tcW w:w="4252" w:type="dxa"/>
            <w:vAlign w:val="center"/>
          </w:tcPr>
          <w:p>
            <w:pPr>
              <w:ind w:firstLine="0" w:firstLineChars="0"/>
              <w:rPr>
                <w:rFonts w:ascii="宋体" w:hAnsi="宋体" w:cs="宋体"/>
              </w:rPr>
            </w:pPr>
            <w:r>
              <w:rPr>
                <w:rFonts w:hint="eastAsia" w:ascii="宋体" w:hAnsi="宋体" w:cs="宋体"/>
              </w:rPr>
              <w:t>命题专家组会议，赛题开发、确定竞赛题库</w:t>
            </w:r>
          </w:p>
        </w:tc>
        <w:tc>
          <w:tcPr>
            <w:tcW w:w="2016" w:type="dxa"/>
            <w:vAlign w:val="center"/>
          </w:tcPr>
          <w:p>
            <w:pPr>
              <w:ind w:firstLine="0" w:firstLineChars="0"/>
              <w:rPr>
                <w:rFonts w:ascii="宋体" w:hAnsi="宋体" w:cs="宋体"/>
              </w:rPr>
            </w:pPr>
            <w:r>
              <w:rPr>
                <w:rFonts w:hint="eastAsia" w:ascii="宋体" w:hAnsi="宋体" w:cs="宋体"/>
              </w:rPr>
              <w:t>2019年3月～4月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exact"/>
          <w:jc w:val="center"/>
        </w:trPr>
        <w:tc>
          <w:tcPr>
            <w:tcW w:w="1076" w:type="dxa"/>
            <w:vMerge w:val="continue"/>
            <w:vAlign w:val="center"/>
          </w:tcPr>
          <w:p>
            <w:pPr>
              <w:ind w:firstLine="0" w:firstLineChars="0"/>
              <w:rPr>
                <w:rFonts w:ascii="宋体" w:hAnsi="宋体" w:cs="宋体"/>
              </w:rPr>
            </w:pPr>
          </w:p>
        </w:tc>
        <w:tc>
          <w:tcPr>
            <w:tcW w:w="1445" w:type="dxa"/>
            <w:vMerge w:val="continue"/>
            <w:vAlign w:val="center"/>
          </w:tcPr>
          <w:p>
            <w:pPr>
              <w:ind w:firstLine="0" w:firstLineChars="0"/>
              <w:rPr>
                <w:rFonts w:ascii="宋体" w:hAnsi="宋体" w:cs="宋体"/>
              </w:rPr>
            </w:pPr>
          </w:p>
        </w:tc>
        <w:tc>
          <w:tcPr>
            <w:tcW w:w="4252" w:type="dxa"/>
            <w:vAlign w:val="center"/>
          </w:tcPr>
          <w:p>
            <w:pPr>
              <w:ind w:firstLine="0" w:firstLineChars="0"/>
              <w:rPr>
                <w:rFonts w:ascii="宋体" w:hAnsi="宋体" w:cs="宋体"/>
              </w:rPr>
            </w:pPr>
            <w:r>
              <w:rPr>
                <w:rFonts w:hint="eastAsia" w:ascii="宋体" w:hAnsi="宋体" w:cs="宋体"/>
              </w:rPr>
              <w:t>赛项预报名及报名完成</w:t>
            </w:r>
          </w:p>
        </w:tc>
        <w:tc>
          <w:tcPr>
            <w:tcW w:w="2016" w:type="dxa"/>
            <w:vAlign w:val="center"/>
          </w:tcPr>
          <w:p>
            <w:pPr>
              <w:ind w:firstLine="0" w:firstLineChars="0"/>
              <w:rPr>
                <w:rFonts w:ascii="宋体" w:hAnsi="宋体" w:cs="宋体"/>
              </w:rPr>
            </w:pPr>
            <w:r>
              <w:rPr>
                <w:rFonts w:hint="eastAsia" w:ascii="宋体" w:hAnsi="宋体" w:cs="宋体"/>
              </w:rPr>
              <w:t>2019年3月～4月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4" w:hRule="exact"/>
          <w:jc w:val="center"/>
        </w:trPr>
        <w:tc>
          <w:tcPr>
            <w:tcW w:w="1076" w:type="dxa"/>
            <w:vMerge w:val="restart"/>
            <w:vAlign w:val="center"/>
          </w:tcPr>
          <w:p>
            <w:pPr>
              <w:ind w:firstLine="0" w:firstLineChars="0"/>
              <w:rPr>
                <w:rFonts w:ascii="宋体" w:hAnsi="宋体" w:cs="宋体"/>
              </w:rPr>
            </w:pPr>
            <w:r>
              <w:rPr>
                <w:rFonts w:hint="eastAsia" w:ascii="宋体" w:hAnsi="宋体" w:cs="宋体"/>
              </w:rPr>
              <w:t>3</w:t>
            </w:r>
          </w:p>
        </w:tc>
        <w:tc>
          <w:tcPr>
            <w:tcW w:w="1445" w:type="dxa"/>
            <w:vMerge w:val="restart"/>
            <w:vAlign w:val="center"/>
          </w:tcPr>
          <w:p>
            <w:pPr>
              <w:ind w:firstLine="0" w:firstLineChars="0"/>
              <w:rPr>
                <w:rFonts w:ascii="宋体" w:hAnsi="宋体" w:cs="宋体"/>
              </w:rPr>
            </w:pPr>
            <w:r>
              <w:rPr>
                <w:rFonts w:hint="eastAsia" w:ascii="宋体" w:hAnsi="宋体" w:cs="宋体"/>
              </w:rPr>
              <w:t>比赛阶段</w:t>
            </w:r>
          </w:p>
        </w:tc>
        <w:tc>
          <w:tcPr>
            <w:tcW w:w="4252" w:type="dxa"/>
            <w:vAlign w:val="center"/>
          </w:tcPr>
          <w:p>
            <w:pPr>
              <w:ind w:firstLine="0" w:firstLineChars="0"/>
              <w:rPr>
                <w:rFonts w:ascii="宋体" w:hAnsi="宋体" w:cs="宋体"/>
              </w:rPr>
            </w:pPr>
            <w:r>
              <w:rPr>
                <w:rFonts w:hint="eastAsia" w:ascii="宋体" w:hAnsi="宋体" w:cs="宋体"/>
              </w:rPr>
              <w:t>比赛设备安装、调试，赛场布置、同期技术展示、体验和活动现场布置；赛项指南印刷、选手服装制作</w:t>
            </w:r>
          </w:p>
        </w:tc>
        <w:tc>
          <w:tcPr>
            <w:tcW w:w="2016" w:type="dxa"/>
            <w:vMerge w:val="restart"/>
            <w:vAlign w:val="center"/>
          </w:tcPr>
          <w:p>
            <w:pPr>
              <w:ind w:firstLine="0" w:firstLineChars="0"/>
              <w:rPr>
                <w:rFonts w:ascii="宋体" w:hAnsi="宋体" w:cs="宋体"/>
              </w:rPr>
            </w:pPr>
            <w:r>
              <w:rPr>
                <w:rFonts w:hint="eastAsia" w:ascii="宋体" w:hAnsi="宋体" w:cs="宋体"/>
              </w:rPr>
              <w:t>2019年4月～5月30日</w:t>
            </w:r>
          </w:p>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076" w:type="dxa"/>
            <w:vMerge w:val="continue"/>
            <w:vAlign w:val="center"/>
          </w:tcPr>
          <w:p>
            <w:pPr>
              <w:ind w:firstLine="0" w:firstLineChars="0"/>
              <w:rPr>
                <w:rFonts w:ascii="宋体" w:hAnsi="宋体" w:cs="宋体"/>
              </w:rPr>
            </w:pPr>
          </w:p>
        </w:tc>
        <w:tc>
          <w:tcPr>
            <w:tcW w:w="1445" w:type="dxa"/>
            <w:vMerge w:val="continue"/>
            <w:vAlign w:val="center"/>
          </w:tcPr>
          <w:p>
            <w:pPr>
              <w:ind w:firstLine="0" w:firstLineChars="0"/>
              <w:rPr>
                <w:rFonts w:ascii="宋体" w:hAnsi="宋体" w:cs="宋体"/>
              </w:rPr>
            </w:pPr>
          </w:p>
        </w:tc>
        <w:tc>
          <w:tcPr>
            <w:tcW w:w="4252" w:type="dxa"/>
            <w:vAlign w:val="center"/>
          </w:tcPr>
          <w:p>
            <w:pPr>
              <w:ind w:firstLine="0" w:firstLineChars="0"/>
              <w:rPr>
                <w:rFonts w:ascii="宋体" w:hAnsi="宋体" w:cs="宋体"/>
              </w:rPr>
            </w:pPr>
            <w:r>
              <w:rPr>
                <w:rFonts w:hint="eastAsia" w:ascii="宋体" w:hAnsi="宋体" w:cs="宋体"/>
              </w:rPr>
              <w:t>专家组题库审核，确定评分标准及抽题</w:t>
            </w:r>
          </w:p>
        </w:tc>
        <w:tc>
          <w:tcPr>
            <w:tcW w:w="2016" w:type="dxa"/>
            <w:vMerge w:val="continue"/>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1076" w:type="dxa"/>
            <w:vMerge w:val="continue"/>
            <w:vAlign w:val="center"/>
          </w:tcPr>
          <w:p>
            <w:pPr>
              <w:ind w:firstLine="0" w:firstLineChars="0"/>
              <w:rPr>
                <w:rFonts w:ascii="宋体" w:hAnsi="宋体" w:cs="宋体"/>
              </w:rPr>
            </w:pPr>
          </w:p>
        </w:tc>
        <w:tc>
          <w:tcPr>
            <w:tcW w:w="1445" w:type="dxa"/>
            <w:vMerge w:val="continue"/>
            <w:vAlign w:val="center"/>
          </w:tcPr>
          <w:p>
            <w:pPr>
              <w:ind w:firstLine="0" w:firstLineChars="0"/>
              <w:rPr>
                <w:rFonts w:ascii="宋体" w:hAnsi="宋体" w:cs="宋体"/>
              </w:rPr>
            </w:pPr>
          </w:p>
        </w:tc>
        <w:tc>
          <w:tcPr>
            <w:tcW w:w="4252" w:type="dxa"/>
            <w:vAlign w:val="center"/>
          </w:tcPr>
          <w:p>
            <w:pPr>
              <w:ind w:firstLine="0" w:firstLineChars="0"/>
              <w:rPr>
                <w:rFonts w:ascii="宋体" w:hAnsi="宋体" w:cs="宋体"/>
              </w:rPr>
            </w:pPr>
            <w:r>
              <w:rPr>
                <w:rFonts w:hint="eastAsia" w:ascii="宋体" w:hAnsi="宋体" w:cs="宋体"/>
              </w:rPr>
              <w:t>成立裁判组、仲裁组、监督组；培训并验收赛场</w:t>
            </w:r>
          </w:p>
        </w:tc>
        <w:tc>
          <w:tcPr>
            <w:tcW w:w="2016" w:type="dxa"/>
            <w:vMerge w:val="continue"/>
            <w:vAlign w:val="center"/>
          </w:tcPr>
          <w:p>
            <w:pPr>
              <w:ind w:firstLine="0" w:firstLineChars="0"/>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9" w:hRule="atLeast"/>
          <w:jc w:val="center"/>
        </w:trPr>
        <w:tc>
          <w:tcPr>
            <w:tcW w:w="1076" w:type="dxa"/>
            <w:vMerge w:val="continue"/>
            <w:vAlign w:val="center"/>
          </w:tcPr>
          <w:p>
            <w:pPr>
              <w:ind w:firstLine="0" w:firstLineChars="0"/>
              <w:rPr>
                <w:rFonts w:ascii="宋体" w:hAnsi="宋体" w:cs="宋体"/>
              </w:rPr>
            </w:pPr>
          </w:p>
        </w:tc>
        <w:tc>
          <w:tcPr>
            <w:tcW w:w="1445" w:type="dxa"/>
            <w:vMerge w:val="continue"/>
            <w:vAlign w:val="center"/>
          </w:tcPr>
          <w:p>
            <w:pPr>
              <w:ind w:firstLine="0" w:firstLineChars="0"/>
              <w:rPr>
                <w:rFonts w:ascii="宋体" w:hAnsi="宋体" w:cs="宋体"/>
              </w:rPr>
            </w:pPr>
          </w:p>
        </w:tc>
        <w:tc>
          <w:tcPr>
            <w:tcW w:w="4252" w:type="dxa"/>
            <w:vAlign w:val="center"/>
          </w:tcPr>
          <w:p>
            <w:pPr>
              <w:ind w:firstLine="0" w:firstLineChars="0"/>
              <w:rPr>
                <w:rFonts w:ascii="宋体" w:hAnsi="宋体" w:cs="宋体"/>
              </w:rPr>
            </w:pPr>
            <w:r>
              <w:rPr>
                <w:rFonts w:hint="eastAsia" w:ascii="宋体" w:hAnsi="宋体" w:cs="宋体"/>
              </w:rPr>
              <w:t>正式比赛、同期技术展示、体验和活动举办；竞赛成绩提交、竞赛过程文档提交、教学资源转化成果与赛项总结</w:t>
            </w:r>
          </w:p>
        </w:tc>
        <w:tc>
          <w:tcPr>
            <w:tcW w:w="2016" w:type="dxa"/>
            <w:vMerge w:val="continue"/>
            <w:vAlign w:val="center"/>
          </w:tcPr>
          <w:p>
            <w:pPr>
              <w:ind w:firstLine="0" w:firstLineChars="0"/>
              <w:rPr>
                <w:rFonts w:ascii="宋体" w:hAnsi="宋体" w:cs="宋体"/>
              </w:rPr>
            </w:pPr>
          </w:p>
        </w:tc>
      </w:tr>
    </w:tbl>
    <w:p>
      <w:pPr>
        <w:pStyle w:val="2"/>
        <w:spacing w:line="560" w:lineRule="exact"/>
        <w:rPr>
          <w:rFonts w:ascii="黑体" w:hAnsi="黑体" w:eastAsia="黑体" w:cs="黑体"/>
          <w:b w:val="0"/>
          <w:bCs w:val="0"/>
          <w:sz w:val="30"/>
          <w:szCs w:val="30"/>
        </w:rPr>
      </w:pPr>
      <w:bookmarkStart w:id="101" w:name="_Toc25231"/>
      <w:bookmarkStart w:id="102" w:name="_Toc491101558"/>
      <w:r>
        <w:rPr>
          <w:rFonts w:hint="eastAsia" w:ascii="黑体" w:hAnsi="黑体" w:eastAsia="黑体" w:cs="黑体"/>
          <w:b w:val="0"/>
          <w:bCs w:val="0"/>
          <w:sz w:val="30"/>
          <w:szCs w:val="30"/>
        </w:rPr>
        <w:t>裁判人员建议</w:t>
      </w:r>
      <w:bookmarkEnd w:id="101"/>
      <w:bookmarkEnd w:id="102"/>
    </w:p>
    <w:tbl>
      <w:tblPr>
        <w:tblStyle w:val="32"/>
        <w:tblpPr w:leftFromText="180" w:rightFromText="180" w:vertAnchor="text" w:horzAnchor="margin" w:tblpXSpec="center" w:tblpY="8"/>
        <w:tblW w:w="892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2"/>
        <w:gridCol w:w="901"/>
        <w:gridCol w:w="1176"/>
        <w:gridCol w:w="2305"/>
        <w:gridCol w:w="1311"/>
        <w:gridCol w:w="1538"/>
        <w:gridCol w:w="11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2" w:type="dxa"/>
            <w:tcBorders>
              <w:top w:val="single" w:color="auto" w:sz="8" w:space="0"/>
            </w:tcBorders>
            <w:vAlign w:val="center"/>
          </w:tcPr>
          <w:p>
            <w:pPr>
              <w:adjustRightInd w:val="0"/>
              <w:snapToGrid w:val="0"/>
              <w:ind w:firstLine="0" w:firstLineChars="0"/>
              <w:jc w:val="center"/>
              <w:rPr>
                <w:rFonts w:ascii="宋体" w:hAnsi="宋体" w:cs="宋体"/>
                <w:b/>
              </w:rPr>
            </w:pPr>
            <w:r>
              <w:rPr>
                <w:rFonts w:hint="eastAsia" w:ascii="宋体" w:hAnsi="宋体" w:cs="宋体"/>
                <w:b/>
              </w:rPr>
              <w:t>序号</w:t>
            </w:r>
          </w:p>
        </w:tc>
        <w:tc>
          <w:tcPr>
            <w:tcW w:w="901" w:type="dxa"/>
            <w:tcBorders>
              <w:top w:val="single" w:color="auto" w:sz="8" w:space="0"/>
            </w:tcBorders>
            <w:vAlign w:val="center"/>
          </w:tcPr>
          <w:p>
            <w:pPr>
              <w:adjustRightInd w:val="0"/>
              <w:snapToGrid w:val="0"/>
              <w:ind w:firstLine="0" w:firstLineChars="0"/>
              <w:jc w:val="center"/>
              <w:rPr>
                <w:rFonts w:ascii="宋体" w:hAnsi="宋体" w:cs="宋体"/>
                <w:b/>
              </w:rPr>
            </w:pPr>
            <w:r>
              <w:rPr>
                <w:rFonts w:hint="eastAsia" w:ascii="宋体" w:hAnsi="宋体" w:cs="宋体"/>
                <w:b/>
              </w:rPr>
              <w:t>人员类型</w:t>
            </w:r>
          </w:p>
        </w:tc>
        <w:tc>
          <w:tcPr>
            <w:tcW w:w="1176" w:type="dxa"/>
            <w:tcBorders>
              <w:top w:val="single" w:color="auto" w:sz="8" w:space="0"/>
            </w:tcBorders>
            <w:vAlign w:val="center"/>
          </w:tcPr>
          <w:p>
            <w:pPr>
              <w:adjustRightInd w:val="0"/>
              <w:snapToGrid w:val="0"/>
              <w:ind w:firstLine="0" w:firstLineChars="0"/>
              <w:jc w:val="center"/>
              <w:rPr>
                <w:rFonts w:ascii="宋体" w:hAnsi="宋体" w:cs="宋体"/>
                <w:b/>
              </w:rPr>
            </w:pPr>
            <w:r>
              <w:rPr>
                <w:rFonts w:hint="eastAsia" w:ascii="宋体" w:hAnsi="宋体" w:cs="宋体"/>
                <w:b/>
              </w:rPr>
              <w:t>专业技术方向</w:t>
            </w:r>
          </w:p>
        </w:tc>
        <w:tc>
          <w:tcPr>
            <w:tcW w:w="2305" w:type="dxa"/>
            <w:tcBorders>
              <w:top w:val="single" w:color="auto" w:sz="8" w:space="0"/>
            </w:tcBorders>
            <w:vAlign w:val="center"/>
          </w:tcPr>
          <w:p>
            <w:pPr>
              <w:adjustRightInd w:val="0"/>
              <w:snapToGrid w:val="0"/>
              <w:ind w:firstLine="0" w:firstLineChars="0"/>
              <w:jc w:val="center"/>
              <w:rPr>
                <w:rFonts w:ascii="宋体" w:hAnsi="宋体" w:cs="宋体"/>
                <w:b/>
              </w:rPr>
            </w:pPr>
            <w:r>
              <w:rPr>
                <w:rFonts w:hint="eastAsia" w:ascii="宋体" w:hAnsi="宋体" w:cs="宋体"/>
                <w:b/>
              </w:rPr>
              <w:t>知识能力要求</w:t>
            </w:r>
          </w:p>
        </w:tc>
        <w:tc>
          <w:tcPr>
            <w:tcW w:w="1311" w:type="dxa"/>
            <w:tcBorders>
              <w:top w:val="single" w:color="auto" w:sz="8" w:space="0"/>
            </w:tcBorders>
            <w:vAlign w:val="center"/>
          </w:tcPr>
          <w:p>
            <w:pPr>
              <w:adjustRightInd w:val="0"/>
              <w:snapToGrid w:val="0"/>
              <w:ind w:firstLine="0" w:firstLineChars="0"/>
              <w:jc w:val="center"/>
              <w:rPr>
                <w:rFonts w:ascii="宋体" w:hAnsi="宋体" w:cs="宋体"/>
                <w:b/>
              </w:rPr>
            </w:pPr>
            <w:r>
              <w:rPr>
                <w:rFonts w:hint="eastAsia" w:ascii="宋体" w:hAnsi="宋体" w:cs="宋体"/>
                <w:b/>
              </w:rPr>
              <w:t>执裁、教学、工作经历</w:t>
            </w:r>
          </w:p>
        </w:tc>
        <w:tc>
          <w:tcPr>
            <w:tcW w:w="1538" w:type="dxa"/>
            <w:tcBorders>
              <w:top w:val="single" w:color="auto" w:sz="8" w:space="0"/>
            </w:tcBorders>
            <w:vAlign w:val="center"/>
          </w:tcPr>
          <w:p>
            <w:pPr>
              <w:adjustRightInd w:val="0"/>
              <w:snapToGrid w:val="0"/>
              <w:ind w:firstLine="0" w:firstLineChars="0"/>
              <w:jc w:val="center"/>
              <w:rPr>
                <w:rFonts w:ascii="宋体" w:hAnsi="宋体" w:cs="宋体"/>
                <w:b/>
              </w:rPr>
            </w:pPr>
            <w:r>
              <w:rPr>
                <w:rFonts w:hint="eastAsia" w:ascii="宋体" w:hAnsi="宋体" w:cs="宋体"/>
                <w:b/>
              </w:rPr>
              <w:t>专业技术职称</w:t>
            </w:r>
          </w:p>
          <w:p>
            <w:pPr>
              <w:adjustRightInd w:val="0"/>
              <w:snapToGrid w:val="0"/>
              <w:ind w:firstLine="0" w:firstLineChars="0"/>
              <w:jc w:val="center"/>
              <w:rPr>
                <w:rFonts w:ascii="宋体" w:hAnsi="宋体" w:cs="宋体"/>
                <w:b/>
              </w:rPr>
            </w:pPr>
            <w:r>
              <w:rPr>
                <w:rFonts w:hint="eastAsia" w:ascii="宋体" w:hAnsi="宋体" w:cs="宋体"/>
                <w:b/>
              </w:rPr>
              <w:t>（职业资格等级）</w:t>
            </w:r>
          </w:p>
        </w:tc>
        <w:tc>
          <w:tcPr>
            <w:tcW w:w="1158" w:type="dxa"/>
            <w:tcBorders>
              <w:top w:val="single" w:color="auto" w:sz="8" w:space="0"/>
            </w:tcBorders>
            <w:vAlign w:val="center"/>
          </w:tcPr>
          <w:p>
            <w:pPr>
              <w:adjustRightInd w:val="0"/>
              <w:snapToGrid w:val="0"/>
              <w:ind w:firstLine="0" w:firstLineChars="0"/>
              <w:jc w:val="center"/>
              <w:rPr>
                <w:rFonts w:ascii="宋体" w:hAnsi="宋体" w:cs="宋体"/>
                <w:b/>
              </w:rPr>
            </w:pPr>
            <w:r>
              <w:rPr>
                <w:rFonts w:hint="eastAsia" w:ascii="宋体" w:hAnsi="宋体" w:cs="宋体"/>
                <w:b/>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2" w:type="dxa"/>
            <w:vAlign w:val="center"/>
          </w:tcPr>
          <w:p>
            <w:pPr>
              <w:adjustRightInd w:val="0"/>
              <w:snapToGrid w:val="0"/>
              <w:ind w:firstLine="0" w:firstLineChars="0"/>
              <w:jc w:val="center"/>
              <w:rPr>
                <w:rFonts w:ascii="宋体" w:hAnsi="宋体" w:cs="宋体"/>
              </w:rPr>
            </w:pPr>
            <w:r>
              <w:rPr>
                <w:rFonts w:hint="eastAsia" w:ascii="宋体" w:hAnsi="宋体" w:cs="宋体"/>
              </w:rPr>
              <w:t>1</w:t>
            </w:r>
          </w:p>
        </w:tc>
        <w:tc>
          <w:tcPr>
            <w:tcW w:w="901" w:type="dxa"/>
            <w:vAlign w:val="center"/>
          </w:tcPr>
          <w:p>
            <w:pPr>
              <w:adjustRightInd w:val="0"/>
              <w:snapToGrid w:val="0"/>
              <w:ind w:firstLine="0" w:firstLineChars="0"/>
              <w:jc w:val="center"/>
              <w:rPr>
                <w:rFonts w:ascii="宋体" w:hAnsi="宋体" w:cs="宋体"/>
              </w:rPr>
            </w:pPr>
            <w:r>
              <w:rPr>
                <w:rFonts w:hint="eastAsia" w:ascii="宋体" w:hAnsi="宋体" w:cs="宋体"/>
              </w:rPr>
              <w:t>裁判长</w:t>
            </w:r>
          </w:p>
        </w:tc>
        <w:tc>
          <w:tcPr>
            <w:tcW w:w="1176" w:type="dxa"/>
            <w:vAlign w:val="center"/>
          </w:tcPr>
          <w:p>
            <w:pPr>
              <w:adjustRightInd w:val="0"/>
              <w:snapToGrid w:val="0"/>
              <w:ind w:firstLine="0" w:firstLineChars="0"/>
              <w:rPr>
                <w:rFonts w:ascii="宋体" w:hAnsi="宋体" w:cs="宋体"/>
              </w:rPr>
            </w:pPr>
            <w:r>
              <w:rPr>
                <w:rFonts w:hint="eastAsia" w:ascii="宋体" w:hAnsi="宋体" w:cs="宋体"/>
              </w:rPr>
              <w:t>轨道交通通信信号相关专业</w:t>
            </w:r>
          </w:p>
        </w:tc>
        <w:tc>
          <w:tcPr>
            <w:tcW w:w="2305" w:type="dxa"/>
            <w:vAlign w:val="center"/>
          </w:tcPr>
          <w:p>
            <w:pPr>
              <w:adjustRightInd w:val="0"/>
              <w:snapToGrid w:val="0"/>
              <w:ind w:firstLine="0" w:firstLineChars="0"/>
              <w:jc w:val="center"/>
              <w:rPr>
                <w:rFonts w:ascii="宋体" w:hAnsi="宋体" w:cs="宋体"/>
              </w:rPr>
            </w:pPr>
            <w:r>
              <w:rPr>
                <w:rFonts w:hint="eastAsia" w:ascii="宋体" w:hAnsi="宋体" w:cs="宋体"/>
              </w:rPr>
              <w:t>从事轨道交通通信信号相关专业(职业)5年以上</w:t>
            </w:r>
          </w:p>
        </w:tc>
        <w:tc>
          <w:tcPr>
            <w:tcW w:w="1311" w:type="dxa"/>
            <w:vAlign w:val="center"/>
          </w:tcPr>
          <w:p>
            <w:pPr>
              <w:adjustRightInd w:val="0"/>
              <w:snapToGrid w:val="0"/>
              <w:ind w:firstLine="0" w:firstLineChars="0"/>
              <w:jc w:val="center"/>
              <w:rPr>
                <w:rFonts w:ascii="宋体" w:hAnsi="宋体" w:cs="宋体"/>
              </w:rPr>
            </w:pPr>
            <w:r>
              <w:rPr>
                <w:rFonts w:hint="eastAsia" w:ascii="宋体" w:hAnsi="宋体" w:cs="宋体"/>
              </w:rPr>
              <w:t>1年以上相关经验</w:t>
            </w:r>
          </w:p>
        </w:tc>
        <w:tc>
          <w:tcPr>
            <w:tcW w:w="1538" w:type="dxa"/>
            <w:vAlign w:val="center"/>
          </w:tcPr>
          <w:p>
            <w:pPr>
              <w:adjustRightInd w:val="0"/>
              <w:snapToGrid w:val="0"/>
              <w:ind w:firstLine="0" w:firstLineChars="0"/>
              <w:jc w:val="center"/>
              <w:rPr>
                <w:rFonts w:ascii="宋体" w:hAnsi="宋体" w:cs="宋体"/>
              </w:rPr>
            </w:pPr>
            <w:r>
              <w:rPr>
                <w:rFonts w:hint="eastAsia" w:ascii="宋体" w:hAnsi="宋体" w:cs="宋体"/>
              </w:rPr>
              <w:t>副高及以上</w:t>
            </w:r>
          </w:p>
        </w:tc>
        <w:tc>
          <w:tcPr>
            <w:tcW w:w="1158" w:type="dxa"/>
            <w:vAlign w:val="center"/>
          </w:tcPr>
          <w:p>
            <w:pPr>
              <w:adjustRightInd w:val="0"/>
              <w:snapToGrid w:val="0"/>
              <w:ind w:firstLine="0" w:firstLineChars="0"/>
              <w:jc w:val="center"/>
              <w:rPr>
                <w:rFonts w:ascii="宋体" w:hAnsi="宋体" w:cs="宋体"/>
              </w:rPr>
            </w:pPr>
            <w:r>
              <w:rPr>
                <w:rFonts w:hint="eastAsia" w:ascii="宋体" w:hAnsi="宋体" w:cs="宋体"/>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2" w:type="dxa"/>
            <w:vAlign w:val="center"/>
          </w:tcPr>
          <w:p>
            <w:pPr>
              <w:adjustRightInd w:val="0"/>
              <w:snapToGrid w:val="0"/>
              <w:ind w:firstLine="0" w:firstLineChars="0"/>
              <w:jc w:val="center"/>
              <w:rPr>
                <w:rFonts w:ascii="宋体" w:hAnsi="宋体" w:cs="宋体"/>
              </w:rPr>
            </w:pPr>
            <w:r>
              <w:rPr>
                <w:rFonts w:hint="eastAsia" w:ascii="宋体" w:hAnsi="宋体" w:cs="宋体"/>
              </w:rPr>
              <w:t>2</w:t>
            </w:r>
          </w:p>
        </w:tc>
        <w:tc>
          <w:tcPr>
            <w:tcW w:w="901" w:type="dxa"/>
            <w:vAlign w:val="center"/>
          </w:tcPr>
          <w:p>
            <w:pPr>
              <w:adjustRightInd w:val="0"/>
              <w:snapToGrid w:val="0"/>
              <w:ind w:firstLine="0" w:firstLineChars="0"/>
              <w:jc w:val="center"/>
              <w:rPr>
                <w:rFonts w:ascii="宋体" w:hAnsi="宋体" w:cs="宋体"/>
              </w:rPr>
            </w:pPr>
            <w:r>
              <w:rPr>
                <w:rFonts w:hint="eastAsia" w:ascii="宋体" w:hAnsi="宋体" w:cs="宋体"/>
              </w:rPr>
              <w:t>评分裁判</w:t>
            </w:r>
          </w:p>
        </w:tc>
        <w:tc>
          <w:tcPr>
            <w:tcW w:w="1176" w:type="dxa"/>
            <w:vAlign w:val="center"/>
          </w:tcPr>
          <w:p>
            <w:pPr>
              <w:adjustRightInd w:val="0"/>
              <w:snapToGrid w:val="0"/>
              <w:ind w:firstLine="0" w:firstLineChars="0"/>
              <w:rPr>
                <w:rFonts w:ascii="宋体" w:hAnsi="宋体" w:cs="宋体"/>
              </w:rPr>
            </w:pPr>
            <w:r>
              <w:rPr>
                <w:rFonts w:hint="eastAsia" w:ascii="宋体" w:hAnsi="宋体" w:cs="宋体"/>
              </w:rPr>
              <w:t>轨道交通通信信号相关专业</w:t>
            </w:r>
          </w:p>
        </w:tc>
        <w:tc>
          <w:tcPr>
            <w:tcW w:w="2305" w:type="dxa"/>
            <w:vAlign w:val="center"/>
          </w:tcPr>
          <w:p>
            <w:pPr>
              <w:adjustRightInd w:val="0"/>
              <w:snapToGrid w:val="0"/>
              <w:ind w:firstLine="0" w:firstLineChars="0"/>
              <w:jc w:val="center"/>
              <w:rPr>
                <w:rFonts w:ascii="宋体" w:hAnsi="宋体" w:cs="宋体"/>
              </w:rPr>
            </w:pPr>
            <w:r>
              <w:rPr>
                <w:rFonts w:hint="eastAsia" w:ascii="宋体" w:hAnsi="宋体" w:cs="宋体"/>
              </w:rPr>
              <w:t>从事轨道交通通信信号相关专业(职业)5年以上</w:t>
            </w:r>
          </w:p>
        </w:tc>
        <w:tc>
          <w:tcPr>
            <w:tcW w:w="1311" w:type="dxa"/>
            <w:vAlign w:val="center"/>
          </w:tcPr>
          <w:p>
            <w:pPr>
              <w:adjustRightInd w:val="0"/>
              <w:snapToGrid w:val="0"/>
              <w:ind w:firstLine="0" w:firstLineChars="0"/>
              <w:jc w:val="center"/>
              <w:rPr>
                <w:rFonts w:ascii="宋体" w:hAnsi="宋体" w:cs="宋体"/>
              </w:rPr>
            </w:pPr>
            <w:r>
              <w:rPr>
                <w:rFonts w:hint="eastAsia" w:ascii="宋体" w:hAnsi="宋体" w:cs="宋体"/>
              </w:rPr>
              <w:t>1年以上相关经验</w:t>
            </w:r>
          </w:p>
        </w:tc>
        <w:tc>
          <w:tcPr>
            <w:tcW w:w="1538" w:type="dxa"/>
            <w:vAlign w:val="center"/>
          </w:tcPr>
          <w:p>
            <w:pPr>
              <w:adjustRightInd w:val="0"/>
              <w:snapToGrid w:val="0"/>
              <w:ind w:firstLine="0" w:firstLineChars="0"/>
              <w:jc w:val="center"/>
              <w:rPr>
                <w:rFonts w:ascii="宋体" w:hAnsi="宋体" w:cs="宋体"/>
              </w:rPr>
            </w:pPr>
            <w:r>
              <w:rPr>
                <w:rFonts w:hint="eastAsia" w:ascii="宋体" w:hAnsi="宋体" w:cs="宋体"/>
              </w:rPr>
              <w:t>副高及以上</w:t>
            </w:r>
          </w:p>
        </w:tc>
        <w:tc>
          <w:tcPr>
            <w:tcW w:w="1158" w:type="dxa"/>
            <w:vAlign w:val="center"/>
          </w:tcPr>
          <w:p>
            <w:pPr>
              <w:adjustRightInd w:val="0"/>
              <w:snapToGrid w:val="0"/>
              <w:ind w:firstLine="0" w:firstLineChars="0"/>
              <w:jc w:val="center"/>
              <w:rPr>
                <w:rFonts w:ascii="宋体" w:hAnsi="宋体" w:cs="宋体"/>
              </w:rPr>
            </w:pPr>
            <w:r>
              <w:rPr>
                <w:rFonts w:hint="eastAsia" w:ascii="宋体" w:hAnsi="宋体" w:cs="宋体"/>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2" w:type="dxa"/>
            <w:vAlign w:val="center"/>
          </w:tcPr>
          <w:p>
            <w:pPr>
              <w:adjustRightInd w:val="0"/>
              <w:snapToGrid w:val="0"/>
              <w:ind w:firstLine="0" w:firstLineChars="0"/>
              <w:jc w:val="center"/>
              <w:rPr>
                <w:rFonts w:ascii="宋体" w:hAnsi="宋体" w:cs="宋体"/>
              </w:rPr>
            </w:pPr>
            <w:r>
              <w:rPr>
                <w:rFonts w:hint="eastAsia" w:ascii="宋体" w:hAnsi="宋体" w:cs="宋体"/>
              </w:rPr>
              <w:t>3</w:t>
            </w:r>
          </w:p>
        </w:tc>
        <w:tc>
          <w:tcPr>
            <w:tcW w:w="901" w:type="dxa"/>
            <w:vAlign w:val="center"/>
          </w:tcPr>
          <w:p>
            <w:pPr>
              <w:adjustRightInd w:val="0"/>
              <w:snapToGrid w:val="0"/>
              <w:ind w:firstLine="0" w:firstLineChars="0"/>
              <w:jc w:val="center"/>
              <w:rPr>
                <w:rFonts w:ascii="宋体" w:hAnsi="宋体" w:cs="宋体"/>
              </w:rPr>
            </w:pPr>
            <w:r>
              <w:rPr>
                <w:rFonts w:hint="eastAsia" w:ascii="宋体" w:hAnsi="宋体" w:cs="宋体"/>
              </w:rPr>
              <w:t>现场裁判</w:t>
            </w:r>
          </w:p>
        </w:tc>
        <w:tc>
          <w:tcPr>
            <w:tcW w:w="1176" w:type="dxa"/>
            <w:vAlign w:val="center"/>
          </w:tcPr>
          <w:p>
            <w:pPr>
              <w:adjustRightInd w:val="0"/>
              <w:snapToGrid w:val="0"/>
              <w:ind w:firstLine="0" w:firstLineChars="0"/>
              <w:rPr>
                <w:rFonts w:ascii="宋体" w:hAnsi="宋体" w:cs="宋体"/>
              </w:rPr>
            </w:pPr>
            <w:r>
              <w:rPr>
                <w:rFonts w:hint="eastAsia" w:ascii="宋体" w:hAnsi="宋体" w:cs="宋体"/>
              </w:rPr>
              <w:t>轨道交通通信信号相关专业</w:t>
            </w:r>
          </w:p>
        </w:tc>
        <w:tc>
          <w:tcPr>
            <w:tcW w:w="2305" w:type="dxa"/>
            <w:vAlign w:val="center"/>
          </w:tcPr>
          <w:p>
            <w:pPr>
              <w:adjustRightInd w:val="0"/>
              <w:snapToGrid w:val="0"/>
              <w:ind w:firstLine="0" w:firstLineChars="0"/>
              <w:jc w:val="center"/>
              <w:rPr>
                <w:rFonts w:ascii="宋体" w:hAnsi="宋体" w:cs="宋体"/>
              </w:rPr>
            </w:pPr>
            <w:r>
              <w:rPr>
                <w:rFonts w:hint="eastAsia" w:ascii="宋体" w:hAnsi="宋体" w:cs="宋体"/>
              </w:rPr>
              <w:t>从事轨道交通通信信号相关专业(职业)5年以上</w:t>
            </w:r>
          </w:p>
        </w:tc>
        <w:tc>
          <w:tcPr>
            <w:tcW w:w="1311" w:type="dxa"/>
            <w:vAlign w:val="center"/>
          </w:tcPr>
          <w:p>
            <w:pPr>
              <w:adjustRightInd w:val="0"/>
              <w:snapToGrid w:val="0"/>
              <w:ind w:firstLine="0" w:firstLineChars="0"/>
              <w:jc w:val="center"/>
              <w:rPr>
                <w:rFonts w:ascii="宋体" w:hAnsi="宋体" w:cs="宋体"/>
              </w:rPr>
            </w:pPr>
            <w:r>
              <w:rPr>
                <w:rFonts w:hint="eastAsia" w:ascii="宋体" w:hAnsi="宋体" w:cs="宋体"/>
              </w:rPr>
              <w:t>1年以上相关经验</w:t>
            </w:r>
          </w:p>
        </w:tc>
        <w:tc>
          <w:tcPr>
            <w:tcW w:w="1538" w:type="dxa"/>
            <w:vAlign w:val="center"/>
          </w:tcPr>
          <w:p>
            <w:pPr>
              <w:adjustRightInd w:val="0"/>
              <w:snapToGrid w:val="0"/>
              <w:ind w:firstLine="0" w:firstLineChars="0"/>
              <w:jc w:val="center"/>
              <w:rPr>
                <w:rFonts w:ascii="宋体" w:hAnsi="宋体" w:cs="宋体"/>
              </w:rPr>
            </w:pPr>
            <w:r>
              <w:rPr>
                <w:rFonts w:hint="eastAsia" w:ascii="宋体" w:hAnsi="宋体" w:cs="宋体"/>
              </w:rPr>
              <w:t>副高及以上</w:t>
            </w:r>
          </w:p>
        </w:tc>
        <w:tc>
          <w:tcPr>
            <w:tcW w:w="1158" w:type="dxa"/>
            <w:vAlign w:val="center"/>
          </w:tcPr>
          <w:p>
            <w:pPr>
              <w:adjustRightInd w:val="0"/>
              <w:snapToGrid w:val="0"/>
              <w:ind w:firstLine="0" w:firstLineChars="0"/>
              <w:jc w:val="center"/>
              <w:rPr>
                <w:rFonts w:ascii="宋体" w:hAnsi="宋体" w:cs="宋体"/>
              </w:rPr>
            </w:pPr>
            <w:r>
              <w:rPr>
                <w:rFonts w:hint="eastAsia" w:ascii="宋体" w:hAnsi="宋体" w:cs="宋体"/>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2" w:type="dxa"/>
            <w:vAlign w:val="center"/>
          </w:tcPr>
          <w:p>
            <w:pPr>
              <w:adjustRightInd w:val="0"/>
              <w:snapToGrid w:val="0"/>
              <w:ind w:firstLine="0" w:firstLineChars="0"/>
              <w:jc w:val="center"/>
              <w:rPr>
                <w:rFonts w:ascii="宋体" w:hAnsi="宋体" w:cs="宋体"/>
              </w:rPr>
            </w:pPr>
            <w:r>
              <w:rPr>
                <w:rFonts w:hint="eastAsia" w:ascii="宋体" w:hAnsi="宋体" w:cs="宋体"/>
              </w:rPr>
              <w:t>4</w:t>
            </w:r>
          </w:p>
        </w:tc>
        <w:tc>
          <w:tcPr>
            <w:tcW w:w="901" w:type="dxa"/>
            <w:vAlign w:val="center"/>
          </w:tcPr>
          <w:p>
            <w:pPr>
              <w:adjustRightInd w:val="0"/>
              <w:snapToGrid w:val="0"/>
              <w:ind w:firstLine="0" w:firstLineChars="0"/>
              <w:jc w:val="center"/>
              <w:rPr>
                <w:rFonts w:ascii="宋体" w:hAnsi="宋体" w:cs="宋体"/>
              </w:rPr>
            </w:pPr>
            <w:r>
              <w:rPr>
                <w:rFonts w:hint="eastAsia" w:ascii="宋体" w:hAnsi="宋体" w:cs="宋体"/>
              </w:rPr>
              <w:t>加密裁判</w:t>
            </w:r>
          </w:p>
        </w:tc>
        <w:tc>
          <w:tcPr>
            <w:tcW w:w="1176" w:type="dxa"/>
            <w:vAlign w:val="center"/>
          </w:tcPr>
          <w:p>
            <w:pPr>
              <w:adjustRightInd w:val="0"/>
              <w:snapToGrid w:val="0"/>
              <w:ind w:firstLine="0" w:firstLineChars="0"/>
              <w:rPr>
                <w:rFonts w:ascii="宋体" w:hAnsi="宋体" w:cs="宋体"/>
              </w:rPr>
            </w:pPr>
            <w:r>
              <w:rPr>
                <w:rFonts w:hint="eastAsia" w:ascii="宋体" w:hAnsi="宋体" w:cs="宋体"/>
              </w:rPr>
              <w:t>计算机相关专业</w:t>
            </w:r>
          </w:p>
        </w:tc>
        <w:tc>
          <w:tcPr>
            <w:tcW w:w="2305" w:type="dxa"/>
            <w:vAlign w:val="center"/>
          </w:tcPr>
          <w:p>
            <w:pPr>
              <w:adjustRightInd w:val="0"/>
              <w:snapToGrid w:val="0"/>
              <w:ind w:firstLine="0" w:firstLineChars="0"/>
              <w:jc w:val="center"/>
              <w:rPr>
                <w:rFonts w:ascii="宋体" w:hAnsi="宋体" w:cs="宋体"/>
              </w:rPr>
            </w:pPr>
            <w:r>
              <w:rPr>
                <w:rFonts w:hint="eastAsia" w:ascii="宋体" w:hAnsi="宋体" w:cs="宋体"/>
              </w:rPr>
              <w:t>熟悉计算机相关操作</w:t>
            </w:r>
          </w:p>
        </w:tc>
        <w:tc>
          <w:tcPr>
            <w:tcW w:w="1311" w:type="dxa"/>
            <w:vAlign w:val="center"/>
          </w:tcPr>
          <w:p>
            <w:pPr>
              <w:adjustRightInd w:val="0"/>
              <w:snapToGrid w:val="0"/>
              <w:ind w:firstLine="0" w:firstLineChars="0"/>
              <w:jc w:val="center"/>
              <w:rPr>
                <w:rFonts w:ascii="宋体" w:hAnsi="宋体" w:cs="宋体"/>
              </w:rPr>
            </w:pPr>
            <w:r>
              <w:rPr>
                <w:rFonts w:hint="eastAsia" w:ascii="宋体" w:hAnsi="宋体" w:cs="宋体"/>
              </w:rPr>
              <w:t>1年以上相关经验</w:t>
            </w:r>
          </w:p>
        </w:tc>
        <w:tc>
          <w:tcPr>
            <w:tcW w:w="1538" w:type="dxa"/>
            <w:vAlign w:val="center"/>
          </w:tcPr>
          <w:p>
            <w:pPr>
              <w:adjustRightInd w:val="0"/>
              <w:snapToGrid w:val="0"/>
              <w:ind w:firstLine="0" w:firstLineChars="0"/>
              <w:jc w:val="center"/>
              <w:rPr>
                <w:rFonts w:ascii="宋体" w:hAnsi="宋体" w:cs="宋体"/>
              </w:rPr>
            </w:pPr>
            <w:r>
              <w:rPr>
                <w:rFonts w:hint="eastAsia" w:ascii="宋体" w:hAnsi="宋体" w:cs="宋体"/>
              </w:rPr>
              <w:t>不限</w:t>
            </w:r>
          </w:p>
        </w:tc>
        <w:tc>
          <w:tcPr>
            <w:tcW w:w="1158" w:type="dxa"/>
            <w:vAlign w:val="center"/>
          </w:tcPr>
          <w:p>
            <w:pPr>
              <w:adjustRightInd w:val="0"/>
              <w:snapToGrid w:val="0"/>
              <w:ind w:firstLine="0" w:firstLineChars="0"/>
              <w:jc w:val="center"/>
              <w:rPr>
                <w:rFonts w:ascii="宋体" w:hAnsi="宋体" w:cs="宋体"/>
              </w:rPr>
            </w:pPr>
            <w:r>
              <w:rPr>
                <w:rFonts w:hint="eastAsia" w:ascii="宋体" w:hAnsi="宋体" w:cs="宋体"/>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609" w:type="dxa"/>
            <w:gridSpan w:val="3"/>
            <w:tcBorders>
              <w:bottom w:val="single" w:color="auto" w:sz="8" w:space="0"/>
            </w:tcBorders>
            <w:vAlign w:val="center"/>
          </w:tcPr>
          <w:p>
            <w:pPr>
              <w:adjustRightInd w:val="0"/>
              <w:snapToGrid w:val="0"/>
              <w:ind w:firstLine="0" w:firstLineChars="0"/>
              <w:jc w:val="center"/>
              <w:rPr>
                <w:rFonts w:ascii="宋体" w:hAnsi="宋体" w:cs="宋体"/>
              </w:rPr>
            </w:pPr>
            <w:r>
              <w:rPr>
                <w:rFonts w:hint="eastAsia" w:ascii="宋体" w:hAnsi="宋体" w:cs="宋体"/>
                <w:b/>
              </w:rPr>
              <w:t>裁判总人数</w:t>
            </w:r>
          </w:p>
        </w:tc>
        <w:tc>
          <w:tcPr>
            <w:tcW w:w="6312" w:type="dxa"/>
            <w:gridSpan w:val="4"/>
            <w:tcBorders>
              <w:bottom w:val="single" w:color="auto" w:sz="8" w:space="0"/>
            </w:tcBorders>
            <w:vAlign w:val="center"/>
          </w:tcPr>
          <w:p>
            <w:pPr>
              <w:adjustRightInd w:val="0"/>
              <w:snapToGrid w:val="0"/>
              <w:ind w:firstLine="0" w:firstLineChars="0"/>
              <w:jc w:val="center"/>
              <w:rPr>
                <w:rFonts w:ascii="宋体" w:hAnsi="宋体" w:cs="宋体"/>
              </w:rPr>
            </w:pPr>
            <w:r>
              <w:rPr>
                <w:rFonts w:hint="eastAsia" w:ascii="宋体" w:hAnsi="宋体" w:cs="宋体"/>
              </w:rPr>
              <w:t>32人</w:t>
            </w:r>
          </w:p>
        </w:tc>
      </w:tr>
    </w:tbl>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根据《全国职业院校技能大赛</w:t>
      </w:r>
      <w:bookmarkStart w:id="103" w:name="_Toc383625600"/>
      <w:r>
        <w:rPr>
          <w:rFonts w:hint="eastAsia" w:ascii="仿宋_GB2312" w:hAnsi="仿宋_GB2312" w:eastAsia="仿宋_GB2312" w:cs="仿宋_GB2312"/>
          <w:sz w:val="30"/>
          <w:szCs w:val="30"/>
        </w:rPr>
        <w:t>专家和裁判工作管理办法</w:t>
      </w:r>
      <w:bookmarkEnd w:id="103"/>
      <w:r>
        <w:rPr>
          <w:rFonts w:hint="eastAsia" w:ascii="仿宋_GB2312" w:hAnsi="仿宋_GB2312" w:eastAsia="仿宋_GB2312" w:cs="仿宋_GB2312"/>
          <w:sz w:val="30"/>
          <w:szCs w:val="30"/>
        </w:rPr>
        <w:t>》，建议由高校、职业院校以及行业、企业专家共同构成裁判组。</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对裁判组成员及数量的要求为：裁判长1名，负责裁判组各成员的正常职责和规范操作；一级加密裁判1名；二级加密裁判1名，负责比赛成绩的加密；现场裁判11名，按照具体组数进行划分，负责协调和记录现场情况；评分裁判18名，负责评分。要求：身体健康，年龄一般在65周岁以下，具有良好的职业道德，坚持原则，作风正派，认真负责，廉洁公正，从事轨道交通通信信号控制专业工作或教学经验5年以上，有较深的理论造诣，熟悉本专业国内外的技术标准和业务流程，在全国专业领域内有一定的权威性和知名度，具有副高及以上专业技术职称。</w:t>
      </w:r>
    </w:p>
    <w:p>
      <w:pPr>
        <w:pStyle w:val="2"/>
        <w:spacing w:line="560" w:lineRule="exact"/>
        <w:rPr>
          <w:rFonts w:ascii="黑体" w:hAnsi="黑体" w:eastAsia="黑体" w:cs="黑体"/>
          <w:b w:val="0"/>
          <w:bCs w:val="0"/>
          <w:sz w:val="30"/>
          <w:szCs w:val="30"/>
        </w:rPr>
      </w:pPr>
      <w:bookmarkStart w:id="104" w:name="_Toc6834"/>
      <w:r>
        <w:rPr>
          <w:rFonts w:hint="eastAsia" w:ascii="黑体" w:hAnsi="黑体" w:eastAsia="黑体" w:cs="黑体"/>
          <w:b w:val="0"/>
          <w:bCs w:val="0"/>
          <w:sz w:val="30"/>
          <w:szCs w:val="30"/>
        </w:rPr>
        <w:t>赛题公开承诺</w:t>
      </w:r>
      <w:bookmarkEnd w:id="104"/>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承诺保证于开赛1个月前在大赛网络信息发布平台上（www.chinaskills-jsw.org)公开全部赛题。</w:t>
      </w:r>
    </w:p>
    <w:p>
      <w:pPr>
        <w:pStyle w:val="2"/>
        <w:spacing w:line="560" w:lineRule="exact"/>
        <w:rPr>
          <w:rFonts w:ascii="黑体" w:hAnsi="黑体" w:eastAsia="黑体" w:cs="黑体"/>
          <w:b w:val="0"/>
          <w:bCs w:val="0"/>
          <w:sz w:val="30"/>
          <w:szCs w:val="30"/>
        </w:rPr>
      </w:pPr>
      <w:bookmarkStart w:id="105" w:name="_Toc10581"/>
      <w:bookmarkStart w:id="106" w:name="_Toc491101559"/>
      <w:r>
        <w:rPr>
          <w:rFonts w:hint="eastAsia" w:ascii="黑体" w:hAnsi="黑体" w:eastAsia="黑体" w:cs="黑体"/>
          <w:b w:val="0"/>
          <w:bCs w:val="0"/>
          <w:sz w:val="30"/>
          <w:szCs w:val="30"/>
        </w:rPr>
        <w:t>其他</w:t>
      </w:r>
      <w:bookmarkEnd w:id="105"/>
      <w:bookmarkEnd w:id="106"/>
    </w:p>
    <w:p>
      <w:pPr>
        <w:snapToGrid w:val="0"/>
        <w:spacing w:line="560" w:lineRule="exact"/>
        <w:ind w:firstLine="600"/>
        <w:rPr>
          <w:rFonts w:hint="eastAsia" w:ascii="仿宋_GB2312" w:hAnsi="仿宋_GB2312" w:eastAsia="仿宋_GB2312" w:cs="仿宋_GB2312"/>
          <w:sz w:val="30"/>
          <w:szCs w:val="30"/>
        </w:rPr>
      </w:pPr>
      <w:bookmarkStart w:id="121" w:name="_GoBack"/>
      <w:bookmarkEnd w:id="121"/>
    </w:p>
    <w:p>
      <w:pPr>
        <w:snapToGrid w:val="0"/>
        <w:spacing w:line="560" w:lineRule="exact"/>
        <w:ind w:firstLine="600"/>
        <w:rPr>
          <w:rFonts w:ascii="仿宋_GB2312" w:hAnsi="仿宋_GB2312" w:eastAsia="仿宋_GB2312" w:cs="仿宋_GB2312"/>
          <w:sz w:val="30"/>
          <w:szCs w:val="30"/>
        </w:rPr>
        <w:sectPr>
          <w:headerReference r:id="rId3" w:type="default"/>
          <w:footerReference r:id="rId4" w:type="default"/>
          <w:pgSz w:w="11906" w:h="16838"/>
          <w:pgMar w:top="1440" w:right="1134" w:bottom="1440" w:left="1797" w:header="851" w:footer="992" w:gutter="0"/>
          <w:pgNumType w:start="1"/>
          <w:cols w:space="720" w:num="1"/>
          <w:docGrid w:type="linesAndChars" w:linePitch="326" w:charSpace="0"/>
        </w:sectPr>
      </w:pPr>
      <w:r>
        <w:rPr>
          <w:rFonts w:hint="eastAsia" w:ascii="仿宋_GB2312" w:hAnsi="仿宋_GB2312" w:eastAsia="仿宋_GB2312" w:cs="仿宋_GB2312"/>
          <w:sz w:val="30"/>
          <w:szCs w:val="30"/>
        </w:rPr>
        <w:t>本赛项申报书涉及内容以及未尽事宜，均以现行《全国职业院校技能大赛制度汇编》为原则，按照汇编制度的要求执行。</w:t>
      </w:r>
    </w:p>
    <w:p>
      <w:pPr>
        <w:pStyle w:val="26"/>
        <w:spacing w:line="560" w:lineRule="exact"/>
        <w:ind w:firstLine="0" w:firstLineChars="0"/>
        <w:jc w:val="both"/>
        <w:rPr>
          <w:rFonts w:ascii="仿宋_GB2312" w:hAnsi="仿宋_GB2312" w:eastAsia="仿宋_GB2312" w:cs="仿宋_GB2312"/>
          <w:bCs w:val="0"/>
          <w:sz w:val="30"/>
          <w:szCs w:val="30"/>
        </w:rPr>
      </w:pPr>
      <w:r>
        <w:rPr>
          <w:rFonts w:hint="eastAsia" w:ascii="仿宋_GB2312" w:hAnsi="仿宋_GB2312" w:eastAsia="仿宋_GB2312" w:cs="仿宋_GB2312"/>
          <w:bCs w:val="0"/>
          <w:sz w:val="30"/>
          <w:szCs w:val="30"/>
        </w:rPr>
        <w:t>附件一:样卷</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选手须知：</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（1）本竞赛任务书如出现任务书缺页、字迹不清等问题，请及时向裁判示意，更换任务书。</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（2）竞赛时间共3小时，包括系统安装部署、逻辑设计、故障维修、智能监控辅助系统开发、综合应用、工作报告和提交成果时间等，参赛团队应在3小时内完成竞赛任务书规定内容。</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3）参赛选手提交的竞赛答题卡与竞赛任务书上只能按要求填写工位号进行识别，不得填写指定内容之外的任何识别性标记。如果出现地区、校名、姓名等其他任何与竞赛队有关的识别信息，一经发现，竞赛答题卡及其它提交结果作废，比赛成绩按零分处理，并且提请赛项执委会进行处罚。</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4）任务中要求提交的截图\照片、文字、视频资料等内容中都不允许出现本工位或者其他工位参赛选手图像、选手姓名、校名或者其他任何识别性的标记。一经发现，竞赛答题卡及其它提交结果作废，比赛成绩按零分处理，并且提请赛项执委会进行处罚。</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（5）竞赛任务书、竞赛答题卡、竞赛工具及竞赛材料等不得带出竞赛场地，一经发现，竞赛答题卡及其它提交结果作废，比赛成绩按零分处理，并且提请赛项执委会进行处罚。</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6）正式比赛前，参赛选手需对竞赛平台中的设备、工具、模块等进行清点确认，正式比赛开始后，参赛选手如测定竞赛技术平台中的设备、工具、模块等有故障可向裁判提出更换，但如果该工具/模块经现场裁判与技术支持人员测定完好，属参赛选手误判时，不予延时。</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7）竞赛过程中，参赛选手要遵守安全操作规范，确保人身及设备安全，并接受裁判员的监督和警示。竞赛过程中，若出现因参赛选手不规范操作造成设备模块损坏等情况，裁判与裁判长等商量后，可根据现场情况给予酌情扣分。</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（8）在竞赛过程中，参赛选手如有舞弊、不服从裁判判决、扰乱赛场秩序等行为，裁判长按照规定扣减相应分数。情节严重的取消竞赛资格，竞赛成绩记为零分。</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特别注意</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比赛所用U盘根目录下包括2个文件夹：“辅助资料”、“提交资料”。任务中所涉及的原理图、接线图、素材等比赛资料，都存放在 “辅助资料”文件夹中。</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竞赛答题卡完成后，必须转化为PDF格式。最终成绩评判，以U盘中PDF格式的竞赛答题卡为准，在竞赛任务书上作答无效。在竞赛答题卡上作答、但未按照要求转换成PDF格式或者未存放在U盘指定目录下，对评分造成影响，责任由参赛队伍自负。</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要求提交的截图\照片、视频、文档等资料都必须存放到“提交资料”文件夹中，比赛结束前，将需要提交的竞赛文件按要求命名后全部拷贝到U盘“提交资料”文件夹中，比赛结束时一并提交。比赛提交结果以U盘为准。未按照要求存储或者提交，对评分造成影响，责任自负。</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竞赛答题卡中的截图\照片必须按照题目要求进行命名，且截图/照片必须保持清晰，若因照片模糊、排版错乱影响评分，责任由参赛队伍自负。</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截图可使用windows系统自带的“截图工具”，图片保存为PNG格式(默认设置)。</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使用竞赛配置的摄像头进行拍照，保存为PNG格式，使用方法见附录一。</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 题目要求录像时，须将指定内容进行录像，视频输出格式:wmv（视频录制软件已经设置好）,视频名称要与题目要求完全一致。录制使用方法见附录一。</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sectPr>
          <w:footerReference r:id="rId5" w:type="default"/>
          <w:pgSz w:w="11906" w:h="16838"/>
          <w:pgMar w:top="1440" w:right="1134" w:bottom="1440" w:left="1797" w:header="851" w:footer="992" w:gutter="0"/>
          <w:cols w:space="720" w:num="1"/>
          <w:docGrid w:type="lines" w:linePitch="312" w:charSpace="0"/>
        </w:sectPr>
      </w:pPr>
      <w:r>
        <w:rPr>
          <w:rFonts w:hint="eastAsia" w:ascii="仿宋_GB2312" w:hAnsi="仿宋_GB2312" w:eastAsia="仿宋_GB2312" w:cs="仿宋_GB2312"/>
          <w:kern w:val="0"/>
          <w:sz w:val="30"/>
          <w:szCs w:val="30"/>
        </w:rPr>
        <w:t>● 竞赛答题过程中，须定时保存竞赛答题卡，以防文件丢失。建议在主控台的计算机中和U盘中对需要提交的比赛文件都进行备份，以防文件损坏和丢失。</w:t>
      </w:r>
    </w:p>
    <w:p>
      <w:pPr>
        <w:pBdr>
          <w:top w:val="none" w:color="000000" w:sz="0" w:space="0"/>
          <w:left w:val="none" w:color="000000" w:sz="0" w:space="0"/>
          <w:bottom w:val="none" w:color="000000" w:sz="0" w:space="0"/>
          <w:right w:val="none" w:color="000000" w:sz="0" w:space="0"/>
        </w:pBdr>
        <w:autoSpaceDN w:val="0"/>
        <w:adjustRightInd w:val="0"/>
        <w:snapToGrid w:val="0"/>
        <w:spacing w:before="156" w:beforeLines="50" w:after="156" w:afterLines="50" w:line="560" w:lineRule="exact"/>
        <w:ind w:firstLine="600"/>
        <w:jc w:val="center"/>
        <w:outlineLvl w:val="0"/>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任务一 信号系统逻辑设计与配置（10分）</w:t>
      </w:r>
    </w:p>
    <w:p>
      <w:pPr>
        <w:autoSpaceDE w:val="0"/>
        <w:autoSpaceDN w:val="0"/>
        <w:adjustRightInd w:val="0"/>
        <w:spacing w:line="560" w:lineRule="exact"/>
        <w:ind w:firstLine="600"/>
        <w:jc w:val="left"/>
        <w:rPr>
          <w:rFonts w:ascii="仿宋_GB2312" w:hAnsi="仿宋_GB2312" w:eastAsia="仿宋_GB2312" w:cs="仿宋_GB2312"/>
          <w:b/>
          <w:bCs/>
          <w:kern w:val="0"/>
          <w:sz w:val="30"/>
          <w:szCs w:val="30"/>
        </w:rPr>
      </w:pPr>
      <w:r>
        <w:rPr>
          <w:rFonts w:hint="eastAsia" w:ascii="仿宋_GB2312" w:hAnsi="仿宋_GB2312" w:eastAsia="仿宋_GB2312" w:cs="仿宋_GB2312"/>
          <w:b/>
          <w:bCs/>
          <w:kern w:val="0"/>
          <w:sz w:val="30"/>
          <w:szCs w:val="30"/>
        </w:rPr>
        <w:t>（一）信号设备逻辑设计</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根据“辅助资料”中提供的“轨道交通信号控制系统信号组合柜布线图”，画出列控中心、发送器、接收器、衰耗盘、送端模拟网络盘、受端模拟网络盘、轨道继电器、方向继电器和模拟轨道之间的逻辑关系（各设备图片可以从“辅助资料”中素材库提取），将关系图命名为“图1-1-逻辑关系图”。并将图片粘贴至U盘根目录“提交资料\竞赛答题卡.doc”指定位置。</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注：逻辑关系图中的连线粗细、箭头形状等无格式要求。</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2.CTCS-2应用于速度在什么范围的线路？CTCS-3应用于速度在什么范围的线路？将结果写在竞赛答题卡对应位置。</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3.客运专线列控中心的主要功能是什么？（答出四点即可）。将结果写在竞赛答题卡对应位置</w:t>
      </w:r>
    </w:p>
    <w:p>
      <w:pPr>
        <w:autoSpaceDE w:val="0"/>
        <w:autoSpaceDN w:val="0"/>
        <w:adjustRightInd w:val="0"/>
        <w:spacing w:line="560" w:lineRule="exact"/>
        <w:ind w:firstLine="600"/>
        <w:jc w:val="left"/>
        <w:rPr>
          <w:rFonts w:ascii="仿宋_GB2312" w:hAnsi="仿宋_GB2312" w:eastAsia="仿宋_GB2312" w:cs="仿宋_GB2312"/>
          <w:b/>
          <w:bCs/>
          <w:kern w:val="0"/>
          <w:sz w:val="30"/>
          <w:szCs w:val="30"/>
        </w:rPr>
      </w:pPr>
      <w:r>
        <w:rPr>
          <w:rFonts w:hint="eastAsia" w:ascii="仿宋_GB2312" w:hAnsi="仿宋_GB2312" w:eastAsia="仿宋_GB2312" w:cs="仿宋_GB2312"/>
          <w:b/>
          <w:bCs/>
          <w:kern w:val="0"/>
          <w:sz w:val="30"/>
          <w:szCs w:val="30"/>
        </w:rPr>
        <w:t>（二）写出各信号设备主要配置参数和传输参数</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根据“辅助资料”中提供的</w:t>
      </w:r>
      <w:bookmarkStart w:id="107" w:name="OLE_LINK1"/>
      <w:bookmarkStart w:id="108" w:name="OLE_LINK2"/>
      <w:bookmarkStart w:id="109" w:name="OLE_LINK3"/>
      <w:r>
        <w:rPr>
          <w:rFonts w:hint="eastAsia" w:ascii="仿宋_GB2312" w:hAnsi="仿宋_GB2312" w:eastAsia="仿宋_GB2312" w:cs="仿宋_GB2312"/>
          <w:kern w:val="0"/>
          <w:sz w:val="30"/>
          <w:szCs w:val="30"/>
        </w:rPr>
        <w:t>“</w:t>
      </w:r>
      <w:bookmarkEnd w:id="107"/>
      <w:bookmarkEnd w:id="108"/>
      <w:bookmarkEnd w:id="109"/>
      <w:bookmarkStart w:id="110" w:name="OLE_LINK4"/>
      <w:bookmarkStart w:id="111" w:name="OLE_LINK6"/>
      <w:bookmarkStart w:id="112" w:name="OLE_LINK5"/>
      <w:r>
        <w:rPr>
          <w:rFonts w:hint="eastAsia" w:ascii="仿宋_GB2312" w:hAnsi="仿宋_GB2312" w:eastAsia="仿宋_GB2312" w:cs="仿宋_GB2312"/>
          <w:kern w:val="0"/>
          <w:sz w:val="30"/>
          <w:szCs w:val="30"/>
        </w:rPr>
        <w:t>轨道交通信号控制系统</w:t>
      </w:r>
      <w:bookmarkEnd w:id="110"/>
      <w:bookmarkEnd w:id="111"/>
      <w:bookmarkEnd w:id="112"/>
      <w:bookmarkStart w:id="113" w:name="OLE_LINK9"/>
      <w:bookmarkStart w:id="114" w:name="OLE_LINK10"/>
      <w:r>
        <w:rPr>
          <w:rFonts w:hint="eastAsia" w:ascii="仿宋_GB2312" w:hAnsi="仿宋_GB2312" w:eastAsia="仿宋_GB2312" w:cs="仿宋_GB2312"/>
          <w:kern w:val="0"/>
          <w:sz w:val="30"/>
          <w:szCs w:val="30"/>
        </w:rPr>
        <w:t>信号组合柜</w:t>
      </w:r>
      <w:bookmarkEnd w:id="113"/>
      <w:bookmarkEnd w:id="114"/>
      <w:r>
        <w:rPr>
          <w:rFonts w:hint="eastAsia" w:ascii="仿宋_GB2312" w:hAnsi="仿宋_GB2312" w:eastAsia="仿宋_GB2312" w:cs="仿宋_GB2312"/>
          <w:kern w:val="0"/>
          <w:sz w:val="30"/>
          <w:szCs w:val="30"/>
        </w:rPr>
        <w:t>布线图（任务一专用）.pdf”和“任务一站场图.png”和“各参数参照图.pdf”，如果将真实移频设备对应轨道区段814BG,写出该设备对应的载频值、发送器功出电压范围、衰耗盘主轨道接收电平、算出送端模拟网络盘补偿电缆长度。并将结果写在竞赛答题卡对应位置。</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600"/>
        <w:jc w:val="center"/>
        <w:outlineLvl w:val="0"/>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任务二 信号控制系统安装部署（25分）</w:t>
      </w:r>
    </w:p>
    <w:p>
      <w:pPr>
        <w:autoSpaceDE w:val="0"/>
        <w:autoSpaceDN w:val="0"/>
        <w:adjustRightInd w:val="0"/>
        <w:spacing w:before="156" w:beforeLines="50" w:after="156" w:afterLines="50" w:line="560" w:lineRule="exact"/>
        <w:ind w:firstLine="600"/>
        <w:rPr>
          <w:rFonts w:ascii="仿宋_GB2312" w:hAnsi="仿宋_GB2312" w:eastAsia="仿宋_GB2312" w:cs="仿宋_GB2312"/>
          <w:b/>
          <w:kern w:val="0"/>
          <w:sz w:val="30"/>
          <w:szCs w:val="30"/>
        </w:rPr>
      </w:pPr>
      <w:r>
        <w:rPr>
          <w:rFonts w:hint="eastAsia" w:ascii="仿宋_GB2312" w:hAnsi="仿宋_GB2312" w:eastAsia="仿宋_GB2312" w:cs="仿宋_GB2312"/>
          <w:b/>
          <w:kern w:val="0"/>
          <w:sz w:val="30"/>
          <w:szCs w:val="30"/>
        </w:rPr>
        <w:t>（一）系统设备安装、布线</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根据“辅助资料”中提供的</w:t>
      </w:r>
      <w:bookmarkStart w:id="115" w:name="OLE_LINK14"/>
      <w:bookmarkStart w:id="116" w:name="OLE_LINK16"/>
      <w:bookmarkStart w:id="117" w:name="OLE_LINK15"/>
      <w:r>
        <w:rPr>
          <w:rFonts w:hint="eastAsia" w:ascii="仿宋_GB2312" w:hAnsi="仿宋_GB2312" w:eastAsia="仿宋_GB2312" w:cs="仿宋_GB2312"/>
          <w:kern w:val="0"/>
          <w:sz w:val="30"/>
          <w:szCs w:val="30"/>
        </w:rPr>
        <w:t>“任务二轨道交通信号控制系统信号组合柜布线图”</w:t>
      </w:r>
      <w:bookmarkEnd w:id="115"/>
      <w:bookmarkEnd w:id="116"/>
      <w:bookmarkEnd w:id="117"/>
      <w:r>
        <w:rPr>
          <w:rFonts w:hint="eastAsia" w:ascii="仿宋_GB2312" w:hAnsi="仿宋_GB2312" w:eastAsia="仿宋_GB2312" w:cs="仿宋_GB2312"/>
          <w:kern w:val="0"/>
          <w:sz w:val="30"/>
          <w:szCs w:val="30"/>
        </w:rPr>
        <w:t>和“任务二轨道交通信号控制系统信号主控台布线图”对轨道交通信号控制系统信号组合柜、信号主控台设备（输入输出端子板、CAN转接板、直流24V正极电源接线端子排、直流24V负极电源接线端子排、发送器、接收器、衰耗盘、轨道继电器、方向继电器、轨道模拟盘、模拟网络盘、光照传感器、温湿度传感器、风扇等）进行安装布线，并进行通电试验和调试。</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要求如下：</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1.安装布线过程遵守安全操作规范。</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2.模块的安装位置正确牢固，螺丝、螺母选型合理。</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3.线号管与走线对应正确，且字体方向一致。</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4.冷压端子选型正确，压制牢固，无铜线裸露。</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5.继电器焊接处加塑料套管，焊接方式穿焊，焊点光滑无毛刺。</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6.严格按照布线图中的线色及接线要求接线，且线序正确，布局合理。</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7.在整体上，走线整齐、长短适宜、美观大方。</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8.提交试卷前，确保线槽盖好。</w:t>
      </w:r>
    </w:p>
    <w:p>
      <w:pPr>
        <w:autoSpaceDE w:val="0"/>
        <w:autoSpaceDN w:val="0"/>
        <w:adjustRightInd w:val="0"/>
        <w:spacing w:before="156" w:beforeLines="50" w:after="156" w:afterLines="50" w:line="560" w:lineRule="exact"/>
        <w:ind w:firstLine="600"/>
        <w:rPr>
          <w:rFonts w:ascii="仿宋_GB2312" w:hAnsi="仿宋_GB2312" w:eastAsia="仿宋_GB2312" w:cs="仿宋_GB2312"/>
          <w:b/>
          <w:kern w:val="0"/>
          <w:sz w:val="30"/>
          <w:szCs w:val="30"/>
        </w:rPr>
      </w:pPr>
      <w:r>
        <w:rPr>
          <w:rFonts w:hint="eastAsia" w:ascii="仿宋_GB2312" w:hAnsi="仿宋_GB2312" w:eastAsia="仿宋_GB2312" w:cs="仿宋_GB2312"/>
          <w:b/>
          <w:kern w:val="0"/>
          <w:sz w:val="30"/>
          <w:szCs w:val="30"/>
        </w:rPr>
        <w:t>（二）功能调试</w:t>
      </w:r>
    </w:p>
    <w:p>
      <w:pPr>
        <w:pStyle w:val="65"/>
        <w:autoSpaceDE w:val="0"/>
        <w:autoSpaceDN w:val="0"/>
        <w:adjustRightInd w:val="0"/>
        <w:spacing w:before="156" w:beforeLines="50" w:after="156" w:afterLines="50"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kern w:val="0"/>
          <w:sz w:val="30"/>
          <w:szCs w:val="30"/>
        </w:rPr>
        <w:t>1.上电后，使左数第一个模拟轨道处在空闲状态，观察发送器、接收器、衰耗盘的指示灯，若指示灯为绿色，呈正常状态。并将工作状态正常的发送器、接收器、衰耗盘进行拍照（要求在一张照片上看到三个设备的工作状态指示灯），图片命名为“图2-1-移频设备状态”。并</w:t>
      </w:r>
      <w:r>
        <w:rPr>
          <w:rFonts w:hint="eastAsia" w:ascii="仿宋_GB2312" w:hAnsi="仿宋_GB2312" w:eastAsia="仿宋_GB2312" w:cs="仿宋_GB2312"/>
          <w:sz w:val="30"/>
          <w:szCs w:val="30"/>
        </w:rPr>
        <w:t>将图片粘贴至U盘根目录“提交资料\竞赛答题卡.doc”指定位置。</w:t>
      </w:r>
    </w:p>
    <w:p>
      <w:pPr>
        <w:pStyle w:val="65"/>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2.将U盘根目录“辅助资料\任务二\PLC测试程序.mwp”下载到PLC中（程序已加密），将U盘根目录“辅助资料\任务二\人机交互界面测试程序.emtp”下载到人机交互界面中，连接好PLC与人机交互界面的通信线，运行PLC和人机交互界面，对人机交互界面拍照，图片命名为“图2-２-数据显示”，并将图片粘贴至U盘根目录“提交资料\竞赛答题卡.doc”指定位置。</w:t>
      </w:r>
    </w:p>
    <w:p>
      <w:pPr>
        <w:autoSpaceDE w:val="0"/>
        <w:autoSpaceDN w:val="0"/>
        <w:adjustRightInd w:val="0"/>
        <w:spacing w:before="156" w:beforeLines="50" w:after="156" w:afterLines="50" w:line="560" w:lineRule="exact"/>
        <w:ind w:firstLine="600"/>
        <w:rPr>
          <w:rFonts w:ascii="仿宋_GB2312" w:hAnsi="仿宋_GB2312" w:eastAsia="仿宋_GB2312" w:cs="仿宋_GB2312"/>
          <w:b/>
          <w:kern w:val="0"/>
          <w:sz w:val="30"/>
          <w:szCs w:val="30"/>
        </w:rPr>
      </w:pPr>
      <w:r>
        <w:rPr>
          <w:rFonts w:hint="eastAsia" w:ascii="仿宋_GB2312" w:hAnsi="仿宋_GB2312" w:eastAsia="仿宋_GB2312" w:cs="仿宋_GB2312"/>
          <w:b/>
          <w:kern w:val="0"/>
          <w:sz w:val="30"/>
          <w:szCs w:val="30"/>
        </w:rPr>
        <w:t>（三）环境部署</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信号组合柜各信号设备上电，启动。打开组合柜列控中心设备上的“启动轨道交通信号控制系统实训平台”软件，对启动后的“轨道交通信号控制系统操作终端”软件界面进行操作，使其显示低频和载频信息，将界面缩放至能完整显示整个站场图，并将该“轨道交通信号控制系统操作终端”界面截图，图片命名为“图2-2-操作终端界面”；将PIO视图界面截图，图片命名为 “图2-3-PIO视图界面”。并将两张图片粘贴至U盘根目录“提交资料\竞赛答题卡.doc”指定位置。</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600"/>
        <w:jc w:val="center"/>
        <w:outlineLvl w:val="0"/>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t>任务三 信号控制系统故障原因分析追查（20分）</w:t>
      </w:r>
    </w:p>
    <w:p>
      <w:pPr>
        <w:autoSpaceDE w:val="0"/>
        <w:autoSpaceDN w:val="0"/>
        <w:adjustRightInd w:val="0"/>
        <w:spacing w:before="156" w:beforeLines="50" w:after="156" w:afterLines="50" w:line="560" w:lineRule="exact"/>
        <w:ind w:firstLine="600"/>
        <w:rPr>
          <w:rFonts w:ascii="仿宋_GB2312" w:hAnsi="仿宋_GB2312" w:eastAsia="仿宋_GB2312" w:cs="仿宋_GB2312"/>
          <w:b/>
          <w:kern w:val="0"/>
          <w:sz w:val="30"/>
          <w:szCs w:val="30"/>
        </w:rPr>
      </w:pPr>
      <w:r>
        <w:rPr>
          <w:rFonts w:hint="eastAsia" w:ascii="仿宋_GB2312" w:hAnsi="仿宋_GB2312" w:eastAsia="仿宋_GB2312" w:cs="仿宋_GB2312"/>
          <w:b/>
          <w:kern w:val="0"/>
          <w:sz w:val="30"/>
          <w:szCs w:val="30"/>
        </w:rPr>
        <w:t>（一）确定故障现象</w:t>
      </w:r>
    </w:p>
    <w:p>
      <w:pPr>
        <w:autoSpaceDE w:val="0"/>
        <w:autoSpaceDN w:val="0"/>
        <w:adjustRightInd w:val="0"/>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主体机柜上有8个轨道模拟盘，依次模拟对应轨道的空闲和占用。打开组合柜上的“轨道交通信号控制系统操作终端”软件，查看系统站场图状态信息，分析判断对应故障设备。根据“辅助资料”中相关资料对故障设备进行故障定位，将故障定位、处理方法填写到表3.1中。</w:t>
      </w:r>
    </w:p>
    <w:p>
      <w:pPr>
        <w:widowControl/>
        <w:shd w:val="clear" w:color="auto" w:fill="FFFFFF"/>
        <w:spacing w:before="156" w:beforeLines="50" w:after="156" w:afterLines="50" w:line="560" w:lineRule="exact"/>
        <w:ind w:firstLine="600"/>
        <w:jc w:val="left"/>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（提示：共2处需要维修。仔细检测出现的问题，再根据原理图进行维修。）</w:t>
      </w:r>
    </w:p>
    <w:p>
      <w:pPr>
        <w:autoSpaceDE w:val="0"/>
        <w:autoSpaceDN w:val="0"/>
        <w:adjustRightInd w:val="0"/>
        <w:spacing w:line="560" w:lineRule="exact"/>
        <w:ind w:firstLine="482"/>
        <w:jc w:val="center"/>
        <w:rPr>
          <w:rFonts w:ascii="仿宋_GB2312" w:hAnsi="仿宋_GB2312" w:eastAsia="仿宋_GB2312" w:cs="仿宋_GB2312"/>
          <w:kern w:val="0"/>
          <w:sz w:val="30"/>
          <w:szCs w:val="30"/>
        </w:rPr>
      </w:pPr>
      <w:r>
        <w:rPr>
          <w:rFonts w:hint="eastAsia" w:ascii="宋体" w:hAnsi="宋体" w:cs="宋体"/>
          <w:b/>
          <w:bCs/>
          <w:kern w:val="0"/>
        </w:rPr>
        <w:t>表3.1 轨道模拟盘故障排查记录表</w:t>
      </w:r>
    </w:p>
    <w:tbl>
      <w:tblPr>
        <w:tblStyle w:val="32"/>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10"/>
        <w:gridCol w:w="42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4" w:hRule="atLeast"/>
        </w:trPr>
        <w:tc>
          <w:tcPr>
            <w:tcW w:w="4310" w:type="dxa"/>
            <w:shd w:val="clear" w:color="auto" w:fill="FFFF00"/>
            <w:vAlign w:val="center"/>
          </w:tcPr>
          <w:p>
            <w:pPr>
              <w:autoSpaceDE w:val="0"/>
              <w:autoSpaceDN w:val="0"/>
              <w:adjustRightInd w:val="0"/>
              <w:ind w:firstLine="482"/>
              <w:jc w:val="center"/>
              <w:rPr>
                <w:rFonts w:ascii="宋体" w:hAnsi="宋体" w:cs="宋体"/>
                <w:b/>
                <w:kern w:val="0"/>
              </w:rPr>
            </w:pPr>
            <w:r>
              <w:rPr>
                <w:rFonts w:hint="eastAsia" w:ascii="宋体" w:hAnsi="宋体" w:cs="宋体"/>
                <w:b/>
                <w:kern w:val="0"/>
              </w:rPr>
              <w:t>故障定位</w:t>
            </w:r>
          </w:p>
        </w:tc>
        <w:tc>
          <w:tcPr>
            <w:tcW w:w="4212" w:type="dxa"/>
            <w:shd w:val="clear" w:color="auto" w:fill="FFFF00"/>
            <w:vAlign w:val="center"/>
          </w:tcPr>
          <w:p>
            <w:pPr>
              <w:autoSpaceDE w:val="0"/>
              <w:autoSpaceDN w:val="0"/>
              <w:adjustRightInd w:val="0"/>
              <w:ind w:firstLine="482"/>
              <w:jc w:val="center"/>
              <w:rPr>
                <w:rFonts w:ascii="宋体" w:hAnsi="宋体" w:cs="宋体"/>
                <w:b/>
                <w:kern w:val="0"/>
              </w:rPr>
            </w:pPr>
            <w:r>
              <w:rPr>
                <w:rFonts w:hint="eastAsia" w:ascii="宋体" w:hAnsi="宋体" w:cs="宋体"/>
                <w:b/>
                <w:kern w:val="0"/>
              </w:rPr>
              <w:t>处理方法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9" w:hRule="atLeast"/>
        </w:trPr>
        <w:tc>
          <w:tcPr>
            <w:tcW w:w="4310" w:type="dxa"/>
          </w:tcPr>
          <w:p>
            <w:pPr>
              <w:autoSpaceDE w:val="0"/>
              <w:autoSpaceDN w:val="0"/>
              <w:adjustRightInd w:val="0"/>
              <w:ind w:firstLine="0" w:firstLineChars="0"/>
              <w:rPr>
                <w:rFonts w:ascii="宋体" w:hAnsi="宋体" w:cs="宋体"/>
                <w:kern w:val="0"/>
              </w:rPr>
            </w:pPr>
          </w:p>
        </w:tc>
        <w:tc>
          <w:tcPr>
            <w:tcW w:w="4212" w:type="dxa"/>
          </w:tcPr>
          <w:p>
            <w:pPr>
              <w:autoSpaceDE w:val="0"/>
              <w:autoSpaceDN w:val="0"/>
              <w:adjustRightInd w:val="0"/>
              <w:ind w:firstLine="0" w:firstLineChars="0"/>
              <w:rPr>
                <w:rFonts w:ascii="宋体" w:hAnsi="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3" w:hRule="atLeast"/>
        </w:trPr>
        <w:tc>
          <w:tcPr>
            <w:tcW w:w="4310" w:type="dxa"/>
          </w:tcPr>
          <w:p>
            <w:pPr>
              <w:autoSpaceDE w:val="0"/>
              <w:autoSpaceDN w:val="0"/>
              <w:adjustRightInd w:val="0"/>
              <w:jc w:val="center"/>
              <w:rPr>
                <w:rFonts w:ascii="宋体" w:hAnsi="宋体" w:cs="宋体"/>
                <w:kern w:val="0"/>
              </w:rPr>
            </w:pPr>
          </w:p>
        </w:tc>
        <w:tc>
          <w:tcPr>
            <w:tcW w:w="4212" w:type="dxa"/>
          </w:tcPr>
          <w:p>
            <w:pPr>
              <w:autoSpaceDE w:val="0"/>
              <w:autoSpaceDN w:val="0"/>
              <w:adjustRightInd w:val="0"/>
              <w:jc w:val="center"/>
              <w:rPr>
                <w:rFonts w:ascii="宋体" w:hAnsi="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6" w:hRule="atLeast"/>
        </w:trPr>
        <w:tc>
          <w:tcPr>
            <w:tcW w:w="4310" w:type="dxa"/>
          </w:tcPr>
          <w:p>
            <w:pPr>
              <w:autoSpaceDE w:val="0"/>
              <w:autoSpaceDN w:val="0"/>
              <w:adjustRightInd w:val="0"/>
              <w:jc w:val="center"/>
              <w:rPr>
                <w:rFonts w:ascii="宋体" w:hAnsi="宋体" w:cs="宋体"/>
                <w:kern w:val="0"/>
              </w:rPr>
            </w:pPr>
          </w:p>
        </w:tc>
        <w:tc>
          <w:tcPr>
            <w:tcW w:w="4212" w:type="dxa"/>
          </w:tcPr>
          <w:p>
            <w:pPr>
              <w:autoSpaceDE w:val="0"/>
              <w:autoSpaceDN w:val="0"/>
              <w:adjustRightInd w:val="0"/>
              <w:jc w:val="center"/>
              <w:rPr>
                <w:rFonts w:ascii="宋体" w:hAnsi="宋体" w:cs="宋体"/>
                <w:kern w:val="0"/>
              </w:rPr>
            </w:pPr>
          </w:p>
        </w:tc>
      </w:tr>
    </w:tbl>
    <w:p>
      <w:pPr>
        <w:autoSpaceDE w:val="0"/>
        <w:autoSpaceDN w:val="0"/>
        <w:adjustRightInd w:val="0"/>
        <w:spacing w:before="156" w:beforeLines="50" w:after="156" w:afterLines="50" w:line="560" w:lineRule="exact"/>
        <w:ind w:firstLine="600"/>
        <w:rPr>
          <w:rFonts w:ascii="仿宋_GB2312" w:hAnsi="仿宋_GB2312" w:eastAsia="仿宋_GB2312" w:cs="仿宋_GB2312"/>
          <w:b/>
          <w:kern w:val="0"/>
          <w:sz w:val="30"/>
          <w:szCs w:val="30"/>
        </w:rPr>
      </w:pPr>
      <w:r>
        <w:rPr>
          <w:rFonts w:hint="eastAsia" w:ascii="仿宋_GB2312" w:hAnsi="仿宋_GB2312" w:eastAsia="仿宋_GB2312" w:cs="仿宋_GB2312"/>
          <w:b/>
          <w:kern w:val="0"/>
          <w:sz w:val="30"/>
          <w:szCs w:val="30"/>
        </w:rPr>
        <w:t>（二）故障排查与维修</w:t>
      </w:r>
    </w:p>
    <w:p>
      <w:pPr>
        <w:widowControl/>
        <w:shd w:val="clear" w:color="auto" w:fill="FFFFFF"/>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确定故障后，利用万用表、烙铁等工具进行电路板电路的维修，确定电路板电源电路无误后，再上电测试。完成维修。并将与实物继电器对应的8个轨道区段全占用状态下的“轨道交通信号控制系统操作终端”界面截图（要求截图上能清楚显示与实物继电器对应的8个轨道区段的状态），图片命名为“图3-1-八个区段占用”；再将8个轨道区段设成全空闲状态，并截图（要求截图上能清楚显示与实物继电器对应的8个轨道区段的状态），图片命名为“图3-2-八个区段空闲”。并</w:t>
      </w:r>
      <w:r>
        <w:rPr>
          <w:rFonts w:hint="eastAsia" w:ascii="仿宋_GB2312" w:hAnsi="仿宋_GB2312" w:eastAsia="仿宋_GB2312" w:cs="仿宋_GB2312"/>
          <w:sz w:val="30"/>
          <w:szCs w:val="30"/>
        </w:rPr>
        <w:t>将以上两张图片粘贴至U盘根目录“提交资料\竞赛答题卡.doc”指定位置。</w:t>
      </w:r>
    </w:p>
    <w:p>
      <w:pPr>
        <w:autoSpaceDE w:val="0"/>
        <w:autoSpaceDN w:val="0"/>
        <w:adjustRightInd w:val="0"/>
        <w:spacing w:before="156" w:beforeLines="50" w:after="156" w:afterLines="50" w:line="560" w:lineRule="exact"/>
        <w:ind w:firstLine="600"/>
        <w:rPr>
          <w:rFonts w:ascii="仿宋_GB2312" w:hAnsi="仿宋_GB2312" w:eastAsia="仿宋_GB2312" w:cs="仿宋_GB2312"/>
          <w:b/>
          <w:kern w:val="0"/>
          <w:sz w:val="30"/>
          <w:szCs w:val="30"/>
        </w:rPr>
      </w:pPr>
      <w:r>
        <w:rPr>
          <w:rFonts w:hint="eastAsia" w:ascii="仿宋_GB2312" w:hAnsi="仿宋_GB2312" w:eastAsia="仿宋_GB2312" w:cs="仿宋_GB2312"/>
          <w:b/>
          <w:kern w:val="0"/>
          <w:sz w:val="30"/>
          <w:szCs w:val="30"/>
        </w:rPr>
        <w:t>（三）数据测量</w:t>
      </w:r>
    </w:p>
    <w:p>
      <w:pPr>
        <w:widowControl/>
        <w:shd w:val="clear" w:color="auto" w:fill="FFFFFF"/>
        <w:spacing w:before="156" w:beforeLines="50" w:after="156" w:afterLines="50" w:line="560" w:lineRule="exact"/>
        <w:ind w:firstLine="6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测量并记录与真实移频柜对应的轨道模拟盘在空闲和占用状态时衰耗盘上轨入、主轨出两个插孔电压。将结果</w:t>
      </w:r>
      <w:r>
        <w:rPr>
          <w:rFonts w:hint="eastAsia" w:ascii="仿宋_GB2312" w:hAnsi="仿宋_GB2312" w:eastAsia="仿宋_GB2312" w:cs="仿宋_GB2312"/>
          <w:sz w:val="30"/>
          <w:szCs w:val="30"/>
        </w:rPr>
        <w:t>填写到表3.2</w:t>
      </w:r>
      <w:r>
        <w:rPr>
          <w:rFonts w:hint="eastAsia" w:ascii="仿宋_GB2312" w:hAnsi="仿宋_GB2312" w:eastAsia="仿宋_GB2312" w:cs="仿宋_GB2312"/>
          <w:kern w:val="0"/>
          <w:sz w:val="30"/>
          <w:szCs w:val="30"/>
        </w:rPr>
        <w:t>中。</w:t>
      </w:r>
    </w:p>
    <w:p>
      <w:pPr>
        <w:autoSpaceDE w:val="0"/>
        <w:autoSpaceDN w:val="0"/>
        <w:adjustRightInd w:val="0"/>
        <w:spacing w:line="560" w:lineRule="exact"/>
        <w:ind w:firstLine="482"/>
        <w:jc w:val="center"/>
        <w:rPr>
          <w:rFonts w:ascii="仿宋_GB2312" w:hAnsi="仿宋_GB2312" w:eastAsia="仿宋_GB2312" w:cs="仿宋_GB2312"/>
          <w:kern w:val="0"/>
          <w:sz w:val="30"/>
          <w:szCs w:val="30"/>
        </w:rPr>
      </w:pPr>
      <w:r>
        <w:rPr>
          <w:rFonts w:hint="eastAsia" w:ascii="宋体" w:hAnsi="宋体" w:cs="宋体"/>
          <w:b/>
          <w:bCs/>
          <w:kern w:val="0"/>
        </w:rPr>
        <w:t>表3.2 衰耗盘插孔数据测量记录表</w:t>
      </w:r>
    </w:p>
    <w:tbl>
      <w:tblPr>
        <w:tblStyle w:val="32"/>
        <w:tblW w:w="89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77"/>
        <w:gridCol w:w="4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7" w:hRule="atLeast"/>
        </w:trPr>
        <w:tc>
          <w:tcPr>
            <w:tcW w:w="4077" w:type="dxa"/>
            <w:shd w:val="clear" w:color="auto" w:fill="FFFF00"/>
            <w:vAlign w:val="center"/>
          </w:tcPr>
          <w:p>
            <w:pPr>
              <w:autoSpaceDE w:val="0"/>
              <w:autoSpaceDN w:val="0"/>
              <w:adjustRightInd w:val="0"/>
              <w:ind w:firstLine="482"/>
              <w:jc w:val="center"/>
              <w:rPr>
                <w:rFonts w:ascii="宋体" w:hAnsi="宋体" w:cs="宋体"/>
                <w:b/>
                <w:kern w:val="0"/>
              </w:rPr>
            </w:pPr>
            <w:r>
              <w:rPr>
                <w:rFonts w:hint="eastAsia" w:ascii="宋体" w:hAnsi="宋体" w:cs="宋体"/>
                <w:b/>
                <w:kern w:val="0"/>
              </w:rPr>
              <w:t>插孔</w:t>
            </w:r>
          </w:p>
        </w:tc>
        <w:tc>
          <w:tcPr>
            <w:tcW w:w="4849" w:type="dxa"/>
            <w:shd w:val="clear" w:color="auto" w:fill="FFFF00"/>
            <w:vAlign w:val="center"/>
          </w:tcPr>
          <w:p>
            <w:pPr>
              <w:autoSpaceDE w:val="0"/>
              <w:autoSpaceDN w:val="0"/>
              <w:adjustRightInd w:val="0"/>
              <w:ind w:firstLine="482"/>
              <w:jc w:val="center"/>
              <w:rPr>
                <w:rFonts w:ascii="宋体" w:hAnsi="宋体" w:cs="宋体"/>
                <w:b/>
                <w:kern w:val="0"/>
              </w:rPr>
            </w:pPr>
            <w:r>
              <w:rPr>
                <w:rFonts w:hint="eastAsia" w:ascii="宋体" w:hAnsi="宋体" w:cs="宋体"/>
                <w:b/>
                <w:kern w:val="0"/>
              </w:rPr>
              <w:t>测试结果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4077" w:type="dxa"/>
            <w:vAlign w:val="center"/>
          </w:tcPr>
          <w:p>
            <w:pPr>
              <w:autoSpaceDE w:val="0"/>
              <w:autoSpaceDN w:val="0"/>
              <w:adjustRightInd w:val="0"/>
              <w:jc w:val="center"/>
              <w:rPr>
                <w:rFonts w:ascii="宋体" w:hAnsi="宋体" w:cs="宋体"/>
                <w:kern w:val="0"/>
              </w:rPr>
            </w:pPr>
            <w:r>
              <w:rPr>
                <w:rFonts w:hint="eastAsia" w:ascii="宋体" w:hAnsi="宋体" w:cs="宋体"/>
                <w:kern w:val="0"/>
              </w:rPr>
              <w:t>轨入（空闲）</w:t>
            </w:r>
          </w:p>
        </w:tc>
        <w:tc>
          <w:tcPr>
            <w:tcW w:w="4849" w:type="dxa"/>
          </w:tcPr>
          <w:p>
            <w:pPr>
              <w:autoSpaceDE w:val="0"/>
              <w:autoSpaceDN w:val="0"/>
              <w:adjustRightInd w:val="0"/>
              <w:jc w:val="center"/>
              <w:rPr>
                <w:rFonts w:ascii="宋体" w:hAnsi="宋体" w:cs="宋体"/>
                <w:kern w:val="0"/>
              </w:rPr>
            </w:pPr>
          </w:p>
          <w:p>
            <w:pPr>
              <w:autoSpaceDE w:val="0"/>
              <w:autoSpaceDN w:val="0"/>
              <w:adjustRightInd w:val="0"/>
              <w:jc w:val="center"/>
              <w:rPr>
                <w:rFonts w:ascii="宋体" w:hAnsi="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4" w:hRule="atLeast"/>
        </w:trPr>
        <w:tc>
          <w:tcPr>
            <w:tcW w:w="4077" w:type="dxa"/>
            <w:vAlign w:val="center"/>
          </w:tcPr>
          <w:p>
            <w:pPr>
              <w:autoSpaceDE w:val="0"/>
              <w:autoSpaceDN w:val="0"/>
              <w:adjustRightInd w:val="0"/>
              <w:jc w:val="center"/>
              <w:rPr>
                <w:rFonts w:ascii="宋体" w:hAnsi="宋体" w:cs="宋体"/>
                <w:kern w:val="0"/>
              </w:rPr>
            </w:pPr>
            <w:r>
              <w:rPr>
                <w:rFonts w:hint="eastAsia" w:ascii="宋体" w:hAnsi="宋体" w:cs="宋体"/>
                <w:kern w:val="0"/>
              </w:rPr>
              <w:t>主轨出（空闲）</w:t>
            </w:r>
          </w:p>
        </w:tc>
        <w:tc>
          <w:tcPr>
            <w:tcW w:w="4849" w:type="dxa"/>
          </w:tcPr>
          <w:p>
            <w:pPr>
              <w:autoSpaceDE w:val="0"/>
              <w:autoSpaceDN w:val="0"/>
              <w:adjustRightInd w:val="0"/>
              <w:jc w:val="center"/>
              <w:rPr>
                <w:rFonts w:ascii="宋体" w:hAnsi="宋体" w:cs="宋体"/>
                <w:kern w:val="0"/>
              </w:rPr>
            </w:pPr>
          </w:p>
          <w:p>
            <w:pPr>
              <w:autoSpaceDE w:val="0"/>
              <w:autoSpaceDN w:val="0"/>
              <w:adjustRightInd w:val="0"/>
              <w:jc w:val="center"/>
              <w:rPr>
                <w:rFonts w:ascii="宋体" w:hAnsi="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4" w:hRule="atLeast"/>
        </w:trPr>
        <w:tc>
          <w:tcPr>
            <w:tcW w:w="4077" w:type="dxa"/>
            <w:vAlign w:val="center"/>
          </w:tcPr>
          <w:p>
            <w:pPr>
              <w:autoSpaceDE w:val="0"/>
              <w:autoSpaceDN w:val="0"/>
              <w:adjustRightInd w:val="0"/>
              <w:jc w:val="center"/>
              <w:rPr>
                <w:rFonts w:ascii="宋体" w:hAnsi="宋体" w:cs="宋体"/>
                <w:kern w:val="0"/>
              </w:rPr>
            </w:pPr>
            <w:r>
              <w:rPr>
                <w:rFonts w:hint="eastAsia" w:ascii="宋体" w:hAnsi="宋体" w:cs="宋体"/>
                <w:kern w:val="0"/>
              </w:rPr>
              <w:t>轨入（占用）</w:t>
            </w:r>
          </w:p>
        </w:tc>
        <w:tc>
          <w:tcPr>
            <w:tcW w:w="4849" w:type="dxa"/>
          </w:tcPr>
          <w:p>
            <w:pPr>
              <w:autoSpaceDE w:val="0"/>
              <w:autoSpaceDN w:val="0"/>
              <w:adjustRightInd w:val="0"/>
              <w:jc w:val="center"/>
              <w:rPr>
                <w:rFonts w:ascii="宋体" w:hAnsi="宋体" w:cs="宋体"/>
                <w:kern w:val="0"/>
              </w:rPr>
            </w:pPr>
          </w:p>
          <w:p>
            <w:pPr>
              <w:autoSpaceDE w:val="0"/>
              <w:autoSpaceDN w:val="0"/>
              <w:adjustRightInd w:val="0"/>
              <w:jc w:val="center"/>
              <w:rPr>
                <w:rFonts w:ascii="宋体" w:hAnsi="宋体" w:cs="宋体"/>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2" w:hRule="atLeast"/>
        </w:trPr>
        <w:tc>
          <w:tcPr>
            <w:tcW w:w="4077" w:type="dxa"/>
            <w:vAlign w:val="center"/>
          </w:tcPr>
          <w:p>
            <w:pPr>
              <w:autoSpaceDE w:val="0"/>
              <w:autoSpaceDN w:val="0"/>
              <w:adjustRightInd w:val="0"/>
              <w:jc w:val="center"/>
              <w:rPr>
                <w:rFonts w:ascii="宋体" w:hAnsi="宋体" w:cs="宋体"/>
                <w:kern w:val="0"/>
              </w:rPr>
            </w:pPr>
            <w:r>
              <w:rPr>
                <w:rFonts w:hint="eastAsia" w:ascii="宋体" w:hAnsi="宋体" w:cs="宋体"/>
                <w:kern w:val="0"/>
              </w:rPr>
              <w:t>主轨出（占用）</w:t>
            </w:r>
          </w:p>
        </w:tc>
        <w:tc>
          <w:tcPr>
            <w:tcW w:w="4849" w:type="dxa"/>
          </w:tcPr>
          <w:p>
            <w:pPr>
              <w:autoSpaceDE w:val="0"/>
              <w:autoSpaceDN w:val="0"/>
              <w:adjustRightInd w:val="0"/>
              <w:jc w:val="center"/>
              <w:rPr>
                <w:rFonts w:ascii="宋体" w:hAnsi="宋体" w:cs="宋体"/>
                <w:kern w:val="0"/>
              </w:rPr>
            </w:pPr>
          </w:p>
          <w:p>
            <w:pPr>
              <w:autoSpaceDE w:val="0"/>
              <w:autoSpaceDN w:val="0"/>
              <w:adjustRightInd w:val="0"/>
              <w:rPr>
                <w:rFonts w:ascii="宋体" w:hAnsi="宋体" w:cs="宋体"/>
                <w:kern w:val="0"/>
              </w:rPr>
            </w:pPr>
          </w:p>
        </w:tc>
      </w:tr>
    </w:tbl>
    <w:p>
      <w:pPr>
        <w:pBdr>
          <w:top w:val="none" w:color="000000" w:sz="0" w:space="19"/>
          <w:left w:val="none" w:color="000000" w:sz="0" w:space="0"/>
          <w:bottom w:val="none" w:color="000000" w:sz="0" w:space="0"/>
          <w:right w:val="none" w:color="000000" w:sz="0" w:space="0"/>
        </w:pBdr>
        <w:autoSpaceDN w:val="0"/>
        <w:adjustRightInd w:val="0"/>
        <w:snapToGrid w:val="0"/>
        <w:spacing w:line="560" w:lineRule="exact"/>
        <w:ind w:firstLine="602"/>
        <w:jc w:val="center"/>
        <w:outlineLvl w:val="0"/>
        <w:rPr>
          <w:rFonts w:ascii="仿宋" w:hAnsi="仿宋" w:eastAsia="仿宋" w:cs="仿宋_GB2312"/>
          <w:b/>
          <w:bCs/>
          <w:sz w:val="30"/>
          <w:szCs w:val="30"/>
        </w:rPr>
      </w:pPr>
      <w:r>
        <w:rPr>
          <w:rFonts w:hint="eastAsia" w:ascii="仿宋" w:hAnsi="仿宋" w:eastAsia="仿宋" w:cs="仿宋_GB2312"/>
          <w:b/>
          <w:bCs/>
          <w:sz w:val="30"/>
          <w:szCs w:val="30"/>
        </w:rPr>
        <w:t>任务四 智能监控辅助系统开发（20分）</w:t>
      </w:r>
    </w:p>
    <w:p>
      <w:pPr>
        <w:widowControl/>
        <w:numPr>
          <w:ilvl w:val="0"/>
          <w:numId w:val="8"/>
        </w:numPr>
        <w:shd w:val="clear" w:color="auto" w:fill="FFFFFF"/>
        <w:spacing w:before="156" w:beforeLines="50" w:after="156" w:afterLines="50" w:line="560" w:lineRule="exact"/>
        <w:ind w:firstLine="602"/>
        <w:rPr>
          <w:rFonts w:ascii="仿宋" w:hAnsi="仿宋" w:eastAsia="仿宋" w:cs="仿宋_GB2312"/>
          <w:b/>
          <w:bCs/>
          <w:kern w:val="0"/>
          <w:sz w:val="30"/>
          <w:szCs w:val="30"/>
        </w:rPr>
      </w:pPr>
      <w:r>
        <w:rPr>
          <w:rFonts w:hint="eastAsia" w:ascii="仿宋" w:hAnsi="仿宋" w:eastAsia="仿宋" w:cs="仿宋_GB2312"/>
          <w:b/>
          <w:bCs/>
          <w:kern w:val="0"/>
          <w:sz w:val="30"/>
          <w:szCs w:val="30"/>
        </w:rPr>
        <w:t>PLC程序设计</w:t>
      </w:r>
    </w:p>
    <w:p>
      <w:pPr>
        <w:widowControl/>
        <w:shd w:val="clear" w:color="auto" w:fill="FFFFFF"/>
        <w:spacing w:before="156" w:beforeLines="50" w:after="156" w:afterLines="50" w:line="360" w:lineRule="auto"/>
        <w:ind w:firstLine="420" w:firstLineChars="0"/>
        <w:rPr>
          <w:rFonts w:ascii="仿宋" w:hAnsi="仿宋" w:eastAsia="仿宋" w:cs="宋体"/>
          <w:sz w:val="28"/>
          <w:szCs w:val="28"/>
        </w:rPr>
      </w:pPr>
      <w:r>
        <w:rPr>
          <w:rFonts w:hint="eastAsia" w:ascii="仿宋" w:hAnsi="仿宋" w:eastAsia="仿宋" w:cs="宋体"/>
          <w:b/>
          <w:bCs/>
          <w:sz w:val="28"/>
          <w:szCs w:val="28"/>
        </w:rPr>
        <w:t>背景：</w:t>
      </w:r>
      <w:r>
        <w:rPr>
          <w:rFonts w:hint="eastAsia" w:ascii="仿宋" w:hAnsi="仿宋" w:eastAsia="仿宋" w:cs="宋体"/>
          <w:sz w:val="28"/>
          <w:szCs w:val="28"/>
        </w:rPr>
        <w:t>现需要对轨道交通信号控制系统-信号主控台的左侧门开启指示灯、左侧门关闭指示灯、右侧门开启指示灯、右侧门关闭指示灯、开左侧门按钮、关左侧门按钮、开右侧门按钮、关右侧门按钮设备进行功能及稳定性检测。需要选手编写一个PLC检测程序，将程序命名为“</w:t>
      </w:r>
      <w:r>
        <w:rPr>
          <w:rFonts w:hint="eastAsia" w:ascii="仿宋" w:hAnsi="仿宋" w:eastAsia="仿宋" w:cs="宋体"/>
          <w:b/>
          <w:bCs/>
          <w:sz w:val="28"/>
          <w:szCs w:val="28"/>
        </w:rPr>
        <w:t>设备功能及稳定性检测</w:t>
      </w:r>
      <w:r>
        <w:rPr>
          <w:rFonts w:hint="eastAsia" w:ascii="仿宋" w:hAnsi="仿宋" w:eastAsia="仿宋" w:cs="宋体"/>
          <w:sz w:val="28"/>
          <w:szCs w:val="28"/>
        </w:rPr>
        <w:t>”,保存到</w:t>
      </w:r>
      <w:r>
        <w:rPr>
          <w:rFonts w:hint="eastAsia" w:ascii="仿宋" w:hAnsi="仿宋" w:eastAsia="仿宋" w:cs="宋体"/>
          <w:sz w:val="28"/>
        </w:rPr>
        <w:t>U盘根目录“提交资料\任务四\PLC程序”中；并把程序下载到PLC中。</w:t>
      </w:r>
    </w:p>
    <w:p>
      <w:pPr>
        <w:ind w:firstLine="562"/>
        <w:rPr>
          <w:rFonts w:ascii="仿宋" w:hAnsi="仿宋" w:eastAsia="仿宋" w:cs="宋体"/>
          <w:b/>
          <w:bCs/>
          <w:sz w:val="28"/>
          <w:szCs w:val="28"/>
        </w:rPr>
      </w:pPr>
      <w:r>
        <w:rPr>
          <w:rFonts w:hint="eastAsia" w:ascii="仿宋" w:hAnsi="仿宋" w:eastAsia="仿宋" w:cs="宋体"/>
          <w:b/>
          <w:bCs/>
          <w:sz w:val="28"/>
          <w:szCs w:val="28"/>
        </w:rPr>
        <w:t>要求如下：</w:t>
      </w:r>
    </w:p>
    <w:p>
      <w:pPr>
        <w:ind w:firstLine="420" w:firstLineChars="0"/>
        <w:rPr>
          <w:rFonts w:ascii="仿宋" w:hAnsi="仿宋" w:eastAsia="仿宋" w:cs="宋体"/>
          <w:sz w:val="28"/>
          <w:szCs w:val="28"/>
        </w:rPr>
      </w:pPr>
      <w:r>
        <w:rPr>
          <w:rFonts w:hint="eastAsia" w:ascii="仿宋" w:hAnsi="仿宋" w:eastAsia="仿宋" w:cs="宋体"/>
          <w:sz w:val="28"/>
          <w:szCs w:val="28"/>
        </w:rPr>
        <w:t>（1）轨道交通信号控制系统-信号主控台设备上电并启动PLC，初始状态时左侧门开启指示灯、左侧门关闭指示灯、右侧门开启指示灯、右侧门关闭指示灯处于熄灭状态；</w:t>
      </w:r>
    </w:p>
    <w:p>
      <w:pPr>
        <w:ind w:firstLine="420" w:firstLineChars="0"/>
        <w:rPr>
          <w:rFonts w:ascii="仿宋" w:hAnsi="仿宋" w:eastAsia="仿宋" w:cs="宋体"/>
          <w:sz w:val="28"/>
          <w:szCs w:val="28"/>
        </w:rPr>
      </w:pPr>
      <w:r>
        <w:rPr>
          <w:rFonts w:hint="eastAsia" w:ascii="仿宋" w:hAnsi="仿宋" w:eastAsia="仿宋" w:cs="宋体"/>
          <w:sz w:val="28"/>
          <w:szCs w:val="28"/>
        </w:rPr>
        <w:t>（2）第一步操作：按下开左侧门按钮，左侧门开启指示灯、左侧门关闭指示灯、右侧门关闭指示灯、右侧门开启指示灯依次顺序点亮（指示灯点亮后保持点亮状态，4个指示灯全部点亮等待第二步操作），间隔时间为2S；</w:t>
      </w:r>
    </w:p>
    <w:p>
      <w:pPr>
        <w:ind w:firstLine="420" w:firstLineChars="0"/>
        <w:rPr>
          <w:rFonts w:ascii="仿宋" w:hAnsi="仿宋" w:eastAsia="仿宋" w:cs="宋体"/>
          <w:sz w:val="28"/>
          <w:szCs w:val="28"/>
        </w:rPr>
      </w:pPr>
      <w:r>
        <w:rPr>
          <w:rFonts w:hint="eastAsia" w:ascii="仿宋" w:hAnsi="仿宋" w:eastAsia="仿宋" w:cs="宋体"/>
          <w:sz w:val="28"/>
          <w:szCs w:val="28"/>
        </w:rPr>
        <w:t>（3）第二步操作：按下关左侧门按钮，左侧门关闭指示灯、左侧门开启指示灯、右侧门开启指示灯、右侧门关闭指示灯依次顺序熄灭（指示灯熄灭后保持熄灭状态，4个指示灯全部熄灭等待第三步操作），间隔时间为2S；</w:t>
      </w:r>
    </w:p>
    <w:p>
      <w:pPr>
        <w:ind w:firstLine="420" w:firstLineChars="0"/>
        <w:rPr>
          <w:rFonts w:ascii="仿宋" w:hAnsi="仿宋" w:eastAsia="仿宋" w:cs="宋体"/>
          <w:sz w:val="28"/>
          <w:szCs w:val="28"/>
        </w:rPr>
      </w:pPr>
      <w:r>
        <w:rPr>
          <w:rFonts w:hint="eastAsia" w:ascii="仿宋" w:hAnsi="仿宋" w:eastAsia="仿宋" w:cs="宋体"/>
          <w:sz w:val="28"/>
          <w:szCs w:val="28"/>
        </w:rPr>
        <w:t>（4）第三步操作：按下开右侧门按钮，右侧门开启指示灯、右侧门关闭指示灯、左侧门关闭指示灯、左侧门开启指示灯依次顺序点亮（指示灯点亮后保持点亮状态，4个指示灯全部点亮等待第四步操作），间隔时间为2S；</w:t>
      </w:r>
    </w:p>
    <w:p>
      <w:pPr>
        <w:ind w:firstLine="420" w:firstLineChars="0"/>
        <w:rPr>
          <w:rFonts w:ascii="仿宋" w:hAnsi="仿宋" w:eastAsia="仿宋" w:cs="宋体"/>
          <w:sz w:val="28"/>
          <w:szCs w:val="28"/>
        </w:rPr>
      </w:pPr>
      <w:r>
        <w:rPr>
          <w:rFonts w:hint="eastAsia" w:ascii="仿宋" w:hAnsi="仿宋" w:eastAsia="仿宋" w:cs="宋体"/>
          <w:sz w:val="28"/>
          <w:szCs w:val="28"/>
        </w:rPr>
        <w:t>（5）第四步操作：按下关右侧门按钮，右侧门关闭指示灯、右侧开启指示灯、左侧门开启指示灯、左侧门关闭指示灯依次顺序熄灭（指示灯熄灭后保持熄灭状态，4个指示灯全部熄灭后停止操作），间隔时间为2S；</w:t>
      </w:r>
    </w:p>
    <w:p>
      <w:pPr>
        <w:ind w:firstLine="420" w:firstLineChars="0"/>
        <w:rPr>
          <w:rFonts w:ascii="仿宋" w:hAnsi="仿宋" w:eastAsia="仿宋" w:cs="宋体"/>
          <w:sz w:val="28"/>
          <w:szCs w:val="28"/>
        </w:rPr>
      </w:pPr>
      <w:r>
        <w:rPr>
          <w:rFonts w:hint="eastAsia" w:ascii="仿宋" w:hAnsi="仿宋" w:eastAsia="仿宋" w:cs="宋体"/>
          <w:sz w:val="28"/>
          <w:szCs w:val="28"/>
        </w:rPr>
        <w:t>（6）上面每个操作步骤，指示灯在点亮或熄灭过程中，再次按下4个按钮的任何一个按钮对其无影响。</w:t>
      </w:r>
    </w:p>
    <w:p>
      <w:pPr>
        <w:ind w:firstLine="562"/>
        <w:rPr>
          <w:rFonts w:ascii="仿宋" w:hAnsi="仿宋" w:eastAsia="仿宋" w:cs="宋体"/>
          <w:b/>
          <w:bCs/>
          <w:sz w:val="28"/>
          <w:szCs w:val="28"/>
        </w:rPr>
      </w:pPr>
      <w:r>
        <w:rPr>
          <w:rFonts w:hint="eastAsia" w:ascii="仿宋" w:hAnsi="仿宋" w:eastAsia="仿宋" w:cs="宋体"/>
          <w:b/>
          <w:bCs/>
          <w:sz w:val="28"/>
          <w:szCs w:val="28"/>
        </w:rPr>
        <w:t>注意：</w:t>
      </w:r>
    </w:p>
    <w:p>
      <w:pPr>
        <w:ind w:firstLine="420" w:firstLineChars="0"/>
        <w:rPr>
          <w:rFonts w:ascii="仿宋" w:hAnsi="仿宋" w:eastAsia="仿宋" w:cs="宋体"/>
          <w:sz w:val="28"/>
          <w:szCs w:val="28"/>
        </w:rPr>
      </w:pPr>
      <w:r>
        <w:rPr>
          <w:rFonts w:hint="eastAsia" w:ascii="仿宋" w:hAnsi="仿宋" w:eastAsia="仿宋" w:cs="宋体"/>
          <w:sz w:val="28"/>
          <w:szCs w:val="28"/>
        </w:rPr>
        <w:t>①要求每一个点亮或熄灭过程中需要选手依次按下4个按钮（按下的顺序无要求）。</w:t>
      </w:r>
    </w:p>
    <w:p>
      <w:pPr>
        <w:ind w:firstLine="420" w:firstLineChars="0"/>
        <w:rPr>
          <w:rFonts w:ascii="仿宋" w:hAnsi="仿宋" w:eastAsia="仿宋" w:cs="宋体"/>
          <w:sz w:val="28"/>
          <w:szCs w:val="28"/>
        </w:rPr>
      </w:pPr>
      <w:r>
        <w:rPr>
          <w:rFonts w:hint="eastAsia" w:ascii="仿宋" w:hAnsi="仿宋" w:eastAsia="仿宋" w:cs="宋体"/>
          <w:sz w:val="28"/>
          <w:szCs w:val="28"/>
        </w:rPr>
        <w:t>②从PLC启动开始以及上述四个步骤的操作过程进行录像，将录制的视频命名为“</w:t>
      </w:r>
      <w:r>
        <w:rPr>
          <w:rFonts w:hint="eastAsia" w:ascii="仿宋" w:hAnsi="仿宋" w:eastAsia="仿宋" w:cs="宋体"/>
          <w:b/>
          <w:bCs/>
          <w:sz w:val="28"/>
          <w:szCs w:val="28"/>
        </w:rPr>
        <w:t>设备功能检测.wmv</w:t>
      </w:r>
      <w:r>
        <w:rPr>
          <w:rFonts w:hint="eastAsia" w:ascii="仿宋" w:hAnsi="仿宋" w:eastAsia="仿宋" w:cs="宋体"/>
          <w:sz w:val="28"/>
          <w:szCs w:val="28"/>
        </w:rPr>
        <w:t>”，保存到</w:t>
      </w:r>
      <w:r>
        <w:rPr>
          <w:rFonts w:hint="eastAsia" w:ascii="仿宋" w:hAnsi="仿宋" w:eastAsia="仿宋" w:cs="宋体"/>
          <w:sz w:val="28"/>
        </w:rPr>
        <w:t>U盘根目录“提交资料\任务四\PLC视频”中</w:t>
      </w:r>
      <w:r>
        <w:rPr>
          <w:rFonts w:hint="eastAsia" w:ascii="仿宋" w:hAnsi="仿宋" w:eastAsia="仿宋" w:cs="宋体"/>
          <w:sz w:val="28"/>
          <w:szCs w:val="28"/>
        </w:rPr>
        <w:t>，使用摄像头进行视频录像时严格按照上述4个步骤流程操作。</w:t>
      </w:r>
    </w:p>
    <w:p>
      <w:pPr>
        <w:widowControl/>
        <w:shd w:val="clear" w:color="auto" w:fill="FFFFFF"/>
        <w:spacing w:before="156" w:beforeLines="50" w:after="156" w:afterLines="50" w:line="560" w:lineRule="exact"/>
        <w:ind w:firstLine="602"/>
        <w:rPr>
          <w:rFonts w:ascii="仿宋" w:hAnsi="仿宋" w:eastAsia="仿宋" w:cs="仿宋_GB2312"/>
          <w:b/>
          <w:bCs/>
          <w:kern w:val="0"/>
          <w:sz w:val="30"/>
          <w:szCs w:val="30"/>
        </w:rPr>
      </w:pPr>
      <w:r>
        <w:rPr>
          <w:rFonts w:hint="eastAsia" w:ascii="仿宋" w:hAnsi="仿宋" w:eastAsia="仿宋" w:cs="仿宋_GB2312"/>
          <w:b/>
          <w:bCs/>
          <w:kern w:val="0"/>
          <w:sz w:val="30"/>
          <w:szCs w:val="30"/>
        </w:rPr>
        <w:drawing>
          <wp:anchor distT="0" distB="0" distL="114300" distR="114300" simplePos="0" relativeHeight="251663360" behindDoc="0" locked="0" layoutInCell="1" allowOverlap="1">
            <wp:simplePos x="0" y="0"/>
            <wp:positionH relativeFrom="column">
              <wp:posOffset>4031615</wp:posOffset>
            </wp:positionH>
            <wp:positionV relativeFrom="paragraph">
              <wp:posOffset>427355</wp:posOffset>
            </wp:positionV>
            <wp:extent cx="488315" cy="480695"/>
            <wp:effectExtent l="0" t="0" r="6985" b="1460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8"/>
                    <a:stretch>
                      <a:fillRect/>
                    </a:stretch>
                  </pic:blipFill>
                  <pic:spPr>
                    <a:xfrm>
                      <a:off x="0" y="0"/>
                      <a:ext cx="488315" cy="480695"/>
                    </a:xfrm>
                    <a:prstGeom prst="rect">
                      <a:avLst/>
                    </a:prstGeom>
                    <a:noFill/>
                    <a:ln w="9525">
                      <a:noFill/>
                    </a:ln>
                  </pic:spPr>
                </pic:pic>
              </a:graphicData>
            </a:graphic>
          </wp:anchor>
        </w:drawing>
      </w:r>
      <w:r>
        <w:rPr>
          <w:rFonts w:hint="eastAsia" w:ascii="仿宋" w:hAnsi="仿宋" w:eastAsia="仿宋" w:cs="仿宋_GB2312"/>
          <w:b/>
          <w:bCs/>
          <w:kern w:val="0"/>
          <w:sz w:val="30"/>
          <w:szCs w:val="30"/>
        </w:rPr>
        <w:t>（二）人机交互界面设计</w:t>
      </w:r>
    </w:p>
    <w:p>
      <w:pPr>
        <w:autoSpaceDE w:val="0"/>
        <w:autoSpaceDN w:val="0"/>
        <w:adjustRightInd w:val="0"/>
        <w:spacing w:before="156" w:beforeLines="50" w:after="156" w:afterLines="50" w:line="560" w:lineRule="exact"/>
        <w:ind w:firstLine="600"/>
        <w:rPr>
          <w:rFonts w:ascii="仿宋" w:hAnsi="仿宋" w:eastAsia="仿宋" w:cs="仿宋_GB2312"/>
          <w:kern w:val="0"/>
          <w:sz w:val="30"/>
          <w:szCs w:val="30"/>
        </w:rPr>
      </w:pPr>
      <w:r>
        <w:rPr>
          <w:rFonts w:hint="eastAsia" w:ascii="仿宋" w:hAnsi="仿宋" w:eastAsia="仿宋" w:cs="仿宋_GB2312"/>
          <w:kern w:val="0"/>
          <w:sz w:val="30"/>
          <w:szCs w:val="30"/>
        </w:rPr>
        <w:t>打开主控台电脑上的人机交互界面编程软件      ，下载方式为USB下载，点击编程软件中的编辑选项进入编辑界面。所需的图片资源在U盘根目录“辅助资料\任务四\人机交互界面\人机交互界面素材”中。（人机交互界面型号：TK6071IP）</w:t>
      </w:r>
    </w:p>
    <w:p>
      <w:pPr>
        <w:spacing w:line="360" w:lineRule="auto"/>
        <w:ind w:firstLine="420" w:firstLineChars="0"/>
        <w:rPr>
          <w:rFonts w:ascii="仿宋" w:hAnsi="仿宋" w:eastAsia="仿宋" w:cs="宋体"/>
          <w:kern w:val="0"/>
          <w:sz w:val="28"/>
          <w:szCs w:val="28"/>
        </w:rPr>
      </w:pPr>
      <w:r>
        <w:rPr>
          <w:rFonts w:hint="eastAsia" w:ascii="仿宋" w:hAnsi="仿宋" w:eastAsia="仿宋"/>
          <w:sz w:val="28"/>
        </w:rPr>
        <w:t>利用人机交互</w:t>
      </w:r>
      <w:r>
        <w:rPr>
          <w:rFonts w:ascii="仿宋" w:hAnsi="仿宋" w:eastAsia="仿宋"/>
          <w:sz w:val="28"/>
        </w:rPr>
        <w:t>界面</w:t>
      </w:r>
      <w:r>
        <w:rPr>
          <w:rFonts w:hint="eastAsia" w:ascii="仿宋" w:hAnsi="仿宋" w:eastAsia="仿宋"/>
          <w:sz w:val="28"/>
        </w:rPr>
        <w:t>编程软件进行</w:t>
      </w:r>
      <w:r>
        <w:rPr>
          <w:rFonts w:hint="eastAsia" w:ascii="仿宋" w:hAnsi="仿宋" w:eastAsia="仿宋"/>
          <w:sz w:val="28"/>
          <w:lang w:val="zh-CN"/>
        </w:rPr>
        <w:t>列车车厢环境监测功能界面</w:t>
      </w:r>
      <w:r>
        <w:rPr>
          <w:rFonts w:hint="eastAsia" w:ascii="仿宋" w:hAnsi="仿宋" w:eastAsia="仿宋"/>
          <w:sz w:val="28"/>
        </w:rPr>
        <w:t>设计。实现温度、湿度、光照数据及烟雾状态的实时采集、3个数据变化趋势显示、烟雾报警，初始化界面如图4-1所示。将设计完成后的界面下载至人机交互界面中，并对人机交互界面拍照</w:t>
      </w:r>
      <w:r>
        <w:rPr>
          <w:rFonts w:hint="eastAsia" w:ascii="仿宋" w:hAnsi="仿宋" w:eastAsia="仿宋" w:cs="宋体"/>
          <w:kern w:val="0"/>
          <w:sz w:val="28"/>
          <w:szCs w:val="28"/>
        </w:rPr>
        <w:t>，将图片命名为“</w:t>
      </w:r>
      <w:bookmarkStart w:id="118" w:name="_Hlk509610475"/>
      <w:r>
        <w:rPr>
          <w:rFonts w:hint="eastAsia" w:ascii="仿宋" w:hAnsi="仿宋" w:eastAsia="仿宋" w:cs="宋体"/>
          <w:b/>
          <w:kern w:val="0"/>
          <w:sz w:val="28"/>
          <w:szCs w:val="28"/>
        </w:rPr>
        <w:t>图4</w:t>
      </w:r>
      <w:r>
        <w:rPr>
          <w:rFonts w:ascii="仿宋" w:hAnsi="仿宋" w:eastAsia="仿宋" w:cs="宋体"/>
          <w:b/>
          <w:kern w:val="0"/>
          <w:sz w:val="28"/>
          <w:szCs w:val="28"/>
        </w:rPr>
        <w:t>-</w:t>
      </w:r>
      <w:bookmarkEnd w:id="118"/>
      <w:r>
        <w:rPr>
          <w:rFonts w:hint="eastAsia" w:ascii="仿宋" w:hAnsi="仿宋" w:eastAsia="仿宋" w:cs="宋体"/>
          <w:b/>
          <w:kern w:val="0"/>
          <w:sz w:val="28"/>
          <w:szCs w:val="28"/>
        </w:rPr>
        <w:t>1</w:t>
      </w:r>
      <w:r>
        <w:rPr>
          <w:rFonts w:ascii="仿宋" w:hAnsi="仿宋" w:eastAsia="仿宋" w:cs="宋体"/>
          <w:b/>
          <w:kern w:val="0"/>
          <w:sz w:val="28"/>
          <w:szCs w:val="28"/>
        </w:rPr>
        <w:t>-</w:t>
      </w:r>
      <w:r>
        <w:rPr>
          <w:rFonts w:hint="eastAsia" w:ascii="仿宋" w:hAnsi="仿宋" w:eastAsia="仿宋" w:cs="宋体"/>
          <w:b/>
          <w:kern w:val="0"/>
          <w:sz w:val="28"/>
          <w:szCs w:val="28"/>
          <w:lang w:val="zh-CN"/>
        </w:rPr>
        <w:t>列车车厢环境监测界面设计</w:t>
      </w:r>
      <w:r>
        <w:rPr>
          <w:rFonts w:hint="eastAsia" w:ascii="仿宋" w:hAnsi="仿宋" w:eastAsia="仿宋" w:cs="宋体"/>
          <w:kern w:val="0"/>
          <w:sz w:val="28"/>
          <w:szCs w:val="28"/>
        </w:rPr>
        <w:t>”，并</w:t>
      </w:r>
      <w:r>
        <w:rPr>
          <w:rFonts w:hint="eastAsia" w:ascii="仿宋" w:hAnsi="仿宋" w:eastAsia="仿宋"/>
          <w:sz w:val="28"/>
        </w:rPr>
        <w:t>将图片粘贴至</w:t>
      </w:r>
      <w:r>
        <w:rPr>
          <w:rFonts w:ascii="仿宋" w:hAnsi="仿宋" w:eastAsia="仿宋"/>
          <w:sz w:val="28"/>
        </w:rPr>
        <w:t>U</w:t>
      </w:r>
      <w:r>
        <w:rPr>
          <w:rFonts w:hint="eastAsia" w:ascii="仿宋" w:hAnsi="仿宋" w:eastAsia="仿宋"/>
          <w:sz w:val="28"/>
        </w:rPr>
        <w:t>盘根目录</w:t>
      </w:r>
      <w:r>
        <w:rPr>
          <w:rFonts w:ascii="仿宋" w:hAnsi="仿宋" w:eastAsia="仿宋"/>
          <w:sz w:val="28"/>
        </w:rPr>
        <w:t>“</w:t>
      </w:r>
      <w:r>
        <w:rPr>
          <w:rFonts w:hint="eastAsia" w:ascii="仿宋" w:hAnsi="仿宋" w:eastAsia="仿宋"/>
          <w:sz w:val="28"/>
        </w:rPr>
        <w:t>提交资料\竞赛答题卡.doc</w:t>
      </w:r>
      <w:r>
        <w:rPr>
          <w:rFonts w:ascii="仿宋" w:hAnsi="仿宋" w:eastAsia="仿宋"/>
          <w:sz w:val="28"/>
        </w:rPr>
        <w:t>”</w:t>
      </w:r>
      <w:r>
        <w:rPr>
          <w:rFonts w:hint="eastAsia" w:ascii="仿宋" w:hAnsi="仿宋" w:eastAsia="仿宋"/>
          <w:sz w:val="28"/>
        </w:rPr>
        <w:t>指定位置</w:t>
      </w:r>
      <w:r>
        <w:rPr>
          <w:rFonts w:hint="eastAsia" w:ascii="仿宋" w:hAnsi="仿宋" w:eastAsia="仿宋" w:cs="宋体"/>
          <w:kern w:val="0"/>
          <w:sz w:val="28"/>
          <w:szCs w:val="28"/>
        </w:rPr>
        <w:t>。</w:t>
      </w:r>
    </w:p>
    <w:p>
      <w:pPr>
        <w:spacing w:line="360" w:lineRule="auto"/>
        <w:ind w:firstLine="562"/>
        <w:rPr>
          <w:rFonts w:ascii="仿宋" w:hAnsi="仿宋" w:eastAsia="仿宋" w:cs="宋体"/>
          <w:b/>
          <w:bCs/>
          <w:kern w:val="0"/>
          <w:sz w:val="28"/>
          <w:szCs w:val="28"/>
        </w:rPr>
      </w:pPr>
      <w:r>
        <w:rPr>
          <w:rFonts w:hint="eastAsia" w:ascii="仿宋" w:hAnsi="仿宋" w:eastAsia="仿宋" w:cs="宋体"/>
          <w:b/>
          <w:bCs/>
          <w:kern w:val="0"/>
          <w:sz w:val="28"/>
          <w:szCs w:val="28"/>
        </w:rPr>
        <w:t>注意：</w:t>
      </w:r>
    </w:p>
    <w:p>
      <w:pPr>
        <w:spacing w:line="360" w:lineRule="auto"/>
        <w:ind w:firstLine="420" w:firstLineChars="0"/>
        <w:rPr>
          <w:rFonts w:ascii="仿宋" w:hAnsi="仿宋" w:eastAsia="仿宋" w:cs="宋体"/>
          <w:kern w:val="0"/>
          <w:sz w:val="28"/>
          <w:szCs w:val="28"/>
        </w:rPr>
      </w:pPr>
      <w:r>
        <w:rPr>
          <w:rFonts w:hint="eastAsia" w:ascii="仿宋" w:hAnsi="仿宋" w:eastAsia="仿宋" w:cs="宋体"/>
          <w:kern w:val="0"/>
          <w:sz w:val="28"/>
          <w:szCs w:val="28"/>
        </w:rPr>
        <w:t>①界面中所有文字字体设置为仿宋；</w:t>
      </w:r>
    </w:p>
    <w:p>
      <w:pPr>
        <w:spacing w:line="360" w:lineRule="auto"/>
        <w:ind w:firstLine="420" w:firstLineChars="0"/>
        <w:rPr>
          <w:rFonts w:ascii="仿宋" w:hAnsi="仿宋" w:eastAsia="仿宋" w:cs="宋体"/>
          <w:kern w:val="0"/>
          <w:sz w:val="28"/>
          <w:szCs w:val="28"/>
        </w:rPr>
      </w:pPr>
      <w:r>
        <w:rPr>
          <w:rFonts w:hint="eastAsia" w:ascii="仿宋" w:hAnsi="仿宋" w:eastAsia="仿宋" w:cs="宋体"/>
          <w:kern w:val="0"/>
          <w:sz w:val="28"/>
          <w:szCs w:val="28"/>
        </w:rPr>
        <w:t>②趋势图中三个数据的趋势线线宽为2。</w:t>
      </w:r>
    </w:p>
    <w:p>
      <w:pPr>
        <w:ind w:firstLine="0" w:firstLineChars="0"/>
        <w:jc w:val="center"/>
        <w:rPr>
          <w:rFonts w:ascii="仿宋" w:hAnsi="仿宋" w:eastAsia="仿宋"/>
        </w:rPr>
      </w:pPr>
      <w:r>
        <w:rPr>
          <w:rFonts w:ascii="仿宋" w:hAnsi="仿宋" w:eastAsia="仿宋"/>
        </w:rPr>
        <w:drawing>
          <wp:inline distT="0" distB="0" distL="114300" distR="114300">
            <wp:extent cx="4594860" cy="2762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9"/>
                    <a:srcRect l="1446" t="5981" r="1085" b="1709"/>
                    <a:stretch>
                      <a:fillRect/>
                    </a:stretch>
                  </pic:blipFill>
                  <pic:spPr>
                    <a:xfrm>
                      <a:off x="0" y="0"/>
                      <a:ext cx="4600795" cy="2766395"/>
                    </a:xfrm>
                    <a:prstGeom prst="rect">
                      <a:avLst/>
                    </a:prstGeom>
                    <a:noFill/>
                    <a:ln w="9525">
                      <a:noFill/>
                    </a:ln>
                  </pic:spPr>
                </pic:pic>
              </a:graphicData>
            </a:graphic>
          </wp:inline>
        </w:drawing>
      </w:r>
    </w:p>
    <w:p>
      <w:pPr>
        <w:ind w:firstLine="560"/>
        <w:jc w:val="center"/>
        <w:rPr>
          <w:rFonts w:ascii="仿宋" w:hAnsi="仿宋" w:eastAsia="仿宋"/>
        </w:rPr>
      </w:pPr>
      <w:r>
        <w:rPr>
          <w:rFonts w:hint="eastAsia" w:ascii="仿宋" w:hAnsi="仿宋" w:eastAsia="仿宋"/>
          <w:sz w:val="28"/>
        </w:rPr>
        <w:t>图4-1</w:t>
      </w:r>
      <w:r>
        <w:rPr>
          <w:rFonts w:hint="eastAsia" w:ascii="仿宋" w:hAnsi="仿宋" w:eastAsia="仿宋"/>
          <w:sz w:val="28"/>
          <w:lang w:val="zh-CN"/>
        </w:rPr>
        <w:t>列车车厢环境监测界面</w:t>
      </w:r>
      <w:r>
        <w:rPr>
          <w:rFonts w:hint="eastAsia" w:ascii="仿宋" w:hAnsi="仿宋" w:eastAsia="仿宋"/>
          <w:sz w:val="28"/>
        </w:rPr>
        <w:t>-初始化界面</w:t>
      </w:r>
    </w:p>
    <w:p>
      <w:pPr>
        <w:widowControl/>
        <w:shd w:val="clear" w:color="auto" w:fill="FFFFFF"/>
        <w:spacing w:before="156" w:beforeLines="50" w:after="156" w:afterLines="50" w:line="560" w:lineRule="exact"/>
        <w:ind w:firstLine="602"/>
        <w:jc w:val="center"/>
        <w:outlineLvl w:val="0"/>
        <w:rPr>
          <w:rFonts w:ascii="仿宋" w:hAnsi="仿宋" w:eastAsia="仿宋" w:cs="仿宋_GB2312"/>
          <w:b/>
          <w:bCs/>
          <w:sz w:val="30"/>
          <w:szCs w:val="30"/>
        </w:rPr>
      </w:pPr>
      <w:r>
        <w:rPr>
          <w:rFonts w:hint="eastAsia" w:ascii="仿宋" w:hAnsi="仿宋" w:eastAsia="仿宋" w:cs="仿宋_GB2312"/>
          <w:b/>
          <w:bCs/>
          <w:sz w:val="30"/>
          <w:szCs w:val="30"/>
        </w:rPr>
        <w:t>任务五 信号控制系统综合应用（15分）</w:t>
      </w:r>
    </w:p>
    <w:p>
      <w:pPr>
        <w:autoSpaceDE w:val="0"/>
        <w:autoSpaceDN w:val="0"/>
        <w:adjustRightInd w:val="0"/>
        <w:spacing w:before="156" w:beforeLines="50" w:after="156" w:afterLines="50" w:line="560" w:lineRule="exact"/>
        <w:ind w:firstLine="602"/>
        <w:rPr>
          <w:rFonts w:ascii="仿宋" w:hAnsi="仿宋" w:eastAsia="仿宋" w:cs="仿宋_GB2312"/>
          <w:b/>
          <w:kern w:val="0"/>
          <w:sz w:val="30"/>
          <w:szCs w:val="30"/>
        </w:rPr>
      </w:pPr>
      <w:r>
        <w:rPr>
          <w:rFonts w:hint="eastAsia" w:ascii="仿宋" w:hAnsi="仿宋" w:eastAsia="仿宋" w:cs="仿宋_GB2312"/>
          <w:b/>
          <w:kern w:val="0"/>
          <w:sz w:val="30"/>
          <w:szCs w:val="30"/>
        </w:rPr>
        <w:t>（一）排列进路</w:t>
      </w:r>
    </w:p>
    <w:p>
      <w:pPr>
        <w:autoSpaceDE w:val="0"/>
        <w:autoSpaceDN w:val="0"/>
        <w:adjustRightInd w:val="0"/>
        <w:spacing w:before="156" w:beforeLines="50" w:after="156" w:afterLines="50" w:line="560" w:lineRule="exact"/>
        <w:ind w:firstLine="600"/>
        <w:rPr>
          <w:rFonts w:ascii="仿宋" w:hAnsi="仿宋" w:eastAsia="仿宋" w:cs="仿宋_GB2312"/>
          <w:kern w:val="0"/>
          <w:sz w:val="30"/>
          <w:szCs w:val="30"/>
        </w:rPr>
      </w:pPr>
      <w:r>
        <w:rPr>
          <w:rFonts w:hint="eastAsia" w:ascii="仿宋" w:hAnsi="仿宋" w:eastAsia="仿宋" w:cs="仿宋_GB2312"/>
          <w:kern w:val="0"/>
          <w:sz w:val="30"/>
          <w:szCs w:val="30"/>
        </w:rPr>
        <w:t>办理一条X3—SF的发车进路，并将排列进路后的轨道交通信号控制系统操作终端界面截图，图片命名为“图5-1-排列发车进路”，并将图片粘贴至U盘根目录“提交资料\竞赛答题卡.doc”指定位置。</w:t>
      </w:r>
    </w:p>
    <w:p>
      <w:pPr>
        <w:autoSpaceDE w:val="0"/>
        <w:autoSpaceDN w:val="0"/>
        <w:adjustRightInd w:val="0"/>
        <w:spacing w:before="156" w:beforeLines="50" w:after="156" w:afterLines="50" w:line="560" w:lineRule="exact"/>
        <w:ind w:firstLine="602"/>
        <w:rPr>
          <w:rFonts w:ascii="仿宋" w:hAnsi="仿宋" w:eastAsia="仿宋" w:cs="仿宋_GB2312"/>
          <w:b/>
          <w:kern w:val="0"/>
          <w:sz w:val="30"/>
          <w:szCs w:val="30"/>
        </w:rPr>
      </w:pPr>
      <w:r>
        <w:rPr>
          <w:rFonts w:hint="eastAsia" w:ascii="仿宋" w:hAnsi="仿宋" w:eastAsia="仿宋" w:cs="仿宋_GB2312"/>
          <w:b/>
          <w:kern w:val="0"/>
          <w:sz w:val="30"/>
          <w:szCs w:val="30"/>
        </w:rPr>
        <w:t>（二）改方</w:t>
      </w:r>
    </w:p>
    <w:p>
      <w:pPr>
        <w:autoSpaceDE w:val="0"/>
        <w:autoSpaceDN w:val="0"/>
        <w:adjustRightInd w:val="0"/>
        <w:spacing w:before="156" w:beforeLines="50" w:after="156" w:afterLines="50" w:line="560" w:lineRule="exact"/>
        <w:ind w:firstLine="600"/>
        <w:rPr>
          <w:rFonts w:ascii="仿宋" w:hAnsi="仿宋" w:eastAsia="仿宋" w:cs="仿宋_GB2312"/>
          <w:kern w:val="0"/>
          <w:sz w:val="30"/>
          <w:szCs w:val="30"/>
        </w:rPr>
      </w:pPr>
      <w:r>
        <w:rPr>
          <w:rFonts w:hint="eastAsia" w:ascii="仿宋" w:hAnsi="仿宋" w:eastAsia="仿宋" w:cs="仿宋_GB2312"/>
          <w:kern w:val="0"/>
          <w:sz w:val="30"/>
          <w:szCs w:val="30"/>
        </w:rPr>
        <w:t>（一）中排列的X3-SF的进路后，需要将SF口方向改成发车方向。将改方界面截图，图片命名为“图5-2-改方过程操作”，将改方成功后的轨道交通信号控制系统操作终端界面截图，图片命名为“图5-3-改方后界面”，并将两张图片粘贴至U盘根目录“提交资料\竞赛答题卡.doc”指定位置。</w:t>
      </w:r>
    </w:p>
    <w:p>
      <w:pPr>
        <w:autoSpaceDE w:val="0"/>
        <w:autoSpaceDN w:val="0"/>
        <w:adjustRightInd w:val="0"/>
        <w:spacing w:before="156" w:beforeLines="50" w:after="156" w:afterLines="50" w:line="560" w:lineRule="exact"/>
        <w:ind w:firstLine="602"/>
        <w:rPr>
          <w:rFonts w:ascii="仿宋" w:hAnsi="仿宋" w:eastAsia="仿宋" w:cs="仿宋_GB2312"/>
          <w:b/>
          <w:kern w:val="0"/>
          <w:sz w:val="30"/>
          <w:szCs w:val="30"/>
        </w:rPr>
      </w:pPr>
      <w:r>
        <w:rPr>
          <w:rFonts w:hint="eastAsia" w:ascii="仿宋" w:hAnsi="仿宋" w:eastAsia="仿宋" w:cs="仿宋_GB2312"/>
          <w:b/>
          <w:kern w:val="0"/>
          <w:sz w:val="30"/>
          <w:szCs w:val="30"/>
        </w:rPr>
        <w:t>(三）区段码序控制</w:t>
      </w:r>
    </w:p>
    <w:p>
      <w:pPr>
        <w:autoSpaceDE w:val="0"/>
        <w:autoSpaceDN w:val="0"/>
        <w:adjustRightInd w:val="0"/>
        <w:spacing w:before="156" w:beforeLines="50" w:after="156" w:afterLines="50" w:line="560" w:lineRule="exact"/>
        <w:ind w:firstLine="600"/>
        <w:rPr>
          <w:rFonts w:ascii="仿宋" w:hAnsi="仿宋" w:eastAsia="仿宋" w:cs="仿宋_GB2312"/>
          <w:kern w:val="0"/>
          <w:sz w:val="30"/>
          <w:szCs w:val="30"/>
        </w:rPr>
      </w:pPr>
      <w:r>
        <w:rPr>
          <w:rFonts w:hint="eastAsia" w:ascii="仿宋" w:hAnsi="仿宋" w:eastAsia="仿宋" w:cs="仿宋_GB2312"/>
          <w:kern w:val="0"/>
          <w:sz w:val="30"/>
          <w:szCs w:val="30"/>
        </w:rPr>
        <w:t>在SF口为发车方向时，使X1LQAG区段显示HU码，界面上最多只允许1个区段为占用状态，需要怎么操作？并将操作成功界面截图，图片命名为“图5-4-显示HU码”，并将图片粘贴至U盘根目录“提交资料\竞赛答题卡.doc”指定位置。</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602"/>
        <w:jc w:val="center"/>
        <w:outlineLvl w:val="0"/>
        <w:rPr>
          <w:rFonts w:ascii="仿宋" w:hAnsi="仿宋" w:eastAsia="仿宋" w:cs="仿宋_GB2312"/>
          <w:b/>
          <w:bCs/>
          <w:sz w:val="30"/>
          <w:szCs w:val="30"/>
        </w:rPr>
      </w:pPr>
      <w:bookmarkStart w:id="119" w:name="_Hlk484020942"/>
      <w:r>
        <w:rPr>
          <w:rFonts w:hint="eastAsia" w:ascii="仿宋" w:hAnsi="仿宋" w:eastAsia="仿宋" w:cs="仿宋_GB2312"/>
          <w:b/>
          <w:bCs/>
          <w:sz w:val="30"/>
          <w:szCs w:val="30"/>
        </w:rPr>
        <w:t>任务六 操作规范（10分）</w:t>
      </w:r>
    </w:p>
    <w:bookmarkEnd w:id="119"/>
    <w:p>
      <w:pPr>
        <w:autoSpaceDE w:val="0"/>
        <w:autoSpaceDN w:val="0"/>
        <w:adjustRightInd w:val="0"/>
        <w:spacing w:before="156" w:beforeLines="50" w:after="156" w:afterLines="50" w:line="560" w:lineRule="exact"/>
        <w:ind w:firstLine="602"/>
        <w:rPr>
          <w:rFonts w:ascii="仿宋" w:hAnsi="仿宋" w:eastAsia="仿宋" w:cs="仿宋_GB2312"/>
          <w:b/>
          <w:kern w:val="0"/>
          <w:sz w:val="30"/>
          <w:szCs w:val="30"/>
        </w:rPr>
      </w:pPr>
      <w:r>
        <w:rPr>
          <w:rFonts w:hint="eastAsia" w:ascii="仿宋" w:hAnsi="仿宋" w:eastAsia="仿宋" w:cs="仿宋_GB2312"/>
          <w:b/>
          <w:kern w:val="0"/>
          <w:sz w:val="30"/>
          <w:szCs w:val="30"/>
        </w:rPr>
        <w:t>（一）工作报告</w:t>
      </w:r>
    </w:p>
    <w:p>
      <w:pPr>
        <w:widowControl/>
        <w:shd w:val="clear" w:color="auto" w:fill="FFFFFF"/>
        <w:spacing w:before="156" w:beforeLines="50" w:after="156" w:afterLines="50"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在实际岗位中，为了定时梳理工作内容，解决工作过程中的问题，提供工作效率，都需要撰写工作报告。现需要将任务一至任务五的工作报告在竞赛答题卡上填写完整（写在竞赛任务书上无效）。 </w:t>
      </w:r>
    </w:p>
    <w:tbl>
      <w:tblPr>
        <w:tblStyle w:val="32"/>
        <w:tblW w:w="8471" w:type="dxa"/>
        <w:jc w:val="center"/>
        <w:tblInd w:w="0" w:type="dxa"/>
        <w:tblLayout w:type="fixed"/>
        <w:tblCellMar>
          <w:top w:w="50" w:type="dxa"/>
          <w:left w:w="108" w:type="dxa"/>
          <w:bottom w:w="0" w:type="dxa"/>
          <w:right w:w="55" w:type="dxa"/>
        </w:tblCellMar>
      </w:tblPr>
      <w:tblGrid>
        <w:gridCol w:w="4815"/>
        <w:gridCol w:w="3656"/>
      </w:tblGrid>
      <w:tr>
        <w:tblPrEx>
          <w:tblLayout w:type="fixed"/>
          <w:tblCellMar>
            <w:top w:w="50" w:type="dxa"/>
            <w:left w:w="108" w:type="dxa"/>
            <w:bottom w:w="0" w:type="dxa"/>
            <w:right w:w="55" w:type="dxa"/>
          </w:tblCellMar>
        </w:tblPrEx>
        <w:trPr>
          <w:trHeight w:val="237" w:hRule="atLeast"/>
          <w:jc w:val="center"/>
        </w:trPr>
        <w:tc>
          <w:tcPr>
            <w:tcW w:w="847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5" w:firstLine="0" w:firstLineChars="0"/>
              <w:jc w:val="center"/>
              <w:rPr>
                <w:rFonts w:ascii="宋体" w:hAnsi="宋体" w:cs="宋体"/>
                <w:b/>
                <w:snapToGrid w:val="0"/>
                <w:kern w:val="0"/>
              </w:rPr>
            </w:pPr>
            <w:r>
              <w:rPr>
                <w:rFonts w:hint="eastAsia" w:ascii="宋体" w:hAnsi="宋体" w:cs="宋体"/>
                <w:b/>
                <w:snapToGrid w:val="0"/>
                <w:kern w:val="0"/>
              </w:rPr>
              <w:t>任务一 信号系统逻辑设计与配置</w:t>
            </w:r>
          </w:p>
        </w:tc>
      </w:tr>
      <w:tr>
        <w:tblPrEx>
          <w:tblLayout w:type="fixed"/>
          <w:tblCellMar>
            <w:top w:w="50" w:type="dxa"/>
            <w:left w:w="108" w:type="dxa"/>
            <w:bottom w:w="0" w:type="dxa"/>
            <w:right w:w="55" w:type="dxa"/>
          </w:tblCellMar>
        </w:tblPrEx>
        <w:trPr>
          <w:trHeight w:val="427"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任务要求简单描述</w:t>
            </w:r>
          </w:p>
        </w:tc>
        <w:tc>
          <w:tcPr>
            <w:tcW w:w="3656" w:type="dxa"/>
            <w:tcBorders>
              <w:top w:val="single" w:color="000000" w:sz="4" w:space="0"/>
              <w:left w:val="single" w:color="000000" w:sz="4" w:space="0"/>
              <w:bottom w:val="single" w:color="000000" w:sz="4" w:space="0"/>
              <w:right w:val="single" w:color="000000" w:sz="4" w:space="0"/>
            </w:tcBorders>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476"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操作过程记录</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685"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实施结果（填写“任务完成”或“任务未完成”，注：任务未完成需描述原因）</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526" w:hRule="atLeast"/>
          <w:jc w:val="center"/>
        </w:trPr>
        <w:tc>
          <w:tcPr>
            <w:tcW w:w="847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5" w:firstLine="0" w:firstLineChars="0"/>
              <w:jc w:val="center"/>
              <w:rPr>
                <w:rFonts w:ascii="宋体" w:hAnsi="宋体" w:cs="宋体"/>
                <w:b/>
                <w:snapToGrid w:val="0"/>
                <w:kern w:val="0"/>
              </w:rPr>
            </w:pPr>
            <w:r>
              <w:rPr>
                <w:rFonts w:hint="eastAsia" w:ascii="宋体" w:hAnsi="宋体" w:cs="宋体"/>
                <w:b/>
                <w:snapToGrid w:val="0"/>
                <w:kern w:val="0"/>
              </w:rPr>
              <w:t>任务二 信号控制系统安装部署</w:t>
            </w:r>
          </w:p>
        </w:tc>
      </w:tr>
      <w:tr>
        <w:tblPrEx>
          <w:tblLayout w:type="fixed"/>
          <w:tblCellMar>
            <w:top w:w="50" w:type="dxa"/>
            <w:left w:w="108" w:type="dxa"/>
            <w:bottom w:w="0" w:type="dxa"/>
            <w:right w:w="55" w:type="dxa"/>
          </w:tblCellMar>
        </w:tblPrEx>
        <w:trPr>
          <w:trHeight w:val="455"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任务要求简单描述</w:t>
            </w:r>
          </w:p>
        </w:tc>
        <w:tc>
          <w:tcPr>
            <w:tcW w:w="3656" w:type="dxa"/>
            <w:tcBorders>
              <w:top w:val="single" w:color="000000" w:sz="4" w:space="0"/>
              <w:left w:val="single" w:color="000000" w:sz="4" w:space="0"/>
              <w:bottom w:val="single" w:color="000000" w:sz="4" w:space="0"/>
              <w:right w:val="single" w:color="000000" w:sz="4" w:space="0"/>
            </w:tcBorders>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454"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操作过程记录</w:t>
            </w:r>
          </w:p>
        </w:tc>
        <w:tc>
          <w:tcPr>
            <w:tcW w:w="3656" w:type="dxa"/>
            <w:tcBorders>
              <w:top w:val="single" w:color="000000" w:sz="4" w:space="0"/>
              <w:left w:val="single" w:color="000000" w:sz="4" w:space="0"/>
              <w:bottom w:val="single" w:color="000000" w:sz="4" w:space="0"/>
              <w:right w:val="single" w:color="000000" w:sz="4" w:space="0"/>
            </w:tcBorders>
            <w:vAlign w:val="bottom"/>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944"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实施结果（填写“任务完成”或“任务未完成”，注：任务未完成需描述原因）</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351" w:hRule="atLeast"/>
          <w:jc w:val="center"/>
        </w:trPr>
        <w:tc>
          <w:tcPr>
            <w:tcW w:w="847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5" w:firstLine="0" w:firstLineChars="0"/>
              <w:jc w:val="center"/>
              <w:rPr>
                <w:rFonts w:ascii="宋体" w:hAnsi="宋体" w:cs="宋体"/>
                <w:b/>
                <w:snapToGrid w:val="0"/>
                <w:kern w:val="0"/>
              </w:rPr>
            </w:pPr>
            <w:r>
              <w:rPr>
                <w:rFonts w:hint="eastAsia" w:ascii="宋体" w:hAnsi="宋体" w:cs="宋体"/>
                <w:b/>
                <w:snapToGrid w:val="0"/>
                <w:kern w:val="0"/>
              </w:rPr>
              <w:t>任务三 信号控制系统故障原因分析追查</w:t>
            </w:r>
          </w:p>
        </w:tc>
      </w:tr>
      <w:tr>
        <w:tblPrEx>
          <w:tblLayout w:type="fixed"/>
          <w:tblCellMar>
            <w:top w:w="50" w:type="dxa"/>
            <w:left w:w="108" w:type="dxa"/>
            <w:bottom w:w="0" w:type="dxa"/>
            <w:right w:w="55" w:type="dxa"/>
          </w:tblCellMar>
        </w:tblPrEx>
        <w:trPr>
          <w:trHeight w:val="491" w:hRule="atLeast"/>
          <w:jc w:val="center"/>
        </w:trPr>
        <w:tc>
          <w:tcPr>
            <w:tcW w:w="4815" w:type="dxa"/>
            <w:tcBorders>
              <w:top w:val="nil"/>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任务要求简单描述</w:t>
            </w:r>
          </w:p>
        </w:tc>
        <w:tc>
          <w:tcPr>
            <w:tcW w:w="3656" w:type="dxa"/>
            <w:tcBorders>
              <w:top w:val="single" w:color="000000" w:sz="4" w:space="0"/>
              <w:left w:val="single" w:color="000000" w:sz="4" w:space="0"/>
              <w:bottom w:val="single" w:color="000000" w:sz="4" w:space="0"/>
              <w:right w:val="single" w:color="000000" w:sz="4" w:space="0"/>
            </w:tcBorders>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289"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操作过程记录</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835"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实施结果（填写“任务完成”或“任务未完成”，注：任务未完成需描述原因）</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445" w:hRule="atLeast"/>
          <w:jc w:val="center"/>
        </w:trPr>
        <w:tc>
          <w:tcPr>
            <w:tcW w:w="847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5" w:firstLine="0" w:firstLineChars="0"/>
              <w:jc w:val="center"/>
              <w:rPr>
                <w:rFonts w:ascii="宋体" w:hAnsi="宋体" w:cs="宋体"/>
                <w:snapToGrid w:val="0"/>
                <w:kern w:val="0"/>
              </w:rPr>
            </w:pPr>
            <w:r>
              <w:rPr>
                <w:rFonts w:hint="eastAsia" w:ascii="宋体" w:hAnsi="宋体" w:cs="宋体"/>
                <w:b/>
                <w:snapToGrid w:val="0"/>
                <w:kern w:val="0"/>
              </w:rPr>
              <w:t>任务四 智能监控辅助系统开发</w:t>
            </w:r>
          </w:p>
        </w:tc>
      </w:tr>
      <w:tr>
        <w:tblPrEx>
          <w:tblLayout w:type="fixed"/>
          <w:tblCellMar>
            <w:top w:w="50" w:type="dxa"/>
            <w:left w:w="108" w:type="dxa"/>
            <w:bottom w:w="0" w:type="dxa"/>
            <w:right w:w="55" w:type="dxa"/>
          </w:tblCellMar>
        </w:tblPrEx>
        <w:trPr>
          <w:trHeight w:val="399"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任务要求简单描述</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465"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操作过程记录</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849"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实施结果（填写“任务完成”或“任务未完成”，注：任务未完成需描述原因）</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7"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340" w:hRule="atLeast"/>
          <w:jc w:val="center"/>
        </w:trPr>
        <w:tc>
          <w:tcPr>
            <w:tcW w:w="8471"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7" w:firstLine="0" w:firstLineChars="0"/>
              <w:jc w:val="center"/>
              <w:rPr>
                <w:rFonts w:ascii="宋体" w:hAnsi="宋体" w:cs="宋体"/>
                <w:snapToGrid w:val="0"/>
                <w:kern w:val="0"/>
              </w:rPr>
            </w:pPr>
            <w:r>
              <w:rPr>
                <w:rFonts w:hint="eastAsia" w:ascii="宋体" w:hAnsi="宋体" w:cs="宋体"/>
                <w:b/>
                <w:snapToGrid w:val="0"/>
                <w:kern w:val="0"/>
              </w:rPr>
              <w:t>任务五 信号控制系统综合应用</w:t>
            </w:r>
          </w:p>
        </w:tc>
      </w:tr>
      <w:tr>
        <w:tblPrEx>
          <w:tblLayout w:type="fixed"/>
          <w:tblCellMar>
            <w:top w:w="50" w:type="dxa"/>
            <w:left w:w="108" w:type="dxa"/>
            <w:bottom w:w="0" w:type="dxa"/>
            <w:right w:w="55" w:type="dxa"/>
          </w:tblCellMar>
        </w:tblPrEx>
        <w:trPr>
          <w:trHeight w:val="565"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任务要求简单描述</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7"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400"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操作过程记录</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7" w:firstLine="0" w:firstLineChars="0"/>
              <w:rPr>
                <w:rFonts w:ascii="宋体" w:hAnsi="宋体" w:cs="宋体"/>
                <w:snapToGrid w:val="0"/>
                <w:kern w:val="0"/>
              </w:rPr>
            </w:pPr>
          </w:p>
        </w:tc>
      </w:tr>
      <w:tr>
        <w:tblPrEx>
          <w:tblLayout w:type="fixed"/>
          <w:tblCellMar>
            <w:top w:w="50" w:type="dxa"/>
            <w:left w:w="108" w:type="dxa"/>
            <w:bottom w:w="0" w:type="dxa"/>
            <w:right w:w="55" w:type="dxa"/>
          </w:tblCellMar>
        </w:tblPrEx>
        <w:trPr>
          <w:trHeight w:val="927" w:hRule="atLeast"/>
          <w:jc w:val="center"/>
        </w:trPr>
        <w:tc>
          <w:tcPr>
            <w:tcW w:w="481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right="53" w:firstLine="0" w:firstLineChars="0"/>
              <w:jc w:val="left"/>
              <w:rPr>
                <w:rFonts w:ascii="宋体" w:hAnsi="宋体" w:cs="宋体"/>
                <w:snapToGrid w:val="0"/>
                <w:kern w:val="0"/>
              </w:rPr>
            </w:pPr>
            <w:r>
              <w:rPr>
                <w:rFonts w:hint="eastAsia" w:ascii="宋体" w:hAnsi="宋体" w:cs="宋体"/>
                <w:snapToGrid w:val="0"/>
                <w:kern w:val="0"/>
              </w:rPr>
              <w:t>实施结果（填写“任务完成”或“任务未完成”，注：任务未完成需描述原因）</w:t>
            </w:r>
          </w:p>
        </w:tc>
        <w:tc>
          <w:tcPr>
            <w:tcW w:w="36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7" w:firstLine="0" w:firstLineChars="0"/>
              <w:rPr>
                <w:rFonts w:ascii="宋体" w:hAnsi="宋体" w:cs="宋体"/>
                <w:snapToGrid w:val="0"/>
                <w:kern w:val="0"/>
              </w:rPr>
            </w:pPr>
          </w:p>
        </w:tc>
      </w:tr>
    </w:tbl>
    <w:p>
      <w:pPr>
        <w:autoSpaceDE w:val="0"/>
        <w:autoSpaceDN w:val="0"/>
        <w:adjustRightInd w:val="0"/>
        <w:spacing w:before="156" w:beforeLines="50" w:after="156" w:afterLines="50" w:line="560" w:lineRule="exact"/>
        <w:ind w:firstLine="600"/>
        <w:rPr>
          <w:rFonts w:ascii="仿宋_GB2312" w:hAnsi="仿宋_GB2312" w:eastAsia="仿宋_GB2312" w:cs="仿宋_GB2312"/>
          <w:b/>
          <w:kern w:val="0"/>
          <w:sz w:val="30"/>
          <w:szCs w:val="30"/>
        </w:rPr>
      </w:pPr>
      <w:bookmarkStart w:id="120" w:name="_Hlk484022421"/>
      <w:r>
        <w:rPr>
          <w:rFonts w:hint="eastAsia" w:ascii="仿宋_GB2312" w:hAnsi="仿宋_GB2312" w:eastAsia="仿宋_GB2312" w:cs="仿宋_GB2312"/>
          <w:b/>
          <w:kern w:val="0"/>
          <w:sz w:val="30"/>
          <w:szCs w:val="30"/>
        </w:rPr>
        <w:t>（二）现场管理及安全</w:t>
      </w:r>
    </w:p>
    <w:bookmarkEnd w:id="120"/>
    <w:p>
      <w:pPr>
        <w:widowControl/>
        <w:spacing w:before="156" w:beforeLines="50" w:after="156" w:afterLines="50"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 遵守</w:t>
      </w:r>
      <w:r>
        <w:rPr>
          <w:rFonts w:hint="eastAsia" w:ascii="仿宋_GB2312" w:hAnsi="仿宋_GB2312" w:eastAsia="仿宋_GB2312" w:cs="仿宋_GB2312"/>
          <w:b/>
          <w:bCs/>
          <w:sz w:val="30"/>
          <w:szCs w:val="30"/>
        </w:rPr>
        <w:t>安全操作规范</w:t>
      </w:r>
      <w:r>
        <w:rPr>
          <w:rFonts w:hint="eastAsia" w:ascii="仿宋_GB2312" w:hAnsi="仿宋_GB2312" w:eastAsia="仿宋_GB2312" w:cs="仿宋_GB2312"/>
          <w:sz w:val="30"/>
          <w:szCs w:val="30"/>
        </w:rPr>
        <w:t>。</w:t>
      </w:r>
    </w:p>
    <w:p>
      <w:pPr>
        <w:widowControl/>
        <w:spacing w:before="156" w:beforeLines="50" w:after="156" w:afterLines="50"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 文明竞赛，服从管理。</w:t>
      </w:r>
    </w:p>
    <w:p>
      <w:pPr>
        <w:widowControl/>
        <w:spacing w:before="156" w:beforeLines="50" w:after="156" w:afterLines="50"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3. 工位环境整洁、卫生。</w:t>
      </w:r>
    </w:p>
    <w:p>
      <w:pPr>
        <w:widowControl/>
        <w:spacing w:before="156" w:beforeLines="50" w:after="156" w:afterLines="50"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4. 参赛队要做到工作井然有序、不跨区操作。</w:t>
      </w:r>
    </w:p>
    <w:p>
      <w:pPr>
        <w:widowControl/>
        <w:spacing w:before="156" w:beforeLines="50" w:after="156" w:afterLines="50" w:line="560" w:lineRule="exact"/>
        <w:ind w:left="319" w:leftChars="133"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5.接触机柜外壁（包括拆装机柜门）或机柜内部进行安装拆卸布线时需要佩戴绝缘手套。</w:t>
      </w:r>
    </w:p>
    <w:p>
      <w:pPr>
        <w:widowControl/>
        <w:spacing w:before="156" w:beforeLines="50" w:after="156" w:afterLines="50"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6.维修或焊接电路板时需要佩戴防静电手环。</w:t>
      </w:r>
    </w:p>
    <w:p>
      <w:pPr>
        <w:pStyle w:val="26"/>
        <w:pageBreakBefore/>
        <w:spacing w:line="560" w:lineRule="exact"/>
        <w:ind w:firstLine="600"/>
        <w:rPr>
          <w:rFonts w:ascii="仿宋" w:hAnsi="仿宋" w:eastAsia="仿宋" w:cs="仿宋_GB2312"/>
          <w:b w:val="0"/>
          <w:bCs w:val="0"/>
          <w:kern w:val="2"/>
          <w:sz w:val="30"/>
          <w:szCs w:val="30"/>
        </w:rPr>
      </w:pPr>
      <w:r>
        <w:rPr>
          <w:rFonts w:hint="eastAsia" w:ascii="仿宋" w:hAnsi="仿宋" w:eastAsia="仿宋" w:cs="仿宋_GB2312"/>
          <w:b w:val="0"/>
          <w:bCs w:val="0"/>
          <w:kern w:val="2"/>
          <w:sz w:val="30"/>
          <w:szCs w:val="30"/>
        </w:rPr>
        <w:t>附录一  摄像头使用方法步骤</w:t>
      </w:r>
    </w:p>
    <w:p>
      <w:pPr>
        <w:widowControl/>
        <w:spacing w:line="560" w:lineRule="exact"/>
        <w:ind w:firstLine="420" w:firstLineChars="0"/>
        <w:jc w:val="left"/>
        <w:rPr>
          <w:rFonts w:ascii="仿宋" w:hAnsi="仿宋" w:eastAsia="仿宋" w:cs="仿宋_GB2312"/>
          <w:sz w:val="30"/>
          <w:szCs w:val="30"/>
        </w:rPr>
      </w:pPr>
      <w:r>
        <w:rPr>
          <w:rFonts w:hint="eastAsia" w:ascii="仿宋" w:hAnsi="仿宋" w:eastAsia="仿宋" w:cs="仿宋_GB2312"/>
          <w:sz w:val="30"/>
          <w:szCs w:val="30"/>
        </w:rPr>
        <w:t>（一）拍照使用方法</w:t>
      </w:r>
    </w:p>
    <w:p>
      <w:pPr>
        <w:widowControl/>
        <w:spacing w:line="560" w:lineRule="exact"/>
        <w:ind w:firstLine="600"/>
        <w:jc w:val="left"/>
        <w:rPr>
          <w:rFonts w:ascii="仿宋" w:hAnsi="仿宋" w:eastAsia="仿宋" w:cs="仿宋_GB2312"/>
          <w:sz w:val="30"/>
          <w:szCs w:val="30"/>
        </w:rPr>
      </w:pPr>
      <w:r>
        <w:rPr>
          <w:rFonts w:hint="eastAsia" w:ascii="仿宋" w:hAnsi="仿宋" w:eastAsia="仿宋" w:cs="仿宋_GB2312"/>
          <w:sz w:val="30"/>
          <w:szCs w:val="30"/>
        </w:rPr>
        <w:t>1.电脑插上USB摄像头→双击打开桌面AMCap汉化版程序→摄像头对准需要拍照的地方，旋转摄像头前面的金属圆框调整焦距。</w:t>
      </w:r>
    </w:p>
    <w:p>
      <w:pPr>
        <w:widowControl/>
        <w:spacing w:line="560" w:lineRule="exact"/>
        <w:ind w:firstLine="600"/>
        <w:jc w:val="left"/>
        <w:rPr>
          <w:rFonts w:ascii="仿宋" w:hAnsi="仿宋" w:eastAsia="仿宋" w:cs="仿宋_GB2312"/>
          <w:sz w:val="30"/>
          <w:szCs w:val="30"/>
        </w:rPr>
      </w:pPr>
      <w:r>
        <w:rPr>
          <w:rFonts w:hint="eastAsia" w:ascii="仿宋" w:hAnsi="仿宋" w:eastAsia="仿宋" w:cs="仿宋_GB2312"/>
          <w:sz w:val="30"/>
          <w:szCs w:val="30"/>
        </w:rPr>
        <w:t>2.固定摄像头并按下键盘Ctrl+L（或者直接按下摄像头上方的黑色按钮进行拍照）。</w:t>
      </w:r>
    </w:p>
    <w:p>
      <w:pPr>
        <w:widowControl/>
        <w:spacing w:line="560" w:lineRule="exact"/>
        <w:ind w:firstLine="600"/>
        <w:jc w:val="left"/>
        <w:rPr>
          <w:rFonts w:ascii="仿宋" w:hAnsi="仿宋" w:eastAsia="仿宋" w:cs="仿宋_GB2312"/>
          <w:sz w:val="30"/>
          <w:szCs w:val="30"/>
        </w:rPr>
      </w:pPr>
      <w:r>
        <w:rPr>
          <w:rFonts w:hint="eastAsia" w:ascii="仿宋" w:hAnsi="仿宋" w:eastAsia="仿宋" w:cs="仿宋_GB2312"/>
          <w:sz w:val="30"/>
          <w:szCs w:val="30"/>
        </w:rPr>
        <w:t>3.拍照保存的图片默认是桌面，再根据题目要求把照片放到相应的位置即可。</w:t>
      </w:r>
    </w:p>
    <w:p>
      <w:pPr>
        <w:widowControl/>
        <w:spacing w:line="560" w:lineRule="exact"/>
        <w:ind w:firstLine="600"/>
        <w:jc w:val="left"/>
        <w:rPr>
          <w:rFonts w:ascii="仿宋" w:hAnsi="仿宋" w:eastAsia="仿宋" w:cs="仿宋_GB2312"/>
          <w:sz w:val="30"/>
          <w:szCs w:val="30"/>
        </w:rPr>
      </w:pPr>
      <w:r>
        <w:rPr>
          <w:rFonts w:hint="eastAsia" w:ascii="仿宋" w:hAnsi="仿宋" w:eastAsia="仿宋" w:cs="仿宋_GB2312"/>
          <w:sz w:val="30"/>
          <w:szCs w:val="30"/>
        </w:rPr>
        <w:t>注意：为了防止拍照时候手的抖动造成图片模糊，建议先固定摄像头再按下键盘Ctrl+L快捷键完成拍照。</w:t>
      </w:r>
    </w:p>
    <w:p>
      <w:pPr>
        <w:widowControl/>
        <w:spacing w:line="560" w:lineRule="exact"/>
        <w:ind w:firstLine="420" w:firstLineChars="0"/>
        <w:jc w:val="left"/>
        <w:rPr>
          <w:rFonts w:ascii="仿宋" w:hAnsi="仿宋" w:eastAsia="仿宋" w:cs="仿宋_GB2312"/>
          <w:sz w:val="30"/>
          <w:szCs w:val="30"/>
        </w:rPr>
      </w:pPr>
      <w:r>
        <w:rPr>
          <w:rFonts w:hint="eastAsia" w:ascii="仿宋" w:hAnsi="仿宋" w:eastAsia="仿宋" w:cs="仿宋_GB2312"/>
          <w:sz w:val="30"/>
          <w:szCs w:val="30"/>
        </w:rPr>
        <w:t>（二）录像使用方法</w:t>
      </w:r>
    </w:p>
    <w:p>
      <w:pPr>
        <w:widowControl/>
        <w:spacing w:line="560" w:lineRule="exact"/>
        <w:ind w:firstLine="600"/>
        <w:jc w:val="left"/>
        <w:rPr>
          <w:rFonts w:ascii="仿宋" w:hAnsi="仿宋" w:eastAsia="仿宋" w:cs="仿宋_GB2312"/>
          <w:sz w:val="30"/>
          <w:szCs w:val="30"/>
        </w:rPr>
      </w:pPr>
      <w:r>
        <w:rPr>
          <w:rFonts w:hint="eastAsia" w:ascii="仿宋" w:hAnsi="仿宋" w:eastAsia="仿宋" w:cs="仿宋_GB2312"/>
          <w:sz w:val="30"/>
          <w:szCs w:val="30"/>
        </w:rPr>
        <w:t>1.电脑插上USB摄像头→双击打开桌面AMCap汉化版程序；</w:t>
      </w:r>
    </w:p>
    <w:p>
      <w:pPr>
        <w:widowControl/>
        <w:spacing w:line="560" w:lineRule="exact"/>
        <w:ind w:firstLine="600"/>
        <w:jc w:val="left"/>
        <w:rPr>
          <w:rFonts w:ascii="仿宋" w:hAnsi="仿宋" w:eastAsia="仿宋" w:cs="仿宋_GB2312"/>
          <w:sz w:val="30"/>
          <w:szCs w:val="30"/>
        </w:rPr>
      </w:pPr>
      <w:r>
        <w:rPr>
          <w:rFonts w:hint="eastAsia" w:ascii="仿宋" w:hAnsi="仿宋" w:eastAsia="仿宋" w:cs="仿宋_GB2312"/>
          <w:sz w:val="30"/>
          <w:szCs w:val="30"/>
        </w:rPr>
        <w:t>摄像头对准需要录制的地方，旋转摄像头前面的金属圆框调整焦距。</w:t>
      </w:r>
    </w:p>
    <w:p>
      <w:pPr>
        <w:widowControl/>
        <w:spacing w:line="560" w:lineRule="exact"/>
        <w:ind w:firstLine="600"/>
        <w:jc w:val="left"/>
        <w:rPr>
          <w:rFonts w:ascii="仿宋" w:hAnsi="仿宋" w:eastAsia="仿宋" w:cs="仿宋_GB2312"/>
          <w:sz w:val="30"/>
          <w:szCs w:val="30"/>
        </w:rPr>
      </w:pPr>
      <w:r>
        <w:rPr>
          <w:rFonts w:hint="eastAsia" w:ascii="仿宋" w:hAnsi="仿宋" w:eastAsia="仿宋" w:cs="仿宋_GB2312"/>
          <w:sz w:val="30"/>
          <w:szCs w:val="30"/>
        </w:rPr>
        <w:t>2.在AMCap软件菜单栏选择捕捉→开始捕捉→弹出“设置捕捉文件”窗口→选择路径为桌面，输入生成录像文件的名称→弹出“设置文件大小”窗口，使用默认选项，点击确定→弹出“准备捕捉”窗口→点击确定，开始进行视频录制。</w:t>
      </w:r>
    </w:p>
    <w:p>
      <w:pPr>
        <w:widowControl/>
        <w:spacing w:line="560" w:lineRule="exact"/>
        <w:ind w:firstLine="600"/>
        <w:jc w:val="left"/>
        <w:rPr>
          <w:rFonts w:ascii="仿宋" w:hAnsi="仿宋" w:eastAsia="仿宋" w:cs="仿宋_GB2312"/>
          <w:sz w:val="30"/>
          <w:szCs w:val="30"/>
        </w:rPr>
      </w:pPr>
      <w:r>
        <w:rPr>
          <w:rFonts w:hint="eastAsia" w:ascii="仿宋" w:hAnsi="仿宋" w:eastAsia="仿宋" w:cs="仿宋_GB2312"/>
          <w:sz w:val="30"/>
          <w:szCs w:val="30"/>
        </w:rPr>
        <w:t>3.结束录制。在AMCap软件菜单栏选择捕捉→停止捕捉。结束录制之后，录制文件会自动生成到桌面。</w:t>
      </w:r>
    </w:p>
    <w:p>
      <w:pPr>
        <w:widowControl/>
        <w:spacing w:line="560" w:lineRule="exact"/>
        <w:ind w:firstLine="600"/>
        <w:jc w:val="left"/>
        <w:rPr>
          <w:rFonts w:ascii="仿宋" w:hAnsi="仿宋" w:eastAsia="仿宋" w:cs="仿宋_GB2312"/>
          <w:sz w:val="30"/>
          <w:szCs w:val="30"/>
        </w:rPr>
      </w:pPr>
      <w:r>
        <w:rPr>
          <w:rFonts w:hint="eastAsia" w:ascii="仿宋" w:hAnsi="仿宋" w:eastAsia="仿宋" w:cs="仿宋_GB2312"/>
          <w:sz w:val="30"/>
          <w:szCs w:val="30"/>
        </w:rPr>
        <w:t>注意：为了防止录像时候手的抖动造成模糊，建议先固定摄像头再按下键盘Ctrl+C快捷键或者在AMCap软件菜单栏选择捕捉→开始捕捉，开始录制。</w:t>
      </w:r>
    </w:p>
    <w:sectPr>
      <w:pgSz w:w="11906" w:h="16838"/>
      <w:pgMar w:top="1440" w:right="1134" w:bottom="1440" w:left="1797" w:header="851" w:footer="99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103042"/>
      <w:docPartObj>
        <w:docPartGallery w:val="autotext"/>
      </w:docPartObj>
    </w:sdtPr>
    <w:sdtContent>
      <w:p>
        <w:pPr>
          <w:pStyle w:val="16"/>
          <w:ind w:firstLine="360"/>
          <w:jc w:val="center"/>
        </w:pPr>
        <w:r>
          <w:fldChar w:fldCharType="begin"/>
        </w:r>
        <w:r>
          <w:instrText xml:space="preserve">PAGE   \* MERGEFORMAT</w:instrText>
        </w:r>
        <w:r>
          <w:fldChar w:fldCharType="separate"/>
        </w:r>
        <w:r>
          <w:rPr>
            <w:lang w:val="zh-CN"/>
          </w:rPr>
          <w:t>2</w:t>
        </w:r>
        <w:r>
          <w:fldChar w:fldCharType="end"/>
        </w:r>
      </w:p>
    </w:sdtContent>
  </w:sdt>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kO9M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Z5DvTEAIAAAkEAAAOAAAAAAAAAAEAIAAA&#10;AB8BAABkcnMvZTJvRG9jLnhtbFBLBQYAAAAABgAGAFkBAAChBQ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C410C7"/>
    <w:multiLevelType w:val="singleLevel"/>
    <w:tmpl w:val="C6C410C7"/>
    <w:lvl w:ilvl="0" w:tentative="0">
      <w:start w:val="1"/>
      <w:numFmt w:val="decimal"/>
      <w:lvlText w:val="%1."/>
      <w:lvlJc w:val="left"/>
      <w:pPr>
        <w:tabs>
          <w:tab w:val="left" w:pos="312"/>
        </w:tabs>
      </w:pPr>
    </w:lvl>
  </w:abstractNum>
  <w:abstractNum w:abstractNumId="1">
    <w:nsid w:val="036439E3"/>
    <w:multiLevelType w:val="singleLevel"/>
    <w:tmpl w:val="036439E3"/>
    <w:lvl w:ilvl="0" w:tentative="0">
      <w:start w:val="1"/>
      <w:numFmt w:val="chineseCounting"/>
      <w:suff w:val="nothing"/>
      <w:lvlText w:val="（%1）"/>
      <w:lvlJc w:val="left"/>
      <w:rPr>
        <w:rFonts w:hint="eastAsia"/>
      </w:rPr>
    </w:lvl>
  </w:abstractNum>
  <w:abstractNum w:abstractNumId="2">
    <w:nsid w:val="131D64A9"/>
    <w:multiLevelType w:val="multilevel"/>
    <w:tmpl w:val="131D64A9"/>
    <w:lvl w:ilvl="0" w:tentative="0">
      <w:start w:val="1"/>
      <w:numFmt w:val="chineseCountingThousand"/>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304CBE"/>
    <w:multiLevelType w:val="multilevel"/>
    <w:tmpl w:val="25304CB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C3F31BB"/>
    <w:multiLevelType w:val="multilevel"/>
    <w:tmpl w:val="2C3F31BB"/>
    <w:lvl w:ilvl="0" w:tentative="0">
      <w:start w:val="1"/>
      <w:numFmt w:val="chineseCountingThousand"/>
      <w:pStyle w:val="2"/>
      <w:suff w:val="nothing"/>
      <w:lvlText w:val="%1、"/>
      <w:lvlJc w:val="left"/>
      <w:pPr>
        <w:ind w:left="0" w:firstLine="0"/>
      </w:pPr>
      <w:rPr>
        <w:rFonts w:hint="eastAsia"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chineseCountingThousand"/>
      <w:pStyle w:val="3"/>
      <w:suff w:val="nothing"/>
      <w:lvlText w:val="（%2）"/>
      <w:lvlJc w:val="left"/>
      <w:pPr>
        <w:ind w:left="0" w:firstLine="0"/>
      </w:pPr>
      <w:rPr>
        <w:rFonts w:hint="eastAsia"/>
        <w:lang w:val="en-US"/>
      </w:rPr>
    </w:lvl>
    <w:lvl w:ilvl="2" w:tentative="0">
      <w:start w:val="1"/>
      <w:numFmt w:val="decimal"/>
      <w:pStyle w:val="4"/>
      <w:suff w:val="nothing"/>
      <w:lvlText w:val="%3."/>
      <w:lvlJc w:val="left"/>
      <w:pPr>
        <w:ind w:left="170" w:firstLine="0"/>
      </w:pPr>
      <w:rPr>
        <w:rFonts w:hint="eastAsia"/>
        <w:sz w:val="32"/>
        <w:szCs w:val="32"/>
      </w:rPr>
    </w:lvl>
    <w:lvl w:ilvl="3" w:tentative="0">
      <w:start w:val="1"/>
      <w:numFmt w:val="decimal"/>
      <w:pStyle w:val="5"/>
      <w:suff w:val="nothing"/>
      <w:lvlText w:val="（%4）"/>
      <w:lvlJc w:val="left"/>
      <w:pPr>
        <w:ind w:left="454" w:hanging="114"/>
      </w:pPr>
      <w:rPr>
        <w:rFonts w:hint="eastAsia"/>
      </w:rPr>
    </w:lvl>
    <w:lvl w:ilvl="4" w:tentative="0">
      <w:start w:val="1"/>
      <w:numFmt w:val="bullet"/>
      <w:lvlText w:val=""/>
      <w:lvlJc w:val="left"/>
      <w:pPr>
        <w:tabs>
          <w:tab w:val="left" w:pos="1134"/>
        </w:tabs>
        <w:ind w:left="624" w:firstLine="0"/>
      </w:pPr>
      <w:rPr>
        <w:rFonts w:hint="default" w:ascii="Wingdings" w:hAnsi="Wingdings"/>
        <w:color w:val="auto"/>
      </w:rPr>
    </w:lvl>
    <w:lvl w:ilvl="5" w:tentative="0">
      <w:start w:val="1"/>
      <w:numFmt w:val="none"/>
      <w:suff w:val="nothing"/>
      <w:lvlText w:val=""/>
      <w:lvlJc w:val="right"/>
      <w:pPr>
        <w:ind w:left="624"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right"/>
      <w:pPr>
        <w:ind w:left="0" w:firstLine="0"/>
      </w:pPr>
      <w:rPr>
        <w:rFonts w:hint="eastAsia"/>
      </w:rPr>
    </w:lvl>
  </w:abstractNum>
  <w:abstractNum w:abstractNumId="5">
    <w:nsid w:val="590F643D"/>
    <w:multiLevelType w:val="multilevel"/>
    <w:tmpl w:val="590F643D"/>
    <w:lvl w:ilvl="0" w:tentative="0">
      <w:start w:val="1"/>
      <w:numFmt w:val="decimal"/>
      <w:pStyle w:val="61"/>
      <w:lvlText w:val="表%1"/>
      <w:lvlJc w:val="left"/>
      <w:pPr>
        <w:tabs>
          <w:tab w:val="left" w:pos="567"/>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AB5F8E6"/>
    <w:multiLevelType w:val="singleLevel"/>
    <w:tmpl w:val="5AB5F8E6"/>
    <w:lvl w:ilvl="0" w:tentative="0">
      <w:start w:val="6"/>
      <w:numFmt w:val="decimal"/>
      <w:lvlText w:val="%1."/>
      <w:lvlJc w:val="left"/>
      <w:pPr>
        <w:tabs>
          <w:tab w:val="left" w:pos="312"/>
        </w:tabs>
      </w:pPr>
    </w:lvl>
  </w:abstractNum>
  <w:abstractNum w:abstractNumId="7">
    <w:nsid w:val="5D9B4D33"/>
    <w:multiLevelType w:val="multilevel"/>
    <w:tmpl w:val="5D9B4D33"/>
    <w:lvl w:ilvl="0" w:tentative="0">
      <w:start w:val="1"/>
      <w:numFmt w:val="decimal"/>
      <w:pStyle w:val="60"/>
      <w:lvlText w:val="图%1 "/>
      <w:lvlJc w:val="left"/>
      <w:pPr>
        <w:tabs>
          <w:tab w:val="left" w:pos="747"/>
        </w:tabs>
        <w:ind w:left="747" w:hanging="390"/>
      </w:pPr>
      <w:rPr>
        <w:rFonts w:hint="default"/>
      </w:rPr>
    </w:lvl>
    <w:lvl w:ilvl="1" w:tentative="0">
      <w:start w:val="1"/>
      <w:numFmt w:val="decimal"/>
      <w:lvlText w:val="（%2）"/>
      <w:lvlJc w:val="left"/>
      <w:pPr>
        <w:ind w:left="2705"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7"/>
  </w:num>
  <w:num w:numId="3">
    <w:abstractNumId w:val="5"/>
  </w:num>
  <w:num w:numId="4">
    <w:abstractNumId w:val="0"/>
  </w:num>
  <w:num w:numId="5">
    <w:abstractNumId w:val="6"/>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137F45"/>
    <w:rsid w:val="00000BA3"/>
    <w:rsid w:val="000016DA"/>
    <w:rsid w:val="00003A7A"/>
    <w:rsid w:val="00004F13"/>
    <w:rsid w:val="0000666C"/>
    <w:rsid w:val="000111C1"/>
    <w:rsid w:val="000125A5"/>
    <w:rsid w:val="0001573A"/>
    <w:rsid w:val="00016393"/>
    <w:rsid w:val="000263C2"/>
    <w:rsid w:val="00026B90"/>
    <w:rsid w:val="00031E35"/>
    <w:rsid w:val="000329D3"/>
    <w:rsid w:val="00032BD2"/>
    <w:rsid w:val="000340D7"/>
    <w:rsid w:val="00036852"/>
    <w:rsid w:val="00037C7B"/>
    <w:rsid w:val="0004086F"/>
    <w:rsid w:val="00040DE8"/>
    <w:rsid w:val="00042D90"/>
    <w:rsid w:val="00042FC0"/>
    <w:rsid w:val="0004602F"/>
    <w:rsid w:val="000467EE"/>
    <w:rsid w:val="0005246A"/>
    <w:rsid w:val="00053655"/>
    <w:rsid w:val="00053DF7"/>
    <w:rsid w:val="00054543"/>
    <w:rsid w:val="00055C44"/>
    <w:rsid w:val="00070ED7"/>
    <w:rsid w:val="000719C1"/>
    <w:rsid w:val="00072AAE"/>
    <w:rsid w:val="0007400E"/>
    <w:rsid w:val="0007401C"/>
    <w:rsid w:val="00077028"/>
    <w:rsid w:val="000772E1"/>
    <w:rsid w:val="00082974"/>
    <w:rsid w:val="000853E2"/>
    <w:rsid w:val="00092EC9"/>
    <w:rsid w:val="00096182"/>
    <w:rsid w:val="000965E4"/>
    <w:rsid w:val="0009770E"/>
    <w:rsid w:val="00097AFE"/>
    <w:rsid w:val="000A05A4"/>
    <w:rsid w:val="000A091E"/>
    <w:rsid w:val="000A0E73"/>
    <w:rsid w:val="000A54E7"/>
    <w:rsid w:val="000A7B2F"/>
    <w:rsid w:val="000B2D4A"/>
    <w:rsid w:val="000B3A6F"/>
    <w:rsid w:val="000B3B11"/>
    <w:rsid w:val="000C5687"/>
    <w:rsid w:val="000C615B"/>
    <w:rsid w:val="000D13D6"/>
    <w:rsid w:val="000D5CB3"/>
    <w:rsid w:val="000D7981"/>
    <w:rsid w:val="000E11C4"/>
    <w:rsid w:val="000E523F"/>
    <w:rsid w:val="000E58D7"/>
    <w:rsid w:val="000F03CB"/>
    <w:rsid w:val="000F11B8"/>
    <w:rsid w:val="000F17CA"/>
    <w:rsid w:val="000F4FE5"/>
    <w:rsid w:val="000F575E"/>
    <w:rsid w:val="000F643A"/>
    <w:rsid w:val="000F7242"/>
    <w:rsid w:val="00101E1E"/>
    <w:rsid w:val="00103FAA"/>
    <w:rsid w:val="00105073"/>
    <w:rsid w:val="00106CC3"/>
    <w:rsid w:val="00107359"/>
    <w:rsid w:val="0011234E"/>
    <w:rsid w:val="00122BB5"/>
    <w:rsid w:val="00125550"/>
    <w:rsid w:val="00125C1F"/>
    <w:rsid w:val="00130118"/>
    <w:rsid w:val="00133A5E"/>
    <w:rsid w:val="00136D3C"/>
    <w:rsid w:val="0014218B"/>
    <w:rsid w:val="00145F4F"/>
    <w:rsid w:val="00147186"/>
    <w:rsid w:val="00150A13"/>
    <w:rsid w:val="001547FF"/>
    <w:rsid w:val="00154890"/>
    <w:rsid w:val="001579EE"/>
    <w:rsid w:val="0016198E"/>
    <w:rsid w:val="001711B6"/>
    <w:rsid w:val="00174FDD"/>
    <w:rsid w:val="001765A8"/>
    <w:rsid w:val="001770D0"/>
    <w:rsid w:val="001776A6"/>
    <w:rsid w:val="00177CB7"/>
    <w:rsid w:val="001825B4"/>
    <w:rsid w:val="001861EB"/>
    <w:rsid w:val="00187089"/>
    <w:rsid w:val="00191283"/>
    <w:rsid w:val="001945CE"/>
    <w:rsid w:val="001A058C"/>
    <w:rsid w:val="001A0CC8"/>
    <w:rsid w:val="001A144D"/>
    <w:rsid w:val="001A69D1"/>
    <w:rsid w:val="001A7B3B"/>
    <w:rsid w:val="001B1E40"/>
    <w:rsid w:val="001B291A"/>
    <w:rsid w:val="001B312F"/>
    <w:rsid w:val="001B3EEE"/>
    <w:rsid w:val="001C174F"/>
    <w:rsid w:val="001C60F9"/>
    <w:rsid w:val="001D4074"/>
    <w:rsid w:val="001D7270"/>
    <w:rsid w:val="001E180E"/>
    <w:rsid w:val="001E2BE6"/>
    <w:rsid w:val="001E2C86"/>
    <w:rsid w:val="001E3337"/>
    <w:rsid w:val="001E369F"/>
    <w:rsid w:val="001E394E"/>
    <w:rsid w:val="001E52D8"/>
    <w:rsid w:val="001E6EE7"/>
    <w:rsid w:val="001E762C"/>
    <w:rsid w:val="001E7EFE"/>
    <w:rsid w:val="001F3301"/>
    <w:rsid w:val="001F3DCF"/>
    <w:rsid w:val="001F6E57"/>
    <w:rsid w:val="001F77F1"/>
    <w:rsid w:val="00200C13"/>
    <w:rsid w:val="00213A7B"/>
    <w:rsid w:val="00213B84"/>
    <w:rsid w:val="0021556A"/>
    <w:rsid w:val="0021729C"/>
    <w:rsid w:val="002265E5"/>
    <w:rsid w:val="0022692C"/>
    <w:rsid w:val="0023418D"/>
    <w:rsid w:val="002353FC"/>
    <w:rsid w:val="002368CC"/>
    <w:rsid w:val="002376FB"/>
    <w:rsid w:val="00240EE0"/>
    <w:rsid w:val="00241E83"/>
    <w:rsid w:val="00242542"/>
    <w:rsid w:val="00243757"/>
    <w:rsid w:val="00244172"/>
    <w:rsid w:val="00244B01"/>
    <w:rsid w:val="0025072B"/>
    <w:rsid w:val="002538B9"/>
    <w:rsid w:val="00253958"/>
    <w:rsid w:val="00255EF5"/>
    <w:rsid w:val="00256506"/>
    <w:rsid w:val="00257696"/>
    <w:rsid w:val="0025798B"/>
    <w:rsid w:val="00260C8C"/>
    <w:rsid w:val="002628AA"/>
    <w:rsid w:val="002648B7"/>
    <w:rsid w:val="00265390"/>
    <w:rsid w:val="00265C9F"/>
    <w:rsid w:val="0026678C"/>
    <w:rsid w:val="00267634"/>
    <w:rsid w:val="002713B7"/>
    <w:rsid w:val="0027167B"/>
    <w:rsid w:val="002721B3"/>
    <w:rsid w:val="002734E2"/>
    <w:rsid w:val="00276A77"/>
    <w:rsid w:val="00276D7A"/>
    <w:rsid w:val="00282399"/>
    <w:rsid w:val="002923F8"/>
    <w:rsid w:val="002A0BEC"/>
    <w:rsid w:val="002A5EA1"/>
    <w:rsid w:val="002B1FB7"/>
    <w:rsid w:val="002B264C"/>
    <w:rsid w:val="002B3CBC"/>
    <w:rsid w:val="002B60EC"/>
    <w:rsid w:val="002B7CD1"/>
    <w:rsid w:val="002C14B0"/>
    <w:rsid w:val="002C2E2E"/>
    <w:rsid w:val="002C6A25"/>
    <w:rsid w:val="002D20D6"/>
    <w:rsid w:val="002D6C17"/>
    <w:rsid w:val="002E05F7"/>
    <w:rsid w:val="002E0A08"/>
    <w:rsid w:val="002E0BAB"/>
    <w:rsid w:val="002E1720"/>
    <w:rsid w:val="002E26D5"/>
    <w:rsid w:val="002E7539"/>
    <w:rsid w:val="002F0D76"/>
    <w:rsid w:val="002F1C7F"/>
    <w:rsid w:val="002F517F"/>
    <w:rsid w:val="002F7282"/>
    <w:rsid w:val="00301F28"/>
    <w:rsid w:val="0030279B"/>
    <w:rsid w:val="00302AA6"/>
    <w:rsid w:val="00304E0E"/>
    <w:rsid w:val="00304F19"/>
    <w:rsid w:val="00304FD0"/>
    <w:rsid w:val="0030677C"/>
    <w:rsid w:val="00311640"/>
    <w:rsid w:val="00312174"/>
    <w:rsid w:val="0031638C"/>
    <w:rsid w:val="00320B61"/>
    <w:rsid w:val="003215ED"/>
    <w:rsid w:val="00323FA2"/>
    <w:rsid w:val="00327D97"/>
    <w:rsid w:val="00331A77"/>
    <w:rsid w:val="00331A7B"/>
    <w:rsid w:val="00336C51"/>
    <w:rsid w:val="00341365"/>
    <w:rsid w:val="003439CA"/>
    <w:rsid w:val="00344E3F"/>
    <w:rsid w:val="00346883"/>
    <w:rsid w:val="003507A2"/>
    <w:rsid w:val="00357369"/>
    <w:rsid w:val="00357A15"/>
    <w:rsid w:val="00360C29"/>
    <w:rsid w:val="00362067"/>
    <w:rsid w:val="00362317"/>
    <w:rsid w:val="00362F90"/>
    <w:rsid w:val="00362FBB"/>
    <w:rsid w:val="00364B2C"/>
    <w:rsid w:val="00364B3D"/>
    <w:rsid w:val="00364E41"/>
    <w:rsid w:val="003670D6"/>
    <w:rsid w:val="00367585"/>
    <w:rsid w:val="00370C83"/>
    <w:rsid w:val="00371526"/>
    <w:rsid w:val="0037255B"/>
    <w:rsid w:val="00372C43"/>
    <w:rsid w:val="0037476A"/>
    <w:rsid w:val="00376430"/>
    <w:rsid w:val="0037665A"/>
    <w:rsid w:val="00376CA2"/>
    <w:rsid w:val="00377674"/>
    <w:rsid w:val="00383566"/>
    <w:rsid w:val="00384D6F"/>
    <w:rsid w:val="00385D8B"/>
    <w:rsid w:val="0039171A"/>
    <w:rsid w:val="00392168"/>
    <w:rsid w:val="00392877"/>
    <w:rsid w:val="00393730"/>
    <w:rsid w:val="00393CC9"/>
    <w:rsid w:val="00394E62"/>
    <w:rsid w:val="00395569"/>
    <w:rsid w:val="00396A2F"/>
    <w:rsid w:val="00397829"/>
    <w:rsid w:val="00397A32"/>
    <w:rsid w:val="003A041D"/>
    <w:rsid w:val="003A1C75"/>
    <w:rsid w:val="003A3FA4"/>
    <w:rsid w:val="003B0E7A"/>
    <w:rsid w:val="003B11A6"/>
    <w:rsid w:val="003B34B6"/>
    <w:rsid w:val="003B4A46"/>
    <w:rsid w:val="003C4450"/>
    <w:rsid w:val="003D1373"/>
    <w:rsid w:val="003D1F98"/>
    <w:rsid w:val="003D3C39"/>
    <w:rsid w:val="003D55A7"/>
    <w:rsid w:val="003E0E74"/>
    <w:rsid w:val="003E16C2"/>
    <w:rsid w:val="003E1CCB"/>
    <w:rsid w:val="003E54D4"/>
    <w:rsid w:val="003E645F"/>
    <w:rsid w:val="003E6A7A"/>
    <w:rsid w:val="003F278F"/>
    <w:rsid w:val="003F4B75"/>
    <w:rsid w:val="003F5422"/>
    <w:rsid w:val="003F73E2"/>
    <w:rsid w:val="003F7500"/>
    <w:rsid w:val="004001B2"/>
    <w:rsid w:val="00403289"/>
    <w:rsid w:val="00405AB8"/>
    <w:rsid w:val="00407A1E"/>
    <w:rsid w:val="004107C7"/>
    <w:rsid w:val="00411542"/>
    <w:rsid w:val="00413051"/>
    <w:rsid w:val="00414C46"/>
    <w:rsid w:val="00416C74"/>
    <w:rsid w:val="00417A1F"/>
    <w:rsid w:val="004201CA"/>
    <w:rsid w:val="004210B3"/>
    <w:rsid w:val="004226B2"/>
    <w:rsid w:val="004226B8"/>
    <w:rsid w:val="00423172"/>
    <w:rsid w:val="00425C80"/>
    <w:rsid w:val="00426C42"/>
    <w:rsid w:val="00434215"/>
    <w:rsid w:val="0043478C"/>
    <w:rsid w:val="004357CA"/>
    <w:rsid w:val="00437FD2"/>
    <w:rsid w:val="004403AF"/>
    <w:rsid w:val="004404DD"/>
    <w:rsid w:val="00454306"/>
    <w:rsid w:val="0045486E"/>
    <w:rsid w:val="004558C6"/>
    <w:rsid w:val="00457B33"/>
    <w:rsid w:val="00462DFB"/>
    <w:rsid w:val="00462E8F"/>
    <w:rsid w:val="004631D1"/>
    <w:rsid w:val="004643C7"/>
    <w:rsid w:val="00465BAA"/>
    <w:rsid w:val="00467D51"/>
    <w:rsid w:val="00471081"/>
    <w:rsid w:val="00472977"/>
    <w:rsid w:val="004730BD"/>
    <w:rsid w:val="0047333E"/>
    <w:rsid w:val="004739AF"/>
    <w:rsid w:val="00474954"/>
    <w:rsid w:val="004802D5"/>
    <w:rsid w:val="0048285F"/>
    <w:rsid w:val="00484BBF"/>
    <w:rsid w:val="00495C8E"/>
    <w:rsid w:val="004963A3"/>
    <w:rsid w:val="00497052"/>
    <w:rsid w:val="004A0B27"/>
    <w:rsid w:val="004A1C55"/>
    <w:rsid w:val="004A1F8B"/>
    <w:rsid w:val="004A2D4A"/>
    <w:rsid w:val="004A5D3F"/>
    <w:rsid w:val="004B66CC"/>
    <w:rsid w:val="004C0DCE"/>
    <w:rsid w:val="004C1FC4"/>
    <w:rsid w:val="004C473E"/>
    <w:rsid w:val="004C5307"/>
    <w:rsid w:val="004C5558"/>
    <w:rsid w:val="004D20AA"/>
    <w:rsid w:val="004D4E0F"/>
    <w:rsid w:val="004E072E"/>
    <w:rsid w:val="004E1B57"/>
    <w:rsid w:val="004E6A1C"/>
    <w:rsid w:val="004E6F5C"/>
    <w:rsid w:val="004F12B8"/>
    <w:rsid w:val="004F1E3B"/>
    <w:rsid w:val="004F3FE6"/>
    <w:rsid w:val="004F45C5"/>
    <w:rsid w:val="004F7A6B"/>
    <w:rsid w:val="005003E7"/>
    <w:rsid w:val="00501416"/>
    <w:rsid w:val="005016CB"/>
    <w:rsid w:val="00502548"/>
    <w:rsid w:val="00503DFF"/>
    <w:rsid w:val="0050572E"/>
    <w:rsid w:val="00506CC8"/>
    <w:rsid w:val="005127D9"/>
    <w:rsid w:val="00514379"/>
    <w:rsid w:val="00514F01"/>
    <w:rsid w:val="005179E1"/>
    <w:rsid w:val="00520617"/>
    <w:rsid w:val="00522146"/>
    <w:rsid w:val="00522926"/>
    <w:rsid w:val="00522B23"/>
    <w:rsid w:val="00523BDA"/>
    <w:rsid w:val="00526CC3"/>
    <w:rsid w:val="005321EA"/>
    <w:rsid w:val="005329C9"/>
    <w:rsid w:val="005350B7"/>
    <w:rsid w:val="00536073"/>
    <w:rsid w:val="0054119A"/>
    <w:rsid w:val="005459A0"/>
    <w:rsid w:val="00545F44"/>
    <w:rsid w:val="005467F3"/>
    <w:rsid w:val="00552D00"/>
    <w:rsid w:val="005530F4"/>
    <w:rsid w:val="00553F98"/>
    <w:rsid w:val="005549E7"/>
    <w:rsid w:val="005577C3"/>
    <w:rsid w:val="005600C8"/>
    <w:rsid w:val="00572E61"/>
    <w:rsid w:val="005746D9"/>
    <w:rsid w:val="005769AA"/>
    <w:rsid w:val="00582E0B"/>
    <w:rsid w:val="0058324D"/>
    <w:rsid w:val="0058636B"/>
    <w:rsid w:val="005900A6"/>
    <w:rsid w:val="00590363"/>
    <w:rsid w:val="00592643"/>
    <w:rsid w:val="0059547C"/>
    <w:rsid w:val="00597FE2"/>
    <w:rsid w:val="005A019A"/>
    <w:rsid w:val="005A22ED"/>
    <w:rsid w:val="005A297C"/>
    <w:rsid w:val="005A341D"/>
    <w:rsid w:val="005A4147"/>
    <w:rsid w:val="005A457A"/>
    <w:rsid w:val="005A5783"/>
    <w:rsid w:val="005A6281"/>
    <w:rsid w:val="005A68BE"/>
    <w:rsid w:val="005B08AF"/>
    <w:rsid w:val="005B7406"/>
    <w:rsid w:val="005C1724"/>
    <w:rsid w:val="005C227D"/>
    <w:rsid w:val="005C3A97"/>
    <w:rsid w:val="005C563F"/>
    <w:rsid w:val="005D062C"/>
    <w:rsid w:val="005D20C3"/>
    <w:rsid w:val="005D386D"/>
    <w:rsid w:val="005D4D43"/>
    <w:rsid w:val="005D6804"/>
    <w:rsid w:val="005E2271"/>
    <w:rsid w:val="005E312D"/>
    <w:rsid w:val="005E5463"/>
    <w:rsid w:val="005F0621"/>
    <w:rsid w:val="005F1805"/>
    <w:rsid w:val="005F766E"/>
    <w:rsid w:val="00601D2A"/>
    <w:rsid w:val="0060225A"/>
    <w:rsid w:val="006046A4"/>
    <w:rsid w:val="00604F4C"/>
    <w:rsid w:val="0061152D"/>
    <w:rsid w:val="00613AA7"/>
    <w:rsid w:val="006141CF"/>
    <w:rsid w:val="006147AA"/>
    <w:rsid w:val="006163DD"/>
    <w:rsid w:val="006272AE"/>
    <w:rsid w:val="006328EF"/>
    <w:rsid w:val="00635134"/>
    <w:rsid w:val="00637E08"/>
    <w:rsid w:val="00641E3B"/>
    <w:rsid w:val="00645D28"/>
    <w:rsid w:val="006464B3"/>
    <w:rsid w:val="00647C36"/>
    <w:rsid w:val="0065442C"/>
    <w:rsid w:val="0065476D"/>
    <w:rsid w:val="006576E4"/>
    <w:rsid w:val="006600FA"/>
    <w:rsid w:val="00663465"/>
    <w:rsid w:val="00670BC8"/>
    <w:rsid w:val="006734E3"/>
    <w:rsid w:val="00674675"/>
    <w:rsid w:val="00683B58"/>
    <w:rsid w:val="00684255"/>
    <w:rsid w:val="00684B53"/>
    <w:rsid w:val="00690072"/>
    <w:rsid w:val="00690497"/>
    <w:rsid w:val="006A06F1"/>
    <w:rsid w:val="006A3677"/>
    <w:rsid w:val="006A367B"/>
    <w:rsid w:val="006A5849"/>
    <w:rsid w:val="006A739E"/>
    <w:rsid w:val="006B0FB4"/>
    <w:rsid w:val="006B16A5"/>
    <w:rsid w:val="006B25F0"/>
    <w:rsid w:val="006B477C"/>
    <w:rsid w:val="006B6031"/>
    <w:rsid w:val="006B62B0"/>
    <w:rsid w:val="006B7FB8"/>
    <w:rsid w:val="006C1EE0"/>
    <w:rsid w:val="006C5DF9"/>
    <w:rsid w:val="006C635D"/>
    <w:rsid w:val="006C63B1"/>
    <w:rsid w:val="006C70E2"/>
    <w:rsid w:val="006D21F7"/>
    <w:rsid w:val="006D2811"/>
    <w:rsid w:val="006D2AA1"/>
    <w:rsid w:val="006D2EC7"/>
    <w:rsid w:val="006D5682"/>
    <w:rsid w:val="006D731D"/>
    <w:rsid w:val="006E0F09"/>
    <w:rsid w:val="006E21E8"/>
    <w:rsid w:val="006E37D9"/>
    <w:rsid w:val="006E625A"/>
    <w:rsid w:val="006E73AE"/>
    <w:rsid w:val="006F1B0E"/>
    <w:rsid w:val="006F6F24"/>
    <w:rsid w:val="00706FF0"/>
    <w:rsid w:val="00707075"/>
    <w:rsid w:val="00707125"/>
    <w:rsid w:val="007071FA"/>
    <w:rsid w:val="007102BC"/>
    <w:rsid w:val="00711512"/>
    <w:rsid w:val="00713264"/>
    <w:rsid w:val="00713F00"/>
    <w:rsid w:val="00714CEA"/>
    <w:rsid w:val="0072087E"/>
    <w:rsid w:val="00720F4B"/>
    <w:rsid w:val="007248E2"/>
    <w:rsid w:val="00725795"/>
    <w:rsid w:val="00727046"/>
    <w:rsid w:val="00727530"/>
    <w:rsid w:val="00727620"/>
    <w:rsid w:val="0073017C"/>
    <w:rsid w:val="00731F29"/>
    <w:rsid w:val="00733BC5"/>
    <w:rsid w:val="00734330"/>
    <w:rsid w:val="00735788"/>
    <w:rsid w:val="00735BD9"/>
    <w:rsid w:val="007365C7"/>
    <w:rsid w:val="007412A3"/>
    <w:rsid w:val="007451F3"/>
    <w:rsid w:val="007457A5"/>
    <w:rsid w:val="0074657C"/>
    <w:rsid w:val="00755043"/>
    <w:rsid w:val="007575B4"/>
    <w:rsid w:val="00757E64"/>
    <w:rsid w:val="0076093C"/>
    <w:rsid w:val="00761DCA"/>
    <w:rsid w:val="00765DEC"/>
    <w:rsid w:val="007721D6"/>
    <w:rsid w:val="00774F22"/>
    <w:rsid w:val="00780AAC"/>
    <w:rsid w:val="00782BD3"/>
    <w:rsid w:val="007832B2"/>
    <w:rsid w:val="00783803"/>
    <w:rsid w:val="00784041"/>
    <w:rsid w:val="00785E08"/>
    <w:rsid w:val="00786D2A"/>
    <w:rsid w:val="007935F0"/>
    <w:rsid w:val="0079685E"/>
    <w:rsid w:val="00797E9D"/>
    <w:rsid w:val="007A00D4"/>
    <w:rsid w:val="007A0BA2"/>
    <w:rsid w:val="007A0F26"/>
    <w:rsid w:val="007A2BE7"/>
    <w:rsid w:val="007A41CC"/>
    <w:rsid w:val="007B15D1"/>
    <w:rsid w:val="007B4148"/>
    <w:rsid w:val="007B547B"/>
    <w:rsid w:val="007B7454"/>
    <w:rsid w:val="007C56C3"/>
    <w:rsid w:val="007D05BE"/>
    <w:rsid w:val="007D18B7"/>
    <w:rsid w:val="007D2804"/>
    <w:rsid w:val="007D29C8"/>
    <w:rsid w:val="007D5AD0"/>
    <w:rsid w:val="007D6D5E"/>
    <w:rsid w:val="007D722B"/>
    <w:rsid w:val="007E0AD6"/>
    <w:rsid w:val="007E0B71"/>
    <w:rsid w:val="007E2D86"/>
    <w:rsid w:val="007E3306"/>
    <w:rsid w:val="007E5146"/>
    <w:rsid w:val="007E600D"/>
    <w:rsid w:val="007F0660"/>
    <w:rsid w:val="007F2024"/>
    <w:rsid w:val="007F3A38"/>
    <w:rsid w:val="007F6F8C"/>
    <w:rsid w:val="0080027D"/>
    <w:rsid w:val="008005A4"/>
    <w:rsid w:val="0080644F"/>
    <w:rsid w:val="00820BF8"/>
    <w:rsid w:val="00822783"/>
    <w:rsid w:val="00824C67"/>
    <w:rsid w:val="008274C1"/>
    <w:rsid w:val="00827B1E"/>
    <w:rsid w:val="00831BA7"/>
    <w:rsid w:val="00835018"/>
    <w:rsid w:val="00835356"/>
    <w:rsid w:val="0084040D"/>
    <w:rsid w:val="00840841"/>
    <w:rsid w:val="00841702"/>
    <w:rsid w:val="0084325C"/>
    <w:rsid w:val="00843B83"/>
    <w:rsid w:val="00843CA9"/>
    <w:rsid w:val="0084682C"/>
    <w:rsid w:val="00847A82"/>
    <w:rsid w:val="00850242"/>
    <w:rsid w:val="00852C27"/>
    <w:rsid w:val="00854E7E"/>
    <w:rsid w:val="00854E7F"/>
    <w:rsid w:val="0085582F"/>
    <w:rsid w:val="00855BA3"/>
    <w:rsid w:val="00856E02"/>
    <w:rsid w:val="0086311C"/>
    <w:rsid w:val="00871E53"/>
    <w:rsid w:val="00872966"/>
    <w:rsid w:val="0087444D"/>
    <w:rsid w:val="00874F4A"/>
    <w:rsid w:val="008756DD"/>
    <w:rsid w:val="00876940"/>
    <w:rsid w:val="008804B0"/>
    <w:rsid w:val="0088333E"/>
    <w:rsid w:val="00884C7A"/>
    <w:rsid w:val="0088604B"/>
    <w:rsid w:val="008865D7"/>
    <w:rsid w:val="0089072E"/>
    <w:rsid w:val="0089537A"/>
    <w:rsid w:val="008A0157"/>
    <w:rsid w:val="008A0333"/>
    <w:rsid w:val="008A4BFA"/>
    <w:rsid w:val="008A7F96"/>
    <w:rsid w:val="008B22EE"/>
    <w:rsid w:val="008B3078"/>
    <w:rsid w:val="008B3D6B"/>
    <w:rsid w:val="008B573B"/>
    <w:rsid w:val="008B7200"/>
    <w:rsid w:val="008C1091"/>
    <w:rsid w:val="008C347A"/>
    <w:rsid w:val="008C465E"/>
    <w:rsid w:val="008C4725"/>
    <w:rsid w:val="008C502E"/>
    <w:rsid w:val="008C5952"/>
    <w:rsid w:val="008C61A6"/>
    <w:rsid w:val="008C71FA"/>
    <w:rsid w:val="008C7AB7"/>
    <w:rsid w:val="008D0C45"/>
    <w:rsid w:val="008D109B"/>
    <w:rsid w:val="008D1EF8"/>
    <w:rsid w:val="008D1F84"/>
    <w:rsid w:val="008D59C3"/>
    <w:rsid w:val="008D7300"/>
    <w:rsid w:val="008E462E"/>
    <w:rsid w:val="008E63AE"/>
    <w:rsid w:val="008E731A"/>
    <w:rsid w:val="008E7F2E"/>
    <w:rsid w:val="008F07DF"/>
    <w:rsid w:val="008F14D7"/>
    <w:rsid w:val="008F17BA"/>
    <w:rsid w:val="008F1B11"/>
    <w:rsid w:val="008F1CCB"/>
    <w:rsid w:val="008F25C9"/>
    <w:rsid w:val="008F28F7"/>
    <w:rsid w:val="008F5D5C"/>
    <w:rsid w:val="008F7130"/>
    <w:rsid w:val="009011A4"/>
    <w:rsid w:val="009033C0"/>
    <w:rsid w:val="00903DB9"/>
    <w:rsid w:val="00904291"/>
    <w:rsid w:val="00904B72"/>
    <w:rsid w:val="00907034"/>
    <w:rsid w:val="0090706D"/>
    <w:rsid w:val="00911470"/>
    <w:rsid w:val="00911CD9"/>
    <w:rsid w:val="00912FF5"/>
    <w:rsid w:val="009133E2"/>
    <w:rsid w:val="009141AE"/>
    <w:rsid w:val="009170A0"/>
    <w:rsid w:val="0091713D"/>
    <w:rsid w:val="0092101C"/>
    <w:rsid w:val="0092121C"/>
    <w:rsid w:val="00923041"/>
    <w:rsid w:val="0092445F"/>
    <w:rsid w:val="0092459C"/>
    <w:rsid w:val="00925050"/>
    <w:rsid w:val="00925505"/>
    <w:rsid w:val="009256B4"/>
    <w:rsid w:val="0092580E"/>
    <w:rsid w:val="00930378"/>
    <w:rsid w:val="00931BC1"/>
    <w:rsid w:val="0093270A"/>
    <w:rsid w:val="0093335D"/>
    <w:rsid w:val="00934B71"/>
    <w:rsid w:val="0093760D"/>
    <w:rsid w:val="00940762"/>
    <w:rsid w:val="00943E77"/>
    <w:rsid w:val="009475AD"/>
    <w:rsid w:val="009507F2"/>
    <w:rsid w:val="00950BF1"/>
    <w:rsid w:val="009518F2"/>
    <w:rsid w:val="00955749"/>
    <w:rsid w:val="00957D78"/>
    <w:rsid w:val="009605A0"/>
    <w:rsid w:val="00960778"/>
    <w:rsid w:val="00963A97"/>
    <w:rsid w:val="00967707"/>
    <w:rsid w:val="00977A45"/>
    <w:rsid w:val="00980CC4"/>
    <w:rsid w:val="009813C8"/>
    <w:rsid w:val="00984264"/>
    <w:rsid w:val="0098505B"/>
    <w:rsid w:val="00985630"/>
    <w:rsid w:val="00993361"/>
    <w:rsid w:val="0099481F"/>
    <w:rsid w:val="009957D8"/>
    <w:rsid w:val="009961F2"/>
    <w:rsid w:val="009A2CBC"/>
    <w:rsid w:val="009A4B33"/>
    <w:rsid w:val="009A5125"/>
    <w:rsid w:val="009B342C"/>
    <w:rsid w:val="009C4E0B"/>
    <w:rsid w:val="009C62E4"/>
    <w:rsid w:val="009C677B"/>
    <w:rsid w:val="009D00A2"/>
    <w:rsid w:val="009D2D92"/>
    <w:rsid w:val="009D4317"/>
    <w:rsid w:val="009D5054"/>
    <w:rsid w:val="009D645D"/>
    <w:rsid w:val="009D6F1B"/>
    <w:rsid w:val="009E2097"/>
    <w:rsid w:val="009E2383"/>
    <w:rsid w:val="009E3723"/>
    <w:rsid w:val="009E457F"/>
    <w:rsid w:val="009E4DB7"/>
    <w:rsid w:val="009F35F7"/>
    <w:rsid w:val="009F44A5"/>
    <w:rsid w:val="009F5B5A"/>
    <w:rsid w:val="009F6103"/>
    <w:rsid w:val="009F7C2B"/>
    <w:rsid w:val="00A01585"/>
    <w:rsid w:val="00A0315B"/>
    <w:rsid w:val="00A064B4"/>
    <w:rsid w:val="00A07B67"/>
    <w:rsid w:val="00A11AFF"/>
    <w:rsid w:val="00A12A4B"/>
    <w:rsid w:val="00A155A4"/>
    <w:rsid w:val="00A1623B"/>
    <w:rsid w:val="00A21BF4"/>
    <w:rsid w:val="00A226B3"/>
    <w:rsid w:val="00A32213"/>
    <w:rsid w:val="00A3229F"/>
    <w:rsid w:val="00A32A01"/>
    <w:rsid w:val="00A32E7F"/>
    <w:rsid w:val="00A3454E"/>
    <w:rsid w:val="00A3529A"/>
    <w:rsid w:val="00A35B50"/>
    <w:rsid w:val="00A373C9"/>
    <w:rsid w:val="00A40791"/>
    <w:rsid w:val="00A4579C"/>
    <w:rsid w:val="00A47B3E"/>
    <w:rsid w:val="00A50C20"/>
    <w:rsid w:val="00A514F8"/>
    <w:rsid w:val="00A52FC9"/>
    <w:rsid w:val="00A53F38"/>
    <w:rsid w:val="00A5518E"/>
    <w:rsid w:val="00A60324"/>
    <w:rsid w:val="00A62D4A"/>
    <w:rsid w:val="00A65D76"/>
    <w:rsid w:val="00A706A4"/>
    <w:rsid w:val="00A70D92"/>
    <w:rsid w:val="00A7350D"/>
    <w:rsid w:val="00A73869"/>
    <w:rsid w:val="00A75B77"/>
    <w:rsid w:val="00A773A3"/>
    <w:rsid w:val="00A8036B"/>
    <w:rsid w:val="00A804EE"/>
    <w:rsid w:val="00A809BA"/>
    <w:rsid w:val="00A81B34"/>
    <w:rsid w:val="00A856FD"/>
    <w:rsid w:val="00A87355"/>
    <w:rsid w:val="00A91471"/>
    <w:rsid w:val="00A92327"/>
    <w:rsid w:val="00A95F47"/>
    <w:rsid w:val="00A965F0"/>
    <w:rsid w:val="00AA070E"/>
    <w:rsid w:val="00AA2CD9"/>
    <w:rsid w:val="00AA400B"/>
    <w:rsid w:val="00AA4389"/>
    <w:rsid w:val="00AB30C4"/>
    <w:rsid w:val="00AB717B"/>
    <w:rsid w:val="00AB7293"/>
    <w:rsid w:val="00AB7A12"/>
    <w:rsid w:val="00AC0533"/>
    <w:rsid w:val="00AC16BD"/>
    <w:rsid w:val="00AC342E"/>
    <w:rsid w:val="00AC38CE"/>
    <w:rsid w:val="00AD0B48"/>
    <w:rsid w:val="00AD27CC"/>
    <w:rsid w:val="00AD4359"/>
    <w:rsid w:val="00AD4458"/>
    <w:rsid w:val="00AD4932"/>
    <w:rsid w:val="00AD5C9F"/>
    <w:rsid w:val="00AE04F2"/>
    <w:rsid w:val="00AE0604"/>
    <w:rsid w:val="00AE094C"/>
    <w:rsid w:val="00AF0339"/>
    <w:rsid w:val="00AF0D6F"/>
    <w:rsid w:val="00AF0E2E"/>
    <w:rsid w:val="00AF3EC5"/>
    <w:rsid w:val="00AF56E1"/>
    <w:rsid w:val="00AF5DC9"/>
    <w:rsid w:val="00AF6D3B"/>
    <w:rsid w:val="00B005EC"/>
    <w:rsid w:val="00B05E7B"/>
    <w:rsid w:val="00B0785B"/>
    <w:rsid w:val="00B07FD6"/>
    <w:rsid w:val="00B110C8"/>
    <w:rsid w:val="00B11F75"/>
    <w:rsid w:val="00B13C53"/>
    <w:rsid w:val="00B16464"/>
    <w:rsid w:val="00B204D5"/>
    <w:rsid w:val="00B23979"/>
    <w:rsid w:val="00B26C0B"/>
    <w:rsid w:val="00B44172"/>
    <w:rsid w:val="00B441F1"/>
    <w:rsid w:val="00B45AAB"/>
    <w:rsid w:val="00B45D3B"/>
    <w:rsid w:val="00B503AC"/>
    <w:rsid w:val="00B50404"/>
    <w:rsid w:val="00B50670"/>
    <w:rsid w:val="00B52A39"/>
    <w:rsid w:val="00B560FB"/>
    <w:rsid w:val="00B5625C"/>
    <w:rsid w:val="00B57F03"/>
    <w:rsid w:val="00B62B24"/>
    <w:rsid w:val="00B64241"/>
    <w:rsid w:val="00B67109"/>
    <w:rsid w:val="00B701D4"/>
    <w:rsid w:val="00B76751"/>
    <w:rsid w:val="00B82794"/>
    <w:rsid w:val="00B85A60"/>
    <w:rsid w:val="00B86E9F"/>
    <w:rsid w:val="00B86FE6"/>
    <w:rsid w:val="00B91448"/>
    <w:rsid w:val="00B924AF"/>
    <w:rsid w:val="00B92567"/>
    <w:rsid w:val="00B93C35"/>
    <w:rsid w:val="00BA01BF"/>
    <w:rsid w:val="00BA1112"/>
    <w:rsid w:val="00BA707B"/>
    <w:rsid w:val="00BB3504"/>
    <w:rsid w:val="00BB37B8"/>
    <w:rsid w:val="00BB40DB"/>
    <w:rsid w:val="00BC2F63"/>
    <w:rsid w:val="00BC3C87"/>
    <w:rsid w:val="00BC3C9C"/>
    <w:rsid w:val="00BC43FD"/>
    <w:rsid w:val="00BC5437"/>
    <w:rsid w:val="00BD6084"/>
    <w:rsid w:val="00BD7904"/>
    <w:rsid w:val="00BE028D"/>
    <w:rsid w:val="00BE09EE"/>
    <w:rsid w:val="00BE0CAD"/>
    <w:rsid w:val="00BE1A82"/>
    <w:rsid w:val="00BE3A0C"/>
    <w:rsid w:val="00BE3F67"/>
    <w:rsid w:val="00BE6058"/>
    <w:rsid w:val="00BE61E2"/>
    <w:rsid w:val="00BE627C"/>
    <w:rsid w:val="00BE7720"/>
    <w:rsid w:val="00BE7E1B"/>
    <w:rsid w:val="00BF3771"/>
    <w:rsid w:val="00BF3D2C"/>
    <w:rsid w:val="00BF44C3"/>
    <w:rsid w:val="00BF51AC"/>
    <w:rsid w:val="00BF5FFE"/>
    <w:rsid w:val="00BF652F"/>
    <w:rsid w:val="00BF7323"/>
    <w:rsid w:val="00C00E26"/>
    <w:rsid w:val="00C01C9E"/>
    <w:rsid w:val="00C02C50"/>
    <w:rsid w:val="00C04B36"/>
    <w:rsid w:val="00C12EC7"/>
    <w:rsid w:val="00C137AF"/>
    <w:rsid w:val="00C14058"/>
    <w:rsid w:val="00C15F73"/>
    <w:rsid w:val="00C2105C"/>
    <w:rsid w:val="00C217BC"/>
    <w:rsid w:val="00C21C65"/>
    <w:rsid w:val="00C22928"/>
    <w:rsid w:val="00C26B42"/>
    <w:rsid w:val="00C33DAF"/>
    <w:rsid w:val="00C33FF8"/>
    <w:rsid w:val="00C40857"/>
    <w:rsid w:val="00C42443"/>
    <w:rsid w:val="00C446F8"/>
    <w:rsid w:val="00C44A84"/>
    <w:rsid w:val="00C44DBF"/>
    <w:rsid w:val="00C45B4F"/>
    <w:rsid w:val="00C47CAD"/>
    <w:rsid w:val="00C51046"/>
    <w:rsid w:val="00C516E7"/>
    <w:rsid w:val="00C53482"/>
    <w:rsid w:val="00C565C6"/>
    <w:rsid w:val="00C57F17"/>
    <w:rsid w:val="00C63ED3"/>
    <w:rsid w:val="00C64E1F"/>
    <w:rsid w:val="00C64F74"/>
    <w:rsid w:val="00C67184"/>
    <w:rsid w:val="00C705CE"/>
    <w:rsid w:val="00C70E40"/>
    <w:rsid w:val="00C714D0"/>
    <w:rsid w:val="00C72A5A"/>
    <w:rsid w:val="00C72BC2"/>
    <w:rsid w:val="00C74785"/>
    <w:rsid w:val="00C7526D"/>
    <w:rsid w:val="00C77C30"/>
    <w:rsid w:val="00C8260E"/>
    <w:rsid w:val="00C8467B"/>
    <w:rsid w:val="00C90F97"/>
    <w:rsid w:val="00C92E41"/>
    <w:rsid w:val="00C93E8F"/>
    <w:rsid w:val="00C94188"/>
    <w:rsid w:val="00C960D4"/>
    <w:rsid w:val="00C96DCA"/>
    <w:rsid w:val="00CA41B8"/>
    <w:rsid w:val="00CA5314"/>
    <w:rsid w:val="00CB0B2D"/>
    <w:rsid w:val="00CB3B1F"/>
    <w:rsid w:val="00CB4276"/>
    <w:rsid w:val="00CB45F7"/>
    <w:rsid w:val="00CB58E0"/>
    <w:rsid w:val="00CB7920"/>
    <w:rsid w:val="00CC113C"/>
    <w:rsid w:val="00CC1445"/>
    <w:rsid w:val="00CC39BB"/>
    <w:rsid w:val="00CC7E93"/>
    <w:rsid w:val="00CD334F"/>
    <w:rsid w:val="00CD6206"/>
    <w:rsid w:val="00CD727F"/>
    <w:rsid w:val="00CF0757"/>
    <w:rsid w:val="00CF0A06"/>
    <w:rsid w:val="00CF1172"/>
    <w:rsid w:val="00CF23C1"/>
    <w:rsid w:val="00CF4562"/>
    <w:rsid w:val="00CF47FD"/>
    <w:rsid w:val="00CF5859"/>
    <w:rsid w:val="00CF7C4C"/>
    <w:rsid w:val="00D0161D"/>
    <w:rsid w:val="00D0172A"/>
    <w:rsid w:val="00D02EFD"/>
    <w:rsid w:val="00D06964"/>
    <w:rsid w:val="00D0759C"/>
    <w:rsid w:val="00D10AAF"/>
    <w:rsid w:val="00D10D1F"/>
    <w:rsid w:val="00D12913"/>
    <w:rsid w:val="00D155F0"/>
    <w:rsid w:val="00D16685"/>
    <w:rsid w:val="00D170D2"/>
    <w:rsid w:val="00D21F60"/>
    <w:rsid w:val="00D26D3E"/>
    <w:rsid w:val="00D26F2F"/>
    <w:rsid w:val="00D379DF"/>
    <w:rsid w:val="00D40CA7"/>
    <w:rsid w:val="00D4318F"/>
    <w:rsid w:val="00D523DA"/>
    <w:rsid w:val="00D55401"/>
    <w:rsid w:val="00D6325C"/>
    <w:rsid w:val="00D6582F"/>
    <w:rsid w:val="00D6790E"/>
    <w:rsid w:val="00D70C2F"/>
    <w:rsid w:val="00D71B4C"/>
    <w:rsid w:val="00D7333A"/>
    <w:rsid w:val="00D8090A"/>
    <w:rsid w:val="00D81FD3"/>
    <w:rsid w:val="00D83700"/>
    <w:rsid w:val="00D84C52"/>
    <w:rsid w:val="00D85192"/>
    <w:rsid w:val="00D855A1"/>
    <w:rsid w:val="00D85BCC"/>
    <w:rsid w:val="00D86B42"/>
    <w:rsid w:val="00D914B5"/>
    <w:rsid w:val="00D916CE"/>
    <w:rsid w:val="00D91EE5"/>
    <w:rsid w:val="00D92E36"/>
    <w:rsid w:val="00D92E91"/>
    <w:rsid w:val="00D9792A"/>
    <w:rsid w:val="00DA0963"/>
    <w:rsid w:val="00DA0D98"/>
    <w:rsid w:val="00DA41B3"/>
    <w:rsid w:val="00DA47DD"/>
    <w:rsid w:val="00DA4A92"/>
    <w:rsid w:val="00DB1102"/>
    <w:rsid w:val="00DB1B29"/>
    <w:rsid w:val="00DB2164"/>
    <w:rsid w:val="00DB7E2B"/>
    <w:rsid w:val="00DC106F"/>
    <w:rsid w:val="00DC1328"/>
    <w:rsid w:val="00DC1CFB"/>
    <w:rsid w:val="00DC3D42"/>
    <w:rsid w:val="00DD0CC6"/>
    <w:rsid w:val="00DE01CB"/>
    <w:rsid w:val="00DE0BE9"/>
    <w:rsid w:val="00DE143B"/>
    <w:rsid w:val="00DE1C5F"/>
    <w:rsid w:val="00DE1E2A"/>
    <w:rsid w:val="00DE365C"/>
    <w:rsid w:val="00DE5643"/>
    <w:rsid w:val="00DE792E"/>
    <w:rsid w:val="00DF03E8"/>
    <w:rsid w:val="00DF2C04"/>
    <w:rsid w:val="00E01328"/>
    <w:rsid w:val="00E05276"/>
    <w:rsid w:val="00E05CB1"/>
    <w:rsid w:val="00E13D1E"/>
    <w:rsid w:val="00E1406E"/>
    <w:rsid w:val="00E14603"/>
    <w:rsid w:val="00E17CB3"/>
    <w:rsid w:val="00E20152"/>
    <w:rsid w:val="00E205F0"/>
    <w:rsid w:val="00E23E1B"/>
    <w:rsid w:val="00E2428A"/>
    <w:rsid w:val="00E26996"/>
    <w:rsid w:val="00E26B0A"/>
    <w:rsid w:val="00E3254D"/>
    <w:rsid w:val="00E40E0D"/>
    <w:rsid w:val="00E42901"/>
    <w:rsid w:val="00E43014"/>
    <w:rsid w:val="00E44833"/>
    <w:rsid w:val="00E44A20"/>
    <w:rsid w:val="00E4729B"/>
    <w:rsid w:val="00E52AAD"/>
    <w:rsid w:val="00E56C4A"/>
    <w:rsid w:val="00E56D8B"/>
    <w:rsid w:val="00E60446"/>
    <w:rsid w:val="00E607E0"/>
    <w:rsid w:val="00E63C24"/>
    <w:rsid w:val="00E64C53"/>
    <w:rsid w:val="00E65697"/>
    <w:rsid w:val="00E66900"/>
    <w:rsid w:val="00E66D86"/>
    <w:rsid w:val="00E70052"/>
    <w:rsid w:val="00E725C6"/>
    <w:rsid w:val="00E7411E"/>
    <w:rsid w:val="00E741AC"/>
    <w:rsid w:val="00E7683D"/>
    <w:rsid w:val="00E87DAE"/>
    <w:rsid w:val="00E9237B"/>
    <w:rsid w:val="00E943A0"/>
    <w:rsid w:val="00E943DD"/>
    <w:rsid w:val="00EA53C9"/>
    <w:rsid w:val="00EA7BF0"/>
    <w:rsid w:val="00EA7D10"/>
    <w:rsid w:val="00EB257D"/>
    <w:rsid w:val="00EB28B6"/>
    <w:rsid w:val="00EB2B1D"/>
    <w:rsid w:val="00EC01D8"/>
    <w:rsid w:val="00EC42D3"/>
    <w:rsid w:val="00EC66C1"/>
    <w:rsid w:val="00EC7985"/>
    <w:rsid w:val="00ED4D61"/>
    <w:rsid w:val="00ED7BA0"/>
    <w:rsid w:val="00EE1F3F"/>
    <w:rsid w:val="00EE419A"/>
    <w:rsid w:val="00EE7823"/>
    <w:rsid w:val="00EF0532"/>
    <w:rsid w:val="00EF2AE2"/>
    <w:rsid w:val="00EF7E90"/>
    <w:rsid w:val="00F00788"/>
    <w:rsid w:val="00F026E8"/>
    <w:rsid w:val="00F0609A"/>
    <w:rsid w:val="00F075B5"/>
    <w:rsid w:val="00F10FDC"/>
    <w:rsid w:val="00F2293F"/>
    <w:rsid w:val="00F22E2C"/>
    <w:rsid w:val="00F24555"/>
    <w:rsid w:val="00F25061"/>
    <w:rsid w:val="00F25511"/>
    <w:rsid w:val="00F307B0"/>
    <w:rsid w:val="00F30F45"/>
    <w:rsid w:val="00F31A2A"/>
    <w:rsid w:val="00F31E18"/>
    <w:rsid w:val="00F337F9"/>
    <w:rsid w:val="00F4055E"/>
    <w:rsid w:val="00F405E1"/>
    <w:rsid w:val="00F40974"/>
    <w:rsid w:val="00F40C8C"/>
    <w:rsid w:val="00F46F7F"/>
    <w:rsid w:val="00F47E58"/>
    <w:rsid w:val="00F5295B"/>
    <w:rsid w:val="00F66A2C"/>
    <w:rsid w:val="00F66C27"/>
    <w:rsid w:val="00F710C5"/>
    <w:rsid w:val="00F7220F"/>
    <w:rsid w:val="00F75441"/>
    <w:rsid w:val="00F77A2E"/>
    <w:rsid w:val="00F8144D"/>
    <w:rsid w:val="00F857BF"/>
    <w:rsid w:val="00F877FC"/>
    <w:rsid w:val="00F9271D"/>
    <w:rsid w:val="00F95729"/>
    <w:rsid w:val="00F9613E"/>
    <w:rsid w:val="00F967B5"/>
    <w:rsid w:val="00FA2AF4"/>
    <w:rsid w:val="00FA4A97"/>
    <w:rsid w:val="00FA7413"/>
    <w:rsid w:val="00FB1D0D"/>
    <w:rsid w:val="00FB4618"/>
    <w:rsid w:val="00FB4746"/>
    <w:rsid w:val="00FB57A3"/>
    <w:rsid w:val="00FB6BE4"/>
    <w:rsid w:val="00FC03E5"/>
    <w:rsid w:val="00FC0B29"/>
    <w:rsid w:val="00FC231F"/>
    <w:rsid w:val="00FC52A2"/>
    <w:rsid w:val="00FC5B06"/>
    <w:rsid w:val="00FD01C9"/>
    <w:rsid w:val="00FD032C"/>
    <w:rsid w:val="00FD0C51"/>
    <w:rsid w:val="00FD0FA3"/>
    <w:rsid w:val="00FD2F06"/>
    <w:rsid w:val="00FD3189"/>
    <w:rsid w:val="00FD421B"/>
    <w:rsid w:val="00FD6349"/>
    <w:rsid w:val="00FD6874"/>
    <w:rsid w:val="00FE08F1"/>
    <w:rsid w:val="00FE20BB"/>
    <w:rsid w:val="00FE22A9"/>
    <w:rsid w:val="00FE272D"/>
    <w:rsid w:val="00FE51D1"/>
    <w:rsid w:val="00FE54AD"/>
    <w:rsid w:val="00FF12A5"/>
    <w:rsid w:val="00FF2969"/>
    <w:rsid w:val="00FF5829"/>
    <w:rsid w:val="00FF693B"/>
    <w:rsid w:val="00FF6DEA"/>
    <w:rsid w:val="00FF7295"/>
    <w:rsid w:val="024E091F"/>
    <w:rsid w:val="03985CF1"/>
    <w:rsid w:val="04E21FA4"/>
    <w:rsid w:val="05774975"/>
    <w:rsid w:val="05F41560"/>
    <w:rsid w:val="08137F45"/>
    <w:rsid w:val="089B6C77"/>
    <w:rsid w:val="08B73076"/>
    <w:rsid w:val="09F8010F"/>
    <w:rsid w:val="09F87794"/>
    <w:rsid w:val="0A4C3C18"/>
    <w:rsid w:val="0BF127ED"/>
    <w:rsid w:val="0CC86062"/>
    <w:rsid w:val="0D5B660A"/>
    <w:rsid w:val="0F90476E"/>
    <w:rsid w:val="10FB4BAC"/>
    <w:rsid w:val="111904B8"/>
    <w:rsid w:val="12C348E5"/>
    <w:rsid w:val="13EE3C2D"/>
    <w:rsid w:val="162B0149"/>
    <w:rsid w:val="181C5AFE"/>
    <w:rsid w:val="19C20122"/>
    <w:rsid w:val="1A3A018C"/>
    <w:rsid w:val="1CC7128B"/>
    <w:rsid w:val="213D05EE"/>
    <w:rsid w:val="240F17D2"/>
    <w:rsid w:val="24373B49"/>
    <w:rsid w:val="248A0ECA"/>
    <w:rsid w:val="272F6586"/>
    <w:rsid w:val="2A113662"/>
    <w:rsid w:val="2DD60708"/>
    <w:rsid w:val="2F4A0D36"/>
    <w:rsid w:val="302B3D3E"/>
    <w:rsid w:val="326749F7"/>
    <w:rsid w:val="331B3018"/>
    <w:rsid w:val="333B1F5E"/>
    <w:rsid w:val="33D14CAB"/>
    <w:rsid w:val="35233D29"/>
    <w:rsid w:val="36DC1368"/>
    <w:rsid w:val="3711590D"/>
    <w:rsid w:val="39295419"/>
    <w:rsid w:val="39496340"/>
    <w:rsid w:val="3A782C1D"/>
    <w:rsid w:val="3B774AB7"/>
    <w:rsid w:val="3C153A92"/>
    <w:rsid w:val="3C2E64E6"/>
    <w:rsid w:val="3D801794"/>
    <w:rsid w:val="3F1B2CA4"/>
    <w:rsid w:val="40145980"/>
    <w:rsid w:val="41665465"/>
    <w:rsid w:val="41FC6B74"/>
    <w:rsid w:val="421C65BF"/>
    <w:rsid w:val="421F5B20"/>
    <w:rsid w:val="43190A20"/>
    <w:rsid w:val="43E45B35"/>
    <w:rsid w:val="4434032E"/>
    <w:rsid w:val="44E77919"/>
    <w:rsid w:val="44EC13FB"/>
    <w:rsid w:val="45733783"/>
    <w:rsid w:val="47132FE1"/>
    <w:rsid w:val="49F26300"/>
    <w:rsid w:val="4AED2155"/>
    <w:rsid w:val="4D00262D"/>
    <w:rsid w:val="4D19768F"/>
    <w:rsid w:val="4ED76C32"/>
    <w:rsid w:val="5105203D"/>
    <w:rsid w:val="530A16DE"/>
    <w:rsid w:val="574128A5"/>
    <w:rsid w:val="58BE24E0"/>
    <w:rsid w:val="5B2F5C2E"/>
    <w:rsid w:val="5B9578D4"/>
    <w:rsid w:val="5B9C5579"/>
    <w:rsid w:val="5D5C7CA3"/>
    <w:rsid w:val="5E6366AB"/>
    <w:rsid w:val="5E6E3936"/>
    <w:rsid w:val="5FBF4BF1"/>
    <w:rsid w:val="617B1E71"/>
    <w:rsid w:val="65E21362"/>
    <w:rsid w:val="664F7B05"/>
    <w:rsid w:val="6A1B4C63"/>
    <w:rsid w:val="6A8B2A41"/>
    <w:rsid w:val="6ABA6960"/>
    <w:rsid w:val="6BBE09E4"/>
    <w:rsid w:val="6D981B8E"/>
    <w:rsid w:val="6E1E0003"/>
    <w:rsid w:val="6E65389A"/>
    <w:rsid w:val="6E753156"/>
    <w:rsid w:val="70F47AC5"/>
    <w:rsid w:val="722929F9"/>
    <w:rsid w:val="73671E74"/>
    <w:rsid w:val="74B765FE"/>
    <w:rsid w:val="74BC795D"/>
    <w:rsid w:val="74E60136"/>
    <w:rsid w:val="7511498A"/>
    <w:rsid w:val="757C1B97"/>
    <w:rsid w:val="75B70AAA"/>
    <w:rsid w:val="763E34E4"/>
    <w:rsid w:val="76974C96"/>
    <w:rsid w:val="78B40233"/>
    <w:rsid w:val="79096B95"/>
    <w:rsid w:val="797B2F3C"/>
    <w:rsid w:val="7BB80E25"/>
    <w:rsid w:val="7C912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uiPriority="0" w:name="heading 6"/>
    <w:lsdException w:uiPriority="0" w:name="heading 7"/>
    <w:lsdException w:uiPriority="0" w:name="heading 8"/>
    <w:lsdException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80" w:firstLineChars="200"/>
      <w:jc w:val="both"/>
    </w:pPr>
    <w:rPr>
      <w:rFonts w:ascii="Calibri" w:hAnsi="Calibri" w:eastAsia="宋体" w:cs="Times New Roman"/>
      <w:kern w:val="2"/>
      <w:sz w:val="24"/>
      <w:szCs w:val="24"/>
      <w:lang w:val="en-US" w:eastAsia="zh-CN" w:bidi="ar-SA"/>
    </w:rPr>
  </w:style>
  <w:style w:type="paragraph" w:styleId="2">
    <w:name w:val="heading 1"/>
    <w:basedOn w:val="1"/>
    <w:next w:val="1"/>
    <w:link w:val="36"/>
    <w:qFormat/>
    <w:uiPriority w:val="9"/>
    <w:pPr>
      <w:keepNext/>
      <w:keepLines/>
      <w:numPr>
        <w:ilvl w:val="0"/>
        <w:numId w:val="1"/>
      </w:numPr>
      <w:spacing w:before="156"/>
      <w:ind w:firstLineChars="0"/>
      <w:outlineLvl w:val="0"/>
    </w:pPr>
    <w:rPr>
      <w:b/>
      <w:bCs/>
      <w:kern w:val="44"/>
      <w:sz w:val="32"/>
      <w:szCs w:val="32"/>
    </w:rPr>
  </w:style>
  <w:style w:type="paragraph" w:styleId="3">
    <w:name w:val="heading 2"/>
    <w:basedOn w:val="1"/>
    <w:next w:val="1"/>
    <w:link w:val="35"/>
    <w:qFormat/>
    <w:uiPriority w:val="9"/>
    <w:pPr>
      <w:keepNext/>
      <w:keepLines/>
      <w:numPr>
        <w:ilvl w:val="1"/>
        <w:numId w:val="1"/>
      </w:numPr>
      <w:spacing w:before="120" w:beforeLines="50"/>
      <w:ind w:firstLineChars="0"/>
      <w:outlineLvl w:val="1"/>
    </w:pPr>
    <w:rPr>
      <w:rFonts w:ascii="Cambria" w:hAnsi="Cambria" w:cstheme="majorBidi"/>
      <w:b/>
      <w:bCs/>
      <w:kern w:val="0"/>
      <w:sz w:val="30"/>
      <w:szCs w:val="30"/>
    </w:rPr>
  </w:style>
  <w:style w:type="paragraph" w:styleId="4">
    <w:name w:val="heading 3"/>
    <w:basedOn w:val="1"/>
    <w:next w:val="1"/>
    <w:link w:val="38"/>
    <w:qFormat/>
    <w:uiPriority w:val="9"/>
    <w:pPr>
      <w:keepNext/>
      <w:keepLines/>
      <w:numPr>
        <w:ilvl w:val="2"/>
        <w:numId w:val="1"/>
      </w:numPr>
      <w:spacing w:before="120"/>
      <w:ind w:firstLineChars="0"/>
      <w:outlineLvl w:val="2"/>
    </w:pPr>
    <w:rPr>
      <w:b/>
      <w:bCs/>
      <w:kern w:val="0"/>
      <w:sz w:val="28"/>
      <w:szCs w:val="28"/>
    </w:rPr>
  </w:style>
  <w:style w:type="paragraph" w:styleId="5">
    <w:name w:val="heading 4"/>
    <w:basedOn w:val="1"/>
    <w:next w:val="1"/>
    <w:link w:val="45"/>
    <w:qFormat/>
    <w:uiPriority w:val="9"/>
    <w:pPr>
      <w:keepNext/>
      <w:keepLines/>
      <w:numPr>
        <w:ilvl w:val="3"/>
        <w:numId w:val="1"/>
      </w:numPr>
      <w:spacing w:before="156"/>
      <w:ind w:firstLine="0" w:firstLineChars="0"/>
      <w:outlineLvl w:val="3"/>
    </w:pPr>
    <w:rPr>
      <w:rFonts w:ascii="Cambria" w:hAnsi="Cambria" w:cstheme="majorBidi"/>
      <w:b/>
      <w:bCs/>
      <w:kern w:val="0"/>
      <w:sz w:val="28"/>
      <w:szCs w:val="28"/>
    </w:rPr>
  </w:style>
  <w:style w:type="paragraph" w:styleId="6">
    <w:name w:val="heading 5"/>
    <w:basedOn w:val="1"/>
    <w:next w:val="1"/>
    <w:link w:val="46"/>
    <w:qFormat/>
    <w:uiPriority w:val="9"/>
    <w:pPr>
      <w:keepNext/>
      <w:keepLines/>
      <w:tabs>
        <w:tab w:val="left" w:pos="1134"/>
      </w:tabs>
      <w:ind w:left="567" w:firstLine="140" w:firstLineChars="58"/>
      <w:outlineLvl w:val="4"/>
    </w:pPr>
    <w:rPr>
      <w:b/>
      <w:bCs/>
      <w:kern w:val="0"/>
      <w:szCs w:val="28"/>
    </w:rPr>
  </w:style>
  <w:style w:type="character" w:default="1" w:styleId="27">
    <w:name w:val="Default Paragraph Font"/>
    <w:semiHidden/>
    <w:unhideWhenUsed/>
    <w:uiPriority w:val="1"/>
  </w:style>
  <w:style w:type="table" w:default="1" w:styleId="32">
    <w:name w:val="Normal Table"/>
    <w:semiHidden/>
    <w:unhideWhenUsed/>
    <w:uiPriority w:val="99"/>
    <w:tblPr>
      <w:tblLayout w:type="fixed"/>
      <w:tblCellMar>
        <w:top w:w="0" w:type="dxa"/>
        <w:left w:w="108" w:type="dxa"/>
        <w:bottom w:w="0" w:type="dxa"/>
        <w:right w:w="108" w:type="dxa"/>
      </w:tblCellMar>
    </w:tblPr>
  </w:style>
  <w:style w:type="paragraph" w:styleId="7">
    <w:name w:val="annotation subject"/>
    <w:basedOn w:val="8"/>
    <w:next w:val="8"/>
    <w:link w:val="49"/>
    <w:unhideWhenUsed/>
    <w:qFormat/>
    <w:uiPriority w:val="0"/>
    <w:rPr>
      <w:b/>
      <w:bCs/>
      <w:szCs w:val="22"/>
    </w:rPr>
  </w:style>
  <w:style w:type="paragraph" w:styleId="8">
    <w:name w:val="annotation text"/>
    <w:basedOn w:val="1"/>
    <w:link w:val="39"/>
    <w:unhideWhenUsed/>
    <w:qFormat/>
    <w:uiPriority w:val="99"/>
    <w:pPr>
      <w:jc w:val="left"/>
    </w:pPr>
    <w:rPr>
      <w:szCs w:val="20"/>
    </w:rPr>
  </w:style>
  <w:style w:type="paragraph" w:styleId="9">
    <w:name w:val="toc 7"/>
    <w:basedOn w:val="1"/>
    <w:next w:val="1"/>
    <w:unhideWhenUsed/>
    <w:qFormat/>
    <w:uiPriority w:val="0"/>
    <w:pPr>
      <w:ind w:firstLine="0"/>
      <w:jc w:val="left"/>
    </w:pPr>
    <w:rPr>
      <w:rFonts w:asciiTheme="minorHAnsi" w:hAnsiTheme="minorHAnsi"/>
      <w:sz w:val="22"/>
      <w:szCs w:val="22"/>
    </w:rPr>
  </w:style>
  <w:style w:type="paragraph" w:styleId="10">
    <w:name w:val="Normal Indent"/>
    <w:basedOn w:val="1"/>
    <w:qFormat/>
    <w:uiPriority w:val="0"/>
    <w:pPr>
      <w:ind w:firstLine="420"/>
    </w:pPr>
    <w:rPr>
      <w:rFonts w:ascii="Times New Roman" w:hAnsi="Times New Roman"/>
    </w:rPr>
  </w:style>
  <w:style w:type="paragraph" w:styleId="11">
    <w:name w:val="toc 5"/>
    <w:basedOn w:val="1"/>
    <w:next w:val="1"/>
    <w:unhideWhenUsed/>
    <w:qFormat/>
    <w:uiPriority w:val="0"/>
    <w:pPr>
      <w:ind w:firstLine="0"/>
      <w:jc w:val="left"/>
    </w:pPr>
    <w:rPr>
      <w:rFonts w:asciiTheme="minorHAnsi" w:hAnsiTheme="minorHAnsi"/>
      <w:sz w:val="22"/>
      <w:szCs w:val="22"/>
    </w:rPr>
  </w:style>
  <w:style w:type="paragraph" w:styleId="12">
    <w:name w:val="toc 3"/>
    <w:basedOn w:val="1"/>
    <w:next w:val="1"/>
    <w:unhideWhenUsed/>
    <w:qFormat/>
    <w:uiPriority w:val="39"/>
    <w:pPr>
      <w:ind w:firstLine="0"/>
      <w:jc w:val="left"/>
    </w:pPr>
    <w:rPr>
      <w:rFonts w:asciiTheme="minorHAnsi" w:hAnsiTheme="minorHAnsi"/>
      <w:smallCaps/>
      <w:sz w:val="22"/>
      <w:szCs w:val="22"/>
    </w:rPr>
  </w:style>
  <w:style w:type="paragraph" w:styleId="13">
    <w:name w:val="Plain Text"/>
    <w:basedOn w:val="1"/>
    <w:link w:val="47"/>
    <w:qFormat/>
    <w:uiPriority w:val="99"/>
    <w:rPr>
      <w:rFonts w:ascii="宋体" w:hAnsi="Courier New" w:cs="Courier New"/>
      <w:szCs w:val="21"/>
    </w:rPr>
  </w:style>
  <w:style w:type="paragraph" w:styleId="14">
    <w:name w:val="toc 8"/>
    <w:basedOn w:val="1"/>
    <w:next w:val="1"/>
    <w:unhideWhenUsed/>
    <w:qFormat/>
    <w:uiPriority w:val="0"/>
    <w:pPr>
      <w:ind w:firstLine="0"/>
      <w:jc w:val="left"/>
    </w:pPr>
    <w:rPr>
      <w:rFonts w:asciiTheme="minorHAnsi" w:hAnsiTheme="minorHAnsi"/>
      <w:sz w:val="22"/>
      <w:szCs w:val="22"/>
    </w:rPr>
  </w:style>
  <w:style w:type="paragraph" w:styleId="15">
    <w:name w:val="Balloon Text"/>
    <w:basedOn w:val="1"/>
    <w:link w:val="43"/>
    <w:unhideWhenUsed/>
    <w:qFormat/>
    <w:uiPriority w:val="0"/>
    <w:rPr>
      <w:sz w:val="18"/>
      <w:szCs w:val="18"/>
    </w:rPr>
  </w:style>
  <w:style w:type="paragraph" w:styleId="16">
    <w:name w:val="footer"/>
    <w:basedOn w:val="1"/>
    <w:link w:val="62"/>
    <w:qFormat/>
    <w:uiPriority w:val="99"/>
    <w:pPr>
      <w:tabs>
        <w:tab w:val="center" w:pos="4153"/>
        <w:tab w:val="right" w:pos="8306"/>
      </w:tabs>
      <w:snapToGrid w:val="0"/>
      <w:jc w:val="left"/>
    </w:pPr>
    <w:rPr>
      <w:sz w:val="18"/>
      <w:szCs w:val="18"/>
    </w:rPr>
  </w:style>
  <w:style w:type="paragraph" w:styleId="17">
    <w:name w:val="header"/>
    <w:basedOn w:val="1"/>
    <w:link w:val="34"/>
    <w:qFormat/>
    <w:uiPriority w:val="99"/>
    <w:pPr>
      <w:tabs>
        <w:tab w:val="center" w:pos="4153"/>
        <w:tab w:val="right" w:pos="8306"/>
      </w:tabs>
      <w:snapToGrid w:val="0"/>
      <w:jc w:val="center"/>
    </w:pPr>
    <w:rPr>
      <w:sz w:val="18"/>
      <w:szCs w:val="18"/>
    </w:rPr>
  </w:style>
  <w:style w:type="paragraph" w:styleId="18">
    <w:name w:val="toc 1"/>
    <w:basedOn w:val="1"/>
    <w:next w:val="1"/>
    <w:unhideWhenUsed/>
    <w:qFormat/>
    <w:uiPriority w:val="39"/>
    <w:pPr>
      <w:spacing w:before="360" w:after="360"/>
      <w:ind w:firstLine="0"/>
      <w:jc w:val="left"/>
    </w:pPr>
    <w:rPr>
      <w:rFonts w:asciiTheme="minorHAnsi" w:hAnsiTheme="minorHAnsi"/>
      <w:b/>
      <w:bCs/>
      <w:caps/>
      <w:sz w:val="22"/>
      <w:szCs w:val="22"/>
      <w:u w:val="single"/>
    </w:rPr>
  </w:style>
  <w:style w:type="paragraph" w:styleId="19">
    <w:name w:val="toc 4"/>
    <w:basedOn w:val="1"/>
    <w:next w:val="1"/>
    <w:unhideWhenUsed/>
    <w:qFormat/>
    <w:uiPriority w:val="0"/>
    <w:pPr>
      <w:ind w:firstLine="0"/>
      <w:jc w:val="left"/>
    </w:pPr>
    <w:rPr>
      <w:rFonts w:asciiTheme="minorHAnsi" w:hAnsiTheme="minorHAnsi"/>
      <w:sz w:val="22"/>
      <w:szCs w:val="22"/>
    </w:rPr>
  </w:style>
  <w:style w:type="paragraph" w:styleId="20">
    <w:name w:val="Subtitle"/>
    <w:basedOn w:val="1"/>
    <w:next w:val="1"/>
    <w:link w:val="44"/>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21">
    <w:name w:val="toc 6"/>
    <w:basedOn w:val="1"/>
    <w:next w:val="1"/>
    <w:unhideWhenUsed/>
    <w:qFormat/>
    <w:uiPriority w:val="0"/>
    <w:pPr>
      <w:ind w:firstLine="0"/>
      <w:jc w:val="left"/>
    </w:pPr>
    <w:rPr>
      <w:rFonts w:asciiTheme="minorHAnsi" w:hAnsiTheme="minorHAnsi"/>
      <w:sz w:val="22"/>
      <w:szCs w:val="22"/>
    </w:rPr>
  </w:style>
  <w:style w:type="paragraph" w:styleId="22">
    <w:name w:val="toc 2"/>
    <w:basedOn w:val="1"/>
    <w:next w:val="1"/>
    <w:unhideWhenUsed/>
    <w:qFormat/>
    <w:uiPriority w:val="39"/>
    <w:pPr>
      <w:ind w:firstLine="0"/>
      <w:jc w:val="left"/>
    </w:pPr>
    <w:rPr>
      <w:rFonts w:asciiTheme="minorHAnsi" w:hAnsiTheme="minorHAnsi"/>
      <w:b/>
      <w:bCs/>
      <w:smallCaps/>
      <w:sz w:val="22"/>
      <w:szCs w:val="22"/>
    </w:rPr>
  </w:style>
  <w:style w:type="paragraph" w:styleId="23">
    <w:name w:val="toc 9"/>
    <w:basedOn w:val="1"/>
    <w:next w:val="1"/>
    <w:unhideWhenUsed/>
    <w:qFormat/>
    <w:uiPriority w:val="0"/>
    <w:pPr>
      <w:ind w:firstLine="0"/>
      <w:jc w:val="left"/>
    </w:pPr>
    <w:rPr>
      <w:rFonts w:asciiTheme="minorHAnsi" w:hAnsiTheme="minorHAnsi"/>
      <w:sz w:val="22"/>
      <w:szCs w:val="22"/>
    </w:rPr>
  </w:style>
  <w:style w:type="paragraph" w:styleId="24">
    <w:name w:val="HTML Preformatted"/>
    <w:basedOn w:val="1"/>
    <w:link w:val="50"/>
    <w:unhideWhenUsed/>
    <w:qFormat/>
    <w:uiPriority w:val="0"/>
    <w:rPr>
      <w:rFonts w:ascii="Courier New" w:hAnsi="Courier New" w:cs="Courier New"/>
      <w:sz w:val="20"/>
      <w:szCs w:val="20"/>
    </w:rPr>
  </w:style>
  <w:style w:type="paragraph" w:styleId="25">
    <w:name w:val="Normal (Web)"/>
    <w:basedOn w:val="1"/>
    <w:unhideWhenUsed/>
    <w:qFormat/>
    <w:uiPriority w:val="99"/>
    <w:pPr>
      <w:widowControl/>
      <w:jc w:val="left"/>
    </w:pPr>
    <w:rPr>
      <w:rFonts w:ascii="宋体" w:hAnsi="宋体" w:cs="宋体"/>
      <w:kern w:val="0"/>
    </w:rPr>
  </w:style>
  <w:style w:type="paragraph" w:styleId="26">
    <w:name w:val="Title"/>
    <w:basedOn w:val="1"/>
    <w:next w:val="1"/>
    <w:link w:val="37"/>
    <w:qFormat/>
    <w:uiPriority w:val="10"/>
    <w:pPr>
      <w:spacing w:before="240" w:after="60"/>
      <w:jc w:val="center"/>
      <w:outlineLvl w:val="0"/>
    </w:pPr>
    <w:rPr>
      <w:rFonts w:ascii="Cambria" w:hAnsi="Cambria"/>
      <w:b/>
      <w:bCs/>
      <w:kern w:val="0"/>
      <w:sz w:val="32"/>
      <w:szCs w:val="32"/>
    </w:rPr>
  </w:style>
  <w:style w:type="character" w:styleId="28">
    <w:name w:val="Strong"/>
    <w:basedOn w:val="27"/>
    <w:qFormat/>
    <w:uiPriority w:val="22"/>
    <w:rPr>
      <w:b/>
      <w:bCs/>
    </w:rPr>
  </w:style>
  <w:style w:type="character" w:styleId="29">
    <w:name w:val="Emphasis"/>
    <w:basedOn w:val="27"/>
    <w:qFormat/>
    <w:uiPriority w:val="20"/>
    <w:rPr>
      <w:i/>
      <w:iCs/>
    </w:rPr>
  </w:style>
  <w:style w:type="character" w:styleId="30">
    <w:name w:val="Hyperlink"/>
    <w:unhideWhenUsed/>
    <w:qFormat/>
    <w:uiPriority w:val="99"/>
    <w:rPr>
      <w:color w:val="0000FF"/>
      <w:u w:val="single"/>
    </w:rPr>
  </w:style>
  <w:style w:type="character" w:styleId="31">
    <w:name w:val="annotation reference"/>
    <w:unhideWhenUsed/>
    <w:qFormat/>
    <w:uiPriority w:val="99"/>
    <w:rPr>
      <w:sz w:val="21"/>
      <w:szCs w:val="21"/>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4">
    <w:name w:val="页眉 字符"/>
    <w:basedOn w:val="27"/>
    <w:link w:val="17"/>
    <w:qFormat/>
    <w:uiPriority w:val="99"/>
    <w:rPr>
      <w:rFonts w:ascii="Calibri" w:hAnsi="Calibri"/>
      <w:kern w:val="2"/>
      <w:sz w:val="18"/>
      <w:szCs w:val="18"/>
    </w:rPr>
  </w:style>
  <w:style w:type="character" w:customStyle="1" w:styleId="35">
    <w:name w:val="标题 2 字符"/>
    <w:link w:val="3"/>
    <w:qFormat/>
    <w:uiPriority w:val="9"/>
    <w:rPr>
      <w:rFonts w:ascii="Cambria" w:hAnsi="Cambria" w:cstheme="majorBidi"/>
      <w:b/>
      <w:bCs/>
      <w:sz w:val="30"/>
      <w:szCs w:val="30"/>
    </w:rPr>
  </w:style>
  <w:style w:type="character" w:customStyle="1" w:styleId="36">
    <w:name w:val="标题 1 字符"/>
    <w:link w:val="2"/>
    <w:qFormat/>
    <w:uiPriority w:val="9"/>
    <w:rPr>
      <w:rFonts w:ascii="Calibri" w:hAnsi="Calibri"/>
      <w:b/>
      <w:bCs/>
      <w:kern w:val="44"/>
      <w:sz w:val="32"/>
      <w:szCs w:val="32"/>
    </w:rPr>
  </w:style>
  <w:style w:type="character" w:customStyle="1" w:styleId="37">
    <w:name w:val="标题 字符"/>
    <w:link w:val="26"/>
    <w:qFormat/>
    <w:uiPriority w:val="10"/>
    <w:rPr>
      <w:rFonts w:ascii="Cambria" w:hAnsi="Cambria"/>
      <w:b/>
      <w:bCs/>
      <w:sz w:val="32"/>
      <w:szCs w:val="32"/>
    </w:rPr>
  </w:style>
  <w:style w:type="character" w:customStyle="1" w:styleId="38">
    <w:name w:val="标题 3 字符"/>
    <w:link w:val="4"/>
    <w:qFormat/>
    <w:uiPriority w:val="9"/>
    <w:rPr>
      <w:b/>
      <w:bCs/>
      <w:sz w:val="28"/>
      <w:szCs w:val="28"/>
    </w:rPr>
  </w:style>
  <w:style w:type="character" w:customStyle="1" w:styleId="39">
    <w:name w:val="批注文字 字符"/>
    <w:link w:val="8"/>
    <w:qFormat/>
    <w:uiPriority w:val="99"/>
    <w:rPr>
      <w:kern w:val="2"/>
      <w:sz w:val="21"/>
    </w:rPr>
  </w:style>
  <w:style w:type="character" w:customStyle="1" w:styleId="40">
    <w:name w:val="批注文字 Char1"/>
    <w:basedOn w:val="27"/>
    <w:semiHidden/>
    <w:qFormat/>
    <w:uiPriority w:val="0"/>
    <w:rPr>
      <w:kern w:val="2"/>
      <w:sz w:val="21"/>
      <w:szCs w:val="22"/>
    </w:rPr>
  </w:style>
  <w:style w:type="paragraph" w:customStyle="1" w:styleId="41">
    <w:name w:val="A正文"/>
    <w:basedOn w:val="1"/>
    <w:qFormat/>
    <w:uiPriority w:val="0"/>
    <w:pPr>
      <w:adjustRightInd w:val="0"/>
      <w:snapToGrid w:val="0"/>
      <w:spacing w:beforeLines="50" w:afterLines="50" w:line="300" w:lineRule="auto"/>
    </w:pPr>
    <w:rPr>
      <w:rFonts w:ascii="Times New Roman" w:hAnsi="Times New Roman"/>
    </w:rPr>
  </w:style>
  <w:style w:type="paragraph" w:customStyle="1" w:styleId="42">
    <w:name w:val="列出段落1"/>
    <w:basedOn w:val="1"/>
    <w:link w:val="56"/>
    <w:qFormat/>
    <w:uiPriority w:val="0"/>
    <w:pPr>
      <w:ind w:firstLine="420"/>
    </w:pPr>
  </w:style>
  <w:style w:type="character" w:customStyle="1" w:styleId="43">
    <w:name w:val="批注框文本 字符"/>
    <w:basedOn w:val="27"/>
    <w:link w:val="15"/>
    <w:semiHidden/>
    <w:qFormat/>
    <w:uiPriority w:val="0"/>
    <w:rPr>
      <w:kern w:val="2"/>
      <w:sz w:val="18"/>
      <w:szCs w:val="18"/>
    </w:rPr>
  </w:style>
  <w:style w:type="character" w:customStyle="1" w:styleId="44">
    <w:name w:val="副标题 字符"/>
    <w:basedOn w:val="27"/>
    <w:link w:val="20"/>
    <w:qFormat/>
    <w:uiPriority w:val="0"/>
    <w:rPr>
      <w:rFonts w:eastAsia="宋体" w:asciiTheme="majorHAnsi" w:hAnsiTheme="majorHAnsi" w:cstheme="majorBidi"/>
      <w:b/>
      <w:bCs/>
      <w:kern w:val="28"/>
      <w:sz w:val="32"/>
      <w:szCs w:val="32"/>
    </w:rPr>
  </w:style>
  <w:style w:type="character" w:customStyle="1" w:styleId="45">
    <w:name w:val="标题 4 字符"/>
    <w:link w:val="5"/>
    <w:qFormat/>
    <w:uiPriority w:val="9"/>
    <w:rPr>
      <w:rFonts w:ascii="Cambria" w:hAnsi="Cambria" w:cstheme="majorBidi"/>
      <w:b/>
      <w:bCs/>
      <w:sz w:val="28"/>
      <w:szCs w:val="28"/>
    </w:rPr>
  </w:style>
  <w:style w:type="character" w:customStyle="1" w:styleId="46">
    <w:name w:val="标题 5 字符"/>
    <w:link w:val="6"/>
    <w:qFormat/>
    <w:uiPriority w:val="9"/>
    <w:rPr>
      <w:b/>
      <w:bCs/>
      <w:sz w:val="24"/>
      <w:szCs w:val="28"/>
    </w:rPr>
  </w:style>
  <w:style w:type="character" w:customStyle="1" w:styleId="47">
    <w:name w:val="纯文本 字符"/>
    <w:basedOn w:val="27"/>
    <w:link w:val="13"/>
    <w:qFormat/>
    <w:uiPriority w:val="0"/>
    <w:rPr>
      <w:rFonts w:ascii="宋体" w:hAnsi="Courier New" w:eastAsia="宋体" w:cs="Courier New"/>
      <w:kern w:val="2"/>
      <w:sz w:val="21"/>
      <w:szCs w:val="21"/>
    </w:rPr>
  </w:style>
  <w:style w:type="character" w:customStyle="1" w:styleId="48">
    <w:name w:val="apple-converted-space"/>
    <w:basedOn w:val="27"/>
    <w:qFormat/>
    <w:uiPriority w:val="0"/>
  </w:style>
  <w:style w:type="character" w:customStyle="1" w:styleId="49">
    <w:name w:val="批注主题 字符"/>
    <w:basedOn w:val="39"/>
    <w:link w:val="7"/>
    <w:semiHidden/>
    <w:qFormat/>
    <w:uiPriority w:val="0"/>
    <w:rPr>
      <w:b/>
      <w:bCs/>
      <w:kern w:val="2"/>
      <w:sz w:val="21"/>
      <w:szCs w:val="22"/>
    </w:rPr>
  </w:style>
  <w:style w:type="character" w:customStyle="1" w:styleId="50">
    <w:name w:val="HTML 预设格式 字符"/>
    <w:basedOn w:val="27"/>
    <w:link w:val="24"/>
    <w:qFormat/>
    <w:uiPriority w:val="0"/>
    <w:rPr>
      <w:rFonts w:ascii="Courier New" w:hAnsi="Courier New" w:cs="Courier New"/>
      <w:kern w:val="2"/>
    </w:rPr>
  </w:style>
  <w:style w:type="character" w:customStyle="1" w:styleId="51">
    <w:name w:val="high-light"/>
    <w:basedOn w:val="27"/>
    <w:qFormat/>
    <w:uiPriority w:val="0"/>
  </w:style>
  <w:style w:type="paragraph" w:customStyle="1" w:styleId="52">
    <w:name w:val="标题3"/>
    <w:basedOn w:val="1"/>
    <w:qFormat/>
    <w:uiPriority w:val="0"/>
    <w:pPr>
      <w:adjustRightInd w:val="0"/>
      <w:snapToGrid w:val="0"/>
      <w:spacing w:before="280" w:after="280" w:line="310" w:lineRule="atLeast"/>
      <w:jc w:val="center"/>
    </w:pPr>
    <w:rPr>
      <w:rFonts w:ascii="Arial" w:hAnsi="Arial" w:eastAsia="黑体"/>
      <w:sz w:val="28"/>
      <w:szCs w:val="20"/>
    </w:rPr>
  </w:style>
  <w:style w:type="paragraph" w:customStyle="1" w:styleId="53">
    <w:name w:val="列出段落111"/>
    <w:basedOn w:val="1"/>
    <w:qFormat/>
    <w:uiPriority w:val="0"/>
    <w:pPr>
      <w:ind w:firstLine="420"/>
    </w:pPr>
    <w:rPr>
      <w:rFonts w:ascii="Times New Roman" w:hAnsi="Times New Roman"/>
      <w:szCs w:val="20"/>
    </w:rPr>
  </w:style>
  <w:style w:type="paragraph" w:customStyle="1" w:styleId="54">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rPr>
  </w:style>
  <w:style w:type="paragraph" w:customStyle="1" w:styleId="55">
    <w:name w:val="彩色列表 - 强调文字颜色 11"/>
    <w:basedOn w:val="1"/>
    <w:qFormat/>
    <w:uiPriority w:val="0"/>
    <w:pPr>
      <w:ind w:firstLine="420"/>
    </w:pPr>
  </w:style>
  <w:style w:type="character" w:customStyle="1" w:styleId="56">
    <w:name w:val="列出段落 Char"/>
    <w:basedOn w:val="27"/>
    <w:link w:val="42"/>
    <w:qFormat/>
    <w:uiPriority w:val="34"/>
    <w:rPr>
      <w:rFonts w:ascii="Calibri" w:hAnsi="Calibri" w:eastAsia="宋体" w:cs="Times New Roman"/>
      <w:kern w:val="2"/>
      <w:sz w:val="21"/>
      <w:szCs w:val="22"/>
    </w:rPr>
  </w:style>
  <w:style w:type="paragraph" w:customStyle="1" w:styleId="57">
    <w:name w:val="tgt"/>
    <w:basedOn w:val="1"/>
    <w:qFormat/>
    <w:uiPriority w:val="0"/>
    <w:pPr>
      <w:widowControl/>
      <w:spacing w:before="100" w:beforeAutospacing="1" w:after="100" w:afterAutospacing="1"/>
      <w:jc w:val="left"/>
    </w:pPr>
    <w:rPr>
      <w:rFonts w:ascii="宋体" w:hAnsi="宋体" w:cs="宋体"/>
      <w:kern w:val="0"/>
    </w:rPr>
  </w:style>
  <w:style w:type="paragraph" w:customStyle="1" w:styleId="58">
    <w:name w:val="中文版式正文"/>
    <w:basedOn w:val="1"/>
    <w:link w:val="59"/>
    <w:qFormat/>
    <w:uiPriority w:val="0"/>
    <w:pPr>
      <w:spacing w:afterLines="50" w:line="300" w:lineRule="auto"/>
      <w:textAlignment w:val="bottom"/>
    </w:pPr>
    <w:rPr>
      <w:rFonts w:ascii="Times New Roman" w:hAnsi="Times New Roman"/>
      <w:kern w:val="0"/>
      <w:szCs w:val="20"/>
    </w:rPr>
  </w:style>
  <w:style w:type="character" w:customStyle="1" w:styleId="59">
    <w:name w:val="中文版式正文 Char"/>
    <w:link w:val="58"/>
    <w:qFormat/>
    <w:uiPriority w:val="0"/>
    <w:rPr>
      <w:rFonts w:ascii="Times New Roman" w:hAnsi="Times New Roman" w:eastAsia="宋体" w:cs="Times New Roman"/>
      <w:sz w:val="24"/>
    </w:rPr>
  </w:style>
  <w:style w:type="paragraph" w:customStyle="1" w:styleId="60">
    <w:name w:val="插图编号"/>
    <w:basedOn w:val="1"/>
    <w:next w:val="1"/>
    <w:qFormat/>
    <w:uiPriority w:val="0"/>
    <w:pPr>
      <w:numPr>
        <w:ilvl w:val="0"/>
        <w:numId w:val="2"/>
      </w:numPr>
      <w:spacing w:line="300" w:lineRule="auto"/>
      <w:ind w:firstLine="0" w:firstLineChars="0"/>
      <w:jc w:val="center"/>
      <w:textAlignment w:val="bottom"/>
    </w:pPr>
    <w:rPr>
      <w:rFonts w:ascii="Times New Roman" w:hAnsi="Times New Roman"/>
      <w:kern w:val="0"/>
      <w:sz w:val="28"/>
    </w:rPr>
  </w:style>
  <w:style w:type="paragraph" w:customStyle="1" w:styleId="61">
    <w:name w:val="表格编号"/>
    <w:basedOn w:val="1"/>
    <w:next w:val="1"/>
    <w:qFormat/>
    <w:uiPriority w:val="0"/>
    <w:pPr>
      <w:numPr>
        <w:ilvl w:val="0"/>
        <w:numId w:val="3"/>
      </w:numPr>
      <w:spacing w:line="300" w:lineRule="auto"/>
      <w:ind w:firstLine="0" w:firstLineChars="0"/>
      <w:jc w:val="center"/>
      <w:textAlignment w:val="bottom"/>
    </w:pPr>
    <w:rPr>
      <w:rFonts w:ascii="宋体" w:hAnsi="宋体"/>
      <w:kern w:val="0"/>
      <w:szCs w:val="20"/>
    </w:rPr>
  </w:style>
  <w:style w:type="character" w:customStyle="1" w:styleId="62">
    <w:name w:val="页脚 字符"/>
    <w:basedOn w:val="27"/>
    <w:link w:val="16"/>
    <w:qFormat/>
    <w:uiPriority w:val="99"/>
    <w:rPr>
      <w:kern w:val="2"/>
      <w:sz w:val="18"/>
      <w:szCs w:val="18"/>
    </w:rPr>
  </w:style>
  <w:style w:type="paragraph" w:customStyle="1" w:styleId="63">
    <w:name w:val="列出段落5"/>
    <w:basedOn w:val="1"/>
    <w:qFormat/>
    <w:uiPriority w:val="99"/>
    <w:pPr>
      <w:ind w:firstLine="420"/>
    </w:pPr>
  </w:style>
  <w:style w:type="paragraph" w:styleId="64">
    <w:name w:val="List Paragraph"/>
    <w:basedOn w:val="1"/>
    <w:unhideWhenUsed/>
    <w:qFormat/>
    <w:uiPriority w:val="34"/>
    <w:pPr>
      <w:ind w:firstLine="420"/>
    </w:pPr>
  </w:style>
  <w:style w:type="paragraph" w:customStyle="1" w:styleId="65">
    <w:name w:val="列出段落11"/>
    <w:basedOn w:val="1"/>
    <w:qFormat/>
    <w:uiPriority w:val="34"/>
    <w:pPr>
      <w:ind w:firstLine="420"/>
    </w:pPr>
    <w:rPr>
      <w:rFonts w:asciiTheme="minorHAnsi" w:hAnsiTheme="minorHAnsi" w:eastAsiaTheme="minorEastAsia" w:cstheme="minorBidi"/>
      <w:sz w:val="21"/>
    </w:rPr>
  </w:style>
  <w:style w:type="table" w:customStyle="1" w:styleId="66">
    <w:name w:val="TableGrid"/>
    <w:qFormat/>
    <w:uiPriority w:val="0"/>
    <w:rPr>
      <w:rFonts w:asciiTheme="minorHAnsi" w:cstheme="minorBidi"/>
    </w:rPr>
    <w:tblPr>
      <w:tblLayout w:type="fixed"/>
      <w:tblCellMar>
        <w:top w:w="0" w:type="dxa"/>
        <w:left w:w="0" w:type="dxa"/>
        <w:bottom w:w="0" w:type="dxa"/>
        <w:right w:w="0" w:type="dxa"/>
      </w:tblCellMar>
    </w:tblPr>
  </w:style>
  <w:style w:type="paragraph" w:customStyle="1" w:styleId="67">
    <w:name w:val="列出段落2"/>
    <w:qFormat/>
    <w:uiPriority w:val="0"/>
    <w:pPr>
      <w:widowControl w:val="0"/>
      <w:ind w:firstLine="420"/>
      <w:jc w:val="both"/>
    </w:pPr>
    <w:rPr>
      <w:rFonts w:ascii="Calibri" w:hAnsi="Calibri" w:cs="Times New Roman" w:eastAsiaTheme="minorEastAsia"/>
      <w:kern w:val="1"/>
      <w:sz w:val="21"/>
      <w:szCs w:val="24"/>
      <w:lang w:val="en-US" w:eastAsia="zh-CN" w:bidi="ar-SA"/>
    </w:rPr>
  </w:style>
  <w:style w:type="paragraph" w:customStyle="1" w:styleId="68">
    <w:name w:val="列出段落4"/>
    <w:qFormat/>
    <w:uiPriority w:val="0"/>
    <w:pPr>
      <w:widowControl w:val="0"/>
      <w:ind w:firstLine="420"/>
      <w:jc w:val="both"/>
    </w:pPr>
    <w:rPr>
      <w:rFonts w:ascii="Calibri" w:hAnsi="Calibri" w:eastAsia="宋体" w:cs="Times New Roman"/>
      <w:kern w:val="1"/>
      <w:sz w:val="21"/>
      <w:szCs w:val="22"/>
      <w:lang w:val="en-US" w:eastAsia="zh-CN" w:bidi="ar-SA"/>
    </w:rPr>
  </w:style>
  <w:style w:type="paragraph" w:customStyle="1" w:styleId="69">
    <w:name w:val="修订1"/>
    <w:hidden/>
    <w:semiHidden/>
    <w:qFormat/>
    <w:uiPriority w:val="99"/>
    <w:rPr>
      <w:rFonts w:ascii="Calibri" w:hAnsi="Calibri"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5B97FD-9B80-47A7-8663-04F9F12DF75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66</Pages>
  <Words>4966</Words>
  <Characters>28310</Characters>
  <Lines>235</Lines>
  <Paragraphs>66</Paragraphs>
  <TotalTime>20</TotalTime>
  <ScaleCrop>false</ScaleCrop>
  <LinksUpToDate>false</LinksUpToDate>
  <CharactersWithSpaces>33210</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2018-10-16T05:59:00Z</dcterms:created>
  <dc:creator>liuyantao</dc:creator>
  <cp:lastModifiedBy>徐园园</cp:lastModifiedBy>
  <cp:lastPrinted>2018-10-16T06:52:00Z</cp:lastPrinted>
  <dcterms:modified xsi:type="dcterms:W3CDTF">2018-10-23T06:38:51Z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