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ascii="Arial Narrow" w:hAnsi="Arial Narrow" w:eastAsia="黑体"/>
          <w:b/>
          <w:sz w:val="36"/>
          <w:szCs w:val="36"/>
        </w:rPr>
      </w:pPr>
      <w:r>
        <w:rPr>
          <w:rFonts w:ascii="Arial Narrow" w:hAnsi="黑体" w:eastAsia="黑体"/>
          <w:b/>
          <w:sz w:val="36"/>
          <w:szCs w:val="36"/>
        </w:rPr>
        <w:t>2019</w:t>
      </w:r>
      <w:r>
        <w:rPr>
          <w:rFonts w:hint="eastAsia" w:ascii="Arial Narrow" w:hAnsi="黑体" w:eastAsia="黑体"/>
          <w:b/>
          <w:sz w:val="36"/>
          <w:szCs w:val="36"/>
        </w:rPr>
        <w:t>年全国职业院校技能大赛</w:t>
      </w:r>
    </w:p>
    <w:p>
      <w:pPr>
        <w:snapToGrid w:val="0"/>
        <w:spacing w:line="540" w:lineRule="exact"/>
        <w:jc w:val="center"/>
        <w:rPr>
          <w:rFonts w:ascii="Arial Narrow" w:hAnsi="Arial Narrow" w:eastAsia="黑体"/>
          <w:b/>
          <w:sz w:val="36"/>
          <w:szCs w:val="36"/>
        </w:rPr>
      </w:pPr>
      <w:r>
        <w:rPr>
          <w:rFonts w:hint="eastAsia" w:ascii="Arial Narrow" w:hAnsi="黑体" w:eastAsia="黑体"/>
          <w:b/>
          <w:sz w:val="36"/>
          <w:szCs w:val="36"/>
        </w:rPr>
        <w:t>赛项申报方案</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一、赛项名称</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（一）赛项名称</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工业分析检验</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（二）压题彩照</w:t>
      </w:r>
    </w:p>
    <w:p>
      <w:pPr>
        <w:snapToGrid w:val="0"/>
        <w:jc w:val="center"/>
        <w:rPr>
          <w:rFonts w:ascii="Arial Narrow" w:hAnsi="Arial Narrow" w:eastAsia="仿宋_GB2312" w:cs="Arial"/>
          <w:sz w:val="30"/>
          <w:szCs w:val="30"/>
        </w:rPr>
      </w:pPr>
      <w:r>
        <w:rPr>
          <w:rFonts w:ascii="Arial Narrow" w:hAnsi="Arial Narrow" w:eastAsia="仿宋_GB2312" w:cs="Arial"/>
          <w:sz w:val="30"/>
          <w:szCs w:val="30"/>
        </w:rPr>
        <w:drawing>
          <wp:inline distT="0" distB="0" distL="0" distR="0">
            <wp:extent cx="5043805" cy="3362960"/>
            <wp:effectExtent l="0" t="0" r="4445" b="8890"/>
            <wp:docPr id="1" name="图片 1" descr="C:\Users\CY\Desktop\微信图片_20180808203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CY\Desktop\微信图片_201808082031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046355" cy="3364237"/>
                    </a:xfrm>
                    <a:prstGeom prst="rect">
                      <a:avLst/>
                    </a:prstGeom>
                    <a:noFill/>
                    <a:ln>
                      <a:noFill/>
                    </a:ln>
                  </pic:spPr>
                </pic:pic>
              </a:graphicData>
            </a:graphic>
          </wp:inline>
        </w:drawing>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（三）赛项归属产业类型</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石油和化工</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（四）赛项归属专业大类</w:t>
      </w:r>
      <w:r>
        <w:rPr>
          <w:rFonts w:ascii="Arial Narrow" w:hAnsi="Arial Narrow" w:eastAsia="仿宋_GB2312" w:cs="Arial"/>
          <w:sz w:val="30"/>
          <w:szCs w:val="30"/>
        </w:rPr>
        <w:t>/</w:t>
      </w:r>
      <w:r>
        <w:rPr>
          <w:rFonts w:hint="eastAsia" w:ascii="Arial Narrow" w:hAnsi="Arial Narrow" w:eastAsia="仿宋_GB2312" w:cs="Arial"/>
          <w:sz w:val="30"/>
          <w:szCs w:val="30"/>
        </w:rPr>
        <w:t>类</w:t>
      </w:r>
    </w:p>
    <w:tbl>
      <w:tblPr>
        <w:tblStyle w:val="13"/>
        <w:tblW w:w="8274" w:type="dxa"/>
        <w:tblInd w:w="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2058"/>
        <w:gridCol w:w="1701"/>
        <w:gridCol w:w="1842"/>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组别</w:t>
            </w:r>
          </w:p>
        </w:tc>
        <w:tc>
          <w:tcPr>
            <w:tcW w:w="205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专业大类</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专业类</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专业代码</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高职</w:t>
            </w:r>
          </w:p>
        </w:tc>
        <w:tc>
          <w:tcPr>
            <w:tcW w:w="2058" w:type="dxa"/>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仿宋_GB2312" w:cs="Arial"/>
                <w:sz w:val="30"/>
                <w:szCs w:val="30"/>
              </w:rPr>
            </w:pPr>
            <w:r>
              <w:rPr>
                <w:rFonts w:hint="eastAsia" w:ascii="仿宋_GB2312" w:hAnsi="仿宋_GB2312" w:eastAsia="仿宋_GB2312" w:cs="仿宋_GB2312"/>
                <w:sz w:val="24"/>
                <w:szCs w:val="24"/>
              </w:rPr>
              <w:t xml:space="preserve">生物与化工大类 </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化工技术类</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70207</w:t>
            </w:r>
          </w:p>
        </w:tc>
        <w:tc>
          <w:tcPr>
            <w:tcW w:w="1702" w:type="dxa"/>
            <w:tcBorders>
              <w:top w:val="single" w:color="auto" w:sz="4" w:space="0"/>
              <w:left w:val="single" w:color="auto" w:sz="4" w:space="0"/>
              <w:bottom w:val="single" w:color="auto" w:sz="4" w:space="0"/>
              <w:right w:val="single" w:color="auto" w:sz="4" w:space="0"/>
            </w:tcBorders>
            <w:vAlign w:val="center"/>
          </w:tcPr>
          <w:p>
            <w:pPr>
              <w:keepNex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工业分析技术</w:t>
            </w:r>
          </w:p>
        </w:tc>
      </w:tr>
    </w:tbl>
    <w:p>
      <w:pPr>
        <w:numPr>
          <w:ilvl w:val="0"/>
          <w:numId w:val="1"/>
        </w:numPr>
        <w:snapToGrid w:val="0"/>
        <w:spacing w:line="560" w:lineRule="exact"/>
        <w:ind w:firstLine="600" w:firstLineChars="200"/>
        <w:rPr>
          <w:rFonts w:hint="eastAsia" w:ascii="黑体" w:hAnsi="黑体" w:eastAsia="黑体" w:cs="黑体"/>
          <w:bCs/>
          <w:sz w:val="30"/>
          <w:szCs w:val="30"/>
        </w:rPr>
      </w:pPr>
      <w:r>
        <w:rPr>
          <w:rFonts w:hint="eastAsia" w:ascii="黑体" w:hAnsi="黑体" w:eastAsia="黑体" w:cs="黑体"/>
          <w:bCs/>
          <w:sz w:val="30"/>
          <w:szCs w:val="30"/>
        </w:rPr>
        <w:t>赛项申报专家组</w:t>
      </w:r>
    </w:p>
    <w:p>
      <w:pPr>
        <w:numPr>
          <w:numId w:val="0"/>
        </w:numPr>
        <w:snapToGrid w:val="0"/>
        <w:spacing w:line="560" w:lineRule="exact"/>
        <w:ind w:firstLine="600" w:firstLineChars="200"/>
        <w:rPr>
          <w:rFonts w:ascii="Arial Narrow" w:hAnsi="Arial Narrow" w:eastAsia="仿宋_GB2312" w:cs="Arial"/>
          <w:bCs/>
          <w:sz w:val="30"/>
          <w:szCs w:val="30"/>
        </w:rPr>
      </w:pPr>
      <w:bookmarkStart w:id="15" w:name="_GoBack"/>
      <w:bookmarkEnd w:id="15"/>
      <w:r>
        <w:rPr>
          <w:rFonts w:hint="eastAsia" w:ascii="黑体" w:hAnsi="黑体" w:eastAsia="黑体" w:cs="黑体"/>
          <w:bCs/>
          <w:sz w:val="30"/>
          <w:szCs w:val="30"/>
        </w:rPr>
        <w:t>三、赛项目的</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工业分析检验赛项是依据</w:t>
      </w:r>
      <w:r>
        <w:rPr>
          <w:rFonts w:hint="eastAsia" w:ascii="Arial Narrow" w:hAnsi="Arial Narrow" w:eastAsia="仿宋_GB2312" w:cs="Arial"/>
          <w:sz w:val="30"/>
          <w:szCs w:val="30"/>
        </w:rPr>
        <w:t>高</w:t>
      </w:r>
      <w:r>
        <w:rPr>
          <w:rFonts w:ascii="Arial Narrow" w:hAnsi="Arial Narrow" w:eastAsia="仿宋_GB2312" w:cs="Arial"/>
          <w:sz w:val="30"/>
          <w:szCs w:val="30"/>
        </w:rPr>
        <w:t>职教育工业分析</w:t>
      </w:r>
      <w:r>
        <w:rPr>
          <w:rFonts w:hint="eastAsia" w:ascii="Arial Narrow" w:hAnsi="Arial Narrow" w:eastAsia="仿宋_GB2312" w:cs="Arial"/>
          <w:sz w:val="30"/>
          <w:szCs w:val="30"/>
        </w:rPr>
        <w:t>技术</w:t>
      </w:r>
      <w:r>
        <w:rPr>
          <w:rFonts w:ascii="Arial Narrow" w:hAnsi="Arial Narrow" w:eastAsia="仿宋_GB2312" w:cs="Arial"/>
          <w:sz w:val="30"/>
          <w:szCs w:val="30"/>
        </w:rPr>
        <w:t>相关专业教学改革与发展的需要，培养学生职业能力，提升学生分析岗位实际操作能力而设置的。通过技能竞赛可以促进学生的学习与企业岗位对接。通过理论知识与仿真操作考核、化学与仪器分析操作考核，考查学生产品质量监控的意识及现场分析与处理样品的能力；考查学生工作效率、文明生产、安全生产的职业素养；考查学生执行国家质量标准规范的能力。通过竞赛实现专业与产业对接、课程内容与职业标准对接，展示教学“紧跟市场、贴近行业、依托企业、对接岗位”的教学成果。增强职业教育在社会的影响力，培养适应产业发展需要的技术技能专门人才，提高毕业学生满意率和优秀率。</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四、赛项设计原则</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工业分析检验技能竞赛</w:t>
      </w:r>
      <w:r>
        <w:rPr>
          <w:rFonts w:ascii="Times New Roman" w:hAnsi="Times New Roman" w:eastAsia="仿宋_GB2312"/>
          <w:sz w:val="30"/>
          <w:szCs w:val="30"/>
        </w:rPr>
        <w:t>自2006</w:t>
      </w:r>
      <w:r>
        <w:rPr>
          <w:rFonts w:ascii="Arial Narrow" w:hAnsi="Arial Narrow" w:eastAsia="仿宋_GB2312" w:cs="Arial"/>
          <w:sz w:val="30"/>
          <w:szCs w:val="30"/>
        </w:rPr>
        <w:t>年开办，一直秉承公开、公平、公正、科学的办赛原则。</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该赛项关联的职业岗位涉及石油、化工、医药、生物、农业、林业、卫生和防疫等领域，是目前涉及行业最多的赛项。赛项培养的人才能够广泛服务于现代服务业发展</w:t>
      </w:r>
      <w:r>
        <w:rPr>
          <w:rFonts w:hint="eastAsia" w:ascii="Arial Narrow" w:hAnsi="Arial Narrow" w:eastAsia="仿宋_GB2312" w:cs="Arial"/>
          <w:sz w:val="30"/>
          <w:szCs w:val="30"/>
        </w:rPr>
        <w:t>。</w:t>
      </w:r>
      <w:r>
        <w:rPr>
          <w:rFonts w:ascii="Arial Narrow" w:hAnsi="Arial Narrow" w:eastAsia="仿宋_GB2312" w:cs="Arial"/>
          <w:sz w:val="30"/>
          <w:szCs w:val="30"/>
        </w:rPr>
        <w:t>工业分析检验人才需求很大，目前全国开办工业分析与检验专业的高职和中职学校达</w:t>
      </w:r>
      <w:r>
        <w:rPr>
          <w:rFonts w:ascii="Times New Roman" w:hAnsi="Times New Roman" w:eastAsia="仿宋_GB2312"/>
          <w:sz w:val="30"/>
          <w:szCs w:val="30"/>
        </w:rPr>
        <w:t>500余家</w:t>
      </w:r>
      <w:r>
        <w:rPr>
          <w:rFonts w:hint="eastAsia" w:ascii="Times New Roman" w:hAnsi="Times New Roman" w:eastAsia="仿宋_GB2312"/>
          <w:sz w:val="30"/>
          <w:szCs w:val="30"/>
        </w:rPr>
        <w:t>。</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本赛项在进行竞赛内容设计中紧密围绕工业分析技术专业人才培养目标，设置了理论知识考核、仿真操作考核、实践操作考核三个竞赛单元，从化学分析、仪器分析、实验室管理等方面进行知识考核；从化学分析实践测试、仪器分析实践测试考核学生分析检测的技能、产品分析的技能；从大型分析仪器的仿真操作考核学生大型分析仪器使用及微量物质的检测能力，全面体现了专业人才培养目标要求。</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工业分析检验赛项（高职组）使用紫外-可见分光光度计、电子天平等均为通用检测设备，具有一定的先进性；仿真软件能够定性定量进行虚拟样品测定，为目前高职院校通用的虚拟测试系统。</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工业分析检验的竞赛经过十几年的磨砺，经过专家和同仁的努力，从方案设计到竞赛实施，已经非常成熟。</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五、赛项方案的特色与创新点</w:t>
      </w:r>
    </w:p>
    <w:p>
      <w:pPr>
        <w:snapToGrid w:val="0"/>
        <w:spacing w:line="560" w:lineRule="exact"/>
        <w:ind w:firstLine="602" w:firstLineChars="200"/>
        <w:rPr>
          <w:rFonts w:eastAsia="仿宋_GB2312"/>
          <w:sz w:val="30"/>
          <w:szCs w:val="30"/>
        </w:rPr>
      </w:pPr>
      <w:r>
        <w:rPr>
          <w:rFonts w:hAnsi="Arial Narrow" w:eastAsia="仿宋_GB2312"/>
          <w:b/>
          <w:sz w:val="30"/>
          <w:szCs w:val="30"/>
        </w:rPr>
        <w:t>（一）团队合作意识。</w:t>
      </w:r>
      <w:r>
        <w:rPr>
          <w:rFonts w:hint="eastAsia" w:hAnsi="Arial Narrow" w:eastAsia="仿宋_GB2312"/>
          <w:sz w:val="30"/>
          <w:szCs w:val="30"/>
        </w:rPr>
        <w:t>项目设定的考核内容，既考核选手个人能力，也考核选手的团队协作能力和团体整体实力。</w:t>
      </w:r>
    </w:p>
    <w:p>
      <w:pPr>
        <w:snapToGrid w:val="0"/>
        <w:spacing w:line="560" w:lineRule="exact"/>
        <w:ind w:firstLine="602" w:firstLineChars="200"/>
        <w:rPr>
          <w:rFonts w:hAnsi="Arial Narrow" w:eastAsia="仿宋_GB2312"/>
          <w:b/>
          <w:sz w:val="30"/>
          <w:szCs w:val="30"/>
        </w:rPr>
      </w:pPr>
      <w:r>
        <w:rPr>
          <w:rFonts w:hAnsi="Arial Narrow" w:eastAsia="仿宋_GB2312"/>
          <w:b/>
          <w:sz w:val="30"/>
          <w:szCs w:val="30"/>
        </w:rPr>
        <w:t>（二）核心技能与专项技能相结合。</w:t>
      </w:r>
      <w:r>
        <w:rPr>
          <w:rFonts w:hAnsi="Arial Narrow" w:eastAsia="仿宋_GB2312"/>
          <w:sz w:val="30"/>
          <w:szCs w:val="30"/>
        </w:rPr>
        <w:t>在竞赛内容侧重点的设计上，赛项以职业核心技能考核为主。在专项比赛内容设计上，通过</w:t>
      </w:r>
      <w:r>
        <w:rPr>
          <w:rFonts w:hint="eastAsia" w:hAnsi="Arial Narrow" w:eastAsia="仿宋_GB2312"/>
          <w:sz w:val="30"/>
          <w:szCs w:val="30"/>
        </w:rPr>
        <w:t>化学</w:t>
      </w:r>
      <w:r>
        <w:rPr>
          <w:rFonts w:hAnsi="Arial Narrow" w:eastAsia="仿宋_GB2312"/>
          <w:sz w:val="30"/>
          <w:szCs w:val="30"/>
        </w:rPr>
        <w:t>分析和仪器分析</w:t>
      </w:r>
      <w:r>
        <w:rPr>
          <w:rFonts w:hint="eastAsia" w:hAnsi="Arial Narrow" w:eastAsia="仿宋_GB2312"/>
          <w:sz w:val="30"/>
          <w:szCs w:val="30"/>
        </w:rPr>
        <w:t>，既考核</w:t>
      </w:r>
      <w:r>
        <w:rPr>
          <w:rFonts w:hAnsi="Arial Narrow" w:eastAsia="仿宋_GB2312"/>
          <w:sz w:val="30"/>
          <w:szCs w:val="30"/>
        </w:rPr>
        <w:t>化学分析</w:t>
      </w:r>
      <w:r>
        <w:rPr>
          <w:rFonts w:hint="eastAsia" w:hAnsi="Arial Narrow" w:eastAsia="仿宋_GB2312"/>
          <w:sz w:val="30"/>
          <w:szCs w:val="30"/>
        </w:rPr>
        <w:t>即</w:t>
      </w:r>
      <w:r>
        <w:rPr>
          <w:rFonts w:hAnsi="Arial Narrow" w:eastAsia="仿宋_GB2312"/>
          <w:sz w:val="30"/>
          <w:szCs w:val="30"/>
        </w:rPr>
        <w:t>常规物质的常量分析能力</w:t>
      </w:r>
      <w:r>
        <w:rPr>
          <w:rFonts w:hint="eastAsia" w:hAnsi="Arial Narrow" w:eastAsia="仿宋_GB2312"/>
          <w:sz w:val="30"/>
          <w:szCs w:val="30"/>
        </w:rPr>
        <w:t>，又考核</w:t>
      </w:r>
      <w:r>
        <w:rPr>
          <w:rFonts w:hAnsi="Arial Narrow" w:eastAsia="仿宋_GB2312"/>
          <w:sz w:val="30"/>
          <w:szCs w:val="30"/>
        </w:rPr>
        <w:t>仪器分析</w:t>
      </w:r>
      <w:r>
        <w:rPr>
          <w:rFonts w:hint="eastAsia" w:hAnsi="Arial Narrow" w:eastAsia="仿宋_GB2312"/>
          <w:sz w:val="30"/>
          <w:szCs w:val="30"/>
        </w:rPr>
        <w:t>即</w:t>
      </w:r>
      <w:r>
        <w:rPr>
          <w:rFonts w:hAnsi="Arial Narrow" w:eastAsia="仿宋_GB2312"/>
          <w:sz w:val="30"/>
          <w:szCs w:val="30"/>
        </w:rPr>
        <w:t>未知物微量组分的含量测定能力。</w:t>
      </w:r>
    </w:p>
    <w:p>
      <w:pPr>
        <w:snapToGrid w:val="0"/>
        <w:spacing w:line="560" w:lineRule="exact"/>
        <w:ind w:firstLine="602" w:firstLineChars="200"/>
        <w:rPr>
          <w:rFonts w:hAnsi="Arial Narrow" w:eastAsia="仿宋_GB2312"/>
          <w:b/>
          <w:sz w:val="30"/>
          <w:szCs w:val="30"/>
        </w:rPr>
      </w:pPr>
      <w:r>
        <w:rPr>
          <w:rFonts w:hint="eastAsia" w:hAnsi="Arial Narrow" w:eastAsia="仿宋_GB2312"/>
          <w:b/>
          <w:sz w:val="30"/>
          <w:szCs w:val="30"/>
        </w:rPr>
        <w:t>（三）</w:t>
      </w:r>
      <w:r>
        <w:rPr>
          <w:rFonts w:hAnsi="Arial Narrow" w:eastAsia="仿宋_GB2312"/>
          <w:b/>
          <w:sz w:val="30"/>
          <w:szCs w:val="30"/>
        </w:rPr>
        <w:t>竞赛内容上部分环节</w:t>
      </w:r>
      <w:r>
        <w:rPr>
          <w:rFonts w:hint="eastAsia" w:hAnsi="Arial Narrow" w:eastAsia="仿宋_GB2312"/>
          <w:b/>
          <w:sz w:val="30"/>
          <w:szCs w:val="30"/>
        </w:rPr>
        <w:t>需要</w:t>
      </w:r>
      <w:r>
        <w:rPr>
          <w:rFonts w:hAnsi="Arial Narrow" w:eastAsia="仿宋_GB2312"/>
          <w:b/>
          <w:sz w:val="30"/>
          <w:szCs w:val="30"/>
        </w:rPr>
        <w:t>选手的创新发挥。</w:t>
      </w:r>
      <w:r>
        <w:rPr>
          <w:rFonts w:hAnsi="Arial Narrow" w:eastAsia="仿宋_GB2312"/>
          <w:sz w:val="30"/>
          <w:szCs w:val="30"/>
        </w:rPr>
        <w:t>在实践操作中选手需要根据</w:t>
      </w:r>
      <w:r>
        <w:rPr>
          <w:rFonts w:hint="eastAsia" w:hAnsi="Arial Narrow" w:eastAsia="仿宋_GB2312"/>
          <w:sz w:val="30"/>
          <w:szCs w:val="30"/>
        </w:rPr>
        <w:t>给定样品及</w:t>
      </w:r>
      <w:r>
        <w:rPr>
          <w:rFonts w:hAnsi="Arial Narrow" w:eastAsia="仿宋_GB2312"/>
          <w:sz w:val="30"/>
          <w:szCs w:val="30"/>
        </w:rPr>
        <w:t>浓度范围自行设计</w:t>
      </w:r>
      <w:r>
        <w:rPr>
          <w:rFonts w:hint="eastAsia" w:hAnsi="Arial Narrow" w:eastAsia="仿宋_GB2312"/>
          <w:sz w:val="30"/>
          <w:szCs w:val="30"/>
        </w:rPr>
        <w:t>稀释方案。</w:t>
      </w:r>
    </w:p>
    <w:p>
      <w:pPr>
        <w:snapToGrid w:val="0"/>
        <w:spacing w:line="560" w:lineRule="exact"/>
        <w:ind w:firstLine="602" w:firstLineChars="200"/>
        <w:rPr>
          <w:rFonts w:hAnsi="Arial Narrow" w:eastAsia="仿宋_GB2312"/>
          <w:sz w:val="30"/>
          <w:szCs w:val="30"/>
        </w:rPr>
      </w:pPr>
      <w:r>
        <w:rPr>
          <w:rFonts w:hAnsi="Arial Narrow" w:eastAsia="仿宋_GB2312"/>
          <w:b/>
          <w:sz w:val="30"/>
          <w:szCs w:val="30"/>
        </w:rPr>
        <w:t>（四）竞赛分场次进行</w:t>
      </w:r>
      <w:r>
        <w:rPr>
          <w:rFonts w:hint="eastAsia" w:hAnsi="Arial Narrow" w:eastAsia="仿宋_GB2312"/>
          <w:b/>
          <w:sz w:val="30"/>
          <w:szCs w:val="30"/>
        </w:rPr>
        <w:t>。</w:t>
      </w:r>
      <w:r>
        <w:rPr>
          <w:rFonts w:hint="eastAsia" w:hAnsi="Arial Narrow" w:eastAsia="仿宋_GB2312"/>
          <w:sz w:val="30"/>
          <w:szCs w:val="30"/>
        </w:rPr>
        <w:t>竞赛考核点、难度相同，各场次采用方案不同。</w:t>
      </w:r>
    </w:p>
    <w:p>
      <w:pPr>
        <w:snapToGrid w:val="0"/>
        <w:spacing w:line="560" w:lineRule="exact"/>
        <w:ind w:firstLine="602" w:firstLineChars="200"/>
        <w:rPr>
          <w:rFonts w:hAnsi="Arial Narrow" w:eastAsia="仿宋_GB2312"/>
          <w:b/>
          <w:sz w:val="30"/>
          <w:szCs w:val="30"/>
          <w:highlight w:val="yellow"/>
        </w:rPr>
      </w:pPr>
      <w:r>
        <w:rPr>
          <w:rFonts w:hint="eastAsia" w:hAnsi="Arial Narrow" w:eastAsia="仿宋_GB2312"/>
          <w:b/>
          <w:sz w:val="30"/>
          <w:szCs w:val="30"/>
        </w:rPr>
        <w:t>（五）过程性评判与结果性评判相结合。</w:t>
      </w:r>
      <w:r>
        <w:rPr>
          <w:rFonts w:hint="eastAsia" w:hAnsi="Arial Narrow" w:eastAsia="仿宋_GB2312"/>
          <w:sz w:val="30"/>
          <w:szCs w:val="30"/>
        </w:rPr>
        <w:t>赛项实践环节评判由过程性标准操作评判与结果性样品的精密度、准确度评判相结合，并以结果性评判为主。</w:t>
      </w:r>
    </w:p>
    <w:p>
      <w:pPr>
        <w:snapToGrid w:val="0"/>
        <w:spacing w:line="560" w:lineRule="exact"/>
        <w:ind w:firstLine="602" w:firstLineChars="200"/>
        <w:rPr>
          <w:rFonts w:hAnsi="Arial Narrow" w:eastAsia="仿宋_GB2312"/>
          <w:b/>
          <w:sz w:val="30"/>
          <w:szCs w:val="30"/>
        </w:rPr>
      </w:pPr>
      <w:r>
        <w:rPr>
          <w:rFonts w:hint="eastAsia" w:hAnsi="Arial Narrow" w:eastAsia="仿宋_GB2312"/>
          <w:b/>
          <w:sz w:val="30"/>
          <w:szCs w:val="30"/>
        </w:rPr>
        <w:t>（六）赛项资源转化。</w:t>
      </w:r>
      <w:r>
        <w:rPr>
          <w:rFonts w:hint="eastAsia" w:hAnsi="Arial Narrow" w:eastAsia="仿宋_GB2312"/>
          <w:sz w:val="30"/>
          <w:szCs w:val="30"/>
        </w:rPr>
        <w:t>经过赛项多年的办赛实施，已形成了竞赛公开出版题库、实践操作标准化视频、实践操作指导书，并获得五项仿真软件著作权。赛项资源已经广泛地应用于教学、竞赛、培训等各个领域，有效地推进了专业人才培养水平。</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六、竞赛内容简介（须附英文对照简介）</w:t>
      </w:r>
    </w:p>
    <w:p>
      <w:pPr>
        <w:tabs>
          <w:tab w:val="left" w:pos="6120"/>
        </w:tabs>
        <w:spacing w:line="560" w:lineRule="exact"/>
        <w:ind w:firstLine="600" w:firstLineChars="200"/>
        <w:rPr>
          <w:rFonts w:eastAsia="仿宋_GB2312"/>
          <w:sz w:val="30"/>
          <w:szCs w:val="30"/>
        </w:rPr>
      </w:pPr>
      <w:r>
        <w:rPr>
          <w:rFonts w:eastAsia="仿宋_GB2312"/>
          <w:sz w:val="30"/>
          <w:szCs w:val="30"/>
        </w:rPr>
        <w:t>本赛项按照企业岗位和职业标准要求，设定与生产紧密结合的赛题。理论知识考核依据公开出版的竞赛试题进行自动组卷</w:t>
      </w:r>
      <w:r>
        <w:rPr>
          <w:rFonts w:hint="eastAsia" w:eastAsia="仿宋_GB2312"/>
          <w:sz w:val="30"/>
          <w:szCs w:val="30"/>
        </w:rPr>
        <w:t>；</w:t>
      </w:r>
      <w:r>
        <w:rPr>
          <w:rFonts w:eastAsia="仿宋_GB2312"/>
          <w:sz w:val="30"/>
          <w:szCs w:val="30"/>
        </w:rPr>
        <w:t>仿真操作考核题目：液相色谱与质谱联用仿真考核——虚拟样品的定性和定量测定；</w:t>
      </w:r>
      <w:r>
        <w:rPr>
          <w:rFonts w:hint="eastAsia" w:eastAsia="仿宋_GB2312"/>
          <w:sz w:val="30"/>
          <w:szCs w:val="30"/>
        </w:rPr>
        <w:t>实践操作</w:t>
      </w:r>
      <w:r>
        <w:rPr>
          <w:rFonts w:eastAsia="仿宋_GB2312"/>
          <w:sz w:val="30"/>
          <w:szCs w:val="30"/>
        </w:rPr>
        <w:t>考核题目：未知试样</w:t>
      </w:r>
      <w:r>
        <w:rPr>
          <w:rFonts w:hint="eastAsia" w:eastAsia="仿宋_GB2312"/>
          <w:sz w:val="30"/>
          <w:szCs w:val="30"/>
        </w:rPr>
        <w:t>中</w:t>
      </w:r>
      <w:r>
        <w:rPr>
          <w:rFonts w:eastAsia="仿宋_GB2312"/>
          <w:sz w:val="30"/>
          <w:szCs w:val="30"/>
        </w:rPr>
        <w:t>铁含量</w:t>
      </w:r>
      <w:r>
        <w:rPr>
          <w:rFonts w:hint="eastAsia" w:eastAsia="仿宋_GB2312"/>
          <w:sz w:val="30"/>
          <w:szCs w:val="30"/>
        </w:rPr>
        <w:t>的测定。</w:t>
      </w:r>
      <w:r>
        <w:rPr>
          <w:rFonts w:eastAsia="仿宋_GB2312"/>
          <w:sz w:val="30"/>
          <w:szCs w:val="30"/>
        </w:rPr>
        <w:t>竞赛考核范围依据</w:t>
      </w:r>
      <w:r>
        <w:rPr>
          <w:rFonts w:hint="eastAsia" w:eastAsia="仿宋_GB2312"/>
          <w:sz w:val="30"/>
          <w:szCs w:val="30"/>
        </w:rPr>
        <w:t>高</w:t>
      </w:r>
      <w:r>
        <w:rPr>
          <w:rFonts w:eastAsia="仿宋_GB2312"/>
          <w:sz w:val="30"/>
          <w:szCs w:val="30"/>
        </w:rPr>
        <w:t>职工业分析技术专业人才培养目标能力要求确定。</w:t>
      </w:r>
    </w:p>
    <w:p>
      <w:pPr>
        <w:tabs>
          <w:tab w:val="left" w:pos="6120"/>
        </w:tabs>
        <w:spacing w:line="560" w:lineRule="exact"/>
        <w:ind w:firstLine="600" w:firstLineChars="200"/>
        <w:rPr>
          <w:rFonts w:eastAsia="仿宋_GB2312"/>
          <w:sz w:val="30"/>
          <w:szCs w:val="30"/>
        </w:rPr>
      </w:pPr>
      <w:r>
        <w:rPr>
          <w:rFonts w:eastAsia="仿宋_GB2312"/>
          <w:sz w:val="30"/>
          <w:szCs w:val="30"/>
        </w:rPr>
        <w:t>本赛项实践考核</w:t>
      </w:r>
      <w:r>
        <w:rPr>
          <w:rFonts w:hint="eastAsia" w:eastAsia="仿宋_GB2312"/>
          <w:sz w:val="30"/>
          <w:szCs w:val="30"/>
        </w:rPr>
        <w:t>紧密</w:t>
      </w:r>
      <w:r>
        <w:rPr>
          <w:rFonts w:eastAsia="仿宋_GB2312"/>
          <w:sz w:val="30"/>
          <w:szCs w:val="30"/>
        </w:rPr>
        <w:t>围绕人才培养能力要求</w:t>
      </w:r>
      <w:r>
        <w:rPr>
          <w:rFonts w:hint="eastAsia" w:eastAsia="仿宋_GB2312"/>
          <w:sz w:val="30"/>
          <w:szCs w:val="30"/>
        </w:rPr>
        <w:t>，</w:t>
      </w:r>
      <w:r>
        <w:rPr>
          <w:rFonts w:eastAsia="仿宋_GB2312"/>
          <w:sz w:val="30"/>
          <w:szCs w:val="30"/>
        </w:rPr>
        <w:t>突出考核化学分析和仪器分析能力</w:t>
      </w:r>
      <w:r>
        <w:rPr>
          <w:rFonts w:hint="eastAsia" w:eastAsia="仿宋_GB2312"/>
          <w:sz w:val="30"/>
          <w:szCs w:val="30"/>
        </w:rPr>
        <w:t>，</w:t>
      </w:r>
      <w:r>
        <w:rPr>
          <w:rFonts w:eastAsia="仿宋_GB2312"/>
          <w:sz w:val="30"/>
          <w:szCs w:val="30"/>
        </w:rPr>
        <w:t>在化学分析方面考核学生的样品称量技能</w:t>
      </w:r>
      <w:r>
        <w:rPr>
          <w:rFonts w:hint="eastAsia" w:eastAsia="仿宋_GB2312"/>
          <w:sz w:val="30"/>
          <w:szCs w:val="30"/>
        </w:rPr>
        <w:t>、标准溶液的配制能力、样品移取及滴定分析能力；在仪器分析方面考核学生的仪器操作能力、标准曲线绘制能力、未知物的定量能力。理论知识考核侧重基础理论、基础知识；仿真操作考核从大型分析仪器的仿真操作方面检验学生大型分析仪器使用及微量物质的检测能力。理论知识、仿真操作与实践操作考核互为补充，全面体现了专业人才培养目标要求。</w:t>
      </w:r>
    </w:p>
    <w:p>
      <w:pPr>
        <w:tabs>
          <w:tab w:val="left" w:pos="6120"/>
        </w:tabs>
        <w:spacing w:line="560" w:lineRule="exact"/>
        <w:ind w:firstLine="600" w:firstLineChars="200"/>
        <w:rPr>
          <w:rFonts w:eastAsia="仿宋_GB2312"/>
          <w:sz w:val="30"/>
          <w:szCs w:val="30"/>
        </w:rPr>
      </w:pPr>
      <w:r>
        <w:rPr>
          <w:rFonts w:eastAsia="仿宋_GB2312"/>
          <w:sz w:val="30"/>
          <w:szCs w:val="30"/>
        </w:rPr>
        <w:t>工业分析检验赛项始建于2006年，每年举办一次。2012年起该赛项纳入到教育部举办的全国职业院校技能竞赛。2018年参赛院校达到</w:t>
      </w:r>
      <w:r>
        <w:rPr>
          <w:rFonts w:hint="eastAsia" w:eastAsia="仿宋_GB2312"/>
          <w:sz w:val="30"/>
          <w:szCs w:val="30"/>
        </w:rPr>
        <w:t>58</w:t>
      </w:r>
      <w:r>
        <w:rPr>
          <w:rFonts w:eastAsia="仿宋_GB2312"/>
          <w:sz w:val="30"/>
          <w:szCs w:val="30"/>
        </w:rPr>
        <w:t>个单位，参赛选手</w:t>
      </w:r>
      <w:r>
        <w:rPr>
          <w:rFonts w:hint="eastAsia" w:eastAsia="仿宋_GB2312"/>
          <w:sz w:val="30"/>
          <w:szCs w:val="30"/>
        </w:rPr>
        <w:t>1</w:t>
      </w:r>
      <w:r>
        <w:rPr>
          <w:rFonts w:eastAsia="仿宋_GB2312"/>
          <w:sz w:val="30"/>
          <w:szCs w:val="30"/>
        </w:rPr>
        <w:t>1</w:t>
      </w:r>
      <w:r>
        <w:rPr>
          <w:rFonts w:hint="eastAsia" w:eastAsia="仿宋_GB2312"/>
          <w:sz w:val="30"/>
          <w:szCs w:val="30"/>
        </w:rPr>
        <w:t>6</w:t>
      </w:r>
      <w:r>
        <w:rPr>
          <w:rFonts w:eastAsia="仿宋_GB2312"/>
          <w:sz w:val="30"/>
          <w:szCs w:val="30"/>
        </w:rPr>
        <w:t>名。</w:t>
      </w:r>
    </w:p>
    <w:p>
      <w:pPr>
        <w:spacing w:line="560" w:lineRule="exact"/>
        <w:ind w:firstLine="600" w:firstLineChars="200"/>
        <w:rPr>
          <w:rFonts w:ascii="Times New Roman" w:hAnsi="Times New Roman" w:eastAsia="仿宋_GB2312"/>
          <w:color w:val="000000" w:themeColor="text1"/>
          <w:sz w:val="30"/>
          <w:szCs w:val="30"/>
          <w14:textFill>
            <w14:solidFill>
              <w14:schemeClr w14:val="tx1"/>
            </w14:solidFill>
          </w14:textFill>
        </w:rPr>
      </w:pPr>
      <w:r>
        <w:rPr>
          <w:rFonts w:ascii="Times New Roman" w:hAnsi="Times New Roman" w:eastAsia="仿宋_GB2312"/>
          <w:color w:val="000000" w:themeColor="text1"/>
          <w:sz w:val="30"/>
          <w:szCs w:val="30"/>
          <w14:textFill>
            <w14:solidFill>
              <w14:schemeClr w14:val="tx1"/>
            </w14:solidFill>
          </w14:textFill>
        </w:rPr>
        <w:t xml:space="preserve">The contest projects are set </w:t>
      </w:r>
      <w:r>
        <w:rPr>
          <w:rFonts w:hint="eastAsia" w:ascii="Times New Roman" w:hAnsi="Times New Roman" w:eastAsia="仿宋_GB2312"/>
          <w:color w:val="000000" w:themeColor="text1"/>
          <w:sz w:val="30"/>
          <w:szCs w:val="30"/>
          <w14:textFill>
            <w14:solidFill>
              <w14:schemeClr w14:val="tx1"/>
            </w14:solidFill>
          </w14:textFill>
        </w:rPr>
        <w:t>to</w:t>
      </w:r>
      <w:r>
        <w:rPr>
          <w:rFonts w:ascii="Times New Roman" w:hAnsi="Times New Roman" w:eastAsia="仿宋_GB2312"/>
          <w:color w:val="000000" w:themeColor="text1"/>
          <w:sz w:val="30"/>
          <w:szCs w:val="30"/>
          <w14:textFill>
            <w14:solidFill>
              <w14:schemeClr w14:val="tx1"/>
            </w14:solidFill>
          </w14:textFill>
        </w:rPr>
        <w:t xml:space="preserve"> simulating actual workplace condition</w:t>
      </w:r>
      <w:r>
        <w:rPr>
          <w:rFonts w:hint="eastAsia" w:ascii="Times New Roman" w:hAnsi="Times New Roman" w:eastAsia="仿宋_GB2312"/>
          <w:color w:val="000000" w:themeColor="text1"/>
          <w:sz w:val="30"/>
          <w:szCs w:val="30"/>
          <w14:textFill>
            <w14:solidFill>
              <w14:schemeClr w14:val="tx1"/>
            </w14:solidFill>
          </w14:textFill>
        </w:rPr>
        <w:t>s</w:t>
      </w:r>
      <w:r>
        <w:rPr>
          <w:rFonts w:ascii="Times New Roman" w:hAnsi="Times New Roman" w:eastAsia="仿宋_GB2312"/>
          <w:color w:val="000000" w:themeColor="text1"/>
          <w:sz w:val="30"/>
          <w:szCs w:val="30"/>
          <w14:textFill>
            <w14:solidFill>
              <w14:schemeClr w14:val="tx1"/>
            </w14:solidFill>
          </w14:textFill>
        </w:rPr>
        <w:t xml:space="preserve"> according to relevant occupation standards. Three events are included in this contest. The first section is theory test with the exam papers composed from public published contest questions book. The second section is </w:t>
      </w:r>
      <w:r>
        <w:rPr>
          <w:rFonts w:hint="eastAsia" w:ascii="Times New Roman" w:hAnsi="Times New Roman" w:eastAsia="仿宋_GB2312"/>
          <w:color w:val="000000" w:themeColor="text1"/>
          <w:sz w:val="30"/>
          <w:szCs w:val="30"/>
          <w14:textFill>
            <w14:solidFill>
              <w14:schemeClr w14:val="tx1"/>
            </w14:solidFill>
          </w14:textFill>
        </w:rPr>
        <w:t>to</w:t>
      </w:r>
      <w:r>
        <w:rPr>
          <w:rFonts w:ascii="Times New Roman" w:hAnsi="Times New Roman" w:eastAsia="仿宋_GB2312"/>
          <w:color w:val="000000" w:themeColor="text1"/>
          <w:sz w:val="30"/>
          <w:szCs w:val="30"/>
          <w14:textFill>
            <w14:solidFill>
              <w14:schemeClr w14:val="tx1"/>
            </w14:solidFill>
          </w14:textFill>
        </w:rPr>
        <w:t xml:space="preserve"> detect the ferric concentration of an unknown water sample with spectrophotometric method. The third section is instrumental analysis simulating examination, which requires contestants to operate a virtual liquid chromatography (LC) and mass spectrum（MS）for quantitative analysis.</w:t>
      </w:r>
      <w:r>
        <w:rPr>
          <w:rFonts w:ascii="Times New Roman" w:hAnsi="Times New Roman" w:eastAsia="Times New Roman"/>
          <w:color w:val="000000" w:themeColor="text1"/>
          <w:kern w:val="0"/>
          <w:sz w:val="28"/>
          <w:szCs w:val="28"/>
          <w14:textFill>
            <w14:solidFill>
              <w14:schemeClr w14:val="tx1"/>
            </w14:solidFill>
          </w14:textFill>
        </w:rPr>
        <w:t>The contest coverage is defined by the requirement for the objective skills of Industrial Analysis specialty.</w:t>
      </w:r>
    </w:p>
    <w:p>
      <w:pPr>
        <w:tabs>
          <w:tab w:val="left" w:pos="6120"/>
        </w:tabs>
        <w:spacing w:line="560" w:lineRule="exact"/>
        <w:ind w:firstLine="560" w:firstLineChars="200"/>
        <w:rPr>
          <w:rFonts w:ascii="Times New Roman" w:hAnsi="Times New Roman"/>
          <w:color w:val="000000" w:themeColor="text1"/>
          <w:kern w:val="0"/>
          <w:sz w:val="28"/>
          <w:szCs w:val="28"/>
          <w14:textFill>
            <w14:solidFill>
              <w14:schemeClr w14:val="tx1"/>
            </w14:solidFill>
          </w14:textFill>
        </w:rPr>
      </w:pPr>
      <w:r>
        <w:rPr>
          <w:rFonts w:hint="eastAsia" w:ascii="Times New Roman" w:hAnsi="Times New Roman"/>
          <w:color w:val="000000" w:themeColor="text1"/>
          <w:kern w:val="0"/>
          <w:sz w:val="28"/>
          <w:szCs w:val="28"/>
          <w14:textFill>
            <w14:solidFill>
              <w14:schemeClr w14:val="tx1"/>
            </w14:solidFill>
          </w14:textFill>
        </w:rPr>
        <w:t xml:space="preserve">The competition </w:t>
      </w:r>
      <w:r>
        <w:rPr>
          <w:rFonts w:ascii="Times New Roman" w:hAnsi="Times New Roman"/>
          <w:color w:val="000000" w:themeColor="text1"/>
          <w:kern w:val="0"/>
          <w:sz w:val="28"/>
          <w:szCs w:val="28"/>
          <w14:textFill>
            <w14:solidFill>
              <w14:schemeClr w14:val="tx1"/>
            </w14:solidFill>
          </w14:textFill>
        </w:rPr>
        <w:t xml:space="preserve">places emphaisis on the skills of chemical analysis and instrumental analysis. The examination of chemical analysis includes accurately weighting of samples, preparation of standard solutions, sampling and titration. The examination of instrumental analysis includes operation of various instruments, preparation of standard solution, quantifying of a unkown sample. Foundamental knowledge is emphasized in the theory examination section. The skills of instrument operation and analysis of trace matters are examninated in the section of </w:t>
      </w:r>
      <w:r>
        <w:rPr>
          <w:rFonts w:ascii="Times New Roman" w:hAnsi="Times New Roman" w:eastAsia="仿宋_GB2312"/>
          <w:color w:val="000000" w:themeColor="text1"/>
          <w:sz w:val="30"/>
          <w:szCs w:val="30"/>
          <w14:textFill>
            <w14:solidFill>
              <w14:schemeClr w14:val="tx1"/>
            </w14:solidFill>
          </w14:textFill>
        </w:rPr>
        <w:t>simulating manipulation.</w:t>
      </w:r>
    </w:p>
    <w:p>
      <w:pPr>
        <w:tabs>
          <w:tab w:val="left" w:pos="6120"/>
        </w:tabs>
        <w:spacing w:line="560" w:lineRule="exact"/>
        <w:ind w:firstLine="560" w:firstLineChars="200"/>
        <w:rPr>
          <w:rFonts w:ascii="Times New Roman" w:hAnsi="Times New Roman" w:eastAsia="Times New Roman"/>
          <w:color w:val="000000" w:themeColor="text1"/>
          <w:kern w:val="0"/>
          <w:sz w:val="28"/>
          <w:szCs w:val="28"/>
          <w14:textFill>
            <w14:solidFill>
              <w14:schemeClr w14:val="tx1"/>
            </w14:solidFill>
          </w14:textFill>
        </w:rPr>
      </w:pPr>
      <w:r>
        <w:rPr>
          <w:rFonts w:ascii="Times New Roman" w:hAnsi="Times New Roman" w:eastAsia="Times New Roman"/>
          <w:color w:val="000000" w:themeColor="text1"/>
          <w:kern w:val="0"/>
          <w:sz w:val="28"/>
          <w:szCs w:val="28"/>
          <w14:textFill>
            <w14:solidFill>
              <w14:schemeClr w14:val="tx1"/>
            </w14:solidFill>
          </w14:textFill>
        </w:rPr>
        <w:t xml:space="preserve">Skills Competition of Industrial Analysis and Testing was initially built in 2006, from then on, was held yearly. In 2012, it was brought into the Skills Competitions of National Occupational Colleges, which is held by the Ministry of Education. The number of participants reached </w:t>
      </w:r>
      <w:r>
        <w:rPr>
          <w:rFonts w:ascii="Times New Roman" w:hAnsi="Times New Roman" w:eastAsia="等线"/>
          <w:color w:val="000000" w:themeColor="text1"/>
          <w:kern w:val="0"/>
          <w:sz w:val="28"/>
          <w:szCs w:val="28"/>
          <w14:textFill>
            <w14:solidFill>
              <w14:schemeClr w14:val="tx1"/>
            </w14:solidFill>
          </w14:textFill>
        </w:rPr>
        <w:t>5</w:t>
      </w:r>
      <w:r>
        <w:rPr>
          <w:rFonts w:hint="eastAsia" w:ascii="Times New Roman" w:hAnsi="Times New Roman" w:eastAsia="等线"/>
          <w:color w:val="000000" w:themeColor="text1"/>
          <w:kern w:val="0"/>
          <w:sz w:val="28"/>
          <w:szCs w:val="28"/>
          <w14:textFill>
            <w14:solidFill>
              <w14:schemeClr w14:val="tx1"/>
            </w14:solidFill>
          </w14:textFill>
        </w:rPr>
        <w:t>8</w:t>
      </w:r>
      <w:r>
        <w:rPr>
          <w:rFonts w:ascii="Times New Roman" w:hAnsi="Times New Roman" w:eastAsia="Times New Roman"/>
          <w:color w:val="000000" w:themeColor="text1"/>
          <w:kern w:val="0"/>
          <w:sz w:val="28"/>
          <w:szCs w:val="28"/>
          <w14:textFill>
            <w14:solidFill>
              <w14:schemeClr w14:val="tx1"/>
            </w14:solidFill>
          </w14:textFill>
        </w:rPr>
        <w:t xml:space="preserve"> and there were </w:t>
      </w:r>
      <w:r>
        <w:rPr>
          <w:rFonts w:ascii="Times New Roman" w:hAnsi="Times New Roman" w:eastAsia="等线"/>
          <w:color w:val="000000" w:themeColor="text1"/>
          <w:kern w:val="0"/>
          <w:sz w:val="28"/>
          <w:szCs w:val="28"/>
          <w14:textFill>
            <w14:solidFill>
              <w14:schemeClr w14:val="tx1"/>
            </w14:solidFill>
          </w14:textFill>
        </w:rPr>
        <w:t>11</w:t>
      </w:r>
      <w:r>
        <w:rPr>
          <w:rFonts w:hint="eastAsia" w:ascii="Times New Roman" w:hAnsi="Times New Roman" w:eastAsia="等线"/>
          <w:color w:val="000000" w:themeColor="text1"/>
          <w:kern w:val="0"/>
          <w:sz w:val="28"/>
          <w:szCs w:val="28"/>
          <w14:textFill>
            <w14:solidFill>
              <w14:schemeClr w14:val="tx1"/>
            </w14:solidFill>
          </w14:textFill>
        </w:rPr>
        <w:t>6</w:t>
      </w:r>
      <w:r>
        <w:rPr>
          <w:rFonts w:ascii="Times New Roman" w:hAnsi="Times New Roman" w:eastAsia="等线"/>
          <w:color w:val="000000" w:themeColor="text1"/>
          <w:kern w:val="0"/>
          <w:sz w:val="28"/>
          <w:szCs w:val="28"/>
          <w14:textFill>
            <w14:solidFill>
              <w14:schemeClr w14:val="tx1"/>
            </w14:solidFill>
          </w14:textFill>
        </w:rPr>
        <w:t xml:space="preserve"> </w:t>
      </w:r>
      <w:r>
        <w:rPr>
          <w:rFonts w:ascii="Times New Roman" w:hAnsi="Times New Roman" w:eastAsia="Times New Roman"/>
          <w:color w:val="000000" w:themeColor="text1"/>
          <w:kern w:val="0"/>
          <w:sz w:val="28"/>
          <w:szCs w:val="28"/>
          <w14:textFill>
            <w14:solidFill>
              <w14:schemeClr w14:val="tx1"/>
            </w14:solidFill>
          </w14:textFill>
        </w:rPr>
        <w:t>contestants in this Skills Competition in 201</w:t>
      </w:r>
      <w:r>
        <w:rPr>
          <w:rFonts w:ascii="Times New Roman" w:hAnsi="Times New Roman"/>
          <w:color w:val="000000" w:themeColor="text1"/>
          <w:kern w:val="0"/>
          <w:sz w:val="28"/>
          <w:szCs w:val="28"/>
          <w14:textFill>
            <w14:solidFill>
              <w14:schemeClr w14:val="tx1"/>
            </w14:solidFill>
          </w14:textFill>
        </w:rPr>
        <w:t>8</w:t>
      </w:r>
      <w:r>
        <w:rPr>
          <w:rFonts w:ascii="Times New Roman" w:hAnsi="Times New Roman" w:eastAsia="Times New Roman"/>
          <w:color w:val="000000" w:themeColor="text1"/>
          <w:kern w:val="0"/>
          <w:sz w:val="28"/>
          <w:szCs w:val="28"/>
          <w14:textFill>
            <w14:solidFill>
              <w14:schemeClr w14:val="tx1"/>
            </w14:solidFill>
          </w14:textFill>
        </w:rPr>
        <w:t>.</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七、竞赛方式（含组队要求、是否邀请境外代表队参赛）</w:t>
      </w:r>
    </w:p>
    <w:p>
      <w:pPr>
        <w:tabs>
          <w:tab w:val="left" w:pos="6120"/>
        </w:tabs>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（一）竞赛以团队方式进行，统计参赛队的总成绩进行排序。</w:t>
      </w:r>
    </w:p>
    <w:p>
      <w:pPr>
        <w:tabs>
          <w:tab w:val="left" w:pos="6120"/>
        </w:tabs>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（二）参赛队伍组成：每个参赛队由</w:t>
      </w:r>
      <w:r>
        <w:rPr>
          <w:rFonts w:ascii="Times New Roman" w:hAnsi="Times New Roman" w:eastAsia="仿宋_GB2312"/>
          <w:sz w:val="30"/>
          <w:szCs w:val="30"/>
        </w:rPr>
        <w:t>2</w:t>
      </w:r>
      <w:r>
        <w:rPr>
          <w:rFonts w:hint="eastAsia" w:ascii="Times New Roman" w:hAnsi="Times New Roman" w:eastAsia="仿宋_GB2312"/>
          <w:sz w:val="30"/>
          <w:szCs w:val="30"/>
        </w:rPr>
        <w:t>名选手组成，男女不限。每队选手由同一所学校组成，不能跨校组队。所有参赛选手必须参加理论知识、仿真操作及实践操作考核。竞赛分别计算个人成绩和团体成绩。</w:t>
      </w:r>
    </w:p>
    <w:p>
      <w:pPr>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（三）竞赛采取多场次进行，各队选手参赛场次按参赛队报名顺序确定。</w:t>
      </w:r>
    </w:p>
    <w:p>
      <w:pPr>
        <w:tabs>
          <w:tab w:val="left" w:pos="6120"/>
        </w:tabs>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（四）赛场的赛位统一编制。参赛队技能操作比赛前</w:t>
      </w:r>
      <w:r>
        <w:rPr>
          <w:rFonts w:ascii="Times New Roman" w:hAnsi="Times New Roman" w:eastAsia="仿宋_GB2312"/>
          <w:sz w:val="30"/>
          <w:szCs w:val="30"/>
        </w:rPr>
        <w:t>45</w:t>
      </w:r>
      <w:r>
        <w:rPr>
          <w:rFonts w:hint="eastAsia" w:ascii="Times New Roman" w:hAnsi="Times New Roman" w:eastAsia="仿宋_GB2312"/>
          <w:sz w:val="30"/>
          <w:szCs w:val="30"/>
        </w:rPr>
        <w:t>分钟到指定地点检录，经</w:t>
      </w:r>
      <w:r>
        <w:rPr>
          <w:rFonts w:ascii="Times New Roman" w:hAnsi="Times New Roman" w:eastAsia="仿宋_GB2312"/>
          <w:sz w:val="30"/>
          <w:szCs w:val="30"/>
        </w:rPr>
        <w:t>2</w:t>
      </w:r>
      <w:r>
        <w:rPr>
          <w:rFonts w:hint="eastAsia" w:ascii="Times New Roman" w:hAnsi="Times New Roman" w:eastAsia="仿宋_GB2312"/>
          <w:sz w:val="30"/>
          <w:szCs w:val="30"/>
        </w:rPr>
        <w:t>次加密抽签决定赛位号，抽签结束后，随即按照抽取的赛位号进场，然后在对应的赛位上完成竞赛规定的工作任务。赛位号不对外公布，抽签结果密封后统一保管，在评分结束后开封统计成绩。</w:t>
      </w:r>
    </w:p>
    <w:p>
      <w:pPr>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理论知识与仿真操作考核，参赛选手开赛前</w:t>
      </w:r>
      <w:r>
        <w:rPr>
          <w:rFonts w:ascii="Times New Roman" w:hAnsi="Times New Roman" w:eastAsia="仿宋_GB2312"/>
          <w:sz w:val="30"/>
          <w:szCs w:val="30"/>
        </w:rPr>
        <w:t>20</w:t>
      </w:r>
      <w:r>
        <w:rPr>
          <w:rFonts w:hint="eastAsia" w:ascii="Times New Roman" w:hAnsi="Times New Roman" w:eastAsia="仿宋_GB2312"/>
          <w:sz w:val="30"/>
          <w:szCs w:val="30"/>
        </w:rPr>
        <w:t>分钟凭参赛证、身份证，经2次抽签进入赛场。</w:t>
      </w:r>
    </w:p>
    <w:p>
      <w:pPr>
        <w:tabs>
          <w:tab w:val="left" w:pos="6120"/>
        </w:tabs>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（五）本赛项</w:t>
      </w:r>
      <w:r>
        <w:rPr>
          <w:rFonts w:ascii="Times New Roman" w:hAnsi="Times New Roman" w:eastAsia="仿宋_GB2312"/>
          <w:sz w:val="30"/>
          <w:szCs w:val="30"/>
        </w:rPr>
        <w:t>2019</w:t>
      </w:r>
      <w:r>
        <w:rPr>
          <w:rFonts w:hint="eastAsia" w:ascii="Times New Roman" w:hAnsi="Times New Roman" w:eastAsia="仿宋_GB2312"/>
          <w:sz w:val="30"/>
          <w:szCs w:val="30"/>
        </w:rPr>
        <w:t>年不邀请国际团队参赛，欢迎国际团队到场观摩比赛。</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八、竞赛时间安排与流程</w:t>
      </w:r>
    </w:p>
    <w:p>
      <w:pPr>
        <w:tabs>
          <w:tab w:val="left" w:pos="6120"/>
        </w:tabs>
        <w:spacing w:line="560" w:lineRule="exact"/>
        <w:ind w:firstLine="600" w:firstLineChars="200"/>
        <w:rPr>
          <w:rFonts w:eastAsia="仿宋_GB2312"/>
          <w:color w:val="000000" w:themeColor="text1"/>
          <w:sz w:val="30"/>
          <w:szCs w:val="30"/>
          <w14:textFill>
            <w14:solidFill>
              <w14:schemeClr w14:val="tx1"/>
            </w14:solidFill>
          </w14:textFill>
        </w:rPr>
      </w:pPr>
      <w:bookmarkStart w:id="0" w:name="_Toc414794752"/>
      <w:bookmarkStart w:id="1" w:name="_Toc468132900"/>
      <w:r>
        <w:rPr>
          <w:rFonts w:eastAsia="仿宋_GB2312"/>
          <w:color w:val="000000" w:themeColor="text1"/>
          <w:sz w:val="30"/>
          <w:szCs w:val="30"/>
          <w14:textFill>
            <w14:solidFill>
              <w14:schemeClr w14:val="tx1"/>
            </w14:solidFill>
          </w14:textFill>
        </w:rPr>
        <w:t>竞赛时间安排</w:t>
      </w:r>
      <w:r>
        <w:rPr>
          <w:rFonts w:hint="eastAsia" w:eastAsia="仿宋_GB2312"/>
          <w:color w:val="000000" w:themeColor="text1"/>
          <w:sz w:val="30"/>
          <w:szCs w:val="30"/>
          <w14:textFill>
            <w14:solidFill>
              <w14:schemeClr w14:val="tx1"/>
            </w14:solidFill>
          </w14:textFill>
        </w:rPr>
        <w:t>：</w:t>
      </w:r>
      <w:r>
        <w:rPr>
          <w:rFonts w:eastAsia="仿宋_GB2312"/>
          <w:color w:val="000000" w:themeColor="text1"/>
          <w:sz w:val="30"/>
          <w:szCs w:val="30"/>
          <w14:textFill>
            <w14:solidFill>
              <w14:schemeClr w14:val="tx1"/>
            </w14:solidFill>
          </w14:textFill>
        </w:rPr>
        <w:t>报到时间1天，比赛时间为2天。</w:t>
      </w:r>
    </w:p>
    <w:p>
      <w:pPr>
        <w:tabs>
          <w:tab w:val="left" w:pos="6120"/>
        </w:tabs>
        <w:spacing w:line="560" w:lineRule="exact"/>
        <w:ind w:firstLine="600" w:firstLineChars="200"/>
        <w:rPr>
          <w:rFonts w:eastAsia="仿宋_GB2312"/>
          <w:color w:val="000000" w:themeColor="text1"/>
          <w:sz w:val="30"/>
          <w:szCs w:val="30"/>
          <w14:textFill>
            <w14:solidFill>
              <w14:schemeClr w14:val="tx1"/>
            </w14:solidFill>
          </w14:textFill>
        </w:rPr>
      </w:pPr>
      <w:r>
        <w:rPr>
          <w:rFonts w:eastAsia="仿宋_GB2312"/>
          <w:color w:val="000000" w:themeColor="text1"/>
          <w:sz w:val="30"/>
          <w:szCs w:val="30"/>
          <w14:textFill>
            <w14:solidFill>
              <w14:schemeClr w14:val="tx1"/>
            </w14:solidFill>
          </w14:textFill>
        </w:rPr>
        <w:t>理论知识与仿真操作考核</w:t>
      </w:r>
      <w:r>
        <w:rPr>
          <w:rFonts w:hint="eastAsia" w:eastAsia="仿宋_GB2312"/>
          <w:color w:val="000000" w:themeColor="text1"/>
          <w:sz w:val="30"/>
          <w:szCs w:val="30"/>
          <w14:textFill>
            <w14:solidFill>
              <w14:schemeClr w14:val="tx1"/>
            </w14:solidFill>
          </w14:textFill>
        </w:rPr>
        <w:t>安排在上午进行；实践</w:t>
      </w:r>
      <w:r>
        <w:rPr>
          <w:rFonts w:eastAsia="仿宋_GB2312"/>
          <w:color w:val="000000" w:themeColor="text1"/>
          <w:sz w:val="30"/>
          <w:szCs w:val="30"/>
          <w14:textFill>
            <w14:solidFill>
              <w14:schemeClr w14:val="tx1"/>
            </w14:solidFill>
          </w14:textFill>
        </w:rPr>
        <w:t>操作考核安排上午</w:t>
      </w:r>
      <w:r>
        <w:rPr>
          <w:rFonts w:hint="eastAsia" w:eastAsia="仿宋_GB2312"/>
          <w:color w:val="000000" w:themeColor="text1"/>
          <w:sz w:val="30"/>
          <w:szCs w:val="30"/>
          <w14:textFill>
            <w14:solidFill>
              <w14:schemeClr w14:val="tx1"/>
            </w14:solidFill>
          </w14:textFill>
        </w:rPr>
        <w:t>、</w:t>
      </w:r>
      <w:r>
        <w:rPr>
          <w:rFonts w:eastAsia="仿宋_GB2312"/>
          <w:color w:val="000000" w:themeColor="text1"/>
          <w:sz w:val="30"/>
          <w:szCs w:val="30"/>
          <w14:textFill>
            <w14:solidFill>
              <w14:schemeClr w14:val="tx1"/>
            </w14:solidFill>
          </w14:textFill>
        </w:rPr>
        <w:t>下午各进行一场考核。</w:t>
      </w:r>
    </w:p>
    <w:p>
      <w:pPr>
        <w:snapToGrid w:val="0"/>
        <w:spacing w:line="560" w:lineRule="exact"/>
        <w:ind w:firstLine="602" w:firstLineChars="200"/>
        <w:outlineLvl w:val="1"/>
        <w:rPr>
          <w:rFonts w:ascii="Arial Narrow" w:hAnsi="Arial Narrow" w:eastAsia="仿宋_GB2312" w:cs="Arial"/>
          <w:b/>
          <w:color w:val="000000" w:themeColor="text1"/>
          <w:sz w:val="30"/>
          <w:szCs w:val="30"/>
          <w14:textFill>
            <w14:solidFill>
              <w14:schemeClr w14:val="tx1"/>
            </w14:solidFill>
          </w14:textFill>
        </w:rPr>
      </w:pPr>
      <w:r>
        <w:rPr>
          <w:rFonts w:ascii="Arial Narrow" w:hAnsi="Arial Narrow" w:eastAsia="仿宋_GB2312" w:cs="Arial"/>
          <w:b/>
          <w:color w:val="000000" w:themeColor="text1"/>
          <w:sz w:val="30"/>
          <w:szCs w:val="30"/>
          <w14:textFill>
            <w14:solidFill>
              <w14:schemeClr w14:val="tx1"/>
            </w14:solidFill>
          </w14:textFill>
        </w:rPr>
        <w:t>（一）竞赛流程</w:t>
      </w:r>
      <w:bookmarkEnd w:id="0"/>
      <w:bookmarkEnd w:id="1"/>
    </w:p>
    <w:p>
      <w:pPr>
        <w:tabs>
          <w:tab w:val="left" w:pos="6120"/>
        </w:tabs>
        <w:spacing w:line="560" w:lineRule="exact"/>
        <w:ind w:firstLine="600" w:firstLineChars="200"/>
        <w:rPr>
          <w:rFonts w:eastAsia="仿宋_GB2312"/>
          <w:sz w:val="30"/>
          <w:szCs w:val="30"/>
        </w:rPr>
      </w:pPr>
      <w:r>
        <w:rPr>
          <w:rFonts w:eastAsia="仿宋_GB2312"/>
          <w:sz w:val="30"/>
          <w:szCs w:val="30"/>
        </w:rPr>
        <w:t>每位选手分别完成理论知识与仿真操作考核、实践</w:t>
      </w:r>
      <w:r>
        <w:rPr>
          <w:rFonts w:hint="eastAsia" w:eastAsia="仿宋_GB2312"/>
          <w:sz w:val="30"/>
          <w:szCs w:val="30"/>
        </w:rPr>
        <w:t>操作</w:t>
      </w:r>
      <w:r>
        <w:rPr>
          <w:rFonts w:eastAsia="仿宋_GB2312"/>
          <w:sz w:val="30"/>
          <w:szCs w:val="30"/>
        </w:rPr>
        <w:t>考核3个项目。首先完成理论知识与仿真操作考核，</w:t>
      </w:r>
      <w:r>
        <w:rPr>
          <w:rFonts w:hint="eastAsia" w:eastAsia="仿宋_GB2312"/>
          <w:sz w:val="30"/>
          <w:szCs w:val="30"/>
        </w:rPr>
        <w:t>实践</w:t>
      </w:r>
      <w:r>
        <w:rPr>
          <w:rFonts w:eastAsia="仿宋_GB2312"/>
          <w:sz w:val="30"/>
          <w:szCs w:val="30"/>
        </w:rPr>
        <w:t>操作考核的先后次序由院校报名顺序抽签决定。</w:t>
      </w:r>
    </w:p>
    <w:p>
      <w:pPr>
        <w:tabs>
          <w:tab w:val="left" w:pos="6120"/>
        </w:tabs>
        <w:jc w:val="center"/>
        <w:rPr>
          <w:rFonts w:eastAsia="仿宋_GB2312"/>
          <w:sz w:val="30"/>
          <w:szCs w:val="30"/>
        </w:rPr>
      </w:pPr>
      <w:r>
        <w:rPr>
          <w:rFonts w:eastAsia="仿宋_GB2312"/>
          <w:sz w:val="30"/>
          <w:szCs w:val="30"/>
        </w:rPr>
        <w:drawing>
          <wp:inline distT="0" distB="0" distL="0" distR="0">
            <wp:extent cx="5274310" cy="1310005"/>
            <wp:effectExtent l="0" t="0" r="2540" b="4445"/>
            <wp:docPr id="2" name="图片 2" descr="C:\Users\CY\Desktop\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CY\Desktop\图片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74310" cy="1310240"/>
                    </a:xfrm>
                    <a:prstGeom prst="rect">
                      <a:avLst/>
                    </a:prstGeom>
                    <a:noFill/>
                    <a:ln>
                      <a:noFill/>
                    </a:ln>
                  </pic:spPr>
                </pic:pic>
              </a:graphicData>
            </a:graphic>
          </wp:inline>
        </w:drawing>
      </w:r>
    </w:p>
    <w:p>
      <w:pPr>
        <w:snapToGrid w:val="0"/>
        <w:spacing w:line="560" w:lineRule="exact"/>
        <w:ind w:firstLine="602" w:firstLineChars="200"/>
        <w:outlineLvl w:val="1"/>
        <w:rPr>
          <w:rFonts w:ascii="Arial Narrow" w:hAnsi="Arial Narrow" w:eastAsia="仿宋_GB2312" w:cs="Arial"/>
          <w:b/>
          <w:color w:val="000000" w:themeColor="text1"/>
          <w:sz w:val="30"/>
          <w:szCs w:val="30"/>
          <w14:textFill>
            <w14:solidFill>
              <w14:schemeClr w14:val="tx1"/>
            </w14:solidFill>
          </w14:textFill>
        </w:rPr>
      </w:pPr>
      <w:bookmarkStart w:id="2" w:name="_Toc414794753"/>
      <w:bookmarkStart w:id="3" w:name="_Toc468132901"/>
      <w:r>
        <w:rPr>
          <w:rFonts w:hint="eastAsia" w:ascii="Arial Narrow" w:hAnsi="Arial Narrow" w:eastAsia="仿宋_GB2312" w:cs="Arial"/>
          <w:b/>
          <w:color w:val="000000" w:themeColor="text1"/>
          <w:sz w:val="30"/>
          <w:szCs w:val="30"/>
          <w14:textFill>
            <w14:solidFill>
              <w14:schemeClr w14:val="tx1"/>
            </w14:solidFill>
          </w14:textFill>
        </w:rPr>
        <w:t>（二）具体时间安排</w:t>
      </w:r>
      <w:bookmarkEnd w:id="2"/>
      <w:bookmarkEnd w:id="3"/>
    </w:p>
    <w:p>
      <w:pPr>
        <w:tabs>
          <w:tab w:val="left" w:pos="6120"/>
        </w:tabs>
        <w:spacing w:line="560" w:lineRule="exact"/>
        <w:ind w:firstLine="600" w:firstLineChars="200"/>
        <w:rPr>
          <w:rFonts w:eastAsia="仿宋_GB2312"/>
          <w:color w:val="000000" w:themeColor="text1"/>
          <w:sz w:val="30"/>
          <w:szCs w:val="30"/>
          <w14:textFill>
            <w14:solidFill>
              <w14:schemeClr w14:val="tx1"/>
            </w14:solidFill>
          </w14:textFill>
        </w:rPr>
      </w:pPr>
      <w:r>
        <w:rPr>
          <w:rFonts w:eastAsia="仿宋_GB2312"/>
          <w:color w:val="000000" w:themeColor="text1"/>
          <w:sz w:val="30"/>
          <w:szCs w:val="30"/>
          <w14:textFill>
            <w14:solidFill>
              <w14:schemeClr w14:val="tx1"/>
            </w14:solidFill>
          </w14:textFill>
        </w:rPr>
        <w:t>具体时间安排见下表：</w:t>
      </w:r>
    </w:p>
    <w:tbl>
      <w:tblPr>
        <w:tblStyle w:val="13"/>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3210"/>
        <w:gridCol w:w="4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170" w:type="dxa"/>
            <w:vAlign w:val="center"/>
          </w:tcPr>
          <w:p>
            <w:pPr>
              <w:jc w:val="center"/>
              <w:rPr>
                <w:rFonts w:ascii="Times New Roman" w:hAnsi="Times New Roman" w:eastAsiaTheme="minorEastAsia"/>
                <w:sz w:val="24"/>
                <w:szCs w:val="24"/>
              </w:rPr>
            </w:pPr>
            <w:r>
              <w:rPr>
                <w:rFonts w:hint="eastAsia" w:ascii="Times New Roman" w:hAnsi="Times New Roman" w:eastAsiaTheme="minorEastAsia"/>
                <w:sz w:val="24"/>
                <w:szCs w:val="24"/>
              </w:rPr>
              <w:t>日期</w:t>
            </w:r>
          </w:p>
        </w:tc>
        <w:tc>
          <w:tcPr>
            <w:tcW w:w="3210" w:type="dxa"/>
            <w:vAlign w:val="center"/>
          </w:tcPr>
          <w:p>
            <w:pPr>
              <w:jc w:val="center"/>
              <w:rPr>
                <w:rFonts w:ascii="Times New Roman" w:hAnsi="Times New Roman" w:eastAsiaTheme="minorEastAsia"/>
                <w:sz w:val="24"/>
                <w:szCs w:val="24"/>
              </w:rPr>
            </w:pPr>
            <w:r>
              <w:rPr>
                <w:rFonts w:hint="eastAsia" w:ascii="Times New Roman" w:hAnsi="Times New Roman" w:eastAsiaTheme="minorEastAsia"/>
                <w:sz w:val="24"/>
                <w:szCs w:val="24"/>
              </w:rPr>
              <w:t>时间</w:t>
            </w:r>
          </w:p>
        </w:tc>
        <w:tc>
          <w:tcPr>
            <w:tcW w:w="4139" w:type="dxa"/>
            <w:vAlign w:val="center"/>
          </w:tcPr>
          <w:p>
            <w:pPr>
              <w:jc w:val="center"/>
              <w:rPr>
                <w:rFonts w:ascii="Times New Roman" w:hAnsi="Times New Roman" w:eastAsiaTheme="minorEastAsia"/>
                <w:sz w:val="24"/>
                <w:szCs w:val="24"/>
              </w:rPr>
            </w:pPr>
            <w:r>
              <w:rPr>
                <w:rFonts w:hint="eastAsia" w:ascii="Times New Roman" w:hAnsi="Times New Roman" w:eastAsiaTheme="minorEastAsia"/>
                <w:sz w:val="24"/>
                <w:szCs w:val="24"/>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1170" w:type="dxa"/>
            <w:vMerge w:val="restart"/>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第一天</w:t>
            </w:r>
          </w:p>
        </w:tc>
        <w:tc>
          <w:tcPr>
            <w:tcW w:w="3210"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全天</w:t>
            </w:r>
          </w:p>
        </w:tc>
        <w:tc>
          <w:tcPr>
            <w:tcW w:w="4139"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参赛队报到，安排住宿、发放参赛证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1170" w:type="dxa"/>
            <w:vMerge w:val="continue"/>
            <w:vAlign w:val="center"/>
          </w:tcPr>
          <w:p>
            <w:pPr>
              <w:jc w:val="center"/>
              <w:rPr>
                <w:rFonts w:ascii="Times New Roman" w:hAnsi="Times New Roman" w:eastAsiaTheme="minorEastAsia"/>
                <w:sz w:val="24"/>
                <w:szCs w:val="24"/>
              </w:rPr>
            </w:pPr>
          </w:p>
        </w:tc>
        <w:tc>
          <w:tcPr>
            <w:tcW w:w="3210"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全天（部分裁判提前一天）</w:t>
            </w:r>
          </w:p>
        </w:tc>
        <w:tc>
          <w:tcPr>
            <w:tcW w:w="4139"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裁判员报到，熟悉比赛评分细则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Theme="minorEastAsia"/>
                <w:sz w:val="24"/>
                <w:szCs w:val="24"/>
              </w:rPr>
            </w:pPr>
          </w:p>
        </w:tc>
        <w:tc>
          <w:tcPr>
            <w:tcW w:w="3210"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15:00～16:30</w:t>
            </w:r>
          </w:p>
        </w:tc>
        <w:tc>
          <w:tcPr>
            <w:tcW w:w="4139"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领队会议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Theme="minorEastAsia"/>
                <w:sz w:val="24"/>
                <w:szCs w:val="24"/>
              </w:rPr>
            </w:pPr>
          </w:p>
        </w:tc>
        <w:tc>
          <w:tcPr>
            <w:tcW w:w="3210"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18:30～21:30</w:t>
            </w:r>
          </w:p>
        </w:tc>
        <w:tc>
          <w:tcPr>
            <w:tcW w:w="4139"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裁判员培训会议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170" w:type="dxa"/>
            <w:vMerge w:val="restart"/>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第二天</w:t>
            </w:r>
          </w:p>
        </w:tc>
        <w:tc>
          <w:tcPr>
            <w:tcW w:w="3210"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8:00～9:00</w:t>
            </w:r>
          </w:p>
        </w:tc>
        <w:tc>
          <w:tcPr>
            <w:tcW w:w="4139"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选手熟悉比赛赛场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Theme="minorEastAsia"/>
                <w:sz w:val="24"/>
                <w:szCs w:val="24"/>
              </w:rPr>
            </w:pPr>
          </w:p>
        </w:tc>
        <w:tc>
          <w:tcPr>
            <w:tcW w:w="3210"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9:00～10:00</w:t>
            </w:r>
          </w:p>
        </w:tc>
        <w:tc>
          <w:tcPr>
            <w:tcW w:w="4139"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开赛式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Theme="minorEastAsia"/>
                <w:sz w:val="24"/>
                <w:szCs w:val="24"/>
              </w:rPr>
            </w:pPr>
          </w:p>
        </w:tc>
        <w:tc>
          <w:tcPr>
            <w:tcW w:w="3210"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10:00～10:15</w:t>
            </w:r>
          </w:p>
        </w:tc>
        <w:tc>
          <w:tcPr>
            <w:tcW w:w="4139"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理论与仿真考核检录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Theme="minorEastAsia"/>
                <w:sz w:val="24"/>
                <w:szCs w:val="24"/>
              </w:rPr>
            </w:pPr>
          </w:p>
        </w:tc>
        <w:tc>
          <w:tcPr>
            <w:tcW w:w="3210"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10:20～12:00</w:t>
            </w:r>
          </w:p>
        </w:tc>
        <w:tc>
          <w:tcPr>
            <w:tcW w:w="4139"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理论与仿真考核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Theme="minorEastAsia"/>
                <w:sz w:val="24"/>
                <w:szCs w:val="24"/>
              </w:rPr>
            </w:pPr>
          </w:p>
        </w:tc>
        <w:tc>
          <w:tcPr>
            <w:tcW w:w="3210"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13:00</w:t>
            </w:r>
          </w:p>
        </w:tc>
        <w:tc>
          <w:tcPr>
            <w:tcW w:w="4139"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实践操作检录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Theme="minorEastAsia"/>
                <w:sz w:val="24"/>
                <w:szCs w:val="24"/>
              </w:rPr>
            </w:pPr>
          </w:p>
        </w:tc>
        <w:tc>
          <w:tcPr>
            <w:tcW w:w="3210"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13:30～17:30</w:t>
            </w:r>
          </w:p>
        </w:tc>
        <w:tc>
          <w:tcPr>
            <w:tcW w:w="4139"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实践操作考核</w:t>
            </w:r>
          </w:p>
          <w:p>
            <w:pPr>
              <w:jc w:val="center"/>
              <w:rPr>
                <w:rFonts w:ascii="Times New Roman" w:hAnsi="Times New Roman" w:eastAsiaTheme="minorEastAsia"/>
                <w:sz w:val="24"/>
                <w:szCs w:val="24"/>
              </w:rPr>
            </w:pPr>
            <w:r>
              <w:rPr>
                <w:rFonts w:ascii="Times New Roman" w:hAnsi="Times New Roman" w:eastAsiaTheme="minorEastAsia"/>
                <w:sz w:val="24"/>
                <w:szCs w:val="24"/>
              </w:rPr>
              <w:t>（各学校单号选手）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Theme="minorEastAsia"/>
                <w:sz w:val="24"/>
                <w:szCs w:val="24"/>
              </w:rPr>
            </w:pPr>
          </w:p>
        </w:tc>
        <w:tc>
          <w:tcPr>
            <w:tcW w:w="3210"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18:30～20:30</w:t>
            </w:r>
          </w:p>
        </w:tc>
        <w:tc>
          <w:tcPr>
            <w:tcW w:w="4139"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裁判员阅卷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170" w:type="dxa"/>
            <w:vMerge w:val="restart"/>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第三天</w:t>
            </w:r>
          </w:p>
        </w:tc>
        <w:tc>
          <w:tcPr>
            <w:tcW w:w="3210"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7:30</w:t>
            </w:r>
          </w:p>
        </w:tc>
        <w:tc>
          <w:tcPr>
            <w:tcW w:w="4139"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实践操作检录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Theme="minorEastAsia"/>
                <w:sz w:val="24"/>
                <w:szCs w:val="24"/>
              </w:rPr>
            </w:pPr>
          </w:p>
        </w:tc>
        <w:tc>
          <w:tcPr>
            <w:tcW w:w="3210"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8:00～12:00</w:t>
            </w:r>
          </w:p>
        </w:tc>
        <w:tc>
          <w:tcPr>
            <w:tcW w:w="4139"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实践操作考核</w:t>
            </w:r>
          </w:p>
          <w:p>
            <w:pPr>
              <w:jc w:val="center"/>
              <w:rPr>
                <w:rFonts w:ascii="Times New Roman" w:hAnsi="Times New Roman" w:eastAsiaTheme="minorEastAsia"/>
                <w:sz w:val="24"/>
                <w:szCs w:val="24"/>
              </w:rPr>
            </w:pPr>
            <w:r>
              <w:rPr>
                <w:rFonts w:ascii="Times New Roman" w:hAnsi="Times New Roman" w:eastAsiaTheme="minorEastAsia"/>
                <w:sz w:val="24"/>
                <w:szCs w:val="24"/>
              </w:rPr>
              <w:t>（各学校双号选手）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Theme="minorEastAsia"/>
                <w:sz w:val="24"/>
                <w:szCs w:val="24"/>
              </w:rPr>
            </w:pPr>
          </w:p>
        </w:tc>
        <w:tc>
          <w:tcPr>
            <w:tcW w:w="3210"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13:30～15:30</w:t>
            </w:r>
          </w:p>
        </w:tc>
        <w:tc>
          <w:tcPr>
            <w:tcW w:w="4139"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裁判员阅卷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Theme="minorEastAsia"/>
                <w:sz w:val="24"/>
                <w:szCs w:val="24"/>
              </w:rPr>
            </w:pPr>
          </w:p>
        </w:tc>
        <w:tc>
          <w:tcPr>
            <w:tcW w:w="3210"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15:30～17:30</w:t>
            </w:r>
          </w:p>
        </w:tc>
        <w:tc>
          <w:tcPr>
            <w:tcW w:w="4139"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成绩录入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Theme="minorEastAsia"/>
                <w:sz w:val="24"/>
                <w:szCs w:val="24"/>
              </w:rPr>
            </w:pPr>
          </w:p>
        </w:tc>
        <w:tc>
          <w:tcPr>
            <w:tcW w:w="3210"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17:30~19:00</w:t>
            </w:r>
          </w:p>
        </w:tc>
        <w:tc>
          <w:tcPr>
            <w:tcW w:w="4139"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闭赛式</w:t>
            </w:r>
          </w:p>
        </w:tc>
      </w:tr>
    </w:tbl>
    <w:p>
      <w:pPr>
        <w:snapToGrid w:val="0"/>
        <w:spacing w:before="120"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九、竞赛试题</w:t>
      </w:r>
    </w:p>
    <w:p>
      <w:pPr>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本赛项竞赛试题由液相色谱-质谱仿真操作、</w:t>
      </w:r>
      <w:r>
        <w:rPr>
          <w:rFonts w:ascii="Times New Roman" w:hAnsi="Times New Roman" w:eastAsia="仿宋_GB2312"/>
          <w:sz w:val="30"/>
          <w:szCs w:val="30"/>
        </w:rPr>
        <w:t>分析</w:t>
      </w:r>
      <w:r>
        <w:rPr>
          <w:rFonts w:hint="eastAsia" w:ascii="Times New Roman" w:hAnsi="Times New Roman" w:eastAsia="仿宋_GB2312"/>
          <w:sz w:val="30"/>
          <w:szCs w:val="30"/>
        </w:rPr>
        <w:t>操作和分析专业知识考核三个部分试题组成，并已为参赛校提供了竞赛题库。根据本赛项的特点，</w:t>
      </w:r>
      <w:r>
        <w:rPr>
          <w:rFonts w:eastAsia="仿宋_GB2312"/>
          <w:sz w:val="30"/>
          <w:szCs w:val="30"/>
        </w:rPr>
        <w:t>液相色谱与质谱联用仿真操作</w:t>
      </w:r>
      <w:r>
        <w:rPr>
          <w:rFonts w:hint="eastAsia" w:ascii="Times New Roman" w:hAnsi="Times New Roman" w:eastAsia="仿宋_GB2312"/>
          <w:sz w:val="30"/>
          <w:szCs w:val="30"/>
        </w:rPr>
        <w:t>有专门的竞赛训练软件提供给参赛校用于培训，该软件提供了考核所需的全部分析操作、数据处理等模块，考核时可根据竞赛出题规则生成考核试卷，不存在竞赛赛卷的套数与重复率问题；分析操作考核是在条件完成相同下的实操项目，最终是根据选手分析的准确性、精密度等综合评分，不存在赛题试卷的套数与重复率问题；分析专业知识考核则提供了考核命题标准、范围和考核题库（化工出版社出版的《</w:t>
      </w:r>
      <w:r>
        <w:rPr>
          <w:rFonts w:ascii="Times New Roman" w:hAnsi="Times New Roman" w:eastAsia="仿宋_GB2312"/>
          <w:color w:val="000000" w:themeColor="text1"/>
          <w:sz w:val="30"/>
          <w:szCs w:val="30"/>
          <w14:textFill>
            <w14:solidFill>
              <w14:schemeClr w14:val="tx1"/>
            </w14:solidFill>
          </w14:textFill>
        </w:rPr>
        <w:t>化学检验工职业技能鉴定试题集</w:t>
      </w:r>
      <w:r>
        <w:rPr>
          <w:rFonts w:hint="eastAsia" w:ascii="Times New Roman" w:hAnsi="Times New Roman" w:eastAsia="仿宋_GB2312"/>
          <w:sz w:val="30"/>
          <w:szCs w:val="30"/>
        </w:rPr>
        <w:t>》），考核时根据命题标准与范围，由计算机从题库随机生成不少于10套且重复率不超过50%的试题供选手考核。各竞赛项目具体样题如下。</w:t>
      </w:r>
    </w:p>
    <w:p>
      <w:pPr>
        <w:spacing w:line="560" w:lineRule="exact"/>
        <w:ind w:firstLine="602" w:firstLineChars="200"/>
        <w:rPr>
          <w:rFonts w:ascii="Times New Roman" w:hAnsi="Times New Roman" w:eastAsia="仿宋_GB2312"/>
          <w:b/>
          <w:sz w:val="30"/>
          <w:szCs w:val="30"/>
        </w:rPr>
      </w:pPr>
      <w:r>
        <w:rPr>
          <w:rFonts w:ascii="Times New Roman" w:hAnsi="Times New Roman" w:eastAsia="仿宋_GB2312"/>
          <w:b/>
          <w:sz w:val="30"/>
          <w:szCs w:val="30"/>
        </w:rPr>
        <w:t>（</w:t>
      </w:r>
      <w:r>
        <w:rPr>
          <w:rFonts w:hint="eastAsia" w:ascii="Times New Roman" w:hAnsi="Times New Roman" w:eastAsia="仿宋_GB2312"/>
          <w:b/>
          <w:sz w:val="30"/>
          <w:szCs w:val="30"/>
        </w:rPr>
        <w:t>一</w:t>
      </w:r>
      <w:r>
        <w:rPr>
          <w:rFonts w:ascii="Times New Roman" w:hAnsi="Times New Roman" w:eastAsia="仿宋_GB2312"/>
          <w:b/>
          <w:sz w:val="30"/>
          <w:szCs w:val="30"/>
        </w:rPr>
        <w:t>）</w:t>
      </w:r>
      <w:r>
        <w:rPr>
          <w:rFonts w:hint="eastAsia" w:ascii="Times New Roman" w:hAnsi="Times New Roman" w:eastAsia="仿宋_GB2312"/>
          <w:b/>
          <w:sz w:val="30"/>
          <w:szCs w:val="30"/>
        </w:rPr>
        <w:t>理论知识考核</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w:t>
      </w:r>
      <w:r>
        <w:rPr>
          <w:rFonts w:ascii="Times New Roman" w:hAnsi="Times New Roman" w:eastAsia="仿宋_GB2312"/>
          <w:sz w:val="28"/>
          <w:szCs w:val="28"/>
        </w:rPr>
        <w:t>.单选题</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（1）各种试剂按纯度从高到低的代号顺序是（      ）。</w:t>
      </w:r>
    </w:p>
    <w:p>
      <w:pPr>
        <w:spacing w:line="560" w:lineRule="exact"/>
        <w:ind w:firstLine="840" w:firstLineChars="300"/>
        <w:rPr>
          <w:rFonts w:ascii="Times New Roman" w:hAnsi="Times New Roman" w:eastAsia="仿宋_GB2312"/>
          <w:sz w:val="28"/>
          <w:szCs w:val="28"/>
        </w:rPr>
      </w:pPr>
      <w:r>
        <w:rPr>
          <w:rFonts w:ascii="Times New Roman" w:hAnsi="Times New Roman" w:eastAsia="仿宋_GB2312"/>
          <w:sz w:val="28"/>
          <w:szCs w:val="28"/>
        </w:rPr>
        <w:t xml:space="preserve">A．GR&gt;AR&gt;CP        B．GR&gt;CP&gt;AR </w:t>
      </w:r>
      <w:r>
        <w:rPr>
          <w:rFonts w:hint="eastAsia" w:ascii="Times New Roman" w:hAnsi="Times New Roman" w:eastAsia="仿宋_GB2312"/>
          <w:sz w:val="28"/>
          <w:szCs w:val="28"/>
        </w:rPr>
        <w:t xml:space="preserve"> </w:t>
      </w:r>
    </w:p>
    <w:p>
      <w:pPr>
        <w:spacing w:line="560" w:lineRule="exact"/>
        <w:ind w:firstLine="840" w:firstLineChars="300"/>
        <w:rPr>
          <w:rFonts w:ascii="Times New Roman" w:hAnsi="Times New Roman" w:eastAsia="仿宋_GB2312"/>
          <w:sz w:val="28"/>
          <w:szCs w:val="28"/>
        </w:rPr>
      </w:pPr>
      <w:r>
        <w:rPr>
          <w:rFonts w:ascii="Times New Roman" w:hAnsi="Times New Roman" w:eastAsia="仿宋_GB2312"/>
          <w:sz w:val="28"/>
          <w:szCs w:val="28"/>
        </w:rPr>
        <w:t>C．AR&gt;CP&gt;GR</w:t>
      </w:r>
      <w:r>
        <w:rPr>
          <w:rFonts w:hint="eastAsia" w:ascii="Times New Roman" w:hAnsi="Times New Roman" w:eastAsia="仿宋_GB2312"/>
          <w:sz w:val="28"/>
          <w:szCs w:val="28"/>
        </w:rPr>
        <w:t xml:space="preserve"> </w:t>
      </w:r>
      <w:r>
        <w:rPr>
          <w:rFonts w:ascii="Times New Roman" w:hAnsi="Times New Roman" w:eastAsia="仿宋_GB2312"/>
          <w:sz w:val="28"/>
          <w:szCs w:val="28"/>
        </w:rPr>
        <w:t xml:space="preserve">       D．CP&gt;AR&gt;GR</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（2）某些腐蚀性化学毒物兼有强氧化性，如硝酸、硫酸、（     ）等遇到有机物将发生氧化作用而放热，甚至起火燃烧。</w:t>
      </w:r>
    </w:p>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A．</w:t>
      </w:r>
      <w:r>
        <w:rPr>
          <w:rFonts w:hint="eastAsia" w:ascii="Times New Roman" w:hAnsi="Times New Roman" w:eastAsia="仿宋_GB2312"/>
          <w:sz w:val="28"/>
          <w:szCs w:val="28"/>
        </w:rPr>
        <w:t>次氯酸</w:t>
      </w:r>
      <w:r>
        <w:rPr>
          <w:rFonts w:ascii="Times New Roman" w:hAnsi="Times New Roman" w:eastAsia="仿宋_GB2312"/>
          <w:sz w:val="28"/>
          <w:szCs w:val="28"/>
        </w:rPr>
        <w:t xml:space="preserve">    B．</w:t>
      </w:r>
      <w:r>
        <w:rPr>
          <w:rFonts w:hint="eastAsia" w:ascii="Times New Roman" w:hAnsi="Times New Roman" w:eastAsia="仿宋_GB2312"/>
          <w:sz w:val="28"/>
          <w:szCs w:val="28"/>
        </w:rPr>
        <w:t>氯酸</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C．</w:t>
      </w:r>
      <w:r>
        <w:rPr>
          <w:rFonts w:hint="eastAsia" w:ascii="Times New Roman" w:hAnsi="Times New Roman" w:eastAsia="仿宋_GB2312"/>
          <w:sz w:val="28"/>
          <w:szCs w:val="28"/>
        </w:rPr>
        <w:t>高氯酸</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D．氢氟酸</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（3）0.10mol/LNaF溶液的pH值为（Ka=6.6×10</w:t>
      </w:r>
      <w:r>
        <w:rPr>
          <w:rFonts w:hint="eastAsia" w:ascii="Times New Roman" w:hAnsi="Times New Roman" w:eastAsia="仿宋_GB2312"/>
          <w:sz w:val="28"/>
          <w:szCs w:val="28"/>
          <w:vertAlign w:val="superscript"/>
        </w:rPr>
        <w:t>-4</w:t>
      </w:r>
      <w:r>
        <w:rPr>
          <w:rFonts w:hint="eastAsia" w:ascii="Times New Roman" w:hAnsi="Times New Roman" w:eastAsia="仿宋_GB2312"/>
          <w:sz w:val="28"/>
          <w:szCs w:val="28"/>
        </w:rPr>
        <w:t xml:space="preserve">）（ </w:t>
      </w:r>
      <w:r>
        <w:rPr>
          <w:rFonts w:ascii="Times New Roman" w:hAnsi="Times New Roman" w:eastAsia="仿宋_GB2312"/>
          <w:sz w:val="28"/>
          <w:szCs w:val="28"/>
        </w:rPr>
        <w:t xml:space="preserve">    </w:t>
      </w:r>
      <w:r>
        <w:rPr>
          <w:rFonts w:hint="eastAsia" w:ascii="Times New Roman" w:hAnsi="Times New Roman" w:eastAsia="仿宋_GB2312"/>
          <w:sz w:val="28"/>
          <w:szCs w:val="28"/>
        </w:rPr>
        <w:t>）。</w:t>
      </w:r>
    </w:p>
    <w:p>
      <w:pPr>
        <w:spacing w:line="560" w:lineRule="exact"/>
        <w:ind w:left="525" w:leftChars="250" w:firstLine="280" w:firstLineChars="100"/>
        <w:jc w:val="left"/>
        <w:rPr>
          <w:rFonts w:ascii="Times New Roman" w:hAnsi="Times New Roman" w:eastAsia="仿宋_GB2312"/>
          <w:sz w:val="28"/>
          <w:szCs w:val="28"/>
        </w:rPr>
      </w:pPr>
      <w:r>
        <w:rPr>
          <w:rFonts w:ascii="Times New Roman" w:hAnsi="Times New Roman" w:eastAsia="仿宋_GB2312"/>
          <w:sz w:val="28"/>
          <w:szCs w:val="28"/>
        </w:rPr>
        <w:t xml:space="preserve">A．10.09    </w:t>
      </w:r>
      <w:r>
        <w:rPr>
          <w:rFonts w:hint="eastAsia" w:ascii="Times New Roman" w:hAnsi="Times New Roman" w:eastAsia="仿宋_GB2312"/>
          <w:sz w:val="28"/>
          <w:szCs w:val="28"/>
        </w:rPr>
        <w:t xml:space="preserve"> </w:t>
      </w:r>
      <w:r>
        <w:rPr>
          <w:rFonts w:ascii="Times New Roman" w:hAnsi="Times New Roman" w:eastAsia="仿宋_GB2312"/>
          <w:sz w:val="28"/>
          <w:szCs w:val="28"/>
        </w:rPr>
        <w:t>B．8.09    C．9.09</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D．9.82</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 xml:space="preserve">（4）EDTA的有效浓度[Y]与酸度有关，它随着溶液pH增大而（     </w:t>
      </w:r>
      <w:r>
        <w:rPr>
          <w:rFonts w:ascii="Times New Roman" w:hAnsi="Times New Roman" w:eastAsia="仿宋_GB2312"/>
          <w:sz w:val="28"/>
          <w:szCs w:val="28"/>
        </w:rPr>
        <w:t xml:space="preserve"> </w:t>
      </w:r>
      <w:r>
        <w:rPr>
          <w:rFonts w:hint="eastAsia" w:ascii="Times New Roman" w:hAnsi="Times New Roman" w:eastAsia="仿宋_GB2312"/>
          <w:sz w:val="28"/>
          <w:szCs w:val="28"/>
        </w:rPr>
        <w:t>）。</w:t>
      </w:r>
    </w:p>
    <w:p>
      <w:pPr>
        <w:spacing w:line="560" w:lineRule="exact"/>
        <w:ind w:firstLine="840" w:firstLineChars="300"/>
        <w:rPr>
          <w:rFonts w:ascii="Times New Roman" w:hAnsi="Times New Roman" w:eastAsia="仿宋_GB2312"/>
          <w:sz w:val="28"/>
          <w:szCs w:val="28"/>
        </w:rPr>
      </w:pPr>
      <w:r>
        <w:rPr>
          <w:rFonts w:ascii="Times New Roman" w:hAnsi="Times New Roman" w:eastAsia="仿宋_GB2312"/>
          <w:sz w:val="28"/>
          <w:szCs w:val="28"/>
        </w:rPr>
        <w:t>A．</w:t>
      </w:r>
      <w:r>
        <w:rPr>
          <w:rFonts w:hint="eastAsia" w:ascii="Times New Roman" w:hAnsi="Times New Roman" w:eastAsia="仿宋_GB2312"/>
          <w:sz w:val="28"/>
          <w:szCs w:val="28"/>
        </w:rPr>
        <w:t>增大</w:t>
      </w:r>
      <w:r>
        <w:rPr>
          <w:rFonts w:ascii="Times New Roman" w:hAnsi="Times New Roman" w:eastAsia="仿宋_GB2312"/>
          <w:sz w:val="28"/>
          <w:szCs w:val="28"/>
        </w:rPr>
        <w:t xml:space="preserve">  </w:t>
      </w:r>
      <w:r>
        <w:rPr>
          <w:rFonts w:hint="eastAsia" w:ascii="Times New Roman" w:hAnsi="Times New Roman" w:eastAsia="仿宋_GB2312"/>
          <w:sz w:val="28"/>
          <w:szCs w:val="28"/>
        </w:rPr>
        <w:t xml:space="preserve">   </w:t>
      </w:r>
      <w:r>
        <w:rPr>
          <w:rFonts w:ascii="Times New Roman" w:hAnsi="Times New Roman" w:eastAsia="仿宋_GB2312"/>
          <w:sz w:val="28"/>
          <w:szCs w:val="28"/>
        </w:rPr>
        <w:t xml:space="preserve"> B．</w:t>
      </w:r>
      <w:r>
        <w:rPr>
          <w:rFonts w:hint="eastAsia" w:ascii="Times New Roman" w:hAnsi="Times New Roman" w:eastAsia="仿宋_GB2312"/>
          <w:sz w:val="28"/>
          <w:szCs w:val="28"/>
        </w:rPr>
        <w:t xml:space="preserve">减小 </w:t>
      </w:r>
      <w:r>
        <w:rPr>
          <w:rFonts w:ascii="Times New Roman" w:hAnsi="Times New Roman" w:eastAsia="仿宋_GB2312"/>
          <w:sz w:val="28"/>
          <w:szCs w:val="28"/>
        </w:rPr>
        <w:t xml:space="preserve">   C．</w:t>
      </w:r>
      <w:r>
        <w:rPr>
          <w:rFonts w:hint="eastAsia" w:ascii="Times New Roman" w:hAnsi="Times New Roman" w:eastAsia="仿宋_GB2312"/>
          <w:sz w:val="28"/>
          <w:szCs w:val="28"/>
        </w:rPr>
        <w:t xml:space="preserve">不变 </w:t>
      </w:r>
      <w:r>
        <w:rPr>
          <w:rFonts w:ascii="Times New Roman" w:hAnsi="Times New Roman" w:eastAsia="仿宋_GB2312"/>
          <w:sz w:val="28"/>
          <w:szCs w:val="28"/>
        </w:rPr>
        <w:t xml:space="preserve">   D．</w:t>
      </w:r>
      <w:r>
        <w:rPr>
          <w:rFonts w:hint="eastAsia" w:ascii="Times New Roman" w:hAnsi="Times New Roman" w:eastAsia="仿宋_GB2312"/>
          <w:sz w:val="28"/>
          <w:szCs w:val="28"/>
        </w:rPr>
        <w:t>先增大后减小</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（5）在Fe</w:t>
      </w:r>
      <w:r>
        <w:rPr>
          <w:rFonts w:hint="eastAsia" w:ascii="Times New Roman" w:hAnsi="Times New Roman" w:eastAsia="仿宋_GB2312"/>
          <w:sz w:val="28"/>
          <w:szCs w:val="28"/>
          <w:vertAlign w:val="superscript"/>
        </w:rPr>
        <w:t>3+</w:t>
      </w:r>
      <w:r>
        <w:rPr>
          <w:rFonts w:hint="eastAsia" w:ascii="Times New Roman" w:hAnsi="Times New Roman" w:eastAsia="仿宋_GB2312"/>
          <w:sz w:val="28"/>
          <w:szCs w:val="28"/>
        </w:rPr>
        <w:t>、Al</w:t>
      </w:r>
      <w:r>
        <w:rPr>
          <w:rFonts w:hint="eastAsia" w:ascii="Times New Roman" w:hAnsi="Times New Roman" w:eastAsia="仿宋_GB2312"/>
          <w:sz w:val="28"/>
          <w:szCs w:val="28"/>
          <w:vertAlign w:val="superscript"/>
        </w:rPr>
        <w:t>3+</w:t>
      </w:r>
      <w:r>
        <w:rPr>
          <w:rFonts w:hint="eastAsia" w:ascii="Times New Roman" w:hAnsi="Times New Roman" w:eastAsia="仿宋_GB2312"/>
          <w:sz w:val="28"/>
          <w:szCs w:val="28"/>
        </w:rPr>
        <w:t>、Ca</w:t>
      </w:r>
      <w:r>
        <w:rPr>
          <w:rFonts w:hint="eastAsia" w:ascii="Times New Roman" w:hAnsi="Times New Roman" w:eastAsia="仿宋_GB2312"/>
          <w:sz w:val="28"/>
          <w:szCs w:val="28"/>
          <w:vertAlign w:val="superscript"/>
        </w:rPr>
        <w:t>2+</w:t>
      </w:r>
      <w:r>
        <w:rPr>
          <w:rFonts w:hint="eastAsia" w:ascii="Times New Roman" w:hAnsi="Times New Roman" w:eastAsia="仿宋_GB2312"/>
          <w:sz w:val="28"/>
          <w:szCs w:val="28"/>
        </w:rPr>
        <w:t>、Mg</w:t>
      </w:r>
      <w:r>
        <w:rPr>
          <w:rFonts w:hint="eastAsia" w:ascii="Times New Roman" w:hAnsi="Times New Roman" w:eastAsia="仿宋_GB2312"/>
          <w:sz w:val="28"/>
          <w:szCs w:val="28"/>
          <w:vertAlign w:val="superscript"/>
        </w:rPr>
        <w:t>2+</w:t>
      </w:r>
      <w:r>
        <w:rPr>
          <w:rFonts w:hint="eastAsia" w:ascii="Times New Roman" w:hAnsi="Times New Roman" w:eastAsia="仿宋_GB2312"/>
          <w:sz w:val="28"/>
          <w:szCs w:val="28"/>
        </w:rPr>
        <w:t>的混合液中，用EDTA法测定Fe</w:t>
      </w:r>
      <w:r>
        <w:rPr>
          <w:rFonts w:hint="eastAsia" w:ascii="Times New Roman" w:hAnsi="Times New Roman" w:eastAsia="仿宋_GB2312"/>
          <w:sz w:val="28"/>
          <w:szCs w:val="28"/>
          <w:vertAlign w:val="superscript"/>
        </w:rPr>
        <w:t>3+</w:t>
      </w:r>
      <w:r>
        <w:rPr>
          <w:rFonts w:hint="eastAsia" w:ascii="Times New Roman" w:hAnsi="Times New Roman" w:eastAsia="仿宋_GB2312"/>
          <w:sz w:val="28"/>
          <w:szCs w:val="28"/>
        </w:rPr>
        <w:t>、Al</w:t>
      </w:r>
      <w:r>
        <w:rPr>
          <w:rFonts w:hint="eastAsia" w:ascii="Times New Roman" w:hAnsi="Times New Roman" w:eastAsia="仿宋_GB2312"/>
          <w:sz w:val="28"/>
          <w:szCs w:val="28"/>
          <w:vertAlign w:val="superscript"/>
        </w:rPr>
        <w:t>3+</w:t>
      </w:r>
      <w:r>
        <w:rPr>
          <w:rFonts w:hint="eastAsia" w:ascii="Times New Roman" w:hAnsi="Times New Roman" w:eastAsia="仿宋_GB2312"/>
          <w:sz w:val="28"/>
          <w:szCs w:val="28"/>
        </w:rPr>
        <w:t>的含量，消除Ca</w:t>
      </w:r>
      <w:r>
        <w:rPr>
          <w:rFonts w:hint="eastAsia" w:ascii="Times New Roman" w:hAnsi="Times New Roman" w:eastAsia="仿宋_GB2312"/>
          <w:sz w:val="28"/>
          <w:szCs w:val="28"/>
          <w:vertAlign w:val="superscript"/>
        </w:rPr>
        <w:t>2+</w:t>
      </w:r>
      <w:r>
        <w:rPr>
          <w:rFonts w:hint="eastAsia" w:ascii="Times New Roman" w:hAnsi="Times New Roman" w:eastAsia="仿宋_GB2312"/>
          <w:sz w:val="28"/>
          <w:szCs w:val="28"/>
        </w:rPr>
        <w:t>、Mg</w:t>
      </w:r>
      <w:r>
        <w:rPr>
          <w:rFonts w:hint="eastAsia" w:ascii="Times New Roman" w:hAnsi="Times New Roman" w:eastAsia="仿宋_GB2312"/>
          <w:sz w:val="28"/>
          <w:szCs w:val="28"/>
          <w:vertAlign w:val="superscript"/>
        </w:rPr>
        <w:t>2+</w:t>
      </w:r>
      <w:r>
        <w:rPr>
          <w:rFonts w:hint="eastAsia" w:ascii="Times New Roman" w:hAnsi="Times New Roman" w:eastAsia="仿宋_GB2312"/>
          <w:sz w:val="28"/>
          <w:szCs w:val="28"/>
        </w:rPr>
        <w:t xml:space="preserve">干扰，最简便的方法是（   </w:t>
      </w:r>
      <w:r>
        <w:rPr>
          <w:rFonts w:ascii="Times New Roman" w:hAnsi="Times New Roman" w:eastAsia="仿宋_GB2312"/>
          <w:sz w:val="28"/>
          <w:szCs w:val="28"/>
        </w:rPr>
        <w:t xml:space="preserve">    </w:t>
      </w:r>
      <w:r>
        <w:rPr>
          <w:rFonts w:hint="eastAsia" w:ascii="Times New Roman" w:hAnsi="Times New Roman" w:eastAsia="仿宋_GB2312"/>
          <w:sz w:val="28"/>
          <w:szCs w:val="28"/>
        </w:rPr>
        <w:t>）。</w:t>
      </w:r>
    </w:p>
    <w:p>
      <w:pPr>
        <w:spacing w:line="560" w:lineRule="exact"/>
        <w:ind w:firstLine="840" w:firstLineChars="300"/>
        <w:rPr>
          <w:rFonts w:ascii="Times New Roman" w:hAnsi="Times New Roman" w:eastAsia="仿宋_GB2312"/>
          <w:sz w:val="28"/>
          <w:szCs w:val="28"/>
        </w:rPr>
      </w:pPr>
      <w:r>
        <w:rPr>
          <w:rFonts w:ascii="Times New Roman" w:hAnsi="Times New Roman" w:eastAsia="仿宋_GB2312"/>
          <w:sz w:val="28"/>
          <w:szCs w:val="28"/>
        </w:rPr>
        <w:t>A．</w:t>
      </w:r>
      <w:r>
        <w:rPr>
          <w:rFonts w:hint="eastAsia" w:ascii="Times New Roman" w:hAnsi="Times New Roman" w:eastAsia="仿宋_GB2312"/>
          <w:sz w:val="28"/>
          <w:szCs w:val="28"/>
        </w:rPr>
        <w:t>沉淀分离</w:t>
      </w:r>
      <w:r>
        <w:rPr>
          <w:rFonts w:ascii="Times New Roman" w:hAnsi="Times New Roman" w:eastAsia="仿宋_GB2312"/>
          <w:sz w:val="28"/>
          <w:szCs w:val="28"/>
        </w:rPr>
        <w:t xml:space="preserve">  B．</w:t>
      </w:r>
      <w:r>
        <w:rPr>
          <w:rFonts w:hint="eastAsia" w:ascii="Times New Roman" w:hAnsi="Times New Roman" w:eastAsia="仿宋_GB2312"/>
          <w:sz w:val="28"/>
          <w:szCs w:val="28"/>
        </w:rPr>
        <w:t>控制酸度</w:t>
      </w:r>
      <w:r>
        <w:rPr>
          <w:rFonts w:ascii="Times New Roman" w:hAnsi="Times New Roman" w:eastAsia="仿宋_GB2312"/>
          <w:sz w:val="28"/>
          <w:szCs w:val="28"/>
        </w:rPr>
        <w:t xml:space="preserve"> C．</w:t>
      </w:r>
      <w:r>
        <w:rPr>
          <w:rFonts w:hint="eastAsia" w:ascii="Times New Roman" w:hAnsi="Times New Roman" w:eastAsia="仿宋_GB2312"/>
          <w:sz w:val="28"/>
          <w:szCs w:val="28"/>
        </w:rPr>
        <w:t>配位掩蔽</w:t>
      </w:r>
      <w:r>
        <w:rPr>
          <w:rFonts w:ascii="Times New Roman" w:hAnsi="Times New Roman" w:eastAsia="仿宋_GB2312"/>
          <w:sz w:val="28"/>
          <w:szCs w:val="28"/>
        </w:rPr>
        <w:tab/>
      </w:r>
      <w:r>
        <w:rPr>
          <w:rFonts w:ascii="Times New Roman" w:hAnsi="Times New Roman" w:eastAsia="仿宋_GB2312"/>
          <w:sz w:val="28"/>
          <w:szCs w:val="28"/>
        </w:rPr>
        <w:t>D．</w:t>
      </w:r>
      <w:r>
        <w:rPr>
          <w:rFonts w:hint="eastAsia" w:ascii="Times New Roman" w:hAnsi="Times New Roman" w:eastAsia="仿宋_GB2312"/>
          <w:sz w:val="28"/>
          <w:szCs w:val="28"/>
        </w:rPr>
        <w:t>离子交换</w:t>
      </w:r>
    </w:p>
    <w:p>
      <w:pPr>
        <w:spacing w:line="560" w:lineRule="exact"/>
        <w:ind w:left="210" w:leftChars="100" w:firstLine="280" w:firstLineChars="100"/>
        <w:rPr>
          <w:rFonts w:ascii="Times New Roman" w:hAnsi="Times New Roman" w:eastAsia="仿宋_GB2312"/>
          <w:sz w:val="28"/>
          <w:szCs w:val="28"/>
        </w:rPr>
      </w:pPr>
      <w:r>
        <w:rPr>
          <w:rFonts w:hint="eastAsia" w:ascii="Times New Roman" w:hAnsi="Times New Roman" w:eastAsia="仿宋_GB2312"/>
          <w:sz w:val="28"/>
          <w:szCs w:val="28"/>
        </w:rPr>
        <w:t xml:space="preserve">（6）由原子无规则的热运动所产生的谱线变宽称为（   </w:t>
      </w:r>
      <w:r>
        <w:rPr>
          <w:rFonts w:ascii="Times New Roman" w:hAnsi="Times New Roman" w:eastAsia="仿宋_GB2312"/>
          <w:sz w:val="28"/>
          <w:szCs w:val="28"/>
        </w:rPr>
        <w:t xml:space="preserve"> </w:t>
      </w:r>
      <w:r>
        <w:rPr>
          <w:rFonts w:hint="eastAsia" w:ascii="Times New Roman" w:hAnsi="Times New Roman" w:eastAsia="仿宋_GB2312"/>
          <w:sz w:val="28"/>
          <w:szCs w:val="28"/>
        </w:rPr>
        <w:t xml:space="preserve"> ）。</w:t>
      </w:r>
    </w:p>
    <w:p>
      <w:pPr>
        <w:spacing w:line="560" w:lineRule="exact"/>
        <w:ind w:left="210" w:leftChars="100" w:firstLine="560" w:firstLineChars="200"/>
        <w:rPr>
          <w:rFonts w:ascii="Times New Roman" w:hAnsi="Times New Roman" w:eastAsia="仿宋_GB2312"/>
          <w:sz w:val="28"/>
          <w:szCs w:val="28"/>
        </w:rPr>
      </w:pPr>
      <w:r>
        <w:rPr>
          <w:rFonts w:ascii="Times New Roman" w:hAnsi="Times New Roman" w:eastAsia="仿宋_GB2312"/>
          <w:sz w:val="28"/>
          <w:szCs w:val="28"/>
        </w:rPr>
        <w:t>A．</w:t>
      </w:r>
      <w:r>
        <w:rPr>
          <w:rFonts w:hint="eastAsia" w:ascii="Times New Roman" w:hAnsi="Times New Roman" w:eastAsia="仿宋_GB2312"/>
          <w:sz w:val="28"/>
          <w:szCs w:val="28"/>
        </w:rPr>
        <w:t>自然变度</w:t>
      </w:r>
      <w:r>
        <w:rPr>
          <w:rFonts w:ascii="Times New Roman" w:hAnsi="Times New Roman" w:eastAsia="仿宋_GB2312"/>
          <w:sz w:val="28"/>
          <w:szCs w:val="28"/>
        </w:rPr>
        <w:t xml:space="preserve">       B．</w:t>
      </w:r>
      <w:r>
        <w:rPr>
          <w:rFonts w:hint="eastAsia" w:ascii="Times New Roman" w:hAnsi="Times New Roman" w:eastAsia="仿宋_GB2312"/>
          <w:sz w:val="28"/>
          <w:szCs w:val="28"/>
        </w:rPr>
        <w:t xml:space="preserve">赫鲁兹马克变宽 </w:t>
      </w:r>
    </w:p>
    <w:p>
      <w:pPr>
        <w:spacing w:line="560" w:lineRule="exact"/>
        <w:ind w:left="210" w:leftChars="100" w:firstLine="560" w:firstLineChars="200"/>
        <w:rPr>
          <w:rFonts w:ascii="Times New Roman" w:hAnsi="Times New Roman" w:eastAsia="仿宋_GB2312"/>
          <w:sz w:val="28"/>
          <w:szCs w:val="28"/>
        </w:rPr>
      </w:pPr>
      <w:r>
        <w:rPr>
          <w:rFonts w:ascii="Times New Roman" w:hAnsi="Times New Roman" w:eastAsia="仿宋_GB2312"/>
          <w:sz w:val="28"/>
          <w:szCs w:val="28"/>
        </w:rPr>
        <w:t>C．</w:t>
      </w:r>
      <w:r>
        <w:rPr>
          <w:rFonts w:hint="eastAsia" w:ascii="Times New Roman" w:hAnsi="Times New Roman" w:eastAsia="仿宋_GB2312"/>
          <w:sz w:val="28"/>
          <w:szCs w:val="28"/>
        </w:rPr>
        <w:t>劳伦茨变宽</w:t>
      </w:r>
      <w:r>
        <w:rPr>
          <w:rFonts w:ascii="Times New Roman" w:hAnsi="Times New Roman" w:eastAsia="仿宋_GB2312"/>
          <w:sz w:val="28"/>
          <w:szCs w:val="28"/>
        </w:rPr>
        <w:t xml:space="preserve">     D．</w:t>
      </w:r>
      <w:r>
        <w:rPr>
          <w:rFonts w:hint="eastAsia" w:ascii="Times New Roman" w:hAnsi="Times New Roman" w:eastAsia="仿宋_GB2312"/>
          <w:sz w:val="28"/>
          <w:szCs w:val="28"/>
        </w:rPr>
        <w:t>多普勒变宽</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 xml:space="preserve">（7）4-氨基安替比林直接分光光度法是测定水中（   </w:t>
      </w:r>
      <w:r>
        <w:rPr>
          <w:rFonts w:ascii="Times New Roman" w:hAnsi="Times New Roman" w:eastAsia="仿宋_GB2312"/>
          <w:sz w:val="28"/>
          <w:szCs w:val="28"/>
        </w:rPr>
        <w:t xml:space="preserve">   </w:t>
      </w:r>
      <w:r>
        <w:rPr>
          <w:rFonts w:hint="eastAsia" w:ascii="Times New Roman" w:hAnsi="Times New Roman" w:eastAsia="仿宋_GB2312"/>
          <w:sz w:val="28"/>
          <w:szCs w:val="28"/>
        </w:rPr>
        <w:t>）的含量的方法。</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A．</w:t>
      </w:r>
      <w:r>
        <w:rPr>
          <w:rFonts w:hint="eastAsia" w:ascii="Times New Roman" w:hAnsi="Times New Roman" w:eastAsia="仿宋_GB2312"/>
          <w:sz w:val="28"/>
          <w:szCs w:val="28"/>
        </w:rPr>
        <w:t xml:space="preserve">挥发酚   </w:t>
      </w:r>
      <w:r>
        <w:rPr>
          <w:rFonts w:ascii="Times New Roman" w:hAnsi="Times New Roman" w:eastAsia="仿宋_GB2312"/>
          <w:sz w:val="28"/>
          <w:szCs w:val="28"/>
        </w:rPr>
        <w:t xml:space="preserve"> B．</w:t>
      </w:r>
      <w:r>
        <w:rPr>
          <w:rFonts w:hint="eastAsia" w:ascii="Times New Roman" w:hAnsi="Times New Roman" w:eastAsia="仿宋_GB2312"/>
          <w:sz w:val="28"/>
          <w:szCs w:val="28"/>
        </w:rPr>
        <w:t xml:space="preserve">溶解氧 </w:t>
      </w:r>
      <w:r>
        <w:rPr>
          <w:rFonts w:ascii="Times New Roman" w:hAnsi="Times New Roman" w:eastAsia="仿宋_GB2312"/>
          <w:sz w:val="28"/>
          <w:szCs w:val="28"/>
        </w:rPr>
        <w:t xml:space="preserve">  C．</w:t>
      </w:r>
      <w:r>
        <w:rPr>
          <w:rFonts w:hint="eastAsia" w:ascii="Times New Roman" w:hAnsi="Times New Roman" w:eastAsia="仿宋_GB2312"/>
          <w:sz w:val="28"/>
          <w:szCs w:val="28"/>
        </w:rPr>
        <w:t>生化需氧量</w:t>
      </w:r>
      <w:r>
        <w:rPr>
          <w:rFonts w:ascii="Times New Roman" w:hAnsi="Times New Roman" w:eastAsia="仿宋_GB2312"/>
          <w:sz w:val="28"/>
          <w:szCs w:val="28"/>
        </w:rPr>
        <w:tab/>
      </w:r>
      <w:r>
        <w:rPr>
          <w:rFonts w:ascii="Times New Roman" w:hAnsi="Times New Roman" w:eastAsia="仿宋_GB2312"/>
          <w:sz w:val="28"/>
          <w:szCs w:val="28"/>
        </w:rPr>
        <w:t xml:space="preserve"> D．</w:t>
      </w:r>
      <w:r>
        <w:rPr>
          <w:rFonts w:hint="eastAsia" w:ascii="Times New Roman" w:hAnsi="Times New Roman" w:eastAsia="仿宋_GB2312"/>
          <w:sz w:val="28"/>
          <w:szCs w:val="28"/>
        </w:rPr>
        <w:t>化学需氧量</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 xml:space="preserve">（8）在电位滴定法中，（      </w:t>
      </w:r>
      <w:r>
        <w:rPr>
          <w:rFonts w:ascii="Times New Roman" w:hAnsi="Times New Roman" w:eastAsia="仿宋_GB2312"/>
          <w:sz w:val="28"/>
          <w:szCs w:val="28"/>
        </w:rPr>
        <w:t xml:space="preserve"> </w:t>
      </w:r>
      <w:r>
        <w:rPr>
          <w:rFonts w:hint="eastAsia" w:ascii="Times New Roman" w:hAnsi="Times New Roman" w:eastAsia="仿宋_GB2312"/>
          <w:sz w:val="28"/>
          <w:szCs w:val="28"/>
        </w:rPr>
        <w:t>）是可以通过计算来确定滴定终点所消耗的标准滴定溶液体积的方法。</w:t>
      </w:r>
      <w:r>
        <w:rPr>
          <w:rFonts w:ascii="Times New Roman" w:hAnsi="Times New Roman" w:eastAsia="仿宋_GB2312"/>
          <w:sz w:val="28"/>
          <w:szCs w:val="28"/>
        </w:rPr>
        <w:tab/>
      </w:r>
      <w:r>
        <w:rPr>
          <w:rFonts w:ascii="Times New Roman" w:hAnsi="Times New Roman" w:eastAsia="仿宋_GB2312"/>
          <w:sz w:val="28"/>
          <w:szCs w:val="28"/>
        </w:rPr>
        <w:tab/>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A．</w:t>
      </w:r>
      <w:r>
        <w:rPr>
          <w:rFonts w:hint="eastAsia" w:ascii="Times New Roman" w:hAnsi="Times New Roman" w:eastAsia="仿宋_GB2312"/>
          <w:sz w:val="28"/>
          <w:szCs w:val="28"/>
        </w:rPr>
        <w:t>滴定曲线</w:t>
      </w:r>
      <w:r>
        <w:rPr>
          <w:rFonts w:ascii="Times New Roman" w:hAnsi="Times New Roman" w:eastAsia="仿宋_GB2312"/>
          <w:sz w:val="28"/>
          <w:szCs w:val="28"/>
        </w:rPr>
        <w:t xml:space="preserve">                B．</w:t>
      </w:r>
      <w:r>
        <w:rPr>
          <w:rFonts w:hint="eastAsia" w:ascii="Times New Roman" w:hAnsi="Times New Roman" w:eastAsia="仿宋_GB2312"/>
          <w:sz w:val="28"/>
          <w:szCs w:val="28"/>
        </w:rPr>
        <w:t>一级微商</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C．</w:t>
      </w:r>
      <w:r>
        <w:rPr>
          <w:rFonts w:hint="eastAsia" w:ascii="Times New Roman" w:hAnsi="Times New Roman" w:eastAsia="仿宋_GB2312"/>
          <w:sz w:val="28"/>
          <w:szCs w:val="28"/>
        </w:rPr>
        <w:t xml:space="preserve">二级微商的内插法 </w:t>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D．</w:t>
      </w:r>
      <w:r>
        <w:rPr>
          <w:rFonts w:hint="eastAsia" w:ascii="Times New Roman" w:hAnsi="Times New Roman" w:eastAsia="仿宋_GB2312"/>
          <w:sz w:val="28"/>
          <w:szCs w:val="28"/>
        </w:rPr>
        <w:t>E-V曲线法</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 xml:space="preserve">（9）一瓶标准物质封闭保存有效期为5年，但开封后最长使用期限应为（  </w:t>
      </w:r>
      <w:r>
        <w:rPr>
          <w:rFonts w:ascii="Times New Roman" w:hAnsi="Times New Roman" w:eastAsia="仿宋_GB2312"/>
          <w:sz w:val="28"/>
          <w:szCs w:val="28"/>
        </w:rPr>
        <w:t xml:space="preserve">  </w:t>
      </w:r>
      <w:r>
        <w:rPr>
          <w:rFonts w:hint="eastAsia" w:ascii="Times New Roman" w:hAnsi="Times New Roman" w:eastAsia="仿宋_GB2312"/>
          <w:sz w:val="28"/>
          <w:szCs w:val="28"/>
        </w:rPr>
        <w:t xml:space="preserve">   ）。</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A．</w:t>
      </w:r>
      <w:r>
        <w:rPr>
          <w:rFonts w:hint="eastAsia" w:ascii="Times New Roman" w:hAnsi="Times New Roman" w:eastAsia="仿宋_GB2312"/>
          <w:sz w:val="28"/>
          <w:szCs w:val="28"/>
        </w:rPr>
        <w:t xml:space="preserve">半年  </w:t>
      </w:r>
      <w:r>
        <w:rPr>
          <w:rFonts w:ascii="Times New Roman" w:hAnsi="Times New Roman" w:eastAsia="仿宋_GB2312"/>
          <w:sz w:val="28"/>
          <w:szCs w:val="28"/>
        </w:rPr>
        <w:t xml:space="preserve">  B．</w:t>
      </w:r>
      <w:r>
        <w:rPr>
          <w:rFonts w:hint="eastAsia" w:ascii="Times New Roman" w:hAnsi="Times New Roman" w:eastAsia="仿宋_GB2312"/>
          <w:sz w:val="28"/>
          <w:szCs w:val="28"/>
        </w:rPr>
        <w:t xml:space="preserve">1年 </w:t>
      </w:r>
      <w:r>
        <w:rPr>
          <w:rFonts w:ascii="Times New Roman" w:hAnsi="Times New Roman" w:eastAsia="仿宋_GB2312"/>
          <w:sz w:val="28"/>
          <w:szCs w:val="28"/>
        </w:rPr>
        <w:t xml:space="preserve">   C．</w:t>
      </w:r>
      <w:r>
        <w:rPr>
          <w:rFonts w:hint="eastAsia" w:ascii="Times New Roman" w:hAnsi="Times New Roman" w:eastAsia="仿宋_GB2312"/>
          <w:sz w:val="28"/>
          <w:szCs w:val="28"/>
        </w:rPr>
        <w:t>2年</w:t>
      </w:r>
      <w:r>
        <w:rPr>
          <w:rFonts w:ascii="Times New Roman" w:hAnsi="Times New Roman" w:eastAsia="仿宋_GB2312"/>
          <w:sz w:val="28"/>
          <w:szCs w:val="28"/>
        </w:rPr>
        <w:tab/>
      </w:r>
      <w:r>
        <w:rPr>
          <w:rFonts w:ascii="Times New Roman" w:hAnsi="Times New Roman" w:eastAsia="仿宋_GB2312"/>
          <w:sz w:val="28"/>
          <w:szCs w:val="28"/>
        </w:rPr>
        <w:t xml:space="preserve"> D．</w:t>
      </w:r>
      <w:r>
        <w:rPr>
          <w:rFonts w:hint="eastAsia" w:ascii="Times New Roman" w:hAnsi="Times New Roman" w:eastAsia="仿宋_GB2312"/>
          <w:sz w:val="28"/>
          <w:szCs w:val="28"/>
        </w:rPr>
        <w:t>不能确定</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 xml:space="preserve">（10）使用pH玻璃电极时，下列说法正确的是（     </w:t>
      </w:r>
      <w:r>
        <w:rPr>
          <w:rFonts w:ascii="Times New Roman" w:hAnsi="Times New Roman" w:eastAsia="仿宋_GB2312"/>
          <w:sz w:val="28"/>
          <w:szCs w:val="28"/>
        </w:rPr>
        <w:t xml:space="preserve"> </w:t>
      </w:r>
      <w:r>
        <w:rPr>
          <w:rFonts w:hint="eastAsia" w:ascii="Times New Roman" w:hAnsi="Times New Roman" w:eastAsia="仿宋_GB2312"/>
          <w:sz w:val="28"/>
          <w:szCs w:val="28"/>
        </w:rPr>
        <w:t xml:space="preserve"> ）。</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A．</w:t>
      </w:r>
      <w:r>
        <w:rPr>
          <w:rFonts w:hint="eastAsia" w:ascii="Times New Roman" w:hAnsi="Times New Roman" w:eastAsia="仿宋_GB2312"/>
          <w:sz w:val="28"/>
          <w:szCs w:val="28"/>
        </w:rPr>
        <w:t>使用之前应在蒸馏水中浸泡24h以上，测定完后晾干，以备下次测定使用</w:t>
      </w:r>
      <w:r>
        <w:rPr>
          <w:rFonts w:ascii="Times New Roman" w:hAnsi="Times New Roman" w:eastAsia="仿宋_GB2312"/>
          <w:sz w:val="28"/>
          <w:szCs w:val="28"/>
        </w:rPr>
        <w:t xml:space="preserve"> </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B．</w:t>
      </w:r>
      <w:r>
        <w:rPr>
          <w:rFonts w:hint="eastAsia" w:ascii="Times New Roman" w:hAnsi="Times New Roman" w:eastAsia="仿宋_GB2312"/>
          <w:sz w:val="28"/>
          <w:szCs w:val="28"/>
        </w:rPr>
        <w:t>能用于浓硫酸溶液、含氟溶液以及非水溶剂的测定</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C．</w:t>
      </w:r>
      <w:r>
        <w:rPr>
          <w:rFonts w:hint="eastAsia" w:ascii="Times New Roman" w:hAnsi="Times New Roman" w:eastAsia="仿宋_GB2312"/>
          <w:sz w:val="28"/>
          <w:szCs w:val="28"/>
        </w:rPr>
        <w:t>其球体切勿触及硬物，安装电极时其下端要比SCE下端稍高一些</w:t>
      </w:r>
      <w:r>
        <w:rPr>
          <w:rFonts w:ascii="Times New Roman" w:hAnsi="Times New Roman" w:eastAsia="仿宋_GB2312"/>
          <w:sz w:val="28"/>
          <w:szCs w:val="28"/>
        </w:rPr>
        <w:t xml:space="preserve"> </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D．</w:t>
      </w:r>
      <w:r>
        <w:rPr>
          <w:rFonts w:hint="eastAsia" w:ascii="Times New Roman" w:hAnsi="Times New Roman" w:eastAsia="仿宋_GB2312"/>
          <w:sz w:val="28"/>
          <w:szCs w:val="28"/>
        </w:rPr>
        <w:t>玻璃电极的使用期一般为二年</w:t>
      </w:r>
    </w:p>
    <w:p>
      <w:pPr>
        <w:spacing w:line="560" w:lineRule="exact"/>
        <w:ind w:firstLine="562" w:firstLineChars="200"/>
        <w:rPr>
          <w:rFonts w:ascii="Times New Roman" w:hAnsi="Times New Roman" w:eastAsia="仿宋_GB2312"/>
          <w:b/>
          <w:sz w:val="28"/>
          <w:szCs w:val="28"/>
        </w:rPr>
      </w:pPr>
      <w:r>
        <w:rPr>
          <w:rFonts w:hint="eastAsia" w:ascii="Times New Roman" w:hAnsi="Times New Roman" w:eastAsia="仿宋_GB2312"/>
          <w:b/>
          <w:sz w:val="28"/>
          <w:szCs w:val="28"/>
        </w:rPr>
        <w:t>2</w:t>
      </w:r>
      <w:r>
        <w:rPr>
          <w:rFonts w:ascii="Times New Roman" w:hAnsi="Times New Roman" w:eastAsia="仿宋_GB2312"/>
          <w:b/>
          <w:sz w:val="28"/>
          <w:szCs w:val="28"/>
        </w:rPr>
        <w:t>.判断题</w:t>
      </w:r>
      <w:r>
        <w:rPr>
          <w:rFonts w:ascii="Times New Roman" w:hAnsi="Times New Roman" w:eastAsia="仿宋_GB2312"/>
          <w:b/>
          <w:sz w:val="28"/>
          <w:szCs w:val="28"/>
        </w:rPr>
        <w:tab/>
      </w:r>
      <w:r>
        <w:rPr>
          <w:rFonts w:ascii="Times New Roman" w:hAnsi="Times New Roman" w:eastAsia="仿宋_GB2312"/>
          <w:b/>
          <w:sz w:val="28"/>
          <w:szCs w:val="28"/>
        </w:rPr>
        <w:tab/>
      </w:r>
      <w:r>
        <w:rPr>
          <w:rFonts w:ascii="Times New Roman" w:hAnsi="Times New Roman" w:eastAsia="仿宋_GB2312"/>
          <w:b/>
          <w:sz w:val="28"/>
          <w:szCs w:val="28"/>
        </w:rPr>
        <w:tab/>
      </w:r>
      <w:r>
        <w:rPr>
          <w:rFonts w:ascii="Times New Roman" w:hAnsi="Times New Roman" w:eastAsia="仿宋_GB2312"/>
          <w:b/>
          <w:sz w:val="28"/>
          <w:szCs w:val="28"/>
        </w:rPr>
        <w:tab/>
      </w:r>
      <w:r>
        <w:rPr>
          <w:rFonts w:ascii="Times New Roman" w:hAnsi="Times New Roman" w:eastAsia="仿宋_GB2312"/>
          <w:b/>
          <w:sz w:val="28"/>
          <w:szCs w:val="28"/>
        </w:rPr>
        <w:tab/>
      </w:r>
      <w:r>
        <w:rPr>
          <w:rFonts w:ascii="Times New Roman" w:hAnsi="Times New Roman" w:eastAsia="仿宋_GB2312"/>
          <w:b/>
          <w:sz w:val="28"/>
          <w:szCs w:val="28"/>
        </w:rPr>
        <w:tab/>
      </w:r>
      <w:r>
        <w:rPr>
          <w:rFonts w:ascii="Times New Roman" w:hAnsi="Times New Roman" w:eastAsia="仿宋_GB2312"/>
          <w:b/>
          <w:sz w:val="28"/>
          <w:szCs w:val="28"/>
        </w:rPr>
        <w:tab/>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（1）分析纯的NaCl试剂，如不做任何处理，用来标定AgNO</w:t>
      </w:r>
      <w:r>
        <w:rPr>
          <w:rFonts w:hint="eastAsia" w:ascii="Times New Roman" w:hAnsi="Times New Roman" w:eastAsia="仿宋_GB2312"/>
          <w:sz w:val="28"/>
          <w:szCs w:val="28"/>
          <w:vertAlign w:val="subscript"/>
        </w:rPr>
        <w:t>3</w:t>
      </w:r>
      <w:r>
        <w:rPr>
          <w:rFonts w:hint="eastAsia" w:ascii="Times New Roman" w:hAnsi="Times New Roman" w:eastAsia="仿宋_GB2312"/>
          <w:sz w:val="28"/>
          <w:szCs w:val="28"/>
        </w:rPr>
        <w:t xml:space="preserve">溶液的浓度，结果会偏高。（ </w:t>
      </w:r>
      <w:r>
        <w:rPr>
          <w:rFonts w:ascii="Times New Roman" w:hAnsi="Times New Roman" w:eastAsia="仿宋_GB2312"/>
          <w:sz w:val="28"/>
          <w:szCs w:val="28"/>
        </w:rPr>
        <w:t xml:space="preserve">  </w:t>
      </w:r>
      <w:r>
        <w:rPr>
          <w:rFonts w:hint="eastAsia" w:ascii="Times New Roman" w:hAnsi="Times New Roman" w:eastAsia="仿宋_GB2312"/>
          <w:sz w:val="28"/>
          <w:szCs w:val="28"/>
        </w:rPr>
        <w:t xml:space="preserve"> </w:t>
      </w:r>
      <w:r>
        <w:rPr>
          <w:rFonts w:ascii="Times New Roman" w:hAnsi="Times New Roman" w:eastAsia="仿宋_GB2312"/>
          <w:sz w:val="28"/>
          <w:szCs w:val="28"/>
        </w:rPr>
        <w:t xml:space="preserve">  </w:t>
      </w:r>
      <w:r>
        <w:rPr>
          <w:rFonts w:hint="eastAsia" w:ascii="Times New Roman" w:hAnsi="Times New Roman" w:eastAsia="仿宋_GB2312"/>
          <w:sz w:val="28"/>
          <w:szCs w:val="28"/>
        </w:rPr>
        <w:t xml:space="preserve"> ）</w:t>
      </w:r>
      <w:r>
        <w:rPr>
          <w:rFonts w:ascii="Times New Roman" w:hAnsi="Times New Roman" w:eastAsia="仿宋_GB2312"/>
          <w:sz w:val="28"/>
          <w:szCs w:val="28"/>
        </w:rPr>
        <w:tab/>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 xml:space="preserve">（2）在发生一级或二级烧伤时，可以用冰袋冷敷，减轻伤害程度。（ </w:t>
      </w:r>
      <w:r>
        <w:rPr>
          <w:rFonts w:ascii="Times New Roman" w:hAnsi="Times New Roman" w:eastAsia="仿宋_GB2312"/>
          <w:sz w:val="28"/>
          <w:szCs w:val="28"/>
        </w:rPr>
        <w:t xml:space="preserve">   </w:t>
      </w:r>
      <w:r>
        <w:rPr>
          <w:rFonts w:hint="eastAsia" w:ascii="Times New Roman" w:hAnsi="Times New Roman" w:eastAsia="仿宋_GB2312"/>
          <w:sz w:val="28"/>
          <w:szCs w:val="28"/>
        </w:rPr>
        <w:t xml:space="preserve">  ）</w:t>
      </w:r>
      <w:r>
        <w:rPr>
          <w:rFonts w:ascii="Times New Roman" w:hAnsi="Times New Roman" w:eastAsia="仿宋_GB2312"/>
          <w:sz w:val="28"/>
          <w:szCs w:val="28"/>
        </w:rPr>
        <w:tab/>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 xml:space="preserve">（3）计量器具的检定周期是指计量器具相邻两次检定之间的时间间隔。（  </w:t>
      </w:r>
      <w:r>
        <w:rPr>
          <w:rFonts w:ascii="Times New Roman" w:hAnsi="Times New Roman" w:eastAsia="仿宋_GB2312"/>
          <w:sz w:val="28"/>
          <w:szCs w:val="28"/>
        </w:rPr>
        <w:t xml:space="preserve">   </w:t>
      </w:r>
      <w:r>
        <w:rPr>
          <w:rFonts w:hint="eastAsia" w:ascii="Times New Roman" w:hAnsi="Times New Roman" w:eastAsia="仿宋_GB2312"/>
          <w:sz w:val="28"/>
          <w:szCs w:val="28"/>
        </w:rPr>
        <w:t xml:space="preserve"> ）</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（4）配制NaOH标准滴定溶液应采用间接法配制，一般取一定的饱和NaOH溶液用新煮沸并冷却的蒸馏水进行稀释至所需体积。（   ）</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（5）莫尔法测定Cl</w:t>
      </w:r>
      <w:r>
        <w:rPr>
          <w:rFonts w:hint="eastAsia" w:ascii="Times New Roman" w:hAnsi="Times New Roman" w:eastAsia="仿宋_GB2312"/>
          <w:sz w:val="28"/>
          <w:szCs w:val="28"/>
          <w:vertAlign w:val="superscript"/>
        </w:rPr>
        <w:t>-</w:t>
      </w:r>
      <w:r>
        <w:rPr>
          <w:rFonts w:hint="eastAsia" w:ascii="Times New Roman" w:hAnsi="Times New Roman" w:eastAsia="仿宋_GB2312"/>
          <w:sz w:val="28"/>
          <w:szCs w:val="28"/>
        </w:rPr>
        <w:t xml:space="preserve">含量，应在中性或碱性的溶液中进行。（   ）        </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 xml:space="preserve">（6）测溶液的pH时玻璃电极的电位与溶液的氢离子浓度成正比。（   </w:t>
      </w:r>
      <w:r>
        <w:rPr>
          <w:rFonts w:ascii="Times New Roman" w:hAnsi="Times New Roman" w:eastAsia="仿宋_GB2312"/>
          <w:sz w:val="28"/>
          <w:szCs w:val="28"/>
        </w:rPr>
        <w:t xml:space="preserve">  </w:t>
      </w:r>
      <w:r>
        <w:rPr>
          <w:rFonts w:hint="eastAsia" w:ascii="Times New Roman" w:hAnsi="Times New Roman" w:eastAsia="仿宋_GB2312"/>
          <w:sz w:val="28"/>
          <w:szCs w:val="28"/>
        </w:rPr>
        <w:t xml:space="preserve">）            </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 xml:space="preserve">（7）测定运动粘度时，粘度计的选择：务使试样的流动时间不少于200s，内径0.4mm的粘度计流动时间不少于300s。（  </w:t>
      </w:r>
      <w:r>
        <w:rPr>
          <w:rFonts w:ascii="Times New Roman" w:hAnsi="Times New Roman" w:eastAsia="仿宋_GB2312"/>
          <w:sz w:val="28"/>
          <w:szCs w:val="28"/>
        </w:rPr>
        <w:t xml:space="preserve">  </w:t>
      </w:r>
      <w:r>
        <w:rPr>
          <w:rFonts w:hint="eastAsia" w:ascii="Times New Roman" w:hAnsi="Times New Roman" w:eastAsia="仿宋_GB2312"/>
          <w:sz w:val="28"/>
          <w:szCs w:val="28"/>
        </w:rPr>
        <w:t xml:space="preserve"> </w:t>
      </w:r>
      <w:r>
        <w:rPr>
          <w:rFonts w:ascii="Times New Roman" w:hAnsi="Times New Roman" w:eastAsia="仿宋_GB2312"/>
          <w:sz w:val="28"/>
          <w:szCs w:val="28"/>
        </w:rPr>
        <w:t xml:space="preserve">  </w:t>
      </w:r>
      <w:r>
        <w:rPr>
          <w:rFonts w:hint="eastAsia" w:ascii="Times New Roman" w:hAnsi="Times New Roman" w:eastAsia="仿宋_GB2312"/>
          <w:sz w:val="28"/>
          <w:szCs w:val="28"/>
        </w:rPr>
        <w:t>）</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 xml:space="preserve">（8）盐酸和硼酸都可以用NaOH标准溶液直接滴定。（   </w:t>
      </w:r>
      <w:r>
        <w:rPr>
          <w:rFonts w:ascii="Times New Roman" w:hAnsi="Times New Roman" w:eastAsia="仿宋_GB2312"/>
          <w:sz w:val="28"/>
          <w:szCs w:val="28"/>
        </w:rPr>
        <w:t xml:space="preserve">  </w:t>
      </w:r>
      <w:r>
        <w:rPr>
          <w:rFonts w:hint="eastAsia" w:ascii="Times New Roman" w:hAnsi="Times New Roman" w:eastAsia="仿宋_GB2312"/>
          <w:sz w:val="28"/>
          <w:szCs w:val="28"/>
        </w:rPr>
        <w:t>）</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 xml:space="preserve">（9）杜马法对于大多数含氮有机化合物的氮含量测定都适用。（ </w:t>
      </w:r>
      <w:r>
        <w:rPr>
          <w:rFonts w:ascii="Times New Roman" w:hAnsi="Times New Roman" w:eastAsia="仿宋_GB2312"/>
          <w:sz w:val="28"/>
          <w:szCs w:val="28"/>
        </w:rPr>
        <w:t xml:space="preserve">  </w:t>
      </w:r>
      <w:r>
        <w:rPr>
          <w:rFonts w:hint="eastAsia" w:ascii="Times New Roman" w:hAnsi="Times New Roman" w:eastAsia="仿宋_GB2312"/>
          <w:sz w:val="28"/>
          <w:szCs w:val="28"/>
        </w:rPr>
        <w:t xml:space="preserve">  ）</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 xml:space="preserve">（10）分离非极性组分，一般选用非极性固定液，各组分按沸点顺序流出。（  </w:t>
      </w:r>
      <w:r>
        <w:rPr>
          <w:rFonts w:ascii="Times New Roman" w:hAnsi="Times New Roman" w:eastAsia="仿宋_GB2312"/>
          <w:sz w:val="28"/>
          <w:szCs w:val="28"/>
        </w:rPr>
        <w:t xml:space="preserve">   </w:t>
      </w:r>
      <w:r>
        <w:rPr>
          <w:rFonts w:hint="eastAsia" w:ascii="Times New Roman" w:hAnsi="Times New Roman" w:eastAsia="仿宋_GB2312"/>
          <w:sz w:val="28"/>
          <w:szCs w:val="28"/>
        </w:rPr>
        <w:t xml:space="preserve"> ）</w:t>
      </w:r>
    </w:p>
    <w:p>
      <w:pPr>
        <w:spacing w:line="560" w:lineRule="exact"/>
        <w:ind w:firstLine="562" w:firstLineChars="200"/>
        <w:rPr>
          <w:rFonts w:ascii="Times New Roman" w:hAnsi="Times New Roman" w:eastAsia="仿宋_GB2312"/>
          <w:b/>
          <w:sz w:val="28"/>
          <w:szCs w:val="28"/>
        </w:rPr>
      </w:pPr>
      <w:r>
        <w:rPr>
          <w:rFonts w:hint="eastAsia" w:ascii="Times New Roman" w:hAnsi="Times New Roman" w:eastAsia="仿宋_GB2312"/>
          <w:b/>
          <w:sz w:val="28"/>
          <w:szCs w:val="28"/>
        </w:rPr>
        <w:t>3</w:t>
      </w:r>
      <w:r>
        <w:rPr>
          <w:rFonts w:ascii="Times New Roman" w:hAnsi="Times New Roman" w:eastAsia="仿宋_GB2312"/>
          <w:b/>
          <w:sz w:val="28"/>
          <w:szCs w:val="28"/>
        </w:rPr>
        <w:t>.多选题</w:t>
      </w:r>
      <w:r>
        <w:rPr>
          <w:rFonts w:ascii="Times New Roman" w:hAnsi="Times New Roman" w:eastAsia="仿宋_GB2312"/>
          <w:b/>
          <w:sz w:val="28"/>
          <w:szCs w:val="28"/>
        </w:rPr>
        <w:tab/>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 xml:space="preserve">（1）被高锰酸钾溶液污染的滴定管可用（  </w:t>
      </w:r>
      <w:r>
        <w:rPr>
          <w:rFonts w:ascii="Times New Roman" w:hAnsi="Times New Roman" w:eastAsia="仿宋_GB2312"/>
          <w:sz w:val="28"/>
          <w:szCs w:val="28"/>
        </w:rPr>
        <w:t xml:space="preserve">  </w:t>
      </w:r>
      <w:r>
        <w:rPr>
          <w:rFonts w:hint="eastAsia" w:ascii="Times New Roman" w:hAnsi="Times New Roman" w:eastAsia="仿宋_GB2312"/>
          <w:sz w:val="28"/>
          <w:szCs w:val="28"/>
        </w:rPr>
        <w:t xml:space="preserve"> ）溶液洗涤。</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A．</w:t>
      </w:r>
      <w:r>
        <w:rPr>
          <w:rFonts w:hint="eastAsia" w:ascii="Times New Roman" w:hAnsi="Times New Roman" w:eastAsia="仿宋_GB2312"/>
          <w:sz w:val="28"/>
          <w:szCs w:val="28"/>
        </w:rPr>
        <w:t xml:space="preserve">铬酸洗液 </w:t>
      </w:r>
      <w:r>
        <w:rPr>
          <w:rFonts w:ascii="Times New Roman" w:hAnsi="Times New Roman" w:eastAsia="仿宋_GB2312"/>
          <w:sz w:val="28"/>
          <w:szCs w:val="28"/>
        </w:rPr>
        <w:t xml:space="preserve"> B．</w:t>
      </w:r>
      <w:r>
        <w:rPr>
          <w:rFonts w:hint="eastAsia" w:ascii="Times New Roman" w:hAnsi="Times New Roman" w:eastAsia="仿宋_GB2312"/>
          <w:sz w:val="28"/>
          <w:szCs w:val="28"/>
        </w:rPr>
        <w:t>碳酸钠</w:t>
      </w:r>
      <w:r>
        <w:rPr>
          <w:rFonts w:ascii="Times New Roman" w:hAnsi="Times New Roman" w:eastAsia="仿宋_GB2312"/>
          <w:sz w:val="28"/>
          <w:szCs w:val="28"/>
        </w:rPr>
        <w:tab/>
      </w:r>
      <w:r>
        <w:rPr>
          <w:rFonts w:hint="eastAsia" w:ascii="Times New Roman" w:hAnsi="Times New Roman" w:eastAsia="仿宋_GB2312"/>
          <w:sz w:val="28"/>
          <w:szCs w:val="28"/>
        </w:rPr>
        <w:t xml:space="preserve"> </w:t>
      </w:r>
      <w:r>
        <w:rPr>
          <w:rFonts w:ascii="Times New Roman" w:hAnsi="Times New Roman" w:eastAsia="仿宋_GB2312"/>
          <w:sz w:val="28"/>
          <w:szCs w:val="28"/>
        </w:rPr>
        <w:t xml:space="preserve"> C．</w:t>
      </w:r>
      <w:r>
        <w:rPr>
          <w:rFonts w:hint="eastAsia" w:ascii="Times New Roman" w:hAnsi="Times New Roman" w:eastAsia="仿宋_GB2312"/>
          <w:sz w:val="28"/>
          <w:szCs w:val="28"/>
        </w:rPr>
        <w:t>草酸</w:t>
      </w:r>
      <w:r>
        <w:rPr>
          <w:rFonts w:ascii="Times New Roman" w:hAnsi="Times New Roman" w:eastAsia="仿宋_GB2312"/>
          <w:sz w:val="28"/>
          <w:szCs w:val="28"/>
        </w:rPr>
        <w:t xml:space="preserve"> D．</w:t>
      </w:r>
      <w:r>
        <w:rPr>
          <w:rFonts w:hint="eastAsia" w:ascii="Times New Roman" w:hAnsi="Times New Roman" w:eastAsia="仿宋_GB2312"/>
          <w:sz w:val="28"/>
          <w:szCs w:val="28"/>
        </w:rPr>
        <w:t>硫酸亚铁</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w:t>
      </w:r>
      <w:r>
        <w:rPr>
          <w:rFonts w:ascii="Times New Roman" w:hAnsi="Times New Roman" w:eastAsia="仿宋_GB2312"/>
          <w:sz w:val="28"/>
          <w:szCs w:val="28"/>
        </w:rPr>
        <w:t>2</w:t>
      </w:r>
      <w:r>
        <w:rPr>
          <w:rFonts w:hint="eastAsia" w:ascii="Times New Roman" w:hAnsi="Times New Roman" w:eastAsia="仿宋_GB2312"/>
          <w:sz w:val="28"/>
          <w:szCs w:val="28"/>
        </w:rPr>
        <w:t>）基准物质必须具备的条件有（      ）。</w:t>
      </w:r>
      <w:r>
        <w:rPr>
          <w:rFonts w:ascii="Times New Roman" w:hAnsi="Times New Roman" w:eastAsia="仿宋_GB2312"/>
          <w:sz w:val="28"/>
          <w:szCs w:val="28"/>
        </w:rPr>
        <w:tab/>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A．</w:t>
      </w:r>
      <w:r>
        <w:rPr>
          <w:rFonts w:hint="eastAsia" w:ascii="Times New Roman" w:hAnsi="Times New Roman" w:eastAsia="仿宋_GB2312"/>
          <w:sz w:val="28"/>
          <w:szCs w:val="28"/>
        </w:rPr>
        <w:t>组成恒定并与化学式相符。若含结晶水，其结晶水的实际含量也应与化学式严格相符。</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B．</w:t>
      </w:r>
      <w:r>
        <w:rPr>
          <w:rFonts w:hint="eastAsia" w:ascii="Times New Roman" w:hAnsi="Times New Roman" w:eastAsia="仿宋_GB2312"/>
          <w:sz w:val="28"/>
          <w:szCs w:val="28"/>
        </w:rPr>
        <w:t>纯度足够高（达99.9%以上），杂质含量应低于分析方法允许的误差限。</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C．</w:t>
      </w:r>
      <w:r>
        <w:rPr>
          <w:rFonts w:hint="eastAsia" w:ascii="Times New Roman" w:hAnsi="Times New Roman" w:eastAsia="仿宋_GB2312"/>
          <w:sz w:val="28"/>
          <w:szCs w:val="28"/>
        </w:rPr>
        <w:t>性质稳定，不易吸收空气中的水分和CO</w:t>
      </w:r>
      <w:r>
        <w:rPr>
          <w:rFonts w:hint="eastAsia" w:ascii="Times New Roman" w:hAnsi="Times New Roman" w:eastAsia="仿宋_GB2312"/>
          <w:sz w:val="28"/>
          <w:szCs w:val="28"/>
          <w:vertAlign w:val="subscript"/>
        </w:rPr>
        <w:t>2</w:t>
      </w:r>
      <w:r>
        <w:rPr>
          <w:rFonts w:hint="eastAsia" w:ascii="Times New Roman" w:hAnsi="Times New Roman" w:eastAsia="仿宋_GB2312"/>
          <w:sz w:val="28"/>
          <w:szCs w:val="28"/>
        </w:rPr>
        <w:t>，不分解，不易被空气所氧化。</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D．</w:t>
      </w:r>
      <w:r>
        <w:rPr>
          <w:rFonts w:hint="eastAsia" w:ascii="Times New Roman" w:hAnsi="Times New Roman" w:eastAsia="仿宋_GB2312"/>
          <w:sz w:val="28"/>
          <w:szCs w:val="28"/>
        </w:rPr>
        <w:t>有较小的摩尔质量，以减少称量时相对误差。</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 xml:space="preserve">（3）下列有关平均值的置信区间的论述中，错误的有（ </w:t>
      </w:r>
      <w:r>
        <w:rPr>
          <w:rFonts w:ascii="Times New Roman" w:hAnsi="Times New Roman" w:eastAsia="仿宋_GB2312"/>
          <w:sz w:val="28"/>
          <w:szCs w:val="28"/>
        </w:rPr>
        <w:t xml:space="preserve">  </w:t>
      </w:r>
      <w:r>
        <w:rPr>
          <w:rFonts w:hint="eastAsia" w:ascii="Times New Roman" w:hAnsi="Times New Roman" w:eastAsia="仿宋_GB2312"/>
          <w:sz w:val="28"/>
          <w:szCs w:val="28"/>
        </w:rPr>
        <w:t>）。</w:t>
      </w:r>
      <w:r>
        <w:rPr>
          <w:rFonts w:ascii="Times New Roman" w:hAnsi="Times New Roman" w:eastAsia="仿宋_GB2312"/>
          <w:sz w:val="28"/>
          <w:szCs w:val="28"/>
        </w:rPr>
        <w:tab/>
      </w:r>
      <w:r>
        <w:rPr>
          <w:rFonts w:ascii="Times New Roman" w:hAnsi="Times New Roman" w:eastAsia="仿宋_GB2312"/>
          <w:sz w:val="28"/>
          <w:szCs w:val="28"/>
        </w:rPr>
        <w:t xml:space="preserve"> A．</w:t>
      </w:r>
      <w:r>
        <w:rPr>
          <w:rFonts w:hint="eastAsia" w:ascii="Times New Roman" w:hAnsi="Times New Roman" w:eastAsia="仿宋_GB2312"/>
          <w:sz w:val="28"/>
          <w:szCs w:val="28"/>
        </w:rPr>
        <w:t>同条件下测定次数越多，则置信区间越小</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B．</w:t>
      </w:r>
      <w:r>
        <w:rPr>
          <w:rFonts w:hint="eastAsia" w:ascii="Times New Roman" w:hAnsi="Times New Roman" w:eastAsia="仿宋_GB2312"/>
          <w:sz w:val="28"/>
          <w:szCs w:val="28"/>
        </w:rPr>
        <w:t>同条件下平均值的数值越大，则置信区间越大</w:t>
      </w:r>
      <w:r>
        <w:rPr>
          <w:rFonts w:ascii="Times New Roman" w:hAnsi="Times New Roman" w:eastAsia="仿宋_GB2312"/>
          <w:sz w:val="28"/>
          <w:szCs w:val="28"/>
        </w:rPr>
        <w:tab/>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C．</w:t>
      </w:r>
      <w:r>
        <w:rPr>
          <w:rFonts w:hint="eastAsia" w:ascii="Times New Roman" w:hAnsi="Times New Roman" w:eastAsia="仿宋_GB2312"/>
          <w:sz w:val="28"/>
          <w:szCs w:val="28"/>
        </w:rPr>
        <w:t>同条件下测定的精密度越高，则置信区间越小</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D．</w:t>
      </w:r>
      <w:r>
        <w:rPr>
          <w:rFonts w:hint="eastAsia" w:ascii="Times New Roman" w:hAnsi="Times New Roman" w:eastAsia="仿宋_GB2312"/>
          <w:sz w:val="28"/>
          <w:szCs w:val="28"/>
        </w:rPr>
        <w:t>给定的置信度越小，则置信区间也越小</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E．</w:t>
      </w:r>
      <w:r>
        <w:rPr>
          <w:rFonts w:hint="eastAsia" w:ascii="Times New Roman" w:hAnsi="Times New Roman" w:eastAsia="仿宋_GB2312"/>
          <w:sz w:val="28"/>
          <w:szCs w:val="28"/>
        </w:rPr>
        <w:t>置信度越高，置信区间越大，分析结果越可靠</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（4）欲配制pH为3的缓冲溶液，应选择的弱酸及其弱酸盐是（     ）。</w:t>
      </w:r>
      <w:r>
        <w:rPr>
          <w:rFonts w:ascii="Times New Roman" w:hAnsi="Times New Roman" w:eastAsia="仿宋_GB2312"/>
          <w:sz w:val="28"/>
          <w:szCs w:val="28"/>
        </w:rPr>
        <w:tab/>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A．</w:t>
      </w:r>
      <w:r>
        <w:rPr>
          <w:rFonts w:hint="eastAsia" w:ascii="Times New Roman" w:hAnsi="Times New Roman" w:eastAsia="仿宋_GB2312"/>
          <w:sz w:val="28"/>
          <w:szCs w:val="28"/>
        </w:rPr>
        <w:t>醋酸（pKa=4.74）</w:t>
      </w:r>
      <w:r>
        <w:rPr>
          <w:rFonts w:ascii="Times New Roman" w:hAnsi="Times New Roman" w:eastAsia="仿宋_GB2312"/>
          <w:sz w:val="28"/>
          <w:szCs w:val="28"/>
        </w:rPr>
        <w:tab/>
      </w:r>
      <w:r>
        <w:rPr>
          <w:rFonts w:ascii="Times New Roman" w:hAnsi="Times New Roman" w:eastAsia="仿宋_GB2312"/>
          <w:sz w:val="28"/>
          <w:szCs w:val="28"/>
        </w:rPr>
        <w:t xml:space="preserve">      B．</w:t>
      </w:r>
      <w:r>
        <w:rPr>
          <w:rFonts w:hint="eastAsia" w:ascii="Times New Roman" w:hAnsi="Times New Roman" w:eastAsia="仿宋_GB2312"/>
          <w:sz w:val="28"/>
          <w:szCs w:val="28"/>
        </w:rPr>
        <w:t>甲酸（pKa=3.74）</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C．</w:t>
      </w:r>
      <w:r>
        <w:rPr>
          <w:rFonts w:hint="eastAsia" w:ascii="Times New Roman" w:hAnsi="Times New Roman" w:eastAsia="仿宋_GB2312"/>
          <w:sz w:val="28"/>
          <w:szCs w:val="28"/>
        </w:rPr>
        <w:t>一氯乙酸（pKa=2.86）</w:t>
      </w:r>
      <w:r>
        <w:rPr>
          <w:rFonts w:ascii="Times New Roman" w:hAnsi="Times New Roman" w:eastAsia="仿宋_GB2312"/>
          <w:sz w:val="28"/>
          <w:szCs w:val="28"/>
        </w:rPr>
        <w:tab/>
      </w:r>
      <w:r>
        <w:rPr>
          <w:rFonts w:ascii="Times New Roman" w:hAnsi="Times New Roman" w:eastAsia="仿宋_GB2312"/>
          <w:sz w:val="28"/>
          <w:szCs w:val="28"/>
        </w:rPr>
        <w:t>D．</w:t>
      </w:r>
      <w:r>
        <w:rPr>
          <w:rFonts w:hint="eastAsia" w:ascii="Times New Roman" w:hAnsi="Times New Roman" w:eastAsia="仿宋_GB2312"/>
          <w:sz w:val="28"/>
          <w:szCs w:val="28"/>
        </w:rPr>
        <w:t>二氯乙酸（pKa=1.30）</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（5）在EDTA（Y）配位滴定中，金属离子指示剂（In）的应用条件是（        ）。</w:t>
      </w:r>
      <w:r>
        <w:rPr>
          <w:rFonts w:ascii="Times New Roman" w:hAnsi="Times New Roman" w:eastAsia="仿宋_GB2312"/>
          <w:sz w:val="28"/>
          <w:szCs w:val="28"/>
        </w:rPr>
        <w:tab/>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A．</w:t>
      </w:r>
      <w:r>
        <w:rPr>
          <w:rFonts w:hint="eastAsia" w:ascii="Times New Roman" w:hAnsi="Times New Roman" w:eastAsia="仿宋_GB2312"/>
          <w:sz w:val="28"/>
          <w:szCs w:val="28"/>
        </w:rPr>
        <w:t>In与MY应有相同的颜色</w:t>
      </w:r>
      <w:r>
        <w:rPr>
          <w:rFonts w:ascii="Times New Roman" w:hAnsi="Times New Roman" w:eastAsia="仿宋_GB2312"/>
          <w:sz w:val="28"/>
          <w:szCs w:val="28"/>
        </w:rPr>
        <w:t xml:space="preserve"> </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B．</w:t>
      </w:r>
      <w:r>
        <w:rPr>
          <w:rFonts w:hint="eastAsia" w:ascii="Times New Roman" w:hAnsi="Times New Roman" w:eastAsia="仿宋_GB2312"/>
          <w:sz w:val="28"/>
          <w:szCs w:val="28"/>
        </w:rPr>
        <w:t>MIn应有足够的稳定性，且K'MIn＞K'MY</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C．</w:t>
      </w:r>
      <w:r>
        <w:rPr>
          <w:rFonts w:hint="eastAsia" w:ascii="Times New Roman" w:hAnsi="Times New Roman" w:eastAsia="仿宋_GB2312"/>
          <w:sz w:val="28"/>
          <w:szCs w:val="28"/>
        </w:rPr>
        <w:t>In与MIn应有显著不同的颜色</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D．</w:t>
      </w:r>
      <w:r>
        <w:rPr>
          <w:rFonts w:hint="eastAsia" w:ascii="Times New Roman" w:hAnsi="Times New Roman" w:eastAsia="仿宋_GB2312"/>
          <w:sz w:val="28"/>
          <w:szCs w:val="28"/>
        </w:rPr>
        <w:t>In与MIn应当都能溶于水</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（6）重铬酸钾滴定法测铁时，加入H</w:t>
      </w:r>
      <w:r>
        <w:rPr>
          <w:rFonts w:hint="eastAsia" w:ascii="Times New Roman" w:hAnsi="Times New Roman" w:eastAsia="仿宋_GB2312"/>
          <w:sz w:val="28"/>
          <w:szCs w:val="28"/>
          <w:vertAlign w:val="subscript"/>
        </w:rPr>
        <w:t>3</w:t>
      </w:r>
      <w:r>
        <w:rPr>
          <w:rFonts w:hint="eastAsia" w:ascii="Times New Roman" w:hAnsi="Times New Roman" w:eastAsia="仿宋_GB2312"/>
          <w:sz w:val="28"/>
          <w:szCs w:val="28"/>
        </w:rPr>
        <w:t>PO</w:t>
      </w:r>
      <w:r>
        <w:rPr>
          <w:rFonts w:hint="eastAsia" w:ascii="Times New Roman" w:hAnsi="Times New Roman" w:eastAsia="仿宋_GB2312"/>
          <w:sz w:val="28"/>
          <w:szCs w:val="28"/>
          <w:vertAlign w:val="subscript"/>
        </w:rPr>
        <w:t>4</w:t>
      </w:r>
      <w:r>
        <w:rPr>
          <w:rFonts w:hint="eastAsia" w:ascii="Times New Roman" w:hAnsi="Times New Roman" w:eastAsia="仿宋_GB2312"/>
          <w:sz w:val="28"/>
          <w:szCs w:val="28"/>
        </w:rPr>
        <w:t>的作用，错误的是（    ）。</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A．</w:t>
      </w:r>
      <w:r>
        <w:rPr>
          <w:rFonts w:hint="eastAsia" w:ascii="Times New Roman" w:hAnsi="Times New Roman" w:eastAsia="仿宋_GB2312"/>
          <w:sz w:val="28"/>
          <w:szCs w:val="28"/>
        </w:rPr>
        <w:t>防止沉淀</w:t>
      </w:r>
      <w:r>
        <w:rPr>
          <w:rFonts w:ascii="Times New Roman" w:hAnsi="Times New Roman" w:eastAsia="仿宋_GB2312"/>
          <w:sz w:val="28"/>
          <w:szCs w:val="28"/>
        </w:rPr>
        <w:t xml:space="preserve">       B．</w:t>
      </w:r>
      <w:r>
        <w:rPr>
          <w:rFonts w:hint="eastAsia" w:ascii="Times New Roman" w:hAnsi="Times New Roman" w:eastAsia="仿宋_GB2312"/>
          <w:sz w:val="28"/>
          <w:szCs w:val="28"/>
        </w:rPr>
        <w:t>提高酸度</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C</w:t>
      </w:r>
      <w:r>
        <w:rPr>
          <w:rFonts w:ascii="Times New Roman" w:hAnsi="Times New Roman" w:eastAsia="仿宋_GB2312"/>
          <w:sz w:val="28"/>
          <w:szCs w:val="28"/>
        </w:rPr>
        <w:t>．</w:t>
      </w:r>
      <w:r>
        <w:rPr>
          <w:rFonts w:hint="eastAsia" w:ascii="Times New Roman" w:hAnsi="Times New Roman" w:eastAsia="仿宋_GB2312"/>
          <w:sz w:val="28"/>
          <w:szCs w:val="28"/>
        </w:rPr>
        <w:t>防止Fe</w:t>
      </w:r>
      <w:r>
        <w:rPr>
          <w:rFonts w:hint="eastAsia" w:ascii="Times New Roman" w:hAnsi="Times New Roman" w:eastAsia="仿宋_GB2312"/>
          <w:sz w:val="28"/>
          <w:szCs w:val="28"/>
          <w:vertAlign w:val="superscript"/>
        </w:rPr>
        <w:t>2+</w:t>
      </w:r>
      <w:r>
        <w:rPr>
          <w:rFonts w:hint="eastAsia" w:ascii="Times New Roman" w:hAnsi="Times New Roman" w:eastAsia="仿宋_GB2312"/>
          <w:sz w:val="28"/>
          <w:szCs w:val="28"/>
        </w:rPr>
        <w:t>氧化</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D</w:t>
      </w:r>
      <w:r>
        <w:rPr>
          <w:rFonts w:ascii="Times New Roman" w:hAnsi="Times New Roman" w:eastAsia="仿宋_GB2312"/>
          <w:sz w:val="28"/>
          <w:szCs w:val="28"/>
        </w:rPr>
        <w:t>．</w:t>
      </w:r>
      <w:r>
        <w:rPr>
          <w:rFonts w:hint="eastAsia" w:ascii="Times New Roman" w:hAnsi="Times New Roman" w:eastAsia="仿宋_GB2312"/>
          <w:sz w:val="28"/>
          <w:szCs w:val="28"/>
        </w:rPr>
        <w:t>降低Fe</w:t>
      </w:r>
      <w:r>
        <w:rPr>
          <w:rFonts w:hint="eastAsia" w:ascii="Times New Roman" w:hAnsi="Times New Roman" w:eastAsia="仿宋_GB2312"/>
          <w:sz w:val="28"/>
          <w:szCs w:val="28"/>
          <w:vertAlign w:val="superscript"/>
        </w:rPr>
        <w:t>3+</w:t>
      </w:r>
      <w:r>
        <w:rPr>
          <w:rFonts w:hint="eastAsia" w:ascii="Times New Roman" w:hAnsi="Times New Roman" w:eastAsia="仿宋_GB2312"/>
          <w:sz w:val="28"/>
          <w:szCs w:val="28"/>
        </w:rPr>
        <w:t>/Fe</w:t>
      </w:r>
      <w:r>
        <w:rPr>
          <w:rFonts w:hint="eastAsia" w:ascii="Times New Roman" w:hAnsi="Times New Roman" w:eastAsia="仿宋_GB2312"/>
          <w:sz w:val="28"/>
          <w:szCs w:val="28"/>
          <w:vertAlign w:val="superscript"/>
        </w:rPr>
        <w:t>2+</w:t>
      </w:r>
      <w:r>
        <w:rPr>
          <w:rFonts w:hint="eastAsia" w:ascii="Times New Roman" w:hAnsi="Times New Roman" w:eastAsia="仿宋_GB2312"/>
          <w:sz w:val="28"/>
          <w:szCs w:val="28"/>
        </w:rPr>
        <w:t>电位，使突跃范围增大</w:t>
      </w:r>
      <w:r>
        <w:rPr>
          <w:rFonts w:ascii="Times New Roman" w:hAnsi="Times New Roman" w:eastAsia="仿宋_GB2312"/>
          <w:sz w:val="28"/>
          <w:szCs w:val="28"/>
        </w:rPr>
        <w:tab/>
      </w:r>
      <w:r>
        <w:rPr>
          <w:rFonts w:hint="eastAsia" w:ascii="Times New Roman" w:hAnsi="Times New Roman" w:eastAsia="仿宋_GB2312"/>
          <w:sz w:val="28"/>
          <w:szCs w:val="28"/>
        </w:rPr>
        <w:t xml:space="preserve"> </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（7）在原子吸收分光光度法中，与原子化器有关的干扰为（    ）。</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A．</w:t>
      </w:r>
      <w:r>
        <w:rPr>
          <w:rFonts w:hint="eastAsia" w:ascii="Times New Roman" w:hAnsi="Times New Roman" w:eastAsia="仿宋_GB2312"/>
          <w:sz w:val="28"/>
          <w:szCs w:val="28"/>
        </w:rPr>
        <w:t>背景吸收</w:t>
      </w:r>
      <w:r>
        <w:rPr>
          <w:rFonts w:ascii="Times New Roman" w:hAnsi="Times New Roman" w:eastAsia="仿宋_GB2312"/>
          <w:sz w:val="28"/>
          <w:szCs w:val="28"/>
        </w:rPr>
        <w:t xml:space="preserve">  </w:t>
      </w:r>
      <w:r>
        <w:rPr>
          <w:rFonts w:hint="eastAsia" w:ascii="Times New Roman" w:hAnsi="Times New Roman" w:eastAsia="仿宋_GB2312"/>
          <w:sz w:val="28"/>
          <w:szCs w:val="28"/>
        </w:rPr>
        <w:t xml:space="preserve"> </w:t>
      </w:r>
      <w:r>
        <w:rPr>
          <w:rFonts w:ascii="Times New Roman" w:hAnsi="Times New Roman" w:eastAsia="仿宋_GB2312"/>
          <w:sz w:val="28"/>
          <w:szCs w:val="28"/>
        </w:rPr>
        <w:t xml:space="preserve">           B．</w:t>
      </w:r>
      <w:r>
        <w:rPr>
          <w:rFonts w:hint="eastAsia" w:ascii="Times New Roman" w:hAnsi="Times New Roman" w:eastAsia="仿宋_GB2312"/>
          <w:sz w:val="28"/>
          <w:szCs w:val="28"/>
        </w:rPr>
        <w:t>基体效应</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C．</w:t>
      </w:r>
      <w:r>
        <w:rPr>
          <w:rFonts w:hint="eastAsia" w:ascii="Times New Roman" w:hAnsi="Times New Roman" w:eastAsia="仿宋_GB2312"/>
          <w:sz w:val="28"/>
          <w:szCs w:val="28"/>
        </w:rPr>
        <w:t>火焰成份对光的吸收</w:t>
      </w:r>
      <w:r>
        <w:rPr>
          <w:rFonts w:ascii="Times New Roman" w:hAnsi="Times New Roman" w:eastAsia="仿宋_GB2312"/>
          <w:sz w:val="28"/>
          <w:szCs w:val="28"/>
        </w:rPr>
        <w:tab/>
      </w:r>
      <w:r>
        <w:rPr>
          <w:rFonts w:ascii="Times New Roman" w:hAnsi="Times New Roman" w:eastAsia="仿宋_GB2312"/>
          <w:sz w:val="28"/>
          <w:szCs w:val="28"/>
        </w:rPr>
        <w:t xml:space="preserve">  D．</w:t>
      </w:r>
      <w:r>
        <w:rPr>
          <w:rFonts w:hint="eastAsia" w:ascii="Times New Roman" w:hAnsi="Times New Roman" w:eastAsia="仿宋_GB2312"/>
          <w:sz w:val="28"/>
          <w:szCs w:val="28"/>
        </w:rPr>
        <w:t>雾化时的气体压力</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（8）能被氢火焰检测器检测的组分是（        ）。</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A．</w:t>
      </w:r>
      <w:r>
        <w:rPr>
          <w:rFonts w:hint="eastAsia" w:ascii="Times New Roman" w:hAnsi="Times New Roman" w:eastAsia="仿宋_GB2312"/>
          <w:sz w:val="28"/>
          <w:szCs w:val="28"/>
        </w:rPr>
        <w:t xml:space="preserve">四氯化碳  </w:t>
      </w:r>
      <w:r>
        <w:rPr>
          <w:rFonts w:ascii="Times New Roman" w:hAnsi="Times New Roman" w:eastAsia="仿宋_GB2312"/>
          <w:sz w:val="28"/>
          <w:szCs w:val="28"/>
        </w:rPr>
        <w:t xml:space="preserve"> B．</w:t>
      </w:r>
      <w:r>
        <w:rPr>
          <w:rFonts w:hint="eastAsia" w:ascii="Times New Roman" w:hAnsi="Times New Roman" w:eastAsia="仿宋_GB2312"/>
          <w:sz w:val="28"/>
          <w:szCs w:val="28"/>
        </w:rPr>
        <w:t>烯烃</w:t>
      </w:r>
      <w:r>
        <w:rPr>
          <w:rFonts w:ascii="Times New Roman" w:hAnsi="Times New Roman" w:eastAsia="仿宋_GB2312"/>
          <w:sz w:val="28"/>
          <w:szCs w:val="28"/>
        </w:rPr>
        <w:tab/>
      </w:r>
      <w:r>
        <w:rPr>
          <w:rFonts w:ascii="Times New Roman" w:hAnsi="Times New Roman" w:eastAsia="仿宋_GB2312"/>
          <w:sz w:val="28"/>
          <w:szCs w:val="28"/>
        </w:rPr>
        <w:t xml:space="preserve"> C．</w:t>
      </w:r>
      <w:r>
        <w:rPr>
          <w:rFonts w:hint="eastAsia" w:ascii="Times New Roman" w:hAnsi="Times New Roman" w:eastAsia="仿宋_GB2312"/>
          <w:sz w:val="28"/>
          <w:szCs w:val="28"/>
        </w:rPr>
        <w:t>烷烃</w:t>
      </w:r>
      <w:r>
        <w:rPr>
          <w:rFonts w:ascii="Times New Roman" w:hAnsi="Times New Roman" w:eastAsia="仿宋_GB2312"/>
          <w:sz w:val="28"/>
          <w:szCs w:val="28"/>
        </w:rPr>
        <w:tab/>
      </w:r>
      <w:r>
        <w:rPr>
          <w:rFonts w:ascii="Times New Roman" w:hAnsi="Times New Roman" w:eastAsia="仿宋_GB2312"/>
          <w:sz w:val="28"/>
          <w:szCs w:val="28"/>
        </w:rPr>
        <w:t xml:space="preserve">  D．</w:t>
      </w:r>
      <w:r>
        <w:rPr>
          <w:rFonts w:hint="eastAsia" w:ascii="Times New Roman" w:hAnsi="Times New Roman" w:eastAsia="仿宋_GB2312"/>
          <w:sz w:val="28"/>
          <w:szCs w:val="28"/>
        </w:rPr>
        <w:t>醇系物</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（9）选择下列（       ）试剂能将苯酚和苯胺混合物分离。</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A．1.0mol/LHCl         B．1.0mol/LNaOH</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C．1.0mol/LNaHCO</w:t>
      </w:r>
      <w:r>
        <w:rPr>
          <w:rFonts w:ascii="Times New Roman" w:hAnsi="Times New Roman" w:eastAsia="仿宋_GB2312"/>
          <w:sz w:val="28"/>
          <w:szCs w:val="28"/>
          <w:vertAlign w:val="subscript"/>
        </w:rPr>
        <w:t>3</w:t>
      </w:r>
      <w:r>
        <w:rPr>
          <w:rFonts w:ascii="Times New Roman" w:hAnsi="Times New Roman" w:eastAsia="仿宋_GB2312"/>
          <w:sz w:val="28"/>
          <w:szCs w:val="28"/>
        </w:rPr>
        <w:t xml:space="preserve">     D．</w:t>
      </w:r>
      <w:r>
        <w:rPr>
          <w:rFonts w:hint="eastAsia" w:ascii="Times New Roman" w:hAnsi="Times New Roman" w:eastAsia="仿宋_GB2312"/>
          <w:sz w:val="28"/>
          <w:szCs w:val="28"/>
        </w:rPr>
        <w:t>1.0mol/L热HNO</w:t>
      </w:r>
      <w:r>
        <w:rPr>
          <w:rFonts w:hint="eastAsia" w:ascii="Times New Roman" w:hAnsi="Times New Roman" w:eastAsia="仿宋_GB2312"/>
          <w:sz w:val="28"/>
          <w:szCs w:val="28"/>
          <w:vertAlign w:val="subscript"/>
        </w:rPr>
        <w:t xml:space="preserve">3 </w:t>
      </w:r>
      <w:r>
        <w:rPr>
          <w:rFonts w:hint="eastAsia" w:ascii="Times New Roman" w:hAnsi="Times New Roman" w:eastAsia="仿宋_GB2312"/>
          <w:sz w:val="28"/>
          <w:szCs w:val="28"/>
        </w:rPr>
        <w:t xml:space="preserve"> </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（10）为减小间接碘量法的分析误差，滴定时可用下列（      ）的方法。</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A．</w:t>
      </w:r>
      <w:r>
        <w:rPr>
          <w:rFonts w:hint="eastAsia" w:ascii="Times New Roman" w:hAnsi="Times New Roman" w:eastAsia="仿宋_GB2312"/>
          <w:sz w:val="28"/>
          <w:szCs w:val="28"/>
        </w:rPr>
        <w:t>快摇慢滴</w:t>
      </w:r>
      <w:r>
        <w:rPr>
          <w:rFonts w:ascii="Times New Roman" w:hAnsi="Times New Roman" w:eastAsia="仿宋_GB2312"/>
          <w:sz w:val="28"/>
          <w:szCs w:val="28"/>
        </w:rPr>
        <w:t xml:space="preserve">   B．</w:t>
      </w:r>
      <w:r>
        <w:rPr>
          <w:rFonts w:hint="eastAsia" w:ascii="Times New Roman" w:hAnsi="Times New Roman" w:eastAsia="仿宋_GB2312"/>
          <w:sz w:val="28"/>
          <w:szCs w:val="28"/>
        </w:rPr>
        <w:t xml:space="preserve">慢摇快滴 </w:t>
      </w:r>
      <w:r>
        <w:rPr>
          <w:rFonts w:ascii="Times New Roman" w:hAnsi="Times New Roman" w:eastAsia="仿宋_GB2312"/>
          <w:sz w:val="28"/>
          <w:szCs w:val="28"/>
        </w:rPr>
        <w:t xml:space="preserve">  </w:t>
      </w:r>
      <w:r>
        <w:rPr>
          <w:rFonts w:hint="eastAsia" w:ascii="Times New Roman" w:hAnsi="Times New Roman" w:eastAsia="仿宋_GB2312"/>
          <w:sz w:val="28"/>
          <w:szCs w:val="28"/>
        </w:rPr>
        <w:t>C</w:t>
      </w:r>
      <w:r>
        <w:rPr>
          <w:rFonts w:ascii="Times New Roman" w:hAnsi="Times New Roman" w:eastAsia="仿宋_GB2312"/>
          <w:sz w:val="28"/>
          <w:szCs w:val="28"/>
        </w:rPr>
        <w:t>．</w:t>
      </w:r>
      <w:r>
        <w:rPr>
          <w:rFonts w:hint="eastAsia" w:ascii="Times New Roman" w:hAnsi="Times New Roman" w:eastAsia="仿宋_GB2312"/>
          <w:sz w:val="28"/>
          <w:szCs w:val="28"/>
        </w:rPr>
        <w:t>反应时放置暗处</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D</w:t>
      </w:r>
      <w:r>
        <w:rPr>
          <w:rFonts w:ascii="Times New Roman" w:hAnsi="Times New Roman" w:eastAsia="仿宋_GB2312"/>
          <w:sz w:val="28"/>
          <w:szCs w:val="28"/>
        </w:rPr>
        <w:t>．</w:t>
      </w:r>
      <w:r>
        <w:rPr>
          <w:rFonts w:hint="eastAsia" w:ascii="Times New Roman" w:hAnsi="Times New Roman" w:eastAsia="仿宋_GB2312"/>
          <w:sz w:val="28"/>
          <w:szCs w:val="28"/>
        </w:rPr>
        <w:t>开始慢摇快滴，终点前快摇慢滴</w:t>
      </w:r>
      <w:r>
        <w:rPr>
          <w:rFonts w:ascii="Times New Roman" w:hAnsi="Times New Roman" w:eastAsia="仿宋_GB2312"/>
          <w:sz w:val="28"/>
          <w:szCs w:val="28"/>
        </w:rPr>
        <w:tab/>
      </w:r>
      <w:r>
        <w:rPr>
          <w:rFonts w:ascii="Times New Roman" w:hAnsi="Times New Roman" w:eastAsia="仿宋_GB2312"/>
          <w:sz w:val="28"/>
          <w:szCs w:val="28"/>
        </w:rPr>
        <w:tab/>
      </w:r>
    </w:p>
    <w:p>
      <w:pPr>
        <w:spacing w:line="560" w:lineRule="exact"/>
        <w:ind w:firstLine="602" w:firstLineChars="200"/>
        <w:rPr>
          <w:rFonts w:ascii="仿宋_GB2312" w:hAnsi="Arial Narrow" w:eastAsia="仿宋_GB2312"/>
          <w:b/>
          <w:sz w:val="30"/>
          <w:szCs w:val="30"/>
        </w:rPr>
      </w:pPr>
      <w:r>
        <w:rPr>
          <w:rFonts w:hint="eastAsia" w:ascii="仿宋_GB2312" w:hAnsi="Arial Narrow" w:eastAsia="仿宋_GB2312"/>
          <w:b/>
          <w:sz w:val="30"/>
          <w:szCs w:val="30"/>
        </w:rPr>
        <w:t>（二）仿真操作考核</w:t>
      </w:r>
    </w:p>
    <w:p>
      <w:pPr>
        <w:snapToGrid w:val="0"/>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液相色谱与质谱联用仿真考核——虚拟样品的定性和定量测定</w:t>
      </w:r>
    </w:p>
    <w:p>
      <w:pPr>
        <w:snapToGrid w:val="0"/>
        <w:spacing w:line="560" w:lineRule="exact"/>
        <w:ind w:firstLine="602" w:firstLineChars="200"/>
        <w:rPr>
          <w:rFonts w:ascii="仿宋_GB2312" w:hAnsi="Arial Narrow" w:eastAsia="仿宋_GB2312"/>
          <w:b/>
          <w:sz w:val="30"/>
          <w:szCs w:val="30"/>
        </w:rPr>
      </w:pPr>
      <w:r>
        <w:rPr>
          <w:rFonts w:hint="eastAsia" w:ascii="仿宋_GB2312" w:hAnsi="Arial Narrow" w:eastAsia="仿宋_GB2312"/>
          <w:b/>
          <w:sz w:val="30"/>
          <w:szCs w:val="30"/>
        </w:rPr>
        <w:t>（三）实践操作考核</w:t>
      </w:r>
    </w:p>
    <w:p>
      <w:pPr>
        <w:spacing w:line="560" w:lineRule="exact"/>
        <w:jc w:val="center"/>
        <w:rPr>
          <w:rFonts w:ascii="Times New Roman" w:hAnsi="Times New Roman" w:eastAsia="仿宋_GB2312"/>
          <w:b/>
          <w:sz w:val="28"/>
          <w:szCs w:val="28"/>
        </w:rPr>
      </w:pPr>
    </w:p>
    <w:p>
      <w:pPr>
        <w:spacing w:line="560" w:lineRule="exact"/>
        <w:jc w:val="center"/>
        <w:rPr>
          <w:rFonts w:ascii="Times New Roman" w:hAnsi="Times New Roman" w:eastAsia="仿宋_GB2312"/>
          <w:b/>
          <w:sz w:val="28"/>
          <w:szCs w:val="28"/>
        </w:rPr>
      </w:pPr>
      <w:r>
        <w:rPr>
          <w:rFonts w:hint="eastAsia" w:ascii="Times New Roman" w:hAnsi="Times New Roman" w:eastAsia="仿宋_GB2312"/>
          <w:b/>
          <w:sz w:val="28"/>
          <w:szCs w:val="28"/>
        </w:rPr>
        <w:t>未知试样中铁含量的测定</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1.未知铁试样溶液（I）浓度的氧化还原滴定法测量</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（1）配制重铬酸钾标准滴定溶液</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用</w:t>
      </w:r>
      <w:r>
        <w:rPr>
          <w:rFonts w:ascii="Times New Roman" w:hAnsi="Times New Roman" w:eastAsia="仿宋_GB2312"/>
          <w:sz w:val="28"/>
          <w:szCs w:val="28"/>
        </w:rPr>
        <w:t>减量法</w:t>
      </w:r>
      <w:r>
        <w:rPr>
          <w:rFonts w:hint="eastAsia" w:ascii="Times New Roman" w:hAnsi="Times New Roman" w:eastAsia="仿宋_GB2312"/>
          <w:sz w:val="28"/>
          <w:szCs w:val="28"/>
        </w:rPr>
        <w:t>称取适量的己在120</w:t>
      </w:r>
      <w:r>
        <w:rPr>
          <w:rFonts w:hint="eastAsia" w:ascii="仿宋" w:hAnsi="仿宋" w:eastAsia="仿宋"/>
          <w:sz w:val="28"/>
          <w:szCs w:val="28"/>
        </w:rPr>
        <w:t>℃</w:t>
      </w:r>
      <w:r>
        <w:rPr>
          <w:rFonts w:hint="eastAsia" w:ascii="Times New Roman" w:hAnsi="Times New Roman" w:eastAsia="仿宋_GB2312"/>
          <w:sz w:val="28"/>
          <w:szCs w:val="28"/>
        </w:rPr>
        <w:t>±2</w:t>
      </w:r>
      <w:r>
        <w:rPr>
          <w:rFonts w:hint="eastAsia" w:ascii="仿宋" w:hAnsi="仿宋" w:eastAsia="仿宋"/>
          <w:sz w:val="28"/>
          <w:szCs w:val="28"/>
        </w:rPr>
        <w:t>℃</w:t>
      </w:r>
      <w:r>
        <w:rPr>
          <w:rFonts w:hint="eastAsia" w:ascii="Times New Roman" w:hAnsi="Times New Roman" w:eastAsia="仿宋_GB2312"/>
          <w:sz w:val="28"/>
          <w:szCs w:val="28"/>
        </w:rPr>
        <w:t>的电烘箱中干燥至恒量的基准试剂重铬酸钾，溶于水，移入250mL容量瓶中，用水定容并摇匀。</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计算重铬酸钾标准滴定溶液浓度按下式计算：</w:t>
      </w:r>
    </w:p>
    <w:p>
      <w:pPr>
        <w:jc w:val="center"/>
        <w:rPr>
          <w:rFonts w:ascii="Times New Roman" w:hAnsi="Times New Roman" w:eastAsia="仿宋_GB2312"/>
          <w:sz w:val="28"/>
          <w:szCs w:val="28"/>
        </w:rPr>
      </w:pPr>
      <w:r>
        <w:rPr>
          <w:rFonts w:hint="eastAsia" w:ascii="Times New Roman" w:hAnsi="Times New Roman" w:eastAsia="仿宋_GB2312"/>
          <w:position w:val="-52"/>
          <w:sz w:val="28"/>
          <w:szCs w:val="28"/>
        </w:rPr>
        <w:object>
          <v:shape id="_x0000_i1025" o:spt="75" type="#_x0000_t75" style="height:47.25pt;width:225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p>
    <w:p>
      <w:pPr>
        <w:spacing w:line="560" w:lineRule="exact"/>
        <w:ind w:firstLine="570"/>
        <w:rPr>
          <w:rFonts w:ascii="Times New Roman" w:hAnsi="Times New Roman" w:eastAsia="仿宋_GB2312"/>
          <w:sz w:val="30"/>
          <w:szCs w:val="30"/>
        </w:rPr>
      </w:pPr>
      <w:r>
        <w:rPr>
          <w:rFonts w:hint="eastAsia" w:ascii="Times New Roman" w:hAnsi="Times New Roman" w:eastAsia="仿宋_GB2312"/>
          <w:sz w:val="30"/>
          <w:szCs w:val="30"/>
        </w:rPr>
        <w:t>式中：</w:t>
      </w:r>
      <w:r>
        <w:rPr>
          <w:rFonts w:ascii="Times New Roman" w:hAnsi="Times New Roman" w:eastAsia="仿宋_GB2312"/>
          <w:sz w:val="30"/>
          <w:szCs w:val="30"/>
        </w:rPr>
        <w:t xml:space="preserve">  </w:t>
      </w:r>
    </w:p>
    <w:p>
      <w:pPr>
        <w:ind w:firstLine="600" w:firstLineChars="200"/>
        <w:rPr>
          <w:rFonts w:ascii="Times New Roman" w:hAnsi="Times New Roman" w:eastAsia="仿宋_GB2312"/>
          <w:sz w:val="30"/>
          <w:szCs w:val="30"/>
        </w:rPr>
      </w:pPr>
      <w:r>
        <w:rPr>
          <w:rFonts w:ascii="Times New Roman" w:hAnsi="Times New Roman" w:eastAsia="仿宋_GB2312"/>
          <w:i/>
          <w:sz w:val="30"/>
          <w:szCs w:val="30"/>
        </w:rPr>
        <w:t>c</w:t>
      </w:r>
      <w:r>
        <w:rPr>
          <w:rFonts w:hint="eastAsia" w:ascii="Times New Roman" w:hAnsi="Times New Roman" w:eastAsia="仿宋_GB2312"/>
          <w:sz w:val="30"/>
          <w:szCs w:val="30"/>
        </w:rPr>
        <w:t>（</w:t>
      </w:r>
      <w:r>
        <w:rPr>
          <w:rFonts w:hint="eastAsia" w:ascii="Times New Roman" w:hAnsi="Times New Roman" w:eastAsia="仿宋_GB2312"/>
          <w:position w:val="-22"/>
          <w:sz w:val="30"/>
          <w:szCs w:val="30"/>
        </w:rPr>
        <w:object>
          <v:shape id="_x0000_i1026" o:spt="75" type="#_x0000_t75" style="height:34.5pt;width:67.5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r>
        <w:rPr>
          <w:rFonts w:hint="eastAsia" w:ascii="Times New Roman" w:hAnsi="Times New Roman" w:eastAsia="仿宋_GB2312"/>
          <w:sz w:val="30"/>
          <w:szCs w:val="30"/>
        </w:rPr>
        <w:t>）</w:t>
      </w:r>
      <w:r>
        <w:rPr>
          <w:rFonts w:ascii="Times New Roman" w:hAnsi="Times New Roman" w:eastAsia="仿宋_GB2312"/>
          <w:sz w:val="30"/>
          <w:szCs w:val="30"/>
        </w:rPr>
        <w:t>—</w:t>
      </w:r>
      <w:r>
        <w:rPr>
          <w:rFonts w:hint="eastAsia" w:ascii="Times New Roman" w:hAnsi="Times New Roman" w:eastAsia="仿宋_GB2312"/>
          <w:position w:val="-22"/>
          <w:sz w:val="30"/>
          <w:szCs w:val="30"/>
        </w:rPr>
        <w:object>
          <v:shape id="_x0000_i1027" o:spt="75" type="#_x0000_t75" style="height:33.75pt;width:65.25pt;" o:ole="t" filled="f" o:preferrelative="t" stroked="f" coordsize="21600,21600">
            <v:path/>
            <v:fill on="f" focussize="0,0"/>
            <v:stroke on="f" joinstyle="miter"/>
            <v:imagedata r:id="rId12" o:title=""/>
            <o:lock v:ext="edit" aspectratio="t"/>
            <w10:wrap type="none"/>
            <w10:anchorlock/>
          </v:shape>
          <o:OLEObject Type="Embed" ProgID="Equation.3" ShapeID="_x0000_i1027" DrawAspect="Content" ObjectID="_1468075727" r:id="rId11">
            <o:LockedField>false</o:LockedField>
          </o:OLEObject>
        </w:object>
      </w:r>
      <w:r>
        <w:rPr>
          <w:rFonts w:hint="eastAsia" w:ascii="Times New Roman" w:hAnsi="Times New Roman" w:eastAsia="仿宋_GB2312"/>
          <w:sz w:val="30"/>
          <w:szCs w:val="30"/>
        </w:rPr>
        <w:t>标准滴定溶液的浓度，</w:t>
      </w:r>
      <w:r>
        <w:rPr>
          <w:rFonts w:ascii="Times New Roman" w:hAnsi="Times New Roman" w:eastAsia="仿宋_GB2312"/>
          <w:sz w:val="30"/>
          <w:szCs w:val="30"/>
        </w:rPr>
        <w:t>mol/L</w:t>
      </w:r>
      <w:r>
        <w:rPr>
          <w:rFonts w:hint="eastAsia" w:ascii="Times New Roman" w:hAnsi="Times New Roman" w:eastAsia="仿宋_GB2312"/>
          <w:sz w:val="30"/>
          <w:szCs w:val="30"/>
        </w:rPr>
        <w:t>；</w:t>
      </w:r>
    </w:p>
    <w:p>
      <w:pPr>
        <w:spacing w:line="560" w:lineRule="exact"/>
        <w:ind w:firstLine="600" w:firstLineChars="200"/>
        <w:rPr>
          <w:rFonts w:ascii="Times New Roman" w:hAnsi="Times New Roman" w:eastAsia="仿宋_GB2312"/>
          <w:sz w:val="30"/>
          <w:szCs w:val="30"/>
        </w:rPr>
      </w:pPr>
      <w:r>
        <w:rPr>
          <w:rFonts w:ascii="Times New Roman" w:hAnsi="Times New Roman" w:eastAsia="仿宋_GB2312"/>
          <w:i/>
          <w:sz w:val="30"/>
          <w:szCs w:val="30"/>
        </w:rPr>
        <w:t>V</w:t>
      </w:r>
      <w:r>
        <w:rPr>
          <w:rFonts w:hint="eastAsia" w:ascii="Times New Roman" w:hAnsi="Times New Roman" w:eastAsia="仿宋_GB2312"/>
          <w:sz w:val="30"/>
          <w:szCs w:val="30"/>
          <w:vertAlign w:val="subscript"/>
        </w:rPr>
        <w:t>实</w:t>
      </w:r>
      <w:r>
        <w:rPr>
          <w:rFonts w:ascii="Times New Roman" w:hAnsi="Times New Roman" w:eastAsia="仿宋_GB2312"/>
          <w:sz w:val="30"/>
          <w:szCs w:val="30"/>
        </w:rPr>
        <w:t>—</w:t>
      </w:r>
      <w:r>
        <w:rPr>
          <w:rFonts w:hint="eastAsia" w:ascii="Times New Roman" w:hAnsi="Times New Roman" w:eastAsia="仿宋_GB2312"/>
          <w:sz w:val="30"/>
          <w:szCs w:val="30"/>
        </w:rPr>
        <w:t>250 mL容量瓶实际体积，</w:t>
      </w:r>
      <w:r>
        <w:rPr>
          <w:rFonts w:ascii="Times New Roman" w:hAnsi="Times New Roman" w:eastAsia="仿宋_GB2312"/>
          <w:sz w:val="30"/>
          <w:szCs w:val="30"/>
        </w:rPr>
        <w:t>mL</w:t>
      </w:r>
      <w:r>
        <w:rPr>
          <w:rFonts w:hint="eastAsia" w:ascii="Times New Roman" w:hAnsi="Times New Roman" w:eastAsia="仿宋_GB2312"/>
          <w:sz w:val="30"/>
          <w:szCs w:val="30"/>
        </w:rPr>
        <w:t>；</w:t>
      </w:r>
    </w:p>
    <w:p>
      <w:pPr>
        <w:spacing w:line="560" w:lineRule="exact"/>
        <w:ind w:firstLine="600" w:firstLineChars="200"/>
        <w:rPr>
          <w:rFonts w:ascii="Times New Roman" w:hAnsi="Times New Roman" w:eastAsia="仿宋_GB2312"/>
          <w:sz w:val="30"/>
          <w:szCs w:val="30"/>
        </w:rPr>
      </w:pPr>
      <w:r>
        <w:rPr>
          <w:rFonts w:ascii="Times New Roman" w:hAnsi="Times New Roman" w:eastAsia="仿宋_GB2312"/>
          <w:i/>
          <w:sz w:val="30"/>
          <w:szCs w:val="30"/>
        </w:rPr>
        <w:t>m</w:t>
      </w:r>
      <w:r>
        <w:rPr>
          <w:rFonts w:hint="eastAsia" w:ascii="Times New Roman" w:hAnsi="Times New Roman" w:eastAsia="仿宋_GB2312"/>
          <w:sz w:val="30"/>
          <w:szCs w:val="30"/>
        </w:rPr>
        <w:t>（K</w:t>
      </w:r>
      <w:r>
        <w:rPr>
          <w:rFonts w:hint="eastAsia" w:ascii="Times New Roman" w:hAnsi="Times New Roman" w:eastAsia="仿宋_GB2312"/>
          <w:sz w:val="30"/>
          <w:szCs w:val="30"/>
          <w:vertAlign w:val="subscript"/>
        </w:rPr>
        <w:t>2</w:t>
      </w:r>
      <w:r>
        <w:rPr>
          <w:rFonts w:hint="eastAsia" w:ascii="Times New Roman" w:hAnsi="Times New Roman" w:eastAsia="仿宋_GB2312"/>
          <w:sz w:val="30"/>
          <w:szCs w:val="30"/>
        </w:rPr>
        <w:t>Cr</w:t>
      </w:r>
      <w:r>
        <w:rPr>
          <w:rFonts w:hint="eastAsia" w:ascii="Times New Roman" w:hAnsi="Times New Roman" w:eastAsia="仿宋_GB2312"/>
          <w:sz w:val="30"/>
          <w:szCs w:val="30"/>
          <w:vertAlign w:val="subscript"/>
        </w:rPr>
        <w:t>2</w:t>
      </w:r>
      <w:r>
        <w:rPr>
          <w:rFonts w:hint="eastAsia" w:ascii="Times New Roman" w:hAnsi="Times New Roman" w:eastAsia="仿宋_GB2312"/>
          <w:sz w:val="30"/>
          <w:szCs w:val="30"/>
        </w:rPr>
        <w:t>O</w:t>
      </w:r>
      <w:r>
        <w:rPr>
          <w:rFonts w:hint="eastAsia" w:ascii="Times New Roman" w:hAnsi="Times New Roman" w:eastAsia="仿宋_GB2312"/>
          <w:sz w:val="30"/>
          <w:szCs w:val="30"/>
          <w:vertAlign w:val="subscript"/>
        </w:rPr>
        <w:t>7</w:t>
      </w:r>
      <w:r>
        <w:rPr>
          <w:rFonts w:hint="eastAsia" w:ascii="Times New Roman" w:hAnsi="Times New Roman" w:eastAsia="仿宋_GB2312"/>
          <w:sz w:val="30"/>
          <w:szCs w:val="30"/>
        </w:rPr>
        <w:t>）</w:t>
      </w:r>
      <w:r>
        <w:rPr>
          <w:rFonts w:ascii="Times New Roman" w:hAnsi="Times New Roman" w:eastAsia="仿宋_GB2312"/>
          <w:sz w:val="30"/>
          <w:szCs w:val="30"/>
        </w:rPr>
        <w:t>—</w:t>
      </w:r>
      <w:r>
        <w:rPr>
          <w:rFonts w:hint="eastAsia" w:ascii="Times New Roman" w:hAnsi="Times New Roman" w:eastAsia="仿宋_GB2312"/>
          <w:sz w:val="30"/>
          <w:szCs w:val="30"/>
        </w:rPr>
        <w:t>基准物K</w:t>
      </w:r>
      <w:r>
        <w:rPr>
          <w:rFonts w:hint="eastAsia" w:ascii="Times New Roman" w:hAnsi="Times New Roman" w:eastAsia="仿宋_GB2312"/>
          <w:sz w:val="30"/>
          <w:szCs w:val="30"/>
          <w:vertAlign w:val="subscript"/>
        </w:rPr>
        <w:t>2</w:t>
      </w:r>
      <w:r>
        <w:rPr>
          <w:rFonts w:hint="eastAsia" w:ascii="Times New Roman" w:hAnsi="Times New Roman" w:eastAsia="仿宋_GB2312"/>
          <w:sz w:val="30"/>
          <w:szCs w:val="30"/>
        </w:rPr>
        <w:t>Cr</w:t>
      </w:r>
      <w:r>
        <w:rPr>
          <w:rFonts w:hint="eastAsia" w:ascii="Times New Roman" w:hAnsi="Times New Roman" w:eastAsia="仿宋_GB2312"/>
          <w:sz w:val="30"/>
          <w:szCs w:val="30"/>
          <w:vertAlign w:val="subscript"/>
        </w:rPr>
        <w:t>2</w:t>
      </w:r>
      <w:r>
        <w:rPr>
          <w:rFonts w:hint="eastAsia" w:ascii="Times New Roman" w:hAnsi="Times New Roman" w:eastAsia="仿宋_GB2312"/>
          <w:sz w:val="30"/>
          <w:szCs w:val="30"/>
        </w:rPr>
        <w:t>O</w:t>
      </w:r>
      <w:r>
        <w:rPr>
          <w:rFonts w:hint="eastAsia" w:ascii="Times New Roman" w:hAnsi="Times New Roman" w:eastAsia="仿宋_GB2312"/>
          <w:sz w:val="30"/>
          <w:szCs w:val="30"/>
          <w:vertAlign w:val="subscript"/>
        </w:rPr>
        <w:t>7</w:t>
      </w:r>
      <w:r>
        <w:rPr>
          <w:rFonts w:hint="eastAsia" w:ascii="Times New Roman" w:hAnsi="Times New Roman" w:eastAsia="仿宋_GB2312"/>
          <w:sz w:val="30"/>
          <w:szCs w:val="30"/>
        </w:rPr>
        <w:t>的质量，</w:t>
      </w:r>
      <w:r>
        <w:rPr>
          <w:rFonts w:ascii="Times New Roman" w:hAnsi="Times New Roman" w:eastAsia="仿宋_GB2312"/>
          <w:sz w:val="30"/>
          <w:szCs w:val="30"/>
        </w:rPr>
        <w:t xml:space="preserve">g </w:t>
      </w:r>
      <w:r>
        <w:rPr>
          <w:rFonts w:hint="eastAsia" w:ascii="Times New Roman" w:hAnsi="Times New Roman" w:eastAsia="仿宋_GB2312"/>
          <w:sz w:val="30"/>
          <w:szCs w:val="30"/>
        </w:rPr>
        <w:t>；</w:t>
      </w:r>
    </w:p>
    <w:p>
      <w:pPr>
        <w:ind w:firstLine="600" w:firstLineChars="200"/>
        <w:rPr>
          <w:rFonts w:ascii="Times New Roman" w:hAnsi="Times New Roman" w:eastAsia="仿宋_GB2312"/>
          <w:sz w:val="30"/>
          <w:szCs w:val="30"/>
        </w:rPr>
      </w:pPr>
      <w:r>
        <w:rPr>
          <w:rFonts w:ascii="Times New Roman" w:hAnsi="Times New Roman" w:eastAsia="仿宋_GB2312"/>
          <w:i/>
          <w:sz w:val="30"/>
          <w:szCs w:val="30"/>
        </w:rPr>
        <w:t>M</w:t>
      </w:r>
      <w:r>
        <w:rPr>
          <w:rFonts w:hint="eastAsia" w:ascii="Times New Roman" w:hAnsi="Times New Roman" w:eastAsia="仿宋_GB2312"/>
          <w:sz w:val="30"/>
          <w:szCs w:val="30"/>
        </w:rPr>
        <w:t>（</w:t>
      </w:r>
      <w:r>
        <w:rPr>
          <w:rFonts w:hint="eastAsia" w:ascii="Times New Roman" w:hAnsi="Times New Roman" w:eastAsia="仿宋_GB2312"/>
          <w:position w:val="-22"/>
          <w:sz w:val="30"/>
          <w:szCs w:val="30"/>
        </w:rPr>
        <w:object>
          <v:shape id="_x0000_i1028" o:spt="75" type="#_x0000_t75" style="height:35.25pt;width:68.25pt;" o:ole="t" filled="f" o:preferrelative="t" stroked="f" coordsize="21600,21600">
            <v:path/>
            <v:fill on="f" focussize="0,0"/>
            <v:stroke on="f" joinstyle="miter"/>
            <v:imagedata r:id="rId10" o:title=""/>
            <o:lock v:ext="edit" aspectratio="t"/>
            <w10:wrap type="none"/>
            <w10:anchorlock/>
          </v:shape>
          <o:OLEObject Type="Embed" ProgID="Equation.3" ShapeID="_x0000_i1028" DrawAspect="Content" ObjectID="_1468075728" r:id="rId13">
            <o:LockedField>false</o:LockedField>
          </o:OLEObject>
        </w:object>
      </w:r>
      <w:r>
        <w:rPr>
          <w:rFonts w:hint="eastAsia" w:ascii="Times New Roman" w:hAnsi="Times New Roman" w:eastAsia="仿宋_GB2312"/>
          <w:sz w:val="30"/>
          <w:szCs w:val="30"/>
        </w:rPr>
        <w:t>）</w:t>
      </w:r>
      <w:r>
        <w:rPr>
          <w:rFonts w:ascii="Times New Roman" w:hAnsi="Times New Roman" w:eastAsia="仿宋_GB2312"/>
          <w:sz w:val="30"/>
          <w:szCs w:val="30"/>
        </w:rPr>
        <w:t>—</w:t>
      </w:r>
      <w:r>
        <w:rPr>
          <w:rFonts w:hint="eastAsia" w:ascii="Times New Roman" w:hAnsi="Times New Roman" w:eastAsia="仿宋_GB2312"/>
          <w:position w:val="-22"/>
          <w:sz w:val="30"/>
          <w:szCs w:val="30"/>
        </w:rPr>
        <w:object>
          <v:shape id="_x0000_i1029" o:spt="75" type="#_x0000_t75" style="height:35.25pt;width:68.25pt;" o:ole="t" filled="f" o:preferrelative="t" stroked="f" coordsize="21600,21600">
            <v:path/>
            <v:fill on="f" focussize="0,0"/>
            <v:stroke on="f" joinstyle="miter"/>
            <v:imagedata r:id="rId10" o:title=""/>
            <o:lock v:ext="edit" aspectratio="t"/>
            <w10:wrap type="none"/>
            <w10:anchorlock/>
          </v:shape>
          <o:OLEObject Type="Embed" ProgID="Equation.3" ShapeID="_x0000_i1029" DrawAspect="Content" ObjectID="_1468075729" r:id="rId14">
            <o:LockedField>false</o:LockedField>
          </o:OLEObject>
        </w:object>
      </w:r>
      <w:r>
        <w:rPr>
          <w:rFonts w:hint="eastAsia" w:ascii="Times New Roman" w:hAnsi="Times New Roman" w:eastAsia="仿宋_GB2312"/>
          <w:sz w:val="30"/>
          <w:szCs w:val="30"/>
        </w:rPr>
        <w:t>摩尔质量，49</w:t>
      </w:r>
      <w:r>
        <w:rPr>
          <w:rFonts w:ascii="Times New Roman" w:hAnsi="Times New Roman" w:eastAsia="仿宋_GB2312"/>
          <w:sz w:val="30"/>
          <w:szCs w:val="30"/>
        </w:rPr>
        <w:t>.0</w:t>
      </w:r>
      <w:r>
        <w:rPr>
          <w:rFonts w:hint="eastAsia" w:ascii="Times New Roman" w:hAnsi="Times New Roman" w:eastAsia="仿宋_GB2312"/>
          <w:sz w:val="30"/>
          <w:szCs w:val="30"/>
        </w:rPr>
        <w:t>3</w:t>
      </w:r>
      <w:r>
        <w:rPr>
          <w:rFonts w:ascii="Times New Roman" w:hAnsi="Times New Roman" w:eastAsia="仿宋_GB2312"/>
          <w:sz w:val="30"/>
          <w:szCs w:val="30"/>
        </w:rPr>
        <w:t>g/mol</w:t>
      </w:r>
      <w:r>
        <w:rPr>
          <w:rFonts w:hint="eastAsia" w:ascii="Times New Roman" w:hAnsi="Times New Roman" w:eastAsia="仿宋_GB2312"/>
          <w:sz w:val="30"/>
          <w:szCs w:val="30"/>
        </w:rPr>
        <w:t>。</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（2）移取未知铁试样溶液（I） 25mL于250mL锥形瓶中，加12mL盐酸，加热至沸，趁热滴加氯化亚锡溶液还原三价铁，并不时摇动锥形瓶中溶液，直到溶液保持淡黄色，加水约100mL，然后加钨酸钠指示液10滴，用三氯化钛溶液还原至溶液呈蓝色，再滴加稀重铬酸钾溶液至钨蓝色刚好消失。冷却至室温，立即加30mL硫磷混酸和15滴二苯胺磺酸钠指示液，用重铬酸钾标准滴定溶液滴定至溶液刚呈紫色时为终点，记录重铬酸钾标准滴定溶液消耗的体积。平行测定</w:t>
      </w:r>
      <w:r>
        <w:rPr>
          <w:rFonts w:ascii="Times New Roman" w:hAnsi="Times New Roman" w:eastAsia="仿宋_GB2312"/>
          <w:sz w:val="28"/>
          <w:szCs w:val="28"/>
        </w:rPr>
        <w:t>3</w:t>
      </w:r>
      <w:r>
        <w:rPr>
          <w:rFonts w:hint="eastAsia" w:ascii="Times New Roman" w:hAnsi="Times New Roman" w:eastAsia="仿宋_GB2312"/>
          <w:sz w:val="28"/>
          <w:szCs w:val="28"/>
        </w:rPr>
        <w:t>次，同时做空白试验。</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空白试验用未知铁试样溶液（I）进行测定，</w:t>
      </w:r>
      <w:r>
        <w:rPr>
          <w:rFonts w:ascii="Times New Roman" w:hAnsi="Times New Roman" w:eastAsia="仿宋_GB2312"/>
          <w:sz w:val="30"/>
          <w:szCs w:val="30"/>
        </w:rPr>
        <w:t>取样为1mL，其余步骤同上</w:t>
      </w:r>
      <w:r>
        <w:rPr>
          <w:rFonts w:hint="eastAsia" w:ascii="Times New Roman" w:hAnsi="Times New Roman" w:eastAsia="仿宋_GB2312"/>
          <w:sz w:val="28"/>
          <w:szCs w:val="28"/>
        </w:rPr>
        <w:t>。</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 xml:space="preserve"> （3）计算被测未知铁试样溶液（I）中铁的浓度和平行测定极差相对值。</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空白试验消耗的重铬酸钾标准滴定溶液的体积按下式计算：</w:t>
      </w:r>
    </w:p>
    <w:p>
      <w:pPr>
        <w:ind w:firstLine="1120" w:firstLineChars="400"/>
        <w:rPr>
          <w:rFonts w:ascii="Times New Roman" w:hAnsi="Times New Roman" w:eastAsia="仿宋_GB2312"/>
          <w:sz w:val="28"/>
          <w:szCs w:val="28"/>
        </w:rPr>
      </w:pPr>
      <w:r>
        <w:rPr>
          <w:rFonts w:hint="eastAsia" w:ascii="Times New Roman" w:hAnsi="Times New Roman" w:eastAsia="仿宋_GB2312"/>
          <w:sz w:val="28"/>
          <w:szCs w:val="28"/>
        </w:rPr>
        <w:object>
          <v:shape id="_x0000_i1030" o:spt="75" type="#_x0000_t75" style="height:47.25pt;width:360pt;" o:ole="t" filled="f" o:preferrelative="t" stroked="f" coordsize="21600,21600">
            <v:path/>
            <v:fill on="f" focussize="0,0"/>
            <v:stroke on="f" joinstyle="miter"/>
            <v:imagedata r:id="rId16" o:title=""/>
            <o:lock v:ext="edit" aspectratio="t"/>
            <w10:wrap type="none"/>
            <w10:anchorlock/>
          </v:shape>
          <o:OLEObject Type="Embed" ProgID="Equation.3" ShapeID="_x0000_i1030" DrawAspect="Content" ObjectID="_1468075730" r:id="rId15">
            <o:LockedField>false</o:LockedField>
          </o:OLEObject>
        </w:object>
      </w:r>
      <w:r>
        <w:rPr>
          <w:rFonts w:ascii="Times New Roman" w:hAnsi="Times New Roman" w:eastAsia="仿宋_GB2312"/>
          <w:sz w:val="28"/>
          <w:szCs w:val="28"/>
        </w:rPr>
        <w:t xml:space="preserve">    </w:t>
      </w:r>
      <w:r>
        <w:rPr>
          <w:rFonts w:hint="eastAsia" w:ascii="Times New Roman" w:hAnsi="Times New Roman" w:eastAsia="仿宋_GB2312"/>
          <w:sz w:val="28"/>
          <w:szCs w:val="28"/>
        </w:rPr>
        <w:t>未知铁试样溶液（I）中铁的浓度按下式计算：</w:t>
      </w:r>
    </w:p>
    <w:p>
      <w:pPr>
        <w:ind w:firstLine="560" w:firstLineChars="200"/>
        <w:jc w:val="center"/>
        <w:rPr>
          <w:rFonts w:ascii="Times New Roman" w:hAnsi="Times New Roman" w:eastAsia="仿宋_GB2312"/>
          <w:sz w:val="28"/>
          <w:szCs w:val="28"/>
        </w:rPr>
      </w:pPr>
      <w:r>
        <w:rPr>
          <w:rFonts w:hint="eastAsia" w:ascii="Times New Roman" w:hAnsi="Times New Roman" w:eastAsia="仿宋_GB2312"/>
          <w:sz w:val="28"/>
          <w:szCs w:val="28"/>
        </w:rPr>
        <w:object>
          <v:shape id="_x0000_i1031" o:spt="75" type="#_x0000_t75" style="height:62.25pt;width:309pt;" o:ole="t" filled="f" o:preferrelative="t" stroked="f" coordsize="21600,21600">
            <v:path/>
            <v:fill on="f" focussize="0,0"/>
            <v:stroke on="f" joinstyle="miter"/>
            <v:imagedata r:id="rId18" o:title=""/>
            <o:lock v:ext="edit" aspectratio="t"/>
            <w10:wrap type="none"/>
            <w10:anchorlock/>
          </v:shape>
          <o:OLEObject Type="Embed" ProgID="Equation.3" ShapeID="_x0000_i1031" DrawAspect="Content" ObjectID="_1468075731" r:id="rId17">
            <o:LockedField>false</o:LockedField>
          </o:OLEObject>
        </w:objec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2.分光光度法测定未知铁试样（II）中铁含量（该测定中玻璃计量器具用标示值）</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（1）工作曲线制作。</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①将上述测定的未知铁试样溶液（I）配制成适合于分光光度法对未知铁试样（II）中铁含量测定的工作曲线使用的铁标准溶液，控制pH≈2。</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②色阶溶液配制：用分刻度吸量管分取工作曲线使用的铁标准溶液不同的体积于7个</w:t>
      </w:r>
      <w:r>
        <w:rPr>
          <w:rFonts w:ascii="Times New Roman" w:hAnsi="Times New Roman" w:eastAsia="仿宋_GB2312"/>
          <w:sz w:val="28"/>
          <w:szCs w:val="28"/>
        </w:rPr>
        <w:t>10</w:t>
      </w:r>
      <w:r>
        <w:rPr>
          <w:rFonts w:hint="eastAsia" w:ascii="Times New Roman" w:hAnsi="Times New Roman" w:eastAsia="仿宋_GB2312"/>
          <w:sz w:val="28"/>
          <w:szCs w:val="28"/>
        </w:rPr>
        <w:t>0mL容量瓶中，配制成分光光度法测定未知铁试样溶液（II）中铁含量的标准系列溶液。</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③显色：制作工作曲线的每个容量瓶中溶液按以下规定同时同样处理：加2mL抗坏血酸溶液，摇匀后加20mL缓冲溶液和10mL 1，10-菲啰啉溶液，用水稀释至刻度，摇匀，放置不少于15min。</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④测定：以不加铁标准溶液的一份为参比，在510nm波长处进行吸光度测定。以浓度为横坐标，以相应的吸光度为纵坐标绘制标准工作曲线。</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w:t>
      </w:r>
      <w:r>
        <w:rPr>
          <w:rFonts w:ascii="Times New Roman" w:hAnsi="Times New Roman" w:eastAsia="仿宋_GB2312"/>
          <w:sz w:val="28"/>
          <w:szCs w:val="28"/>
        </w:rPr>
        <w:t>2</w:t>
      </w:r>
      <w:r>
        <w:rPr>
          <w:rFonts w:hint="eastAsia" w:ascii="Times New Roman" w:hAnsi="Times New Roman" w:eastAsia="仿宋_GB2312"/>
          <w:sz w:val="28"/>
          <w:szCs w:val="28"/>
        </w:rPr>
        <w:t>）未知铁试样溶液（II）中铁含量的测定。</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①显色与测定：取一定量的</w:t>
      </w:r>
      <w:bookmarkStart w:id="4" w:name="OLE_LINK1"/>
      <w:r>
        <w:rPr>
          <w:rFonts w:hint="eastAsia" w:ascii="Times New Roman" w:hAnsi="Times New Roman" w:eastAsia="仿宋_GB2312"/>
          <w:sz w:val="28"/>
          <w:szCs w:val="28"/>
        </w:rPr>
        <w:t>未知</w:t>
      </w:r>
      <w:bookmarkEnd w:id="4"/>
      <w:r>
        <w:rPr>
          <w:rFonts w:hint="eastAsia" w:ascii="Times New Roman" w:hAnsi="Times New Roman" w:eastAsia="仿宋_GB2312"/>
          <w:sz w:val="28"/>
          <w:szCs w:val="28"/>
        </w:rPr>
        <w:t>铁试样溶液（II）三份，另取同样体积的试剂空白溶液一份，分别于四只</w:t>
      </w:r>
      <w:r>
        <w:rPr>
          <w:rFonts w:ascii="Times New Roman" w:hAnsi="Times New Roman" w:eastAsia="仿宋_GB2312"/>
          <w:sz w:val="28"/>
          <w:szCs w:val="28"/>
        </w:rPr>
        <w:t>100</w:t>
      </w:r>
      <w:r>
        <w:rPr>
          <w:rFonts w:hint="eastAsia" w:ascii="Times New Roman" w:hAnsi="Times New Roman" w:eastAsia="仿宋_GB2312"/>
          <w:sz w:val="28"/>
          <w:szCs w:val="28"/>
        </w:rPr>
        <w:t>mL容量瓶中，加2mL抗坏血酸溶液，摇匀后加20mL缓冲溶液和10mL 1，10-菲啰啉溶液，用水稀释至刻度，摇匀。放置不少于15min后，在510nm波长处进行吸光度测定。</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②由测得吸光度从工作曲线查出对应溶液中铁的浓度，根据未知铁试样溶液（II）的稀释倍数，求出未知铁试样溶液（II）中铁含量。同时计算平行测定的极差的相对值。</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十、评分标准制定原则、评分方法、评分细则</w:t>
      </w:r>
    </w:p>
    <w:p>
      <w:pPr>
        <w:snapToGrid w:val="0"/>
        <w:spacing w:line="560" w:lineRule="exact"/>
        <w:ind w:firstLine="602" w:firstLineChars="200"/>
        <w:outlineLvl w:val="1"/>
        <w:rPr>
          <w:rFonts w:ascii="Arial Narrow" w:hAnsi="Arial Narrow" w:eastAsia="仿宋_GB2312" w:cs="Arial"/>
          <w:b/>
          <w:sz w:val="30"/>
          <w:szCs w:val="30"/>
        </w:rPr>
      </w:pPr>
      <w:bookmarkStart w:id="5" w:name="_Toc468132904"/>
      <w:bookmarkStart w:id="6" w:name="_Toc414794770"/>
      <w:r>
        <w:rPr>
          <w:rFonts w:ascii="Arial Narrow" w:hAnsi="Arial Narrow" w:eastAsia="仿宋_GB2312" w:cs="Arial"/>
          <w:b/>
          <w:sz w:val="30"/>
          <w:szCs w:val="30"/>
        </w:rPr>
        <w:t>（一）评分标准制</w:t>
      </w:r>
      <w:r>
        <w:rPr>
          <w:rFonts w:hint="eastAsia" w:ascii="Arial Narrow" w:hAnsi="Arial Narrow" w:eastAsia="仿宋_GB2312" w:cs="Arial"/>
          <w:b/>
          <w:sz w:val="30"/>
          <w:szCs w:val="30"/>
        </w:rPr>
        <w:t>定</w:t>
      </w:r>
      <w:r>
        <w:rPr>
          <w:rFonts w:ascii="Arial Narrow" w:hAnsi="Arial Narrow" w:eastAsia="仿宋_GB2312" w:cs="Arial"/>
          <w:b/>
          <w:sz w:val="30"/>
          <w:szCs w:val="30"/>
        </w:rPr>
        <w:t>原则</w:t>
      </w:r>
      <w:bookmarkEnd w:id="5"/>
    </w:p>
    <w:p>
      <w:pPr>
        <w:spacing w:line="560" w:lineRule="exact"/>
        <w:ind w:firstLine="600" w:firstLineChars="200"/>
        <w:rPr>
          <w:rFonts w:eastAsia="仿宋_GB2312"/>
          <w:bCs/>
          <w:sz w:val="30"/>
          <w:szCs w:val="30"/>
        </w:rPr>
      </w:pPr>
      <w:r>
        <w:rPr>
          <w:rFonts w:eastAsia="仿宋_GB2312"/>
          <w:bCs/>
          <w:sz w:val="30"/>
          <w:szCs w:val="30"/>
        </w:rPr>
        <w:t>依据工业分析</w:t>
      </w:r>
      <w:r>
        <w:rPr>
          <w:rFonts w:hint="eastAsia" w:eastAsia="仿宋_GB2312"/>
          <w:bCs/>
          <w:sz w:val="30"/>
          <w:szCs w:val="30"/>
        </w:rPr>
        <w:t>技术</w:t>
      </w:r>
      <w:r>
        <w:rPr>
          <w:rFonts w:eastAsia="仿宋_GB2312"/>
          <w:bCs/>
          <w:sz w:val="30"/>
          <w:szCs w:val="30"/>
        </w:rPr>
        <w:t>专业人才培养目标能力要求设定评分和评分细则。</w:t>
      </w:r>
    </w:p>
    <w:p>
      <w:pPr>
        <w:snapToGrid w:val="0"/>
        <w:spacing w:line="560" w:lineRule="exact"/>
        <w:ind w:firstLine="602" w:firstLineChars="200"/>
        <w:outlineLvl w:val="1"/>
        <w:rPr>
          <w:rFonts w:ascii="Arial Narrow" w:hAnsi="Arial Narrow" w:eastAsia="仿宋_GB2312" w:cs="Arial"/>
          <w:b/>
          <w:sz w:val="30"/>
          <w:szCs w:val="30"/>
        </w:rPr>
      </w:pPr>
      <w:bookmarkStart w:id="7" w:name="_Toc468132905"/>
      <w:r>
        <w:rPr>
          <w:rFonts w:ascii="Arial Narrow" w:hAnsi="Arial Narrow" w:eastAsia="仿宋_GB2312" w:cs="Arial"/>
          <w:b/>
          <w:sz w:val="30"/>
          <w:szCs w:val="30"/>
        </w:rPr>
        <w:t>（二）评分方法</w:t>
      </w:r>
      <w:bookmarkEnd w:id="6"/>
      <w:bookmarkEnd w:id="7"/>
    </w:p>
    <w:p>
      <w:pPr>
        <w:spacing w:line="560" w:lineRule="exact"/>
        <w:ind w:firstLine="600" w:firstLineChars="200"/>
        <w:rPr>
          <w:rFonts w:ascii="Times New Roman" w:hAnsi="Times New Roman" w:eastAsia="仿宋_GB2312"/>
          <w:bCs/>
          <w:sz w:val="30"/>
          <w:szCs w:val="30"/>
        </w:rPr>
      </w:pPr>
      <w:r>
        <w:rPr>
          <w:rFonts w:ascii="Times New Roman" w:hAnsi="Times New Roman" w:eastAsia="仿宋_GB2312"/>
          <w:bCs/>
          <w:sz w:val="30"/>
          <w:szCs w:val="30"/>
        </w:rPr>
        <w:t>1.理论知识与仿真操作竞赛试卷由计算机自动阅卷评分，经评审裁判审核后生效。</w:t>
      </w:r>
    </w:p>
    <w:p>
      <w:pPr>
        <w:spacing w:line="560" w:lineRule="exact"/>
        <w:ind w:firstLine="600" w:firstLineChars="200"/>
        <w:rPr>
          <w:rFonts w:ascii="Times New Roman" w:hAnsi="Times New Roman" w:eastAsia="仿宋_GB2312"/>
          <w:bCs/>
          <w:color w:val="000000" w:themeColor="text1"/>
          <w:sz w:val="30"/>
          <w:szCs w:val="30"/>
          <w14:textFill>
            <w14:solidFill>
              <w14:schemeClr w14:val="tx1"/>
            </w14:solidFill>
          </w14:textFill>
        </w:rPr>
      </w:pPr>
      <w:r>
        <w:rPr>
          <w:rFonts w:ascii="Times New Roman" w:hAnsi="Times New Roman" w:eastAsia="仿宋_GB2312"/>
          <w:bCs/>
          <w:sz w:val="30"/>
          <w:szCs w:val="30"/>
        </w:rPr>
        <w:t>2.实践操作竞赛成绩分两步得出，现场部分由裁判员根据选手现场实际操作规范程度、操作质量、文明操作情况和现场分析结果，依据评分细则对每个单元单独评分后得出；分析结果准确性部分则等所有分析结果数据汇总</w:t>
      </w:r>
      <w:r>
        <w:rPr>
          <w:rFonts w:ascii="Times New Roman" w:hAnsi="Times New Roman" w:eastAsia="仿宋_GB2312"/>
          <w:bCs/>
          <w:color w:val="000000" w:themeColor="text1"/>
          <w:sz w:val="30"/>
          <w:szCs w:val="30"/>
          <w14:textFill>
            <w14:solidFill>
              <w14:schemeClr w14:val="tx1"/>
            </w14:solidFill>
          </w14:textFill>
        </w:rPr>
        <w:t>并经专人按规范进行真值、差异性等取舍处理后得出。</w:t>
      </w:r>
    </w:p>
    <w:p>
      <w:pPr>
        <w:spacing w:line="560" w:lineRule="exact"/>
        <w:ind w:firstLine="600" w:firstLineChars="200"/>
        <w:rPr>
          <w:rFonts w:eastAsia="仿宋_GB2312"/>
          <w:bCs/>
          <w:sz w:val="30"/>
          <w:szCs w:val="30"/>
        </w:rPr>
      </w:pPr>
      <w:r>
        <w:rPr>
          <w:rFonts w:ascii="Times New Roman" w:hAnsi="Times New Roman" w:eastAsia="仿宋_GB2312"/>
          <w:bCs/>
          <w:sz w:val="30"/>
          <w:szCs w:val="30"/>
        </w:rPr>
        <w:t>3.理</w:t>
      </w:r>
      <w:r>
        <w:rPr>
          <w:rFonts w:eastAsia="仿宋_GB2312"/>
          <w:bCs/>
          <w:sz w:val="30"/>
          <w:szCs w:val="30"/>
        </w:rPr>
        <w:t>论知识考核、仿真操作考核</w:t>
      </w:r>
      <w:r>
        <w:rPr>
          <w:rFonts w:hint="eastAsia" w:eastAsia="仿宋_GB2312"/>
          <w:bCs/>
          <w:sz w:val="30"/>
          <w:szCs w:val="30"/>
        </w:rPr>
        <w:t>、</w:t>
      </w:r>
      <w:r>
        <w:rPr>
          <w:rFonts w:eastAsia="仿宋_GB2312"/>
          <w:bCs/>
          <w:sz w:val="30"/>
          <w:szCs w:val="30"/>
        </w:rPr>
        <w:t>实践操作考核均以满分100分计，最后按理论知识考核占</w:t>
      </w:r>
      <w:r>
        <w:rPr>
          <w:rFonts w:hint="eastAsia" w:eastAsia="仿宋_GB2312"/>
          <w:bCs/>
          <w:sz w:val="30"/>
          <w:szCs w:val="30"/>
        </w:rPr>
        <w:t>2</w:t>
      </w:r>
      <w:r>
        <w:rPr>
          <w:rFonts w:eastAsia="仿宋_GB2312"/>
          <w:bCs/>
          <w:sz w:val="30"/>
          <w:szCs w:val="30"/>
        </w:rPr>
        <w:t>0%</w:t>
      </w:r>
      <w:r>
        <w:rPr>
          <w:rFonts w:hint="eastAsia" w:eastAsia="仿宋_GB2312"/>
          <w:bCs/>
          <w:sz w:val="30"/>
          <w:szCs w:val="30"/>
        </w:rPr>
        <w:t>，</w:t>
      </w:r>
      <w:r>
        <w:rPr>
          <w:rFonts w:eastAsia="仿宋_GB2312"/>
          <w:bCs/>
          <w:sz w:val="30"/>
          <w:szCs w:val="30"/>
        </w:rPr>
        <w:t>仿真操作考核占</w:t>
      </w:r>
      <w:r>
        <w:rPr>
          <w:rFonts w:hint="eastAsia" w:eastAsia="仿宋_GB2312"/>
          <w:bCs/>
          <w:sz w:val="30"/>
          <w:szCs w:val="30"/>
        </w:rPr>
        <w:t>5%，</w:t>
      </w:r>
      <w:r>
        <w:rPr>
          <w:rFonts w:eastAsia="仿宋_GB2312"/>
          <w:bCs/>
          <w:sz w:val="30"/>
          <w:szCs w:val="30"/>
        </w:rPr>
        <w:t>实践操作操作考核占</w:t>
      </w:r>
      <w:r>
        <w:rPr>
          <w:rFonts w:hint="eastAsia" w:eastAsia="仿宋_GB2312"/>
          <w:bCs/>
          <w:sz w:val="30"/>
          <w:szCs w:val="30"/>
        </w:rPr>
        <w:t>7</w:t>
      </w:r>
      <w:r>
        <w:rPr>
          <w:rFonts w:eastAsia="仿宋_GB2312"/>
          <w:bCs/>
          <w:sz w:val="30"/>
          <w:szCs w:val="30"/>
        </w:rPr>
        <w:t>5%的比例计算参赛总分。</w:t>
      </w:r>
    </w:p>
    <w:p>
      <w:pPr>
        <w:spacing w:line="560" w:lineRule="exact"/>
        <w:ind w:firstLine="600" w:firstLineChars="200"/>
        <w:rPr>
          <w:rFonts w:eastAsia="仿宋_GB2312"/>
          <w:bCs/>
          <w:sz w:val="30"/>
          <w:szCs w:val="30"/>
        </w:rPr>
      </w:pPr>
      <w:r>
        <w:rPr>
          <w:rFonts w:ascii="Times New Roman" w:hAnsi="Times New Roman" w:eastAsia="仿宋_GB2312"/>
          <w:bCs/>
          <w:sz w:val="30"/>
          <w:szCs w:val="30"/>
        </w:rPr>
        <w:t>4.</w:t>
      </w:r>
      <w:r>
        <w:rPr>
          <w:rFonts w:eastAsia="仿宋_GB2312"/>
          <w:bCs/>
          <w:sz w:val="30"/>
          <w:szCs w:val="30"/>
        </w:rPr>
        <w:t>竞赛名次按照得分高低排序。当总分相同时，再分别按照完成的时间排序。</w:t>
      </w:r>
    </w:p>
    <w:p>
      <w:pPr>
        <w:spacing w:line="560" w:lineRule="exact"/>
        <w:ind w:firstLine="600" w:firstLineChars="200"/>
        <w:rPr>
          <w:rFonts w:eastAsia="仿宋_GB2312"/>
          <w:bCs/>
          <w:sz w:val="30"/>
          <w:szCs w:val="30"/>
        </w:rPr>
      </w:pPr>
      <w:r>
        <w:rPr>
          <w:rFonts w:ascii="Times New Roman" w:hAnsi="Times New Roman" w:eastAsia="仿宋_GB2312"/>
          <w:bCs/>
          <w:sz w:val="30"/>
          <w:szCs w:val="30"/>
        </w:rPr>
        <w:t>5.</w:t>
      </w:r>
      <w:r>
        <w:rPr>
          <w:rFonts w:eastAsia="仿宋_GB2312"/>
          <w:bCs/>
          <w:sz w:val="30"/>
          <w:szCs w:val="30"/>
        </w:rPr>
        <w:t>成绩的计算</w:t>
      </w:r>
    </w:p>
    <w:p>
      <w:pPr>
        <w:snapToGrid w:val="0"/>
        <w:spacing w:line="560" w:lineRule="exact"/>
        <w:ind w:firstLine="600" w:firstLineChars="200"/>
        <w:jc w:val="left"/>
        <w:rPr>
          <w:rFonts w:ascii="Times New Roman" w:hAnsi="Times New Roman" w:eastAsia="仿宋_GB2312"/>
          <w:bCs/>
          <w:sz w:val="30"/>
          <w:szCs w:val="30"/>
        </w:rPr>
      </w:pPr>
      <w:r>
        <w:rPr>
          <w:rFonts w:ascii="Times New Roman" w:hAnsi="Times New Roman" w:eastAsia="仿宋_GB2312"/>
          <w:bCs/>
          <w:sz w:val="30"/>
          <w:szCs w:val="30"/>
        </w:rPr>
        <w:t>个人得分：A×20％＋B×5％</w:t>
      </w:r>
      <w:r>
        <w:rPr>
          <w:rFonts w:hint="eastAsia" w:ascii="Times New Roman" w:hAnsi="Times New Roman" w:eastAsia="仿宋_GB2312"/>
          <w:bCs/>
          <w:sz w:val="30"/>
          <w:szCs w:val="30"/>
        </w:rPr>
        <w:t>+</w:t>
      </w:r>
      <w:r>
        <w:rPr>
          <w:rFonts w:ascii="Times New Roman" w:hAnsi="Times New Roman" w:eastAsia="仿宋_GB2312"/>
          <w:bCs/>
          <w:sz w:val="30"/>
          <w:szCs w:val="30"/>
        </w:rPr>
        <w:t>C×75</w:t>
      </w:r>
      <w:r>
        <w:rPr>
          <w:rFonts w:hint="eastAsia" w:ascii="Times New Roman" w:hAnsi="Times New Roman" w:eastAsia="仿宋_GB2312"/>
          <w:bCs/>
          <w:sz w:val="30"/>
          <w:szCs w:val="30"/>
        </w:rPr>
        <w:t>%</w:t>
      </w:r>
    </w:p>
    <w:p>
      <w:pPr>
        <w:snapToGrid w:val="0"/>
        <w:spacing w:line="560" w:lineRule="exact"/>
        <w:ind w:firstLine="600" w:firstLineChars="200"/>
        <w:jc w:val="left"/>
        <w:rPr>
          <w:rFonts w:ascii="Times New Roman" w:hAnsi="Times New Roman" w:eastAsia="仿宋_GB2312"/>
          <w:bCs/>
          <w:sz w:val="30"/>
          <w:szCs w:val="30"/>
        </w:rPr>
      </w:pPr>
      <w:r>
        <w:rPr>
          <w:rFonts w:ascii="Times New Roman" w:hAnsi="Times New Roman" w:eastAsia="仿宋_GB2312"/>
          <w:bCs/>
          <w:sz w:val="30"/>
          <w:szCs w:val="30"/>
        </w:rPr>
        <w:t>A—理论</w:t>
      </w:r>
      <w:r>
        <w:rPr>
          <w:rFonts w:hint="eastAsia" w:ascii="Times New Roman" w:hAnsi="Times New Roman" w:eastAsia="仿宋_GB2312"/>
          <w:bCs/>
          <w:sz w:val="30"/>
          <w:szCs w:val="30"/>
        </w:rPr>
        <w:t>知识</w:t>
      </w:r>
      <w:r>
        <w:rPr>
          <w:rFonts w:ascii="Times New Roman" w:hAnsi="Times New Roman" w:eastAsia="仿宋_GB2312"/>
          <w:bCs/>
          <w:sz w:val="30"/>
          <w:szCs w:val="30"/>
        </w:rPr>
        <w:t>考核得分</w:t>
      </w:r>
    </w:p>
    <w:p>
      <w:pPr>
        <w:snapToGrid w:val="0"/>
        <w:spacing w:line="560" w:lineRule="exact"/>
        <w:ind w:firstLine="600" w:firstLineChars="200"/>
        <w:jc w:val="left"/>
        <w:rPr>
          <w:rFonts w:hint="eastAsia" w:ascii="Times New Roman" w:hAnsi="Times New Roman" w:eastAsia="仿宋_GB2312"/>
          <w:bCs/>
          <w:sz w:val="30"/>
          <w:szCs w:val="30"/>
        </w:rPr>
      </w:pPr>
      <w:r>
        <w:rPr>
          <w:rFonts w:hint="eastAsia" w:ascii="Times New Roman" w:hAnsi="Times New Roman" w:eastAsia="仿宋_GB2312"/>
          <w:bCs/>
          <w:sz w:val="30"/>
          <w:szCs w:val="30"/>
        </w:rPr>
        <w:t>B—仿真操作考核得分</w:t>
      </w:r>
    </w:p>
    <w:p>
      <w:pPr>
        <w:snapToGrid w:val="0"/>
        <w:spacing w:line="560" w:lineRule="exact"/>
        <w:ind w:firstLine="600" w:firstLineChars="200"/>
        <w:jc w:val="left"/>
        <w:rPr>
          <w:rFonts w:ascii="Times New Roman" w:hAnsi="Times New Roman" w:eastAsia="仿宋_GB2312"/>
          <w:bCs/>
          <w:sz w:val="30"/>
          <w:szCs w:val="30"/>
        </w:rPr>
      </w:pPr>
      <w:r>
        <w:rPr>
          <w:rFonts w:hint="eastAsia" w:ascii="Times New Roman" w:hAnsi="Times New Roman" w:eastAsia="仿宋_GB2312"/>
          <w:bCs/>
          <w:sz w:val="30"/>
          <w:szCs w:val="30"/>
        </w:rPr>
        <w:t>C</w:t>
      </w:r>
      <w:r>
        <w:rPr>
          <w:rFonts w:ascii="Times New Roman" w:hAnsi="Times New Roman" w:eastAsia="仿宋_GB2312"/>
          <w:bCs/>
          <w:sz w:val="30"/>
          <w:szCs w:val="30"/>
        </w:rPr>
        <w:t>—实践操作考核得分</w:t>
      </w:r>
    </w:p>
    <w:p>
      <w:pPr>
        <w:snapToGrid w:val="0"/>
        <w:spacing w:line="560" w:lineRule="exact"/>
        <w:ind w:firstLine="600" w:firstLineChars="200"/>
        <w:jc w:val="left"/>
        <w:rPr>
          <w:rFonts w:ascii="Times New Roman" w:hAnsi="Times New Roman" w:eastAsia="仿宋_GB2312"/>
          <w:bCs/>
          <w:sz w:val="30"/>
          <w:szCs w:val="30"/>
        </w:rPr>
      </w:pPr>
      <w:r>
        <w:rPr>
          <w:rFonts w:ascii="Times New Roman" w:hAnsi="Times New Roman" w:eastAsia="仿宋_GB2312"/>
          <w:bCs/>
          <w:sz w:val="30"/>
          <w:szCs w:val="30"/>
        </w:rPr>
        <w:t>团体得分：A均值×20％＋B均值×5％</w:t>
      </w:r>
      <w:r>
        <w:rPr>
          <w:rFonts w:hint="eastAsia" w:ascii="Times New Roman" w:hAnsi="Times New Roman" w:eastAsia="仿宋_GB2312"/>
          <w:bCs/>
          <w:sz w:val="30"/>
          <w:szCs w:val="30"/>
        </w:rPr>
        <w:t>+</w:t>
      </w:r>
      <w:r>
        <w:rPr>
          <w:rFonts w:ascii="Times New Roman" w:hAnsi="Times New Roman" w:eastAsia="仿宋_GB2312"/>
          <w:bCs/>
          <w:sz w:val="30"/>
          <w:szCs w:val="30"/>
        </w:rPr>
        <w:t>C均值×75％</w:t>
      </w:r>
    </w:p>
    <w:p>
      <w:pPr>
        <w:snapToGrid w:val="0"/>
        <w:spacing w:line="560" w:lineRule="exact"/>
        <w:ind w:firstLine="600" w:firstLineChars="200"/>
        <w:jc w:val="left"/>
        <w:rPr>
          <w:rFonts w:ascii="Times New Roman" w:hAnsi="Times New Roman" w:eastAsia="仿宋_GB2312"/>
          <w:bCs/>
          <w:sz w:val="30"/>
          <w:szCs w:val="30"/>
        </w:rPr>
      </w:pPr>
      <w:r>
        <w:rPr>
          <w:rFonts w:ascii="Times New Roman" w:hAnsi="Times New Roman" w:eastAsia="仿宋_GB2312"/>
          <w:bCs/>
          <w:sz w:val="30"/>
          <w:szCs w:val="30"/>
        </w:rPr>
        <w:t>A均值—理论</w:t>
      </w:r>
      <w:r>
        <w:rPr>
          <w:rFonts w:hint="eastAsia" w:ascii="Times New Roman" w:hAnsi="Times New Roman" w:eastAsia="仿宋_GB2312"/>
          <w:bCs/>
          <w:sz w:val="30"/>
          <w:szCs w:val="30"/>
        </w:rPr>
        <w:t>知识</w:t>
      </w:r>
      <w:r>
        <w:rPr>
          <w:rFonts w:ascii="Times New Roman" w:hAnsi="Times New Roman" w:eastAsia="仿宋_GB2312"/>
          <w:bCs/>
          <w:sz w:val="30"/>
          <w:szCs w:val="30"/>
        </w:rPr>
        <w:t>考核平均得分</w:t>
      </w:r>
    </w:p>
    <w:p>
      <w:pPr>
        <w:snapToGrid w:val="0"/>
        <w:spacing w:line="560" w:lineRule="exact"/>
        <w:ind w:firstLine="600" w:firstLineChars="200"/>
        <w:jc w:val="left"/>
        <w:rPr>
          <w:rFonts w:ascii="Times New Roman" w:hAnsi="Times New Roman" w:eastAsia="仿宋_GB2312"/>
          <w:bCs/>
          <w:sz w:val="30"/>
          <w:szCs w:val="30"/>
        </w:rPr>
      </w:pPr>
      <w:r>
        <w:rPr>
          <w:rFonts w:ascii="Times New Roman" w:hAnsi="Times New Roman" w:eastAsia="仿宋_GB2312"/>
          <w:bCs/>
          <w:sz w:val="30"/>
          <w:szCs w:val="30"/>
        </w:rPr>
        <w:t>B均值—</w:t>
      </w:r>
      <w:r>
        <w:rPr>
          <w:rFonts w:hint="eastAsia" w:ascii="Times New Roman" w:hAnsi="Times New Roman" w:eastAsia="仿宋_GB2312"/>
          <w:bCs/>
          <w:sz w:val="30"/>
          <w:szCs w:val="30"/>
        </w:rPr>
        <w:t>仿真操作考核平均得分</w:t>
      </w:r>
    </w:p>
    <w:p>
      <w:pPr>
        <w:snapToGrid w:val="0"/>
        <w:spacing w:line="560" w:lineRule="exact"/>
        <w:ind w:firstLine="600" w:firstLineChars="200"/>
        <w:jc w:val="left"/>
        <w:rPr>
          <w:rFonts w:hint="eastAsia" w:ascii="Times New Roman" w:hAnsi="Times New Roman" w:eastAsia="仿宋_GB2312"/>
          <w:bCs/>
          <w:sz w:val="30"/>
          <w:szCs w:val="30"/>
        </w:rPr>
      </w:pPr>
      <w:r>
        <w:rPr>
          <w:rFonts w:ascii="Times New Roman" w:hAnsi="Times New Roman" w:eastAsia="仿宋_GB2312"/>
          <w:bCs/>
          <w:sz w:val="30"/>
          <w:szCs w:val="30"/>
        </w:rPr>
        <w:t>C</w:t>
      </w:r>
      <w:r>
        <w:rPr>
          <w:rFonts w:hint="eastAsia" w:ascii="Times New Roman" w:hAnsi="Times New Roman" w:eastAsia="仿宋_GB2312"/>
          <w:bCs/>
          <w:sz w:val="30"/>
          <w:szCs w:val="30"/>
        </w:rPr>
        <w:t>均值—</w:t>
      </w:r>
      <w:r>
        <w:rPr>
          <w:rFonts w:ascii="Times New Roman" w:hAnsi="Times New Roman" w:eastAsia="仿宋_GB2312"/>
          <w:bCs/>
          <w:sz w:val="30"/>
          <w:szCs w:val="30"/>
        </w:rPr>
        <w:t>实践操作考核平均得分</w:t>
      </w:r>
    </w:p>
    <w:p>
      <w:pPr>
        <w:snapToGrid w:val="0"/>
        <w:spacing w:line="560" w:lineRule="exact"/>
        <w:ind w:firstLine="602" w:firstLineChars="200"/>
        <w:rPr>
          <w:rFonts w:ascii="Arial Narrow" w:hAnsi="Arial Narrow" w:eastAsia="仿宋_GB2312" w:cs="Arial"/>
          <w:b/>
          <w:sz w:val="30"/>
          <w:szCs w:val="30"/>
        </w:rPr>
      </w:pPr>
      <w:r>
        <w:rPr>
          <w:rFonts w:ascii="Arial Narrow" w:hAnsi="Arial Narrow" w:eastAsia="仿宋_GB2312" w:cs="Arial"/>
          <w:b/>
          <w:sz w:val="30"/>
          <w:szCs w:val="30"/>
        </w:rPr>
        <w:t>（三）评分细则</w:t>
      </w:r>
    </w:p>
    <w:p>
      <w:pPr>
        <w:snapToGrid w:val="0"/>
        <w:spacing w:line="560" w:lineRule="exact"/>
        <w:ind w:firstLine="560" w:firstLineChars="200"/>
        <w:rPr>
          <w:rFonts w:eastAsia="仿宋_GB2312"/>
          <w:bCs/>
          <w:sz w:val="28"/>
          <w:szCs w:val="28"/>
        </w:rPr>
      </w:pPr>
      <w:r>
        <w:rPr>
          <w:rFonts w:hint="eastAsia" w:eastAsia="仿宋_GB2312"/>
          <w:bCs/>
          <w:sz w:val="28"/>
          <w:szCs w:val="28"/>
        </w:rPr>
        <w:t>1</w:t>
      </w:r>
      <w:r>
        <w:rPr>
          <w:rFonts w:eastAsia="仿宋_GB2312"/>
          <w:bCs/>
          <w:sz w:val="28"/>
          <w:szCs w:val="28"/>
        </w:rPr>
        <w:t>.过程性评分</w:t>
      </w:r>
    </w:p>
    <w:tbl>
      <w:tblPr>
        <w:tblStyle w:val="13"/>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169"/>
        <w:gridCol w:w="525"/>
        <w:gridCol w:w="2032"/>
        <w:gridCol w:w="801"/>
        <w:gridCol w:w="2069"/>
        <w:gridCol w:w="808"/>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427" w:type="dxa"/>
            <w:vAlign w:val="center"/>
          </w:tcPr>
          <w:p>
            <w:pPr>
              <w:jc w:val="center"/>
              <w:rPr>
                <w:rFonts w:ascii="Times New Roman" w:hAnsi="Times New Roman"/>
              </w:rPr>
            </w:pPr>
            <w:r>
              <w:rPr>
                <w:rFonts w:ascii="Times New Roman" w:hAnsi="Times New Roman"/>
              </w:rPr>
              <w:t>序号</w:t>
            </w:r>
          </w:p>
        </w:tc>
        <w:tc>
          <w:tcPr>
            <w:tcW w:w="1169" w:type="dxa"/>
            <w:vAlign w:val="center"/>
          </w:tcPr>
          <w:p>
            <w:pPr>
              <w:jc w:val="center"/>
              <w:rPr>
                <w:rFonts w:ascii="Times New Roman" w:hAnsi="Times New Roman"/>
              </w:rPr>
            </w:pPr>
            <w:r>
              <w:rPr>
                <w:rFonts w:ascii="Times New Roman" w:hAnsi="Times New Roman"/>
              </w:rPr>
              <w:t>作业项目</w:t>
            </w:r>
          </w:p>
        </w:tc>
        <w:tc>
          <w:tcPr>
            <w:tcW w:w="525" w:type="dxa"/>
            <w:vAlign w:val="center"/>
          </w:tcPr>
          <w:p>
            <w:pPr>
              <w:jc w:val="center"/>
              <w:rPr>
                <w:rFonts w:ascii="Times New Roman" w:hAnsi="Times New Roman"/>
              </w:rPr>
            </w:pPr>
            <w:r>
              <w:rPr>
                <w:rFonts w:ascii="Times New Roman" w:hAnsi="Times New Roman"/>
              </w:rPr>
              <w:t>配分</w:t>
            </w:r>
          </w:p>
        </w:tc>
        <w:tc>
          <w:tcPr>
            <w:tcW w:w="2032" w:type="dxa"/>
            <w:vAlign w:val="center"/>
          </w:tcPr>
          <w:p>
            <w:pPr>
              <w:jc w:val="center"/>
              <w:rPr>
                <w:rFonts w:ascii="Times New Roman" w:hAnsi="Times New Roman"/>
              </w:rPr>
            </w:pPr>
            <w:r>
              <w:rPr>
                <w:rFonts w:ascii="Times New Roman" w:hAnsi="Times New Roman"/>
              </w:rPr>
              <w:t>操作要求</w:t>
            </w:r>
          </w:p>
        </w:tc>
        <w:tc>
          <w:tcPr>
            <w:tcW w:w="801" w:type="dxa"/>
            <w:vAlign w:val="center"/>
          </w:tcPr>
          <w:p>
            <w:pPr>
              <w:jc w:val="center"/>
              <w:rPr>
                <w:rFonts w:ascii="Times New Roman" w:hAnsi="Times New Roman"/>
              </w:rPr>
            </w:pPr>
            <w:r>
              <w:rPr>
                <w:rFonts w:ascii="Times New Roman" w:hAnsi="Times New Roman"/>
              </w:rPr>
              <w:t>考核</w:t>
            </w:r>
          </w:p>
          <w:p>
            <w:pPr>
              <w:jc w:val="center"/>
              <w:rPr>
                <w:rFonts w:ascii="Times New Roman" w:hAnsi="Times New Roman"/>
              </w:rPr>
            </w:pPr>
            <w:r>
              <w:rPr>
                <w:rFonts w:ascii="Times New Roman" w:hAnsi="Times New Roman"/>
              </w:rPr>
              <w:t>记录</w:t>
            </w:r>
          </w:p>
        </w:tc>
        <w:tc>
          <w:tcPr>
            <w:tcW w:w="2069" w:type="dxa"/>
            <w:vAlign w:val="center"/>
          </w:tcPr>
          <w:p>
            <w:pPr>
              <w:jc w:val="center"/>
              <w:rPr>
                <w:rFonts w:ascii="Times New Roman" w:hAnsi="Times New Roman"/>
              </w:rPr>
            </w:pPr>
            <w:r>
              <w:rPr>
                <w:rFonts w:ascii="Times New Roman" w:hAnsi="Times New Roman"/>
              </w:rPr>
              <w:t>扣分说明</w:t>
            </w:r>
          </w:p>
        </w:tc>
        <w:tc>
          <w:tcPr>
            <w:tcW w:w="808" w:type="dxa"/>
            <w:vAlign w:val="center"/>
          </w:tcPr>
          <w:p>
            <w:pPr>
              <w:jc w:val="center"/>
              <w:rPr>
                <w:rFonts w:ascii="Times New Roman" w:hAnsi="Times New Roman"/>
              </w:rPr>
            </w:pPr>
            <w:r>
              <w:rPr>
                <w:rFonts w:ascii="Times New Roman" w:hAnsi="Times New Roman"/>
              </w:rPr>
              <w:t>扣分</w:t>
            </w:r>
          </w:p>
        </w:tc>
        <w:tc>
          <w:tcPr>
            <w:tcW w:w="692" w:type="dxa"/>
            <w:vAlign w:val="center"/>
          </w:tcPr>
          <w:p>
            <w:pPr>
              <w:jc w:val="center"/>
              <w:rPr>
                <w:rFonts w:ascii="Times New Roman" w:hAnsi="Times New Roman"/>
              </w:rPr>
            </w:pPr>
            <w:r>
              <w:rPr>
                <w:rFonts w:ascii="Times New Roman" w:hAnsi="Times New Roma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427" w:type="dxa"/>
            <w:vMerge w:val="restart"/>
            <w:vAlign w:val="center"/>
          </w:tcPr>
          <w:p>
            <w:pPr>
              <w:jc w:val="center"/>
              <w:rPr>
                <w:rFonts w:ascii="Times New Roman" w:hAnsi="Times New Roman"/>
              </w:rPr>
            </w:pPr>
            <w:r>
              <w:rPr>
                <w:rFonts w:ascii="Times New Roman" w:hAnsi="Times New Roman"/>
              </w:rPr>
              <w:t>一</w:t>
            </w:r>
          </w:p>
        </w:tc>
        <w:tc>
          <w:tcPr>
            <w:tcW w:w="1169" w:type="dxa"/>
            <w:vMerge w:val="restart"/>
            <w:vAlign w:val="center"/>
          </w:tcPr>
          <w:p>
            <w:pPr>
              <w:jc w:val="center"/>
              <w:rPr>
                <w:rFonts w:ascii="Times New Roman" w:hAnsi="Times New Roman"/>
                <w:szCs w:val="21"/>
              </w:rPr>
            </w:pPr>
            <w:r>
              <w:rPr>
                <w:rFonts w:ascii="Times New Roman" w:hAnsi="Times New Roman"/>
                <w:szCs w:val="21"/>
              </w:rPr>
              <w:t>基准物的称量</w:t>
            </w:r>
          </w:p>
        </w:tc>
        <w:tc>
          <w:tcPr>
            <w:tcW w:w="525" w:type="dxa"/>
            <w:vMerge w:val="restart"/>
            <w:vAlign w:val="center"/>
          </w:tcPr>
          <w:p>
            <w:pPr>
              <w:jc w:val="center"/>
              <w:rPr>
                <w:rFonts w:ascii="Times New Roman" w:hAnsi="Times New Roman"/>
              </w:rPr>
            </w:pPr>
            <w:r>
              <w:rPr>
                <w:rFonts w:ascii="Times New Roman" w:hAnsi="Times New Roman"/>
              </w:rPr>
              <w:t>2</w:t>
            </w:r>
          </w:p>
        </w:tc>
        <w:tc>
          <w:tcPr>
            <w:tcW w:w="2032" w:type="dxa"/>
            <w:vAlign w:val="center"/>
          </w:tcPr>
          <w:p>
            <w:pPr>
              <w:rPr>
                <w:rFonts w:ascii="Times New Roman" w:hAnsi="Times New Roman"/>
                <w:szCs w:val="21"/>
              </w:rPr>
            </w:pPr>
            <w:r>
              <w:rPr>
                <w:rFonts w:ascii="Times New Roman" w:hAnsi="Times New Roman"/>
                <w:szCs w:val="21"/>
              </w:rPr>
              <w:t>检查天平水平</w:t>
            </w:r>
          </w:p>
        </w:tc>
        <w:tc>
          <w:tcPr>
            <w:tcW w:w="801" w:type="dxa"/>
            <w:vAlign w:val="center"/>
          </w:tcPr>
          <w:p>
            <w:pPr>
              <w:rPr>
                <w:rFonts w:ascii="Times New Roman" w:hAnsi="Times New Roman"/>
              </w:rPr>
            </w:pPr>
          </w:p>
        </w:tc>
        <w:tc>
          <w:tcPr>
            <w:tcW w:w="2069" w:type="dxa"/>
            <w:vMerge w:val="restart"/>
            <w:vAlign w:val="center"/>
          </w:tcPr>
          <w:p>
            <w:pPr>
              <w:jc w:val="left"/>
              <w:rPr>
                <w:rFonts w:ascii="Times New Roman" w:hAnsi="Times New Roman"/>
              </w:rPr>
            </w:pPr>
            <w:r>
              <w:rPr>
                <w:rFonts w:ascii="Times New Roman" w:hAnsi="Times New Roman"/>
              </w:rPr>
              <w:t>每错一项扣0.5分，按配分项扣完为止</w:t>
            </w:r>
          </w:p>
        </w:tc>
        <w:tc>
          <w:tcPr>
            <w:tcW w:w="808" w:type="dxa"/>
            <w:vMerge w:val="restart"/>
            <w:vAlign w:val="center"/>
          </w:tcPr>
          <w:p>
            <w:pPr>
              <w:jc w:val="center"/>
              <w:rPr>
                <w:rFonts w:ascii="Times New Roman" w:hAnsi="Times New Roman"/>
              </w:rPr>
            </w:pPr>
          </w:p>
        </w:tc>
        <w:tc>
          <w:tcPr>
            <w:tcW w:w="692" w:type="dxa"/>
            <w:vMerge w:val="restart"/>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szCs w:val="21"/>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szCs w:val="21"/>
              </w:rPr>
            </w:pPr>
            <w:r>
              <w:rPr>
                <w:rFonts w:ascii="Times New Roman" w:hAnsi="Times New Roman"/>
                <w:szCs w:val="21"/>
              </w:rPr>
              <w:t>清扫天平</w:t>
            </w:r>
          </w:p>
        </w:tc>
        <w:tc>
          <w:tcPr>
            <w:tcW w:w="801" w:type="dxa"/>
            <w:vAlign w:val="center"/>
          </w:tcPr>
          <w:p>
            <w:pPr>
              <w:rPr>
                <w:rFonts w:ascii="Times New Roman" w:hAnsi="Times New Roman"/>
              </w:rPr>
            </w:pPr>
          </w:p>
        </w:tc>
        <w:tc>
          <w:tcPr>
            <w:tcW w:w="2069" w:type="dxa"/>
            <w:vMerge w:val="continue"/>
            <w:vAlign w:val="center"/>
          </w:tcPr>
          <w:p>
            <w:pPr>
              <w:jc w:val="left"/>
              <w:rPr>
                <w:rFonts w:ascii="Times New Roman" w:hAnsi="Times New Roman"/>
              </w:rPr>
            </w:pPr>
          </w:p>
        </w:tc>
        <w:tc>
          <w:tcPr>
            <w:tcW w:w="808" w:type="dxa"/>
            <w:vMerge w:val="continue"/>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szCs w:val="21"/>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szCs w:val="21"/>
              </w:rPr>
            </w:pPr>
            <w:r>
              <w:rPr>
                <w:rFonts w:ascii="Times New Roman" w:hAnsi="Times New Roman"/>
                <w:szCs w:val="21"/>
              </w:rPr>
              <w:t>敲样动作正确</w:t>
            </w:r>
            <w:r>
              <w:rPr>
                <w:rFonts w:hint="eastAsia" w:ascii="Times New Roman" w:hAnsi="Times New Roman"/>
                <w:szCs w:val="21"/>
              </w:rPr>
              <w:t>（有回敲动作）</w:t>
            </w:r>
          </w:p>
        </w:tc>
        <w:tc>
          <w:tcPr>
            <w:tcW w:w="801" w:type="dxa"/>
            <w:vAlign w:val="center"/>
          </w:tcPr>
          <w:p>
            <w:pPr>
              <w:rPr>
                <w:rFonts w:ascii="Times New Roman" w:hAnsi="Times New Roman"/>
              </w:rPr>
            </w:pPr>
          </w:p>
        </w:tc>
        <w:tc>
          <w:tcPr>
            <w:tcW w:w="2069" w:type="dxa"/>
            <w:vMerge w:val="continue"/>
            <w:vAlign w:val="center"/>
          </w:tcPr>
          <w:p>
            <w:pPr>
              <w:jc w:val="left"/>
              <w:rPr>
                <w:rFonts w:ascii="Times New Roman" w:hAnsi="Times New Roman"/>
              </w:rPr>
            </w:pPr>
          </w:p>
        </w:tc>
        <w:tc>
          <w:tcPr>
            <w:tcW w:w="808" w:type="dxa"/>
            <w:vMerge w:val="continue"/>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szCs w:val="21"/>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szCs w:val="21"/>
              </w:rPr>
            </w:pPr>
            <w:r>
              <w:rPr>
                <w:rFonts w:ascii="Times New Roman" w:hAnsi="Times New Roman"/>
                <w:szCs w:val="21"/>
              </w:rPr>
              <w:t>复原天平</w:t>
            </w:r>
          </w:p>
        </w:tc>
        <w:tc>
          <w:tcPr>
            <w:tcW w:w="801" w:type="dxa"/>
            <w:vAlign w:val="center"/>
          </w:tcPr>
          <w:p>
            <w:pPr>
              <w:rPr>
                <w:rFonts w:ascii="Times New Roman" w:hAnsi="Times New Roman"/>
              </w:rPr>
            </w:pPr>
          </w:p>
        </w:tc>
        <w:tc>
          <w:tcPr>
            <w:tcW w:w="2069" w:type="dxa"/>
            <w:vMerge w:val="continue"/>
            <w:vAlign w:val="center"/>
          </w:tcPr>
          <w:p>
            <w:pPr>
              <w:jc w:val="left"/>
              <w:rPr>
                <w:rFonts w:ascii="Times New Roman" w:hAnsi="Times New Roman"/>
              </w:rPr>
            </w:pPr>
          </w:p>
        </w:tc>
        <w:tc>
          <w:tcPr>
            <w:tcW w:w="808" w:type="dxa"/>
            <w:vMerge w:val="continue"/>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szCs w:val="21"/>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szCs w:val="21"/>
              </w:rPr>
            </w:pPr>
            <w:r>
              <w:rPr>
                <w:rFonts w:ascii="Times New Roman" w:hAnsi="Times New Roman"/>
                <w:szCs w:val="21"/>
              </w:rPr>
              <w:t>放回凳子</w:t>
            </w:r>
          </w:p>
        </w:tc>
        <w:tc>
          <w:tcPr>
            <w:tcW w:w="801" w:type="dxa"/>
            <w:vAlign w:val="center"/>
          </w:tcPr>
          <w:p>
            <w:pPr>
              <w:rPr>
                <w:rFonts w:ascii="Times New Roman" w:hAnsi="Times New Roman"/>
              </w:rPr>
            </w:pPr>
          </w:p>
        </w:tc>
        <w:tc>
          <w:tcPr>
            <w:tcW w:w="2069" w:type="dxa"/>
            <w:vMerge w:val="continue"/>
            <w:vAlign w:val="center"/>
          </w:tcPr>
          <w:p>
            <w:pPr>
              <w:jc w:val="left"/>
              <w:rPr>
                <w:rFonts w:ascii="Times New Roman" w:hAnsi="Times New Roman"/>
              </w:rPr>
            </w:pPr>
          </w:p>
        </w:tc>
        <w:tc>
          <w:tcPr>
            <w:tcW w:w="808" w:type="dxa"/>
            <w:vMerge w:val="continue"/>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427" w:type="dxa"/>
            <w:vMerge w:val="restart"/>
            <w:vAlign w:val="center"/>
          </w:tcPr>
          <w:p>
            <w:pPr>
              <w:jc w:val="center"/>
              <w:rPr>
                <w:rFonts w:ascii="Times New Roman" w:hAnsi="Times New Roman"/>
              </w:rPr>
            </w:pPr>
            <w:r>
              <w:rPr>
                <w:rFonts w:ascii="Times New Roman" w:hAnsi="Times New Roman"/>
              </w:rPr>
              <w:t>二</w:t>
            </w:r>
          </w:p>
        </w:tc>
        <w:tc>
          <w:tcPr>
            <w:tcW w:w="1169" w:type="dxa"/>
            <w:vMerge w:val="restart"/>
            <w:vAlign w:val="center"/>
          </w:tcPr>
          <w:p>
            <w:pPr>
              <w:jc w:val="center"/>
              <w:rPr>
                <w:rFonts w:ascii="Times New Roman" w:hAnsi="Times New Roman"/>
                <w:szCs w:val="21"/>
              </w:rPr>
            </w:pPr>
            <w:r>
              <w:rPr>
                <w:rFonts w:ascii="Times New Roman" w:hAnsi="Times New Roman"/>
                <w:szCs w:val="21"/>
              </w:rPr>
              <w:t>溶液配制</w:t>
            </w:r>
            <w:r>
              <w:rPr>
                <w:rFonts w:hint="eastAsia" w:ascii="Times New Roman" w:hAnsi="Times New Roman"/>
                <w:szCs w:val="21"/>
              </w:rPr>
              <w:t>（容量瓶操作）</w:t>
            </w:r>
          </w:p>
        </w:tc>
        <w:tc>
          <w:tcPr>
            <w:tcW w:w="525" w:type="dxa"/>
            <w:vMerge w:val="restart"/>
            <w:vAlign w:val="center"/>
          </w:tcPr>
          <w:p>
            <w:pPr>
              <w:jc w:val="center"/>
              <w:rPr>
                <w:rFonts w:ascii="Times New Roman" w:hAnsi="Times New Roman"/>
              </w:rPr>
            </w:pPr>
            <w:r>
              <w:rPr>
                <w:rFonts w:ascii="Times New Roman" w:hAnsi="Times New Roman"/>
              </w:rPr>
              <w:t>5</w:t>
            </w:r>
          </w:p>
        </w:tc>
        <w:tc>
          <w:tcPr>
            <w:tcW w:w="2032" w:type="dxa"/>
            <w:vAlign w:val="center"/>
          </w:tcPr>
          <w:p>
            <w:pPr>
              <w:rPr>
                <w:rFonts w:ascii="Times New Roman" w:hAnsi="Times New Roman"/>
              </w:rPr>
            </w:pPr>
            <w:r>
              <w:rPr>
                <w:rFonts w:ascii="Times New Roman" w:hAnsi="Times New Roman"/>
              </w:rPr>
              <w:t xml:space="preserve">正确试漏      </w:t>
            </w:r>
          </w:p>
        </w:tc>
        <w:tc>
          <w:tcPr>
            <w:tcW w:w="801" w:type="dxa"/>
            <w:vAlign w:val="center"/>
          </w:tcPr>
          <w:p>
            <w:pPr>
              <w:rPr>
                <w:rFonts w:ascii="Times New Roman" w:hAnsi="Times New Roman"/>
              </w:rPr>
            </w:pPr>
          </w:p>
        </w:tc>
        <w:tc>
          <w:tcPr>
            <w:tcW w:w="2069" w:type="dxa"/>
            <w:vMerge w:val="restart"/>
            <w:vAlign w:val="center"/>
          </w:tcPr>
          <w:p>
            <w:pPr>
              <w:jc w:val="left"/>
              <w:rPr>
                <w:rFonts w:ascii="Times New Roman" w:hAnsi="Times New Roman"/>
              </w:rPr>
            </w:pPr>
            <w:r>
              <w:rPr>
                <w:rFonts w:ascii="Times New Roman" w:hAnsi="Times New Roman"/>
              </w:rPr>
              <w:t>每错一个扣0.5分，按配分项扣完为止</w:t>
            </w:r>
            <w:r>
              <w:rPr>
                <w:rFonts w:hint="eastAsia" w:ascii="Times New Roman" w:hAnsi="Times New Roman"/>
              </w:rPr>
              <w:t>（其中容量瓶</w:t>
            </w:r>
            <w:r>
              <w:rPr>
                <w:rFonts w:ascii="Times New Roman" w:hAnsi="Times New Roman"/>
              </w:rPr>
              <w:t>不试漏，扣0.5分</w:t>
            </w:r>
            <w:r>
              <w:rPr>
                <w:rFonts w:hint="eastAsia" w:ascii="Times New Roman" w:hAnsi="Times New Roman"/>
              </w:rPr>
              <w:t>；</w:t>
            </w:r>
            <w:r>
              <w:rPr>
                <w:rFonts w:ascii="Times New Roman" w:hAnsi="Times New Roman"/>
              </w:rPr>
              <w:t>转移动作不规范扣0.5分</w:t>
            </w:r>
            <w:r>
              <w:rPr>
                <w:rFonts w:hint="eastAsia" w:ascii="Times New Roman" w:hAnsi="Times New Roman"/>
              </w:rPr>
              <w:t>）</w:t>
            </w:r>
          </w:p>
        </w:tc>
        <w:tc>
          <w:tcPr>
            <w:tcW w:w="808" w:type="dxa"/>
            <w:vMerge w:val="restart"/>
            <w:vAlign w:val="center"/>
          </w:tcPr>
          <w:p>
            <w:pPr>
              <w:jc w:val="center"/>
              <w:rPr>
                <w:rFonts w:ascii="Times New Roman" w:hAnsi="Times New Roman"/>
              </w:rPr>
            </w:pPr>
          </w:p>
        </w:tc>
        <w:tc>
          <w:tcPr>
            <w:tcW w:w="692" w:type="dxa"/>
            <w:vMerge w:val="restart"/>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szCs w:val="21"/>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rPr>
            </w:pPr>
            <w:r>
              <w:rPr>
                <w:rFonts w:ascii="Times New Roman" w:hAnsi="Times New Roman"/>
              </w:rPr>
              <w:t>转移动作规范</w:t>
            </w:r>
          </w:p>
        </w:tc>
        <w:tc>
          <w:tcPr>
            <w:tcW w:w="801" w:type="dxa"/>
            <w:vAlign w:val="center"/>
          </w:tcPr>
          <w:p>
            <w:pPr>
              <w:rPr>
                <w:rFonts w:ascii="Times New Roman" w:hAnsi="Times New Roman"/>
              </w:rPr>
            </w:pPr>
          </w:p>
        </w:tc>
        <w:tc>
          <w:tcPr>
            <w:tcW w:w="2069" w:type="dxa"/>
            <w:vMerge w:val="continue"/>
            <w:vAlign w:val="center"/>
          </w:tcPr>
          <w:p>
            <w:pPr>
              <w:jc w:val="left"/>
              <w:rPr>
                <w:rFonts w:ascii="Times New Roman" w:hAnsi="Times New Roman"/>
              </w:rPr>
            </w:pPr>
          </w:p>
        </w:tc>
        <w:tc>
          <w:tcPr>
            <w:tcW w:w="808" w:type="dxa"/>
            <w:vMerge w:val="continue"/>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szCs w:val="21"/>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rPr>
            </w:pPr>
            <w:r>
              <w:rPr>
                <w:rFonts w:ascii="Times New Roman" w:hAnsi="Times New Roman"/>
              </w:rPr>
              <w:t>三分之二处水平摇动</w:t>
            </w:r>
          </w:p>
        </w:tc>
        <w:tc>
          <w:tcPr>
            <w:tcW w:w="801" w:type="dxa"/>
            <w:vAlign w:val="center"/>
          </w:tcPr>
          <w:p>
            <w:pPr>
              <w:rPr>
                <w:rFonts w:ascii="Times New Roman" w:hAnsi="Times New Roman"/>
              </w:rPr>
            </w:pPr>
          </w:p>
        </w:tc>
        <w:tc>
          <w:tcPr>
            <w:tcW w:w="2069" w:type="dxa"/>
            <w:vMerge w:val="continue"/>
            <w:vAlign w:val="center"/>
          </w:tcPr>
          <w:p>
            <w:pPr>
              <w:jc w:val="left"/>
              <w:rPr>
                <w:rFonts w:ascii="Times New Roman" w:hAnsi="Times New Roman"/>
              </w:rPr>
            </w:pPr>
          </w:p>
        </w:tc>
        <w:tc>
          <w:tcPr>
            <w:tcW w:w="808" w:type="dxa"/>
            <w:vMerge w:val="continue"/>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szCs w:val="21"/>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rPr>
            </w:pPr>
            <w:r>
              <w:rPr>
                <w:rFonts w:ascii="Times New Roman" w:hAnsi="Times New Roman"/>
              </w:rPr>
              <w:t>准确稀释至刻线</w:t>
            </w:r>
          </w:p>
        </w:tc>
        <w:tc>
          <w:tcPr>
            <w:tcW w:w="801" w:type="dxa"/>
            <w:vAlign w:val="center"/>
          </w:tcPr>
          <w:p>
            <w:pPr>
              <w:rPr>
                <w:rFonts w:ascii="Times New Roman" w:hAnsi="Times New Roman"/>
              </w:rPr>
            </w:pPr>
          </w:p>
        </w:tc>
        <w:tc>
          <w:tcPr>
            <w:tcW w:w="2069" w:type="dxa"/>
            <w:vMerge w:val="continue"/>
            <w:vAlign w:val="center"/>
          </w:tcPr>
          <w:p>
            <w:pPr>
              <w:jc w:val="left"/>
              <w:rPr>
                <w:rFonts w:ascii="Times New Roman" w:hAnsi="Times New Roman"/>
              </w:rPr>
            </w:pPr>
          </w:p>
        </w:tc>
        <w:tc>
          <w:tcPr>
            <w:tcW w:w="808" w:type="dxa"/>
            <w:vMerge w:val="continue"/>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szCs w:val="21"/>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rPr>
            </w:pPr>
            <w:r>
              <w:rPr>
                <w:rFonts w:ascii="Times New Roman" w:hAnsi="Times New Roman"/>
              </w:rPr>
              <w:t>摇匀动作正确</w:t>
            </w:r>
          </w:p>
        </w:tc>
        <w:tc>
          <w:tcPr>
            <w:tcW w:w="801" w:type="dxa"/>
            <w:vAlign w:val="center"/>
          </w:tcPr>
          <w:p>
            <w:pPr>
              <w:rPr>
                <w:rFonts w:ascii="Times New Roman" w:hAnsi="Times New Roman"/>
              </w:rPr>
            </w:pPr>
          </w:p>
        </w:tc>
        <w:tc>
          <w:tcPr>
            <w:tcW w:w="2069" w:type="dxa"/>
            <w:vMerge w:val="continue"/>
            <w:vAlign w:val="center"/>
          </w:tcPr>
          <w:p>
            <w:pPr>
              <w:jc w:val="left"/>
              <w:rPr>
                <w:rFonts w:ascii="Times New Roman" w:hAnsi="Times New Roman"/>
              </w:rPr>
            </w:pPr>
          </w:p>
        </w:tc>
        <w:tc>
          <w:tcPr>
            <w:tcW w:w="808" w:type="dxa"/>
            <w:vMerge w:val="continue"/>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trPr>
        <w:tc>
          <w:tcPr>
            <w:tcW w:w="427" w:type="dxa"/>
            <w:vMerge w:val="restart"/>
            <w:vAlign w:val="center"/>
          </w:tcPr>
          <w:p>
            <w:pPr>
              <w:jc w:val="center"/>
              <w:rPr>
                <w:rFonts w:ascii="Times New Roman" w:hAnsi="Times New Roman"/>
              </w:rPr>
            </w:pPr>
            <w:r>
              <w:rPr>
                <w:rFonts w:ascii="Times New Roman" w:hAnsi="Times New Roman"/>
              </w:rPr>
              <w:t>三</w:t>
            </w:r>
          </w:p>
        </w:tc>
        <w:tc>
          <w:tcPr>
            <w:tcW w:w="1169" w:type="dxa"/>
            <w:vMerge w:val="restart"/>
            <w:vAlign w:val="center"/>
          </w:tcPr>
          <w:p>
            <w:pPr>
              <w:jc w:val="center"/>
              <w:rPr>
                <w:rFonts w:ascii="Times New Roman" w:hAnsi="Times New Roman"/>
                <w:szCs w:val="21"/>
              </w:rPr>
            </w:pPr>
            <w:r>
              <w:rPr>
                <w:rFonts w:ascii="Times New Roman" w:hAnsi="Times New Roman"/>
                <w:szCs w:val="21"/>
              </w:rPr>
              <w:t>移取溶液</w:t>
            </w:r>
          </w:p>
        </w:tc>
        <w:tc>
          <w:tcPr>
            <w:tcW w:w="525" w:type="dxa"/>
            <w:vMerge w:val="restart"/>
            <w:vAlign w:val="center"/>
          </w:tcPr>
          <w:p>
            <w:pPr>
              <w:jc w:val="center"/>
              <w:rPr>
                <w:rFonts w:ascii="Times New Roman" w:hAnsi="Times New Roman"/>
              </w:rPr>
            </w:pPr>
            <w:r>
              <w:rPr>
                <w:rFonts w:ascii="Times New Roman" w:hAnsi="Times New Roman"/>
              </w:rPr>
              <w:t>3.5</w:t>
            </w:r>
          </w:p>
        </w:tc>
        <w:tc>
          <w:tcPr>
            <w:tcW w:w="2032" w:type="dxa"/>
            <w:vAlign w:val="center"/>
          </w:tcPr>
          <w:p>
            <w:pPr>
              <w:rPr>
                <w:rFonts w:ascii="Times New Roman" w:hAnsi="Times New Roman"/>
                <w:highlight w:val="yellow"/>
              </w:rPr>
            </w:pPr>
            <w:r>
              <w:rPr>
                <w:rFonts w:ascii="Times New Roman" w:hAnsi="Times New Roman"/>
              </w:rPr>
              <w:t>润洗方法正确</w:t>
            </w:r>
          </w:p>
        </w:tc>
        <w:tc>
          <w:tcPr>
            <w:tcW w:w="801" w:type="dxa"/>
            <w:vAlign w:val="center"/>
          </w:tcPr>
          <w:p>
            <w:pPr>
              <w:rPr>
                <w:rFonts w:ascii="Times New Roman" w:hAnsi="Times New Roman"/>
                <w:highlight w:val="yellow"/>
              </w:rPr>
            </w:pPr>
          </w:p>
        </w:tc>
        <w:tc>
          <w:tcPr>
            <w:tcW w:w="2069" w:type="dxa"/>
            <w:vMerge w:val="restart"/>
            <w:vAlign w:val="center"/>
          </w:tcPr>
          <w:p>
            <w:pPr>
              <w:jc w:val="left"/>
              <w:rPr>
                <w:rFonts w:ascii="Times New Roman" w:hAnsi="Times New Roman"/>
                <w:highlight w:val="yellow"/>
              </w:rPr>
            </w:pPr>
            <w:r>
              <w:rPr>
                <w:rFonts w:ascii="Times New Roman" w:hAnsi="Times New Roman"/>
              </w:rPr>
              <w:t>每错一项扣0.5分，扣完为止</w:t>
            </w:r>
          </w:p>
        </w:tc>
        <w:tc>
          <w:tcPr>
            <w:tcW w:w="808" w:type="dxa"/>
            <w:vMerge w:val="restart"/>
            <w:vAlign w:val="center"/>
          </w:tcPr>
          <w:p>
            <w:pPr>
              <w:jc w:val="center"/>
              <w:rPr>
                <w:rFonts w:ascii="Times New Roman" w:hAnsi="Times New Roman"/>
              </w:rPr>
            </w:pPr>
          </w:p>
        </w:tc>
        <w:tc>
          <w:tcPr>
            <w:tcW w:w="692" w:type="dxa"/>
            <w:vMerge w:val="restart"/>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szCs w:val="21"/>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rPr>
            </w:pPr>
            <w:r>
              <w:rPr>
                <w:rFonts w:ascii="Times New Roman" w:hAnsi="Times New Roman"/>
              </w:rPr>
              <w:t>重吸</w:t>
            </w:r>
          </w:p>
        </w:tc>
        <w:tc>
          <w:tcPr>
            <w:tcW w:w="801" w:type="dxa"/>
            <w:vAlign w:val="center"/>
          </w:tcPr>
          <w:p>
            <w:pPr>
              <w:rPr>
                <w:rFonts w:ascii="Times New Roman" w:hAnsi="Times New Roman"/>
              </w:rPr>
            </w:pPr>
          </w:p>
        </w:tc>
        <w:tc>
          <w:tcPr>
            <w:tcW w:w="2069" w:type="dxa"/>
            <w:vMerge w:val="continue"/>
            <w:vAlign w:val="center"/>
          </w:tcPr>
          <w:p>
            <w:pPr>
              <w:jc w:val="left"/>
              <w:rPr>
                <w:rFonts w:ascii="Times New Roman" w:hAnsi="Times New Roman"/>
              </w:rPr>
            </w:pPr>
          </w:p>
        </w:tc>
        <w:tc>
          <w:tcPr>
            <w:tcW w:w="808" w:type="dxa"/>
            <w:vMerge w:val="continue"/>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trPr>
        <w:tc>
          <w:tcPr>
            <w:tcW w:w="427" w:type="dxa"/>
            <w:vMerge w:val="continue"/>
          </w:tcPr>
          <w:p>
            <w:pPr>
              <w:jc w:val="center"/>
              <w:rPr>
                <w:rFonts w:ascii="Times New Roman" w:hAnsi="Times New Roman"/>
              </w:rPr>
            </w:pPr>
          </w:p>
        </w:tc>
        <w:tc>
          <w:tcPr>
            <w:tcW w:w="1169" w:type="dxa"/>
            <w:vMerge w:val="continue"/>
          </w:tcPr>
          <w:p>
            <w:pPr>
              <w:jc w:val="center"/>
              <w:rPr>
                <w:rFonts w:ascii="Times New Roman" w:hAnsi="Times New Roman"/>
                <w:szCs w:val="21"/>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rPr>
            </w:pPr>
            <w:r>
              <w:rPr>
                <w:rFonts w:ascii="Times New Roman" w:hAnsi="Times New Roman"/>
              </w:rPr>
              <w:t>调刻线前擦干外壁</w:t>
            </w:r>
          </w:p>
        </w:tc>
        <w:tc>
          <w:tcPr>
            <w:tcW w:w="801" w:type="dxa"/>
            <w:vAlign w:val="center"/>
          </w:tcPr>
          <w:p>
            <w:pPr>
              <w:rPr>
                <w:rFonts w:ascii="Times New Roman" w:hAnsi="Times New Roman"/>
              </w:rPr>
            </w:pPr>
          </w:p>
        </w:tc>
        <w:tc>
          <w:tcPr>
            <w:tcW w:w="2069" w:type="dxa"/>
            <w:vMerge w:val="continue"/>
          </w:tcPr>
          <w:p>
            <w:pPr>
              <w:jc w:val="left"/>
              <w:rPr>
                <w:rFonts w:ascii="Times New Roman" w:hAnsi="Times New Roman"/>
              </w:rPr>
            </w:pPr>
          </w:p>
        </w:tc>
        <w:tc>
          <w:tcPr>
            <w:tcW w:w="808" w:type="dxa"/>
            <w:vMerge w:val="continue"/>
          </w:tcPr>
          <w:p>
            <w:pPr>
              <w:jc w:val="center"/>
              <w:rPr>
                <w:rFonts w:ascii="Times New Roman" w:hAnsi="Times New Roman"/>
              </w:rPr>
            </w:pPr>
          </w:p>
        </w:tc>
        <w:tc>
          <w:tcPr>
            <w:tcW w:w="692" w:type="dxa"/>
            <w:vMerge w:val="continue"/>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427" w:type="dxa"/>
            <w:vMerge w:val="continue"/>
          </w:tcPr>
          <w:p>
            <w:pPr>
              <w:jc w:val="center"/>
              <w:rPr>
                <w:rFonts w:ascii="Times New Roman" w:hAnsi="Times New Roman"/>
              </w:rPr>
            </w:pPr>
          </w:p>
        </w:tc>
        <w:tc>
          <w:tcPr>
            <w:tcW w:w="1169" w:type="dxa"/>
            <w:vMerge w:val="continue"/>
          </w:tcPr>
          <w:p>
            <w:pPr>
              <w:jc w:val="center"/>
              <w:rPr>
                <w:rFonts w:ascii="Times New Roman" w:hAnsi="Times New Roman"/>
                <w:szCs w:val="21"/>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rPr>
            </w:pPr>
            <w:r>
              <w:rPr>
                <w:rFonts w:ascii="Times New Roman" w:hAnsi="Times New Roman"/>
              </w:rPr>
              <w:t>调节液面操作熟练</w:t>
            </w:r>
          </w:p>
        </w:tc>
        <w:tc>
          <w:tcPr>
            <w:tcW w:w="801" w:type="dxa"/>
            <w:vAlign w:val="center"/>
          </w:tcPr>
          <w:p>
            <w:pPr>
              <w:rPr>
                <w:rFonts w:ascii="Times New Roman" w:hAnsi="Times New Roman"/>
              </w:rPr>
            </w:pPr>
          </w:p>
        </w:tc>
        <w:tc>
          <w:tcPr>
            <w:tcW w:w="2069" w:type="dxa"/>
            <w:vMerge w:val="continue"/>
          </w:tcPr>
          <w:p>
            <w:pPr>
              <w:jc w:val="left"/>
              <w:rPr>
                <w:rFonts w:ascii="Times New Roman" w:hAnsi="Times New Roman"/>
              </w:rPr>
            </w:pPr>
          </w:p>
        </w:tc>
        <w:tc>
          <w:tcPr>
            <w:tcW w:w="808" w:type="dxa"/>
            <w:vMerge w:val="continue"/>
          </w:tcPr>
          <w:p>
            <w:pPr>
              <w:jc w:val="center"/>
              <w:rPr>
                <w:rFonts w:ascii="Times New Roman" w:hAnsi="Times New Roman"/>
              </w:rPr>
            </w:pPr>
          </w:p>
        </w:tc>
        <w:tc>
          <w:tcPr>
            <w:tcW w:w="692" w:type="dxa"/>
            <w:vMerge w:val="continue"/>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trPr>
        <w:tc>
          <w:tcPr>
            <w:tcW w:w="427" w:type="dxa"/>
            <w:vMerge w:val="continue"/>
          </w:tcPr>
          <w:p>
            <w:pPr>
              <w:jc w:val="center"/>
              <w:rPr>
                <w:rFonts w:ascii="Times New Roman" w:hAnsi="Times New Roman"/>
              </w:rPr>
            </w:pPr>
          </w:p>
        </w:tc>
        <w:tc>
          <w:tcPr>
            <w:tcW w:w="1169" w:type="dxa"/>
            <w:vMerge w:val="continue"/>
          </w:tcPr>
          <w:p>
            <w:pPr>
              <w:jc w:val="center"/>
              <w:rPr>
                <w:rFonts w:ascii="Times New Roman" w:hAnsi="Times New Roman"/>
                <w:szCs w:val="21"/>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rPr>
            </w:pPr>
            <w:r>
              <w:rPr>
                <w:rFonts w:ascii="Times New Roman" w:hAnsi="Times New Roman"/>
              </w:rPr>
              <w:t>移液管竖直</w:t>
            </w:r>
          </w:p>
        </w:tc>
        <w:tc>
          <w:tcPr>
            <w:tcW w:w="801" w:type="dxa"/>
            <w:vAlign w:val="center"/>
          </w:tcPr>
          <w:p>
            <w:pPr>
              <w:rPr>
                <w:rFonts w:ascii="Times New Roman" w:hAnsi="Times New Roman"/>
              </w:rPr>
            </w:pPr>
          </w:p>
        </w:tc>
        <w:tc>
          <w:tcPr>
            <w:tcW w:w="2069" w:type="dxa"/>
            <w:vMerge w:val="continue"/>
          </w:tcPr>
          <w:p>
            <w:pPr>
              <w:jc w:val="left"/>
              <w:rPr>
                <w:rFonts w:ascii="Times New Roman" w:hAnsi="Times New Roman"/>
              </w:rPr>
            </w:pPr>
          </w:p>
        </w:tc>
        <w:tc>
          <w:tcPr>
            <w:tcW w:w="808" w:type="dxa"/>
            <w:vMerge w:val="continue"/>
          </w:tcPr>
          <w:p>
            <w:pPr>
              <w:jc w:val="center"/>
              <w:rPr>
                <w:rFonts w:ascii="Times New Roman" w:hAnsi="Times New Roman"/>
              </w:rPr>
            </w:pPr>
          </w:p>
        </w:tc>
        <w:tc>
          <w:tcPr>
            <w:tcW w:w="692" w:type="dxa"/>
            <w:vMerge w:val="continue"/>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trPr>
        <w:tc>
          <w:tcPr>
            <w:tcW w:w="427" w:type="dxa"/>
            <w:vMerge w:val="continue"/>
          </w:tcPr>
          <w:p>
            <w:pPr>
              <w:jc w:val="center"/>
              <w:rPr>
                <w:rFonts w:ascii="Times New Roman" w:hAnsi="Times New Roman"/>
              </w:rPr>
            </w:pPr>
          </w:p>
        </w:tc>
        <w:tc>
          <w:tcPr>
            <w:tcW w:w="1169" w:type="dxa"/>
            <w:vMerge w:val="continue"/>
          </w:tcPr>
          <w:p>
            <w:pPr>
              <w:jc w:val="center"/>
              <w:rPr>
                <w:rFonts w:ascii="Times New Roman" w:hAnsi="Times New Roman"/>
                <w:szCs w:val="21"/>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rPr>
            </w:pPr>
            <w:r>
              <w:rPr>
                <w:rFonts w:ascii="Times New Roman" w:hAnsi="Times New Roman"/>
              </w:rPr>
              <w:t>移液管尖靠壁</w:t>
            </w:r>
          </w:p>
        </w:tc>
        <w:tc>
          <w:tcPr>
            <w:tcW w:w="801" w:type="dxa"/>
            <w:vAlign w:val="center"/>
          </w:tcPr>
          <w:p>
            <w:pPr>
              <w:rPr>
                <w:rFonts w:ascii="Times New Roman" w:hAnsi="Times New Roman"/>
              </w:rPr>
            </w:pPr>
          </w:p>
        </w:tc>
        <w:tc>
          <w:tcPr>
            <w:tcW w:w="2069" w:type="dxa"/>
            <w:vMerge w:val="continue"/>
          </w:tcPr>
          <w:p>
            <w:pPr>
              <w:jc w:val="left"/>
              <w:rPr>
                <w:rFonts w:ascii="Times New Roman" w:hAnsi="Times New Roman"/>
              </w:rPr>
            </w:pPr>
          </w:p>
        </w:tc>
        <w:tc>
          <w:tcPr>
            <w:tcW w:w="808" w:type="dxa"/>
            <w:vMerge w:val="continue"/>
          </w:tcPr>
          <w:p>
            <w:pPr>
              <w:jc w:val="center"/>
              <w:rPr>
                <w:rFonts w:ascii="Times New Roman" w:hAnsi="Times New Roman"/>
              </w:rPr>
            </w:pPr>
          </w:p>
        </w:tc>
        <w:tc>
          <w:tcPr>
            <w:tcW w:w="692" w:type="dxa"/>
            <w:vMerge w:val="continue"/>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trPr>
        <w:tc>
          <w:tcPr>
            <w:tcW w:w="427" w:type="dxa"/>
            <w:vMerge w:val="continue"/>
          </w:tcPr>
          <w:p>
            <w:pPr>
              <w:jc w:val="center"/>
              <w:rPr>
                <w:rFonts w:ascii="Times New Roman" w:hAnsi="Times New Roman"/>
              </w:rPr>
            </w:pPr>
          </w:p>
        </w:tc>
        <w:tc>
          <w:tcPr>
            <w:tcW w:w="1169" w:type="dxa"/>
            <w:vMerge w:val="continue"/>
          </w:tcPr>
          <w:p>
            <w:pPr>
              <w:jc w:val="center"/>
              <w:rPr>
                <w:rFonts w:ascii="Times New Roman" w:hAnsi="Times New Roman"/>
                <w:szCs w:val="21"/>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rPr>
            </w:pPr>
            <w:r>
              <w:rPr>
                <w:rFonts w:ascii="Times New Roman" w:hAnsi="Times New Roman"/>
              </w:rPr>
              <w:t>放液后停留约15秒</w:t>
            </w:r>
          </w:p>
        </w:tc>
        <w:tc>
          <w:tcPr>
            <w:tcW w:w="801" w:type="dxa"/>
            <w:vAlign w:val="center"/>
          </w:tcPr>
          <w:p>
            <w:pPr>
              <w:rPr>
                <w:rFonts w:ascii="Times New Roman" w:hAnsi="Times New Roman"/>
              </w:rPr>
            </w:pPr>
          </w:p>
        </w:tc>
        <w:tc>
          <w:tcPr>
            <w:tcW w:w="2069" w:type="dxa"/>
            <w:vMerge w:val="continue"/>
          </w:tcPr>
          <w:p>
            <w:pPr>
              <w:jc w:val="left"/>
              <w:rPr>
                <w:rFonts w:ascii="Times New Roman" w:hAnsi="Times New Roman"/>
              </w:rPr>
            </w:pPr>
          </w:p>
        </w:tc>
        <w:tc>
          <w:tcPr>
            <w:tcW w:w="808" w:type="dxa"/>
            <w:vMerge w:val="continue"/>
          </w:tcPr>
          <w:p>
            <w:pPr>
              <w:jc w:val="center"/>
              <w:rPr>
                <w:rFonts w:ascii="Times New Roman" w:hAnsi="Times New Roman"/>
              </w:rPr>
            </w:pPr>
          </w:p>
        </w:tc>
        <w:tc>
          <w:tcPr>
            <w:tcW w:w="692" w:type="dxa"/>
            <w:vMerge w:val="continue"/>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427" w:type="dxa"/>
            <w:vMerge w:val="restart"/>
            <w:vAlign w:val="center"/>
          </w:tcPr>
          <w:p>
            <w:pPr>
              <w:jc w:val="center"/>
              <w:rPr>
                <w:rFonts w:ascii="Times New Roman" w:hAnsi="Times New Roman"/>
              </w:rPr>
            </w:pPr>
            <w:r>
              <w:rPr>
                <w:rFonts w:ascii="Times New Roman" w:hAnsi="Times New Roman"/>
              </w:rPr>
              <w:t>四</w:t>
            </w:r>
          </w:p>
        </w:tc>
        <w:tc>
          <w:tcPr>
            <w:tcW w:w="1169" w:type="dxa"/>
            <w:vMerge w:val="restart"/>
            <w:vAlign w:val="center"/>
          </w:tcPr>
          <w:p>
            <w:pPr>
              <w:jc w:val="center"/>
              <w:rPr>
                <w:rFonts w:ascii="Times New Roman" w:hAnsi="Times New Roman"/>
              </w:rPr>
            </w:pPr>
            <w:r>
              <w:rPr>
                <w:rFonts w:ascii="Times New Roman" w:hAnsi="Times New Roman"/>
              </w:rPr>
              <w:t>滴定操作</w:t>
            </w:r>
          </w:p>
        </w:tc>
        <w:tc>
          <w:tcPr>
            <w:tcW w:w="525" w:type="dxa"/>
            <w:vMerge w:val="restart"/>
            <w:vAlign w:val="center"/>
          </w:tcPr>
          <w:p>
            <w:pPr>
              <w:jc w:val="center"/>
              <w:rPr>
                <w:rFonts w:ascii="Times New Roman" w:hAnsi="Times New Roman"/>
              </w:rPr>
            </w:pPr>
            <w:r>
              <w:rPr>
                <w:rFonts w:ascii="Times New Roman" w:hAnsi="Times New Roman"/>
              </w:rPr>
              <w:t>5</w:t>
            </w:r>
          </w:p>
        </w:tc>
        <w:tc>
          <w:tcPr>
            <w:tcW w:w="2032" w:type="dxa"/>
            <w:vAlign w:val="center"/>
          </w:tcPr>
          <w:p>
            <w:pPr>
              <w:rPr>
                <w:rFonts w:ascii="Times New Roman" w:hAnsi="Times New Roman"/>
              </w:rPr>
            </w:pPr>
            <w:r>
              <w:rPr>
                <w:rFonts w:ascii="Times New Roman" w:hAnsi="Times New Roman"/>
              </w:rPr>
              <w:t xml:space="preserve">正确试漏     </w:t>
            </w:r>
          </w:p>
        </w:tc>
        <w:tc>
          <w:tcPr>
            <w:tcW w:w="801" w:type="dxa"/>
            <w:vAlign w:val="center"/>
          </w:tcPr>
          <w:p>
            <w:pPr>
              <w:rPr>
                <w:rFonts w:ascii="Times New Roman" w:hAnsi="Times New Roman"/>
              </w:rPr>
            </w:pPr>
          </w:p>
        </w:tc>
        <w:tc>
          <w:tcPr>
            <w:tcW w:w="2069" w:type="dxa"/>
            <w:vAlign w:val="center"/>
          </w:tcPr>
          <w:p>
            <w:pPr>
              <w:jc w:val="left"/>
              <w:rPr>
                <w:rFonts w:ascii="Times New Roman" w:hAnsi="Times New Roman"/>
              </w:rPr>
            </w:pPr>
            <w:r>
              <w:rPr>
                <w:rFonts w:ascii="Times New Roman" w:hAnsi="Times New Roman"/>
              </w:rPr>
              <w:t>不试漏，扣0.5分</w:t>
            </w:r>
          </w:p>
        </w:tc>
        <w:tc>
          <w:tcPr>
            <w:tcW w:w="808" w:type="dxa"/>
            <w:vAlign w:val="center"/>
          </w:tcPr>
          <w:p>
            <w:pPr>
              <w:jc w:val="center"/>
              <w:rPr>
                <w:rFonts w:ascii="Times New Roman" w:hAnsi="Times New Roman"/>
              </w:rPr>
            </w:pPr>
          </w:p>
        </w:tc>
        <w:tc>
          <w:tcPr>
            <w:tcW w:w="692" w:type="dxa"/>
            <w:vMerge w:val="restart"/>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rPr>
            </w:pPr>
            <w:r>
              <w:rPr>
                <w:rFonts w:ascii="Times New Roman" w:hAnsi="Times New Roman"/>
              </w:rPr>
              <w:t>终点控制熟练</w:t>
            </w:r>
          </w:p>
        </w:tc>
        <w:tc>
          <w:tcPr>
            <w:tcW w:w="801" w:type="dxa"/>
            <w:vAlign w:val="center"/>
          </w:tcPr>
          <w:p>
            <w:pPr>
              <w:rPr>
                <w:rFonts w:ascii="Times New Roman" w:hAnsi="Times New Roman"/>
              </w:rPr>
            </w:pPr>
          </w:p>
        </w:tc>
        <w:tc>
          <w:tcPr>
            <w:tcW w:w="2069" w:type="dxa"/>
            <w:vMerge w:val="restart"/>
            <w:vAlign w:val="center"/>
          </w:tcPr>
          <w:p>
            <w:pPr>
              <w:jc w:val="left"/>
              <w:rPr>
                <w:rFonts w:ascii="Times New Roman" w:hAnsi="Times New Roman"/>
              </w:rPr>
            </w:pPr>
            <w:r>
              <w:rPr>
                <w:rFonts w:ascii="Times New Roman" w:hAnsi="Times New Roman"/>
              </w:rPr>
              <w:t>每错一个扣1分，按配分项扣完为止</w:t>
            </w:r>
          </w:p>
        </w:tc>
        <w:tc>
          <w:tcPr>
            <w:tcW w:w="808" w:type="dxa"/>
            <w:vMerge w:val="restart"/>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rPr>
            </w:pPr>
            <w:r>
              <w:rPr>
                <w:rFonts w:ascii="Times New Roman" w:hAnsi="Times New Roman"/>
              </w:rPr>
              <w:t>终点判断正确</w:t>
            </w:r>
          </w:p>
        </w:tc>
        <w:tc>
          <w:tcPr>
            <w:tcW w:w="801" w:type="dxa"/>
            <w:vAlign w:val="center"/>
          </w:tcPr>
          <w:p>
            <w:pPr>
              <w:rPr>
                <w:rFonts w:ascii="Times New Roman" w:hAnsi="Times New Roman"/>
              </w:rPr>
            </w:pPr>
          </w:p>
        </w:tc>
        <w:tc>
          <w:tcPr>
            <w:tcW w:w="2069" w:type="dxa"/>
            <w:vMerge w:val="continue"/>
            <w:vAlign w:val="center"/>
          </w:tcPr>
          <w:p>
            <w:pPr>
              <w:jc w:val="center"/>
              <w:rPr>
                <w:rFonts w:ascii="Times New Roman" w:hAnsi="Times New Roman"/>
              </w:rPr>
            </w:pPr>
          </w:p>
        </w:tc>
        <w:tc>
          <w:tcPr>
            <w:tcW w:w="808" w:type="dxa"/>
            <w:vMerge w:val="continue"/>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rPr>
            </w:pPr>
            <w:r>
              <w:rPr>
                <w:rFonts w:ascii="Times New Roman" w:hAnsi="Times New Roman"/>
              </w:rPr>
              <w:t>按照规范要求完成空白试验</w:t>
            </w:r>
          </w:p>
        </w:tc>
        <w:tc>
          <w:tcPr>
            <w:tcW w:w="801" w:type="dxa"/>
            <w:vAlign w:val="center"/>
          </w:tcPr>
          <w:p>
            <w:pPr>
              <w:rPr>
                <w:rFonts w:ascii="Times New Roman" w:hAnsi="Times New Roman"/>
              </w:rPr>
            </w:pPr>
          </w:p>
        </w:tc>
        <w:tc>
          <w:tcPr>
            <w:tcW w:w="2069" w:type="dxa"/>
            <w:vAlign w:val="center"/>
          </w:tcPr>
          <w:p>
            <w:pPr>
              <w:rPr>
                <w:rFonts w:ascii="Times New Roman" w:hAnsi="Times New Roman"/>
              </w:rPr>
            </w:pPr>
            <w:r>
              <w:rPr>
                <w:rFonts w:ascii="Times New Roman" w:hAnsi="Times New Roman"/>
              </w:rPr>
              <w:t>不规范扣1分，扣完为止</w:t>
            </w:r>
          </w:p>
        </w:tc>
        <w:tc>
          <w:tcPr>
            <w:tcW w:w="808" w:type="dxa"/>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rPr>
            </w:pPr>
            <w:r>
              <w:rPr>
                <w:rFonts w:ascii="Times New Roman" w:hAnsi="Times New Roman"/>
              </w:rPr>
              <w:t>读数正确</w:t>
            </w:r>
          </w:p>
        </w:tc>
        <w:tc>
          <w:tcPr>
            <w:tcW w:w="801" w:type="dxa"/>
            <w:vAlign w:val="center"/>
          </w:tcPr>
          <w:p>
            <w:pPr>
              <w:rPr>
                <w:rFonts w:ascii="Times New Roman" w:hAnsi="Times New Roman"/>
              </w:rPr>
            </w:pPr>
          </w:p>
        </w:tc>
        <w:tc>
          <w:tcPr>
            <w:tcW w:w="2069" w:type="dxa"/>
            <w:vAlign w:val="center"/>
          </w:tcPr>
          <w:p>
            <w:pPr>
              <w:rPr>
                <w:rFonts w:ascii="Times New Roman" w:hAnsi="Times New Roman"/>
              </w:rPr>
            </w:pPr>
            <w:r>
              <w:rPr>
                <w:rFonts w:ascii="Times New Roman" w:hAnsi="Times New Roman"/>
              </w:rPr>
              <w:t>以读数差在</w:t>
            </w:r>
            <w:r>
              <w:rPr>
                <w:rFonts w:ascii="Times New Roman" w:hAnsi="Times New Roman" w:eastAsia="仿宋_GB2312"/>
                <w:kern w:val="0"/>
                <w:sz w:val="24"/>
                <w:szCs w:val="24"/>
              </w:rPr>
              <w:t>±</w:t>
            </w:r>
            <w:r>
              <w:rPr>
                <w:rFonts w:ascii="Times New Roman" w:hAnsi="Times New Roman"/>
              </w:rPr>
              <w:t>0.02mL为正确，每错一个扣1分，按配分项扣完为止</w:t>
            </w:r>
          </w:p>
        </w:tc>
        <w:tc>
          <w:tcPr>
            <w:tcW w:w="808" w:type="dxa"/>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rPr>
            </w:pPr>
            <w:r>
              <w:rPr>
                <w:rFonts w:hint="eastAsia" w:ascii="Times New Roman" w:hAnsi="Times New Roman"/>
              </w:rPr>
              <w:t>正确进行滴定管体积校正</w:t>
            </w:r>
          </w:p>
        </w:tc>
        <w:tc>
          <w:tcPr>
            <w:tcW w:w="801" w:type="dxa"/>
            <w:vAlign w:val="center"/>
          </w:tcPr>
          <w:p>
            <w:pPr>
              <w:rPr>
                <w:rFonts w:ascii="Times New Roman" w:hAnsi="Times New Roman"/>
              </w:rPr>
            </w:pPr>
          </w:p>
        </w:tc>
        <w:tc>
          <w:tcPr>
            <w:tcW w:w="2069" w:type="dxa"/>
            <w:vAlign w:val="center"/>
          </w:tcPr>
          <w:p>
            <w:pPr>
              <w:rPr>
                <w:rFonts w:ascii="Times New Roman" w:hAnsi="Times New Roman"/>
              </w:rPr>
            </w:pPr>
            <w:r>
              <w:rPr>
                <w:rFonts w:hint="eastAsia" w:ascii="Times New Roman" w:hAnsi="Times New Roman"/>
              </w:rPr>
              <w:t>现场裁判应核对校正体积校正值，否则取消考试资格</w:t>
            </w:r>
          </w:p>
        </w:tc>
        <w:tc>
          <w:tcPr>
            <w:tcW w:w="808" w:type="dxa"/>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restart"/>
            <w:vAlign w:val="center"/>
          </w:tcPr>
          <w:p>
            <w:pPr>
              <w:jc w:val="center"/>
              <w:rPr>
                <w:rFonts w:ascii="Times New Roman" w:hAnsi="Times New Roman"/>
              </w:rPr>
            </w:pPr>
            <w:r>
              <w:rPr>
                <w:rFonts w:ascii="Times New Roman" w:hAnsi="Times New Roman"/>
              </w:rPr>
              <w:t>五</w:t>
            </w:r>
          </w:p>
        </w:tc>
        <w:tc>
          <w:tcPr>
            <w:tcW w:w="1169" w:type="dxa"/>
            <w:vMerge w:val="restart"/>
            <w:vAlign w:val="center"/>
          </w:tcPr>
          <w:p>
            <w:pPr>
              <w:tabs>
                <w:tab w:val="center" w:pos="4153"/>
                <w:tab w:val="right" w:pos="8306"/>
              </w:tabs>
              <w:snapToGrid w:val="0"/>
              <w:rPr>
                <w:rFonts w:ascii="Times New Roman" w:hAnsi="Times New Roman"/>
                <w:highlight w:val="yellow"/>
              </w:rPr>
            </w:pPr>
            <w:r>
              <w:rPr>
                <w:rFonts w:ascii="Times New Roman" w:hAnsi="Times New Roman"/>
                <w:szCs w:val="21"/>
              </w:rPr>
              <w:t>紫外</w:t>
            </w:r>
            <w:r>
              <w:rPr>
                <w:rFonts w:hint="eastAsia" w:ascii="Times New Roman" w:hAnsi="Times New Roman"/>
                <w:szCs w:val="21"/>
              </w:rPr>
              <w:t>-</w:t>
            </w:r>
            <w:r>
              <w:rPr>
                <w:rFonts w:ascii="Times New Roman" w:hAnsi="Times New Roman"/>
                <w:szCs w:val="21"/>
              </w:rPr>
              <w:t>可见分光光度计仪器操作</w:t>
            </w:r>
          </w:p>
        </w:tc>
        <w:tc>
          <w:tcPr>
            <w:tcW w:w="525" w:type="dxa"/>
            <w:vMerge w:val="restart"/>
            <w:vAlign w:val="center"/>
          </w:tcPr>
          <w:p>
            <w:pPr>
              <w:jc w:val="center"/>
              <w:rPr>
                <w:rFonts w:ascii="Times New Roman" w:hAnsi="Times New Roman"/>
              </w:rPr>
            </w:pPr>
            <w:r>
              <w:rPr>
                <w:rFonts w:ascii="Times New Roman" w:hAnsi="Times New Roman"/>
              </w:rPr>
              <w:t>2.5</w:t>
            </w:r>
          </w:p>
        </w:tc>
        <w:tc>
          <w:tcPr>
            <w:tcW w:w="2032" w:type="dxa"/>
            <w:vAlign w:val="center"/>
          </w:tcPr>
          <w:p>
            <w:pPr>
              <w:tabs>
                <w:tab w:val="center" w:pos="4153"/>
                <w:tab w:val="right" w:pos="8306"/>
              </w:tabs>
              <w:snapToGrid w:val="0"/>
              <w:rPr>
                <w:rFonts w:ascii="Times New Roman" w:hAnsi="Times New Roman"/>
                <w:szCs w:val="21"/>
              </w:rPr>
            </w:pPr>
            <w:r>
              <w:rPr>
                <w:rFonts w:ascii="Times New Roman" w:hAnsi="Times New Roman"/>
                <w:szCs w:val="21"/>
              </w:rPr>
              <w:t>仪器不预热，或预热时间不到20min</w:t>
            </w:r>
          </w:p>
        </w:tc>
        <w:tc>
          <w:tcPr>
            <w:tcW w:w="801" w:type="dxa"/>
            <w:vAlign w:val="center"/>
          </w:tcPr>
          <w:p>
            <w:pPr>
              <w:rPr>
                <w:rFonts w:ascii="Times New Roman" w:hAnsi="Times New Roman"/>
              </w:rPr>
            </w:pPr>
          </w:p>
        </w:tc>
        <w:tc>
          <w:tcPr>
            <w:tcW w:w="2069" w:type="dxa"/>
            <w:vMerge w:val="restart"/>
            <w:vAlign w:val="center"/>
          </w:tcPr>
          <w:p>
            <w:pPr>
              <w:jc w:val="center"/>
              <w:rPr>
                <w:rFonts w:ascii="Times New Roman" w:hAnsi="Times New Roman"/>
              </w:rPr>
            </w:pPr>
            <w:r>
              <w:rPr>
                <w:rFonts w:ascii="Times New Roman" w:hAnsi="Times New Roman"/>
              </w:rPr>
              <w:t>每错一项扣0.5分，扣完为止</w:t>
            </w:r>
          </w:p>
        </w:tc>
        <w:tc>
          <w:tcPr>
            <w:tcW w:w="808" w:type="dxa"/>
            <w:vMerge w:val="restart"/>
            <w:vAlign w:val="center"/>
          </w:tcPr>
          <w:p>
            <w:pPr>
              <w:jc w:val="center"/>
              <w:rPr>
                <w:rFonts w:ascii="Times New Roman" w:hAnsi="Times New Roman"/>
              </w:rPr>
            </w:pPr>
          </w:p>
        </w:tc>
        <w:tc>
          <w:tcPr>
            <w:tcW w:w="692" w:type="dxa"/>
            <w:vMerge w:val="restart"/>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rPr>
            </w:pPr>
          </w:p>
        </w:tc>
        <w:tc>
          <w:tcPr>
            <w:tcW w:w="525" w:type="dxa"/>
            <w:vMerge w:val="continue"/>
            <w:vAlign w:val="center"/>
          </w:tcPr>
          <w:p>
            <w:pPr>
              <w:jc w:val="center"/>
              <w:rPr>
                <w:rFonts w:ascii="Times New Roman" w:hAnsi="Times New Roman"/>
              </w:rPr>
            </w:pPr>
          </w:p>
        </w:tc>
        <w:tc>
          <w:tcPr>
            <w:tcW w:w="2032" w:type="dxa"/>
            <w:vAlign w:val="center"/>
          </w:tcPr>
          <w:p>
            <w:pPr>
              <w:tabs>
                <w:tab w:val="center" w:pos="4153"/>
                <w:tab w:val="right" w:pos="8306"/>
              </w:tabs>
              <w:snapToGrid w:val="0"/>
              <w:rPr>
                <w:rFonts w:ascii="Times New Roman" w:hAnsi="Times New Roman"/>
                <w:szCs w:val="21"/>
              </w:rPr>
            </w:pPr>
            <w:r>
              <w:rPr>
                <w:rFonts w:ascii="Times New Roman" w:hAnsi="Times New Roman"/>
                <w:szCs w:val="21"/>
              </w:rPr>
              <w:t>不进行吸收池校正或配对</w:t>
            </w:r>
          </w:p>
        </w:tc>
        <w:tc>
          <w:tcPr>
            <w:tcW w:w="801" w:type="dxa"/>
            <w:vAlign w:val="center"/>
          </w:tcPr>
          <w:p>
            <w:pPr>
              <w:rPr>
                <w:rFonts w:ascii="Times New Roman" w:hAnsi="Times New Roman"/>
              </w:rPr>
            </w:pPr>
          </w:p>
        </w:tc>
        <w:tc>
          <w:tcPr>
            <w:tcW w:w="2069" w:type="dxa"/>
            <w:vMerge w:val="continue"/>
            <w:vAlign w:val="center"/>
          </w:tcPr>
          <w:p>
            <w:pPr>
              <w:jc w:val="center"/>
              <w:rPr>
                <w:rFonts w:ascii="Times New Roman" w:hAnsi="Times New Roman"/>
              </w:rPr>
            </w:pPr>
          </w:p>
        </w:tc>
        <w:tc>
          <w:tcPr>
            <w:tcW w:w="808" w:type="dxa"/>
            <w:vMerge w:val="continue"/>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rPr>
            </w:pPr>
          </w:p>
        </w:tc>
        <w:tc>
          <w:tcPr>
            <w:tcW w:w="525" w:type="dxa"/>
            <w:vMerge w:val="continue"/>
            <w:vAlign w:val="center"/>
          </w:tcPr>
          <w:p>
            <w:pPr>
              <w:jc w:val="center"/>
              <w:rPr>
                <w:rFonts w:ascii="Times New Roman" w:hAnsi="Times New Roman"/>
              </w:rPr>
            </w:pPr>
          </w:p>
        </w:tc>
        <w:tc>
          <w:tcPr>
            <w:tcW w:w="2032" w:type="dxa"/>
            <w:vAlign w:val="center"/>
          </w:tcPr>
          <w:p>
            <w:pPr>
              <w:tabs>
                <w:tab w:val="center" w:pos="4153"/>
                <w:tab w:val="right" w:pos="8306"/>
              </w:tabs>
              <w:snapToGrid w:val="0"/>
              <w:rPr>
                <w:rFonts w:ascii="Times New Roman" w:hAnsi="Times New Roman"/>
                <w:szCs w:val="21"/>
              </w:rPr>
            </w:pPr>
            <w:r>
              <w:rPr>
                <w:rFonts w:ascii="Times New Roman" w:hAnsi="Times New Roman"/>
                <w:szCs w:val="21"/>
              </w:rPr>
              <w:t>手拿吸收池透光面或用滤纸擦吸收池透光面</w:t>
            </w:r>
          </w:p>
        </w:tc>
        <w:tc>
          <w:tcPr>
            <w:tcW w:w="801" w:type="dxa"/>
            <w:vAlign w:val="center"/>
          </w:tcPr>
          <w:p>
            <w:pPr>
              <w:rPr>
                <w:rFonts w:ascii="Times New Roman" w:hAnsi="Times New Roman"/>
              </w:rPr>
            </w:pPr>
          </w:p>
        </w:tc>
        <w:tc>
          <w:tcPr>
            <w:tcW w:w="2069" w:type="dxa"/>
            <w:vMerge w:val="continue"/>
            <w:vAlign w:val="center"/>
          </w:tcPr>
          <w:p>
            <w:pPr>
              <w:jc w:val="center"/>
              <w:rPr>
                <w:rFonts w:ascii="Times New Roman" w:hAnsi="Times New Roman"/>
              </w:rPr>
            </w:pPr>
          </w:p>
        </w:tc>
        <w:tc>
          <w:tcPr>
            <w:tcW w:w="808" w:type="dxa"/>
            <w:vMerge w:val="continue"/>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rPr>
            </w:pPr>
          </w:p>
        </w:tc>
        <w:tc>
          <w:tcPr>
            <w:tcW w:w="525" w:type="dxa"/>
            <w:vMerge w:val="continue"/>
            <w:vAlign w:val="center"/>
          </w:tcPr>
          <w:p>
            <w:pPr>
              <w:jc w:val="center"/>
              <w:rPr>
                <w:rFonts w:ascii="Times New Roman" w:hAnsi="Times New Roman"/>
              </w:rPr>
            </w:pPr>
          </w:p>
        </w:tc>
        <w:tc>
          <w:tcPr>
            <w:tcW w:w="2032" w:type="dxa"/>
            <w:vAlign w:val="center"/>
          </w:tcPr>
          <w:p>
            <w:pPr>
              <w:tabs>
                <w:tab w:val="center" w:pos="4153"/>
                <w:tab w:val="right" w:pos="8306"/>
              </w:tabs>
              <w:snapToGrid w:val="0"/>
              <w:rPr>
                <w:rFonts w:ascii="Times New Roman" w:hAnsi="Times New Roman"/>
                <w:szCs w:val="21"/>
              </w:rPr>
            </w:pPr>
            <w:r>
              <w:rPr>
                <w:rFonts w:ascii="Times New Roman" w:hAnsi="Times New Roman"/>
                <w:szCs w:val="21"/>
              </w:rPr>
              <w:t>吸收池中溶液量不当</w:t>
            </w:r>
            <w:r>
              <w:rPr>
                <w:rFonts w:hint="eastAsia" w:ascii="Times New Roman" w:hAnsi="Times New Roman"/>
                <w:szCs w:val="21"/>
              </w:rPr>
              <w:t>（</w:t>
            </w:r>
            <w:r>
              <w:rPr>
                <w:rFonts w:ascii="Times New Roman" w:hAnsi="Times New Roman"/>
                <w:szCs w:val="21"/>
              </w:rPr>
              <w:t>未达到池体积的2/3至4/5</w:t>
            </w:r>
            <w:r>
              <w:rPr>
                <w:rFonts w:hint="eastAsia" w:ascii="Times New Roman" w:hAnsi="Times New Roman"/>
                <w:szCs w:val="21"/>
              </w:rPr>
              <w:t>）</w:t>
            </w:r>
            <w:r>
              <w:rPr>
                <w:rFonts w:ascii="Times New Roman" w:hAnsi="Times New Roman"/>
                <w:szCs w:val="21"/>
              </w:rPr>
              <w:t>或溢出</w:t>
            </w:r>
          </w:p>
        </w:tc>
        <w:tc>
          <w:tcPr>
            <w:tcW w:w="801" w:type="dxa"/>
            <w:vAlign w:val="center"/>
          </w:tcPr>
          <w:p>
            <w:pPr>
              <w:rPr>
                <w:rFonts w:ascii="Times New Roman" w:hAnsi="Times New Roman"/>
              </w:rPr>
            </w:pPr>
          </w:p>
        </w:tc>
        <w:tc>
          <w:tcPr>
            <w:tcW w:w="2069" w:type="dxa"/>
            <w:vMerge w:val="continue"/>
            <w:vAlign w:val="center"/>
          </w:tcPr>
          <w:p>
            <w:pPr>
              <w:jc w:val="center"/>
              <w:rPr>
                <w:rFonts w:ascii="Times New Roman" w:hAnsi="Times New Roman"/>
              </w:rPr>
            </w:pPr>
          </w:p>
        </w:tc>
        <w:tc>
          <w:tcPr>
            <w:tcW w:w="808" w:type="dxa"/>
            <w:vMerge w:val="continue"/>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rPr>
            </w:pPr>
          </w:p>
        </w:tc>
        <w:tc>
          <w:tcPr>
            <w:tcW w:w="525" w:type="dxa"/>
            <w:vMerge w:val="continue"/>
            <w:vAlign w:val="center"/>
          </w:tcPr>
          <w:p>
            <w:pPr>
              <w:jc w:val="center"/>
              <w:rPr>
                <w:rFonts w:ascii="Times New Roman" w:hAnsi="Times New Roman"/>
              </w:rPr>
            </w:pPr>
          </w:p>
        </w:tc>
        <w:tc>
          <w:tcPr>
            <w:tcW w:w="2032" w:type="dxa"/>
            <w:vAlign w:val="center"/>
          </w:tcPr>
          <w:p>
            <w:pPr>
              <w:tabs>
                <w:tab w:val="center" w:pos="4153"/>
                <w:tab w:val="right" w:pos="8306"/>
              </w:tabs>
              <w:snapToGrid w:val="0"/>
              <w:rPr>
                <w:rFonts w:ascii="Times New Roman" w:hAnsi="Times New Roman"/>
                <w:szCs w:val="21"/>
              </w:rPr>
            </w:pPr>
            <w:r>
              <w:rPr>
                <w:rFonts w:ascii="Times New Roman" w:hAnsi="Times New Roman"/>
                <w:szCs w:val="21"/>
              </w:rPr>
              <w:t>参比溶液选择不正确</w:t>
            </w:r>
          </w:p>
        </w:tc>
        <w:tc>
          <w:tcPr>
            <w:tcW w:w="801" w:type="dxa"/>
            <w:vAlign w:val="center"/>
          </w:tcPr>
          <w:p>
            <w:pPr>
              <w:rPr>
                <w:rFonts w:ascii="Times New Roman" w:hAnsi="Times New Roman"/>
              </w:rPr>
            </w:pPr>
          </w:p>
        </w:tc>
        <w:tc>
          <w:tcPr>
            <w:tcW w:w="2069" w:type="dxa"/>
            <w:vMerge w:val="continue"/>
            <w:vAlign w:val="center"/>
          </w:tcPr>
          <w:p>
            <w:pPr>
              <w:jc w:val="center"/>
              <w:rPr>
                <w:rFonts w:ascii="Times New Roman" w:hAnsi="Times New Roman"/>
              </w:rPr>
            </w:pPr>
          </w:p>
        </w:tc>
        <w:tc>
          <w:tcPr>
            <w:tcW w:w="808" w:type="dxa"/>
            <w:vMerge w:val="continue"/>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restart"/>
            <w:vAlign w:val="center"/>
          </w:tcPr>
          <w:p>
            <w:pPr>
              <w:jc w:val="center"/>
              <w:rPr>
                <w:rFonts w:ascii="Times New Roman" w:hAnsi="Times New Roman"/>
              </w:rPr>
            </w:pPr>
            <w:r>
              <w:rPr>
                <w:rFonts w:ascii="Times New Roman" w:hAnsi="Times New Roman"/>
              </w:rPr>
              <w:t>六</w:t>
            </w:r>
          </w:p>
        </w:tc>
        <w:tc>
          <w:tcPr>
            <w:tcW w:w="1169" w:type="dxa"/>
            <w:vMerge w:val="restart"/>
            <w:vAlign w:val="center"/>
          </w:tcPr>
          <w:p>
            <w:pPr>
              <w:jc w:val="center"/>
              <w:rPr>
                <w:rFonts w:ascii="Times New Roman" w:hAnsi="Times New Roman"/>
              </w:rPr>
            </w:pPr>
            <w:r>
              <w:rPr>
                <w:rFonts w:ascii="Times New Roman" w:hAnsi="Times New Roman"/>
              </w:rPr>
              <w:t>原始记录</w:t>
            </w:r>
          </w:p>
        </w:tc>
        <w:tc>
          <w:tcPr>
            <w:tcW w:w="525" w:type="dxa"/>
            <w:vMerge w:val="restart"/>
            <w:vAlign w:val="center"/>
          </w:tcPr>
          <w:p>
            <w:pPr>
              <w:jc w:val="center"/>
              <w:rPr>
                <w:rFonts w:ascii="Times New Roman" w:hAnsi="Times New Roman"/>
                <w:highlight w:val="yellow"/>
              </w:rPr>
            </w:pPr>
            <w:r>
              <w:rPr>
                <w:rFonts w:hint="eastAsia" w:ascii="Times New Roman" w:hAnsi="Times New Roman"/>
              </w:rPr>
              <w:t>1</w:t>
            </w:r>
          </w:p>
        </w:tc>
        <w:tc>
          <w:tcPr>
            <w:tcW w:w="2032" w:type="dxa"/>
            <w:vAlign w:val="center"/>
          </w:tcPr>
          <w:p>
            <w:pPr>
              <w:rPr>
                <w:rFonts w:ascii="Times New Roman" w:hAnsi="Times New Roman"/>
              </w:rPr>
            </w:pPr>
            <w:r>
              <w:rPr>
                <w:rFonts w:ascii="Times New Roman" w:hAnsi="Times New Roman"/>
              </w:rPr>
              <w:t>原始数据记录不用其他纸张记录</w:t>
            </w:r>
            <w:r>
              <w:rPr>
                <w:rFonts w:hint="eastAsia" w:ascii="Times New Roman" w:hAnsi="Times New Roman"/>
              </w:rPr>
              <w:t>，</w:t>
            </w:r>
            <w:r>
              <w:rPr>
                <w:rFonts w:ascii="Times New Roman" w:hAnsi="Times New Roman"/>
              </w:rPr>
              <w:t>及时记录</w:t>
            </w:r>
          </w:p>
        </w:tc>
        <w:tc>
          <w:tcPr>
            <w:tcW w:w="801" w:type="dxa"/>
            <w:vAlign w:val="center"/>
          </w:tcPr>
          <w:p>
            <w:pPr>
              <w:rPr>
                <w:rFonts w:ascii="Times New Roman" w:hAnsi="Times New Roman"/>
              </w:rPr>
            </w:pPr>
          </w:p>
        </w:tc>
        <w:tc>
          <w:tcPr>
            <w:tcW w:w="2069" w:type="dxa"/>
            <w:vMerge w:val="restart"/>
            <w:vAlign w:val="center"/>
          </w:tcPr>
          <w:p>
            <w:pPr>
              <w:jc w:val="center"/>
              <w:rPr>
                <w:rFonts w:ascii="Times New Roman" w:hAnsi="Times New Roman"/>
              </w:rPr>
            </w:pPr>
            <w:r>
              <w:rPr>
                <w:rFonts w:ascii="Times New Roman" w:hAnsi="Times New Roman"/>
              </w:rPr>
              <w:t>每错一项扣0.5分，扣完为止</w:t>
            </w:r>
          </w:p>
        </w:tc>
        <w:tc>
          <w:tcPr>
            <w:tcW w:w="808" w:type="dxa"/>
            <w:vMerge w:val="restart"/>
            <w:vAlign w:val="center"/>
          </w:tcPr>
          <w:p>
            <w:pPr>
              <w:jc w:val="center"/>
              <w:rPr>
                <w:rFonts w:ascii="Times New Roman" w:hAnsi="Times New Roman"/>
              </w:rPr>
            </w:pPr>
          </w:p>
        </w:tc>
        <w:tc>
          <w:tcPr>
            <w:tcW w:w="692" w:type="dxa"/>
            <w:vMerge w:val="restart"/>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rPr>
            </w:pPr>
          </w:p>
        </w:tc>
        <w:tc>
          <w:tcPr>
            <w:tcW w:w="525" w:type="dxa"/>
            <w:vMerge w:val="continue"/>
            <w:vAlign w:val="center"/>
          </w:tcPr>
          <w:p>
            <w:pPr>
              <w:jc w:val="center"/>
              <w:rPr>
                <w:rFonts w:ascii="Times New Roman" w:hAnsi="Times New Roman"/>
                <w:highlight w:val="yellow"/>
              </w:rPr>
            </w:pPr>
          </w:p>
        </w:tc>
        <w:tc>
          <w:tcPr>
            <w:tcW w:w="2032" w:type="dxa"/>
            <w:vAlign w:val="center"/>
          </w:tcPr>
          <w:p>
            <w:pPr>
              <w:rPr>
                <w:rFonts w:ascii="Times New Roman" w:hAnsi="Times New Roman"/>
              </w:rPr>
            </w:pPr>
            <w:r>
              <w:rPr>
                <w:rFonts w:ascii="Times New Roman" w:hAnsi="Times New Roman"/>
              </w:rPr>
              <w:t>测量数据保存和打印</w:t>
            </w:r>
          </w:p>
        </w:tc>
        <w:tc>
          <w:tcPr>
            <w:tcW w:w="801" w:type="dxa"/>
            <w:vAlign w:val="center"/>
          </w:tcPr>
          <w:p>
            <w:pPr>
              <w:rPr>
                <w:rFonts w:ascii="Times New Roman" w:hAnsi="Times New Roman"/>
              </w:rPr>
            </w:pPr>
          </w:p>
        </w:tc>
        <w:tc>
          <w:tcPr>
            <w:tcW w:w="2069" w:type="dxa"/>
            <w:vMerge w:val="continue"/>
            <w:vAlign w:val="center"/>
          </w:tcPr>
          <w:p>
            <w:pPr>
              <w:jc w:val="center"/>
              <w:rPr>
                <w:rFonts w:ascii="Times New Roman" w:hAnsi="Times New Roman"/>
              </w:rPr>
            </w:pPr>
          </w:p>
        </w:tc>
        <w:tc>
          <w:tcPr>
            <w:tcW w:w="808" w:type="dxa"/>
            <w:vMerge w:val="continue"/>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restart"/>
            <w:vAlign w:val="center"/>
          </w:tcPr>
          <w:p>
            <w:pPr>
              <w:jc w:val="center"/>
              <w:rPr>
                <w:rFonts w:ascii="Times New Roman" w:hAnsi="Times New Roman"/>
              </w:rPr>
            </w:pPr>
            <w:r>
              <w:rPr>
                <w:rFonts w:ascii="Times New Roman" w:hAnsi="Times New Roman"/>
              </w:rPr>
              <w:t>七</w:t>
            </w:r>
          </w:p>
        </w:tc>
        <w:tc>
          <w:tcPr>
            <w:tcW w:w="1169" w:type="dxa"/>
            <w:vMerge w:val="restart"/>
            <w:vAlign w:val="center"/>
          </w:tcPr>
          <w:p>
            <w:pPr>
              <w:jc w:val="center"/>
              <w:rPr>
                <w:rFonts w:ascii="Times New Roman" w:hAnsi="Times New Roman"/>
              </w:rPr>
            </w:pPr>
            <w:r>
              <w:rPr>
                <w:rFonts w:ascii="Times New Roman" w:hAnsi="Times New Roman"/>
              </w:rPr>
              <w:t>结束工作</w:t>
            </w:r>
          </w:p>
        </w:tc>
        <w:tc>
          <w:tcPr>
            <w:tcW w:w="525" w:type="dxa"/>
            <w:vMerge w:val="restart"/>
            <w:vAlign w:val="center"/>
          </w:tcPr>
          <w:p>
            <w:pPr>
              <w:jc w:val="center"/>
              <w:rPr>
                <w:rFonts w:ascii="Times New Roman" w:hAnsi="Times New Roman"/>
              </w:rPr>
            </w:pPr>
            <w:r>
              <w:rPr>
                <w:rFonts w:ascii="Times New Roman" w:hAnsi="Times New Roman"/>
              </w:rPr>
              <w:t>1</w:t>
            </w:r>
          </w:p>
        </w:tc>
        <w:tc>
          <w:tcPr>
            <w:tcW w:w="2032" w:type="dxa"/>
            <w:vAlign w:val="center"/>
          </w:tcPr>
          <w:p>
            <w:pPr>
              <w:tabs>
                <w:tab w:val="center" w:pos="4153"/>
                <w:tab w:val="right" w:pos="8306"/>
              </w:tabs>
              <w:snapToGrid w:val="0"/>
              <w:rPr>
                <w:rFonts w:ascii="Times New Roman" w:hAnsi="Times New Roman"/>
                <w:szCs w:val="21"/>
              </w:rPr>
            </w:pPr>
            <w:r>
              <w:rPr>
                <w:rFonts w:ascii="Times New Roman" w:hAnsi="Times New Roman"/>
                <w:szCs w:val="21"/>
              </w:rPr>
              <w:t>考核结束，玻璃仪器、吸收池不清洗或未清洗干净</w:t>
            </w:r>
          </w:p>
        </w:tc>
        <w:tc>
          <w:tcPr>
            <w:tcW w:w="801" w:type="dxa"/>
            <w:vAlign w:val="center"/>
          </w:tcPr>
          <w:p>
            <w:pPr>
              <w:rPr>
                <w:rFonts w:ascii="Times New Roman" w:hAnsi="Times New Roman"/>
              </w:rPr>
            </w:pPr>
          </w:p>
        </w:tc>
        <w:tc>
          <w:tcPr>
            <w:tcW w:w="2069" w:type="dxa"/>
            <w:vMerge w:val="restart"/>
            <w:vAlign w:val="center"/>
          </w:tcPr>
          <w:p>
            <w:pPr>
              <w:jc w:val="center"/>
              <w:rPr>
                <w:rFonts w:ascii="Times New Roman" w:hAnsi="Times New Roman"/>
              </w:rPr>
            </w:pPr>
            <w:r>
              <w:rPr>
                <w:rFonts w:ascii="Times New Roman" w:hAnsi="Times New Roman"/>
              </w:rPr>
              <w:t>每错一项扣0.5分，按配分项扣完为止</w:t>
            </w:r>
          </w:p>
        </w:tc>
        <w:tc>
          <w:tcPr>
            <w:tcW w:w="808" w:type="dxa"/>
            <w:vMerge w:val="restart"/>
            <w:vAlign w:val="center"/>
          </w:tcPr>
          <w:p>
            <w:pPr>
              <w:jc w:val="center"/>
              <w:rPr>
                <w:rFonts w:ascii="Times New Roman" w:hAnsi="Times New Roman"/>
              </w:rPr>
            </w:pPr>
          </w:p>
        </w:tc>
        <w:tc>
          <w:tcPr>
            <w:tcW w:w="692" w:type="dxa"/>
            <w:vMerge w:val="restart"/>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rPr>
            </w:pPr>
          </w:p>
        </w:tc>
        <w:tc>
          <w:tcPr>
            <w:tcW w:w="525" w:type="dxa"/>
            <w:vMerge w:val="continue"/>
            <w:vAlign w:val="center"/>
          </w:tcPr>
          <w:p>
            <w:pPr>
              <w:jc w:val="center"/>
              <w:rPr>
                <w:rFonts w:ascii="Times New Roman" w:hAnsi="Times New Roman"/>
              </w:rPr>
            </w:pPr>
          </w:p>
        </w:tc>
        <w:tc>
          <w:tcPr>
            <w:tcW w:w="2032" w:type="dxa"/>
            <w:vAlign w:val="center"/>
          </w:tcPr>
          <w:p>
            <w:pPr>
              <w:tabs>
                <w:tab w:val="center" w:pos="4153"/>
                <w:tab w:val="right" w:pos="8306"/>
              </w:tabs>
              <w:snapToGrid w:val="0"/>
              <w:rPr>
                <w:rFonts w:ascii="Times New Roman" w:hAnsi="Times New Roman"/>
                <w:szCs w:val="21"/>
              </w:rPr>
            </w:pPr>
            <w:r>
              <w:rPr>
                <w:rFonts w:ascii="Times New Roman" w:hAnsi="Times New Roman"/>
                <w:szCs w:val="21"/>
              </w:rPr>
              <w:t>考核结束，紫外</w:t>
            </w:r>
            <w:r>
              <w:rPr>
                <w:rFonts w:hint="eastAsia" w:ascii="Times New Roman" w:hAnsi="Times New Roman"/>
                <w:szCs w:val="21"/>
              </w:rPr>
              <w:t>-</w:t>
            </w:r>
            <w:r>
              <w:rPr>
                <w:rFonts w:ascii="Times New Roman" w:hAnsi="Times New Roman"/>
                <w:szCs w:val="21"/>
              </w:rPr>
              <w:t>可见分光光度计不关</w:t>
            </w:r>
          </w:p>
        </w:tc>
        <w:tc>
          <w:tcPr>
            <w:tcW w:w="801" w:type="dxa"/>
            <w:vAlign w:val="center"/>
          </w:tcPr>
          <w:p>
            <w:pPr>
              <w:rPr>
                <w:rFonts w:ascii="Times New Roman" w:hAnsi="Times New Roman"/>
              </w:rPr>
            </w:pPr>
          </w:p>
        </w:tc>
        <w:tc>
          <w:tcPr>
            <w:tcW w:w="2069" w:type="dxa"/>
            <w:vMerge w:val="continue"/>
            <w:vAlign w:val="center"/>
          </w:tcPr>
          <w:p>
            <w:pPr>
              <w:jc w:val="center"/>
              <w:rPr>
                <w:rFonts w:ascii="Times New Roman" w:hAnsi="Times New Roman"/>
              </w:rPr>
            </w:pPr>
          </w:p>
        </w:tc>
        <w:tc>
          <w:tcPr>
            <w:tcW w:w="808" w:type="dxa"/>
            <w:vMerge w:val="continue"/>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rPr>
            </w:pPr>
          </w:p>
        </w:tc>
        <w:tc>
          <w:tcPr>
            <w:tcW w:w="525" w:type="dxa"/>
            <w:vMerge w:val="continue"/>
            <w:vAlign w:val="center"/>
          </w:tcPr>
          <w:p>
            <w:pPr>
              <w:jc w:val="center"/>
              <w:rPr>
                <w:rFonts w:ascii="Times New Roman" w:hAnsi="Times New Roman"/>
              </w:rPr>
            </w:pPr>
          </w:p>
        </w:tc>
        <w:tc>
          <w:tcPr>
            <w:tcW w:w="2032" w:type="dxa"/>
            <w:vAlign w:val="center"/>
          </w:tcPr>
          <w:p>
            <w:pPr>
              <w:tabs>
                <w:tab w:val="center" w:pos="4153"/>
                <w:tab w:val="right" w:pos="8306"/>
              </w:tabs>
              <w:snapToGrid w:val="0"/>
              <w:rPr>
                <w:rFonts w:ascii="Times New Roman" w:hAnsi="Times New Roman"/>
                <w:szCs w:val="21"/>
              </w:rPr>
            </w:pPr>
            <w:r>
              <w:rPr>
                <w:rFonts w:ascii="Times New Roman" w:hAnsi="Times New Roman"/>
                <w:szCs w:val="21"/>
              </w:rPr>
              <w:t>考核结束，废液不处理或不按规定处理</w:t>
            </w:r>
          </w:p>
        </w:tc>
        <w:tc>
          <w:tcPr>
            <w:tcW w:w="801" w:type="dxa"/>
            <w:vAlign w:val="center"/>
          </w:tcPr>
          <w:p>
            <w:pPr>
              <w:rPr>
                <w:rFonts w:ascii="Times New Roman" w:hAnsi="Times New Roman"/>
              </w:rPr>
            </w:pPr>
          </w:p>
        </w:tc>
        <w:tc>
          <w:tcPr>
            <w:tcW w:w="2069" w:type="dxa"/>
            <w:vMerge w:val="continue"/>
            <w:vAlign w:val="center"/>
          </w:tcPr>
          <w:p>
            <w:pPr>
              <w:jc w:val="center"/>
              <w:rPr>
                <w:rFonts w:ascii="Times New Roman" w:hAnsi="Times New Roman"/>
              </w:rPr>
            </w:pPr>
          </w:p>
        </w:tc>
        <w:tc>
          <w:tcPr>
            <w:tcW w:w="808" w:type="dxa"/>
            <w:vMerge w:val="continue"/>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rPr>
            </w:pPr>
          </w:p>
        </w:tc>
        <w:tc>
          <w:tcPr>
            <w:tcW w:w="525" w:type="dxa"/>
            <w:vMerge w:val="continue"/>
            <w:vAlign w:val="center"/>
          </w:tcPr>
          <w:p>
            <w:pPr>
              <w:jc w:val="center"/>
              <w:rPr>
                <w:rFonts w:ascii="Times New Roman" w:hAnsi="Times New Roman"/>
              </w:rPr>
            </w:pPr>
          </w:p>
        </w:tc>
        <w:tc>
          <w:tcPr>
            <w:tcW w:w="2032" w:type="dxa"/>
            <w:vAlign w:val="center"/>
          </w:tcPr>
          <w:p>
            <w:pPr>
              <w:tabs>
                <w:tab w:val="center" w:pos="4153"/>
                <w:tab w:val="right" w:pos="8306"/>
              </w:tabs>
              <w:snapToGrid w:val="0"/>
              <w:rPr>
                <w:rFonts w:ascii="Times New Roman" w:hAnsi="Times New Roman"/>
                <w:szCs w:val="21"/>
              </w:rPr>
            </w:pPr>
            <w:r>
              <w:rPr>
                <w:rFonts w:ascii="Times New Roman" w:hAnsi="Times New Roman"/>
                <w:szCs w:val="21"/>
              </w:rPr>
              <w:t>考核结束，工作台不整理或摆放不整齐</w:t>
            </w:r>
          </w:p>
        </w:tc>
        <w:tc>
          <w:tcPr>
            <w:tcW w:w="801" w:type="dxa"/>
            <w:vAlign w:val="center"/>
          </w:tcPr>
          <w:p>
            <w:pPr>
              <w:rPr>
                <w:rFonts w:ascii="Times New Roman" w:hAnsi="Times New Roman"/>
              </w:rPr>
            </w:pPr>
          </w:p>
        </w:tc>
        <w:tc>
          <w:tcPr>
            <w:tcW w:w="2069" w:type="dxa"/>
            <w:vMerge w:val="continue"/>
            <w:vAlign w:val="center"/>
          </w:tcPr>
          <w:p>
            <w:pPr>
              <w:jc w:val="center"/>
              <w:rPr>
                <w:rFonts w:ascii="Times New Roman" w:hAnsi="Times New Roman"/>
              </w:rPr>
            </w:pPr>
          </w:p>
        </w:tc>
        <w:tc>
          <w:tcPr>
            <w:tcW w:w="808" w:type="dxa"/>
            <w:vMerge w:val="continue"/>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rPr>
            </w:pPr>
            <w:r>
              <w:rPr>
                <w:rFonts w:ascii="Times New Roman" w:hAnsi="Times New Roman"/>
                <w:szCs w:val="21"/>
              </w:rPr>
              <w:t>使用后天平或紫外</w:t>
            </w:r>
            <w:r>
              <w:rPr>
                <w:rFonts w:hint="eastAsia" w:ascii="Times New Roman" w:hAnsi="Times New Roman"/>
                <w:szCs w:val="21"/>
              </w:rPr>
              <w:t>-</w:t>
            </w:r>
            <w:r>
              <w:rPr>
                <w:rFonts w:ascii="Times New Roman" w:hAnsi="Times New Roman"/>
                <w:szCs w:val="21"/>
              </w:rPr>
              <w:t>可见分光光度计不进行登记</w:t>
            </w:r>
          </w:p>
        </w:tc>
        <w:tc>
          <w:tcPr>
            <w:tcW w:w="801" w:type="dxa"/>
            <w:vAlign w:val="center"/>
          </w:tcPr>
          <w:p>
            <w:pPr>
              <w:rPr>
                <w:rFonts w:ascii="Times New Roman" w:hAnsi="Times New Roman"/>
              </w:rPr>
            </w:pPr>
          </w:p>
        </w:tc>
        <w:tc>
          <w:tcPr>
            <w:tcW w:w="2069" w:type="dxa"/>
            <w:vMerge w:val="continue"/>
            <w:vAlign w:val="center"/>
          </w:tcPr>
          <w:p>
            <w:pPr>
              <w:jc w:val="center"/>
              <w:rPr>
                <w:rFonts w:ascii="Times New Roman" w:hAnsi="Times New Roman"/>
              </w:rPr>
            </w:pPr>
          </w:p>
        </w:tc>
        <w:tc>
          <w:tcPr>
            <w:tcW w:w="808" w:type="dxa"/>
            <w:vMerge w:val="continue"/>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restart"/>
            <w:vAlign w:val="center"/>
          </w:tcPr>
          <w:p>
            <w:pPr>
              <w:jc w:val="center"/>
              <w:rPr>
                <w:rFonts w:ascii="Times New Roman" w:hAnsi="Times New Roman"/>
              </w:rPr>
            </w:pPr>
            <w:r>
              <w:rPr>
                <w:rFonts w:ascii="Times New Roman" w:hAnsi="Times New Roman"/>
              </w:rPr>
              <w:t>八</w:t>
            </w:r>
          </w:p>
        </w:tc>
        <w:tc>
          <w:tcPr>
            <w:tcW w:w="1169" w:type="dxa"/>
            <w:vMerge w:val="restart"/>
            <w:vAlign w:val="center"/>
          </w:tcPr>
          <w:p>
            <w:pPr>
              <w:jc w:val="center"/>
              <w:rPr>
                <w:rFonts w:ascii="Times New Roman" w:hAnsi="Times New Roman"/>
              </w:rPr>
            </w:pPr>
            <w:r>
              <w:rPr>
                <w:rFonts w:ascii="Times New Roman" w:hAnsi="Times New Roman"/>
              </w:rPr>
              <w:t>重大失误</w:t>
            </w:r>
          </w:p>
          <w:p>
            <w:pPr>
              <w:jc w:val="center"/>
              <w:rPr>
                <w:rFonts w:ascii="Times New Roman" w:hAnsi="Times New Roman"/>
              </w:rPr>
            </w:pPr>
            <w:r>
              <w:rPr>
                <w:rFonts w:ascii="Times New Roman" w:hAnsi="Times New Roman"/>
              </w:rPr>
              <w:t>倒扣分项</w:t>
            </w:r>
          </w:p>
        </w:tc>
        <w:tc>
          <w:tcPr>
            <w:tcW w:w="525" w:type="dxa"/>
            <w:vMerge w:val="restart"/>
            <w:vAlign w:val="center"/>
          </w:tcPr>
          <w:p>
            <w:pPr>
              <w:jc w:val="center"/>
              <w:rPr>
                <w:rFonts w:ascii="Times New Roman" w:hAnsi="Times New Roman"/>
              </w:rPr>
            </w:pPr>
          </w:p>
        </w:tc>
        <w:tc>
          <w:tcPr>
            <w:tcW w:w="2032" w:type="dxa"/>
            <w:vAlign w:val="center"/>
          </w:tcPr>
          <w:p>
            <w:pPr>
              <w:rPr>
                <w:rFonts w:ascii="Times New Roman" w:hAnsi="Times New Roman"/>
              </w:rPr>
            </w:pPr>
            <w:r>
              <w:rPr>
                <w:rFonts w:ascii="Times New Roman" w:hAnsi="Times New Roman"/>
                <w:szCs w:val="21"/>
              </w:rPr>
              <w:t>基准物的称量</w:t>
            </w:r>
          </w:p>
        </w:tc>
        <w:tc>
          <w:tcPr>
            <w:tcW w:w="801" w:type="dxa"/>
            <w:vAlign w:val="center"/>
          </w:tcPr>
          <w:p>
            <w:pPr>
              <w:rPr>
                <w:rFonts w:ascii="Times New Roman" w:hAnsi="Times New Roman"/>
              </w:rPr>
            </w:pPr>
          </w:p>
        </w:tc>
        <w:tc>
          <w:tcPr>
            <w:tcW w:w="2069" w:type="dxa"/>
            <w:vAlign w:val="center"/>
          </w:tcPr>
          <w:p>
            <w:pPr>
              <w:jc w:val="left"/>
              <w:rPr>
                <w:rFonts w:ascii="Times New Roman" w:hAnsi="Times New Roman"/>
              </w:rPr>
            </w:pPr>
            <w:r>
              <w:rPr>
                <w:rFonts w:ascii="Times New Roman" w:hAnsi="Times New Roman"/>
              </w:rPr>
              <w:t>称量失败，每重称一次倒扣2分</w:t>
            </w:r>
          </w:p>
        </w:tc>
        <w:tc>
          <w:tcPr>
            <w:tcW w:w="808" w:type="dxa"/>
            <w:vAlign w:val="center"/>
          </w:tcPr>
          <w:p>
            <w:pPr>
              <w:jc w:val="center"/>
              <w:rPr>
                <w:rFonts w:ascii="Times New Roman" w:hAnsi="Times New Roman"/>
              </w:rPr>
            </w:pPr>
          </w:p>
        </w:tc>
        <w:tc>
          <w:tcPr>
            <w:tcW w:w="692" w:type="dxa"/>
            <w:vMerge w:val="restart"/>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szCs w:val="21"/>
              </w:rPr>
            </w:pPr>
            <w:r>
              <w:rPr>
                <w:rFonts w:hint="eastAsia" w:ascii="Times New Roman" w:hAnsi="Times New Roman"/>
                <w:szCs w:val="21"/>
              </w:rPr>
              <w:t>溶液</w:t>
            </w:r>
            <w:r>
              <w:rPr>
                <w:rFonts w:ascii="Times New Roman" w:hAnsi="Times New Roman"/>
                <w:szCs w:val="21"/>
              </w:rPr>
              <w:t>配制</w:t>
            </w:r>
          </w:p>
        </w:tc>
        <w:tc>
          <w:tcPr>
            <w:tcW w:w="801" w:type="dxa"/>
            <w:vAlign w:val="center"/>
          </w:tcPr>
          <w:p>
            <w:pPr>
              <w:rPr>
                <w:rFonts w:ascii="Times New Roman" w:hAnsi="Times New Roman"/>
              </w:rPr>
            </w:pPr>
          </w:p>
        </w:tc>
        <w:tc>
          <w:tcPr>
            <w:tcW w:w="2069" w:type="dxa"/>
            <w:vAlign w:val="center"/>
          </w:tcPr>
          <w:p>
            <w:pPr>
              <w:jc w:val="left"/>
              <w:rPr>
                <w:rFonts w:ascii="Times New Roman" w:hAnsi="Times New Roman"/>
              </w:rPr>
            </w:pPr>
            <w:r>
              <w:rPr>
                <w:rFonts w:ascii="Times New Roman" w:hAnsi="Times New Roman"/>
              </w:rPr>
              <w:t>溶液配制失误，重新配制的，每次倒扣3分</w:t>
            </w:r>
          </w:p>
        </w:tc>
        <w:tc>
          <w:tcPr>
            <w:tcW w:w="808" w:type="dxa"/>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szCs w:val="21"/>
              </w:rPr>
            </w:pPr>
            <w:r>
              <w:rPr>
                <w:rFonts w:hint="eastAsia"/>
              </w:rPr>
              <w:t>移取溶液</w:t>
            </w:r>
          </w:p>
        </w:tc>
        <w:tc>
          <w:tcPr>
            <w:tcW w:w="801" w:type="dxa"/>
          </w:tcPr>
          <w:p>
            <w:pPr>
              <w:rPr>
                <w:rFonts w:ascii="Times New Roman" w:hAnsi="Times New Roman"/>
              </w:rPr>
            </w:pPr>
          </w:p>
        </w:tc>
        <w:tc>
          <w:tcPr>
            <w:tcW w:w="2069" w:type="dxa"/>
          </w:tcPr>
          <w:p>
            <w:pPr>
              <w:jc w:val="left"/>
              <w:rPr>
                <w:rFonts w:ascii="Times New Roman" w:hAnsi="Times New Roman"/>
              </w:rPr>
            </w:pPr>
            <w:r>
              <w:rPr>
                <w:rFonts w:hint="eastAsia"/>
              </w:rPr>
              <w:t>移取溶液后出现失误，重新移取，每次倒</w:t>
            </w:r>
            <w:r>
              <w:rPr>
                <w:rFonts w:ascii="Times New Roman" w:hAnsi="Times New Roman"/>
              </w:rPr>
              <w:t>扣3</w:t>
            </w:r>
            <w:r>
              <w:rPr>
                <w:rFonts w:hint="eastAsia"/>
              </w:rPr>
              <w:t>分；</w:t>
            </w:r>
            <w:r>
              <w:rPr>
                <w:rFonts w:ascii="Times New Roman" w:hAnsi="Times New Roman"/>
              </w:rPr>
              <w:t>从容量瓶或原瓶中直接移取溶液</w:t>
            </w:r>
            <w:r>
              <w:rPr>
                <w:rFonts w:hint="eastAsia" w:ascii="Times New Roman" w:hAnsi="Times New Roman"/>
              </w:rPr>
              <w:t>，</w:t>
            </w:r>
            <w:r>
              <w:rPr>
                <w:rFonts w:ascii="Times New Roman" w:hAnsi="Times New Roman"/>
              </w:rPr>
              <w:t>每次倒扣5分</w:t>
            </w:r>
          </w:p>
        </w:tc>
        <w:tc>
          <w:tcPr>
            <w:tcW w:w="808" w:type="dxa"/>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rPr>
            </w:pPr>
            <w:r>
              <w:rPr>
                <w:rFonts w:ascii="Times New Roman" w:hAnsi="Times New Roman"/>
              </w:rPr>
              <w:t>滴定操作</w:t>
            </w:r>
          </w:p>
        </w:tc>
        <w:tc>
          <w:tcPr>
            <w:tcW w:w="801" w:type="dxa"/>
            <w:vAlign w:val="center"/>
          </w:tcPr>
          <w:p>
            <w:pPr>
              <w:rPr>
                <w:rFonts w:ascii="Times New Roman" w:hAnsi="Times New Roman"/>
              </w:rPr>
            </w:pPr>
          </w:p>
        </w:tc>
        <w:tc>
          <w:tcPr>
            <w:tcW w:w="2069" w:type="dxa"/>
            <w:vAlign w:val="center"/>
          </w:tcPr>
          <w:p>
            <w:pPr>
              <w:jc w:val="left"/>
              <w:rPr>
                <w:rFonts w:ascii="Times New Roman" w:hAnsi="Times New Roman"/>
              </w:rPr>
            </w:pPr>
            <w:r>
              <w:rPr>
                <w:rFonts w:ascii="Times New Roman" w:hAnsi="Times New Roman"/>
              </w:rPr>
              <w:t>重新滴定，每次倒扣5分</w:t>
            </w:r>
          </w:p>
        </w:tc>
        <w:tc>
          <w:tcPr>
            <w:tcW w:w="808" w:type="dxa"/>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rPr>
            </w:pPr>
          </w:p>
        </w:tc>
        <w:tc>
          <w:tcPr>
            <w:tcW w:w="801" w:type="dxa"/>
            <w:vAlign w:val="center"/>
          </w:tcPr>
          <w:p>
            <w:pPr>
              <w:rPr>
                <w:rFonts w:ascii="Times New Roman" w:hAnsi="Times New Roman"/>
              </w:rPr>
            </w:pPr>
          </w:p>
        </w:tc>
        <w:tc>
          <w:tcPr>
            <w:tcW w:w="2069" w:type="dxa"/>
            <w:vAlign w:val="center"/>
          </w:tcPr>
          <w:p>
            <w:pPr>
              <w:jc w:val="left"/>
              <w:rPr>
                <w:rFonts w:ascii="Times New Roman" w:hAnsi="Times New Roman"/>
              </w:rPr>
            </w:pPr>
            <w:r>
              <w:rPr>
                <w:rFonts w:ascii="Times New Roman" w:hAnsi="Times New Roman"/>
              </w:rPr>
              <w:t>篡改（如伪造、凑数据等）测量数据的，总分以零分计</w:t>
            </w:r>
          </w:p>
        </w:tc>
        <w:tc>
          <w:tcPr>
            <w:tcW w:w="808" w:type="dxa"/>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kern w:val="0"/>
                <w:szCs w:val="21"/>
              </w:rPr>
            </w:pPr>
            <w:r>
              <w:rPr>
                <w:rFonts w:ascii="Times New Roman" w:hAnsi="Times New Roman"/>
                <w:kern w:val="0"/>
                <w:szCs w:val="21"/>
              </w:rPr>
              <w:t>损坏仪器</w:t>
            </w:r>
          </w:p>
        </w:tc>
        <w:tc>
          <w:tcPr>
            <w:tcW w:w="801" w:type="dxa"/>
            <w:vAlign w:val="center"/>
          </w:tcPr>
          <w:p>
            <w:pPr>
              <w:rPr>
                <w:rFonts w:ascii="Times New Roman" w:hAnsi="Times New Roman"/>
                <w:kern w:val="0"/>
                <w:szCs w:val="21"/>
              </w:rPr>
            </w:pPr>
          </w:p>
        </w:tc>
        <w:tc>
          <w:tcPr>
            <w:tcW w:w="2069" w:type="dxa"/>
            <w:vAlign w:val="center"/>
          </w:tcPr>
          <w:p>
            <w:pPr>
              <w:jc w:val="left"/>
              <w:rPr>
                <w:rFonts w:ascii="Times New Roman" w:hAnsi="Times New Roman"/>
                <w:kern w:val="0"/>
                <w:szCs w:val="21"/>
              </w:rPr>
            </w:pPr>
            <w:r>
              <w:rPr>
                <w:rFonts w:ascii="Times New Roman" w:hAnsi="Times New Roman"/>
                <w:kern w:val="0"/>
                <w:szCs w:val="21"/>
              </w:rPr>
              <w:t>每次倒扣5分</w:t>
            </w:r>
          </w:p>
        </w:tc>
        <w:tc>
          <w:tcPr>
            <w:tcW w:w="808" w:type="dxa"/>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szCs w:val="21"/>
              </w:rPr>
            </w:pPr>
          </w:p>
        </w:tc>
        <w:tc>
          <w:tcPr>
            <w:tcW w:w="801" w:type="dxa"/>
            <w:vAlign w:val="center"/>
          </w:tcPr>
          <w:p>
            <w:pPr>
              <w:rPr>
                <w:rFonts w:ascii="Times New Roman" w:hAnsi="Times New Roman"/>
                <w:szCs w:val="21"/>
              </w:rPr>
            </w:pPr>
          </w:p>
        </w:tc>
        <w:tc>
          <w:tcPr>
            <w:tcW w:w="2069" w:type="dxa"/>
            <w:vAlign w:val="center"/>
          </w:tcPr>
          <w:p>
            <w:pPr>
              <w:jc w:val="left"/>
              <w:rPr>
                <w:rFonts w:ascii="Times New Roman" w:hAnsi="Times New Roman"/>
                <w:szCs w:val="21"/>
              </w:rPr>
            </w:pPr>
            <w:r>
              <w:rPr>
                <w:rFonts w:ascii="Times New Roman" w:hAnsi="Times New Roman"/>
                <w:kern w:val="0"/>
                <w:szCs w:val="21"/>
              </w:rPr>
              <w:t>开始吸光度测量后不允许重配制溶液</w:t>
            </w:r>
          </w:p>
        </w:tc>
        <w:tc>
          <w:tcPr>
            <w:tcW w:w="808" w:type="dxa"/>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szCs w:val="21"/>
              </w:rPr>
            </w:pPr>
            <w:r>
              <w:rPr>
                <w:rFonts w:ascii="Times New Roman" w:hAnsi="Times New Roman"/>
                <w:kern w:val="0"/>
                <w:szCs w:val="21"/>
              </w:rPr>
              <w:t>七个点均匀分布且合理</w:t>
            </w:r>
          </w:p>
        </w:tc>
        <w:tc>
          <w:tcPr>
            <w:tcW w:w="801" w:type="dxa"/>
            <w:vAlign w:val="center"/>
          </w:tcPr>
          <w:p>
            <w:pPr>
              <w:rPr>
                <w:rFonts w:ascii="Times New Roman" w:hAnsi="Times New Roman"/>
                <w:szCs w:val="21"/>
              </w:rPr>
            </w:pPr>
          </w:p>
        </w:tc>
        <w:tc>
          <w:tcPr>
            <w:tcW w:w="2069" w:type="dxa"/>
            <w:vAlign w:val="center"/>
          </w:tcPr>
          <w:p>
            <w:pPr>
              <w:jc w:val="left"/>
              <w:rPr>
                <w:rFonts w:ascii="Times New Roman" w:hAnsi="Times New Roman"/>
                <w:szCs w:val="21"/>
              </w:rPr>
            </w:pPr>
            <w:r>
              <w:rPr>
                <w:rFonts w:ascii="Times New Roman" w:hAnsi="Times New Roman"/>
                <w:kern w:val="0"/>
                <w:szCs w:val="21"/>
              </w:rPr>
              <w:t>不均匀或不合理，均扣20分（均匀合理：移取的体积为0.00、1.00、2.00、4.00、6.00、8.00、10.00mL）</w:t>
            </w:r>
          </w:p>
        </w:tc>
        <w:tc>
          <w:tcPr>
            <w:tcW w:w="808" w:type="dxa"/>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szCs w:val="21"/>
              </w:rPr>
            </w:pPr>
            <w:r>
              <w:rPr>
                <w:rFonts w:ascii="Times New Roman" w:hAnsi="Times New Roman"/>
                <w:kern w:val="0"/>
                <w:szCs w:val="21"/>
              </w:rPr>
              <w:t>未知溶液的稀释方法</w:t>
            </w:r>
          </w:p>
        </w:tc>
        <w:tc>
          <w:tcPr>
            <w:tcW w:w="801" w:type="dxa"/>
            <w:vAlign w:val="center"/>
          </w:tcPr>
          <w:p>
            <w:pPr>
              <w:rPr>
                <w:rFonts w:ascii="Times New Roman" w:hAnsi="Times New Roman"/>
                <w:szCs w:val="21"/>
              </w:rPr>
            </w:pPr>
          </w:p>
        </w:tc>
        <w:tc>
          <w:tcPr>
            <w:tcW w:w="2069" w:type="dxa"/>
            <w:vAlign w:val="center"/>
          </w:tcPr>
          <w:p>
            <w:pPr>
              <w:rPr>
                <w:rFonts w:ascii="Times New Roman" w:hAnsi="Times New Roman"/>
                <w:szCs w:val="21"/>
              </w:rPr>
            </w:pPr>
            <w:r>
              <w:rPr>
                <w:rFonts w:ascii="Times New Roman" w:hAnsi="Times New Roman"/>
                <w:kern w:val="0"/>
                <w:szCs w:val="21"/>
              </w:rPr>
              <w:t>出现假平行，扣10分</w:t>
            </w:r>
          </w:p>
        </w:tc>
        <w:tc>
          <w:tcPr>
            <w:tcW w:w="808" w:type="dxa"/>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8523" w:type="dxa"/>
            <w:gridSpan w:val="8"/>
            <w:vAlign w:val="center"/>
          </w:tcPr>
          <w:p>
            <w:pPr>
              <w:jc w:val="left"/>
              <w:rPr>
                <w:rFonts w:ascii="Times New Roman" w:hAnsi="Times New Roman"/>
              </w:rPr>
            </w:pPr>
            <w:r>
              <w:rPr>
                <w:rFonts w:hint="eastAsia" w:ascii="Times New Roman" w:hAnsi="Times New Roman"/>
              </w:rPr>
              <w:t>说明：得分数值不能超过配分项数值</w:t>
            </w:r>
          </w:p>
        </w:tc>
      </w:tr>
    </w:tbl>
    <w:p>
      <w:pPr>
        <w:pStyle w:val="7"/>
        <w:pBdr>
          <w:bottom w:val="none" w:color="auto" w:sz="0" w:space="0"/>
        </w:pBdr>
        <w:spacing w:line="480" w:lineRule="exact"/>
        <w:rPr>
          <w:rFonts w:ascii="宋体" w:hAnsi="宋体"/>
          <w:sz w:val="24"/>
          <w:szCs w:val="30"/>
        </w:rPr>
      </w:pPr>
      <w:r>
        <w:rPr>
          <w:rFonts w:hint="eastAsia" w:ascii="宋体" w:hAnsi="宋体"/>
          <w:sz w:val="24"/>
          <w:szCs w:val="30"/>
        </w:rPr>
        <w:t>因仪器故障，补时记录：</w:t>
      </w:r>
    </w:p>
    <w:p>
      <w:pPr>
        <w:pStyle w:val="7"/>
        <w:pBdr>
          <w:bottom w:val="none" w:color="auto" w:sz="0" w:space="0"/>
        </w:pBdr>
        <w:spacing w:line="480" w:lineRule="exact"/>
        <w:rPr>
          <w:rFonts w:ascii="宋体" w:hAnsi="宋体"/>
          <w:sz w:val="24"/>
          <w:szCs w:val="30"/>
        </w:rPr>
      </w:pPr>
      <w:r>
        <w:rPr>
          <w:rFonts w:hint="eastAsia" w:ascii="宋体" w:hAnsi="宋体"/>
          <w:sz w:val="24"/>
          <w:szCs w:val="30"/>
        </w:rPr>
        <w:t>项目完成交卷时间：</w:t>
      </w:r>
    </w:p>
    <w:p>
      <w:pPr>
        <w:spacing w:line="480" w:lineRule="exact"/>
        <w:rPr>
          <w:sz w:val="24"/>
        </w:rPr>
      </w:pPr>
      <w:r>
        <w:rPr>
          <w:rFonts w:hint="eastAsia" w:ascii="宋体" w:hAnsi="宋体"/>
          <w:sz w:val="24"/>
          <w:szCs w:val="30"/>
        </w:rPr>
        <w:t>一～八项总得分：_____________</w:t>
      </w:r>
      <w:r>
        <w:rPr>
          <w:rFonts w:hint="eastAsia"/>
        </w:rPr>
        <w:t xml:space="preserve">               </w:t>
      </w:r>
      <w:r>
        <w:rPr>
          <w:rFonts w:hint="eastAsia"/>
          <w:sz w:val="24"/>
        </w:rPr>
        <w:t>现场裁判签字： _____________</w:t>
      </w:r>
    </w:p>
    <w:p>
      <w:pPr>
        <w:snapToGrid w:val="0"/>
        <w:spacing w:line="480" w:lineRule="exact"/>
        <w:jc w:val="left"/>
        <w:rPr>
          <w:sz w:val="24"/>
        </w:rPr>
      </w:pPr>
      <w:r>
        <w:rPr>
          <w:rFonts w:hint="eastAsia" w:eastAsia="仿宋_GB2312"/>
          <w:bCs/>
          <w:sz w:val="30"/>
          <w:szCs w:val="30"/>
        </w:rPr>
        <w:t xml:space="preserve"> </w:t>
      </w:r>
      <w:r>
        <w:rPr>
          <w:rFonts w:eastAsia="仿宋_GB2312"/>
          <w:bCs/>
          <w:sz w:val="30"/>
          <w:szCs w:val="30"/>
        </w:rPr>
        <w:t xml:space="preserve">                                </w:t>
      </w:r>
      <w:r>
        <w:rPr>
          <w:rFonts w:hint="eastAsia"/>
          <w:sz w:val="24"/>
        </w:rPr>
        <w:t>现场裁判长签字： ___________</w:t>
      </w:r>
    </w:p>
    <w:p>
      <w:pPr>
        <w:snapToGrid w:val="0"/>
        <w:spacing w:line="560" w:lineRule="exact"/>
        <w:ind w:firstLine="560" w:firstLineChars="200"/>
        <w:rPr>
          <w:rFonts w:eastAsia="仿宋_GB2312"/>
          <w:bCs/>
          <w:sz w:val="28"/>
          <w:szCs w:val="28"/>
        </w:rPr>
      </w:pPr>
      <w:r>
        <w:rPr>
          <w:rFonts w:eastAsia="仿宋_GB2312"/>
          <w:bCs/>
          <w:sz w:val="28"/>
          <w:szCs w:val="28"/>
        </w:rPr>
        <w:t>2.</w:t>
      </w:r>
      <w:r>
        <w:rPr>
          <w:rFonts w:hint="eastAsia" w:eastAsia="仿宋_GB2312"/>
          <w:bCs/>
          <w:sz w:val="28"/>
          <w:szCs w:val="28"/>
        </w:rPr>
        <w:t>结果</w:t>
      </w:r>
      <w:r>
        <w:rPr>
          <w:rFonts w:eastAsia="仿宋_GB2312"/>
          <w:bCs/>
          <w:sz w:val="28"/>
          <w:szCs w:val="28"/>
        </w:rPr>
        <w:t>评分</w:t>
      </w:r>
    </w:p>
    <w:tbl>
      <w:tblPr>
        <w:tblStyle w:val="13"/>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
        <w:gridCol w:w="781"/>
        <w:gridCol w:w="967"/>
        <w:gridCol w:w="750"/>
        <w:gridCol w:w="1597"/>
        <w:gridCol w:w="687"/>
        <w:gridCol w:w="1975"/>
        <w:gridCol w:w="426"/>
        <w:gridCol w:w="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429" w:type="dxa"/>
            <w:vAlign w:val="center"/>
          </w:tcPr>
          <w:p>
            <w:pPr>
              <w:jc w:val="center"/>
              <w:rPr>
                <w:rFonts w:ascii="Times New Roman" w:hAnsi="Times New Roman"/>
              </w:rPr>
            </w:pPr>
            <w:r>
              <w:rPr>
                <w:rFonts w:ascii="Times New Roman" w:hAnsi="Times New Roman"/>
              </w:rPr>
              <w:t>序号</w:t>
            </w:r>
          </w:p>
        </w:tc>
        <w:tc>
          <w:tcPr>
            <w:tcW w:w="781" w:type="dxa"/>
            <w:vAlign w:val="center"/>
          </w:tcPr>
          <w:p>
            <w:pPr>
              <w:jc w:val="center"/>
              <w:rPr>
                <w:rFonts w:ascii="Times New Roman" w:hAnsi="Times New Roman"/>
                <w:szCs w:val="21"/>
              </w:rPr>
            </w:pPr>
            <w:r>
              <w:rPr>
                <w:rFonts w:ascii="Times New Roman" w:hAnsi="Times New Roman"/>
                <w:szCs w:val="21"/>
              </w:rPr>
              <w:t>作业项目</w:t>
            </w:r>
          </w:p>
        </w:tc>
        <w:tc>
          <w:tcPr>
            <w:tcW w:w="967" w:type="dxa"/>
            <w:vAlign w:val="center"/>
          </w:tcPr>
          <w:p>
            <w:pPr>
              <w:jc w:val="center"/>
              <w:rPr>
                <w:rFonts w:ascii="Times New Roman" w:hAnsi="Times New Roman"/>
              </w:rPr>
            </w:pPr>
            <w:r>
              <w:rPr>
                <w:rFonts w:ascii="Times New Roman" w:hAnsi="Times New Roman"/>
              </w:rPr>
              <w:t>考核内容</w:t>
            </w:r>
          </w:p>
        </w:tc>
        <w:tc>
          <w:tcPr>
            <w:tcW w:w="750" w:type="dxa"/>
            <w:vAlign w:val="center"/>
          </w:tcPr>
          <w:p>
            <w:pPr>
              <w:jc w:val="center"/>
              <w:rPr>
                <w:rFonts w:ascii="Times New Roman" w:hAnsi="Times New Roman"/>
              </w:rPr>
            </w:pPr>
            <w:r>
              <w:rPr>
                <w:rFonts w:ascii="Times New Roman" w:hAnsi="Times New Roman"/>
              </w:rPr>
              <w:t>配分</w:t>
            </w:r>
          </w:p>
        </w:tc>
        <w:tc>
          <w:tcPr>
            <w:tcW w:w="1597" w:type="dxa"/>
            <w:vAlign w:val="center"/>
          </w:tcPr>
          <w:p>
            <w:pPr>
              <w:jc w:val="center"/>
              <w:rPr>
                <w:rFonts w:ascii="Times New Roman" w:hAnsi="Times New Roman"/>
              </w:rPr>
            </w:pPr>
            <w:r>
              <w:rPr>
                <w:rFonts w:ascii="Times New Roman" w:hAnsi="Times New Roman"/>
              </w:rPr>
              <w:t>操作要求</w:t>
            </w:r>
          </w:p>
        </w:tc>
        <w:tc>
          <w:tcPr>
            <w:tcW w:w="687" w:type="dxa"/>
            <w:vAlign w:val="center"/>
          </w:tcPr>
          <w:p>
            <w:pPr>
              <w:jc w:val="center"/>
              <w:rPr>
                <w:rFonts w:ascii="Times New Roman" w:hAnsi="Times New Roman"/>
              </w:rPr>
            </w:pPr>
            <w:r>
              <w:rPr>
                <w:rFonts w:ascii="Times New Roman" w:hAnsi="Times New Roman"/>
              </w:rPr>
              <w:t>考核</w:t>
            </w:r>
          </w:p>
          <w:p>
            <w:pPr>
              <w:jc w:val="center"/>
              <w:rPr>
                <w:rFonts w:ascii="Times New Roman" w:hAnsi="Times New Roman"/>
              </w:rPr>
            </w:pPr>
            <w:r>
              <w:rPr>
                <w:rFonts w:ascii="Times New Roman" w:hAnsi="Times New Roman"/>
              </w:rPr>
              <w:t>记录</w:t>
            </w:r>
          </w:p>
        </w:tc>
        <w:tc>
          <w:tcPr>
            <w:tcW w:w="1975" w:type="dxa"/>
            <w:vAlign w:val="center"/>
          </w:tcPr>
          <w:p>
            <w:pPr>
              <w:jc w:val="center"/>
              <w:rPr>
                <w:rFonts w:ascii="Times New Roman" w:hAnsi="Times New Roman"/>
              </w:rPr>
            </w:pPr>
            <w:r>
              <w:rPr>
                <w:rFonts w:ascii="Times New Roman" w:hAnsi="Times New Roman"/>
              </w:rPr>
              <w:t>扣分说明</w:t>
            </w:r>
          </w:p>
        </w:tc>
        <w:tc>
          <w:tcPr>
            <w:tcW w:w="426" w:type="dxa"/>
            <w:vAlign w:val="center"/>
          </w:tcPr>
          <w:p>
            <w:pPr>
              <w:jc w:val="center"/>
              <w:rPr>
                <w:rFonts w:ascii="Times New Roman" w:hAnsi="Times New Roman"/>
              </w:rPr>
            </w:pPr>
            <w:r>
              <w:rPr>
                <w:rFonts w:ascii="Times New Roman" w:hAnsi="Times New Roman"/>
              </w:rPr>
              <w:t>扣分</w:t>
            </w:r>
          </w:p>
        </w:tc>
        <w:tc>
          <w:tcPr>
            <w:tcW w:w="543" w:type="dxa"/>
            <w:vAlign w:val="center"/>
          </w:tcPr>
          <w:p>
            <w:pPr>
              <w:jc w:val="center"/>
              <w:rPr>
                <w:rFonts w:ascii="Times New Roman" w:hAnsi="Times New Roman"/>
              </w:rPr>
            </w:pPr>
            <w:r>
              <w:rPr>
                <w:rFonts w:ascii="Times New Roman" w:hAnsi="Times New Roma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trPr>
        <w:tc>
          <w:tcPr>
            <w:tcW w:w="429" w:type="dxa"/>
            <w:vMerge w:val="restart"/>
            <w:vAlign w:val="center"/>
          </w:tcPr>
          <w:p>
            <w:pPr>
              <w:jc w:val="center"/>
              <w:rPr>
                <w:rFonts w:ascii="Times New Roman" w:hAnsi="Times New Roman"/>
              </w:rPr>
            </w:pPr>
            <w:r>
              <w:rPr>
                <w:rFonts w:ascii="Times New Roman" w:hAnsi="Times New Roman"/>
              </w:rPr>
              <w:t>九</w:t>
            </w:r>
          </w:p>
        </w:tc>
        <w:tc>
          <w:tcPr>
            <w:tcW w:w="781" w:type="dxa"/>
            <w:vMerge w:val="restart"/>
            <w:vAlign w:val="center"/>
          </w:tcPr>
          <w:p>
            <w:pPr>
              <w:jc w:val="center"/>
              <w:rPr>
                <w:rFonts w:ascii="Times New Roman" w:hAnsi="Times New Roman"/>
              </w:rPr>
            </w:pPr>
            <w:r>
              <w:rPr>
                <w:rFonts w:ascii="Times New Roman" w:hAnsi="Times New Roman"/>
              </w:rPr>
              <w:t>数据记录及处理</w:t>
            </w:r>
          </w:p>
        </w:tc>
        <w:tc>
          <w:tcPr>
            <w:tcW w:w="967" w:type="dxa"/>
            <w:vMerge w:val="restart"/>
            <w:vAlign w:val="center"/>
          </w:tcPr>
          <w:p>
            <w:pPr>
              <w:jc w:val="center"/>
              <w:rPr>
                <w:rFonts w:ascii="Times New Roman" w:hAnsi="Times New Roman"/>
              </w:rPr>
            </w:pPr>
            <w:r>
              <w:rPr>
                <w:rFonts w:ascii="Times New Roman" w:hAnsi="Times New Roman"/>
              </w:rPr>
              <w:t>记录</w:t>
            </w:r>
          </w:p>
        </w:tc>
        <w:tc>
          <w:tcPr>
            <w:tcW w:w="750" w:type="dxa"/>
            <w:vMerge w:val="restart"/>
            <w:vAlign w:val="center"/>
          </w:tcPr>
          <w:p>
            <w:pPr>
              <w:jc w:val="center"/>
              <w:rPr>
                <w:rFonts w:ascii="Times New Roman" w:hAnsi="Times New Roman"/>
              </w:rPr>
            </w:pPr>
            <w:r>
              <w:rPr>
                <w:rFonts w:ascii="Times New Roman" w:hAnsi="Times New Roman"/>
              </w:rPr>
              <w:t>1</w:t>
            </w:r>
          </w:p>
        </w:tc>
        <w:tc>
          <w:tcPr>
            <w:tcW w:w="1597" w:type="dxa"/>
            <w:vAlign w:val="center"/>
          </w:tcPr>
          <w:p>
            <w:pPr>
              <w:rPr>
                <w:rFonts w:ascii="Times New Roman" w:hAnsi="Times New Roman"/>
                <w:szCs w:val="21"/>
              </w:rPr>
            </w:pPr>
            <w:r>
              <w:rPr>
                <w:rFonts w:ascii="Times New Roman" w:hAnsi="Times New Roman"/>
                <w:szCs w:val="21"/>
              </w:rPr>
              <w:t>不缺项</w:t>
            </w:r>
          </w:p>
        </w:tc>
        <w:tc>
          <w:tcPr>
            <w:tcW w:w="687" w:type="dxa"/>
            <w:vAlign w:val="center"/>
          </w:tcPr>
          <w:p>
            <w:pPr>
              <w:rPr>
                <w:rFonts w:ascii="Times New Roman" w:hAnsi="Times New Roman"/>
              </w:rPr>
            </w:pPr>
          </w:p>
        </w:tc>
        <w:tc>
          <w:tcPr>
            <w:tcW w:w="1975" w:type="dxa"/>
            <w:vMerge w:val="restart"/>
            <w:vAlign w:val="center"/>
          </w:tcPr>
          <w:p>
            <w:pPr>
              <w:rPr>
                <w:rFonts w:ascii="Times New Roman" w:hAnsi="Times New Roman"/>
              </w:rPr>
            </w:pPr>
            <w:r>
              <w:rPr>
                <w:rFonts w:ascii="Times New Roman" w:hAnsi="Times New Roman"/>
              </w:rPr>
              <w:t>每错一个扣0.5分，扣完为止</w:t>
            </w:r>
          </w:p>
        </w:tc>
        <w:tc>
          <w:tcPr>
            <w:tcW w:w="426" w:type="dxa"/>
            <w:vMerge w:val="restart"/>
            <w:vAlign w:val="center"/>
          </w:tcPr>
          <w:p>
            <w:pPr>
              <w:jc w:val="center"/>
              <w:rPr>
                <w:rFonts w:ascii="Times New Roman" w:hAnsi="Times New Roman"/>
              </w:rPr>
            </w:pPr>
          </w:p>
        </w:tc>
        <w:tc>
          <w:tcPr>
            <w:tcW w:w="543" w:type="dxa"/>
            <w:vMerge w:val="restart"/>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rPr>
                <w:rFonts w:ascii="Times New Roman" w:hAnsi="Times New Roman"/>
                <w:szCs w:val="21"/>
              </w:rPr>
            </w:pPr>
            <w:r>
              <w:rPr>
                <w:rFonts w:hint="eastAsia" w:ascii="Times New Roman" w:hAnsi="Times New Roman"/>
                <w:szCs w:val="21"/>
              </w:rPr>
              <w:t>使用法定计量单位</w:t>
            </w:r>
          </w:p>
        </w:tc>
        <w:tc>
          <w:tcPr>
            <w:tcW w:w="687" w:type="dxa"/>
            <w:vAlign w:val="center"/>
          </w:tcPr>
          <w:p>
            <w:pPr>
              <w:rPr>
                <w:rFonts w:ascii="Times New Roman" w:hAnsi="Times New Roman"/>
                <w:szCs w:val="21"/>
              </w:rPr>
            </w:pPr>
          </w:p>
        </w:tc>
        <w:tc>
          <w:tcPr>
            <w:tcW w:w="1975" w:type="dxa"/>
            <w:vMerge w:val="continue"/>
            <w:vAlign w:val="center"/>
          </w:tcPr>
          <w:p>
            <w:pPr>
              <w:rPr>
                <w:rFonts w:ascii="Times New Roman" w:hAnsi="Times New Roman"/>
              </w:rPr>
            </w:pP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9"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Align w:val="center"/>
          </w:tcPr>
          <w:p>
            <w:pPr>
              <w:jc w:val="center"/>
              <w:rPr>
                <w:rFonts w:ascii="Times New Roman" w:hAnsi="Times New Roman"/>
              </w:rPr>
            </w:pPr>
            <w:r>
              <w:rPr>
                <w:rFonts w:ascii="Times New Roman" w:hAnsi="Times New Roman"/>
              </w:rPr>
              <w:t>计算</w:t>
            </w:r>
          </w:p>
        </w:tc>
        <w:tc>
          <w:tcPr>
            <w:tcW w:w="750" w:type="dxa"/>
            <w:vAlign w:val="center"/>
          </w:tcPr>
          <w:p>
            <w:pPr>
              <w:jc w:val="center"/>
              <w:rPr>
                <w:rFonts w:ascii="Times New Roman" w:hAnsi="Times New Roman"/>
              </w:rPr>
            </w:pPr>
            <w:r>
              <w:rPr>
                <w:rFonts w:ascii="Times New Roman" w:hAnsi="Times New Roman"/>
              </w:rPr>
              <w:t>3</w:t>
            </w:r>
          </w:p>
        </w:tc>
        <w:tc>
          <w:tcPr>
            <w:tcW w:w="1597" w:type="dxa"/>
            <w:vAlign w:val="center"/>
          </w:tcPr>
          <w:p>
            <w:pPr>
              <w:rPr>
                <w:rFonts w:ascii="Times New Roman" w:hAnsi="Times New Roman"/>
              </w:rPr>
            </w:pPr>
            <w:r>
              <w:rPr>
                <w:rFonts w:ascii="Times New Roman" w:hAnsi="Times New Roman"/>
                <w:spacing w:val="-6"/>
                <w:szCs w:val="21"/>
              </w:rPr>
              <w:t>计算过程及结果正确。</w:t>
            </w:r>
          </w:p>
        </w:tc>
        <w:tc>
          <w:tcPr>
            <w:tcW w:w="687" w:type="dxa"/>
            <w:vAlign w:val="center"/>
          </w:tcPr>
          <w:p>
            <w:pPr>
              <w:rPr>
                <w:rFonts w:ascii="Times New Roman" w:hAnsi="Times New Roman"/>
                <w:spacing w:val="-6"/>
                <w:szCs w:val="21"/>
              </w:rPr>
            </w:pPr>
          </w:p>
        </w:tc>
        <w:tc>
          <w:tcPr>
            <w:tcW w:w="1975" w:type="dxa"/>
            <w:vAlign w:val="center"/>
          </w:tcPr>
          <w:p>
            <w:pPr>
              <w:rPr>
                <w:rFonts w:ascii="Times New Roman" w:hAnsi="Times New Roman"/>
              </w:rPr>
            </w:pPr>
            <w:r>
              <w:rPr>
                <w:rFonts w:ascii="Times New Roman" w:hAnsi="Times New Roman"/>
              </w:rPr>
              <w:t>有计算错误</w:t>
            </w:r>
            <w:r>
              <w:rPr>
                <w:rFonts w:hint="eastAsia" w:ascii="Times New Roman" w:hAnsi="Times New Roman"/>
              </w:rPr>
              <w:t>，</w:t>
            </w:r>
            <w:r>
              <w:rPr>
                <w:rFonts w:ascii="Times New Roman" w:hAnsi="Times New Roman"/>
              </w:rPr>
              <w:t>扣3分</w:t>
            </w:r>
          </w:p>
        </w:tc>
        <w:tc>
          <w:tcPr>
            <w:tcW w:w="426" w:type="dxa"/>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Align w:val="center"/>
          </w:tcPr>
          <w:p>
            <w:pPr>
              <w:jc w:val="center"/>
              <w:rPr>
                <w:rFonts w:ascii="Times New Roman" w:hAnsi="Times New Roman"/>
              </w:rPr>
            </w:pPr>
            <w:r>
              <w:rPr>
                <w:rFonts w:ascii="Times New Roman" w:hAnsi="Times New Roman"/>
              </w:rPr>
              <w:t>有效数字保留</w:t>
            </w:r>
          </w:p>
        </w:tc>
        <w:tc>
          <w:tcPr>
            <w:tcW w:w="750" w:type="dxa"/>
            <w:vAlign w:val="center"/>
          </w:tcPr>
          <w:p>
            <w:pPr>
              <w:jc w:val="center"/>
              <w:rPr>
                <w:rFonts w:ascii="Times New Roman" w:hAnsi="Times New Roman"/>
              </w:rPr>
            </w:pPr>
            <w:r>
              <w:rPr>
                <w:rFonts w:ascii="Times New Roman" w:hAnsi="Times New Roman"/>
              </w:rPr>
              <w:t>1</w:t>
            </w:r>
          </w:p>
        </w:tc>
        <w:tc>
          <w:tcPr>
            <w:tcW w:w="1597" w:type="dxa"/>
            <w:vAlign w:val="center"/>
          </w:tcPr>
          <w:p>
            <w:pPr>
              <w:rPr>
                <w:rFonts w:ascii="Times New Roman" w:hAnsi="Times New Roman"/>
                <w:spacing w:val="-6"/>
                <w:szCs w:val="21"/>
              </w:rPr>
            </w:pPr>
            <w:r>
              <w:rPr>
                <w:rFonts w:ascii="Times New Roman" w:hAnsi="Times New Roman"/>
                <w:szCs w:val="21"/>
              </w:rPr>
              <w:t>有效数字位数保留正确或修约正确</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每错一个扣0.5分，扣完为止</w:t>
            </w:r>
          </w:p>
        </w:tc>
        <w:tc>
          <w:tcPr>
            <w:tcW w:w="426" w:type="dxa"/>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atLeast"/>
        </w:trPr>
        <w:tc>
          <w:tcPr>
            <w:tcW w:w="429" w:type="dxa"/>
            <w:vMerge w:val="restart"/>
            <w:vAlign w:val="center"/>
          </w:tcPr>
          <w:p>
            <w:pPr>
              <w:jc w:val="center"/>
              <w:rPr>
                <w:rFonts w:ascii="Times New Roman" w:hAnsi="Times New Roman"/>
              </w:rPr>
            </w:pPr>
            <w:r>
              <w:rPr>
                <w:rFonts w:ascii="Times New Roman" w:hAnsi="Times New Roman"/>
              </w:rPr>
              <w:t>十</w:t>
            </w:r>
          </w:p>
        </w:tc>
        <w:tc>
          <w:tcPr>
            <w:tcW w:w="781" w:type="dxa"/>
            <w:vMerge w:val="restart"/>
            <w:vAlign w:val="center"/>
          </w:tcPr>
          <w:p>
            <w:pPr>
              <w:jc w:val="center"/>
              <w:rPr>
                <w:rFonts w:ascii="Times New Roman" w:hAnsi="Times New Roman"/>
              </w:rPr>
            </w:pPr>
            <w:r>
              <w:rPr>
                <w:rFonts w:ascii="Times New Roman" w:hAnsi="Times New Roman"/>
              </w:rPr>
              <w:t>化学分析</w:t>
            </w:r>
          </w:p>
        </w:tc>
        <w:tc>
          <w:tcPr>
            <w:tcW w:w="967" w:type="dxa"/>
            <w:vMerge w:val="restart"/>
            <w:vAlign w:val="center"/>
          </w:tcPr>
          <w:p>
            <w:pPr>
              <w:rPr>
                <w:rFonts w:ascii="Times New Roman" w:hAnsi="Times New Roman"/>
              </w:rPr>
            </w:pPr>
            <w:r>
              <w:rPr>
                <w:rFonts w:ascii="Times New Roman" w:hAnsi="Times New Roman"/>
                <w:szCs w:val="21"/>
              </w:rPr>
              <w:t>称量范围</w:t>
            </w:r>
            <w:r>
              <w:rPr>
                <w:rFonts w:hint="eastAsia" w:ascii="Times New Roman" w:hAnsi="Times New Roman"/>
                <w:szCs w:val="21"/>
              </w:rPr>
              <w:t>（g）</w:t>
            </w:r>
          </w:p>
        </w:tc>
        <w:tc>
          <w:tcPr>
            <w:tcW w:w="750" w:type="dxa"/>
            <w:vMerge w:val="restart"/>
            <w:vAlign w:val="center"/>
          </w:tcPr>
          <w:p>
            <w:pPr>
              <w:jc w:val="center"/>
              <w:rPr>
                <w:rFonts w:ascii="Times New Roman" w:hAnsi="Times New Roman"/>
              </w:rPr>
            </w:pPr>
            <w:r>
              <w:rPr>
                <w:rFonts w:ascii="Times New Roman" w:hAnsi="Times New Roman"/>
              </w:rPr>
              <w:t>2</w:t>
            </w:r>
          </w:p>
        </w:tc>
        <w:tc>
          <w:tcPr>
            <w:tcW w:w="1597" w:type="dxa"/>
            <w:vAlign w:val="center"/>
          </w:tcPr>
          <w:p>
            <w:pPr>
              <w:rPr>
                <w:rFonts w:ascii="Times New Roman" w:hAnsi="Times New Roman"/>
                <w:szCs w:val="21"/>
              </w:rPr>
            </w:pPr>
            <w:r>
              <w:rPr>
                <w:rFonts w:ascii="Times New Roman" w:hAnsi="Times New Roman"/>
                <w:szCs w:val="21"/>
              </w:rPr>
              <w:t>0.5976</w:t>
            </w:r>
            <w:r>
              <w:rPr>
                <w:rFonts w:ascii="Times New Roman" w:hAnsi="Times New Roman"/>
              </w:rPr>
              <w:t>≤</w:t>
            </w:r>
            <w:r>
              <w:rPr>
                <w:rFonts w:ascii="Times New Roman" w:hAnsi="Times New Roman"/>
                <w:szCs w:val="21"/>
              </w:rPr>
              <w:t>称量值</w:t>
            </w:r>
            <w:r>
              <w:rPr>
                <w:rFonts w:ascii="Times New Roman" w:hAnsi="Times New Roman"/>
              </w:rPr>
              <w:t>＜</w:t>
            </w:r>
            <w:r>
              <w:rPr>
                <w:rFonts w:ascii="Times New Roman" w:hAnsi="Times New Roman"/>
                <w:szCs w:val="21"/>
              </w:rPr>
              <w:t>0.6282</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扣0分</w:t>
            </w:r>
          </w:p>
        </w:tc>
        <w:tc>
          <w:tcPr>
            <w:tcW w:w="426" w:type="dxa"/>
            <w:vMerge w:val="restart"/>
            <w:vAlign w:val="center"/>
          </w:tcPr>
          <w:p>
            <w:pPr>
              <w:jc w:val="center"/>
              <w:rPr>
                <w:rFonts w:ascii="Times New Roman" w:hAnsi="Times New Roman"/>
              </w:rPr>
            </w:pPr>
          </w:p>
        </w:tc>
        <w:tc>
          <w:tcPr>
            <w:tcW w:w="543" w:type="dxa"/>
            <w:vMerge w:val="restart"/>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rPr>
                <w:rFonts w:ascii="Times New Roman" w:hAnsi="Times New Roman"/>
                <w:szCs w:val="21"/>
              </w:rPr>
            </w:pPr>
            <w:r>
              <w:rPr>
                <w:rFonts w:ascii="Times New Roman" w:hAnsi="Times New Roman"/>
                <w:szCs w:val="21"/>
              </w:rPr>
              <w:t>0.5822</w:t>
            </w:r>
            <w:r>
              <w:rPr>
                <w:rFonts w:ascii="Times New Roman" w:hAnsi="Times New Roman"/>
              </w:rPr>
              <w:t>≤</w:t>
            </w:r>
            <w:r>
              <w:rPr>
                <w:rFonts w:ascii="Times New Roman" w:hAnsi="Times New Roman"/>
                <w:szCs w:val="21"/>
              </w:rPr>
              <w:t>称量值</w:t>
            </w:r>
            <w:r>
              <w:rPr>
                <w:rFonts w:ascii="Times New Roman" w:hAnsi="Times New Roman"/>
              </w:rPr>
              <w:t>＜</w:t>
            </w:r>
            <w:r>
              <w:rPr>
                <w:rFonts w:ascii="Times New Roman" w:hAnsi="Times New Roman"/>
                <w:szCs w:val="21"/>
              </w:rPr>
              <w:t>0.5976</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扣1分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rPr>
                <w:rFonts w:ascii="Times New Roman" w:hAnsi="Times New Roman"/>
                <w:szCs w:val="21"/>
              </w:rPr>
            </w:pPr>
            <w:r>
              <w:rPr>
                <w:rFonts w:ascii="Times New Roman" w:hAnsi="Times New Roman"/>
                <w:szCs w:val="21"/>
              </w:rPr>
              <w:t>0.6282</w:t>
            </w:r>
            <w:r>
              <w:rPr>
                <w:rFonts w:ascii="Times New Roman" w:hAnsi="Times New Roman"/>
              </w:rPr>
              <w:t>≤</w:t>
            </w:r>
            <w:r>
              <w:rPr>
                <w:rFonts w:ascii="Times New Roman" w:hAnsi="Times New Roman"/>
                <w:szCs w:val="21"/>
              </w:rPr>
              <w:t>称量值</w:t>
            </w:r>
            <w:r>
              <w:rPr>
                <w:rFonts w:ascii="Times New Roman" w:hAnsi="Times New Roman"/>
              </w:rPr>
              <w:t>＜</w:t>
            </w:r>
            <w:r>
              <w:rPr>
                <w:rFonts w:ascii="Times New Roman" w:hAnsi="Times New Roman"/>
                <w:szCs w:val="21"/>
              </w:rPr>
              <w:t>0.6435</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扣1分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rPr>
                <w:rFonts w:ascii="Times New Roman" w:hAnsi="Times New Roman"/>
                <w:szCs w:val="21"/>
              </w:rPr>
            </w:pPr>
            <w:r>
              <w:rPr>
                <w:rFonts w:ascii="Times New Roman" w:hAnsi="Times New Roman"/>
                <w:szCs w:val="21"/>
              </w:rPr>
              <w:t>0.6435</w:t>
            </w:r>
            <w:r>
              <w:rPr>
                <w:rFonts w:ascii="Times New Roman" w:hAnsi="Times New Roman"/>
              </w:rPr>
              <w:t>≤</w:t>
            </w:r>
            <w:r>
              <w:rPr>
                <w:rFonts w:ascii="Times New Roman" w:hAnsi="Times New Roman"/>
                <w:szCs w:val="21"/>
              </w:rPr>
              <w:t>称量值</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扣2分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rPr>
                <w:rFonts w:ascii="Times New Roman" w:hAnsi="Times New Roman"/>
                <w:szCs w:val="21"/>
              </w:rPr>
            </w:pPr>
            <w:r>
              <w:rPr>
                <w:rFonts w:ascii="Times New Roman" w:hAnsi="Times New Roman"/>
                <w:szCs w:val="21"/>
              </w:rPr>
              <w:t>称量值</w:t>
            </w:r>
            <w:r>
              <w:rPr>
                <w:rFonts w:ascii="Times New Roman" w:hAnsi="Times New Roman"/>
              </w:rPr>
              <w:t>＜</w:t>
            </w:r>
            <w:r>
              <w:rPr>
                <w:rFonts w:ascii="Times New Roman" w:hAnsi="Times New Roman"/>
                <w:szCs w:val="21"/>
              </w:rPr>
              <w:t>0.5822</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扣2分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5009" w:type="dxa"/>
            <w:gridSpan w:val="4"/>
            <w:vAlign w:val="center"/>
          </w:tcPr>
          <w:p>
            <w:pPr>
              <w:rPr>
                <w:rFonts w:ascii="Times New Roman" w:hAnsi="Times New Roman"/>
              </w:rPr>
            </w:pPr>
            <w:r>
              <w:rPr>
                <w:rFonts w:hint="eastAsia" w:ascii="Times New Roman" w:hAnsi="Times New Roman"/>
              </w:rPr>
              <w:t>说明：如果重称，不能重复扣分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restart"/>
            <w:vAlign w:val="center"/>
          </w:tcPr>
          <w:p>
            <w:pPr>
              <w:rPr>
                <w:rFonts w:ascii="Times New Roman" w:hAnsi="Times New Roman"/>
              </w:rPr>
            </w:pPr>
            <w:r>
              <w:rPr>
                <w:rFonts w:ascii="Times New Roman" w:hAnsi="Times New Roman"/>
                <w:szCs w:val="21"/>
              </w:rPr>
              <w:t>未知铁试样溶液</w:t>
            </w:r>
            <w:r>
              <w:rPr>
                <w:rFonts w:hint="eastAsia" w:ascii="Times New Roman" w:hAnsi="Times New Roman"/>
                <w:szCs w:val="21"/>
              </w:rPr>
              <w:t>（I）</w:t>
            </w:r>
            <w:r>
              <w:rPr>
                <w:rFonts w:ascii="Times New Roman" w:hAnsi="Times New Roman"/>
                <w:szCs w:val="21"/>
              </w:rPr>
              <w:t>的铁浓度平行测定的精密度</w:t>
            </w:r>
          </w:p>
        </w:tc>
        <w:tc>
          <w:tcPr>
            <w:tcW w:w="750" w:type="dxa"/>
            <w:vMerge w:val="restart"/>
            <w:vAlign w:val="center"/>
          </w:tcPr>
          <w:p>
            <w:pPr>
              <w:jc w:val="center"/>
              <w:rPr>
                <w:rFonts w:ascii="Times New Roman" w:hAnsi="Times New Roman"/>
              </w:rPr>
            </w:pPr>
            <w:r>
              <w:rPr>
                <w:rFonts w:ascii="Times New Roman" w:hAnsi="Times New Roman"/>
              </w:rPr>
              <w:t>10</w:t>
            </w:r>
          </w:p>
        </w:tc>
        <w:tc>
          <w:tcPr>
            <w:tcW w:w="1597" w:type="dxa"/>
            <w:vAlign w:val="center"/>
          </w:tcPr>
          <w:p>
            <w:pPr>
              <w:rPr>
                <w:rFonts w:ascii="Times New Roman" w:hAnsi="Times New Roman"/>
              </w:rPr>
            </w:pPr>
            <w:r>
              <w:rPr>
                <w:rFonts w:ascii="Times New Roman" w:hAnsi="Times New Roman"/>
              </w:rPr>
              <w:t>相对极差≤0.10％</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扣0分</w:t>
            </w:r>
          </w:p>
        </w:tc>
        <w:tc>
          <w:tcPr>
            <w:tcW w:w="426" w:type="dxa"/>
            <w:vMerge w:val="restart"/>
            <w:vAlign w:val="center"/>
          </w:tcPr>
          <w:p>
            <w:pPr>
              <w:jc w:val="center"/>
              <w:rPr>
                <w:rFonts w:ascii="Times New Roman" w:hAnsi="Times New Roman"/>
              </w:rPr>
            </w:pPr>
          </w:p>
        </w:tc>
        <w:tc>
          <w:tcPr>
            <w:tcW w:w="543" w:type="dxa"/>
            <w:vMerge w:val="restart"/>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rPr>
                <w:rFonts w:ascii="Times New Roman" w:hAnsi="Times New Roman"/>
              </w:rPr>
            </w:pPr>
            <w:r>
              <w:rPr>
                <w:rFonts w:ascii="Times New Roman" w:hAnsi="Times New Roman"/>
              </w:rPr>
              <w:t>0.10％&lt;相对极差≤0.20％</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扣2分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rPr>
                <w:rFonts w:ascii="Times New Roman" w:hAnsi="Times New Roman"/>
              </w:rPr>
            </w:pPr>
            <w:r>
              <w:rPr>
                <w:rFonts w:ascii="Times New Roman" w:hAnsi="Times New Roman"/>
              </w:rPr>
              <w:t>0.20％&lt;相对极差≤0.30％</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扣4分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rPr>
                <w:rFonts w:ascii="Times New Roman" w:hAnsi="Times New Roman"/>
              </w:rPr>
            </w:pPr>
            <w:r>
              <w:rPr>
                <w:rFonts w:ascii="Times New Roman" w:hAnsi="Times New Roman"/>
              </w:rPr>
              <w:t>0.30％&lt;相对极差≤0.40％</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扣6分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rPr>
                <w:rFonts w:ascii="Times New Roman" w:hAnsi="Times New Roman"/>
              </w:rPr>
            </w:pPr>
            <w:r>
              <w:rPr>
                <w:rFonts w:ascii="Times New Roman" w:hAnsi="Times New Roman"/>
              </w:rPr>
              <w:t>0.40％&lt;相对极差≤0.50％</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扣8分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rPr>
                <w:rFonts w:ascii="Times New Roman" w:hAnsi="Times New Roman"/>
              </w:rPr>
            </w:pPr>
            <w:r>
              <w:rPr>
                <w:rFonts w:ascii="Times New Roman" w:hAnsi="Times New Roman"/>
              </w:rPr>
              <w:t>相对极差&gt;0.50％</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扣10分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restart"/>
            <w:vAlign w:val="center"/>
          </w:tcPr>
          <w:p>
            <w:pPr>
              <w:rPr>
                <w:rFonts w:ascii="Times New Roman" w:hAnsi="Times New Roman"/>
              </w:rPr>
            </w:pPr>
            <w:r>
              <w:rPr>
                <w:rFonts w:ascii="Times New Roman" w:hAnsi="Times New Roman"/>
                <w:szCs w:val="21"/>
              </w:rPr>
              <w:t>未知铁试样溶液</w:t>
            </w:r>
            <w:r>
              <w:rPr>
                <w:rFonts w:hint="eastAsia" w:ascii="Times New Roman" w:hAnsi="Times New Roman"/>
                <w:szCs w:val="21"/>
              </w:rPr>
              <w:t>（I）</w:t>
            </w:r>
            <w:r>
              <w:rPr>
                <w:rFonts w:ascii="Times New Roman" w:hAnsi="Times New Roman"/>
                <w:szCs w:val="21"/>
              </w:rPr>
              <w:t>测定的准确度</w:t>
            </w:r>
          </w:p>
        </w:tc>
        <w:tc>
          <w:tcPr>
            <w:tcW w:w="750" w:type="dxa"/>
            <w:vMerge w:val="restart"/>
            <w:vAlign w:val="center"/>
          </w:tcPr>
          <w:p>
            <w:pPr>
              <w:jc w:val="center"/>
              <w:rPr>
                <w:rFonts w:ascii="Times New Roman" w:hAnsi="Times New Roman"/>
              </w:rPr>
            </w:pPr>
            <w:r>
              <w:rPr>
                <w:rFonts w:ascii="Times New Roman" w:hAnsi="Times New Roman"/>
              </w:rPr>
              <w:t>15</w:t>
            </w:r>
          </w:p>
        </w:tc>
        <w:tc>
          <w:tcPr>
            <w:tcW w:w="1597" w:type="dxa"/>
            <w:vAlign w:val="center"/>
          </w:tcPr>
          <w:p>
            <w:pPr>
              <w:rPr>
                <w:rFonts w:ascii="Times New Roman" w:hAnsi="Times New Roman"/>
              </w:rPr>
            </w:pPr>
            <w:r>
              <w:rPr>
                <w:rFonts w:hint="eastAsia" w:ascii="宋体" w:hAnsi="宋体" w:cs="宋体"/>
              </w:rPr>
              <w:t>∣</w:t>
            </w:r>
            <w:r>
              <w:rPr>
                <w:rFonts w:ascii="Times New Roman" w:hAnsi="Times New Roman"/>
              </w:rPr>
              <w:t>相对误差</w:t>
            </w:r>
            <w:r>
              <w:rPr>
                <w:rFonts w:hint="eastAsia" w:ascii="宋体" w:hAnsi="宋体" w:cs="宋体"/>
              </w:rPr>
              <w:t>∣</w:t>
            </w:r>
            <w:r>
              <w:rPr>
                <w:rFonts w:ascii="Times New Roman" w:hAnsi="Times New Roman"/>
              </w:rPr>
              <w:t>≤0.10％</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扣0分</w:t>
            </w:r>
          </w:p>
        </w:tc>
        <w:tc>
          <w:tcPr>
            <w:tcW w:w="426" w:type="dxa"/>
            <w:vMerge w:val="restart"/>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rPr>
                <w:rFonts w:ascii="Times New Roman" w:hAnsi="Times New Roman"/>
              </w:rPr>
            </w:pPr>
            <w:r>
              <w:rPr>
                <w:rFonts w:ascii="Times New Roman" w:hAnsi="Times New Roman"/>
              </w:rPr>
              <w:t>0.10％&lt;</w:t>
            </w:r>
            <w:r>
              <w:rPr>
                <w:rFonts w:hint="eastAsia" w:ascii="宋体" w:hAnsi="宋体" w:cs="宋体"/>
              </w:rPr>
              <w:t>∣</w:t>
            </w:r>
            <w:r>
              <w:rPr>
                <w:rFonts w:ascii="Times New Roman" w:hAnsi="Times New Roman"/>
              </w:rPr>
              <w:t>相对误差</w:t>
            </w:r>
            <w:r>
              <w:rPr>
                <w:rFonts w:hint="eastAsia" w:ascii="宋体" w:hAnsi="宋体" w:cs="宋体"/>
              </w:rPr>
              <w:t>∣</w:t>
            </w:r>
            <w:r>
              <w:rPr>
                <w:rFonts w:ascii="Times New Roman" w:hAnsi="Times New Roman"/>
              </w:rPr>
              <w:t>≤0.20％</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扣3分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rPr>
                <w:rFonts w:ascii="Times New Roman" w:hAnsi="Times New Roman"/>
              </w:rPr>
            </w:pPr>
            <w:r>
              <w:rPr>
                <w:rFonts w:ascii="Times New Roman" w:hAnsi="Times New Roman"/>
              </w:rPr>
              <w:t>0.20％&lt;</w:t>
            </w:r>
            <w:r>
              <w:rPr>
                <w:rFonts w:hint="eastAsia" w:ascii="宋体" w:hAnsi="宋体" w:cs="宋体"/>
              </w:rPr>
              <w:t>∣</w:t>
            </w:r>
            <w:r>
              <w:rPr>
                <w:rFonts w:ascii="Times New Roman" w:hAnsi="Times New Roman"/>
              </w:rPr>
              <w:t>相对误差</w:t>
            </w:r>
            <w:r>
              <w:rPr>
                <w:rFonts w:hint="eastAsia" w:ascii="宋体" w:hAnsi="宋体" w:cs="宋体"/>
              </w:rPr>
              <w:t>∣</w:t>
            </w:r>
            <w:r>
              <w:rPr>
                <w:rFonts w:ascii="Times New Roman" w:hAnsi="Times New Roman"/>
              </w:rPr>
              <w:t>≤0.30％</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扣6分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rPr>
                <w:rFonts w:ascii="Times New Roman" w:hAnsi="Times New Roman"/>
              </w:rPr>
            </w:pPr>
            <w:r>
              <w:rPr>
                <w:rFonts w:ascii="Times New Roman" w:hAnsi="Times New Roman"/>
              </w:rPr>
              <w:t>0.30％&lt;</w:t>
            </w:r>
            <w:r>
              <w:rPr>
                <w:rFonts w:hint="eastAsia" w:ascii="宋体" w:hAnsi="宋体" w:cs="宋体"/>
              </w:rPr>
              <w:t>∣</w:t>
            </w:r>
            <w:r>
              <w:rPr>
                <w:rFonts w:ascii="Times New Roman" w:hAnsi="Times New Roman"/>
              </w:rPr>
              <w:t>相对误差</w:t>
            </w:r>
            <w:r>
              <w:rPr>
                <w:rFonts w:hint="eastAsia" w:ascii="宋体" w:hAnsi="宋体" w:cs="宋体"/>
              </w:rPr>
              <w:t>∣</w:t>
            </w:r>
            <w:r>
              <w:rPr>
                <w:rFonts w:ascii="Times New Roman" w:hAnsi="Times New Roman"/>
              </w:rPr>
              <w:t>≤0.40％</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扣9分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rPr>
                <w:rFonts w:ascii="Times New Roman" w:hAnsi="Times New Roman"/>
              </w:rPr>
            </w:pPr>
            <w:r>
              <w:rPr>
                <w:rFonts w:ascii="Times New Roman" w:hAnsi="Times New Roman"/>
              </w:rPr>
              <w:t>0.40％&lt;</w:t>
            </w:r>
            <w:r>
              <w:rPr>
                <w:rFonts w:hint="eastAsia" w:ascii="宋体" w:hAnsi="宋体" w:cs="宋体"/>
              </w:rPr>
              <w:t>∣</w:t>
            </w:r>
            <w:r>
              <w:rPr>
                <w:rFonts w:ascii="Times New Roman" w:hAnsi="Times New Roman"/>
              </w:rPr>
              <w:t>相对误差</w:t>
            </w:r>
            <w:r>
              <w:rPr>
                <w:rFonts w:hint="eastAsia" w:ascii="宋体" w:hAnsi="宋体" w:cs="宋体"/>
              </w:rPr>
              <w:t>∣</w:t>
            </w:r>
            <w:r>
              <w:rPr>
                <w:rFonts w:ascii="Times New Roman" w:hAnsi="Times New Roman"/>
              </w:rPr>
              <w:t>≤0.50％</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扣12分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tcBorders>
              <w:bottom w:val="single" w:color="auto" w:sz="4" w:space="0"/>
            </w:tcBorders>
            <w:vAlign w:val="center"/>
          </w:tcPr>
          <w:p>
            <w:pPr>
              <w:jc w:val="center"/>
              <w:rPr>
                <w:rFonts w:ascii="Times New Roman" w:hAnsi="Times New Roman"/>
              </w:rPr>
            </w:pPr>
          </w:p>
        </w:tc>
        <w:tc>
          <w:tcPr>
            <w:tcW w:w="781" w:type="dxa"/>
            <w:vMerge w:val="continue"/>
            <w:tcBorders>
              <w:bottom w:val="single" w:color="auto" w:sz="4" w:space="0"/>
            </w:tcBorders>
            <w:vAlign w:val="center"/>
          </w:tcPr>
          <w:p>
            <w:pPr>
              <w:jc w:val="center"/>
              <w:rPr>
                <w:rFonts w:ascii="Times New Roman" w:hAnsi="Times New Roman"/>
              </w:rPr>
            </w:pPr>
          </w:p>
        </w:tc>
        <w:tc>
          <w:tcPr>
            <w:tcW w:w="967" w:type="dxa"/>
            <w:vMerge w:val="continue"/>
            <w:tcBorders>
              <w:bottom w:val="single" w:color="auto" w:sz="4" w:space="0"/>
            </w:tcBorders>
            <w:vAlign w:val="center"/>
          </w:tcPr>
          <w:p>
            <w:pPr>
              <w:jc w:val="center"/>
              <w:rPr>
                <w:rFonts w:ascii="Times New Roman" w:hAnsi="Times New Roman"/>
              </w:rPr>
            </w:pPr>
          </w:p>
        </w:tc>
        <w:tc>
          <w:tcPr>
            <w:tcW w:w="750" w:type="dxa"/>
            <w:vMerge w:val="continue"/>
            <w:tcBorders>
              <w:bottom w:val="single" w:color="auto" w:sz="4" w:space="0"/>
            </w:tcBorders>
            <w:vAlign w:val="center"/>
          </w:tcPr>
          <w:p>
            <w:pPr>
              <w:jc w:val="center"/>
              <w:rPr>
                <w:rFonts w:ascii="Times New Roman" w:hAnsi="Times New Roman"/>
              </w:rPr>
            </w:pPr>
          </w:p>
        </w:tc>
        <w:tc>
          <w:tcPr>
            <w:tcW w:w="1597" w:type="dxa"/>
            <w:tcBorders>
              <w:bottom w:val="single" w:color="auto" w:sz="4" w:space="0"/>
            </w:tcBorders>
            <w:vAlign w:val="center"/>
          </w:tcPr>
          <w:p>
            <w:pPr>
              <w:rPr>
                <w:rFonts w:ascii="Times New Roman" w:hAnsi="Times New Roman"/>
              </w:rPr>
            </w:pPr>
            <w:r>
              <w:rPr>
                <w:rFonts w:hint="eastAsia" w:ascii="宋体" w:hAnsi="宋体" w:cs="宋体"/>
              </w:rPr>
              <w:t>∣</w:t>
            </w:r>
            <w:r>
              <w:rPr>
                <w:rFonts w:ascii="Times New Roman" w:hAnsi="Times New Roman"/>
              </w:rPr>
              <w:t>相对误差</w:t>
            </w:r>
            <w:r>
              <w:rPr>
                <w:rFonts w:hint="eastAsia" w:ascii="宋体" w:hAnsi="宋体" w:cs="宋体"/>
              </w:rPr>
              <w:t>∣</w:t>
            </w:r>
            <w:r>
              <w:rPr>
                <w:rFonts w:ascii="Times New Roman" w:hAnsi="Times New Roman"/>
              </w:rPr>
              <w:t>&gt;0.50％</w:t>
            </w:r>
          </w:p>
        </w:tc>
        <w:tc>
          <w:tcPr>
            <w:tcW w:w="687" w:type="dxa"/>
            <w:tcBorders>
              <w:bottom w:val="single" w:color="auto" w:sz="4" w:space="0"/>
            </w:tcBorders>
            <w:vAlign w:val="center"/>
          </w:tcPr>
          <w:p>
            <w:pPr>
              <w:rPr>
                <w:rFonts w:ascii="Times New Roman" w:hAnsi="Times New Roman"/>
              </w:rPr>
            </w:pPr>
          </w:p>
        </w:tc>
        <w:tc>
          <w:tcPr>
            <w:tcW w:w="1975" w:type="dxa"/>
            <w:tcBorders>
              <w:bottom w:val="single" w:color="auto" w:sz="4" w:space="0"/>
            </w:tcBorders>
            <w:vAlign w:val="center"/>
          </w:tcPr>
          <w:p>
            <w:pPr>
              <w:rPr>
                <w:rFonts w:ascii="Times New Roman" w:hAnsi="Times New Roman"/>
              </w:rPr>
            </w:pPr>
            <w:r>
              <w:rPr>
                <w:rFonts w:ascii="Times New Roman" w:hAnsi="Times New Roman"/>
              </w:rPr>
              <w:t>扣15分</w:t>
            </w:r>
          </w:p>
        </w:tc>
        <w:tc>
          <w:tcPr>
            <w:tcW w:w="426" w:type="dxa"/>
            <w:vMerge w:val="continue"/>
            <w:tcBorders>
              <w:bottom w:val="single" w:color="auto" w:sz="4" w:space="0"/>
            </w:tcBorders>
            <w:vAlign w:val="center"/>
          </w:tcPr>
          <w:p>
            <w:pPr>
              <w:jc w:val="center"/>
              <w:rPr>
                <w:rFonts w:ascii="Times New Roman" w:hAnsi="Times New Roman"/>
              </w:rPr>
            </w:pPr>
          </w:p>
        </w:tc>
        <w:tc>
          <w:tcPr>
            <w:tcW w:w="543" w:type="dxa"/>
            <w:vMerge w:val="continue"/>
            <w:tcBorders>
              <w:bottom w:val="single" w:color="auto" w:sz="4"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restart"/>
            <w:vAlign w:val="center"/>
          </w:tcPr>
          <w:p>
            <w:pPr>
              <w:jc w:val="center"/>
              <w:rPr>
                <w:rFonts w:ascii="Times New Roman" w:hAnsi="Times New Roman"/>
              </w:rPr>
            </w:pPr>
            <w:r>
              <w:rPr>
                <w:rFonts w:ascii="Times New Roman" w:hAnsi="Times New Roman"/>
              </w:rPr>
              <w:t>十一</w:t>
            </w:r>
          </w:p>
        </w:tc>
        <w:tc>
          <w:tcPr>
            <w:tcW w:w="781" w:type="dxa"/>
            <w:vMerge w:val="restart"/>
            <w:vAlign w:val="center"/>
          </w:tcPr>
          <w:p>
            <w:pPr>
              <w:jc w:val="center"/>
              <w:rPr>
                <w:rFonts w:ascii="Times New Roman" w:hAnsi="Times New Roman"/>
              </w:rPr>
            </w:pPr>
            <w:r>
              <w:rPr>
                <w:rFonts w:ascii="Times New Roman" w:hAnsi="Times New Roman"/>
              </w:rPr>
              <w:t>仪器分析</w:t>
            </w:r>
          </w:p>
        </w:tc>
        <w:tc>
          <w:tcPr>
            <w:tcW w:w="967" w:type="dxa"/>
            <w:tcBorders>
              <w:bottom w:val="single" w:color="auto" w:sz="4" w:space="0"/>
            </w:tcBorders>
          </w:tcPr>
          <w:p>
            <w:pPr>
              <w:rPr>
                <w:rFonts w:ascii="Times New Roman" w:hAnsi="Times New Roman"/>
                <w:szCs w:val="21"/>
              </w:rPr>
            </w:pPr>
            <w:r>
              <w:rPr>
                <w:rFonts w:ascii="Times New Roman" w:hAnsi="Times New Roman"/>
                <w:szCs w:val="21"/>
              </w:rPr>
              <w:t xml:space="preserve">未知样吸光度A在工作曲线的位置   </w:t>
            </w:r>
          </w:p>
        </w:tc>
        <w:tc>
          <w:tcPr>
            <w:tcW w:w="750" w:type="dxa"/>
            <w:tcBorders>
              <w:bottom w:val="single" w:color="auto" w:sz="4" w:space="0"/>
            </w:tcBorders>
            <w:vAlign w:val="center"/>
          </w:tcPr>
          <w:p>
            <w:pPr>
              <w:jc w:val="center"/>
              <w:rPr>
                <w:rFonts w:ascii="Times New Roman" w:hAnsi="Times New Roman"/>
                <w:szCs w:val="21"/>
              </w:rPr>
            </w:pPr>
            <w:r>
              <w:rPr>
                <w:rFonts w:ascii="Times New Roman" w:hAnsi="Times New Roman"/>
                <w:color w:val="000000"/>
                <w:szCs w:val="21"/>
              </w:rPr>
              <w:t>3</w:t>
            </w:r>
          </w:p>
        </w:tc>
        <w:tc>
          <w:tcPr>
            <w:tcW w:w="1597" w:type="dxa"/>
            <w:tcBorders>
              <w:bottom w:val="single" w:color="auto" w:sz="4" w:space="0"/>
            </w:tcBorders>
            <w:vAlign w:val="center"/>
          </w:tcPr>
          <w:p>
            <w:pPr>
              <w:rPr>
                <w:rFonts w:ascii="Times New Roman" w:hAnsi="Times New Roman"/>
                <w:szCs w:val="21"/>
              </w:rPr>
            </w:pPr>
            <w:r>
              <w:rPr>
                <w:rFonts w:ascii="Times New Roman" w:hAnsi="Times New Roman"/>
                <w:szCs w:val="21"/>
              </w:rPr>
              <w:t>在工作曲线的延长线上，</w:t>
            </w:r>
          </w:p>
          <w:p>
            <w:pPr>
              <w:rPr>
                <w:rFonts w:ascii="Times New Roman" w:hAnsi="Times New Roman"/>
                <w:szCs w:val="21"/>
              </w:rPr>
            </w:pPr>
            <w:r>
              <w:rPr>
                <w:rFonts w:ascii="Times New Roman" w:hAnsi="Times New Roman"/>
                <w:szCs w:val="21"/>
              </w:rPr>
              <w:t>扣全分值</w:t>
            </w:r>
          </w:p>
        </w:tc>
        <w:tc>
          <w:tcPr>
            <w:tcW w:w="687" w:type="dxa"/>
            <w:tcBorders>
              <w:bottom w:val="single" w:color="auto" w:sz="4" w:space="0"/>
            </w:tcBorders>
            <w:vAlign w:val="center"/>
          </w:tcPr>
          <w:p>
            <w:pPr>
              <w:rPr>
                <w:rFonts w:ascii="Times New Roman" w:hAnsi="Times New Roman"/>
              </w:rPr>
            </w:pPr>
          </w:p>
        </w:tc>
        <w:tc>
          <w:tcPr>
            <w:tcW w:w="1975" w:type="dxa"/>
            <w:tcBorders>
              <w:bottom w:val="single" w:color="auto" w:sz="4" w:space="0"/>
            </w:tcBorders>
            <w:vAlign w:val="center"/>
          </w:tcPr>
          <w:p>
            <w:pPr>
              <w:rPr>
                <w:rFonts w:ascii="Times New Roman" w:hAnsi="Times New Roman"/>
              </w:rPr>
            </w:pPr>
          </w:p>
        </w:tc>
        <w:tc>
          <w:tcPr>
            <w:tcW w:w="426" w:type="dxa"/>
            <w:tcBorders>
              <w:bottom w:val="single" w:color="auto" w:sz="4" w:space="0"/>
            </w:tcBorders>
            <w:vAlign w:val="center"/>
          </w:tcPr>
          <w:p>
            <w:pPr>
              <w:jc w:val="center"/>
              <w:rPr>
                <w:rFonts w:ascii="Times New Roman" w:hAnsi="Times New Roman"/>
              </w:rPr>
            </w:pPr>
          </w:p>
        </w:tc>
        <w:tc>
          <w:tcPr>
            <w:tcW w:w="543" w:type="dxa"/>
            <w:tcBorders>
              <w:bottom w:val="single" w:color="auto" w:sz="4"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restart"/>
            <w:vAlign w:val="center"/>
          </w:tcPr>
          <w:p>
            <w:pPr>
              <w:rPr>
                <w:rFonts w:ascii="Times New Roman" w:hAnsi="Times New Roman"/>
                <w:szCs w:val="21"/>
              </w:rPr>
            </w:pPr>
            <w:r>
              <w:rPr>
                <w:rFonts w:ascii="Times New Roman" w:hAnsi="Times New Roman"/>
                <w:szCs w:val="21"/>
              </w:rPr>
              <w:t>未知铁试样溶液</w:t>
            </w:r>
            <w:r>
              <w:rPr>
                <w:rFonts w:hint="eastAsia" w:ascii="Times New Roman" w:hAnsi="Times New Roman"/>
                <w:szCs w:val="21"/>
              </w:rPr>
              <w:t>（II）</w:t>
            </w:r>
            <w:r>
              <w:rPr>
                <w:rFonts w:ascii="Times New Roman" w:hAnsi="Times New Roman"/>
                <w:szCs w:val="21"/>
              </w:rPr>
              <w:t>中铁含量测定的精密度</w:t>
            </w:r>
          </w:p>
        </w:tc>
        <w:tc>
          <w:tcPr>
            <w:tcW w:w="750" w:type="dxa"/>
            <w:vMerge w:val="restart"/>
            <w:vAlign w:val="center"/>
          </w:tcPr>
          <w:p>
            <w:pPr>
              <w:jc w:val="center"/>
              <w:rPr>
                <w:rFonts w:ascii="Times New Roman" w:hAnsi="Times New Roman"/>
              </w:rPr>
            </w:pPr>
            <w:r>
              <w:rPr>
                <w:rFonts w:ascii="Times New Roman" w:hAnsi="Times New Roman"/>
              </w:rPr>
              <w:t>5</w:t>
            </w:r>
          </w:p>
        </w:tc>
        <w:tc>
          <w:tcPr>
            <w:tcW w:w="1597" w:type="dxa"/>
            <w:tcBorders>
              <w:bottom w:val="single" w:color="auto" w:sz="4" w:space="0"/>
            </w:tcBorders>
          </w:tcPr>
          <w:p>
            <w:pPr>
              <w:rPr>
                <w:rFonts w:ascii="Times New Roman" w:hAnsi="Times New Roman"/>
                <w:kern w:val="0"/>
                <w:szCs w:val="21"/>
              </w:rPr>
            </w:pPr>
            <w:r>
              <w:rPr>
                <w:rFonts w:ascii="Times New Roman" w:hAnsi="Times New Roman"/>
                <w:kern w:val="0"/>
                <w:szCs w:val="21"/>
              </w:rPr>
              <w:t>未知液吸光度值的极差=0.001</w:t>
            </w:r>
          </w:p>
        </w:tc>
        <w:tc>
          <w:tcPr>
            <w:tcW w:w="687" w:type="dxa"/>
            <w:tcBorders>
              <w:bottom w:val="single" w:color="auto" w:sz="4" w:space="0"/>
            </w:tcBorders>
            <w:vAlign w:val="center"/>
          </w:tcPr>
          <w:p>
            <w:pPr>
              <w:rPr>
                <w:rFonts w:ascii="Times New Roman" w:hAnsi="Times New Roman"/>
              </w:rPr>
            </w:pPr>
          </w:p>
        </w:tc>
        <w:tc>
          <w:tcPr>
            <w:tcW w:w="1975" w:type="dxa"/>
            <w:tcBorders>
              <w:bottom w:val="single" w:color="auto" w:sz="4" w:space="0"/>
            </w:tcBorders>
            <w:vAlign w:val="center"/>
          </w:tcPr>
          <w:p>
            <w:pPr>
              <w:rPr>
                <w:rFonts w:ascii="Times New Roman" w:hAnsi="Times New Roman"/>
              </w:rPr>
            </w:pPr>
            <w:r>
              <w:rPr>
                <w:rFonts w:ascii="Times New Roman" w:hAnsi="Times New Roman"/>
              </w:rPr>
              <w:t>扣0分</w:t>
            </w:r>
          </w:p>
        </w:tc>
        <w:tc>
          <w:tcPr>
            <w:tcW w:w="426" w:type="dxa"/>
            <w:vMerge w:val="restart"/>
            <w:vAlign w:val="center"/>
          </w:tcPr>
          <w:p>
            <w:pPr>
              <w:jc w:val="center"/>
              <w:rPr>
                <w:rFonts w:ascii="Times New Roman" w:hAnsi="Times New Roman"/>
              </w:rPr>
            </w:pPr>
          </w:p>
        </w:tc>
        <w:tc>
          <w:tcPr>
            <w:tcW w:w="543" w:type="dxa"/>
            <w:vMerge w:val="restart"/>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tcBorders>
              <w:bottom w:val="single" w:color="auto" w:sz="4" w:space="0"/>
            </w:tcBorders>
            <w:vAlign w:val="center"/>
          </w:tcPr>
          <w:p>
            <w:pPr>
              <w:widowControl/>
              <w:jc w:val="left"/>
              <w:rPr>
                <w:rFonts w:ascii="Times New Roman" w:hAnsi="Times New Roman"/>
                <w:kern w:val="0"/>
                <w:szCs w:val="21"/>
              </w:rPr>
            </w:pPr>
            <w:r>
              <w:rPr>
                <w:rFonts w:ascii="Times New Roman" w:hAnsi="Times New Roman"/>
                <w:kern w:val="0"/>
                <w:szCs w:val="21"/>
              </w:rPr>
              <w:t>未知液吸光度值的极差=0.002</w:t>
            </w:r>
          </w:p>
        </w:tc>
        <w:tc>
          <w:tcPr>
            <w:tcW w:w="687" w:type="dxa"/>
            <w:tcBorders>
              <w:bottom w:val="single" w:color="auto" w:sz="4" w:space="0"/>
            </w:tcBorders>
            <w:vAlign w:val="center"/>
          </w:tcPr>
          <w:p>
            <w:pPr>
              <w:rPr>
                <w:rFonts w:ascii="Times New Roman" w:hAnsi="Times New Roman"/>
              </w:rPr>
            </w:pPr>
          </w:p>
        </w:tc>
        <w:tc>
          <w:tcPr>
            <w:tcW w:w="1975" w:type="dxa"/>
            <w:tcBorders>
              <w:bottom w:val="single" w:color="auto" w:sz="4" w:space="0"/>
            </w:tcBorders>
            <w:vAlign w:val="center"/>
          </w:tcPr>
          <w:p>
            <w:pPr>
              <w:rPr>
                <w:rFonts w:ascii="Times New Roman" w:hAnsi="Times New Roman"/>
              </w:rPr>
            </w:pPr>
            <w:r>
              <w:rPr>
                <w:rFonts w:ascii="Times New Roman" w:hAnsi="Times New Roman"/>
              </w:rPr>
              <w:t>扣1分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tcBorders>
              <w:bottom w:val="single" w:color="auto" w:sz="4" w:space="0"/>
            </w:tcBorders>
            <w:vAlign w:val="center"/>
          </w:tcPr>
          <w:p>
            <w:pPr>
              <w:widowControl/>
              <w:jc w:val="left"/>
              <w:rPr>
                <w:rFonts w:ascii="Times New Roman" w:hAnsi="Times New Roman"/>
                <w:kern w:val="0"/>
                <w:szCs w:val="21"/>
              </w:rPr>
            </w:pPr>
            <w:r>
              <w:rPr>
                <w:rFonts w:ascii="Times New Roman" w:hAnsi="Times New Roman"/>
                <w:kern w:val="0"/>
                <w:szCs w:val="21"/>
              </w:rPr>
              <w:t>未知液吸光度值的极差=0.003</w:t>
            </w:r>
          </w:p>
        </w:tc>
        <w:tc>
          <w:tcPr>
            <w:tcW w:w="687" w:type="dxa"/>
            <w:tcBorders>
              <w:bottom w:val="single" w:color="auto" w:sz="4" w:space="0"/>
            </w:tcBorders>
            <w:vAlign w:val="center"/>
          </w:tcPr>
          <w:p>
            <w:pPr>
              <w:rPr>
                <w:rFonts w:ascii="Times New Roman" w:hAnsi="Times New Roman"/>
              </w:rPr>
            </w:pPr>
          </w:p>
        </w:tc>
        <w:tc>
          <w:tcPr>
            <w:tcW w:w="1975" w:type="dxa"/>
            <w:tcBorders>
              <w:bottom w:val="single" w:color="auto" w:sz="4" w:space="0"/>
            </w:tcBorders>
            <w:vAlign w:val="center"/>
          </w:tcPr>
          <w:p>
            <w:pPr>
              <w:rPr>
                <w:rFonts w:ascii="Times New Roman" w:hAnsi="Times New Roman"/>
              </w:rPr>
            </w:pPr>
            <w:r>
              <w:rPr>
                <w:rFonts w:ascii="Times New Roman" w:hAnsi="Times New Roman"/>
              </w:rPr>
              <w:t>扣2分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tcBorders>
              <w:bottom w:val="single" w:color="auto" w:sz="4" w:space="0"/>
            </w:tcBorders>
          </w:tcPr>
          <w:p>
            <w:pPr>
              <w:rPr>
                <w:rFonts w:ascii="Times New Roman" w:hAnsi="Times New Roman"/>
                <w:kern w:val="0"/>
                <w:szCs w:val="21"/>
              </w:rPr>
            </w:pPr>
            <w:r>
              <w:rPr>
                <w:rFonts w:ascii="Times New Roman" w:hAnsi="Times New Roman"/>
                <w:kern w:val="0"/>
                <w:szCs w:val="21"/>
              </w:rPr>
              <w:t>未知液吸光度值的极差=0.004</w:t>
            </w:r>
          </w:p>
        </w:tc>
        <w:tc>
          <w:tcPr>
            <w:tcW w:w="687" w:type="dxa"/>
            <w:tcBorders>
              <w:bottom w:val="single" w:color="auto" w:sz="4" w:space="0"/>
            </w:tcBorders>
            <w:vAlign w:val="center"/>
          </w:tcPr>
          <w:p>
            <w:pPr>
              <w:rPr>
                <w:rFonts w:ascii="Times New Roman" w:hAnsi="Times New Roman"/>
              </w:rPr>
            </w:pPr>
          </w:p>
        </w:tc>
        <w:tc>
          <w:tcPr>
            <w:tcW w:w="1975" w:type="dxa"/>
            <w:tcBorders>
              <w:bottom w:val="single" w:color="auto" w:sz="4" w:space="0"/>
            </w:tcBorders>
            <w:vAlign w:val="center"/>
          </w:tcPr>
          <w:p>
            <w:pPr>
              <w:rPr>
                <w:rFonts w:ascii="Times New Roman" w:hAnsi="Times New Roman"/>
              </w:rPr>
            </w:pPr>
            <w:r>
              <w:rPr>
                <w:rFonts w:ascii="Times New Roman" w:hAnsi="Times New Roman"/>
              </w:rPr>
              <w:t>扣3分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tcBorders>
              <w:bottom w:val="single" w:color="auto" w:sz="4" w:space="0"/>
            </w:tcBorders>
          </w:tcPr>
          <w:p>
            <w:pPr>
              <w:rPr>
                <w:rFonts w:ascii="Times New Roman" w:hAnsi="Times New Roman"/>
                <w:kern w:val="0"/>
                <w:szCs w:val="21"/>
              </w:rPr>
            </w:pPr>
            <w:r>
              <w:rPr>
                <w:rFonts w:ascii="Times New Roman" w:hAnsi="Times New Roman"/>
                <w:kern w:val="0"/>
                <w:szCs w:val="21"/>
              </w:rPr>
              <w:t>未知液吸光度值的极差=0.005</w:t>
            </w:r>
          </w:p>
        </w:tc>
        <w:tc>
          <w:tcPr>
            <w:tcW w:w="687" w:type="dxa"/>
            <w:tcBorders>
              <w:bottom w:val="single" w:color="auto" w:sz="4" w:space="0"/>
            </w:tcBorders>
            <w:vAlign w:val="center"/>
          </w:tcPr>
          <w:p>
            <w:pPr>
              <w:rPr>
                <w:rFonts w:ascii="Times New Roman" w:hAnsi="Times New Roman"/>
              </w:rPr>
            </w:pPr>
          </w:p>
        </w:tc>
        <w:tc>
          <w:tcPr>
            <w:tcW w:w="1975" w:type="dxa"/>
            <w:tcBorders>
              <w:bottom w:val="single" w:color="auto" w:sz="4" w:space="0"/>
            </w:tcBorders>
            <w:vAlign w:val="center"/>
          </w:tcPr>
          <w:p>
            <w:pPr>
              <w:rPr>
                <w:rFonts w:ascii="Times New Roman" w:hAnsi="Times New Roman"/>
              </w:rPr>
            </w:pPr>
            <w:r>
              <w:rPr>
                <w:rFonts w:ascii="Times New Roman" w:hAnsi="Times New Roman"/>
              </w:rPr>
              <w:t>扣4分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tcBorders>
              <w:bottom w:val="single" w:color="auto" w:sz="4" w:space="0"/>
            </w:tcBorders>
            <w:vAlign w:val="center"/>
          </w:tcPr>
          <w:p>
            <w:pPr>
              <w:jc w:val="center"/>
              <w:rPr>
                <w:rFonts w:ascii="Times New Roman" w:hAnsi="Times New Roman"/>
              </w:rPr>
            </w:pPr>
          </w:p>
        </w:tc>
        <w:tc>
          <w:tcPr>
            <w:tcW w:w="750" w:type="dxa"/>
            <w:vMerge w:val="continue"/>
            <w:tcBorders>
              <w:bottom w:val="single" w:color="auto" w:sz="4" w:space="0"/>
            </w:tcBorders>
            <w:vAlign w:val="center"/>
          </w:tcPr>
          <w:p>
            <w:pPr>
              <w:jc w:val="center"/>
              <w:rPr>
                <w:rFonts w:ascii="Times New Roman" w:hAnsi="Times New Roman"/>
              </w:rPr>
            </w:pPr>
          </w:p>
        </w:tc>
        <w:tc>
          <w:tcPr>
            <w:tcW w:w="1597" w:type="dxa"/>
            <w:tcBorders>
              <w:bottom w:val="single" w:color="auto" w:sz="4" w:space="0"/>
            </w:tcBorders>
          </w:tcPr>
          <w:p>
            <w:pPr>
              <w:rPr>
                <w:rFonts w:ascii="Times New Roman" w:hAnsi="Times New Roman"/>
                <w:kern w:val="0"/>
                <w:szCs w:val="21"/>
              </w:rPr>
            </w:pPr>
            <w:r>
              <w:rPr>
                <w:rFonts w:ascii="Times New Roman" w:hAnsi="Times New Roman"/>
                <w:kern w:val="0"/>
                <w:szCs w:val="21"/>
              </w:rPr>
              <w:t>未知液吸光度值的极差&gt;0.005</w:t>
            </w:r>
          </w:p>
        </w:tc>
        <w:tc>
          <w:tcPr>
            <w:tcW w:w="687" w:type="dxa"/>
            <w:tcBorders>
              <w:bottom w:val="single" w:color="auto" w:sz="4" w:space="0"/>
            </w:tcBorders>
            <w:vAlign w:val="center"/>
          </w:tcPr>
          <w:p>
            <w:pPr>
              <w:rPr>
                <w:rFonts w:ascii="Times New Roman" w:hAnsi="Times New Roman"/>
              </w:rPr>
            </w:pPr>
          </w:p>
        </w:tc>
        <w:tc>
          <w:tcPr>
            <w:tcW w:w="1975" w:type="dxa"/>
            <w:tcBorders>
              <w:bottom w:val="single" w:color="auto" w:sz="4" w:space="0"/>
            </w:tcBorders>
            <w:vAlign w:val="center"/>
          </w:tcPr>
          <w:p>
            <w:pPr>
              <w:rPr>
                <w:rFonts w:ascii="Times New Roman" w:hAnsi="Times New Roman"/>
              </w:rPr>
            </w:pPr>
            <w:r>
              <w:rPr>
                <w:rFonts w:ascii="Times New Roman" w:hAnsi="Times New Roman"/>
              </w:rPr>
              <w:t>扣5分</w:t>
            </w:r>
          </w:p>
        </w:tc>
        <w:tc>
          <w:tcPr>
            <w:tcW w:w="426" w:type="dxa"/>
            <w:vMerge w:val="continue"/>
            <w:tcBorders>
              <w:bottom w:val="single" w:color="auto" w:sz="4" w:space="0"/>
            </w:tcBorders>
            <w:vAlign w:val="center"/>
          </w:tcPr>
          <w:p>
            <w:pPr>
              <w:jc w:val="center"/>
              <w:rPr>
                <w:rFonts w:ascii="Times New Roman" w:hAnsi="Times New Roman"/>
              </w:rPr>
            </w:pPr>
          </w:p>
        </w:tc>
        <w:tc>
          <w:tcPr>
            <w:tcW w:w="543" w:type="dxa"/>
            <w:vMerge w:val="continue"/>
            <w:tcBorders>
              <w:bottom w:val="single" w:color="auto" w:sz="4"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restart"/>
            <w:vAlign w:val="center"/>
          </w:tcPr>
          <w:p>
            <w:pPr>
              <w:rPr>
                <w:rFonts w:ascii="Times New Roman" w:hAnsi="Times New Roman"/>
                <w:szCs w:val="21"/>
              </w:rPr>
            </w:pPr>
            <w:r>
              <w:rPr>
                <w:rFonts w:ascii="Times New Roman" w:hAnsi="Times New Roman"/>
                <w:szCs w:val="21"/>
              </w:rPr>
              <w:t>工作曲线线性</w:t>
            </w:r>
          </w:p>
        </w:tc>
        <w:tc>
          <w:tcPr>
            <w:tcW w:w="750" w:type="dxa"/>
            <w:vMerge w:val="restart"/>
            <w:vAlign w:val="center"/>
          </w:tcPr>
          <w:p>
            <w:pPr>
              <w:jc w:val="center"/>
              <w:rPr>
                <w:rFonts w:ascii="Times New Roman" w:hAnsi="Times New Roman"/>
              </w:rPr>
            </w:pPr>
            <w:r>
              <w:rPr>
                <w:rFonts w:ascii="Times New Roman" w:hAnsi="Times New Roman"/>
              </w:rPr>
              <w:t>20</w:t>
            </w:r>
          </w:p>
        </w:tc>
        <w:tc>
          <w:tcPr>
            <w:tcW w:w="1597" w:type="dxa"/>
            <w:vAlign w:val="center"/>
          </w:tcPr>
          <w:p>
            <w:pPr>
              <w:widowControl/>
              <w:jc w:val="center"/>
              <w:rPr>
                <w:rFonts w:ascii="Times New Roman" w:hAnsi="Times New Roman"/>
                <w:kern w:val="0"/>
                <w:szCs w:val="21"/>
              </w:rPr>
            </w:pPr>
            <w:r>
              <w:rPr>
                <w:rFonts w:ascii="Times New Roman" w:hAnsi="Times New Roman"/>
                <w:kern w:val="0"/>
                <w:szCs w:val="21"/>
              </w:rPr>
              <w:t>r≥0.999995</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扣0分</w:t>
            </w:r>
          </w:p>
        </w:tc>
        <w:tc>
          <w:tcPr>
            <w:tcW w:w="426" w:type="dxa"/>
            <w:vMerge w:val="restart"/>
            <w:vAlign w:val="center"/>
          </w:tcPr>
          <w:p>
            <w:pPr>
              <w:jc w:val="center"/>
              <w:rPr>
                <w:rFonts w:ascii="Times New Roman" w:hAnsi="Times New Roman"/>
              </w:rPr>
            </w:pPr>
          </w:p>
        </w:tc>
        <w:tc>
          <w:tcPr>
            <w:tcW w:w="543" w:type="dxa"/>
            <w:vMerge w:val="restart"/>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widowControl/>
              <w:jc w:val="center"/>
              <w:rPr>
                <w:rFonts w:ascii="Times New Roman" w:hAnsi="Times New Roman"/>
                <w:kern w:val="0"/>
                <w:szCs w:val="21"/>
              </w:rPr>
            </w:pPr>
            <w:r>
              <w:rPr>
                <w:rFonts w:ascii="Times New Roman" w:hAnsi="Times New Roman"/>
                <w:kern w:val="0"/>
                <w:szCs w:val="21"/>
              </w:rPr>
              <w:t>0.999995＞r≥0.99999</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扣4分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widowControl/>
              <w:jc w:val="center"/>
              <w:rPr>
                <w:rFonts w:ascii="Times New Roman" w:hAnsi="Times New Roman"/>
                <w:kern w:val="0"/>
                <w:szCs w:val="21"/>
              </w:rPr>
            </w:pPr>
            <w:r>
              <w:rPr>
                <w:rFonts w:ascii="Times New Roman" w:hAnsi="Times New Roman"/>
                <w:kern w:val="0"/>
                <w:szCs w:val="21"/>
              </w:rPr>
              <w:t>0.99999＞r≥0.99995</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扣8分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widowControl/>
              <w:jc w:val="center"/>
              <w:rPr>
                <w:rFonts w:ascii="Times New Roman" w:hAnsi="Times New Roman"/>
                <w:kern w:val="0"/>
                <w:szCs w:val="21"/>
              </w:rPr>
            </w:pPr>
            <w:r>
              <w:rPr>
                <w:rFonts w:ascii="Times New Roman" w:hAnsi="Times New Roman"/>
                <w:kern w:val="0"/>
                <w:szCs w:val="21"/>
              </w:rPr>
              <w:t>0.99995＞r≥0.9999</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扣12分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widowControl/>
              <w:jc w:val="center"/>
              <w:rPr>
                <w:rFonts w:ascii="Times New Roman" w:hAnsi="Times New Roman"/>
                <w:kern w:val="0"/>
                <w:szCs w:val="21"/>
              </w:rPr>
            </w:pPr>
            <w:r>
              <w:rPr>
                <w:rFonts w:ascii="Times New Roman" w:hAnsi="Times New Roman"/>
                <w:kern w:val="0"/>
                <w:szCs w:val="21"/>
              </w:rPr>
              <w:t>0.9999＞r≥0.9995</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扣16分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widowControl/>
              <w:jc w:val="center"/>
              <w:rPr>
                <w:rFonts w:ascii="Times New Roman" w:hAnsi="Times New Roman"/>
                <w:kern w:val="0"/>
                <w:szCs w:val="21"/>
              </w:rPr>
            </w:pPr>
            <w:r>
              <w:rPr>
                <w:rFonts w:ascii="Times New Roman" w:hAnsi="Times New Roman"/>
                <w:kern w:val="0"/>
                <w:szCs w:val="21"/>
              </w:rPr>
              <w:t>r＜0.9995</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扣20分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restart"/>
            <w:vAlign w:val="center"/>
          </w:tcPr>
          <w:p>
            <w:pPr>
              <w:rPr>
                <w:rFonts w:ascii="Times New Roman" w:hAnsi="Times New Roman"/>
                <w:szCs w:val="21"/>
              </w:rPr>
            </w:pPr>
            <w:r>
              <w:rPr>
                <w:rFonts w:ascii="Times New Roman" w:hAnsi="Times New Roman"/>
                <w:szCs w:val="21"/>
              </w:rPr>
              <w:t>未知铁试样溶液</w:t>
            </w:r>
            <w:r>
              <w:rPr>
                <w:rFonts w:hint="eastAsia" w:ascii="Times New Roman" w:hAnsi="Times New Roman"/>
                <w:szCs w:val="21"/>
              </w:rPr>
              <w:t>（II）</w:t>
            </w:r>
            <w:r>
              <w:rPr>
                <w:rFonts w:ascii="Times New Roman" w:hAnsi="Times New Roman"/>
                <w:szCs w:val="21"/>
              </w:rPr>
              <w:t>中铁含量测定的准确度</w:t>
            </w:r>
          </w:p>
        </w:tc>
        <w:tc>
          <w:tcPr>
            <w:tcW w:w="750" w:type="dxa"/>
            <w:vMerge w:val="restart"/>
            <w:vAlign w:val="center"/>
          </w:tcPr>
          <w:p>
            <w:pPr>
              <w:jc w:val="center"/>
              <w:rPr>
                <w:rFonts w:ascii="Times New Roman" w:hAnsi="Times New Roman"/>
              </w:rPr>
            </w:pPr>
            <w:r>
              <w:rPr>
                <w:rFonts w:hint="eastAsia" w:ascii="Times New Roman" w:hAnsi="Times New Roman"/>
              </w:rPr>
              <w:t>20</w:t>
            </w:r>
          </w:p>
        </w:tc>
        <w:tc>
          <w:tcPr>
            <w:tcW w:w="1597" w:type="dxa"/>
            <w:vAlign w:val="center"/>
          </w:tcPr>
          <w:p>
            <w:pPr>
              <w:rPr>
                <w:rFonts w:ascii="Times New Roman" w:hAnsi="Times New Roman"/>
              </w:rPr>
            </w:pPr>
            <w:r>
              <w:rPr>
                <w:rFonts w:hint="eastAsia" w:ascii="宋体" w:hAnsi="宋体" w:cs="宋体"/>
              </w:rPr>
              <w:t>∣</w:t>
            </w:r>
            <w:r>
              <w:rPr>
                <w:rFonts w:ascii="Times New Roman" w:hAnsi="Times New Roman"/>
              </w:rPr>
              <w:t>相对误差</w:t>
            </w:r>
            <w:r>
              <w:rPr>
                <w:rFonts w:hint="eastAsia" w:ascii="宋体" w:hAnsi="宋体" w:cs="宋体"/>
              </w:rPr>
              <w:t>∣</w:t>
            </w:r>
            <w:r>
              <w:rPr>
                <w:rFonts w:ascii="Times New Roman" w:hAnsi="Times New Roman"/>
              </w:rPr>
              <w:t>≤0.5％</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扣0分</w:t>
            </w:r>
          </w:p>
        </w:tc>
        <w:tc>
          <w:tcPr>
            <w:tcW w:w="426" w:type="dxa"/>
            <w:vMerge w:val="restart"/>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rPr>
                <w:rFonts w:ascii="Times New Roman" w:hAnsi="Times New Roman"/>
              </w:rPr>
            </w:pPr>
            <w:r>
              <w:rPr>
                <w:rFonts w:ascii="Times New Roman" w:hAnsi="Times New Roman"/>
              </w:rPr>
              <w:t>0.5％&lt;</w:t>
            </w:r>
            <w:r>
              <w:rPr>
                <w:rFonts w:hint="eastAsia" w:ascii="宋体" w:hAnsi="宋体" w:cs="宋体"/>
              </w:rPr>
              <w:t>∣</w:t>
            </w:r>
            <w:r>
              <w:rPr>
                <w:rFonts w:ascii="Times New Roman" w:hAnsi="Times New Roman"/>
              </w:rPr>
              <w:t>相对误差</w:t>
            </w:r>
            <w:r>
              <w:rPr>
                <w:rFonts w:hint="eastAsia" w:ascii="宋体" w:hAnsi="宋体" w:cs="宋体"/>
              </w:rPr>
              <w:t>∣</w:t>
            </w:r>
            <w:r>
              <w:rPr>
                <w:rFonts w:ascii="Times New Roman" w:hAnsi="Times New Roman"/>
              </w:rPr>
              <w:t>≤1.0％</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扣4分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rPr>
                <w:rFonts w:ascii="Times New Roman" w:hAnsi="Times New Roman"/>
              </w:rPr>
            </w:pPr>
            <w:r>
              <w:rPr>
                <w:rFonts w:ascii="Times New Roman" w:hAnsi="Times New Roman"/>
              </w:rPr>
              <w:t>1.0％&lt;</w:t>
            </w:r>
            <w:r>
              <w:rPr>
                <w:rFonts w:hint="eastAsia" w:ascii="宋体" w:hAnsi="宋体" w:cs="宋体"/>
              </w:rPr>
              <w:t>∣</w:t>
            </w:r>
            <w:r>
              <w:rPr>
                <w:rFonts w:ascii="Times New Roman" w:hAnsi="Times New Roman"/>
              </w:rPr>
              <w:t>相对误差</w:t>
            </w:r>
            <w:r>
              <w:rPr>
                <w:rFonts w:hint="eastAsia" w:ascii="宋体" w:hAnsi="宋体" w:cs="宋体"/>
              </w:rPr>
              <w:t>∣</w:t>
            </w:r>
            <w:r>
              <w:rPr>
                <w:rFonts w:ascii="Times New Roman" w:hAnsi="Times New Roman"/>
              </w:rPr>
              <w:t>≤1.5％</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扣8分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rPr>
                <w:rFonts w:ascii="Times New Roman" w:hAnsi="Times New Roman"/>
              </w:rPr>
            </w:pPr>
            <w:r>
              <w:rPr>
                <w:rFonts w:ascii="Times New Roman" w:hAnsi="Times New Roman"/>
              </w:rPr>
              <w:t>1.5％&lt;</w:t>
            </w:r>
            <w:r>
              <w:rPr>
                <w:rFonts w:hint="eastAsia" w:ascii="宋体" w:hAnsi="宋体" w:cs="宋体"/>
              </w:rPr>
              <w:t>∣</w:t>
            </w:r>
            <w:r>
              <w:rPr>
                <w:rFonts w:ascii="Times New Roman" w:hAnsi="Times New Roman"/>
              </w:rPr>
              <w:t>相对误差</w:t>
            </w:r>
            <w:r>
              <w:rPr>
                <w:rFonts w:hint="eastAsia" w:ascii="宋体" w:hAnsi="宋体" w:cs="宋体"/>
              </w:rPr>
              <w:t>∣</w:t>
            </w:r>
            <w:r>
              <w:rPr>
                <w:rFonts w:ascii="Times New Roman" w:hAnsi="Times New Roman"/>
              </w:rPr>
              <w:t>≤2.0％</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扣12分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rPr>
                <w:rFonts w:ascii="Times New Roman" w:hAnsi="Times New Roman"/>
              </w:rPr>
            </w:pPr>
            <w:r>
              <w:rPr>
                <w:rFonts w:ascii="Times New Roman" w:hAnsi="Times New Roman"/>
              </w:rPr>
              <w:t>2.0％&lt;</w:t>
            </w:r>
            <w:r>
              <w:rPr>
                <w:rFonts w:hint="eastAsia" w:ascii="宋体" w:hAnsi="宋体" w:cs="宋体"/>
              </w:rPr>
              <w:t>∣</w:t>
            </w:r>
            <w:r>
              <w:rPr>
                <w:rFonts w:ascii="Times New Roman" w:hAnsi="Times New Roman"/>
              </w:rPr>
              <w:t>相对误差</w:t>
            </w:r>
            <w:r>
              <w:rPr>
                <w:rFonts w:hint="eastAsia" w:ascii="宋体" w:hAnsi="宋体" w:cs="宋体"/>
              </w:rPr>
              <w:t>∣</w:t>
            </w:r>
            <w:r>
              <w:rPr>
                <w:rFonts w:ascii="Times New Roman" w:hAnsi="Times New Roman"/>
              </w:rPr>
              <w:t>≤2.5％</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扣16分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rPr>
                <w:rFonts w:ascii="Times New Roman" w:hAnsi="Times New Roman"/>
              </w:rPr>
            </w:pPr>
            <w:r>
              <w:rPr>
                <w:rFonts w:hint="eastAsia" w:ascii="宋体" w:hAnsi="宋体" w:cs="宋体"/>
              </w:rPr>
              <w:t>∣</w:t>
            </w:r>
            <w:r>
              <w:rPr>
                <w:rFonts w:ascii="Times New Roman" w:hAnsi="Times New Roman"/>
              </w:rPr>
              <w:t>相对误差</w:t>
            </w:r>
            <w:r>
              <w:rPr>
                <w:rFonts w:hint="eastAsia" w:ascii="宋体" w:hAnsi="宋体" w:cs="宋体"/>
              </w:rPr>
              <w:t>∣</w:t>
            </w:r>
            <w:r>
              <w:rPr>
                <w:rFonts w:ascii="Times New Roman" w:hAnsi="Times New Roman"/>
              </w:rPr>
              <w:t>&gt;2.5％</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扣20分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Align w:val="center"/>
          </w:tcPr>
          <w:p>
            <w:pPr>
              <w:jc w:val="center"/>
              <w:rPr>
                <w:rFonts w:ascii="Times New Roman" w:hAnsi="Times New Roman"/>
              </w:rPr>
            </w:pPr>
            <w:r>
              <w:rPr>
                <w:rFonts w:ascii="Times New Roman" w:hAnsi="Times New Roman"/>
              </w:rPr>
              <w:t>十二</w:t>
            </w:r>
          </w:p>
        </w:tc>
        <w:tc>
          <w:tcPr>
            <w:tcW w:w="781" w:type="dxa"/>
            <w:vAlign w:val="center"/>
          </w:tcPr>
          <w:p>
            <w:pPr>
              <w:jc w:val="center"/>
              <w:rPr>
                <w:rFonts w:ascii="Times New Roman" w:hAnsi="Times New Roman"/>
              </w:rPr>
            </w:pPr>
            <w:r>
              <w:rPr>
                <w:rFonts w:ascii="Times New Roman" w:hAnsi="Times New Roman"/>
              </w:rPr>
              <w:t>否决项</w:t>
            </w:r>
          </w:p>
        </w:tc>
        <w:tc>
          <w:tcPr>
            <w:tcW w:w="967" w:type="dxa"/>
            <w:vAlign w:val="center"/>
          </w:tcPr>
          <w:p>
            <w:pPr>
              <w:jc w:val="center"/>
              <w:rPr>
                <w:rFonts w:ascii="Times New Roman" w:hAnsi="Times New Roman"/>
              </w:rPr>
            </w:pPr>
          </w:p>
        </w:tc>
        <w:tc>
          <w:tcPr>
            <w:tcW w:w="750" w:type="dxa"/>
            <w:vAlign w:val="center"/>
          </w:tcPr>
          <w:p>
            <w:pPr>
              <w:jc w:val="center"/>
              <w:rPr>
                <w:rFonts w:ascii="Times New Roman" w:hAnsi="Times New Roman"/>
              </w:rPr>
            </w:pPr>
          </w:p>
        </w:tc>
        <w:tc>
          <w:tcPr>
            <w:tcW w:w="1597" w:type="dxa"/>
            <w:vAlign w:val="center"/>
          </w:tcPr>
          <w:p>
            <w:pPr>
              <w:rPr>
                <w:rFonts w:ascii="Times New Roman" w:hAnsi="Times New Roman"/>
              </w:rPr>
            </w:pPr>
            <w:r>
              <w:rPr>
                <w:rFonts w:ascii="Times New Roman" w:hAnsi="Times New Roman"/>
                <w:szCs w:val="21"/>
              </w:rPr>
              <w:t>称量数据、滴定管读数、吸光度读数未经裁判同意不可更改，否则以作弊、伪造数据论处</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p>
        </w:tc>
        <w:tc>
          <w:tcPr>
            <w:tcW w:w="426" w:type="dxa"/>
            <w:vAlign w:val="center"/>
          </w:tcPr>
          <w:p>
            <w:pPr>
              <w:jc w:val="center"/>
              <w:rPr>
                <w:rFonts w:ascii="Times New Roman" w:hAnsi="Times New Roman"/>
              </w:rPr>
            </w:pPr>
          </w:p>
        </w:tc>
        <w:tc>
          <w:tcPr>
            <w:tcW w:w="543" w:type="dxa"/>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8155" w:type="dxa"/>
            <w:gridSpan w:val="9"/>
            <w:vAlign w:val="center"/>
          </w:tcPr>
          <w:p>
            <w:pPr>
              <w:jc w:val="left"/>
              <w:rPr>
                <w:rFonts w:ascii="Times New Roman" w:hAnsi="Times New Roman"/>
              </w:rPr>
            </w:pPr>
            <w:r>
              <w:rPr>
                <w:rFonts w:ascii="Times New Roman" w:hAnsi="Times New Roman"/>
              </w:rPr>
              <w:t>说明</w:t>
            </w:r>
            <w:r>
              <w:rPr>
                <w:rFonts w:hint="eastAsia" w:ascii="Times New Roman" w:hAnsi="Times New Roman"/>
              </w:rPr>
              <w:t>：</w:t>
            </w:r>
            <w:r>
              <w:rPr>
                <w:rFonts w:ascii="Times New Roman" w:hAnsi="Times New Roman"/>
              </w:rPr>
              <w:t>总分最低为零分</w:t>
            </w:r>
            <w:r>
              <w:rPr>
                <w:rFonts w:hint="eastAsia" w:ascii="Times New Roman" w:hAnsi="Times New Roman"/>
              </w:rPr>
              <w:t>。</w:t>
            </w:r>
          </w:p>
        </w:tc>
      </w:tr>
    </w:tbl>
    <w:p>
      <w:pPr>
        <w:spacing w:line="400" w:lineRule="exact"/>
        <w:rPr>
          <w:rFonts w:ascii="宋体" w:hAnsi="宋体"/>
          <w:sz w:val="24"/>
          <w:szCs w:val="30"/>
        </w:rPr>
      </w:pPr>
      <w:r>
        <w:rPr>
          <w:rFonts w:hint="eastAsia" w:ascii="宋体" w:hAnsi="宋体"/>
          <w:sz w:val="24"/>
          <w:szCs w:val="30"/>
        </w:rPr>
        <w:t>一～八项总得分：___________</w:t>
      </w:r>
      <w:r>
        <w:rPr>
          <w:rFonts w:ascii="宋体" w:hAnsi="宋体"/>
          <w:sz w:val="24"/>
          <w:szCs w:val="30"/>
        </w:rPr>
        <w:t xml:space="preserve">            </w:t>
      </w:r>
      <w:r>
        <w:rPr>
          <w:rFonts w:hint="eastAsia" w:ascii="宋体" w:hAnsi="宋体"/>
          <w:sz w:val="24"/>
          <w:szCs w:val="30"/>
        </w:rPr>
        <w:t xml:space="preserve">九～十二项总得分：__________ </w:t>
      </w:r>
    </w:p>
    <w:p>
      <w:pPr>
        <w:spacing w:line="400" w:lineRule="exact"/>
        <w:rPr>
          <w:rFonts w:ascii="宋体" w:hAnsi="宋体"/>
          <w:sz w:val="24"/>
          <w:szCs w:val="30"/>
        </w:rPr>
      </w:pPr>
      <w:r>
        <w:rPr>
          <w:rFonts w:hint="eastAsia" w:ascii="宋体" w:hAnsi="宋体"/>
          <w:sz w:val="24"/>
          <w:szCs w:val="30"/>
        </w:rPr>
        <w:t>总得分：___________</w:t>
      </w:r>
    </w:p>
    <w:p>
      <w:pPr>
        <w:spacing w:line="400" w:lineRule="exact"/>
        <w:rPr>
          <w:rFonts w:ascii="宋体" w:hAnsi="宋体"/>
          <w:sz w:val="24"/>
          <w:szCs w:val="30"/>
        </w:rPr>
      </w:pPr>
      <w:r>
        <w:rPr>
          <w:rFonts w:hint="eastAsia" w:ascii="宋体" w:hAnsi="宋体"/>
          <w:sz w:val="24"/>
          <w:szCs w:val="30"/>
        </w:rPr>
        <w:t>阅卷裁判签字:__________</w:t>
      </w:r>
      <w:r>
        <w:rPr>
          <w:rFonts w:ascii="宋体" w:hAnsi="宋体"/>
          <w:sz w:val="24"/>
          <w:szCs w:val="30"/>
          <w:u w:val="single"/>
        </w:rPr>
        <w:t xml:space="preserve">        </w:t>
      </w:r>
      <w:r>
        <w:rPr>
          <w:rFonts w:ascii="宋体" w:hAnsi="宋体"/>
          <w:sz w:val="24"/>
          <w:szCs w:val="30"/>
        </w:rPr>
        <w:t xml:space="preserve"> </w:t>
      </w:r>
      <w:r>
        <w:rPr>
          <w:rFonts w:hint="eastAsia" w:ascii="宋体" w:hAnsi="宋体"/>
          <w:sz w:val="24"/>
          <w:szCs w:val="30"/>
        </w:rPr>
        <w:t xml:space="preserve">  </w:t>
      </w:r>
      <w:r>
        <w:rPr>
          <w:rFonts w:ascii="宋体" w:hAnsi="宋体"/>
          <w:sz w:val="24"/>
          <w:szCs w:val="30"/>
        </w:rPr>
        <w:t xml:space="preserve">     </w:t>
      </w:r>
      <w:r>
        <w:rPr>
          <w:rFonts w:hint="eastAsia" w:ascii="宋体" w:hAnsi="宋体"/>
          <w:sz w:val="24"/>
          <w:szCs w:val="30"/>
        </w:rPr>
        <w:t>复核裁判签字:_______</w:t>
      </w:r>
      <w:r>
        <w:rPr>
          <w:rFonts w:ascii="宋体" w:hAnsi="宋体"/>
          <w:sz w:val="24"/>
          <w:szCs w:val="30"/>
          <w:u w:val="single"/>
        </w:rPr>
        <w:t xml:space="preserve">     </w:t>
      </w:r>
      <w:r>
        <w:rPr>
          <w:rFonts w:hint="eastAsia" w:ascii="宋体" w:hAnsi="宋体"/>
          <w:sz w:val="24"/>
          <w:szCs w:val="30"/>
        </w:rPr>
        <w:t xml:space="preserve">___  </w:t>
      </w:r>
    </w:p>
    <w:p>
      <w:pPr>
        <w:spacing w:line="400" w:lineRule="exact"/>
        <w:rPr>
          <w:sz w:val="24"/>
        </w:rPr>
      </w:pPr>
      <w:r>
        <w:rPr>
          <w:rFonts w:hint="eastAsia"/>
          <w:sz w:val="24"/>
        </w:rPr>
        <w:t>现场裁判签字： ________</w:t>
      </w:r>
      <w:r>
        <w:rPr>
          <w:sz w:val="24"/>
          <w:u w:val="single"/>
        </w:rPr>
        <w:t xml:space="preserve">   </w:t>
      </w:r>
      <w:r>
        <w:rPr>
          <w:rFonts w:hint="eastAsia"/>
          <w:sz w:val="24"/>
        </w:rPr>
        <w:t xml:space="preserve">_____ </w:t>
      </w:r>
      <w:r>
        <w:rPr>
          <w:sz w:val="24"/>
        </w:rPr>
        <w:t xml:space="preserve">       </w:t>
      </w:r>
      <w:r>
        <w:rPr>
          <w:rFonts w:hint="eastAsia" w:ascii="宋体" w:hAnsi="宋体"/>
          <w:sz w:val="24"/>
          <w:szCs w:val="30"/>
        </w:rPr>
        <w:t>总裁判长签字:_______________</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十一、奖项设置</w:t>
      </w:r>
    </w:p>
    <w:p>
      <w:pPr>
        <w:tabs>
          <w:tab w:val="left" w:pos="6120"/>
        </w:tabs>
        <w:spacing w:line="560" w:lineRule="exact"/>
        <w:ind w:firstLine="600" w:firstLineChars="200"/>
        <w:rPr>
          <w:rFonts w:eastAsia="仿宋_GB2312"/>
          <w:sz w:val="30"/>
          <w:szCs w:val="30"/>
        </w:rPr>
      </w:pPr>
      <w:r>
        <w:rPr>
          <w:rFonts w:eastAsia="仿宋_GB2312"/>
          <w:sz w:val="30"/>
          <w:szCs w:val="30"/>
        </w:rPr>
        <w:t>（一）赛项设参赛选手团体奖，一等奖占比10%，二等奖占比20%，三等奖占比30%。</w:t>
      </w:r>
    </w:p>
    <w:p>
      <w:pPr>
        <w:snapToGrid w:val="0"/>
        <w:spacing w:line="560" w:lineRule="exact"/>
        <w:ind w:firstLine="600" w:firstLineChars="200"/>
        <w:rPr>
          <w:rFonts w:ascii="Arial Narrow" w:hAnsi="Arial Narrow" w:eastAsia="仿宋_GB2312" w:cs="Arial"/>
          <w:sz w:val="30"/>
          <w:szCs w:val="30"/>
        </w:rPr>
      </w:pPr>
      <w:r>
        <w:rPr>
          <w:rFonts w:eastAsia="仿宋_GB2312"/>
          <w:sz w:val="30"/>
          <w:szCs w:val="30"/>
        </w:rPr>
        <w:t>（二）获得一等奖的参赛队指导教师由组委会颁发优秀指导教师证书。</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十二、技术规范</w:t>
      </w:r>
    </w:p>
    <w:p>
      <w:pPr>
        <w:snapToGrid w:val="0"/>
        <w:spacing w:line="560" w:lineRule="exact"/>
        <w:ind w:firstLine="600" w:firstLineChars="200"/>
        <w:rPr>
          <w:rFonts w:eastAsia="仿宋_GB2312"/>
          <w:sz w:val="30"/>
          <w:szCs w:val="30"/>
        </w:rPr>
      </w:pPr>
      <w:r>
        <w:rPr>
          <w:rFonts w:eastAsia="仿宋_GB2312"/>
          <w:sz w:val="30"/>
          <w:szCs w:val="30"/>
        </w:rPr>
        <w:t xml:space="preserve">竞赛项目依据下列行业、职业技术标准： </w:t>
      </w:r>
    </w:p>
    <w:p>
      <w:pPr>
        <w:snapToGrid w:val="0"/>
        <w:spacing w:line="560" w:lineRule="exact"/>
        <w:ind w:firstLine="600" w:firstLineChars="200"/>
        <w:rPr>
          <w:rFonts w:eastAsia="仿宋_GB2312"/>
          <w:color w:val="000000" w:themeColor="text1"/>
          <w:sz w:val="30"/>
          <w:szCs w:val="30"/>
          <w14:textFill>
            <w14:solidFill>
              <w14:schemeClr w14:val="tx1"/>
            </w14:solidFill>
          </w14:textFill>
        </w:rPr>
      </w:pPr>
      <w:r>
        <w:rPr>
          <w:rFonts w:hint="eastAsia" w:eastAsia="仿宋_GB2312"/>
          <w:color w:val="000000" w:themeColor="text1"/>
          <w:sz w:val="30"/>
          <w:szCs w:val="30"/>
          <w14:textFill>
            <w14:solidFill>
              <w14:schemeClr w14:val="tx1"/>
            </w14:solidFill>
          </w14:textFill>
        </w:rPr>
        <w:t>GB/T601-20</w:t>
      </w:r>
      <w:r>
        <w:rPr>
          <w:rFonts w:eastAsia="仿宋_GB2312"/>
          <w:color w:val="000000" w:themeColor="text1"/>
          <w:sz w:val="30"/>
          <w:szCs w:val="30"/>
          <w14:textFill>
            <w14:solidFill>
              <w14:schemeClr w14:val="tx1"/>
            </w14:solidFill>
          </w14:textFill>
        </w:rPr>
        <w:t>16</w:t>
      </w:r>
      <w:r>
        <w:rPr>
          <w:rFonts w:hint="eastAsia" w:eastAsia="仿宋_GB2312"/>
          <w:color w:val="000000" w:themeColor="text1"/>
          <w:sz w:val="30"/>
          <w:szCs w:val="30"/>
          <w14:textFill>
            <w14:solidFill>
              <w14:schemeClr w14:val="tx1"/>
            </w14:solidFill>
          </w14:textFill>
        </w:rPr>
        <w:t>，化学试剂 标准滴定溶液的制备；JJG196-2006，常用玻璃仪器量程检定规程；GB/T603-2002，试验方法中所用制剂及制品的制备；GB/T6730.5-2007 铁矿石 全铁含量的测定 三氯化钛还原法；GB/</w:t>
      </w:r>
      <w:r>
        <w:rPr>
          <w:rFonts w:eastAsia="仿宋_GB2312"/>
          <w:color w:val="000000" w:themeColor="text1"/>
          <w:sz w:val="30"/>
          <w:szCs w:val="30"/>
          <w14:textFill>
            <w14:solidFill>
              <w14:schemeClr w14:val="tx1"/>
            </w14:solidFill>
          </w14:textFill>
        </w:rPr>
        <w:t>T3049-2016</w:t>
      </w:r>
      <w:r>
        <w:rPr>
          <w:rFonts w:hint="eastAsia" w:eastAsia="仿宋_GB2312"/>
          <w:color w:val="000000" w:themeColor="text1"/>
          <w:sz w:val="30"/>
          <w:szCs w:val="30"/>
          <w14:textFill>
            <w14:solidFill>
              <w14:schemeClr w14:val="tx1"/>
            </w14:solidFill>
          </w14:textFill>
        </w:rPr>
        <w:t xml:space="preserve"> </w:t>
      </w:r>
      <w:r>
        <w:rPr>
          <w:rFonts w:eastAsia="仿宋_GB2312"/>
          <w:color w:val="000000" w:themeColor="text1"/>
          <w:sz w:val="30"/>
          <w:szCs w:val="30"/>
          <w14:textFill>
            <w14:solidFill>
              <w14:schemeClr w14:val="tx1"/>
            </w14:solidFill>
          </w14:textFill>
        </w:rPr>
        <w:t>工业用化工产品</w:t>
      </w:r>
      <w:r>
        <w:rPr>
          <w:rFonts w:hint="eastAsia" w:eastAsia="仿宋_GB2312"/>
          <w:color w:val="000000" w:themeColor="text1"/>
          <w:sz w:val="30"/>
          <w:szCs w:val="30"/>
          <w14:textFill>
            <w14:solidFill>
              <w14:schemeClr w14:val="tx1"/>
            </w14:solidFill>
          </w14:textFill>
        </w:rPr>
        <w:t xml:space="preserve"> 铁含量测定的通用方法 </w:t>
      </w:r>
      <w:r>
        <w:rPr>
          <w:rFonts w:eastAsia="仿宋_GB2312"/>
          <w:color w:val="000000" w:themeColor="text1"/>
          <w:sz w:val="30"/>
          <w:szCs w:val="30"/>
          <w14:textFill>
            <w14:solidFill>
              <w14:schemeClr w14:val="tx1"/>
            </w14:solidFill>
          </w14:textFill>
        </w:rPr>
        <w:t>1</w:t>
      </w:r>
      <w:r>
        <w:rPr>
          <w:rFonts w:hint="eastAsia" w:eastAsia="仿宋_GB2312"/>
          <w:color w:val="000000" w:themeColor="text1"/>
          <w:sz w:val="30"/>
          <w:szCs w:val="30"/>
          <w14:textFill>
            <w14:solidFill>
              <w14:schemeClr w14:val="tx1"/>
            </w14:solidFill>
          </w14:textFill>
        </w:rPr>
        <w:t>,1</w:t>
      </w:r>
      <w:r>
        <w:rPr>
          <w:rFonts w:eastAsia="仿宋_GB2312"/>
          <w:color w:val="000000" w:themeColor="text1"/>
          <w:sz w:val="30"/>
          <w:szCs w:val="30"/>
          <w14:textFill>
            <w14:solidFill>
              <w14:schemeClr w14:val="tx1"/>
            </w14:solidFill>
          </w14:textFill>
        </w:rPr>
        <w:t>0</w:t>
      </w:r>
      <w:r>
        <w:rPr>
          <w:rFonts w:hint="eastAsia" w:eastAsia="仿宋_GB2312"/>
          <w:color w:val="000000" w:themeColor="text1"/>
          <w:sz w:val="30"/>
          <w:szCs w:val="30"/>
          <w14:textFill>
            <w14:solidFill>
              <w14:schemeClr w14:val="tx1"/>
            </w14:solidFill>
          </w14:textFill>
        </w:rPr>
        <w:t>-</w:t>
      </w:r>
      <w:r>
        <w:rPr>
          <w:rFonts w:eastAsia="仿宋_GB2312"/>
          <w:color w:val="000000" w:themeColor="text1"/>
          <w:sz w:val="30"/>
          <w:szCs w:val="30"/>
          <w14:textFill>
            <w14:solidFill>
              <w14:schemeClr w14:val="tx1"/>
            </w14:solidFill>
          </w14:textFill>
        </w:rPr>
        <w:t>菲啰啉分光光度法</w:t>
      </w:r>
      <w:r>
        <w:rPr>
          <w:rFonts w:hint="eastAsia" w:eastAsia="仿宋_GB2312"/>
          <w:color w:val="000000" w:themeColor="text1"/>
          <w:sz w:val="30"/>
          <w:szCs w:val="30"/>
          <w14:textFill>
            <w14:solidFill>
              <w14:schemeClr w14:val="tx1"/>
            </w14:solidFill>
          </w14:textFill>
        </w:rPr>
        <w:t>。</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十三、建议使用的比赛器材、技术平台和场地要求</w:t>
      </w:r>
    </w:p>
    <w:p>
      <w:pPr>
        <w:spacing w:line="560" w:lineRule="exact"/>
        <w:ind w:firstLine="602" w:firstLineChars="200"/>
        <w:rPr>
          <w:rFonts w:eastAsia="仿宋_GB2312"/>
          <w:b/>
          <w:sz w:val="30"/>
          <w:szCs w:val="30"/>
        </w:rPr>
      </w:pPr>
      <w:r>
        <w:rPr>
          <w:rFonts w:hint="eastAsia" w:eastAsia="仿宋_GB2312"/>
          <w:b/>
          <w:sz w:val="30"/>
          <w:szCs w:val="30"/>
        </w:rPr>
        <w:t>（一）</w:t>
      </w:r>
      <w:r>
        <w:rPr>
          <w:rFonts w:eastAsia="仿宋_GB2312"/>
          <w:b/>
          <w:sz w:val="30"/>
          <w:szCs w:val="30"/>
        </w:rPr>
        <w:t>技术平台</w:t>
      </w:r>
    </w:p>
    <w:tbl>
      <w:tblPr>
        <w:tblStyle w:val="1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8" w:type="dxa"/>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序号</w:t>
            </w:r>
          </w:p>
        </w:tc>
        <w:tc>
          <w:tcPr>
            <w:tcW w:w="7048" w:type="dxa"/>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技术平台项目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8" w:type="dxa"/>
          </w:tcPr>
          <w:p>
            <w:pPr>
              <w:jc w:val="center"/>
              <w:rPr>
                <w:rFonts w:ascii="Times New Roman" w:hAnsi="Times New Roman" w:eastAsiaTheme="minorEastAsia"/>
                <w:sz w:val="24"/>
                <w:szCs w:val="24"/>
              </w:rPr>
            </w:pPr>
            <w:r>
              <w:rPr>
                <w:rFonts w:ascii="Times New Roman" w:hAnsi="Times New Roman" w:eastAsiaTheme="minorEastAsia"/>
                <w:sz w:val="24"/>
                <w:szCs w:val="24"/>
              </w:rPr>
              <w:t>1</w:t>
            </w:r>
          </w:p>
        </w:tc>
        <w:tc>
          <w:tcPr>
            <w:tcW w:w="7048" w:type="dxa"/>
          </w:tcPr>
          <w:p>
            <w:pPr>
              <w:rPr>
                <w:rFonts w:ascii="Times New Roman" w:hAnsi="Times New Roman" w:eastAsiaTheme="minorEastAsia"/>
                <w:sz w:val="24"/>
                <w:szCs w:val="24"/>
              </w:rPr>
            </w:pPr>
            <w:r>
              <w:rPr>
                <w:rFonts w:ascii="Times New Roman" w:hAnsi="Times New Roman" w:eastAsiaTheme="minorEastAsia"/>
                <w:sz w:val="24"/>
                <w:szCs w:val="24"/>
              </w:rPr>
              <w:t>液相色谱与质谱联用仿真软件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8" w:type="dxa"/>
          </w:tcPr>
          <w:p>
            <w:pPr>
              <w:jc w:val="center"/>
              <w:rPr>
                <w:rFonts w:ascii="Times New Roman" w:hAnsi="Times New Roman" w:eastAsiaTheme="minorEastAsia"/>
                <w:sz w:val="24"/>
                <w:szCs w:val="24"/>
              </w:rPr>
            </w:pPr>
            <w:r>
              <w:rPr>
                <w:rFonts w:ascii="Times New Roman" w:hAnsi="Times New Roman" w:eastAsiaTheme="minorEastAsia"/>
                <w:sz w:val="24"/>
                <w:szCs w:val="24"/>
              </w:rPr>
              <w:t>2</w:t>
            </w:r>
          </w:p>
        </w:tc>
        <w:tc>
          <w:tcPr>
            <w:tcW w:w="7048" w:type="dxa"/>
          </w:tcPr>
          <w:p>
            <w:pPr>
              <w:rPr>
                <w:rFonts w:ascii="Times New Roman" w:hAnsi="Times New Roman" w:eastAsiaTheme="minorEastAsia"/>
                <w:sz w:val="24"/>
                <w:szCs w:val="24"/>
              </w:rPr>
            </w:pPr>
            <w:r>
              <w:rPr>
                <w:rFonts w:ascii="Times New Roman" w:hAnsi="Times New Roman" w:eastAsiaTheme="minorEastAsia"/>
                <w:sz w:val="24"/>
                <w:szCs w:val="24"/>
              </w:rPr>
              <w:t>紫外-可见分光光度计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8" w:type="dxa"/>
          </w:tcPr>
          <w:p>
            <w:pPr>
              <w:jc w:val="center"/>
              <w:rPr>
                <w:rFonts w:ascii="Times New Roman" w:hAnsi="Times New Roman" w:eastAsiaTheme="minorEastAsia"/>
                <w:sz w:val="24"/>
                <w:szCs w:val="24"/>
              </w:rPr>
            </w:pPr>
            <w:r>
              <w:rPr>
                <w:rFonts w:ascii="Times New Roman" w:hAnsi="Times New Roman" w:eastAsiaTheme="minorEastAsia"/>
                <w:sz w:val="24"/>
                <w:szCs w:val="24"/>
              </w:rPr>
              <w:t>3</w:t>
            </w:r>
          </w:p>
        </w:tc>
        <w:tc>
          <w:tcPr>
            <w:tcW w:w="7048" w:type="dxa"/>
          </w:tcPr>
          <w:p>
            <w:pPr>
              <w:rPr>
                <w:rFonts w:ascii="Times New Roman" w:hAnsi="Times New Roman" w:eastAsiaTheme="minorEastAsia"/>
                <w:sz w:val="24"/>
                <w:szCs w:val="24"/>
              </w:rPr>
            </w:pPr>
            <w:r>
              <w:rPr>
                <w:rFonts w:ascii="Times New Roman" w:hAnsi="Times New Roman" w:eastAsiaTheme="minorEastAsia"/>
                <w:sz w:val="24"/>
                <w:szCs w:val="24"/>
              </w:rPr>
              <w:t>分析天平，精度0.1mg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8" w:type="dxa"/>
          </w:tcPr>
          <w:p>
            <w:pPr>
              <w:jc w:val="center"/>
              <w:rPr>
                <w:rFonts w:ascii="Times New Roman" w:hAnsi="Times New Roman" w:eastAsiaTheme="minorEastAsia"/>
                <w:sz w:val="24"/>
                <w:szCs w:val="24"/>
              </w:rPr>
            </w:pPr>
            <w:r>
              <w:rPr>
                <w:rFonts w:ascii="Times New Roman" w:hAnsi="Times New Roman" w:eastAsiaTheme="minorEastAsia"/>
                <w:sz w:val="24"/>
                <w:szCs w:val="24"/>
              </w:rPr>
              <w:t>4</w:t>
            </w:r>
          </w:p>
        </w:tc>
        <w:tc>
          <w:tcPr>
            <w:tcW w:w="7048" w:type="dxa"/>
          </w:tcPr>
          <w:p>
            <w:pPr>
              <w:rPr>
                <w:rFonts w:ascii="Times New Roman" w:hAnsi="Times New Roman" w:eastAsiaTheme="minorEastAsia"/>
                <w:sz w:val="24"/>
                <w:szCs w:val="24"/>
              </w:rPr>
            </w:pPr>
            <w:r>
              <w:rPr>
                <w:rFonts w:ascii="Times New Roman" w:hAnsi="Times New Roman" w:eastAsiaTheme="minorEastAsia"/>
                <w:sz w:val="24"/>
                <w:szCs w:val="24"/>
              </w:rPr>
              <w:t>玻璃量器（容量瓶100mL、250mL、500mL）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8" w:type="dxa"/>
          </w:tcPr>
          <w:p>
            <w:pPr>
              <w:jc w:val="center"/>
              <w:rPr>
                <w:rFonts w:ascii="Times New Roman" w:hAnsi="Times New Roman" w:eastAsiaTheme="minorEastAsia"/>
                <w:sz w:val="24"/>
                <w:szCs w:val="24"/>
              </w:rPr>
            </w:pPr>
            <w:r>
              <w:rPr>
                <w:rFonts w:ascii="Times New Roman" w:hAnsi="Times New Roman" w:eastAsiaTheme="minorEastAsia"/>
                <w:sz w:val="24"/>
                <w:szCs w:val="24"/>
              </w:rPr>
              <w:t>5</w:t>
            </w:r>
          </w:p>
        </w:tc>
        <w:tc>
          <w:tcPr>
            <w:tcW w:w="7048" w:type="dxa"/>
          </w:tcPr>
          <w:p>
            <w:pPr>
              <w:rPr>
                <w:rFonts w:ascii="Times New Roman" w:hAnsi="Times New Roman" w:eastAsiaTheme="minorEastAsia"/>
                <w:sz w:val="24"/>
                <w:szCs w:val="24"/>
              </w:rPr>
            </w:pPr>
            <w:r>
              <w:rPr>
                <w:rFonts w:ascii="Times New Roman" w:hAnsi="Times New Roman" w:eastAsiaTheme="minorEastAsia"/>
                <w:sz w:val="24"/>
                <w:szCs w:val="24"/>
              </w:rPr>
              <w:t>玻璃量器（滴定管50mL，聚四氟）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8" w:type="dxa"/>
          </w:tcPr>
          <w:p>
            <w:pPr>
              <w:jc w:val="center"/>
              <w:rPr>
                <w:rFonts w:ascii="Times New Roman" w:hAnsi="Times New Roman" w:eastAsiaTheme="minorEastAsia"/>
                <w:sz w:val="24"/>
                <w:szCs w:val="24"/>
              </w:rPr>
            </w:pPr>
            <w:r>
              <w:rPr>
                <w:rFonts w:ascii="Times New Roman" w:hAnsi="Times New Roman" w:eastAsiaTheme="minorEastAsia"/>
                <w:sz w:val="24"/>
                <w:szCs w:val="24"/>
              </w:rPr>
              <w:t>6</w:t>
            </w:r>
          </w:p>
        </w:tc>
        <w:tc>
          <w:tcPr>
            <w:tcW w:w="7048" w:type="dxa"/>
          </w:tcPr>
          <w:p>
            <w:pPr>
              <w:rPr>
                <w:rFonts w:ascii="Times New Roman" w:hAnsi="Times New Roman" w:eastAsiaTheme="minorEastAsia"/>
                <w:sz w:val="24"/>
                <w:szCs w:val="24"/>
              </w:rPr>
            </w:pPr>
            <w:r>
              <w:rPr>
                <w:rFonts w:ascii="Times New Roman" w:hAnsi="Times New Roman" w:eastAsiaTheme="minorEastAsia"/>
                <w:sz w:val="24"/>
                <w:szCs w:val="24"/>
              </w:rPr>
              <w:t>玻璃量器（吸量管10mL、单标线吸量管1 mL、2mL、25mL）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8" w:type="dxa"/>
          </w:tcPr>
          <w:p>
            <w:pPr>
              <w:jc w:val="center"/>
              <w:rPr>
                <w:rFonts w:ascii="Times New Roman" w:hAnsi="Times New Roman" w:eastAsiaTheme="minorEastAsia"/>
                <w:sz w:val="24"/>
                <w:szCs w:val="24"/>
              </w:rPr>
            </w:pPr>
            <w:r>
              <w:rPr>
                <w:rFonts w:ascii="Times New Roman" w:hAnsi="Times New Roman" w:eastAsiaTheme="minorEastAsia"/>
                <w:sz w:val="24"/>
                <w:szCs w:val="24"/>
              </w:rPr>
              <w:t>7</w:t>
            </w:r>
          </w:p>
        </w:tc>
        <w:tc>
          <w:tcPr>
            <w:tcW w:w="7048" w:type="dxa"/>
          </w:tcPr>
          <w:p>
            <w:pPr>
              <w:rPr>
                <w:rFonts w:ascii="Times New Roman" w:hAnsi="Times New Roman" w:eastAsiaTheme="minorEastAsia"/>
                <w:sz w:val="24"/>
                <w:szCs w:val="24"/>
              </w:rPr>
            </w:pPr>
            <w:r>
              <w:rPr>
                <w:rFonts w:ascii="Times New Roman" w:hAnsi="Times New Roman" w:eastAsiaTheme="minorEastAsia"/>
                <w:sz w:val="24"/>
                <w:szCs w:val="24"/>
              </w:rPr>
              <w:t>烧杯（100mL、500mL）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8" w:type="dxa"/>
          </w:tcPr>
          <w:p>
            <w:pPr>
              <w:jc w:val="center"/>
              <w:rPr>
                <w:rFonts w:ascii="Times New Roman" w:hAnsi="Times New Roman" w:eastAsiaTheme="minorEastAsia"/>
                <w:sz w:val="24"/>
                <w:szCs w:val="24"/>
              </w:rPr>
            </w:pPr>
            <w:r>
              <w:rPr>
                <w:rFonts w:ascii="Times New Roman" w:hAnsi="Times New Roman" w:eastAsiaTheme="minorEastAsia"/>
                <w:sz w:val="24"/>
                <w:szCs w:val="24"/>
              </w:rPr>
              <w:t>8</w:t>
            </w:r>
          </w:p>
        </w:tc>
        <w:tc>
          <w:tcPr>
            <w:tcW w:w="7048" w:type="dxa"/>
          </w:tcPr>
          <w:p>
            <w:pPr>
              <w:rPr>
                <w:rFonts w:ascii="Times New Roman" w:hAnsi="Times New Roman" w:eastAsiaTheme="minorEastAsia"/>
                <w:sz w:val="24"/>
                <w:szCs w:val="24"/>
              </w:rPr>
            </w:pPr>
            <w:r>
              <w:rPr>
                <w:rFonts w:ascii="Times New Roman" w:hAnsi="Times New Roman" w:eastAsiaTheme="minorEastAsia"/>
                <w:sz w:val="24"/>
                <w:szCs w:val="24"/>
              </w:rPr>
              <w:t>锥形瓶（300mL）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8" w:type="dxa"/>
          </w:tcPr>
          <w:p>
            <w:pPr>
              <w:jc w:val="center"/>
              <w:rPr>
                <w:rFonts w:ascii="Times New Roman" w:hAnsi="Times New Roman" w:eastAsiaTheme="minorEastAsia"/>
                <w:sz w:val="24"/>
                <w:szCs w:val="24"/>
              </w:rPr>
            </w:pPr>
            <w:r>
              <w:rPr>
                <w:rFonts w:ascii="Times New Roman" w:hAnsi="Times New Roman" w:eastAsiaTheme="minorEastAsia"/>
                <w:sz w:val="24"/>
                <w:szCs w:val="24"/>
              </w:rPr>
              <w:t>9</w:t>
            </w:r>
          </w:p>
        </w:tc>
        <w:tc>
          <w:tcPr>
            <w:tcW w:w="7048" w:type="dxa"/>
          </w:tcPr>
          <w:p>
            <w:pPr>
              <w:rPr>
                <w:rFonts w:ascii="Times New Roman" w:hAnsi="Times New Roman" w:eastAsiaTheme="minorEastAsia"/>
                <w:sz w:val="24"/>
                <w:szCs w:val="24"/>
              </w:rPr>
            </w:pPr>
            <w:r>
              <w:rPr>
                <w:rFonts w:ascii="Times New Roman" w:hAnsi="Times New Roman" w:eastAsiaTheme="minorEastAsia"/>
                <w:sz w:val="24"/>
                <w:szCs w:val="24"/>
              </w:rPr>
              <w:t>量筒（100mL）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8" w:type="dxa"/>
          </w:tcPr>
          <w:p>
            <w:pPr>
              <w:jc w:val="center"/>
              <w:rPr>
                <w:rFonts w:ascii="Times New Roman" w:hAnsi="Times New Roman" w:eastAsiaTheme="minorEastAsia"/>
                <w:sz w:val="24"/>
                <w:szCs w:val="24"/>
              </w:rPr>
            </w:pPr>
            <w:r>
              <w:rPr>
                <w:rFonts w:ascii="Times New Roman" w:hAnsi="Times New Roman" w:eastAsiaTheme="minorEastAsia"/>
                <w:sz w:val="24"/>
                <w:szCs w:val="24"/>
              </w:rPr>
              <w:t>10</w:t>
            </w:r>
          </w:p>
        </w:tc>
        <w:tc>
          <w:tcPr>
            <w:tcW w:w="7048" w:type="dxa"/>
          </w:tcPr>
          <w:p>
            <w:pPr>
              <w:rPr>
                <w:rFonts w:ascii="Times New Roman" w:hAnsi="Times New Roman" w:eastAsiaTheme="minorEastAsia"/>
                <w:sz w:val="24"/>
                <w:szCs w:val="24"/>
              </w:rPr>
            </w:pPr>
            <w:r>
              <w:rPr>
                <w:rFonts w:ascii="Times New Roman" w:hAnsi="Times New Roman" w:eastAsiaTheme="minorEastAsia"/>
                <w:sz w:val="24"/>
                <w:szCs w:val="24"/>
              </w:rPr>
              <w:t>实验室常见其他玻璃仪器</w:t>
            </w:r>
          </w:p>
        </w:tc>
      </w:tr>
    </w:tbl>
    <w:p>
      <w:pPr>
        <w:spacing w:line="560" w:lineRule="exact"/>
        <w:ind w:firstLine="602" w:firstLineChars="200"/>
        <w:rPr>
          <w:rFonts w:eastAsia="仿宋_GB2312"/>
          <w:b/>
          <w:sz w:val="30"/>
          <w:szCs w:val="30"/>
        </w:rPr>
      </w:pPr>
      <w:r>
        <w:rPr>
          <w:rFonts w:hint="eastAsia" w:eastAsia="仿宋_GB2312"/>
          <w:b/>
          <w:sz w:val="30"/>
          <w:szCs w:val="30"/>
        </w:rPr>
        <w:t>（二）竞赛赛场情况</w:t>
      </w:r>
    </w:p>
    <w:p>
      <w:pPr>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1.赛场设理论与仿真赛场、实践考核赛场。</w:t>
      </w:r>
    </w:p>
    <w:p>
      <w:pPr>
        <w:spacing w:line="560" w:lineRule="exact"/>
        <w:ind w:firstLine="600" w:firstLineChars="200"/>
        <w:rPr>
          <w:rFonts w:eastAsia="仿宋_GB2312"/>
          <w:sz w:val="30"/>
          <w:szCs w:val="30"/>
        </w:rPr>
      </w:pPr>
      <w:r>
        <w:rPr>
          <w:rFonts w:ascii="Times New Roman" w:hAnsi="Times New Roman" w:eastAsia="仿宋_GB2312"/>
          <w:sz w:val="30"/>
          <w:szCs w:val="30"/>
        </w:rPr>
        <w:t>2.</w:t>
      </w:r>
      <w:r>
        <w:rPr>
          <w:rFonts w:hint="eastAsia" w:eastAsia="仿宋_GB2312"/>
          <w:sz w:val="30"/>
          <w:szCs w:val="30"/>
        </w:rPr>
        <w:t>理论知识与仿真操作赛场共计</w:t>
      </w:r>
      <w:r>
        <w:rPr>
          <w:rFonts w:eastAsia="仿宋_GB2312"/>
          <w:sz w:val="30"/>
          <w:szCs w:val="30"/>
        </w:rPr>
        <w:t>12</w:t>
      </w:r>
      <w:r>
        <w:rPr>
          <w:rFonts w:hint="eastAsia" w:eastAsia="仿宋_GB2312"/>
          <w:sz w:val="30"/>
          <w:szCs w:val="30"/>
        </w:rPr>
        <w:t>间，机位数</w:t>
      </w:r>
      <w:r>
        <w:rPr>
          <w:rFonts w:eastAsia="仿宋_GB2312"/>
          <w:sz w:val="30"/>
          <w:szCs w:val="30"/>
        </w:rPr>
        <w:t>6</w:t>
      </w:r>
      <w:r>
        <w:rPr>
          <w:rFonts w:hint="eastAsia" w:eastAsia="仿宋_GB2312"/>
          <w:sz w:val="30"/>
          <w:szCs w:val="30"/>
        </w:rPr>
        <w:t>00台。</w:t>
      </w:r>
    </w:p>
    <w:p>
      <w:pPr>
        <w:spacing w:line="560" w:lineRule="exact"/>
        <w:ind w:firstLine="600" w:firstLineChars="200"/>
        <w:rPr>
          <w:rFonts w:eastAsia="仿宋_GB2312"/>
          <w:sz w:val="30"/>
          <w:szCs w:val="30"/>
        </w:rPr>
      </w:pPr>
      <w:r>
        <w:rPr>
          <w:rFonts w:ascii="Times New Roman" w:hAnsi="Times New Roman" w:eastAsia="仿宋_GB2312"/>
          <w:sz w:val="30"/>
          <w:szCs w:val="30"/>
        </w:rPr>
        <w:t>3.</w:t>
      </w:r>
      <w:r>
        <w:rPr>
          <w:rFonts w:hint="eastAsia" w:eastAsia="仿宋_GB2312"/>
          <w:sz w:val="30"/>
          <w:szCs w:val="30"/>
        </w:rPr>
        <w:t>实践操作考核赛场面积共计</w:t>
      </w:r>
      <w:r>
        <w:rPr>
          <w:rFonts w:eastAsia="仿宋_GB2312"/>
          <w:sz w:val="30"/>
          <w:szCs w:val="30"/>
        </w:rPr>
        <w:t>1600m</w:t>
      </w:r>
      <w:r>
        <w:rPr>
          <w:rFonts w:eastAsia="仿宋_GB2312"/>
          <w:sz w:val="30"/>
          <w:szCs w:val="30"/>
          <w:vertAlign w:val="superscript"/>
        </w:rPr>
        <w:t>2</w:t>
      </w:r>
      <w:r>
        <w:rPr>
          <w:rFonts w:hint="eastAsia" w:eastAsia="仿宋_GB2312"/>
          <w:sz w:val="30"/>
          <w:szCs w:val="30"/>
        </w:rPr>
        <w:t>，</w:t>
      </w:r>
      <w:r>
        <w:rPr>
          <w:rFonts w:eastAsia="仿宋_GB2312"/>
          <w:sz w:val="30"/>
          <w:szCs w:val="30"/>
        </w:rPr>
        <w:t>共设赛场16</w:t>
      </w:r>
      <w:r>
        <w:rPr>
          <w:rFonts w:hint="eastAsia" w:eastAsia="仿宋_GB2312"/>
          <w:sz w:val="30"/>
          <w:szCs w:val="30"/>
        </w:rPr>
        <w:t>间，每间容纳赛位</w:t>
      </w:r>
      <w:r>
        <w:rPr>
          <w:rFonts w:eastAsia="仿宋_GB2312"/>
          <w:sz w:val="30"/>
          <w:szCs w:val="30"/>
        </w:rPr>
        <w:t>11</w:t>
      </w:r>
      <w:r>
        <w:rPr>
          <w:rFonts w:hint="eastAsia" w:eastAsia="仿宋_GB2312"/>
          <w:sz w:val="30"/>
          <w:szCs w:val="30"/>
        </w:rPr>
        <w:t>个（</w:t>
      </w:r>
      <w:r>
        <w:rPr>
          <w:rFonts w:eastAsia="仿宋_GB2312"/>
          <w:sz w:val="30"/>
          <w:szCs w:val="30"/>
        </w:rPr>
        <w:t>10</w:t>
      </w:r>
      <w:r>
        <w:rPr>
          <w:rFonts w:hint="eastAsia" w:eastAsia="仿宋_GB2312"/>
          <w:sz w:val="30"/>
          <w:szCs w:val="30"/>
        </w:rPr>
        <w:t>用+</w:t>
      </w:r>
      <w:r>
        <w:rPr>
          <w:rFonts w:eastAsia="仿宋_GB2312"/>
          <w:sz w:val="30"/>
          <w:szCs w:val="30"/>
        </w:rPr>
        <w:t>1备</w:t>
      </w:r>
      <w:r>
        <w:rPr>
          <w:rFonts w:hint="eastAsia" w:eastAsia="仿宋_GB2312"/>
          <w:sz w:val="30"/>
          <w:szCs w:val="30"/>
        </w:rPr>
        <w:t>），每个赛位</w:t>
      </w:r>
      <w:r>
        <w:rPr>
          <w:rFonts w:eastAsia="仿宋_GB2312"/>
          <w:sz w:val="30"/>
          <w:szCs w:val="30"/>
        </w:rPr>
        <w:t>16m</w:t>
      </w:r>
      <w:r>
        <w:rPr>
          <w:rFonts w:eastAsia="仿宋_GB2312"/>
          <w:sz w:val="30"/>
          <w:szCs w:val="30"/>
          <w:vertAlign w:val="superscript"/>
        </w:rPr>
        <w:t>2</w:t>
      </w:r>
      <w:r>
        <w:rPr>
          <w:rFonts w:hint="eastAsia" w:eastAsia="仿宋_GB2312"/>
          <w:sz w:val="30"/>
          <w:szCs w:val="30"/>
        </w:rPr>
        <w:t>。设置天平室4间，每间容纳</w:t>
      </w:r>
      <w:r>
        <w:rPr>
          <w:rFonts w:eastAsia="仿宋_GB2312"/>
          <w:sz w:val="30"/>
          <w:szCs w:val="30"/>
        </w:rPr>
        <w:t>40人</w:t>
      </w:r>
      <w:r>
        <w:rPr>
          <w:rFonts w:hint="eastAsia" w:eastAsia="仿宋_GB2312"/>
          <w:sz w:val="30"/>
          <w:szCs w:val="30"/>
        </w:rPr>
        <w:t>。</w:t>
      </w:r>
      <w:r>
        <w:rPr>
          <w:rFonts w:eastAsia="仿宋_GB2312"/>
          <w:sz w:val="30"/>
          <w:szCs w:val="30"/>
        </w:rPr>
        <w:t>每个赛位按照比赛要求准备相应的设备</w:t>
      </w:r>
      <w:r>
        <w:rPr>
          <w:rFonts w:hint="eastAsia" w:eastAsia="仿宋_GB2312"/>
          <w:sz w:val="30"/>
          <w:szCs w:val="30"/>
        </w:rPr>
        <w:t>，</w:t>
      </w:r>
      <w:r>
        <w:rPr>
          <w:rFonts w:eastAsia="仿宋_GB2312"/>
          <w:sz w:val="30"/>
          <w:szCs w:val="30"/>
        </w:rPr>
        <w:t>全程监控</w:t>
      </w:r>
      <w:r>
        <w:rPr>
          <w:rFonts w:hint="eastAsia" w:eastAsia="仿宋_GB2312"/>
          <w:sz w:val="30"/>
          <w:szCs w:val="30"/>
        </w:rPr>
        <w:t>。</w:t>
      </w:r>
    </w:p>
    <w:p>
      <w:pPr>
        <w:spacing w:line="560" w:lineRule="exact"/>
        <w:ind w:firstLine="600" w:firstLineChars="200"/>
        <w:rPr>
          <w:rFonts w:eastAsia="仿宋_GB2312"/>
          <w:sz w:val="30"/>
          <w:szCs w:val="30"/>
        </w:rPr>
      </w:pPr>
      <w:r>
        <w:rPr>
          <w:rFonts w:ascii="Times New Roman" w:hAnsi="Times New Roman" w:eastAsia="仿宋_GB2312"/>
          <w:sz w:val="30"/>
          <w:szCs w:val="30"/>
        </w:rPr>
        <w:t>4.</w:t>
      </w:r>
      <w:r>
        <w:rPr>
          <w:rFonts w:eastAsia="仿宋_GB2312"/>
          <w:sz w:val="30"/>
          <w:szCs w:val="30"/>
        </w:rPr>
        <w:t>检录设置隔离区，全程监控。</w:t>
      </w:r>
    </w:p>
    <w:p>
      <w:pPr>
        <w:spacing w:line="560" w:lineRule="exact"/>
        <w:ind w:firstLine="600" w:firstLineChars="200"/>
        <w:rPr>
          <w:rFonts w:eastAsia="仿宋_GB2312"/>
          <w:sz w:val="30"/>
          <w:szCs w:val="30"/>
        </w:rPr>
      </w:pPr>
      <w:r>
        <w:rPr>
          <w:rFonts w:hint="eastAsia" w:eastAsia="仿宋_GB2312"/>
          <w:sz w:val="30"/>
          <w:szCs w:val="30"/>
        </w:rPr>
        <w:t>5</w:t>
      </w:r>
      <w:r>
        <w:rPr>
          <w:rFonts w:eastAsia="仿宋_GB2312"/>
          <w:sz w:val="30"/>
          <w:szCs w:val="30"/>
        </w:rPr>
        <w:t>.设置独立阅卷室</w:t>
      </w:r>
      <w:r>
        <w:rPr>
          <w:rFonts w:hint="eastAsia" w:eastAsia="仿宋_GB2312"/>
          <w:sz w:val="30"/>
          <w:szCs w:val="30"/>
        </w:rPr>
        <w:t>，</w:t>
      </w:r>
      <w:r>
        <w:rPr>
          <w:rFonts w:eastAsia="仿宋_GB2312"/>
          <w:sz w:val="30"/>
          <w:szCs w:val="30"/>
        </w:rPr>
        <w:t>全部隔离监控</w:t>
      </w:r>
      <w:r>
        <w:rPr>
          <w:rFonts w:hint="eastAsia" w:eastAsia="仿宋_GB2312"/>
          <w:sz w:val="30"/>
          <w:szCs w:val="30"/>
        </w:rPr>
        <w:t>。</w:t>
      </w:r>
    </w:p>
    <w:p>
      <w:pPr>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6.赛场设医疗服务站，比赛时安排救护人员现场服务。</w:t>
      </w:r>
    </w:p>
    <w:p>
      <w:pPr>
        <w:spacing w:line="560" w:lineRule="exact"/>
        <w:ind w:firstLine="600" w:firstLineChars="200"/>
        <w:rPr>
          <w:rFonts w:eastAsia="仿宋_GB2312"/>
          <w:sz w:val="30"/>
          <w:szCs w:val="30"/>
        </w:rPr>
      </w:pPr>
      <w:r>
        <w:rPr>
          <w:rFonts w:ascii="Times New Roman" w:hAnsi="Times New Roman" w:eastAsia="仿宋_GB2312"/>
          <w:sz w:val="30"/>
          <w:szCs w:val="30"/>
        </w:rPr>
        <w:t>7.赛</w:t>
      </w:r>
      <w:r>
        <w:rPr>
          <w:rFonts w:hint="eastAsia" w:eastAsia="仿宋_GB2312"/>
          <w:sz w:val="30"/>
          <w:szCs w:val="30"/>
        </w:rPr>
        <w:t>位配有安全警示标语、安全操作规程、安全提示、护目镜、口罩等安全保护用品；赛场设有实训室安全管理规定、应急处理规定、化学药品使用规定，洗眼器、消防沙、消防毯、医护用品等消防和个人防护用品；校园内实训楼设有紧急疏散指示、安排专职疏散人员。学院设有安全领导小组和工作小组。</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十四、安全保障</w:t>
      </w:r>
    </w:p>
    <w:p>
      <w:pPr>
        <w:snapToGrid w:val="0"/>
        <w:spacing w:line="560" w:lineRule="exact"/>
        <w:ind w:firstLine="602" w:firstLineChars="200"/>
        <w:outlineLvl w:val="1"/>
        <w:rPr>
          <w:rFonts w:ascii="Arial Narrow" w:hAnsi="Arial Narrow" w:eastAsia="仿宋_GB2312" w:cs="Arial"/>
          <w:b/>
          <w:sz w:val="30"/>
          <w:szCs w:val="30"/>
        </w:rPr>
      </w:pPr>
      <w:bookmarkStart w:id="8" w:name="_Toc414794775"/>
      <w:bookmarkStart w:id="9" w:name="_Toc468132911"/>
      <w:r>
        <w:rPr>
          <w:rFonts w:ascii="Arial Narrow" w:hAnsi="Arial Narrow" w:eastAsia="仿宋_GB2312" w:cs="Arial"/>
          <w:b/>
          <w:sz w:val="30"/>
          <w:szCs w:val="30"/>
        </w:rPr>
        <w:t>（一）安全操作</w:t>
      </w:r>
      <w:bookmarkEnd w:id="8"/>
      <w:bookmarkEnd w:id="9"/>
    </w:p>
    <w:p>
      <w:pPr>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1.参赛人员必须按规定穿戴好劳动防护服装。</w:t>
      </w:r>
    </w:p>
    <w:p>
      <w:pPr>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2.参赛选手在比赛过程中，要注意安全用电，不要用湿手、湿物接触电源，比赛结束后应关闭电源。</w:t>
      </w:r>
    </w:p>
    <w:p>
      <w:pPr>
        <w:spacing w:line="560" w:lineRule="exact"/>
        <w:ind w:firstLine="600" w:firstLineChars="200"/>
        <w:rPr>
          <w:rFonts w:eastAsia="仿宋_GB2312"/>
          <w:sz w:val="30"/>
          <w:szCs w:val="30"/>
        </w:rPr>
      </w:pPr>
      <w:r>
        <w:rPr>
          <w:rFonts w:ascii="Times New Roman" w:hAnsi="Times New Roman" w:eastAsia="仿宋_GB2312"/>
          <w:sz w:val="30"/>
          <w:szCs w:val="30"/>
        </w:rPr>
        <w:t>3.要熟悉掌</w:t>
      </w:r>
      <w:r>
        <w:rPr>
          <w:rFonts w:eastAsia="仿宋_GB2312"/>
          <w:sz w:val="30"/>
          <w:szCs w:val="30"/>
        </w:rPr>
        <w:t>握实验中的注意事项和化学试剂特性，严禁进行具有安全风险的操作。</w:t>
      </w:r>
    </w:p>
    <w:p>
      <w:pPr>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4.比赛期间，若突遇停电、停水等突发状况，应及时通知裁判，冷静处置。</w:t>
      </w:r>
    </w:p>
    <w:p>
      <w:pPr>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5. 参赛人员不得将承办单位提供的仪器、工具、材料等物品带出赛场。</w:t>
      </w:r>
    </w:p>
    <w:p>
      <w:pPr>
        <w:spacing w:line="560" w:lineRule="exact"/>
        <w:ind w:firstLine="600" w:firstLineChars="200"/>
        <w:rPr>
          <w:rFonts w:eastAsia="仿宋_GB2312"/>
          <w:sz w:val="30"/>
          <w:szCs w:val="30"/>
        </w:rPr>
      </w:pPr>
      <w:r>
        <w:rPr>
          <w:rFonts w:ascii="Times New Roman" w:hAnsi="Times New Roman" w:eastAsia="仿宋_GB2312"/>
          <w:sz w:val="30"/>
          <w:szCs w:val="30"/>
        </w:rPr>
        <w:t>6. 比赛过程中，参赛人员未经批准，不得进入赛场以外的区域，不</w:t>
      </w:r>
      <w:r>
        <w:rPr>
          <w:rFonts w:eastAsia="仿宋_GB2312"/>
          <w:sz w:val="30"/>
          <w:szCs w:val="30"/>
        </w:rPr>
        <w:t>准翻阅与比赛无关的资料，不准操作、使用与比赛无关的设备、仪器和试剂。</w:t>
      </w:r>
    </w:p>
    <w:p>
      <w:pPr>
        <w:snapToGrid w:val="0"/>
        <w:spacing w:line="560" w:lineRule="exact"/>
        <w:ind w:firstLine="602" w:firstLineChars="200"/>
        <w:outlineLvl w:val="1"/>
        <w:rPr>
          <w:rFonts w:ascii="Arial Narrow" w:hAnsi="Arial Narrow" w:eastAsia="仿宋_GB2312" w:cs="Arial"/>
          <w:b/>
          <w:sz w:val="30"/>
          <w:szCs w:val="30"/>
        </w:rPr>
      </w:pPr>
      <w:bookmarkStart w:id="10" w:name="_Toc468132912"/>
      <w:bookmarkStart w:id="11" w:name="_Toc414794776"/>
      <w:r>
        <w:rPr>
          <w:rFonts w:ascii="Arial Narrow" w:hAnsi="Arial Narrow" w:eastAsia="仿宋_GB2312" w:cs="Arial"/>
          <w:b/>
          <w:sz w:val="30"/>
          <w:szCs w:val="30"/>
        </w:rPr>
        <w:t>（二）赛场安全保障</w:t>
      </w:r>
      <w:bookmarkEnd w:id="10"/>
      <w:bookmarkEnd w:id="11"/>
    </w:p>
    <w:p>
      <w:pPr>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1.领队、裁判、指导教师及参赛选手等所有人员佩戴标志分别进入指定区域，并主动向安保管理人员出示。</w:t>
      </w:r>
    </w:p>
    <w:p>
      <w:pPr>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2.领队、裁判、指导教师及参赛选手等所有人员不准携带液体饮料、管制器械及易燃易爆等危险物品进入指定区域。</w:t>
      </w:r>
    </w:p>
    <w:p>
      <w:pPr>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3.领队、裁判、指导教师及参赛选手等所有人员不准在指定区域和禁烟区吸烟。</w:t>
      </w:r>
    </w:p>
    <w:p>
      <w:pPr>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4.听从指挥，在规定区域内活动，不得擅自离开。</w:t>
      </w:r>
    </w:p>
    <w:p>
      <w:pPr>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5.参赛人员要妥善保管个人财物。</w:t>
      </w:r>
    </w:p>
    <w:p>
      <w:pPr>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6.比赛期间如发生火情等特殊情况，要保持镇静，在第一时间向现场工作人员报告，并按照现场工作人员的统一指挥，参与扑救或有序撤离。</w:t>
      </w:r>
    </w:p>
    <w:p>
      <w:pPr>
        <w:spacing w:line="560" w:lineRule="exact"/>
        <w:ind w:firstLine="600" w:firstLineChars="200"/>
        <w:rPr>
          <w:rFonts w:eastAsia="仿宋_GB2312"/>
          <w:sz w:val="30"/>
          <w:szCs w:val="30"/>
        </w:rPr>
      </w:pPr>
      <w:r>
        <w:rPr>
          <w:rFonts w:ascii="Times New Roman" w:hAnsi="Times New Roman" w:eastAsia="仿宋_GB2312"/>
          <w:sz w:val="30"/>
          <w:szCs w:val="30"/>
        </w:rPr>
        <w:t>7.比赛期间一</w:t>
      </w:r>
      <w:r>
        <w:rPr>
          <w:rFonts w:eastAsia="仿宋_GB2312"/>
          <w:sz w:val="30"/>
          <w:szCs w:val="30"/>
        </w:rPr>
        <w:t>旦发生人员意外伤害或紧急突发病情，要服从现场救护人员指挥，医护人员要立即进入紧急施救状态，采取积极有效的医疗救治措施，对症处理快速解决；遇有病情严重情况时，要尽快指派专人护送病人到医院进行救治。</w:t>
      </w:r>
    </w:p>
    <w:p>
      <w:pPr>
        <w:snapToGrid w:val="0"/>
        <w:spacing w:line="560" w:lineRule="exact"/>
        <w:ind w:firstLine="602" w:firstLineChars="200"/>
        <w:outlineLvl w:val="1"/>
        <w:rPr>
          <w:rFonts w:ascii="Arial Narrow" w:hAnsi="Arial Narrow" w:eastAsia="仿宋_GB2312" w:cs="Arial"/>
          <w:b/>
          <w:sz w:val="30"/>
          <w:szCs w:val="30"/>
        </w:rPr>
      </w:pPr>
      <w:bookmarkStart w:id="12" w:name="_Toc414794777"/>
      <w:bookmarkStart w:id="13" w:name="_Toc468132913"/>
      <w:r>
        <w:rPr>
          <w:rFonts w:ascii="Arial Narrow" w:hAnsi="Arial Narrow" w:eastAsia="仿宋_GB2312" w:cs="Arial"/>
          <w:b/>
          <w:sz w:val="30"/>
          <w:szCs w:val="30"/>
        </w:rPr>
        <w:t>（三）安保工作要求</w:t>
      </w:r>
      <w:bookmarkEnd w:id="12"/>
      <w:bookmarkEnd w:id="13"/>
    </w:p>
    <w:p>
      <w:pPr>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1.在发生突发事件时安保工作负责人要掌握信息，统一布置工作，其他人员不得干扰。</w:t>
      </w:r>
    </w:p>
    <w:p>
      <w:pPr>
        <w:spacing w:line="560" w:lineRule="exact"/>
        <w:ind w:firstLine="600" w:firstLineChars="200"/>
        <w:rPr>
          <w:rFonts w:eastAsia="仿宋_GB2312"/>
          <w:sz w:val="30"/>
          <w:szCs w:val="30"/>
        </w:rPr>
      </w:pPr>
      <w:r>
        <w:rPr>
          <w:rFonts w:ascii="Times New Roman" w:hAnsi="Times New Roman" w:eastAsia="仿宋_GB2312"/>
          <w:sz w:val="30"/>
          <w:szCs w:val="30"/>
        </w:rPr>
        <w:t>2.发生</w:t>
      </w:r>
      <w:r>
        <w:rPr>
          <w:rFonts w:eastAsia="仿宋_GB2312"/>
          <w:sz w:val="30"/>
          <w:szCs w:val="30"/>
        </w:rPr>
        <w:t>突发事件时，</w:t>
      </w:r>
      <w:bookmarkStart w:id="14" w:name="OLE_LINK6"/>
      <w:r>
        <w:rPr>
          <w:rFonts w:eastAsia="仿宋_GB2312"/>
          <w:sz w:val="30"/>
          <w:szCs w:val="30"/>
        </w:rPr>
        <w:t>全体安全保卫人员必须</w:t>
      </w:r>
      <w:bookmarkEnd w:id="14"/>
      <w:r>
        <w:rPr>
          <w:rFonts w:eastAsia="仿宋_GB2312"/>
          <w:sz w:val="30"/>
          <w:szCs w:val="30"/>
        </w:rPr>
        <w:t>服从命令、听众指挥，以大局为重，不得顶撞、拖延或临时逃脱。</w:t>
      </w:r>
    </w:p>
    <w:p>
      <w:pPr>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3.突发事件发生时，全体安全保卫人员要坚守岗位、尽职尽责，在未接到撤岗指令之前，不得离开岗位。</w:t>
      </w:r>
    </w:p>
    <w:p>
      <w:pPr>
        <w:snapToGrid w:val="0"/>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4.发现安全隐患或突发事件时，现场人员应立即向保卫组汇报，保卫组接报后要火速到达案发现场，指挥并配合公安干警及安全保卫人员搞好抢救工作。</w:t>
      </w:r>
    </w:p>
    <w:p>
      <w:pPr>
        <w:snapToGrid w:val="0"/>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5.视突发事件的具体情况，分别向上级主管部门和相关部门报告，并立即启动《赛区安全保卫突发事件处理预案》。</w:t>
      </w:r>
    </w:p>
    <w:p>
      <w:pPr>
        <w:snapToGrid w:val="0"/>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6.发生火警和恶性事件时，现场人员应主动向公安机关报警并向领导汇报，立即组织抢救，以免贻误时机；启用消防应急广播，通知疏散路线，稳定人心，避免踩踏伤人。</w:t>
      </w:r>
    </w:p>
    <w:p>
      <w:pPr>
        <w:snapToGrid w:val="0"/>
        <w:spacing w:line="560" w:lineRule="exact"/>
        <w:ind w:firstLine="600" w:firstLineChars="200"/>
        <w:rPr>
          <w:rFonts w:eastAsia="仿宋_GB2312"/>
          <w:sz w:val="30"/>
          <w:szCs w:val="30"/>
        </w:rPr>
      </w:pPr>
      <w:r>
        <w:rPr>
          <w:rFonts w:ascii="Times New Roman" w:hAnsi="Times New Roman" w:eastAsia="仿宋_GB2312"/>
          <w:sz w:val="30"/>
          <w:szCs w:val="30"/>
        </w:rPr>
        <w:t>7.安全</w:t>
      </w:r>
      <w:r>
        <w:rPr>
          <w:rFonts w:eastAsia="仿宋_GB2312"/>
          <w:sz w:val="30"/>
          <w:szCs w:val="30"/>
        </w:rPr>
        <w:t>出口执勤人员，接到指令后立即打开出口门，疏导参赛人员有序撤离现场。</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十五、经费概算</w:t>
      </w:r>
    </w:p>
    <w:p>
      <w:pPr>
        <w:snapToGrid w:val="0"/>
        <w:spacing w:line="560" w:lineRule="exact"/>
        <w:ind w:firstLine="600" w:firstLineChars="200"/>
        <w:rPr>
          <w:rFonts w:eastAsia="仿宋_GB2312"/>
          <w:sz w:val="30"/>
          <w:szCs w:val="30"/>
        </w:rPr>
      </w:pPr>
      <w:r>
        <w:rPr>
          <w:rFonts w:eastAsia="仿宋_GB2312"/>
          <w:sz w:val="30"/>
          <w:szCs w:val="30"/>
        </w:rPr>
        <w:t>赛项拟筹备经费35万元。</w:t>
      </w:r>
    </w:p>
    <w:p>
      <w:pPr>
        <w:snapToGrid w:val="0"/>
        <w:spacing w:line="560" w:lineRule="exact"/>
        <w:ind w:firstLine="600" w:firstLineChars="200"/>
        <w:rPr>
          <w:rFonts w:eastAsia="仿宋_GB2312"/>
          <w:color w:val="000000" w:themeColor="text1"/>
          <w:sz w:val="30"/>
          <w:szCs w:val="30"/>
          <w14:textFill>
            <w14:solidFill>
              <w14:schemeClr w14:val="tx1"/>
            </w14:solidFill>
          </w14:textFill>
        </w:rPr>
      </w:pPr>
      <w:r>
        <w:rPr>
          <w:rFonts w:eastAsia="仿宋_GB2312"/>
          <w:color w:val="000000" w:themeColor="text1"/>
          <w:sz w:val="30"/>
          <w:szCs w:val="30"/>
          <w14:textFill>
            <w14:solidFill>
              <w14:schemeClr w14:val="tx1"/>
            </w14:solidFill>
          </w14:textFill>
        </w:rPr>
        <w:t>经费预算包括：</w:t>
      </w:r>
      <w:r>
        <w:rPr>
          <w:rFonts w:hint="eastAsia" w:eastAsia="仿宋_GB2312"/>
          <w:color w:val="000000" w:themeColor="text1"/>
          <w:sz w:val="30"/>
          <w:szCs w:val="30"/>
          <w14:textFill>
            <w14:solidFill>
              <w14:schemeClr w14:val="tx1"/>
            </w14:solidFill>
          </w14:textFill>
        </w:rPr>
        <w:t>印刷费2万元，邮寄费及咨询费</w:t>
      </w:r>
      <w:r>
        <w:rPr>
          <w:rFonts w:eastAsia="仿宋_GB2312"/>
          <w:color w:val="000000" w:themeColor="text1"/>
          <w:sz w:val="30"/>
          <w:szCs w:val="30"/>
          <w14:textFill>
            <w14:solidFill>
              <w14:schemeClr w14:val="tx1"/>
            </w14:solidFill>
          </w14:textFill>
        </w:rPr>
        <w:t>0.5万元</w:t>
      </w:r>
      <w:r>
        <w:rPr>
          <w:rFonts w:hint="eastAsia" w:eastAsia="仿宋_GB2312"/>
          <w:color w:val="000000" w:themeColor="text1"/>
          <w:sz w:val="30"/>
          <w:szCs w:val="30"/>
          <w14:textFill>
            <w14:solidFill>
              <w14:schemeClr w14:val="tx1"/>
            </w14:solidFill>
          </w14:textFill>
        </w:rPr>
        <w:t>，差旅费</w:t>
      </w:r>
      <w:r>
        <w:rPr>
          <w:rFonts w:eastAsia="仿宋_GB2312"/>
          <w:color w:val="000000" w:themeColor="text1"/>
          <w:sz w:val="30"/>
          <w:szCs w:val="30"/>
          <w14:textFill>
            <w14:solidFill>
              <w14:schemeClr w14:val="tx1"/>
            </w14:solidFill>
          </w14:textFill>
        </w:rPr>
        <w:t>2</w:t>
      </w:r>
      <w:r>
        <w:rPr>
          <w:rFonts w:hint="eastAsia" w:eastAsia="仿宋_GB2312"/>
          <w:color w:val="000000" w:themeColor="text1"/>
          <w:sz w:val="30"/>
          <w:szCs w:val="30"/>
          <w14:textFill>
            <w14:solidFill>
              <w14:schemeClr w14:val="tx1"/>
            </w14:solidFill>
          </w14:textFill>
        </w:rPr>
        <w:t>万元，专用材料费</w:t>
      </w:r>
      <w:r>
        <w:rPr>
          <w:rFonts w:eastAsia="仿宋_GB2312"/>
          <w:color w:val="000000" w:themeColor="text1"/>
          <w:sz w:val="30"/>
          <w:szCs w:val="30"/>
          <w14:textFill>
            <w14:solidFill>
              <w14:schemeClr w14:val="tx1"/>
            </w14:solidFill>
          </w14:textFill>
        </w:rPr>
        <w:t>10</w:t>
      </w:r>
      <w:r>
        <w:rPr>
          <w:rFonts w:hint="eastAsia" w:eastAsia="仿宋_GB2312"/>
          <w:color w:val="000000" w:themeColor="text1"/>
          <w:sz w:val="30"/>
          <w:szCs w:val="30"/>
          <w14:textFill>
            <w14:solidFill>
              <w14:schemeClr w14:val="tx1"/>
            </w14:solidFill>
          </w14:textFill>
        </w:rPr>
        <w:t>万元，劳务费1</w:t>
      </w:r>
      <w:r>
        <w:rPr>
          <w:rFonts w:eastAsia="仿宋_GB2312"/>
          <w:color w:val="000000" w:themeColor="text1"/>
          <w:sz w:val="30"/>
          <w:szCs w:val="30"/>
          <w14:textFill>
            <w14:solidFill>
              <w14:schemeClr w14:val="tx1"/>
            </w14:solidFill>
          </w14:textFill>
        </w:rPr>
        <w:t>0</w:t>
      </w:r>
      <w:r>
        <w:rPr>
          <w:rFonts w:hint="eastAsia" w:eastAsia="仿宋_GB2312"/>
          <w:color w:val="000000" w:themeColor="text1"/>
          <w:sz w:val="30"/>
          <w:szCs w:val="30"/>
          <w14:textFill>
            <w14:solidFill>
              <w14:schemeClr w14:val="tx1"/>
            </w14:solidFill>
          </w14:textFill>
        </w:rPr>
        <w:t>万元，会议费5万元，其他商品及服务支出 2万元，培训费1万元，其他</w:t>
      </w:r>
      <w:r>
        <w:rPr>
          <w:rFonts w:eastAsia="仿宋_GB2312"/>
          <w:color w:val="000000" w:themeColor="text1"/>
          <w:sz w:val="30"/>
          <w:szCs w:val="30"/>
          <w14:textFill>
            <w14:solidFill>
              <w14:schemeClr w14:val="tx1"/>
            </w14:solidFill>
          </w14:textFill>
        </w:rPr>
        <w:t>2.5</w:t>
      </w:r>
      <w:r>
        <w:rPr>
          <w:rFonts w:hint="eastAsia" w:eastAsia="仿宋_GB2312"/>
          <w:color w:val="000000" w:themeColor="text1"/>
          <w:sz w:val="30"/>
          <w:szCs w:val="30"/>
          <w14:textFill>
            <w14:solidFill>
              <w14:schemeClr w14:val="tx1"/>
            </w14:solidFill>
          </w14:textFill>
        </w:rPr>
        <w:t>万元。</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十六、比赛组织与管理</w:t>
      </w:r>
    </w:p>
    <w:p>
      <w:pPr>
        <w:snapToGrid w:val="0"/>
        <w:spacing w:line="560" w:lineRule="exact"/>
        <w:ind w:firstLine="600" w:firstLineChars="200"/>
        <w:rPr>
          <w:rFonts w:ascii="Arial Narrow" w:hAnsi="Arial Narrow" w:eastAsia="仿宋_GB2312" w:cs="Arial"/>
          <w:sz w:val="30"/>
          <w:szCs w:val="30"/>
        </w:rPr>
      </w:pPr>
      <w:r>
        <w:rPr>
          <w:rFonts w:hint="eastAsia" w:eastAsia="仿宋_GB2312"/>
          <w:sz w:val="30"/>
          <w:szCs w:val="30"/>
        </w:rPr>
        <w:t>本赛项</w:t>
      </w:r>
      <w:r>
        <w:rPr>
          <w:rFonts w:eastAsia="仿宋_GB2312"/>
          <w:sz w:val="30"/>
          <w:szCs w:val="30"/>
        </w:rPr>
        <w:t>由全国石油和化工职业教育教学指导委员会负责组织实施。组织机构设定专家委员会、赛项专家组</w:t>
      </w:r>
      <w:r>
        <w:rPr>
          <w:rFonts w:hint="eastAsia" w:eastAsia="仿宋_GB2312"/>
          <w:sz w:val="30"/>
          <w:szCs w:val="30"/>
        </w:rPr>
        <w:t>、</w:t>
      </w:r>
      <w:r>
        <w:rPr>
          <w:rFonts w:eastAsia="仿宋_GB2312"/>
          <w:sz w:val="30"/>
          <w:szCs w:val="30"/>
        </w:rPr>
        <w:t>项目负责人。专家委员会负责项目的宏观管理、项目监督等</w:t>
      </w:r>
      <w:r>
        <w:rPr>
          <w:rFonts w:hint="eastAsia" w:eastAsia="仿宋_GB2312"/>
          <w:sz w:val="30"/>
          <w:szCs w:val="30"/>
        </w:rPr>
        <w:t>；赛项专家组负责赛项方案、赛项规程的论证、申报、修订、裁判员培训、赛项资源转化等；</w:t>
      </w:r>
      <w:r>
        <w:rPr>
          <w:rFonts w:eastAsia="仿宋_GB2312"/>
          <w:sz w:val="30"/>
          <w:szCs w:val="30"/>
        </w:rPr>
        <w:t>项目负责人负责赛项的</w:t>
      </w:r>
      <w:r>
        <w:rPr>
          <w:rFonts w:hint="eastAsia" w:eastAsia="仿宋_GB2312"/>
          <w:sz w:val="30"/>
          <w:szCs w:val="30"/>
        </w:rPr>
        <w:t>具体</w:t>
      </w:r>
      <w:r>
        <w:rPr>
          <w:rFonts w:eastAsia="仿宋_GB2312"/>
          <w:sz w:val="30"/>
          <w:szCs w:val="30"/>
        </w:rPr>
        <w:t>实施。赛项承办校设立竞赛办公室，</w:t>
      </w:r>
      <w:r>
        <w:rPr>
          <w:rFonts w:hint="eastAsia" w:eastAsia="仿宋_GB2312"/>
          <w:sz w:val="30"/>
          <w:szCs w:val="30"/>
        </w:rPr>
        <w:t>设置</w:t>
      </w:r>
      <w:r>
        <w:rPr>
          <w:rFonts w:eastAsia="仿宋_GB2312"/>
          <w:sz w:val="30"/>
          <w:szCs w:val="30"/>
        </w:rPr>
        <w:t>六个工作组：秘书工作组、接待工作组、开闭幕仪式工作组、宣传工作组、技术工作组和校企合作工作组。本赛项将严格按照全国职业院校技能大赛执委会的相关要求</w:t>
      </w:r>
      <w:r>
        <w:rPr>
          <w:rFonts w:hint="eastAsia" w:eastAsia="仿宋_GB2312"/>
          <w:sz w:val="30"/>
          <w:szCs w:val="30"/>
        </w:rPr>
        <w:t>，</w:t>
      </w:r>
      <w:r>
        <w:rPr>
          <w:rFonts w:eastAsia="仿宋_GB2312"/>
          <w:sz w:val="30"/>
          <w:szCs w:val="30"/>
        </w:rPr>
        <w:t>认真落实各项制度</w:t>
      </w:r>
      <w:r>
        <w:rPr>
          <w:rFonts w:hint="eastAsia" w:eastAsia="仿宋_GB2312"/>
          <w:sz w:val="30"/>
          <w:szCs w:val="30"/>
        </w:rPr>
        <w:t>，</w:t>
      </w:r>
      <w:r>
        <w:rPr>
          <w:rFonts w:eastAsia="仿宋_GB2312"/>
          <w:sz w:val="30"/>
          <w:szCs w:val="30"/>
        </w:rPr>
        <w:t>分工协作</w:t>
      </w:r>
      <w:r>
        <w:rPr>
          <w:rFonts w:hint="eastAsia" w:eastAsia="仿宋_GB2312"/>
          <w:sz w:val="30"/>
          <w:szCs w:val="30"/>
        </w:rPr>
        <w:t>，</w:t>
      </w:r>
      <w:r>
        <w:rPr>
          <w:rFonts w:eastAsia="仿宋_GB2312"/>
          <w:sz w:val="30"/>
          <w:szCs w:val="30"/>
        </w:rPr>
        <w:t>密切配合</w:t>
      </w:r>
      <w:r>
        <w:rPr>
          <w:rFonts w:hint="eastAsia" w:eastAsia="仿宋_GB2312"/>
          <w:sz w:val="30"/>
          <w:szCs w:val="30"/>
        </w:rPr>
        <w:t>，</w:t>
      </w:r>
      <w:r>
        <w:rPr>
          <w:rFonts w:eastAsia="仿宋_GB2312"/>
          <w:sz w:val="30"/>
          <w:szCs w:val="30"/>
        </w:rPr>
        <w:t>组织管理到位</w:t>
      </w:r>
      <w:r>
        <w:rPr>
          <w:rFonts w:hint="eastAsia" w:eastAsia="仿宋_GB2312"/>
          <w:sz w:val="30"/>
          <w:szCs w:val="30"/>
        </w:rPr>
        <w:t>，</w:t>
      </w:r>
      <w:r>
        <w:rPr>
          <w:rFonts w:eastAsia="仿宋_GB2312"/>
          <w:sz w:val="30"/>
          <w:szCs w:val="30"/>
        </w:rPr>
        <w:t>确保赛项圆满实施</w:t>
      </w:r>
      <w:r>
        <w:rPr>
          <w:rFonts w:hint="eastAsia" w:eastAsia="仿宋_GB2312"/>
          <w:sz w:val="30"/>
          <w:szCs w:val="30"/>
        </w:rPr>
        <w:t>。</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十七、教学资源转化建设方案</w:t>
      </w:r>
    </w:p>
    <w:p>
      <w:pPr>
        <w:spacing w:line="560" w:lineRule="exact"/>
        <w:ind w:firstLine="600" w:firstLineChars="200"/>
        <w:rPr>
          <w:rFonts w:eastAsia="仿宋_GB2312"/>
          <w:sz w:val="30"/>
          <w:szCs w:val="30"/>
        </w:rPr>
      </w:pPr>
      <w:r>
        <w:rPr>
          <w:rFonts w:eastAsia="仿宋_GB2312"/>
          <w:sz w:val="30"/>
          <w:szCs w:val="30"/>
        </w:rPr>
        <w:t>1.</w:t>
      </w:r>
      <w:r>
        <w:rPr>
          <w:rFonts w:hint="eastAsia" w:eastAsia="仿宋_GB2312"/>
          <w:sz w:val="30"/>
          <w:szCs w:val="30"/>
        </w:rPr>
        <w:t>在赛项结束后</w:t>
      </w:r>
      <w:r>
        <w:rPr>
          <w:rFonts w:eastAsia="仿宋_GB2312"/>
          <w:sz w:val="30"/>
          <w:szCs w:val="30"/>
        </w:rPr>
        <w:t>30</w:t>
      </w:r>
      <w:r>
        <w:rPr>
          <w:rFonts w:hint="eastAsia" w:eastAsia="仿宋_GB2312"/>
          <w:sz w:val="30"/>
          <w:szCs w:val="30"/>
        </w:rPr>
        <w:t>日内围绕大赛风采展示、技能概要、教学单元、教学整体资源等模块，确定教学资源转化形式，完成资源转化方案设计。</w:t>
      </w:r>
    </w:p>
    <w:p>
      <w:pPr>
        <w:spacing w:line="560" w:lineRule="exact"/>
        <w:ind w:firstLine="600" w:firstLineChars="200"/>
        <w:rPr>
          <w:rFonts w:eastAsia="仿宋_GB2312"/>
          <w:sz w:val="30"/>
          <w:szCs w:val="30"/>
        </w:rPr>
      </w:pPr>
      <w:r>
        <w:rPr>
          <w:rFonts w:eastAsia="仿宋_GB2312"/>
          <w:sz w:val="30"/>
          <w:szCs w:val="30"/>
        </w:rPr>
        <w:t>2.</w:t>
      </w:r>
      <w:r>
        <w:rPr>
          <w:rFonts w:hint="eastAsia" w:eastAsia="仿宋_GB2312"/>
          <w:sz w:val="30"/>
          <w:szCs w:val="30"/>
        </w:rPr>
        <w:t>在大赛结束</w:t>
      </w:r>
      <w:r>
        <w:rPr>
          <w:rFonts w:eastAsia="仿宋_GB2312"/>
          <w:sz w:val="30"/>
          <w:szCs w:val="30"/>
        </w:rPr>
        <w:t>90</w:t>
      </w:r>
      <w:r>
        <w:rPr>
          <w:rFonts w:hint="eastAsia" w:eastAsia="仿宋_GB2312"/>
          <w:sz w:val="30"/>
          <w:szCs w:val="30"/>
        </w:rPr>
        <w:t>天内，依据竞赛项目的考核目的、技能点设置、知识应用和评价要素等关键信息，整理编制出技能训练纲要，确立训练目标、技能要点和评价指标；在大赛结束半年内，完成收集训练素材，制定教学方案和教学指导书。</w:t>
      </w:r>
    </w:p>
    <w:p>
      <w:pPr>
        <w:spacing w:line="560" w:lineRule="exact"/>
        <w:ind w:firstLine="600" w:firstLineChars="200"/>
        <w:rPr>
          <w:rFonts w:eastAsia="仿宋_GB2312"/>
          <w:sz w:val="30"/>
          <w:szCs w:val="30"/>
        </w:rPr>
      </w:pPr>
      <w:r>
        <w:rPr>
          <w:rFonts w:eastAsia="仿宋_GB2312"/>
          <w:sz w:val="30"/>
          <w:szCs w:val="30"/>
        </w:rPr>
        <w:t>3.</w:t>
      </w:r>
      <w:r>
        <w:rPr>
          <w:rFonts w:hint="eastAsia" w:eastAsia="仿宋_GB2312"/>
          <w:sz w:val="30"/>
          <w:szCs w:val="30"/>
        </w:rPr>
        <w:t>在大赛结束半年内，完成制作应用于专业教学与技能训练环节的技能点评视频、试题库。</w:t>
      </w:r>
    </w:p>
    <w:p>
      <w:pPr>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资源详细转化方案如下：</w:t>
      </w:r>
    </w:p>
    <w:tbl>
      <w:tblPr>
        <w:tblStyle w:val="1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801"/>
        <w:gridCol w:w="1976"/>
        <w:gridCol w:w="1274"/>
        <w:gridCol w:w="1417"/>
        <w:gridCol w:w="2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3541" w:type="dxa"/>
            <w:gridSpan w:val="3"/>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资源名称</w:t>
            </w:r>
          </w:p>
        </w:tc>
        <w:tc>
          <w:tcPr>
            <w:tcW w:w="1274"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表现形式</w:t>
            </w:r>
          </w:p>
        </w:tc>
        <w:tc>
          <w:tcPr>
            <w:tcW w:w="1417"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资源数量</w:t>
            </w:r>
          </w:p>
        </w:tc>
        <w:tc>
          <w:tcPr>
            <w:tcW w:w="2064"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资源要求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764" w:type="dxa"/>
            <w:vMerge w:val="restart"/>
            <w:tcBorders>
              <w:top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基</w:t>
            </w:r>
          </w:p>
          <w:p>
            <w:pPr>
              <w:jc w:val="center"/>
              <w:rPr>
                <w:rFonts w:ascii="Times New Roman" w:hAnsi="Times New Roman" w:eastAsiaTheme="minorEastAsia"/>
                <w:bCs/>
                <w:sz w:val="24"/>
                <w:szCs w:val="24"/>
              </w:rPr>
            </w:pPr>
            <w:r>
              <w:rPr>
                <w:rFonts w:ascii="Times New Roman" w:hAnsi="Times New Roman" w:eastAsiaTheme="minorEastAsia"/>
                <w:bCs/>
                <w:sz w:val="24"/>
                <w:szCs w:val="24"/>
              </w:rPr>
              <w:t>本</w:t>
            </w:r>
          </w:p>
          <w:p>
            <w:pPr>
              <w:jc w:val="center"/>
              <w:rPr>
                <w:rFonts w:ascii="Times New Roman" w:hAnsi="Times New Roman" w:eastAsiaTheme="minorEastAsia"/>
                <w:bCs/>
                <w:sz w:val="24"/>
                <w:szCs w:val="24"/>
              </w:rPr>
            </w:pPr>
            <w:r>
              <w:rPr>
                <w:rFonts w:ascii="Times New Roman" w:hAnsi="Times New Roman" w:eastAsiaTheme="minorEastAsia"/>
                <w:bCs/>
                <w:sz w:val="24"/>
                <w:szCs w:val="24"/>
              </w:rPr>
              <w:t>资</w:t>
            </w:r>
          </w:p>
          <w:p>
            <w:pPr>
              <w:jc w:val="center"/>
              <w:rPr>
                <w:rFonts w:ascii="Times New Roman" w:hAnsi="Times New Roman" w:eastAsiaTheme="minorEastAsia"/>
                <w:bCs/>
                <w:sz w:val="24"/>
                <w:szCs w:val="24"/>
              </w:rPr>
            </w:pPr>
            <w:r>
              <w:rPr>
                <w:rFonts w:ascii="Times New Roman" w:hAnsi="Times New Roman" w:eastAsiaTheme="minorEastAsia"/>
                <w:bCs/>
                <w:sz w:val="24"/>
                <w:szCs w:val="24"/>
              </w:rPr>
              <w:t>源</w:t>
            </w:r>
          </w:p>
        </w:tc>
        <w:tc>
          <w:tcPr>
            <w:tcW w:w="801" w:type="dxa"/>
            <w:vMerge w:val="restart"/>
            <w:tcBorders>
              <w:top w:val="nil"/>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风采展示</w:t>
            </w:r>
          </w:p>
        </w:tc>
        <w:tc>
          <w:tcPr>
            <w:tcW w:w="1976"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赛项宣传片</w:t>
            </w:r>
          </w:p>
        </w:tc>
        <w:tc>
          <w:tcPr>
            <w:tcW w:w="1274"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视频</w:t>
            </w:r>
          </w:p>
        </w:tc>
        <w:tc>
          <w:tcPr>
            <w:tcW w:w="1417"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1</w:t>
            </w:r>
          </w:p>
        </w:tc>
        <w:tc>
          <w:tcPr>
            <w:tcW w:w="2064" w:type="dxa"/>
            <w:tcBorders>
              <w:left w:val="nil"/>
            </w:tcBorders>
            <w:vAlign w:val="center"/>
          </w:tcPr>
          <w:p>
            <w:pPr>
              <w:snapToGrid w:val="0"/>
              <w:jc w:val="center"/>
              <w:rPr>
                <w:rFonts w:ascii="Times New Roman" w:hAnsi="Times New Roman" w:eastAsiaTheme="minorEastAsia"/>
                <w:bCs/>
                <w:sz w:val="24"/>
                <w:szCs w:val="24"/>
              </w:rPr>
            </w:pPr>
            <w:r>
              <w:rPr>
                <w:rFonts w:ascii="Times New Roman" w:hAnsi="Times New Roman" w:eastAsiaTheme="minorEastAsia"/>
                <w:bCs/>
                <w:sz w:val="24"/>
                <w:szCs w:val="24"/>
              </w:rPr>
              <w:t>15分钟以上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764" w:type="dxa"/>
            <w:vMerge w:val="continue"/>
            <w:tcBorders>
              <w:top w:val="nil"/>
            </w:tcBorders>
            <w:vAlign w:val="center"/>
          </w:tcPr>
          <w:p>
            <w:pPr>
              <w:widowControl/>
              <w:jc w:val="left"/>
              <w:rPr>
                <w:rFonts w:ascii="Times New Roman" w:hAnsi="Times New Roman" w:eastAsiaTheme="minorEastAsia"/>
                <w:bCs/>
                <w:sz w:val="24"/>
                <w:szCs w:val="24"/>
              </w:rPr>
            </w:pPr>
          </w:p>
        </w:tc>
        <w:tc>
          <w:tcPr>
            <w:tcW w:w="801" w:type="dxa"/>
            <w:vMerge w:val="continue"/>
            <w:tcBorders>
              <w:top w:val="nil"/>
              <w:left w:val="nil"/>
            </w:tcBorders>
            <w:vAlign w:val="center"/>
          </w:tcPr>
          <w:p>
            <w:pPr>
              <w:widowControl/>
              <w:jc w:val="left"/>
              <w:rPr>
                <w:rFonts w:ascii="Times New Roman" w:hAnsi="Times New Roman" w:eastAsiaTheme="minorEastAsia"/>
                <w:bCs/>
                <w:sz w:val="24"/>
                <w:szCs w:val="24"/>
              </w:rPr>
            </w:pPr>
          </w:p>
        </w:tc>
        <w:tc>
          <w:tcPr>
            <w:tcW w:w="1976"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风采展示片</w:t>
            </w:r>
          </w:p>
        </w:tc>
        <w:tc>
          <w:tcPr>
            <w:tcW w:w="1274"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视频</w:t>
            </w:r>
          </w:p>
        </w:tc>
        <w:tc>
          <w:tcPr>
            <w:tcW w:w="1417"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1</w:t>
            </w:r>
          </w:p>
        </w:tc>
        <w:tc>
          <w:tcPr>
            <w:tcW w:w="2064" w:type="dxa"/>
            <w:tcBorders>
              <w:left w:val="nil"/>
            </w:tcBorders>
            <w:vAlign w:val="center"/>
          </w:tcPr>
          <w:p>
            <w:pPr>
              <w:snapToGrid w:val="0"/>
              <w:jc w:val="center"/>
              <w:rPr>
                <w:rFonts w:ascii="Times New Roman" w:hAnsi="Times New Roman" w:eastAsiaTheme="minorEastAsia"/>
                <w:bCs/>
                <w:sz w:val="24"/>
                <w:szCs w:val="24"/>
              </w:rPr>
            </w:pPr>
            <w:r>
              <w:rPr>
                <w:rFonts w:ascii="Times New Roman" w:hAnsi="Times New Roman" w:eastAsiaTheme="minorEastAsia"/>
                <w:bCs/>
                <w:sz w:val="24"/>
                <w:szCs w:val="24"/>
              </w:rPr>
              <w:t>10分钟以上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764" w:type="dxa"/>
            <w:vMerge w:val="continue"/>
            <w:tcBorders>
              <w:top w:val="nil"/>
            </w:tcBorders>
            <w:vAlign w:val="center"/>
          </w:tcPr>
          <w:p>
            <w:pPr>
              <w:widowControl/>
              <w:jc w:val="left"/>
              <w:rPr>
                <w:rFonts w:ascii="Times New Roman" w:hAnsi="Times New Roman" w:eastAsiaTheme="minorEastAsia"/>
                <w:bCs/>
                <w:sz w:val="24"/>
                <w:szCs w:val="24"/>
              </w:rPr>
            </w:pPr>
          </w:p>
        </w:tc>
        <w:tc>
          <w:tcPr>
            <w:tcW w:w="801"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技能概要</w:t>
            </w:r>
          </w:p>
        </w:tc>
        <w:tc>
          <w:tcPr>
            <w:tcW w:w="1976"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技能介绍</w:t>
            </w:r>
          </w:p>
          <w:p>
            <w:pPr>
              <w:jc w:val="center"/>
              <w:rPr>
                <w:rFonts w:ascii="Times New Roman" w:hAnsi="Times New Roman" w:eastAsiaTheme="minorEastAsia"/>
                <w:bCs/>
                <w:sz w:val="24"/>
                <w:szCs w:val="24"/>
              </w:rPr>
            </w:pPr>
            <w:r>
              <w:rPr>
                <w:rFonts w:ascii="Times New Roman" w:hAnsi="Times New Roman" w:eastAsiaTheme="minorEastAsia"/>
                <w:bCs/>
                <w:sz w:val="24"/>
                <w:szCs w:val="24"/>
              </w:rPr>
              <w:t>技能要点</w:t>
            </w:r>
          </w:p>
          <w:p>
            <w:pPr>
              <w:jc w:val="center"/>
              <w:rPr>
                <w:rFonts w:ascii="Times New Roman" w:hAnsi="Times New Roman" w:eastAsiaTheme="minorEastAsia"/>
                <w:bCs/>
                <w:sz w:val="24"/>
                <w:szCs w:val="24"/>
              </w:rPr>
            </w:pPr>
            <w:r>
              <w:rPr>
                <w:rFonts w:ascii="Times New Roman" w:hAnsi="Times New Roman" w:eastAsiaTheme="minorEastAsia"/>
                <w:bCs/>
                <w:sz w:val="24"/>
                <w:szCs w:val="24"/>
              </w:rPr>
              <w:t>评价指标</w:t>
            </w:r>
          </w:p>
        </w:tc>
        <w:tc>
          <w:tcPr>
            <w:tcW w:w="1274"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文档</w:t>
            </w:r>
          </w:p>
        </w:tc>
        <w:tc>
          <w:tcPr>
            <w:tcW w:w="1417"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3</w:t>
            </w:r>
          </w:p>
        </w:tc>
        <w:tc>
          <w:tcPr>
            <w:tcW w:w="2064"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Pdf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764" w:type="dxa"/>
            <w:vMerge w:val="continue"/>
            <w:tcBorders>
              <w:top w:val="nil"/>
            </w:tcBorders>
            <w:vAlign w:val="center"/>
          </w:tcPr>
          <w:p>
            <w:pPr>
              <w:widowControl/>
              <w:jc w:val="left"/>
              <w:rPr>
                <w:rFonts w:ascii="Times New Roman" w:hAnsi="Times New Roman" w:eastAsiaTheme="minorEastAsia"/>
                <w:bCs/>
                <w:sz w:val="24"/>
                <w:szCs w:val="24"/>
              </w:rPr>
            </w:pPr>
          </w:p>
        </w:tc>
        <w:tc>
          <w:tcPr>
            <w:tcW w:w="801" w:type="dxa"/>
            <w:vMerge w:val="restart"/>
            <w:tcBorders>
              <w:top w:val="nil"/>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教学资源</w:t>
            </w:r>
          </w:p>
        </w:tc>
        <w:tc>
          <w:tcPr>
            <w:tcW w:w="1976"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专业教材</w:t>
            </w:r>
          </w:p>
        </w:tc>
        <w:tc>
          <w:tcPr>
            <w:tcW w:w="1274"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文档</w:t>
            </w:r>
          </w:p>
        </w:tc>
        <w:tc>
          <w:tcPr>
            <w:tcW w:w="1417"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1</w:t>
            </w:r>
          </w:p>
        </w:tc>
        <w:tc>
          <w:tcPr>
            <w:tcW w:w="2064"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电子教材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764" w:type="dxa"/>
            <w:vMerge w:val="continue"/>
            <w:tcBorders>
              <w:top w:val="nil"/>
            </w:tcBorders>
            <w:vAlign w:val="center"/>
          </w:tcPr>
          <w:p>
            <w:pPr>
              <w:widowControl/>
              <w:jc w:val="left"/>
              <w:rPr>
                <w:rFonts w:ascii="Times New Roman" w:hAnsi="Times New Roman" w:eastAsiaTheme="minorEastAsia"/>
                <w:bCs/>
                <w:sz w:val="24"/>
                <w:szCs w:val="24"/>
              </w:rPr>
            </w:pPr>
          </w:p>
        </w:tc>
        <w:tc>
          <w:tcPr>
            <w:tcW w:w="801" w:type="dxa"/>
            <w:vMerge w:val="continue"/>
            <w:tcBorders>
              <w:top w:val="nil"/>
              <w:left w:val="nil"/>
            </w:tcBorders>
            <w:vAlign w:val="center"/>
          </w:tcPr>
          <w:p>
            <w:pPr>
              <w:widowControl/>
              <w:jc w:val="left"/>
              <w:rPr>
                <w:rFonts w:ascii="Times New Roman" w:hAnsi="Times New Roman" w:eastAsiaTheme="minorEastAsia"/>
                <w:bCs/>
                <w:sz w:val="24"/>
                <w:szCs w:val="24"/>
              </w:rPr>
            </w:pPr>
          </w:p>
        </w:tc>
        <w:tc>
          <w:tcPr>
            <w:tcW w:w="1976"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技能训练指导书</w:t>
            </w:r>
          </w:p>
        </w:tc>
        <w:tc>
          <w:tcPr>
            <w:tcW w:w="1274"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文档</w:t>
            </w:r>
          </w:p>
        </w:tc>
        <w:tc>
          <w:tcPr>
            <w:tcW w:w="1417"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1</w:t>
            </w:r>
          </w:p>
        </w:tc>
        <w:tc>
          <w:tcPr>
            <w:tcW w:w="2064"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电子教材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764" w:type="dxa"/>
            <w:vMerge w:val="continue"/>
            <w:tcBorders>
              <w:top w:val="nil"/>
            </w:tcBorders>
            <w:vAlign w:val="center"/>
          </w:tcPr>
          <w:p>
            <w:pPr>
              <w:widowControl/>
              <w:jc w:val="left"/>
              <w:rPr>
                <w:rFonts w:ascii="Times New Roman" w:hAnsi="Times New Roman" w:eastAsiaTheme="minorEastAsia"/>
                <w:bCs/>
                <w:sz w:val="24"/>
                <w:szCs w:val="24"/>
              </w:rPr>
            </w:pPr>
          </w:p>
        </w:tc>
        <w:tc>
          <w:tcPr>
            <w:tcW w:w="801" w:type="dxa"/>
            <w:vMerge w:val="continue"/>
            <w:tcBorders>
              <w:top w:val="nil"/>
              <w:left w:val="nil"/>
            </w:tcBorders>
            <w:vAlign w:val="center"/>
          </w:tcPr>
          <w:p>
            <w:pPr>
              <w:widowControl/>
              <w:jc w:val="left"/>
              <w:rPr>
                <w:rFonts w:ascii="Times New Roman" w:hAnsi="Times New Roman" w:eastAsiaTheme="minorEastAsia"/>
                <w:bCs/>
                <w:sz w:val="24"/>
                <w:szCs w:val="24"/>
              </w:rPr>
            </w:pPr>
          </w:p>
        </w:tc>
        <w:tc>
          <w:tcPr>
            <w:tcW w:w="1976"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大赛作品集</w:t>
            </w:r>
          </w:p>
        </w:tc>
        <w:tc>
          <w:tcPr>
            <w:tcW w:w="1274"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视频</w:t>
            </w:r>
          </w:p>
        </w:tc>
        <w:tc>
          <w:tcPr>
            <w:tcW w:w="1417"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2</w:t>
            </w:r>
          </w:p>
        </w:tc>
        <w:tc>
          <w:tcPr>
            <w:tcW w:w="2064"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10分钟以上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764" w:type="dxa"/>
            <w:vMerge w:val="continue"/>
            <w:tcBorders>
              <w:top w:val="nil"/>
            </w:tcBorders>
            <w:vAlign w:val="center"/>
          </w:tcPr>
          <w:p>
            <w:pPr>
              <w:widowControl/>
              <w:jc w:val="left"/>
              <w:rPr>
                <w:rFonts w:ascii="Times New Roman" w:hAnsi="Times New Roman" w:eastAsiaTheme="minorEastAsia"/>
                <w:bCs/>
                <w:sz w:val="24"/>
                <w:szCs w:val="24"/>
              </w:rPr>
            </w:pPr>
          </w:p>
        </w:tc>
        <w:tc>
          <w:tcPr>
            <w:tcW w:w="801" w:type="dxa"/>
            <w:vMerge w:val="continue"/>
            <w:tcBorders>
              <w:top w:val="nil"/>
              <w:left w:val="nil"/>
            </w:tcBorders>
            <w:vAlign w:val="center"/>
          </w:tcPr>
          <w:p>
            <w:pPr>
              <w:widowControl/>
              <w:jc w:val="left"/>
              <w:rPr>
                <w:rFonts w:ascii="Times New Roman" w:hAnsi="Times New Roman" w:eastAsiaTheme="minorEastAsia"/>
                <w:bCs/>
                <w:sz w:val="24"/>
                <w:szCs w:val="24"/>
              </w:rPr>
            </w:pPr>
          </w:p>
        </w:tc>
        <w:tc>
          <w:tcPr>
            <w:tcW w:w="1976"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技能操作规程</w:t>
            </w:r>
          </w:p>
        </w:tc>
        <w:tc>
          <w:tcPr>
            <w:tcW w:w="1274"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文档</w:t>
            </w:r>
          </w:p>
        </w:tc>
        <w:tc>
          <w:tcPr>
            <w:tcW w:w="1417"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2</w:t>
            </w:r>
          </w:p>
        </w:tc>
        <w:tc>
          <w:tcPr>
            <w:tcW w:w="2064"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Pdf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764" w:type="dxa"/>
            <w:vMerge w:val="continue"/>
            <w:tcBorders>
              <w:top w:val="nil"/>
            </w:tcBorders>
            <w:vAlign w:val="center"/>
          </w:tcPr>
          <w:p>
            <w:pPr>
              <w:widowControl/>
              <w:jc w:val="left"/>
              <w:rPr>
                <w:rFonts w:ascii="Times New Roman" w:hAnsi="Times New Roman" w:eastAsiaTheme="minorEastAsia"/>
                <w:bCs/>
                <w:sz w:val="24"/>
                <w:szCs w:val="24"/>
              </w:rPr>
            </w:pPr>
          </w:p>
        </w:tc>
        <w:tc>
          <w:tcPr>
            <w:tcW w:w="801" w:type="dxa"/>
            <w:vMerge w:val="continue"/>
            <w:tcBorders>
              <w:top w:val="nil"/>
              <w:left w:val="nil"/>
            </w:tcBorders>
            <w:vAlign w:val="center"/>
          </w:tcPr>
          <w:p>
            <w:pPr>
              <w:widowControl/>
              <w:jc w:val="left"/>
              <w:rPr>
                <w:rFonts w:ascii="Times New Roman" w:hAnsi="Times New Roman" w:eastAsiaTheme="minorEastAsia"/>
                <w:bCs/>
                <w:sz w:val="24"/>
                <w:szCs w:val="24"/>
              </w:rPr>
            </w:pPr>
          </w:p>
        </w:tc>
        <w:tc>
          <w:tcPr>
            <w:tcW w:w="1976"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实践操作标准视频</w:t>
            </w:r>
          </w:p>
        </w:tc>
        <w:tc>
          <w:tcPr>
            <w:tcW w:w="1274"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视频</w:t>
            </w:r>
          </w:p>
        </w:tc>
        <w:tc>
          <w:tcPr>
            <w:tcW w:w="1417"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≥6</w:t>
            </w:r>
          </w:p>
        </w:tc>
        <w:tc>
          <w:tcPr>
            <w:tcW w:w="2064"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5分钟以上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764" w:type="dxa"/>
            <w:vMerge w:val="restart"/>
            <w:tcBorders>
              <w:top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拓</w:t>
            </w:r>
          </w:p>
          <w:p>
            <w:pPr>
              <w:jc w:val="center"/>
              <w:rPr>
                <w:rFonts w:ascii="Times New Roman" w:hAnsi="Times New Roman" w:eastAsiaTheme="minorEastAsia"/>
                <w:bCs/>
                <w:sz w:val="24"/>
                <w:szCs w:val="24"/>
              </w:rPr>
            </w:pPr>
            <w:r>
              <w:rPr>
                <w:rFonts w:ascii="Times New Roman" w:hAnsi="Times New Roman" w:eastAsiaTheme="minorEastAsia"/>
                <w:bCs/>
                <w:sz w:val="24"/>
                <w:szCs w:val="24"/>
              </w:rPr>
              <w:t>展</w:t>
            </w:r>
          </w:p>
          <w:p>
            <w:pPr>
              <w:jc w:val="center"/>
              <w:rPr>
                <w:rFonts w:ascii="Times New Roman" w:hAnsi="Times New Roman" w:eastAsiaTheme="minorEastAsia"/>
                <w:bCs/>
                <w:sz w:val="24"/>
                <w:szCs w:val="24"/>
              </w:rPr>
            </w:pPr>
            <w:r>
              <w:rPr>
                <w:rFonts w:ascii="Times New Roman" w:hAnsi="Times New Roman" w:eastAsiaTheme="minorEastAsia"/>
                <w:bCs/>
                <w:sz w:val="24"/>
                <w:szCs w:val="24"/>
              </w:rPr>
              <w:t>资</w:t>
            </w:r>
          </w:p>
          <w:p>
            <w:pPr>
              <w:jc w:val="center"/>
              <w:rPr>
                <w:rFonts w:ascii="Times New Roman" w:hAnsi="Times New Roman" w:eastAsiaTheme="minorEastAsia"/>
                <w:bCs/>
                <w:sz w:val="24"/>
                <w:szCs w:val="24"/>
              </w:rPr>
            </w:pPr>
            <w:r>
              <w:rPr>
                <w:rFonts w:ascii="Times New Roman" w:hAnsi="Times New Roman" w:eastAsiaTheme="minorEastAsia"/>
                <w:bCs/>
                <w:sz w:val="24"/>
                <w:szCs w:val="24"/>
              </w:rPr>
              <w:t>源</w:t>
            </w:r>
          </w:p>
        </w:tc>
        <w:tc>
          <w:tcPr>
            <w:tcW w:w="2777" w:type="dxa"/>
            <w:gridSpan w:val="2"/>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案例库</w:t>
            </w:r>
          </w:p>
        </w:tc>
        <w:tc>
          <w:tcPr>
            <w:tcW w:w="1274" w:type="dxa"/>
            <w:tcBorders>
              <w:left w:val="nil"/>
            </w:tcBorders>
            <w:vAlign w:val="center"/>
          </w:tcPr>
          <w:p>
            <w:pPr>
              <w:jc w:val="center"/>
              <w:rPr>
                <w:rFonts w:ascii="Times New Roman" w:hAnsi="Times New Roman" w:eastAsiaTheme="minorEastAsia"/>
                <w:bCs/>
                <w:sz w:val="24"/>
                <w:szCs w:val="24"/>
              </w:rPr>
            </w:pPr>
          </w:p>
        </w:tc>
        <w:tc>
          <w:tcPr>
            <w:tcW w:w="1417"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1</w:t>
            </w:r>
          </w:p>
        </w:tc>
        <w:tc>
          <w:tcPr>
            <w:tcW w:w="2064"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不少于5个案例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764" w:type="dxa"/>
            <w:vMerge w:val="continue"/>
            <w:tcBorders>
              <w:top w:val="nil"/>
            </w:tcBorders>
            <w:vAlign w:val="center"/>
          </w:tcPr>
          <w:p>
            <w:pPr>
              <w:widowControl/>
              <w:jc w:val="left"/>
              <w:rPr>
                <w:rFonts w:ascii="Times New Roman" w:hAnsi="Times New Roman" w:eastAsiaTheme="minorEastAsia"/>
                <w:bCs/>
                <w:sz w:val="24"/>
                <w:szCs w:val="24"/>
              </w:rPr>
            </w:pPr>
          </w:p>
        </w:tc>
        <w:tc>
          <w:tcPr>
            <w:tcW w:w="2777" w:type="dxa"/>
            <w:gridSpan w:val="2"/>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素材资源库</w:t>
            </w:r>
          </w:p>
        </w:tc>
        <w:tc>
          <w:tcPr>
            <w:tcW w:w="1274" w:type="dxa"/>
            <w:tcBorders>
              <w:left w:val="nil"/>
            </w:tcBorders>
            <w:vAlign w:val="center"/>
          </w:tcPr>
          <w:p>
            <w:pPr>
              <w:jc w:val="center"/>
              <w:rPr>
                <w:rFonts w:ascii="Times New Roman" w:hAnsi="Times New Roman" w:eastAsiaTheme="minorEastAsia"/>
                <w:bCs/>
                <w:sz w:val="24"/>
                <w:szCs w:val="24"/>
              </w:rPr>
            </w:pPr>
          </w:p>
        </w:tc>
        <w:tc>
          <w:tcPr>
            <w:tcW w:w="1417"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1</w:t>
            </w:r>
          </w:p>
        </w:tc>
        <w:tc>
          <w:tcPr>
            <w:tcW w:w="2064"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不少于40个资源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764" w:type="dxa"/>
            <w:vMerge w:val="continue"/>
            <w:tcBorders>
              <w:top w:val="nil"/>
            </w:tcBorders>
            <w:vAlign w:val="center"/>
          </w:tcPr>
          <w:p>
            <w:pPr>
              <w:widowControl/>
              <w:jc w:val="left"/>
              <w:rPr>
                <w:rFonts w:ascii="Times New Roman" w:hAnsi="Times New Roman" w:eastAsiaTheme="minorEastAsia"/>
                <w:bCs/>
                <w:sz w:val="24"/>
                <w:szCs w:val="24"/>
              </w:rPr>
            </w:pPr>
          </w:p>
        </w:tc>
        <w:tc>
          <w:tcPr>
            <w:tcW w:w="2777" w:type="dxa"/>
            <w:gridSpan w:val="2"/>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试题库</w:t>
            </w:r>
          </w:p>
        </w:tc>
        <w:tc>
          <w:tcPr>
            <w:tcW w:w="1274" w:type="dxa"/>
            <w:tcBorders>
              <w:left w:val="nil"/>
            </w:tcBorders>
            <w:vAlign w:val="center"/>
          </w:tcPr>
          <w:p>
            <w:pPr>
              <w:jc w:val="center"/>
              <w:rPr>
                <w:rFonts w:ascii="Times New Roman" w:hAnsi="Times New Roman" w:eastAsiaTheme="minorEastAsia"/>
                <w:bCs/>
                <w:sz w:val="24"/>
                <w:szCs w:val="24"/>
              </w:rPr>
            </w:pPr>
          </w:p>
        </w:tc>
        <w:tc>
          <w:tcPr>
            <w:tcW w:w="1417"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1</w:t>
            </w:r>
          </w:p>
        </w:tc>
        <w:tc>
          <w:tcPr>
            <w:tcW w:w="2064"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不少于2000道题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764" w:type="dxa"/>
            <w:vMerge w:val="continue"/>
            <w:tcBorders>
              <w:top w:val="nil"/>
            </w:tcBorders>
            <w:vAlign w:val="center"/>
          </w:tcPr>
          <w:p>
            <w:pPr>
              <w:widowControl/>
              <w:jc w:val="left"/>
              <w:rPr>
                <w:rFonts w:ascii="Times New Roman" w:hAnsi="Times New Roman" w:eastAsiaTheme="minorEastAsia"/>
                <w:bCs/>
                <w:sz w:val="24"/>
                <w:szCs w:val="24"/>
              </w:rPr>
            </w:pPr>
          </w:p>
        </w:tc>
        <w:tc>
          <w:tcPr>
            <w:tcW w:w="2777" w:type="dxa"/>
            <w:gridSpan w:val="2"/>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优秀选手访谈</w:t>
            </w:r>
          </w:p>
        </w:tc>
        <w:tc>
          <w:tcPr>
            <w:tcW w:w="1274"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视频</w:t>
            </w:r>
          </w:p>
        </w:tc>
        <w:tc>
          <w:tcPr>
            <w:tcW w:w="1417"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≥2</w:t>
            </w:r>
          </w:p>
        </w:tc>
        <w:tc>
          <w:tcPr>
            <w:tcW w:w="2064" w:type="dxa"/>
            <w:tcBorders>
              <w:left w:val="nil"/>
            </w:tcBorders>
            <w:vAlign w:val="center"/>
          </w:tcPr>
          <w:p>
            <w:pPr>
              <w:snapToGrid w:val="0"/>
              <w:jc w:val="center"/>
              <w:rPr>
                <w:rFonts w:ascii="Times New Roman" w:hAnsi="Times New Roman" w:eastAsiaTheme="minorEastAsia"/>
                <w:bCs/>
                <w:sz w:val="24"/>
                <w:szCs w:val="24"/>
              </w:rPr>
            </w:pPr>
            <w:r>
              <w:rPr>
                <w:rFonts w:ascii="Times New Roman" w:hAnsi="Times New Roman" w:eastAsiaTheme="minorEastAsia"/>
                <w:bCs/>
                <w:sz w:val="24"/>
                <w:szCs w:val="24"/>
              </w:rPr>
              <w:t>5分钟以上</w:t>
            </w:r>
          </w:p>
        </w:tc>
      </w:tr>
    </w:tbl>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十八、筹备工作进度时间表</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依据赛项筹备工作，制定筹备工作时间进度表。</w:t>
      </w:r>
    </w:p>
    <w:tbl>
      <w:tblPr>
        <w:tblStyle w:val="1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3503"/>
        <w:gridCol w:w="4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 w:type="dxa"/>
          </w:tcPr>
          <w:p>
            <w:pPr>
              <w:jc w:val="center"/>
              <w:rPr>
                <w:rFonts w:asciiTheme="minorEastAsia" w:hAnsiTheme="minorEastAsia" w:eastAsiaTheme="minorEastAsia"/>
                <w:bCs/>
                <w:sz w:val="24"/>
                <w:szCs w:val="24"/>
              </w:rPr>
            </w:pPr>
            <w:r>
              <w:rPr>
                <w:rFonts w:asciiTheme="minorEastAsia" w:hAnsiTheme="minorEastAsia" w:eastAsiaTheme="minorEastAsia"/>
                <w:bCs/>
                <w:sz w:val="24"/>
                <w:szCs w:val="24"/>
              </w:rPr>
              <w:t>序号</w:t>
            </w:r>
          </w:p>
        </w:tc>
        <w:tc>
          <w:tcPr>
            <w:tcW w:w="3503" w:type="dxa"/>
          </w:tcPr>
          <w:p>
            <w:pPr>
              <w:jc w:val="center"/>
              <w:rPr>
                <w:rFonts w:asciiTheme="minorEastAsia" w:hAnsiTheme="minorEastAsia" w:eastAsiaTheme="minorEastAsia"/>
                <w:bCs/>
                <w:sz w:val="24"/>
                <w:szCs w:val="24"/>
              </w:rPr>
            </w:pPr>
            <w:r>
              <w:rPr>
                <w:rFonts w:asciiTheme="minorEastAsia" w:hAnsiTheme="minorEastAsia" w:eastAsiaTheme="minorEastAsia"/>
                <w:bCs/>
                <w:sz w:val="24"/>
                <w:szCs w:val="24"/>
              </w:rPr>
              <w:t>时间</w:t>
            </w:r>
          </w:p>
        </w:tc>
        <w:tc>
          <w:tcPr>
            <w:tcW w:w="4220" w:type="dxa"/>
          </w:tcPr>
          <w:p>
            <w:pPr>
              <w:jc w:val="center"/>
              <w:rPr>
                <w:rFonts w:asciiTheme="minorEastAsia" w:hAnsiTheme="minorEastAsia" w:eastAsiaTheme="minorEastAsia"/>
                <w:bCs/>
                <w:sz w:val="24"/>
                <w:szCs w:val="24"/>
              </w:rPr>
            </w:pPr>
            <w:r>
              <w:rPr>
                <w:rFonts w:asciiTheme="minorEastAsia" w:hAnsiTheme="minorEastAsia" w:eastAsiaTheme="minorEastAsia"/>
                <w:bCs/>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 w:type="dxa"/>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1</w:t>
            </w:r>
          </w:p>
        </w:tc>
        <w:tc>
          <w:tcPr>
            <w:tcW w:w="3503" w:type="dxa"/>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2018年6月～2018年7月</w:t>
            </w:r>
          </w:p>
        </w:tc>
        <w:tc>
          <w:tcPr>
            <w:tcW w:w="4220" w:type="dxa"/>
          </w:tcPr>
          <w:p>
            <w:pPr>
              <w:jc w:val="center"/>
              <w:rPr>
                <w:rFonts w:ascii="Times New Roman" w:hAnsi="Times New Roman" w:eastAsiaTheme="minorEastAsia"/>
                <w:bCs/>
                <w:sz w:val="24"/>
                <w:szCs w:val="24"/>
              </w:rPr>
            </w:pPr>
            <w:r>
              <w:rPr>
                <w:rFonts w:ascii="Times New Roman" w:hAnsi="Times New Roman" w:eastAsiaTheme="minorEastAsia"/>
                <w:bCs/>
                <w:sz w:val="24"/>
                <w:szCs w:val="24"/>
              </w:rPr>
              <w:t>机构设定，规程与方案制定、细化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 w:type="dxa"/>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2</w:t>
            </w:r>
          </w:p>
        </w:tc>
        <w:tc>
          <w:tcPr>
            <w:tcW w:w="3503" w:type="dxa"/>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2018年8月</w:t>
            </w:r>
          </w:p>
        </w:tc>
        <w:tc>
          <w:tcPr>
            <w:tcW w:w="4220" w:type="dxa"/>
          </w:tcPr>
          <w:p>
            <w:pPr>
              <w:jc w:val="center"/>
              <w:rPr>
                <w:rFonts w:ascii="Times New Roman" w:hAnsi="Times New Roman" w:eastAsiaTheme="minorEastAsia"/>
                <w:bCs/>
                <w:sz w:val="24"/>
                <w:szCs w:val="24"/>
              </w:rPr>
            </w:pPr>
            <w:r>
              <w:rPr>
                <w:rFonts w:ascii="Times New Roman" w:hAnsi="Times New Roman" w:eastAsiaTheme="minorEastAsia"/>
                <w:bCs/>
                <w:sz w:val="24"/>
                <w:szCs w:val="24"/>
              </w:rPr>
              <w:t>石化行业专家会议，审定方案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 w:type="dxa"/>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3</w:t>
            </w:r>
          </w:p>
        </w:tc>
        <w:tc>
          <w:tcPr>
            <w:tcW w:w="3503" w:type="dxa"/>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2018年9月~2018年12月</w:t>
            </w:r>
          </w:p>
        </w:tc>
        <w:tc>
          <w:tcPr>
            <w:tcW w:w="4220" w:type="dxa"/>
          </w:tcPr>
          <w:p>
            <w:pPr>
              <w:jc w:val="center"/>
              <w:rPr>
                <w:rFonts w:ascii="Times New Roman" w:hAnsi="Times New Roman" w:eastAsiaTheme="minorEastAsia"/>
                <w:bCs/>
                <w:sz w:val="24"/>
                <w:szCs w:val="24"/>
              </w:rPr>
            </w:pPr>
            <w:r>
              <w:rPr>
                <w:rFonts w:ascii="Times New Roman" w:hAnsi="Times New Roman" w:eastAsiaTheme="minorEastAsia"/>
                <w:bCs/>
                <w:sz w:val="24"/>
                <w:szCs w:val="24"/>
              </w:rPr>
              <w:t>全国专家进行方案论证及意见征求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 w:type="dxa"/>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4</w:t>
            </w:r>
          </w:p>
        </w:tc>
        <w:tc>
          <w:tcPr>
            <w:tcW w:w="3503" w:type="dxa"/>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2019年3月</w:t>
            </w:r>
          </w:p>
        </w:tc>
        <w:tc>
          <w:tcPr>
            <w:tcW w:w="4220" w:type="dxa"/>
          </w:tcPr>
          <w:p>
            <w:pPr>
              <w:jc w:val="center"/>
              <w:rPr>
                <w:rFonts w:ascii="Times New Roman" w:hAnsi="Times New Roman" w:eastAsiaTheme="minorEastAsia"/>
                <w:bCs/>
                <w:sz w:val="24"/>
                <w:szCs w:val="24"/>
              </w:rPr>
            </w:pPr>
            <w:r>
              <w:rPr>
                <w:rFonts w:ascii="Times New Roman" w:hAnsi="Times New Roman" w:eastAsiaTheme="minorEastAsia"/>
                <w:bCs/>
                <w:sz w:val="24"/>
                <w:szCs w:val="24"/>
              </w:rPr>
              <w:t>方案说明会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 w:type="dxa"/>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5</w:t>
            </w:r>
          </w:p>
        </w:tc>
        <w:tc>
          <w:tcPr>
            <w:tcW w:w="3503" w:type="dxa"/>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2019年3月</w:t>
            </w:r>
          </w:p>
        </w:tc>
        <w:tc>
          <w:tcPr>
            <w:tcW w:w="4220" w:type="dxa"/>
          </w:tcPr>
          <w:p>
            <w:pPr>
              <w:jc w:val="center"/>
              <w:rPr>
                <w:rFonts w:ascii="Times New Roman" w:hAnsi="Times New Roman" w:eastAsiaTheme="minorEastAsia"/>
                <w:bCs/>
                <w:sz w:val="24"/>
                <w:szCs w:val="24"/>
              </w:rPr>
            </w:pPr>
            <w:r>
              <w:rPr>
                <w:rFonts w:ascii="Times New Roman" w:hAnsi="Times New Roman" w:eastAsiaTheme="minorEastAsia"/>
                <w:bCs/>
                <w:sz w:val="24"/>
                <w:szCs w:val="24"/>
              </w:rPr>
              <w:t>赛项准备，仪器设备调整配置，耗材购进，软件初步测试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 w:type="dxa"/>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6</w:t>
            </w:r>
          </w:p>
        </w:tc>
        <w:tc>
          <w:tcPr>
            <w:tcW w:w="3503" w:type="dxa"/>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2019年4月</w:t>
            </w:r>
          </w:p>
        </w:tc>
        <w:tc>
          <w:tcPr>
            <w:tcW w:w="4220" w:type="dxa"/>
          </w:tcPr>
          <w:p>
            <w:pPr>
              <w:jc w:val="center"/>
              <w:rPr>
                <w:rFonts w:ascii="Times New Roman" w:hAnsi="Times New Roman" w:eastAsiaTheme="minorEastAsia"/>
                <w:bCs/>
                <w:sz w:val="24"/>
                <w:szCs w:val="24"/>
              </w:rPr>
            </w:pPr>
            <w:r>
              <w:rPr>
                <w:rFonts w:ascii="Times New Roman" w:hAnsi="Times New Roman" w:eastAsiaTheme="minorEastAsia"/>
                <w:bCs/>
                <w:sz w:val="24"/>
                <w:szCs w:val="24"/>
              </w:rPr>
              <w:t>赛场工作细化准备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 w:type="dxa"/>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7</w:t>
            </w:r>
          </w:p>
        </w:tc>
        <w:tc>
          <w:tcPr>
            <w:tcW w:w="3503" w:type="dxa"/>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2019年4月</w:t>
            </w:r>
          </w:p>
        </w:tc>
        <w:tc>
          <w:tcPr>
            <w:tcW w:w="4220" w:type="dxa"/>
          </w:tcPr>
          <w:p>
            <w:pPr>
              <w:jc w:val="center"/>
              <w:rPr>
                <w:rFonts w:ascii="Times New Roman" w:hAnsi="Times New Roman" w:eastAsiaTheme="minorEastAsia"/>
                <w:bCs/>
                <w:sz w:val="24"/>
                <w:szCs w:val="24"/>
              </w:rPr>
            </w:pPr>
            <w:r>
              <w:rPr>
                <w:rFonts w:ascii="Times New Roman" w:hAnsi="Times New Roman" w:eastAsiaTheme="minorEastAsia"/>
                <w:bCs/>
                <w:sz w:val="24"/>
                <w:szCs w:val="24"/>
              </w:rPr>
              <w:t>全面测试，模拟比赛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 w:type="dxa"/>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8</w:t>
            </w:r>
          </w:p>
        </w:tc>
        <w:tc>
          <w:tcPr>
            <w:tcW w:w="3503" w:type="dxa"/>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2019年5月上旬</w:t>
            </w:r>
          </w:p>
        </w:tc>
        <w:tc>
          <w:tcPr>
            <w:tcW w:w="4220" w:type="dxa"/>
          </w:tcPr>
          <w:p>
            <w:pPr>
              <w:jc w:val="center"/>
              <w:rPr>
                <w:rFonts w:ascii="Times New Roman" w:hAnsi="Times New Roman" w:eastAsiaTheme="minorEastAsia"/>
                <w:bCs/>
                <w:sz w:val="24"/>
                <w:szCs w:val="24"/>
              </w:rPr>
            </w:pPr>
            <w:r>
              <w:rPr>
                <w:rFonts w:ascii="Times New Roman" w:hAnsi="Times New Roman" w:eastAsiaTheme="minorEastAsia"/>
                <w:bCs/>
                <w:sz w:val="24"/>
                <w:szCs w:val="24"/>
              </w:rPr>
              <w:t>比赛</w:t>
            </w:r>
          </w:p>
        </w:tc>
      </w:tr>
    </w:tbl>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十九、裁判人员建议</w:t>
      </w:r>
    </w:p>
    <w:p>
      <w:pPr>
        <w:snapToGrid w:val="0"/>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（1）竞赛拟向全国化工行业征聘具有高级考评员或全国大赛裁判员资格10名高级工程师作为竞赛裁判员。</w:t>
      </w:r>
    </w:p>
    <w:p>
      <w:pPr>
        <w:snapToGrid w:val="0"/>
        <w:spacing w:line="560" w:lineRule="exact"/>
        <w:ind w:firstLine="600" w:firstLineChars="200"/>
        <w:rPr>
          <w:rFonts w:eastAsia="仿宋_GB2312"/>
          <w:sz w:val="30"/>
          <w:szCs w:val="30"/>
        </w:rPr>
      </w:pPr>
      <w:r>
        <w:rPr>
          <w:rFonts w:ascii="Times New Roman" w:hAnsi="Times New Roman" w:eastAsia="仿宋_GB2312"/>
          <w:sz w:val="30"/>
          <w:szCs w:val="30"/>
        </w:rPr>
        <w:t>（2）竞赛拟向全国高职院校征聘具有高级考评员或全国大赛裁判员资</w:t>
      </w:r>
      <w:r>
        <w:rPr>
          <w:rFonts w:eastAsia="仿宋_GB2312"/>
          <w:sz w:val="30"/>
          <w:szCs w:val="30"/>
        </w:rPr>
        <w:t>格15名高级职称教师作为竞赛裁判员。</w:t>
      </w:r>
    </w:p>
    <w:p>
      <w:pPr>
        <w:snapToGrid w:val="0"/>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（3）竞赛拟向全国中职学校征聘具有高级考评员或全国大赛裁判员资格10名教师高级职称教师作为竞赛裁判员。</w:t>
      </w:r>
    </w:p>
    <w:p>
      <w:pPr>
        <w:snapToGrid w:val="0"/>
        <w:spacing w:line="560" w:lineRule="exact"/>
        <w:ind w:firstLine="600" w:firstLineChars="200"/>
        <w:rPr>
          <w:rFonts w:eastAsia="仿宋_GB2312"/>
          <w:sz w:val="30"/>
          <w:szCs w:val="30"/>
        </w:rPr>
      </w:pPr>
      <w:r>
        <w:rPr>
          <w:rFonts w:ascii="Times New Roman" w:hAnsi="Times New Roman" w:eastAsia="仿宋_GB2312"/>
          <w:sz w:val="30"/>
          <w:szCs w:val="30"/>
        </w:rPr>
        <w:t>（4）征聘的竞赛裁判员在竞赛前要经过严格的培训和考核，经考核合格</w:t>
      </w:r>
      <w:r>
        <w:rPr>
          <w:rFonts w:eastAsia="仿宋_GB2312"/>
          <w:sz w:val="30"/>
          <w:szCs w:val="30"/>
        </w:rPr>
        <w:t>的裁判员签订责任状。裁判员在执裁过程中要严格遵守裁判员纪律。</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以上征集的裁判均邀请至少具有</w:t>
      </w:r>
      <w:r>
        <w:rPr>
          <w:rFonts w:ascii="Times New Roman" w:hAnsi="Times New Roman" w:eastAsia="仿宋_GB2312"/>
          <w:sz w:val="30"/>
          <w:szCs w:val="30"/>
        </w:rPr>
        <w:t>2次以上的</w:t>
      </w:r>
      <w:r>
        <w:rPr>
          <w:rFonts w:hint="eastAsia" w:ascii="Times New Roman" w:hAnsi="Times New Roman" w:eastAsia="仿宋_GB2312"/>
          <w:sz w:val="30"/>
          <w:szCs w:val="30"/>
        </w:rPr>
        <w:t>省市级</w:t>
      </w:r>
      <w:r>
        <w:rPr>
          <w:rFonts w:ascii="Times New Roman" w:hAnsi="Times New Roman" w:eastAsia="仿宋_GB2312"/>
          <w:sz w:val="30"/>
          <w:szCs w:val="30"/>
        </w:rPr>
        <w:t>以上大赛执裁经历。</w:t>
      </w:r>
    </w:p>
    <w:tbl>
      <w:tblPr>
        <w:tblStyle w:val="13"/>
        <w:tblpPr w:leftFromText="180" w:rightFromText="180" w:vertAnchor="text" w:horzAnchor="margin" w:tblpXSpec="center" w:tblpY="8"/>
        <w:tblW w:w="828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339"/>
        <w:gridCol w:w="1622"/>
        <w:gridCol w:w="1447"/>
        <w:gridCol w:w="1995"/>
        <w:gridCol w:w="7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4" w:type="dxa"/>
            <w:tcBorders>
              <w:top w:val="single" w:color="auto" w:sz="8" w:space="0"/>
              <w:left w:val="single" w:color="auto" w:sz="8"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000000"/>
                <w:sz w:val="24"/>
                <w:szCs w:val="24"/>
              </w:rPr>
            </w:pPr>
            <w:r>
              <w:rPr>
                <w:rFonts w:ascii="Times New Roman" w:hAnsi="Times New Roman" w:eastAsiaTheme="minorEastAsia"/>
                <w:color w:val="000000"/>
                <w:sz w:val="24"/>
                <w:szCs w:val="24"/>
              </w:rPr>
              <w:t>序号</w:t>
            </w:r>
          </w:p>
        </w:tc>
        <w:tc>
          <w:tcPr>
            <w:tcW w:w="1339"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000000"/>
                <w:sz w:val="24"/>
                <w:szCs w:val="24"/>
              </w:rPr>
            </w:pPr>
            <w:r>
              <w:rPr>
                <w:rFonts w:ascii="Times New Roman" w:hAnsi="Times New Roman" w:eastAsiaTheme="minorEastAsia"/>
                <w:color w:val="000000"/>
                <w:sz w:val="24"/>
                <w:szCs w:val="24"/>
              </w:rPr>
              <w:t>专业技术方向</w:t>
            </w:r>
          </w:p>
        </w:tc>
        <w:tc>
          <w:tcPr>
            <w:tcW w:w="1622"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000000"/>
                <w:sz w:val="24"/>
                <w:szCs w:val="24"/>
              </w:rPr>
            </w:pPr>
            <w:r>
              <w:rPr>
                <w:rFonts w:ascii="Times New Roman" w:hAnsi="Times New Roman" w:eastAsiaTheme="minorEastAsia"/>
                <w:color w:val="000000"/>
                <w:sz w:val="24"/>
                <w:szCs w:val="24"/>
              </w:rPr>
              <w:t>知识能力</w:t>
            </w:r>
          </w:p>
          <w:p>
            <w:pPr>
              <w:adjustRightInd w:val="0"/>
              <w:snapToGrid w:val="0"/>
              <w:jc w:val="center"/>
              <w:rPr>
                <w:rFonts w:ascii="Times New Roman" w:hAnsi="Times New Roman" w:eastAsiaTheme="minorEastAsia"/>
                <w:color w:val="000000"/>
                <w:sz w:val="24"/>
                <w:szCs w:val="24"/>
              </w:rPr>
            </w:pPr>
            <w:r>
              <w:rPr>
                <w:rFonts w:ascii="Times New Roman" w:hAnsi="Times New Roman" w:eastAsiaTheme="minorEastAsia"/>
                <w:color w:val="000000"/>
                <w:sz w:val="24"/>
                <w:szCs w:val="24"/>
              </w:rPr>
              <w:t>要求</w:t>
            </w:r>
          </w:p>
        </w:tc>
        <w:tc>
          <w:tcPr>
            <w:tcW w:w="1447"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000000"/>
                <w:sz w:val="24"/>
                <w:szCs w:val="24"/>
              </w:rPr>
            </w:pPr>
            <w:r>
              <w:rPr>
                <w:rFonts w:ascii="Times New Roman" w:hAnsi="Times New Roman" w:eastAsiaTheme="minorEastAsia"/>
                <w:color w:val="000000"/>
                <w:sz w:val="24"/>
                <w:szCs w:val="24"/>
              </w:rPr>
              <w:t>执裁、教学、工作经历</w:t>
            </w:r>
          </w:p>
        </w:tc>
        <w:tc>
          <w:tcPr>
            <w:tcW w:w="1995"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000000"/>
                <w:sz w:val="24"/>
                <w:szCs w:val="24"/>
              </w:rPr>
            </w:pPr>
            <w:r>
              <w:rPr>
                <w:rFonts w:ascii="Times New Roman" w:hAnsi="Times New Roman" w:eastAsiaTheme="minorEastAsia"/>
                <w:color w:val="000000"/>
                <w:sz w:val="24"/>
                <w:szCs w:val="24"/>
              </w:rPr>
              <w:t>专业技术职称</w:t>
            </w:r>
          </w:p>
          <w:p>
            <w:pPr>
              <w:adjustRightInd w:val="0"/>
              <w:snapToGrid w:val="0"/>
              <w:jc w:val="center"/>
              <w:rPr>
                <w:rFonts w:ascii="Times New Roman" w:hAnsi="Times New Roman" w:eastAsiaTheme="minorEastAsia"/>
                <w:color w:val="000000"/>
                <w:sz w:val="24"/>
                <w:szCs w:val="24"/>
              </w:rPr>
            </w:pPr>
            <w:r>
              <w:rPr>
                <w:rFonts w:ascii="Times New Roman" w:hAnsi="Times New Roman" w:eastAsiaTheme="minorEastAsia"/>
                <w:color w:val="000000"/>
                <w:sz w:val="24"/>
                <w:szCs w:val="24"/>
              </w:rPr>
              <w:t>（职业资格等级）</w:t>
            </w:r>
          </w:p>
        </w:tc>
        <w:tc>
          <w:tcPr>
            <w:tcW w:w="759" w:type="dxa"/>
            <w:tcBorders>
              <w:top w:val="single" w:color="auto" w:sz="8" w:space="0"/>
              <w:left w:val="single" w:color="auto" w:sz="4" w:space="0"/>
              <w:bottom w:val="single" w:color="auto" w:sz="4" w:space="0"/>
              <w:right w:val="single" w:color="auto" w:sz="8" w:space="0"/>
            </w:tcBorders>
            <w:vAlign w:val="center"/>
          </w:tcPr>
          <w:p>
            <w:pPr>
              <w:adjustRightInd w:val="0"/>
              <w:snapToGrid w:val="0"/>
              <w:jc w:val="center"/>
              <w:rPr>
                <w:rFonts w:ascii="Times New Roman" w:hAnsi="Times New Roman" w:eastAsiaTheme="minorEastAsia"/>
                <w:color w:val="000000"/>
                <w:sz w:val="24"/>
                <w:szCs w:val="24"/>
              </w:rPr>
            </w:pPr>
            <w:r>
              <w:rPr>
                <w:rFonts w:ascii="Times New Roman" w:hAnsi="Times New Roman" w:eastAsiaTheme="minorEastAsia"/>
                <w:color w:val="000000"/>
                <w:sz w:val="24"/>
                <w:szCs w:val="24"/>
              </w:rPr>
              <w:t>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4"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000000"/>
                <w:sz w:val="24"/>
                <w:szCs w:val="24"/>
              </w:rPr>
            </w:pPr>
            <w:r>
              <w:rPr>
                <w:rFonts w:ascii="Times New Roman" w:hAnsi="Times New Roman" w:eastAsiaTheme="minorEastAsia"/>
                <w:color w:val="000000"/>
                <w:sz w:val="24"/>
                <w:szCs w:val="24"/>
              </w:rPr>
              <w:t>1</w:t>
            </w:r>
          </w:p>
        </w:tc>
        <w:tc>
          <w:tcPr>
            <w:tcW w:w="13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000000"/>
                <w:sz w:val="24"/>
                <w:szCs w:val="24"/>
              </w:rPr>
            </w:pPr>
            <w:r>
              <w:rPr>
                <w:rFonts w:ascii="Times New Roman" w:hAnsi="Times New Roman" w:eastAsiaTheme="minorEastAsia"/>
                <w:color w:val="000000"/>
                <w:sz w:val="24"/>
                <w:szCs w:val="24"/>
              </w:rPr>
              <w:t>工业分析</w:t>
            </w:r>
          </w:p>
        </w:tc>
        <w:tc>
          <w:tcPr>
            <w:tcW w:w="16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000000"/>
                <w:sz w:val="24"/>
                <w:szCs w:val="24"/>
              </w:rPr>
            </w:pPr>
            <w:r>
              <w:rPr>
                <w:rFonts w:ascii="Times New Roman" w:hAnsi="Times New Roman" w:eastAsiaTheme="minorEastAsia"/>
                <w:color w:val="000000"/>
                <w:sz w:val="24"/>
                <w:szCs w:val="24"/>
              </w:rPr>
              <w:t>化学分析</w:t>
            </w:r>
          </w:p>
          <w:p>
            <w:pPr>
              <w:adjustRightInd w:val="0"/>
              <w:snapToGrid w:val="0"/>
              <w:jc w:val="center"/>
              <w:rPr>
                <w:rFonts w:ascii="Times New Roman" w:hAnsi="Times New Roman" w:eastAsiaTheme="minorEastAsia"/>
                <w:color w:val="000000"/>
                <w:sz w:val="24"/>
                <w:szCs w:val="24"/>
              </w:rPr>
            </w:pPr>
            <w:r>
              <w:rPr>
                <w:rFonts w:ascii="Times New Roman" w:hAnsi="Times New Roman" w:eastAsiaTheme="minorEastAsia"/>
                <w:color w:val="000000"/>
                <w:sz w:val="24"/>
                <w:szCs w:val="24"/>
              </w:rPr>
              <w:t>仪器分析</w:t>
            </w:r>
          </w:p>
        </w:tc>
        <w:tc>
          <w:tcPr>
            <w:tcW w:w="14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000000"/>
                <w:sz w:val="24"/>
                <w:szCs w:val="24"/>
              </w:rPr>
            </w:pPr>
            <w:r>
              <w:rPr>
                <w:rFonts w:ascii="Times New Roman" w:hAnsi="Times New Roman" w:eastAsiaTheme="minorEastAsia"/>
                <w:color w:val="000000"/>
                <w:sz w:val="24"/>
                <w:szCs w:val="24"/>
              </w:rPr>
              <w:t>2次以上省市级大赛执裁经历</w:t>
            </w:r>
          </w:p>
        </w:tc>
        <w:tc>
          <w:tcPr>
            <w:tcW w:w="19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000000"/>
                <w:sz w:val="24"/>
                <w:szCs w:val="24"/>
              </w:rPr>
            </w:pPr>
            <w:r>
              <w:rPr>
                <w:rFonts w:ascii="Times New Roman" w:hAnsi="Times New Roman" w:eastAsiaTheme="minorEastAsia"/>
                <w:color w:val="000000"/>
                <w:sz w:val="24"/>
                <w:szCs w:val="24"/>
              </w:rPr>
              <w:t>高级职称以上</w:t>
            </w:r>
          </w:p>
          <w:p>
            <w:pPr>
              <w:adjustRightInd w:val="0"/>
              <w:snapToGrid w:val="0"/>
              <w:jc w:val="center"/>
              <w:rPr>
                <w:rFonts w:ascii="Times New Roman" w:hAnsi="Times New Roman" w:eastAsiaTheme="minorEastAsia"/>
                <w:color w:val="000000"/>
                <w:sz w:val="24"/>
                <w:szCs w:val="24"/>
              </w:rPr>
            </w:pPr>
            <w:r>
              <w:rPr>
                <w:rFonts w:ascii="Times New Roman" w:hAnsi="Times New Roman" w:eastAsiaTheme="minorEastAsia"/>
                <w:color w:val="000000"/>
                <w:sz w:val="24"/>
                <w:szCs w:val="24"/>
              </w:rPr>
              <w:t>（化学检验工高级技师）</w:t>
            </w:r>
          </w:p>
        </w:tc>
        <w:tc>
          <w:tcPr>
            <w:tcW w:w="759"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ascii="Times New Roman" w:hAnsi="Times New Roman" w:eastAsiaTheme="minorEastAsia"/>
                <w:color w:val="000000"/>
                <w:sz w:val="24"/>
                <w:szCs w:val="24"/>
              </w:rPr>
            </w:pPr>
            <w:r>
              <w:rPr>
                <w:rFonts w:ascii="Times New Roman" w:hAnsi="Times New Roman" w:eastAsiaTheme="minorEastAsia"/>
                <w:color w:val="000000"/>
                <w:sz w:val="24"/>
                <w:szCs w:val="24"/>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4" w:type="dxa"/>
            <w:tcBorders>
              <w:top w:val="single" w:color="auto" w:sz="4" w:space="0"/>
              <w:left w:val="single" w:color="auto" w:sz="8" w:space="0"/>
              <w:bottom w:val="single" w:color="auto" w:sz="8" w:space="0"/>
              <w:right w:val="single" w:color="auto" w:sz="4" w:space="0"/>
            </w:tcBorders>
            <w:vAlign w:val="center"/>
          </w:tcPr>
          <w:p>
            <w:pPr>
              <w:adjustRightInd w:val="0"/>
              <w:snapToGrid w:val="0"/>
              <w:jc w:val="center"/>
              <w:rPr>
                <w:rFonts w:ascii="Times New Roman" w:hAnsi="Times New Roman" w:eastAsiaTheme="minorEastAsia"/>
                <w:sz w:val="24"/>
              </w:rPr>
            </w:pPr>
            <w:r>
              <w:rPr>
                <w:rFonts w:ascii="Times New Roman" w:hAnsi="Times New Roman" w:eastAsiaTheme="minorEastAsia"/>
                <w:color w:val="000000"/>
                <w:sz w:val="24"/>
                <w:szCs w:val="24"/>
              </w:rPr>
              <w:t>裁判总人数</w:t>
            </w:r>
          </w:p>
        </w:tc>
        <w:tc>
          <w:tcPr>
            <w:tcW w:w="7162" w:type="dxa"/>
            <w:gridSpan w:val="5"/>
            <w:tcBorders>
              <w:top w:val="single" w:color="auto" w:sz="4" w:space="0"/>
              <w:left w:val="single" w:color="auto" w:sz="4" w:space="0"/>
              <w:bottom w:val="single" w:color="auto" w:sz="8" w:space="0"/>
              <w:right w:val="single" w:color="auto" w:sz="8" w:space="0"/>
            </w:tcBorders>
            <w:vAlign w:val="center"/>
          </w:tcPr>
          <w:p>
            <w:pPr>
              <w:adjustRightInd w:val="0"/>
              <w:snapToGrid w:val="0"/>
              <w:jc w:val="center"/>
              <w:rPr>
                <w:rFonts w:ascii="Times New Roman" w:hAnsi="Times New Roman" w:eastAsiaTheme="minorEastAsia"/>
                <w:sz w:val="24"/>
              </w:rPr>
            </w:pPr>
            <w:r>
              <w:rPr>
                <w:rFonts w:ascii="Times New Roman" w:hAnsi="Times New Roman" w:eastAsiaTheme="minorEastAsia"/>
                <w:sz w:val="24"/>
              </w:rPr>
              <w:t>35</w:t>
            </w:r>
          </w:p>
        </w:tc>
      </w:tr>
    </w:tbl>
    <w:p>
      <w:pPr>
        <w:snapToGrid w:val="0"/>
        <w:spacing w:line="560" w:lineRule="exact"/>
        <w:ind w:firstLine="600" w:firstLineChars="200"/>
        <w:rPr>
          <w:rFonts w:ascii="Arial Narrow" w:hAnsi="Arial Narrow" w:eastAsia="仿宋_GB2312" w:cs="Arial"/>
          <w:b/>
          <w:sz w:val="30"/>
          <w:szCs w:val="30"/>
        </w:rPr>
      </w:pPr>
      <w:r>
        <w:rPr>
          <w:rFonts w:hint="eastAsia" w:ascii="黑体" w:hAnsi="黑体" w:eastAsia="黑体" w:cs="黑体"/>
          <w:bCs/>
          <w:sz w:val="30"/>
          <w:szCs w:val="30"/>
        </w:rPr>
        <w:t>二十、赛题公开承诺</w:t>
      </w:r>
    </w:p>
    <w:p>
      <w:pPr>
        <w:snapToGrid w:val="0"/>
        <w:spacing w:line="560" w:lineRule="exact"/>
        <w:ind w:firstLine="600" w:firstLineChars="200"/>
        <w:rPr>
          <w:rFonts w:ascii="Times New Roman" w:hAnsi="Times New Roman" w:eastAsia="黑体"/>
          <w:b/>
          <w:sz w:val="30"/>
          <w:szCs w:val="30"/>
        </w:rPr>
      </w:pPr>
      <w:r>
        <w:rPr>
          <w:rFonts w:ascii="Times New Roman" w:hAnsi="Times New Roman" w:eastAsia="仿宋_GB2312"/>
          <w:sz w:val="30"/>
          <w:szCs w:val="30"/>
        </w:rPr>
        <w:t>本赛项承诺保证于开赛1个月前在大赛网络信息发布平台上（</w:t>
      </w:r>
      <w:r>
        <w:fldChar w:fldCharType="begin"/>
      </w:r>
      <w:r>
        <w:instrText xml:space="preserve"> HYPERLINK "http://www.chinaskills-jsw.org" </w:instrText>
      </w:r>
      <w:r>
        <w:fldChar w:fldCharType="separate"/>
      </w:r>
      <w:r>
        <w:rPr>
          <w:rStyle w:val="10"/>
          <w:rFonts w:ascii="Times New Roman" w:hAnsi="Times New Roman" w:eastAsia="仿宋_GB2312"/>
          <w:sz w:val="30"/>
          <w:szCs w:val="30"/>
        </w:rPr>
        <w:t>www.chinaskills-jsw.org</w:t>
      </w:r>
      <w:r>
        <w:rPr>
          <w:rStyle w:val="10"/>
          <w:rFonts w:ascii="Times New Roman" w:hAnsi="Times New Roman" w:eastAsia="仿宋_GB2312"/>
          <w:sz w:val="30"/>
          <w:szCs w:val="30"/>
        </w:rPr>
        <w:fldChar w:fldCharType="end"/>
      </w:r>
      <w:r>
        <w:rPr>
          <w:rFonts w:hint="eastAsia" w:ascii="Times New Roman" w:hAnsi="Times New Roman" w:eastAsia="仿宋_GB2312"/>
          <w:sz w:val="30"/>
          <w:szCs w:val="30"/>
        </w:rPr>
        <w:t>）</w:t>
      </w:r>
      <w:r>
        <w:rPr>
          <w:rFonts w:ascii="Times New Roman" w:hAnsi="Times New Roman" w:eastAsia="仿宋_GB2312"/>
          <w:sz w:val="30"/>
          <w:szCs w:val="30"/>
        </w:rPr>
        <w:t>公开全部赛题。</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二十一、其他</w:t>
      </w:r>
    </w:p>
    <w:p>
      <w:pPr>
        <w:spacing w:line="560" w:lineRule="exact"/>
        <w:ind w:firstLine="600" w:firstLineChars="200"/>
        <w:rPr>
          <w:rFonts w:ascii="Times New Roman" w:hAnsi="Times New Roman"/>
        </w:rPr>
      </w:pPr>
      <w:r>
        <w:rPr>
          <w:rFonts w:ascii="Times New Roman" w:hAnsi="Times New Roman" w:eastAsia="仿宋_GB2312"/>
          <w:sz w:val="30"/>
          <w:szCs w:val="30"/>
        </w:rPr>
        <w:t>提供的计算机软件、仿真软件、考核软件的企业必须具备多年为院校服务，为技能大赛服务的经验，信誉好，对参赛院校的服务覆盖范围在50%以上的正规软件企业。</w:t>
      </w:r>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25</w:t>
    </w:r>
    <w:r>
      <w:rPr>
        <w:rFonts w:ascii="Times New Roman" w:hAnsi="Times New Roman"/>
        <w:sz w:val="21"/>
        <w:szCs w:val="21"/>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0CA553"/>
    <w:multiLevelType w:val="singleLevel"/>
    <w:tmpl w:val="CD0CA55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22"/>
    <w:rsid w:val="00037A8C"/>
    <w:rsid w:val="000A0C12"/>
    <w:rsid w:val="000A4C1D"/>
    <w:rsid w:val="000B30E7"/>
    <w:rsid w:val="000D4C84"/>
    <w:rsid w:val="00110EF8"/>
    <w:rsid w:val="00113E4D"/>
    <w:rsid w:val="001157FA"/>
    <w:rsid w:val="001961E9"/>
    <w:rsid w:val="0019647F"/>
    <w:rsid w:val="001A4944"/>
    <w:rsid w:val="001A77D7"/>
    <w:rsid w:val="001D0466"/>
    <w:rsid w:val="001D4513"/>
    <w:rsid w:val="001E2CB0"/>
    <w:rsid w:val="001F3864"/>
    <w:rsid w:val="00202708"/>
    <w:rsid w:val="00215500"/>
    <w:rsid w:val="00222E85"/>
    <w:rsid w:val="002261E1"/>
    <w:rsid w:val="00262538"/>
    <w:rsid w:val="002824B1"/>
    <w:rsid w:val="002A7BD1"/>
    <w:rsid w:val="002D50BA"/>
    <w:rsid w:val="003563D7"/>
    <w:rsid w:val="003A5B37"/>
    <w:rsid w:val="003B4263"/>
    <w:rsid w:val="003C41E4"/>
    <w:rsid w:val="003C72E3"/>
    <w:rsid w:val="003D2722"/>
    <w:rsid w:val="00413DE8"/>
    <w:rsid w:val="00455884"/>
    <w:rsid w:val="004579A6"/>
    <w:rsid w:val="0048732C"/>
    <w:rsid w:val="00497B5F"/>
    <w:rsid w:val="004B64FB"/>
    <w:rsid w:val="004C3296"/>
    <w:rsid w:val="004E0F22"/>
    <w:rsid w:val="004F0A97"/>
    <w:rsid w:val="004F50D0"/>
    <w:rsid w:val="00532F9F"/>
    <w:rsid w:val="0058450E"/>
    <w:rsid w:val="00592DF0"/>
    <w:rsid w:val="005D36A3"/>
    <w:rsid w:val="005E17F3"/>
    <w:rsid w:val="005E18A2"/>
    <w:rsid w:val="005E7741"/>
    <w:rsid w:val="005F5DF0"/>
    <w:rsid w:val="00614683"/>
    <w:rsid w:val="00623B0C"/>
    <w:rsid w:val="006843E4"/>
    <w:rsid w:val="00684810"/>
    <w:rsid w:val="006A5DBC"/>
    <w:rsid w:val="006B7299"/>
    <w:rsid w:val="006D1674"/>
    <w:rsid w:val="006E3921"/>
    <w:rsid w:val="006E4F45"/>
    <w:rsid w:val="006E657C"/>
    <w:rsid w:val="0072644F"/>
    <w:rsid w:val="00727329"/>
    <w:rsid w:val="007315DA"/>
    <w:rsid w:val="00732929"/>
    <w:rsid w:val="0073542A"/>
    <w:rsid w:val="00754558"/>
    <w:rsid w:val="00754829"/>
    <w:rsid w:val="00761E6F"/>
    <w:rsid w:val="0076327F"/>
    <w:rsid w:val="007651C8"/>
    <w:rsid w:val="0077369E"/>
    <w:rsid w:val="00777302"/>
    <w:rsid w:val="00782C92"/>
    <w:rsid w:val="007845C0"/>
    <w:rsid w:val="0079436B"/>
    <w:rsid w:val="007B5DE7"/>
    <w:rsid w:val="007C4B3D"/>
    <w:rsid w:val="007D31D9"/>
    <w:rsid w:val="007E6441"/>
    <w:rsid w:val="007F5FFF"/>
    <w:rsid w:val="008018BC"/>
    <w:rsid w:val="008161AC"/>
    <w:rsid w:val="008230BC"/>
    <w:rsid w:val="00823ECD"/>
    <w:rsid w:val="00850363"/>
    <w:rsid w:val="008550E4"/>
    <w:rsid w:val="00866A76"/>
    <w:rsid w:val="00880093"/>
    <w:rsid w:val="00896F26"/>
    <w:rsid w:val="008A0381"/>
    <w:rsid w:val="008A5F8B"/>
    <w:rsid w:val="008B4F03"/>
    <w:rsid w:val="008F0F50"/>
    <w:rsid w:val="009005D2"/>
    <w:rsid w:val="009012AA"/>
    <w:rsid w:val="00905802"/>
    <w:rsid w:val="00917C89"/>
    <w:rsid w:val="00940B94"/>
    <w:rsid w:val="00960CA4"/>
    <w:rsid w:val="0098120D"/>
    <w:rsid w:val="009A0EDC"/>
    <w:rsid w:val="009B20A5"/>
    <w:rsid w:val="009B313C"/>
    <w:rsid w:val="009B3BFA"/>
    <w:rsid w:val="009B5C18"/>
    <w:rsid w:val="009F6C3B"/>
    <w:rsid w:val="00A13DC6"/>
    <w:rsid w:val="00A14360"/>
    <w:rsid w:val="00A64F76"/>
    <w:rsid w:val="00A6753E"/>
    <w:rsid w:val="00A75694"/>
    <w:rsid w:val="00A96982"/>
    <w:rsid w:val="00AC3E1F"/>
    <w:rsid w:val="00AD191A"/>
    <w:rsid w:val="00AF5A8D"/>
    <w:rsid w:val="00B132F7"/>
    <w:rsid w:val="00B34DC9"/>
    <w:rsid w:val="00B42F10"/>
    <w:rsid w:val="00B532E3"/>
    <w:rsid w:val="00B650C3"/>
    <w:rsid w:val="00B86020"/>
    <w:rsid w:val="00B95988"/>
    <w:rsid w:val="00BA0B01"/>
    <w:rsid w:val="00BA235C"/>
    <w:rsid w:val="00BA3B89"/>
    <w:rsid w:val="00BB748B"/>
    <w:rsid w:val="00BE1E39"/>
    <w:rsid w:val="00C129DC"/>
    <w:rsid w:val="00C23559"/>
    <w:rsid w:val="00C37CF3"/>
    <w:rsid w:val="00C961C4"/>
    <w:rsid w:val="00CA54E6"/>
    <w:rsid w:val="00CC0A26"/>
    <w:rsid w:val="00CC2AF7"/>
    <w:rsid w:val="00CC4DAA"/>
    <w:rsid w:val="00CD70FA"/>
    <w:rsid w:val="00D0034A"/>
    <w:rsid w:val="00D214BB"/>
    <w:rsid w:val="00D27B34"/>
    <w:rsid w:val="00D30A0A"/>
    <w:rsid w:val="00D445D2"/>
    <w:rsid w:val="00D806C3"/>
    <w:rsid w:val="00D87BAD"/>
    <w:rsid w:val="00DA1626"/>
    <w:rsid w:val="00DA6F47"/>
    <w:rsid w:val="00E05BB2"/>
    <w:rsid w:val="00E06883"/>
    <w:rsid w:val="00E27A29"/>
    <w:rsid w:val="00E4787B"/>
    <w:rsid w:val="00E87ACF"/>
    <w:rsid w:val="00ED18A7"/>
    <w:rsid w:val="00EF4F0C"/>
    <w:rsid w:val="00EF5340"/>
    <w:rsid w:val="00F07A9E"/>
    <w:rsid w:val="00F10A74"/>
    <w:rsid w:val="00F157DF"/>
    <w:rsid w:val="00F34C99"/>
    <w:rsid w:val="00F625A8"/>
    <w:rsid w:val="00F73A51"/>
    <w:rsid w:val="00F83273"/>
    <w:rsid w:val="00FA1E03"/>
    <w:rsid w:val="00FA7D32"/>
    <w:rsid w:val="00FB13F2"/>
    <w:rsid w:val="00FD46E1"/>
    <w:rsid w:val="00FE5408"/>
    <w:rsid w:val="00FF5EC4"/>
    <w:rsid w:val="10907F32"/>
    <w:rsid w:val="120A7074"/>
    <w:rsid w:val="15405F2B"/>
    <w:rsid w:val="28627691"/>
    <w:rsid w:val="40DD794A"/>
    <w:rsid w:val="4E011963"/>
    <w:rsid w:val="51DB12F6"/>
    <w:rsid w:val="5E4A6A02"/>
    <w:rsid w:val="5F9C1C10"/>
    <w:rsid w:val="62411A37"/>
    <w:rsid w:val="62860A3B"/>
    <w:rsid w:val="72591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5"/>
    <w:uiPriority w:val="0"/>
    <w:rPr>
      <w:b/>
      <w:bCs/>
    </w:rPr>
  </w:style>
  <w:style w:type="paragraph" w:styleId="3">
    <w:name w:val="annotation text"/>
    <w:basedOn w:val="1"/>
    <w:link w:val="14"/>
    <w:uiPriority w:val="0"/>
    <w:pPr>
      <w:jc w:val="left"/>
    </w:pPr>
  </w:style>
  <w:style w:type="paragraph" w:styleId="4">
    <w:name w:val="caption"/>
    <w:basedOn w:val="1"/>
    <w:next w:val="1"/>
    <w:unhideWhenUsed/>
    <w:qFormat/>
    <w:uiPriority w:val="0"/>
    <w:rPr>
      <w:rFonts w:eastAsia="黑体" w:asciiTheme="majorHAnsi" w:hAnsiTheme="majorHAnsi" w:cstheme="majorBidi"/>
      <w:sz w:val="20"/>
      <w:szCs w:val="20"/>
    </w:rPr>
  </w:style>
  <w:style w:type="paragraph" w:styleId="5">
    <w:name w:val="Balloon Text"/>
    <w:basedOn w:val="1"/>
    <w:link w:val="16"/>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link w:val="2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footnote text"/>
    <w:basedOn w:val="1"/>
    <w:link w:val="17"/>
    <w:qFormat/>
    <w:uiPriority w:val="0"/>
    <w:pPr>
      <w:snapToGrid w:val="0"/>
      <w:jc w:val="left"/>
    </w:pPr>
    <w:rPr>
      <w:kern w:val="0"/>
      <w:sz w:val="18"/>
      <w:szCs w:val="18"/>
    </w:rPr>
  </w:style>
  <w:style w:type="character" w:styleId="10">
    <w:name w:val="Hyperlink"/>
    <w:basedOn w:val="9"/>
    <w:unhideWhenUsed/>
    <w:uiPriority w:val="99"/>
    <w:rPr>
      <w:color w:val="0000FF"/>
      <w:u w:val="single"/>
    </w:rPr>
  </w:style>
  <w:style w:type="character" w:styleId="11">
    <w:name w:val="annotation reference"/>
    <w:basedOn w:val="9"/>
    <w:uiPriority w:val="0"/>
    <w:rPr>
      <w:sz w:val="21"/>
      <w:szCs w:val="21"/>
    </w:rPr>
  </w:style>
  <w:style w:type="character" w:styleId="12">
    <w:name w:val="footnote reference"/>
    <w:qFormat/>
    <w:uiPriority w:val="0"/>
    <w:rPr>
      <w:rFonts w:cs="Times New Roman"/>
      <w:vertAlign w:val="superscript"/>
    </w:rPr>
  </w:style>
  <w:style w:type="character" w:customStyle="1" w:styleId="14">
    <w:name w:val="批注文字 Char"/>
    <w:basedOn w:val="9"/>
    <w:link w:val="3"/>
    <w:uiPriority w:val="0"/>
    <w:rPr>
      <w:kern w:val="2"/>
      <w:sz w:val="21"/>
      <w:szCs w:val="22"/>
    </w:rPr>
  </w:style>
  <w:style w:type="character" w:customStyle="1" w:styleId="15">
    <w:name w:val="批注主题 Char"/>
    <w:basedOn w:val="14"/>
    <w:link w:val="2"/>
    <w:qFormat/>
    <w:uiPriority w:val="0"/>
    <w:rPr>
      <w:b/>
      <w:bCs/>
      <w:kern w:val="2"/>
      <w:sz w:val="21"/>
      <w:szCs w:val="22"/>
    </w:rPr>
  </w:style>
  <w:style w:type="character" w:customStyle="1" w:styleId="16">
    <w:name w:val="批注框文本 Char"/>
    <w:basedOn w:val="9"/>
    <w:link w:val="5"/>
    <w:uiPriority w:val="0"/>
    <w:rPr>
      <w:kern w:val="2"/>
      <w:sz w:val="18"/>
      <w:szCs w:val="18"/>
    </w:rPr>
  </w:style>
  <w:style w:type="character" w:customStyle="1" w:styleId="17">
    <w:name w:val="脚注文本 Char"/>
    <w:basedOn w:val="9"/>
    <w:link w:val="8"/>
    <w:uiPriority w:val="0"/>
    <w:rPr>
      <w:sz w:val="18"/>
      <w:szCs w:val="18"/>
    </w:rPr>
  </w:style>
  <w:style w:type="paragraph" w:styleId="18">
    <w:name w:val="List Paragraph"/>
    <w:basedOn w:val="1"/>
    <w:uiPriority w:val="99"/>
    <w:pPr>
      <w:ind w:firstLine="420" w:firstLineChars="200"/>
    </w:pPr>
  </w:style>
  <w:style w:type="character" w:styleId="19">
    <w:name w:val="Placeholder Text"/>
    <w:basedOn w:val="9"/>
    <w:semiHidden/>
    <w:uiPriority w:val="99"/>
    <w:rPr>
      <w:color w:val="808080"/>
    </w:rPr>
  </w:style>
  <w:style w:type="character" w:customStyle="1" w:styleId="20">
    <w:name w:val="页眉 Char"/>
    <w:link w:val="7"/>
    <w:uiPriority w:val="0"/>
    <w:rPr>
      <w:rFonts w:ascii="Calibri" w:hAnsi="Calibri" w:eastAsia="宋体" w:cs="Times New Roman"/>
      <w:kern w:val="2"/>
      <w:sz w:val="18"/>
      <w:szCs w:val="22"/>
    </w:rPr>
  </w:style>
  <w:style w:type="paragraph" w:customStyle="1" w:styleId="21">
    <w:name w:val="Char Char Char Char Char Char Char"/>
    <w:basedOn w:val="1"/>
    <w:uiPriority w:val="0"/>
    <w:rPr>
      <w:rFonts w:ascii="Times New Roman" w:hAnsi="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3.wmf"/><Relationship Id="rId7" Type="http://schemas.openxmlformats.org/officeDocument/2006/relationships/oleObject" Target="embeddings/oleObject1.bin"/><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7.wmf"/><Relationship Id="rId17" Type="http://schemas.openxmlformats.org/officeDocument/2006/relationships/oleObject" Target="embeddings/oleObject7.bin"/><Relationship Id="rId16" Type="http://schemas.openxmlformats.org/officeDocument/2006/relationships/image" Target="media/image6.wmf"/><Relationship Id="rId15" Type="http://schemas.openxmlformats.org/officeDocument/2006/relationships/oleObject" Target="embeddings/oleObject6.bin"/><Relationship Id="rId14" Type="http://schemas.openxmlformats.org/officeDocument/2006/relationships/oleObject" Target="embeddings/oleObject5.bin"/><Relationship Id="rId13" Type="http://schemas.openxmlformats.org/officeDocument/2006/relationships/oleObject" Target="embeddings/oleObject4.bin"/><Relationship Id="rId12" Type="http://schemas.openxmlformats.org/officeDocument/2006/relationships/image" Target="media/image5.wmf"/><Relationship Id="rId11" Type="http://schemas.openxmlformats.org/officeDocument/2006/relationships/oleObject" Target="embeddings/oleObject3.bin"/><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D299CB-9DA8-40E9-B3F0-8EE9FAA48B42}">
  <ds:schemaRefs/>
</ds:datastoreItem>
</file>

<file path=docProps/app.xml><?xml version="1.0" encoding="utf-8"?>
<Properties xmlns="http://schemas.openxmlformats.org/officeDocument/2006/extended-properties" xmlns:vt="http://schemas.openxmlformats.org/officeDocument/2006/docPropsVTypes">
  <Template>Normal</Template>
  <Pages>28</Pages>
  <Words>2463</Words>
  <Characters>14044</Characters>
  <Lines>117</Lines>
  <Paragraphs>32</Paragraphs>
  <TotalTime>147</TotalTime>
  <ScaleCrop>false</ScaleCrop>
  <LinksUpToDate>false</LinksUpToDate>
  <CharactersWithSpaces>16475</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2018-08-14T00:01:00Z</dcterms:created>
  <dc:creator>Administrator</dc:creator>
  <cp:lastModifiedBy>徐园园</cp:lastModifiedBy>
  <dcterms:modified xsi:type="dcterms:W3CDTF">2018-10-24T01:55:58Z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