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pacing w:line="560" w:lineRule="exact"/>
        <w:ind w:firstLine="600"/>
        <w:jc w:val="left"/>
        <w:rPr>
          <w:rFonts w:ascii="仿宋_GB2312" w:hAnsi="仿宋" w:eastAsia="仿宋_GB2312" w:cs="Arial"/>
          <w:sz w:val="30"/>
          <w:szCs w:val="30"/>
        </w:rPr>
      </w:pPr>
      <w:r>
        <w:rPr>
          <w:rFonts w:hint="eastAsia" w:ascii="仿宋_GB2312" w:hAnsi="仿宋" w:eastAsia="仿宋_GB2312" w:cs="Arial"/>
          <w:sz w:val="30"/>
          <w:szCs w:val="30"/>
        </w:rPr>
        <w:t>智能家居安装与维护</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drawing>
          <wp:anchor distT="0" distB="0" distL="114300" distR="114300" simplePos="0" relativeHeight="251662336" behindDoc="0" locked="0" layoutInCell="1" allowOverlap="1">
            <wp:simplePos x="0" y="0"/>
            <wp:positionH relativeFrom="column">
              <wp:posOffset>328930</wp:posOffset>
            </wp:positionH>
            <wp:positionV relativeFrom="paragraph">
              <wp:posOffset>692150</wp:posOffset>
            </wp:positionV>
            <wp:extent cx="5274310" cy="2966085"/>
            <wp:effectExtent l="19050" t="0" r="2540" b="0"/>
            <wp:wrapSquare wrapText="bothSides"/>
            <wp:docPr id="16" name="图片 2" descr="C:\Users\HESHICAI\AppData\Local\Temp\WeChat Files\15557866432563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HESHICAI\AppData\Local\Temp\WeChat Files\155578664325637543.jpg"/>
                    <pic:cNvPicPr>
                      <a:picLocks noChangeAspect="1" noChangeArrowheads="1"/>
                    </pic:cNvPicPr>
                  </pic:nvPicPr>
                  <pic:blipFill>
                    <a:blip r:embed="rId5" cstate="print"/>
                    <a:srcRect/>
                    <a:stretch>
                      <a:fillRect/>
                    </a:stretch>
                  </pic:blipFill>
                  <pic:spPr>
                    <a:xfrm>
                      <a:off x="0" y="0"/>
                      <a:ext cx="5274310" cy="2966085"/>
                    </a:xfrm>
                    <a:prstGeom prst="rect">
                      <a:avLst/>
                    </a:prstGeom>
                    <a:noFill/>
                    <a:ln w="9525">
                      <a:noFill/>
                      <a:miter lim="800000"/>
                      <a:headEnd/>
                      <a:tailEnd/>
                    </a:ln>
                  </pic:spPr>
                </pic:pic>
              </a:graphicData>
            </a:graphic>
          </wp:anchor>
        </w:drawing>
      </w:r>
      <w:r>
        <w:rPr>
          <w:rFonts w:hint="eastAsia" w:ascii="Arial Narrow" w:hAnsi="Arial Narrow" w:eastAsia="仿宋_GB2312" w:cs="Arial"/>
          <w:sz w:val="30"/>
          <w:szCs w:val="30"/>
        </w:rPr>
        <w:t>（二）压题彩照</w:t>
      </w:r>
    </w:p>
    <w:p>
      <w:pPr>
        <w:snapToGrid w:val="0"/>
        <w:spacing w:line="560" w:lineRule="exact"/>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（三）赛项归属产业类型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智能家居、</w:t>
      </w:r>
      <w:r>
        <w:rPr>
          <w:rFonts w:ascii="Arial Narrow" w:hAnsi="Arial Narrow" w:eastAsia="仿宋_GB2312" w:cs="Arial"/>
          <w:sz w:val="30"/>
          <w:szCs w:val="30"/>
        </w:rPr>
        <w:t>智慧城市</w:t>
      </w:r>
    </w:p>
    <w:p>
      <w:pPr>
        <w:snapToGrid w:val="0"/>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tbl>
      <w:tblPr>
        <w:tblStyle w:val="13"/>
        <w:tblpPr w:leftFromText="180" w:rightFromText="180" w:vertAnchor="text" w:horzAnchor="page" w:tblpX="1842" w:tblpY="237"/>
        <w:tblOverlap w:val="never"/>
        <w:tblW w:w="8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73"/>
        <w:gridCol w:w="2454"/>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组别</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专业类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专业代码</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中职</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信息技术类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sz w:val="24"/>
                <w:szCs w:val="24"/>
              </w:rPr>
            </w:pPr>
            <w:r>
              <w:rPr>
                <w:rFonts w:ascii="Arial Narrow" w:hAnsi="Arial Narrow" w:eastAsia="仿宋_GB2312" w:cs="Arial"/>
                <w:sz w:val="24"/>
                <w:szCs w:val="24"/>
              </w:rPr>
              <w:t>090100</w:t>
            </w:r>
          </w:p>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0</w:t>
            </w:r>
            <w:r>
              <w:rPr>
                <w:rFonts w:ascii="Arial Narrow" w:hAnsi="Arial Narrow" w:eastAsia="仿宋_GB2312" w:cs="Arial"/>
                <w:sz w:val="24"/>
                <w:szCs w:val="24"/>
              </w:rPr>
              <w:t>90500</w:t>
            </w:r>
          </w:p>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0</w:t>
            </w:r>
            <w:r>
              <w:rPr>
                <w:rFonts w:ascii="Arial Narrow" w:hAnsi="Arial Narrow" w:eastAsia="仿宋_GB2312" w:cs="Arial"/>
                <w:sz w:val="24"/>
                <w:szCs w:val="24"/>
              </w:rPr>
              <w:t>91200</w:t>
            </w:r>
          </w:p>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0</w:t>
            </w:r>
            <w:r>
              <w:rPr>
                <w:rFonts w:ascii="Arial Narrow" w:hAnsi="Arial Narrow" w:eastAsia="仿宋_GB2312" w:cs="Arial"/>
                <w:sz w:val="24"/>
                <w:szCs w:val="24"/>
              </w:rPr>
              <w:t>91300</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计算机应用</w:t>
            </w:r>
          </w:p>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计算机网络技术</w:t>
            </w:r>
          </w:p>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电子与信息技术</w:t>
            </w:r>
          </w:p>
          <w:p>
            <w:pPr>
              <w:snapToGrid w:val="0"/>
              <w:jc w:val="center"/>
              <w:rPr>
                <w:rFonts w:ascii="Arial Narrow" w:hAnsi="Arial Narrow" w:eastAsia="仿宋_GB2312" w:cs="Arial"/>
                <w:sz w:val="24"/>
                <w:szCs w:val="24"/>
              </w:rPr>
            </w:pPr>
            <w:r>
              <w:rPr>
                <w:rFonts w:hint="eastAsia" w:ascii="Arial Narrow" w:hAnsi="Arial Narrow" w:eastAsia="仿宋_GB2312" w:cs="Arial"/>
                <w:sz w:val="24"/>
                <w:szCs w:val="24"/>
              </w:rPr>
              <w:t>电子技术应用</w:t>
            </w:r>
          </w:p>
        </w:tc>
      </w:tr>
    </w:tbl>
    <w:p>
      <w:pPr>
        <w:numPr>
          <w:ilvl w:val="0"/>
          <w:numId w:val="1"/>
        </w:numPr>
        <w:snapToGrid w:val="0"/>
        <w:spacing w:line="560" w:lineRule="exact"/>
        <w:ind w:firstLine="600" w:firstLineChars="200"/>
        <w:rPr>
          <w:rFonts w:hint="eastAsia" w:ascii="黑体" w:hAnsi="黑体" w:eastAsia="黑体" w:cs="黑体"/>
          <w:bCs/>
          <w:sz w:val="30"/>
          <w:szCs w:val="30"/>
        </w:rPr>
      </w:pPr>
      <w:r>
        <w:rPr>
          <w:rFonts w:hint="eastAsia" w:ascii="黑体" w:hAnsi="黑体" w:eastAsia="黑体" w:cs="黑体"/>
          <w:bCs/>
          <w:sz w:val="30"/>
          <w:szCs w:val="30"/>
        </w:rPr>
        <w:t>赛项申报专家组</w:t>
      </w:r>
    </w:p>
    <w:p>
      <w:pPr>
        <w:numPr>
          <w:numId w:val="0"/>
        </w:num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三、赛项目的</w:t>
      </w:r>
    </w:p>
    <w:p>
      <w:pPr>
        <w:spacing w:line="560" w:lineRule="exact"/>
        <w:ind w:firstLine="602"/>
        <w:jc w:val="left"/>
        <w:outlineLvl w:val="0"/>
        <w:rPr>
          <w:rFonts w:ascii="仿宋_GB2312" w:hAnsi="仿宋" w:eastAsia="仿宋_GB2312" w:cs="Arial"/>
          <w:sz w:val="30"/>
          <w:szCs w:val="30"/>
        </w:rPr>
      </w:pPr>
      <w:r>
        <w:rPr>
          <w:rFonts w:hint="eastAsia" w:ascii="仿宋_GB2312" w:hAnsi="仿宋" w:eastAsia="仿宋_GB2312" w:cs="Arial"/>
          <w:sz w:val="30"/>
          <w:szCs w:val="30"/>
        </w:rPr>
        <w:t>智能家居是通信技术、信息采集技术、人工智能和计算机软件技术相结合的网络应用。智能家居安装与维护大赛旨在培养中职学生在智能家居方面的学习能力、创新意识、实践能力和团队合作精神，提升综合创新应用设计水平和就业竞争力，帮助学生顺利实现由毕业生到企业所需人才的转变。通过竞赛促进深化校企合作，引领中职相关专业的教育教学改革与专业建设，引导专业教学方向调整，以适应产业和应用技术的发展趋势，提高创新应用人才的培养质量以及社会对中职专业人才的认可度，满足产业人才需求，从而促进相关技术和行业的发展。本赛项主要考察考查中职学生理解分析智能家居系统设计的能力，智能家居系统网络组建、智能家居设备配置、信息采集和处理应用技能掌握水平和职业能力，同时兼顾考查参赛学生的质量、效率、成本和规范意识。主要包括：团队工作能力、项目组织与时间管理能力、理解分析智能家居系统设计的能力、智能家居布线能力、智能家居设备配置与调试能力、服务器配置与应用能力、智能家居系统安全配置和防护能力、信息采集和处理能力、智能家居技术的应用实施能力、制作工程文档的能力等。</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四、赛项设计原则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（一）公开、公平、公正。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w:t>
      </w:r>
      <w:r>
        <w:rPr>
          <w:rFonts w:ascii="Arial Narrow" w:hAnsi="Arial Narrow" w:eastAsia="仿宋_GB2312" w:cs="Arial"/>
          <w:sz w:val="30"/>
          <w:szCs w:val="30"/>
        </w:rPr>
        <w:t>近年来，智能家居行业发展势头强劲，未来30年，随着电子通信技术、</w:t>
      </w:r>
      <w:r>
        <w:rPr>
          <w:rFonts w:hint="eastAsia" w:ascii="Arial Narrow" w:hAnsi="Arial Narrow" w:eastAsia="仿宋_GB2312" w:cs="Arial"/>
          <w:sz w:val="30"/>
          <w:szCs w:val="30"/>
        </w:rPr>
        <w:t>智能家居技术</w:t>
      </w:r>
      <w:r>
        <w:rPr>
          <w:rFonts w:ascii="Arial Narrow" w:hAnsi="Arial Narrow" w:eastAsia="仿宋_GB2312" w:cs="Arial"/>
          <w:sz w:val="30"/>
          <w:szCs w:val="30"/>
        </w:rPr>
        <w:t>的</w:t>
      </w:r>
      <w:r>
        <w:rPr>
          <w:rFonts w:hint="eastAsia" w:ascii="Arial Narrow" w:hAnsi="Arial Narrow" w:eastAsia="仿宋_GB2312" w:cs="Arial"/>
          <w:sz w:val="30"/>
          <w:szCs w:val="30"/>
        </w:rPr>
        <w:t>快速</w:t>
      </w:r>
      <w:r>
        <w:rPr>
          <w:rFonts w:ascii="Arial Narrow" w:hAnsi="Arial Narrow" w:eastAsia="仿宋_GB2312" w:cs="Arial"/>
          <w:sz w:val="30"/>
          <w:szCs w:val="30"/>
        </w:rPr>
        <w:t>发展，智能家居的应用将全面覆盖每一个家庭。</w:t>
      </w:r>
      <w:r>
        <w:rPr>
          <w:rFonts w:hint="eastAsia" w:ascii="Arial Narrow" w:hAnsi="Arial Narrow" w:eastAsia="仿宋_GB2312" w:cs="Arial"/>
          <w:sz w:val="30"/>
          <w:szCs w:val="30"/>
        </w:rPr>
        <w:t>在行业</w:t>
      </w:r>
      <w:r>
        <w:rPr>
          <w:rFonts w:ascii="Arial Narrow" w:hAnsi="Arial Narrow" w:eastAsia="仿宋_GB2312" w:cs="Arial"/>
          <w:sz w:val="30"/>
          <w:szCs w:val="30"/>
        </w:rPr>
        <w:t>快速发展的</w:t>
      </w:r>
      <w:r>
        <w:rPr>
          <w:rFonts w:hint="eastAsia" w:ascii="Arial Narrow" w:hAnsi="Arial Narrow" w:eastAsia="仿宋_GB2312" w:cs="Arial"/>
          <w:sz w:val="30"/>
          <w:szCs w:val="30"/>
        </w:rPr>
        <w:t>现状</w:t>
      </w:r>
      <w:r>
        <w:rPr>
          <w:rFonts w:ascii="Arial Narrow" w:hAnsi="Arial Narrow" w:eastAsia="仿宋_GB2312" w:cs="Arial"/>
          <w:sz w:val="30"/>
          <w:szCs w:val="30"/>
        </w:rPr>
        <w:t>下，社会</w:t>
      </w:r>
      <w:r>
        <w:rPr>
          <w:rFonts w:hint="eastAsia" w:ascii="Arial Narrow" w:hAnsi="Arial Narrow" w:eastAsia="仿宋_GB2312" w:cs="Arial"/>
          <w:sz w:val="30"/>
          <w:szCs w:val="30"/>
        </w:rPr>
        <w:t>上</w:t>
      </w:r>
      <w:r>
        <w:rPr>
          <w:rFonts w:ascii="Arial Narrow" w:hAnsi="Arial Narrow" w:eastAsia="仿宋_GB2312" w:cs="Arial"/>
          <w:sz w:val="30"/>
          <w:szCs w:val="30"/>
        </w:rPr>
        <w:t>智能家居</w:t>
      </w:r>
      <w:r>
        <w:rPr>
          <w:rFonts w:hint="eastAsia" w:ascii="Arial Narrow" w:hAnsi="Arial Narrow" w:eastAsia="仿宋_GB2312" w:cs="Arial"/>
          <w:sz w:val="30"/>
          <w:szCs w:val="30"/>
        </w:rPr>
        <w:t>相关</w:t>
      </w:r>
      <w:r>
        <w:rPr>
          <w:rFonts w:ascii="Arial Narrow" w:hAnsi="Arial Narrow" w:eastAsia="仿宋_GB2312" w:cs="Arial"/>
          <w:sz w:val="30"/>
          <w:szCs w:val="30"/>
        </w:rPr>
        <w:t>人才紧缺</w:t>
      </w:r>
      <w:r>
        <w:rPr>
          <w:rFonts w:hint="eastAsia" w:ascii="Arial Narrow" w:hAnsi="Arial Narrow" w:eastAsia="仿宋_GB2312" w:cs="Arial"/>
          <w:sz w:val="30"/>
          <w:szCs w:val="30"/>
        </w:rPr>
        <w:t>严重</w:t>
      </w:r>
      <w:r>
        <w:rPr>
          <w:rFonts w:ascii="Arial Narrow" w:hAnsi="Arial Narrow" w:eastAsia="仿宋_GB2312" w:cs="Arial"/>
          <w:sz w:val="30"/>
          <w:szCs w:val="30"/>
        </w:rPr>
        <w:t>，</w:t>
      </w:r>
      <w:r>
        <w:rPr>
          <w:rFonts w:hint="eastAsia" w:ascii="Arial Narrow" w:hAnsi="Arial Narrow" w:eastAsia="仿宋_GB2312" w:cs="Arial"/>
          <w:sz w:val="30"/>
          <w:szCs w:val="30"/>
        </w:rPr>
        <w:t>行业</w:t>
      </w:r>
      <w:r>
        <w:rPr>
          <w:rFonts w:ascii="Arial Narrow" w:hAnsi="Arial Narrow" w:eastAsia="仿宋_GB2312" w:cs="Arial"/>
          <w:sz w:val="30"/>
          <w:szCs w:val="30"/>
        </w:rPr>
        <w:t>的快速发展和人才不足已成为影响行业</w:t>
      </w:r>
      <w:r>
        <w:rPr>
          <w:rFonts w:hint="eastAsia" w:ascii="Arial Narrow" w:hAnsi="Arial Narrow" w:eastAsia="仿宋_GB2312" w:cs="Arial"/>
          <w:sz w:val="30"/>
          <w:szCs w:val="30"/>
        </w:rPr>
        <w:t>快速</w:t>
      </w:r>
      <w:r>
        <w:rPr>
          <w:rFonts w:ascii="Arial Narrow" w:hAnsi="Arial Narrow" w:eastAsia="仿宋_GB2312" w:cs="Arial"/>
          <w:sz w:val="30"/>
          <w:szCs w:val="30"/>
        </w:rPr>
        <w:t>发展的重要因素之一。</w:t>
      </w:r>
      <w:r>
        <w:rPr>
          <w:rFonts w:hint="eastAsia" w:ascii="Arial Narrow" w:hAnsi="Arial Narrow" w:eastAsia="仿宋_GB2312" w:cs="Arial"/>
          <w:sz w:val="30"/>
          <w:szCs w:val="30"/>
        </w:rPr>
        <w:t>本赛项</w:t>
      </w:r>
      <w:r>
        <w:rPr>
          <w:rFonts w:hint="eastAsia" w:ascii="仿宋_GB2312" w:hAnsi="仿宋" w:eastAsia="仿宋_GB2312" w:cs="Arial"/>
          <w:sz w:val="30"/>
          <w:szCs w:val="30"/>
        </w:rPr>
        <w:t>引领中职相关专业的教育教学改革与专业建设，引导专业教学方向调整，为行业培养适应</w:t>
      </w:r>
      <w:r>
        <w:rPr>
          <w:rFonts w:hint="eastAsia" w:ascii="Arial Narrow" w:hAnsi="Arial Narrow" w:eastAsia="仿宋_GB2312" w:cs="Arial"/>
          <w:sz w:val="30"/>
          <w:szCs w:val="30"/>
        </w:rPr>
        <w:t>行业</w:t>
      </w:r>
      <w:r>
        <w:rPr>
          <w:rFonts w:ascii="Arial Narrow" w:hAnsi="Arial Narrow" w:eastAsia="仿宋_GB2312" w:cs="Arial"/>
          <w:sz w:val="30"/>
          <w:szCs w:val="30"/>
        </w:rPr>
        <w:t>的快速发展</w:t>
      </w:r>
      <w:r>
        <w:rPr>
          <w:rFonts w:hint="eastAsia" w:ascii="Arial Narrow" w:hAnsi="Arial Narrow" w:eastAsia="仿宋_GB2312" w:cs="Arial"/>
          <w:sz w:val="30"/>
          <w:szCs w:val="30"/>
        </w:rPr>
        <w:t>的</w:t>
      </w:r>
      <w:r>
        <w:rPr>
          <w:rFonts w:ascii="Arial Narrow" w:hAnsi="Arial Narrow" w:eastAsia="仿宋_GB2312" w:cs="Arial"/>
          <w:sz w:val="30"/>
          <w:szCs w:val="30"/>
        </w:rPr>
        <w:t>人才</w:t>
      </w:r>
      <w:r>
        <w:rPr>
          <w:rFonts w:hint="eastAsia" w:ascii="Arial Narrow" w:hAnsi="Arial Narrow" w:eastAsia="仿宋_GB2312" w:cs="Arial"/>
          <w:sz w:val="30"/>
          <w:szCs w:val="30"/>
        </w:rPr>
        <w:t>。</w:t>
      </w:r>
    </w:p>
    <w:p>
      <w:pPr>
        <w:snapToGrid w:val="0"/>
        <w:spacing w:line="560" w:lineRule="exact"/>
        <w:ind w:firstLine="600" w:firstLineChars="200"/>
        <w:jc w:val="left"/>
        <w:rPr>
          <w:rFonts w:ascii="Arial Narrow" w:hAnsi="Arial Narrow" w:eastAsia="仿宋_GB2312" w:cs="Arial"/>
          <w:sz w:val="30"/>
          <w:szCs w:val="30"/>
        </w:rPr>
      </w:pPr>
      <w:r>
        <w:rPr>
          <w:rFonts w:hint="eastAsia" w:ascii="Arial Narrow" w:hAnsi="Arial Narrow" w:eastAsia="仿宋_GB2312" w:cs="Arial"/>
          <w:sz w:val="30"/>
          <w:szCs w:val="30"/>
        </w:rPr>
        <w:t>（三）竞赛内容与专业知识要求对应表</w:t>
      </w:r>
    </w:p>
    <w:tbl>
      <w:tblPr>
        <w:tblStyle w:val="13"/>
        <w:tblW w:w="9680" w:type="dxa"/>
        <w:tblInd w:w="-10" w:type="dxa"/>
        <w:tblLayout w:type="fixed"/>
        <w:tblCellMar>
          <w:top w:w="0" w:type="dxa"/>
          <w:left w:w="108" w:type="dxa"/>
          <w:bottom w:w="0" w:type="dxa"/>
          <w:right w:w="108" w:type="dxa"/>
        </w:tblCellMar>
      </w:tblPr>
      <w:tblGrid>
        <w:gridCol w:w="4420"/>
        <w:gridCol w:w="5260"/>
      </w:tblGrid>
      <w:tr>
        <w:tblPrEx>
          <w:tblLayout w:type="fixed"/>
          <w:tblCellMar>
            <w:top w:w="0" w:type="dxa"/>
            <w:left w:w="108" w:type="dxa"/>
            <w:bottom w:w="0" w:type="dxa"/>
            <w:right w:w="108" w:type="dxa"/>
          </w:tblCellMar>
        </w:tblPrEx>
        <w:trPr>
          <w:trHeight w:val="900" w:hRule="atLeast"/>
        </w:trPr>
        <w:tc>
          <w:tcPr>
            <w:tcW w:w="442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专业职业能力要素</w:t>
            </w:r>
          </w:p>
        </w:tc>
        <w:tc>
          <w:tcPr>
            <w:tcW w:w="5260"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赛项能力要素</w:t>
            </w:r>
          </w:p>
        </w:tc>
      </w:tr>
      <w:tr>
        <w:tblPrEx>
          <w:tblLayout w:type="fixed"/>
          <w:tblCellMar>
            <w:top w:w="0" w:type="dxa"/>
            <w:left w:w="108" w:type="dxa"/>
            <w:bottom w:w="0" w:type="dxa"/>
            <w:right w:w="108" w:type="dxa"/>
          </w:tblCellMar>
        </w:tblPrEx>
        <w:trPr>
          <w:trHeight w:val="900" w:hRule="atLeast"/>
        </w:trPr>
        <w:tc>
          <w:tcPr>
            <w:tcW w:w="442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1、具备计算机硬件和软件系统的操作、管理、维护能力；</w:t>
            </w:r>
          </w:p>
        </w:tc>
        <w:tc>
          <w:tcPr>
            <w:tcW w:w="526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1、具备服务器搭建，服务器管理软件使用，计算机操作，运维能力</w:t>
            </w:r>
          </w:p>
        </w:tc>
      </w:tr>
      <w:tr>
        <w:tblPrEx>
          <w:tblLayout w:type="fixed"/>
          <w:tblCellMar>
            <w:top w:w="0" w:type="dxa"/>
            <w:left w:w="108" w:type="dxa"/>
            <w:bottom w:w="0" w:type="dxa"/>
            <w:right w:w="108" w:type="dxa"/>
          </w:tblCellMar>
        </w:tblPrEx>
        <w:trPr>
          <w:trHeight w:val="900" w:hRule="atLeast"/>
        </w:trPr>
        <w:tc>
          <w:tcPr>
            <w:tcW w:w="442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2、掌握数据库应用系统的使用能力；</w:t>
            </w:r>
          </w:p>
        </w:tc>
        <w:tc>
          <w:tcPr>
            <w:tcW w:w="526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2、服务器配置，数据库导入，安卓移动应用登录及注册相关软件使用</w:t>
            </w:r>
          </w:p>
        </w:tc>
      </w:tr>
      <w:tr>
        <w:tblPrEx>
          <w:tblLayout w:type="fixed"/>
          <w:tblCellMar>
            <w:top w:w="0" w:type="dxa"/>
            <w:left w:w="108" w:type="dxa"/>
            <w:bottom w:w="0" w:type="dxa"/>
            <w:right w:w="108" w:type="dxa"/>
          </w:tblCellMar>
        </w:tblPrEx>
        <w:trPr>
          <w:trHeight w:val="900" w:hRule="atLeast"/>
        </w:trPr>
        <w:tc>
          <w:tcPr>
            <w:tcW w:w="442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3、具备熟练的办公自动化软件应用能力；</w:t>
            </w:r>
          </w:p>
        </w:tc>
        <w:tc>
          <w:tcPr>
            <w:tcW w:w="526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3、能使用绘图软件进行设备连线图以及拓扑图的绘制</w:t>
            </w:r>
          </w:p>
        </w:tc>
      </w:tr>
      <w:tr>
        <w:tblPrEx>
          <w:tblLayout w:type="fixed"/>
          <w:tblCellMar>
            <w:top w:w="0" w:type="dxa"/>
            <w:left w:w="108" w:type="dxa"/>
            <w:bottom w:w="0" w:type="dxa"/>
            <w:right w:w="108" w:type="dxa"/>
          </w:tblCellMar>
        </w:tblPrEx>
        <w:trPr>
          <w:trHeight w:val="900" w:hRule="atLeast"/>
        </w:trPr>
        <w:tc>
          <w:tcPr>
            <w:tcW w:w="442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4、具备网络的基本应用能力，局域网配置能力；</w:t>
            </w:r>
          </w:p>
        </w:tc>
        <w:tc>
          <w:tcPr>
            <w:tcW w:w="526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4、具备配置路由交换能力，使智能家居系统联通</w:t>
            </w:r>
          </w:p>
        </w:tc>
      </w:tr>
      <w:tr>
        <w:tblPrEx>
          <w:tblLayout w:type="fixed"/>
          <w:tblCellMar>
            <w:top w:w="0" w:type="dxa"/>
            <w:left w:w="108" w:type="dxa"/>
            <w:bottom w:w="0" w:type="dxa"/>
            <w:right w:w="108" w:type="dxa"/>
          </w:tblCellMar>
        </w:tblPrEx>
        <w:trPr>
          <w:trHeight w:val="900" w:hRule="atLeast"/>
        </w:trPr>
        <w:tc>
          <w:tcPr>
            <w:tcW w:w="442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5、具备电子产品装配，仪器仪表使用能力；</w:t>
            </w:r>
          </w:p>
        </w:tc>
        <w:tc>
          <w:tcPr>
            <w:tcW w:w="526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5、能对智能家居单品安装能力，具备万用表测量电路能力</w:t>
            </w:r>
          </w:p>
        </w:tc>
      </w:tr>
      <w:tr>
        <w:tblPrEx>
          <w:tblLayout w:type="fixed"/>
          <w:tblCellMar>
            <w:top w:w="0" w:type="dxa"/>
            <w:left w:w="108" w:type="dxa"/>
            <w:bottom w:w="0" w:type="dxa"/>
            <w:right w:w="108" w:type="dxa"/>
          </w:tblCellMar>
        </w:tblPrEx>
        <w:trPr>
          <w:trHeight w:val="900" w:hRule="atLeast"/>
        </w:trPr>
        <w:tc>
          <w:tcPr>
            <w:tcW w:w="442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6、工作工具的使用能力</w:t>
            </w:r>
          </w:p>
        </w:tc>
        <w:tc>
          <w:tcPr>
            <w:tcW w:w="5260" w:type="dxa"/>
            <w:tcBorders>
              <w:top w:val="nil"/>
              <w:left w:val="nil"/>
              <w:bottom w:val="single" w:color="auto" w:sz="8" w:space="0"/>
              <w:right w:val="single" w:color="auto" w:sz="8" w:space="0"/>
            </w:tcBorders>
            <w:shd w:val="clear" w:color="auto" w:fill="auto"/>
            <w:vAlign w:val="center"/>
          </w:tcPr>
          <w:p>
            <w:pPr>
              <w:widowControl/>
              <w:jc w:val="left"/>
              <w:rPr>
                <w:rFonts w:ascii="仿宋_GB2312" w:hAnsi="仿宋" w:eastAsia="仿宋_GB2312" w:cs="Arial"/>
                <w:sz w:val="30"/>
                <w:szCs w:val="30"/>
              </w:rPr>
            </w:pPr>
            <w:r>
              <w:rPr>
                <w:rFonts w:hint="eastAsia" w:ascii="仿宋_GB2312" w:hAnsi="仿宋" w:eastAsia="仿宋_GB2312" w:cs="Arial"/>
                <w:sz w:val="30"/>
                <w:szCs w:val="30"/>
              </w:rPr>
              <w:t>6、能对智能家居安装工具包进行正常使用的能力</w:t>
            </w:r>
          </w:p>
        </w:tc>
      </w:tr>
    </w:tbl>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仿宋_GB2312" w:hAnsi="仿宋" w:eastAsia="仿宋_GB2312" w:cs="Arial"/>
          <w:sz w:val="30"/>
          <w:szCs w:val="30"/>
        </w:rPr>
      </w:pPr>
      <w:r>
        <w:rPr>
          <w:rFonts w:hint="eastAsia" w:ascii="Arial Narrow" w:hAnsi="Arial Narrow" w:eastAsia="仿宋_GB2312" w:cs="Arial"/>
          <w:sz w:val="30"/>
          <w:szCs w:val="30"/>
        </w:rPr>
        <w:t>（四）</w:t>
      </w:r>
      <w:r>
        <w:rPr>
          <w:rFonts w:ascii="仿宋_GB2312" w:hAnsi="仿宋" w:eastAsia="仿宋_GB2312" w:cs="Arial"/>
          <w:sz w:val="30"/>
          <w:szCs w:val="30"/>
        </w:rPr>
        <w:t>比赛环境模拟实际应用环境，使得比赛内容更加直观、形象、贴近</w:t>
      </w:r>
      <w:r>
        <w:rPr>
          <w:rFonts w:hint="eastAsia" w:ascii="仿宋_GB2312" w:hAnsi="仿宋" w:eastAsia="仿宋_GB2312" w:cs="Arial"/>
          <w:sz w:val="30"/>
          <w:szCs w:val="30"/>
        </w:rPr>
        <w:t>真实</w:t>
      </w:r>
      <w:r>
        <w:rPr>
          <w:rFonts w:ascii="仿宋_GB2312" w:hAnsi="仿宋" w:eastAsia="仿宋_GB2312" w:cs="Arial"/>
          <w:sz w:val="30"/>
          <w:szCs w:val="30"/>
        </w:rPr>
        <w:t>行业应用。</w:t>
      </w:r>
    </w:p>
    <w:p>
      <w:pPr>
        <w:spacing w:line="560" w:lineRule="exact"/>
        <w:ind w:firstLine="602"/>
        <w:jc w:val="left"/>
        <w:outlineLvl w:val="0"/>
        <w:rPr>
          <w:rFonts w:ascii="仿宋_GB2312" w:hAnsi="仿宋" w:eastAsia="仿宋_GB2312" w:cs="Arial"/>
          <w:sz w:val="30"/>
          <w:szCs w:val="30"/>
        </w:rPr>
      </w:pPr>
      <w:r>
        <w:rPr>
          <w:rFonts w:hint="eastAsia" w:ascii="仿宋_GB2312" w:hAnsi="仿宋" w:eastAsia="仿宋_GB2312" w:cs="Arial"/>
          <w:sz w:val="30"/>
          <w:szCs w:val="30"/>
        </w:rPr>
        <w:t>竞赛平台</w:t>
      </w:r>
      <w:r>
        <w:rPr>
          <w:rFonts w:ascii="仿宋_GB2312" w:hAnsi="仿宋" w:eastAsia="仿宋_GB2312" w:cs="Arial"/>
          <w:sz w:val="30"/>
          <w:szCs w:val="30"/>
        </w:rPr>
        <w:t>已</w:t>
      </w:r>
      <w:r>
        <w:rPr>
          <w:rFonts w:hint="eastAsia" w:ascii="仿宋_GB2312" w:hAnsi="仿宋" w:eastAsia="仿宋_GB2312" w:cs="Arial"/>
          <w:sz w:val="30"/>
          <w:szCs w:val="30"/>
        </w:rPr>
        <w:t>成功</w:t>
      </w:r>
      <w:r>
        <w:rPr>
          <w:rFonts w:ascii="仿宋_GB2312" w:hAnsi="仿宋" w:eastAsia="仿宋_GB2312" w:cs="Arial"/>
          <w:sz w:val="30"/>
          <w:szCs w:val="30"/>
        </w:rPr>
        <w:t>服务多次竞赛，</w:t>
      </w:r>
      <w:r>
        <w:rPr>
          <w:rFonts w:hint="eastAsia" w:ascii="仿宋_GB2312" w:hAnsi="仿宋" w:eastAsia="仿宋_GB2312" w:cs="Arial"/>
          <w:sz w:val="30"/>
          <w:szCs w:val="30"/>
        </w:rPr>
        <w:t>平台在</w:t>
      </w:r>
      <w:r>
        <w:rPr>
          <w:rFonts w:ascii="仿宋_GB2312" w:hAnsi="仿宋" w:eastAsia="仿宋_GB2312" w:cs="Arial"/>
          <w:sz w:val="30"/>
          <w:szCs w:val="30"/>
        </w:rPr>
        <w:t>学校普及率高</w:t>
      </w:r>
      <w:r>
        <w:rPr>
          <w:rFonts w:hint="eastAsia" w:ascii="仿宋_GB2312" w:hAnsi="仿宋" w:eastAsia="仿宋_GB2312" w:cs="Arial"/>
          <w:sz w:val="30"/>
          <w:szCs w:val="30"/>
        </w:rPr>
        <w:t>、设备</w:t>
      </w:r>
      <w:r>
        <w:rPr>
          <w:rFonts w:ascii="仿宋_GB2312" w:hAnsi="仿宋" w:eastAsia="仿宋_GB2312" w:cs="Arial"/>
          <w:sz w:val="30"/>
          <w:szCs w:val="30"/>
        </w:rPr>
        <w:t>稳定性高</w:t>
      </w:r>
      <w:r>
        <w:rPr>
          <w:rFonts w:hint="eastAsia" w:ascii="仿宋_GB2312" w:hAnsi="仿宋" w:eastAsia="仿宋_GB2312" w:cs="Arial"/>
          <w:sz w:val="30"/>
          <w:szCs w:val="30"/>
        </w:rPr>
        <w:t>、</w:t>
      </w:r>
      <w:r>
        <w:rPr>
          <w:rFonts w:ascii="仿宋_GB2312" w:hAnsi="仿宋" w:eastAsia="仿宋_GB2312" w:cs="Arial"/>
          <w:sz w:val="30"/>
          <w:szCs w:val="30"/>
        </w:rPr>
        <w:t>适用性</w:t>
      </w:r>
      <w:r>
        <w:rPr>
          <w:rFonts w:hint="eastAsia" w:ascii="仿宋_GB2312" w:hAnsi="仿宋" w:eastAsia="仿宋_GB2312" w:cs="Arial"/>
          <w:sz w:val="30"/>
          <w:szCs w:val="30"/>
        </w:rPr>
        <w:t>强</w:t>
      </w:r>
      <w:r>
        <w:rPr>
          <w:rFonts w:ascii="仿宋_GB2312" w:hAnsi="仿宋" w:eastAsia="仿宋_GB2312" w:cs="Arial"/>
          <w:sz w:val="30"/>
          <w:szCs w:val="30"/>
        </w:rPr>
        <w:t>。</w:t>
      </w:r>
      <w:r>
        <w:rPr>
          <w:rFonts w:hint="eastAsia" w:ascii="仿宋_GB2312" w:hAnsi="仿宋" w:eastAsia="仿宋_GB2312" w:cs="Arial"/>
          <w:sz w:val="30"/>
          <w:szCs w:val="30"/>
        </w:rPr>
        <w:t>并</w:t>
      </w:r>
      <w:r>
        <w:rPr>
          <w:rFonts w:ascii="仿宋_GB2312" w:hAnsi="仿宋" w:eastAsia="仿宋_GB2312" w:cs="Arial"/>
          <w:sz w:val="30"/>
          <w:szCs w:val="30"/>
        </w:rPr>
        <w:t>紧密结合行业发展趋势</w:t>
      </w:r>
      <w:r>
        <w:rPr>
          <w:rFonts w:hint="eastAsia" w:ascii="仿宋_GB2312" w:hAnsi="仿宋" w:eastAsia="仿宋_GB2312" w:cs="Arial"/>
          <w:sz w:val="30"/>
          <w:szCs w:val="30"/>
        </w:rPr>
        <w:t xml:space="preserve">。 </w:t>
      </w:r>
    </w:p>
    <w:p>
      <w:pPr>
        <w:spacing w:line="560" w:lineRule="exact"/>
        <w:ind w:firstLine="602"/>
        <w:jc w:val="left"/>
        <w:outlineLvl w:val="0"/>
        <w:rPr>
          <w:rFonts w:ascii="仿宋_GB2312" w:hAnsi="仿宋" w:eastAsia="仿宋_GB2312" w:cs="Arial"/>
          <w:sz w:val="30"/>
          <w:szCs w:val="30"/>
        </w:rPr>
      </w:pPr>
      <w:r>
        <w:rPr>
          <w:rFonts w:hint="eastAsia" w:ascii="仿宋_GB2312" w:hAnsi="仿宋" w:eastAsia="仿宋_GB2312" w:cs="Arial"/>
          <w:sz w:val="30"/>
          <w:szCs w:val="30"/>
        </w:rPr>
        <w:t>竞赛平台</w:t>
      </w:r>
      <w:r>
        <w:rPr>
          <w:rFonts w:ascii="仿宋_GB2312" w:hAnsi="仿宋" w:eastAsia="仿宋_GB2312" w:cs="Arial"/>
          <w:sz w:val="30"/>
          <w:szCs w:val="30"/>
        </w:rPr>
        <w:t>结合最新技术发展，紧密联系信息技术的发展趋势，引入多种传感器探测器，通过配置实现多样的联动方式达到高度自动化，更贴近实际的生活，以此作为技术的考核点</w:t>
      </w:r>
      <w:r>
        <w:rPr>
          <w:rFonts w:hint="eastAsia" w:ascii="仿宋_GB2312" w:hAnsi="仿宋" w:eastAsia="仿宋_GB2312" w:cs="Arial"/>
          <w:sz w:val="30"/>
          <w:szCs w:val="30"/>
        </w:rPr>
        <w:t>，</w:t>
      </w:r>
      <w:r>
        <w:rPr>
          <w:rFonts w:ascii="仿宋_GB2312" w:hAnsi="仿宋" w:eastAsia="仿宋_GB2312" w:cs="Arial"/>
          <w:sz w:val="30"/>
          <w:szCs w:val="30"/>
        </w:rPr>
        <w:t>竞赛强调学生的实际动手和动脑能力。</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五、赛项方案的特色与创新点</w:t>
      </w:r>
    </w:p>
    <w:p>
      <w:pPr>
        <w:spacing w:line="560" w:lineRule="exact"/>
        <w:ind w:firstLine="602"/>
        <w:jc w:val="left"/>
        <w:outlineLvl w:val="0"/>
        <w:rPr>
          <w:rFonts w:ascii="仿宋_GB2312" w:hAnsi="仿宋" w:eastAsia="仿宋_GB2312" w:cs="Arial"/>
          <w:sz w:val="30"/>
          <w:szCs w:val="30"/>
        </w:rPr>
      </w:pPr>
      <w:r>
        <w:rPr>
          <w:rFonts w:hint="eastAsia" w:ascii="仿宋_GB2312" w:hAnsi="仿宋" w:eastAsia="仿宋_GB2312" w:cs="Arial"/>
          <w:sz w:val="30"/>
          <w:szCs w:val="30"/>
        </w:rPr>
        <w:t>国务院2017年7月发布的《新一代人工智能发展规划》 中提出发展智能教育，“利用智能技术加快推动人才培养模式、教学方法改革，构建包含智能学习、交互式学习的新型教育体系。”</w:t>
      </w:r>
      <w:r>
        <w:rPr>
          <w:rFonts w:ascii="仿宋_GB2312" w:hAnsi="仿宋" w:eastAsia="仿宋_GB2312" w:cs="Arial"/>
          <w:sz w:val="30"/>
          <w:szCs w:val="30"/>
        </w:rPr>
        <w:t>人工智能技术在全球范围已逐步融入并改变着传统的课程体系、教学模式、教学设计、教学过程与测评等教学环节</w:t>
      </w:r>
      <w:r>
        <w:rPr>
          <w:rFonts w:hint="eastAsia" w:ascii="仿宋_GB2312" w:hAnsi="仿宋" w:eastAsia="仿宋_GB2312" w:cs="Arial"/>
          <w:sz w:val="30"/>
          <w:szCs w:val="30"/>
        </w:rPr>
        <w:t>。</w:t>
      </w:r>
    </w:p>
    <w:p>
      <w:pPr>
        <w:spacing w:line="560" w:lineRule="exact"/>
        <w:ind w:firstLine="602"/>
        <w:jc w:val="left"/>
        <w:outlineLvl w:val="0"/>
        <w:rPr>
          <w:rFonts w:ascii="仿宋_GB2312" w:hAnsi="仿宋" w:eastAsia="仿宋_GB2312" w:cs="Arial"/>
          <w:sz w:val="30"/>
          <w:szCs w:val="30"/>
        </w:rPr>
      </w:pPr>
      <w:r>
        <w:rPr>
          <w:rFonts w:ascii="仿宋_GB2312" w:hAnsi="仿宋" w:eastAsia="仿宋_GB2312" w:cs="Arial"/>
          <w:sz w:val="30"/>
          <w:szCs w:val="30"/>
        </w:rPr>
        <w:t>此次大赛以“创新</w:t>
      </w:r>
      <w:r>
        <w:rPr>
          <w:rFonts w:hint="eastAsia" w:ascii="仿宋_GB2312" w:hAnsi="仿宋" w:eastAsia="仿宋_GB2312" w:cs="Arial"/>
          <w:sz w:val="30"/>
          <w:szCs w:val="30"/>
        </w:rPr>
        <w:t>、智能、</w:t>
      </w:r>
      <w:r>
        <w:rPr>
          <w:rFonts w:ascii="仿宋_GB2312" w:hAnsi="仿宋" w:eastAsia="仿宋_GB2312" w:cs="Arial"/>
          <w:sz w:val="30"/>
          <w:szCs w:val="30"/>
        </w:rPr>
        <w:t>物联未来世界”为口号，旨在积极响应当前全球科技发展的趋势与潮流，提高相关专业学生信息化技术应用、创新与设计的能力，促进信息化专业人才培养与产业发展方向和技术发展趋势的有机结合，</w:t>
      </w:r>
      <w:r>
        <w:rPr>
          <w:rFonts w:hint="eastAsia" w:ascii="仿宋_GB2312" w:hAnsi="仿宋" w:eastAsia="仿宋_GB2312" w:cs="Arial"/>
          <w:sz w:val="30"/>
          <w:szCs w:val="30"/>
        </w:rPr>
        <w:t>能</w:t>
      </w:r>
      <w:r>
        <w:rPr>
          <w:rFonts w:ascii="仿宋_GB2312" w:hAnsi="仿宋" w:eastAsia="仿宋_GB2312" w:cs="Arial"/>
          <w:sz w:val="30"/>
          <w:szCs w:val="30"/>
        </w:rPr>
        <w:t>很大程度的</w:t>
      </w:r>
      <w:r>
        <w:rPr>
          <w:rFonts w:hint="eastAsia" w:ascii="仿宋_GB2312" w:hAnsi="仿宋" w:eastAsia="仿宋_GB2312" w:cs="Arial"/>
          <w:sz w:val="30"/>
          <w:szCs w:val="30"/>
        </w:rPr>
        <w:t>促进</w:t>
      </w:r>
      <w:r>
        <w:rPr>
          <w:rFonts w:ascii="仿宋_GB2312" w:hAnsi="仿宋" w:eastAsia="仿宋_GB2312" w:cs="Arial"/>
          <w:sz w:val="30"/>
          <w:szCs w:val="30"/>
        </w:rPr>
        <w:t>学校</w:t>
      </w:r>
      <w:r>
        <w:rPr>
          <w:rFonts w:hint="eastAsia" w:ascii="仿宋_GB2312" w:hAnsi="仿宋" w:eastAsia="仿宋_GB2312" w:cs="Arial"/>
          <w:sz w:val="30"/>
          <w:szCs w:val="30"/>
        </w:rPr>
        <w:t>的</w:t>
      </w:r>
      <w:r>
        <w:rPr>
          <w:rFonts w:ascii="仿宋_GB2312" w:hAnsi="仿宋" w:eastAsia="仿宋_GB2312" w:cs="Arial"/>
          <w:sz w:val="30"/>
          <w:szCs w:val="30"/>
        </w:rPr>
        <w:t>专业建设。</w:t>
      </w:r>
    </w:p>
    <w:p>
      <w:pPr>
        <w:spacing w:line="560" w:lineRule="exact"/>
        <w:ind w:firstLine="602"/>
        <w:jc w:val="left"/>
        <w:outlineLvl w:val="0"/>
        <w:rPr>
          <w:rFonts w:ascii="仿宋_GB2312" w:hAnsi="仿宋" w:eastAsia="仿宋_GB2312" w:cs="Arial"/>
          <w:sz w:val="30"/>
          <w:szCs w:val="30"/>
        </w:rPr>
      </w:pPr>
      <w:r>
        <w:rPr>
          <w:rFonts w:ascii="仿宋_GB2312" w:hAnsi="仿宋" w:eastAsia="仿宋_GB2312" w:cs="Arial"/>
          <w:sz w:val="30"/>
          <w:szCs w:val="30"/>
        </w:rPr>
        <w:t>赛项内容包括智能家居</w:t>
      </w:r>
      <w:r>
        <w:rPr>
          <w:rFonts w:hint="eastAsia" w:ascii="仿宋_GB2312" w:hAnsi="仿宋" w:eastAsia="仿宋_GB2312" w:cs="Arial"/>
          <w:sz w:val="30"/>
          <w:szCs w:val="30"/>
        </w:rPr>
        <w:t>操作间设备的搭建、</w:t>
      </w:r>
      <w:r>
        <w:rPr>
          <w:rFonts w:ascii="仿宋_GB2312" w:hAnsi="仿宋" w:eastAsia="仿宋_GB2312" w:cs="Arial"/>
          <w:sz w:val="30"/>
          <w:szCs w:val="30"/>
        </w:rPr>
        <w:t>无线</w:t>
      </w:r>
      <w:r>
        <w:rPr>
          <w:rFonts w:hint="eastAsia" w:ascii="仿宋_GB2312" w:hAnsi="仿宋" w:eastAsia="仿宋_GB2312" w:cs="Arial"/>
          <w:sz w:val="30"/>
          <w:szCs w:val="30"/>
        </w:rPr>
        <w:t>传感网络搭建</w:t>
      </w:r>
      <w:r>
        <w:rPr>
          <w:rFonts w:ascii="仿宋_GB2312" w:hAnsi="仿宋" w:eastAsia="仿宋_GB2312" w:cs="Arial"/>
          <w:sz w:val="30"/>
          <w:szCs w:val="30"/>
        </w:rPr>
        <w:t>，嵌入式应用配置，</w:t>
      </w:r>
      <w:r>
        <w:rPr>
          <w:rFonts w:hint="eastAsia" w:ascii="仿宋_GB2312" w:hAnsi="仿宋" w:eastAsia="仿宋_GB2312" w:cs="Arial"/>
          <w:sz w:val="30"/>
          <w:szCs w:val="30"/>
        </w:rPr>
        <w:t>从</w:t>
      </w:r>
      <w:r>
        <w:rPr>
          <w:rFonts w:ascii="仿宋_GB2312" w:hAnsi="仿宋" w:eastAsia="仿宋_GB2312" w:cs="Arial"/>
          <w:sz w:val="30"/>
          <w:szCs w:val="30"/>
        </w:rPr>
        <w:t>内容设计上</w:t>
      </w:r>
      <w:r>
        <w:rPr>
          <w:rFonts w:hint="eastAsia" w:ascii="仿宋_GB2312" w:hAnsi="仿宋" w:eastAsia="仿宋_GB2312" w:cs="Arial"/>
          <w:sz w:val="30"/>
          <w:szCs w:val="30"/>
        </w:rPr>
        <w:t>不仅仅有</w:t>
      </w:r>
      <w:r>
        <w:rPr>
          <w:rFonts w:ascii="仿宋_GB2312" w:hAnsi="仿宋" w:eastAsia="仿宋_GB2312" w:cs="Arial"/>
          <w:sz w:val="30"/>
          <w:szCs w:val="30"/>
        </w:rPr>
        <w:t>传统的模拟应用，</w:t>
      </w:r>
      <w:r>
        <w:rPr>
          <w:rFonts w:hint="eastAsia" w:ascii="仿宋_GB2312" w:hAnsi="仿宋" w:eastAsia="仿宋_GB2312" w:cs="Arial"/>
          <w:sz w:val="30"/>
          <w:szCs w:val="30"/>
        </w:rPr>
        <w:t>还利用</w:t>
      </w:r>
      <w:r>
        <w:rPr>
          <w:rFonts w:ascii="仿宋_GB2312" w:hAnsi="仿宋" w:eastAsia="仿宋_GB2312" w:cs="Arial"/>
          <w:sz w:val="30"/>
          <w:szCs w:val="30"/>
        </w:rPr>
        <w:t>实际的智能家居产品自己搭建一个真实的智能家居样板间，还原智能家居在家庭应用的整个场景。</w:t>
      </w:r>
      <w:r>
        <w:rPr>
          <w:rFonts w:hint="eastAsia" w:ascii="仿宋_GB2312" w:hAnsi="仿宋" w:eastAsia="仿宋_GB2312" w:cs="Arial"/>
          <w:sz w:val="30"/>
          <w:szCs w:val="30"/>
        </w:rPr>
        <w:t>将智能家居真实</w:t>
      </w:r>
      <w:r>
        <w:rPr>
          <w:rFonts w:ascii="仿宋_GB2312" w:hAnsi="仿宋" w:eastAsia="仿宋_GB2312" w:cs="Arial"/>
          <w:sz w:val="30"/>
          <w:szCs w:val="30"/>
        </w:rPr>
        <w:t>的应用场景融入比赛整个环节。让学生不仅认识</w:t>
      </w:r>
      <w:r>
        <w:rPr>
          <w:rFonts w:hint="eastAsia" w:ascii="仿宋_GB2312" w:hAnsi="仿宋" w:eastAsia="仿宋_GB2312" w:cs="Arial"/>
          <w:sz w:val="30"/>
          <w:szCs w:val="30"/>
        </w:rPr>
        <w:t>智能家居</w:t>
      </w:r>
      <w:r>
        <w:rPr>
          <w:rFonts w:ascii="仿宋_GB2312" w:hAnsi="仿宋" w:eastAsia="仿宋_GB2312" w:cs="Arial"/>
          <w:sz w:val="30"/>
          <w:szCs w:val="30"/>
        </w:rPr>
        <w:t>设备</w:t>
      </w:r>
      <w:r>
        <w:rPr>
          <w:rFonts w:hint="eastAsia" w:ascii="仿宋_GB2312" w:hAnsi="仿宋" w:eastAsia="仿宋_GB2312" w:cs="Arial"/>
          <w:sz w:val="30"/>
          <w:szCs w:val="30"/>
        </w:rPr>
        <w:t>、</w:t>
      </w:r>
      <w:r>
        <w:rPr>
          <w:rFonts w:ascii="仿宋_GB2312" w:hAnsi="仿宋" w:eastAsia="仿宋_GB2312" w:cs="Arial"/>
          <w:sz w:val="30"/>
          <w:szCs w:val="30"/>
        </w:rPr>
        <w:t>对智能家居的应用场景有了更为全面的感知，</w:t>
      </w:r>
      <w:r>
        <w:rPr>
          <w:rFonts w:hint="eastAsia" w:ascii="仿宋_GB2312" w:hAnsi="仿宋" w:eastAsia="仿宋_GB2312" w:cs="Arial"/>
          <w:sz w:val="30"/>
          <w:szCs w:val="30"/>
        </w:rPr>
        <w:t>并</w:t>
      </w:r>
      <w:r>
        <w:rPr>
          <w:rFonts w:ascii="仿宋_GB2312" w:hAnsi="仿宋" w:eastAsia="仿宋_GB2312" w:cs="Arial"/>
          <w:sz w:val="30"/>
          <w:szCs w:val="30"/>
        </w:rPr>
        <w:t>充分体现在实际应用中，真正的让学生学以致用，这也是学校教学的最终目标，同时也充分体现出此次大赛的特色和创新。</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六、竞赛内容简介（须附英文对照简介）</w:t>
      </w:r>
    </w:p>
    <w:p>
      <w:pPr>
        <w:spacing w:line="560" w:lineRule="exact"/>
        <w:ind w:firstLine="602"/>
        <w:jc w:val="left"/>
        <w:outlineLvl w:val="0"/>
        <w:rPr>
          <w:rFonts w:ascii="仿宋_GB2312" w:hAnsi="仿宋" w:eastAsia="仿宋_GB2312" w:cs="Arial"/>
          <w:sz w:val="30"/>
          <w:szCs w:val="30"/>
        </w:rPr>
      </w:pPr>
      <w:r>
        <w:rPr>
          <w:rFonts w:hint="eastAsia" w:ascii="仿宋_GB2312" w:hAnsi="仿宋" w:eastAsia="仿宋_GB2312" w:cs="Arial"/>
          <w:sz w:val="30"/>
          <w:szCs w:val="30"/>
        </w:rPr>
        <w:t>智能家居安装与维护赛项响应全国职业院校技能大赛“校企合作、社会参与、充分开放”的办赛理念，</w:t>
      </w:r>
      <w:r>
        <w:rPr>
          <w:rFonts w:ascii="仿宋_GB2312" w:hAnsi="仿宋" w:eastAsia="仿宋_GB2312" w:cs="Arial"/>
          <w:sz w:val="30"/>
          <w:szCs w:val="30"/>
        </w:rPr>
        <w:t>旨在</w:t>
      </w:r>
      <w:r>
        <w:rPr>
          <w:rFonts w:hint="eastAsia" w:ascii="仿宋_GB2312" w:hAnsi="仿宋" w:eastAsia="仿宋_GB2312" w:cs="Arial"/>
          <w:sz w:val="30"/>
          <w:szCs w:val="30"/>
        </w:rPr>
        <w:t>为中职院校搭建校企合作的平台，引导中职院校 “以赛促学、以赛促教、以赛促改”。竞赛分为四个部分，分别是：智能家居设备安装调试及应用配置、智能家居网关应用配置、智能家居移动终端软件应用配置和团队</w:t>
      </w:r>
      <w:r>
        <w:rPr>
          <w:rFonts w:ascii="仿宋_GB2312" w:hAnsi="仿宋" w:eastAsia="仿宋_GB2312" w:cs="Arial"/>
          <w:sz w:val="30"/>
          <w:szCs w:val="30"/>
        </w:rPr>
        <w:t>风貌及</w:t>
      </w:r>
      <w:r>
        <w:rPr>
          <w:rFonts w:hint="eastAsia" w:ascii="仿宋_GB2312" w:hAnsi="仿宋" w:eastAsia="仿宋_GB2312" w:cs="Arial"/>
          <w:sz w:val="30"/>
          <w:szCs w:val="30"/>
        </w:rPr>
        <w:t>职业素养。</w:t>
      </w:r>
    </w:p>
    <w:p>
      <w:pPr>
        <w:spacing w:line="560" w:lineRule="exact"/>
        <w:ind w:firstLine="602"/>
        <w:jc w:val="left"/>
        <w:outlineLvl w:val="0"/>
        <w:rPr>
          <w:rFonts w:ascii="仿宋_GB2312" w:hAnsi="仿宋" w:eastAsia="仿宋_GB2312" w:cs="Arial"/>
          <w:sz w:val="30"/>
          <w:szCs w:val="30"/>
        </w:rPr>
      </w:pPr>
      <w:r>
        <w:rPr>
          <w:rFonts w:ascii="仿宋_GB2312" w:hAnsi="仿宋" w:eastAsia="仿宋_GB2312" w:cs="Arial"/>
          <w:sz w:val="30"/>
          <w:szCs w:val="30"/>
        </w:rPr>
        <w:t>要求参赛选手根据给定的项目需求，完成传感器设备和执行控制设备的连接与配置、服务器的搭建与调试、数据的采集与执行设备的控制，客户端软件的开发与调试，使其根据传感器采集到的数据并和设置的阀值条件比较后智能的对执行设备进行控制。</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Smart home installation and maintenance competition responses to the national tournament Vocational Skills Competition "school-enterprise cooperation, community involvement, and fully open" that’s the run game concept, aimed at to build a platform of networking professional school-enterprise cooperation for the vocational colleges guiding the professional school "using competition to promote learning to promote education, to promote reform." Competition is divided into four parts, namely: the smart home equipment installation and application configuration, the smart home gateway application configuration, the smart home mobile terminal software applications and team style and professionalism.</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Requires contestants according to the needs of a given project, completing the connection and configuration control sensor devices and executing control equipment, wireless network set up and commissioning, data acquisition and implementation of equipment, making the valve according to the data collected by sensors and settings intelligent control device after the implementation of the value of the condition comparison.</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pacing w:line="560" w:lineRule="exact"/>
        <w:ind w:firstLine="601"/>
        <w:jc w:val="left"/>
        <w:rPr>
          <w:rFonts w:ascii="仿宋_GB2312" w:hAnsi="仿宋" w:eastAsia="仿宋_GB2312" w:cs="Arial"/>
          <w:sz w:val="30"/>
          <w:szCs w:val="30"/>
        </w:rPr>
      </w:pPr>
      <w:r>
        <w:rPr>
          <w:rFonts w:ascii="仿宋_GB2312" w:hAnsi="仿宋" w:eastAsia="仿宋_GB2312" w:cs="Arial"/>
          <w:sz w:val="30"/>
          <w:szCs w:val="30"/>
        </w:rPr>
        <w:t>竞赛以团队方式进行，每支参赛队由3名选手组成，须为同校在籍学生，其中队长1名，性别和年级不限，可配2名指导教师。比赛时间为</w:t>
      </w:r>
      <w:r>
        <w:rPr>
          <w:rFonts w:hint="eastAsia" w:ascii="仿宋_GB2312" w:hAnsi="仿宋" w:eastAsia="仿宋_GB2312" w:cs="Arial"/>
          <w:sz w:val="30"/>
          <w:szCs w:val="30"/>
        </w:rPr>
        <w:t>3小时</w:t>
      </w:r>
      <w:r>
        <w:rPr>
          <w:rFonts w:ascii="仿宋_GB2312" w:hAnsi="仿宋" w:eastAsia="仿宋_GB2312" w:cs="Arial"/>
          <w:sz w:val="30"/>
          <w:szCs w:val="30"/>
        </w:rPr>
        <w:t>。参赛选手为2019年在籍的</w:t>
      </w:r>
      <w:r>
        <w:rPr>
          <w:rFonts w:hint="eastAsia" w:ascii="仿宋_GB2312" w:hAnsi="仿宋" w:eastAsia="仿宋_GB2312" w:cs="Arial"/>
          <w:sz w:val="30"/>
          <w:szCs w:val="30"/>
        </w:rPr>
        <w:t>中</w:t>
      </w:r>
      <w:r>
        <w:rPr>
          <w:rFonts w:ascii="仿宋_GB2312" w:hAnsi="仿宋" w:eastAsia="仿宋_GB2312" w:cs="Arial"/>
          <w:sz w:val="30"/>
          <w:szCs w:val="30"/>
        </w:rPr>
        <w:t>职学生，性别不限，年龄</w:t>
      </w:r>
      <w:r>
        <w:rPr>
          <w:rFonts w:hint="eastAsia" w:ascii="仿宋_GB2312" w:hAnsi="仿宋" w:eastAsia="仿宋_GB2312" w:cs="Arial"/>
          <w:sz w:val="30"/>
          <w:szCs w:val="30"/>
        </w:rPr>
        <w:t>18</w:t>
      </w:r>
      <w:r>
        <w:rPr>
          <w:rFonts w:ascii="仿宋_GB2312" w:hAnsi="仿宋" w:eastAsia="仿宋_GB2312" w:cs="Arial"/>
          <w:sz w:val="30"/>
          <w:szCs w:val="30"/>
        </w:rPr>
        <w:t>周岁以下（含</w:t>
      </w:r>
      <w:r>
        <w:rPr>
          <w:rFonts w:hint="eastAsia" w:ascii="仿宋_GB2312" w:hAnsi="仿宋" w:eastAsia="仿宋_GB2312" w:cs="Arial"/>
          <w:sz w:val="30"/>
          <w:szCs w:val="30"/>
        </w:rPr>
        <w:t>18</w:t>
      </w:r>
      <w:r>
        <w:rPr>
          <w:rFonts w:ascii="仿宋_GB2312" w:hAnsi="仿宋" w:eastAsia="仿宋_GB2312" w:cs="Arial"/>
          <w:sz w:val="30"/>
          <w:szCs w:val="30"/>
        </w:rPr>
        <w:t>周岁）。</w:t>
      </w:r>
    </w:p>
    <w:p>
      <w:pPr>
        <w:spacing w:line="560" w:lineRule="exact"/>
        <w:ind w:firstLine="601"/>
        <w:jc w:val="left"/>
        <w:rPr>
          <w:rFonts w:ascii="仿宋_GB2312" w:hAnsi="仿宋" w:eastAsia="仿宋_GB2312" w:cs="Arial"/>
          <w:sz w:val="30"/>
          <w:szCs w:val="30"/>
        </w:rPr>
      </w:pPr>
      <w:r>
        <w:rPr>
          <w:rFonts w:ascii="仿宋_GB2312" w:hAnsi="仿宋" w:eastAsia="仿宋_GB2312" w:cs="Arial"/>
          <w:sz w:val="30"/>
          <w:szCs w:val="30"/>
        </w:rPr>
        <w:t>竞赛分预赛和决赛两个阶段。预赛由各省、自治区、直辖市，各计划单列市以及新疆建设兵团等有关部门自行组织，决赛由全国职业院校技能大赛组委会统一组织。</w:t>
      </w:r>
    </w:p>
    <w:p>
      <w:pPr>
        <w:spacing w:line="560" w:lineRule="exact"/>
        <w:ind w:firstLine="601"/>
        <w:jc w:val="left"/>
        <w:rPr>
          <w:rFonts w:ascii="仿宋_GB2312" w:hAnsi="仿宋" w:eastAsia="仿宋_GB2312" w:cs="Arial"/>
          <w:sz w:val="30"/>
          <w:szCs w:val="30"/>
        </w:rPr>
      </w:pPr>
      <w:r>
        <w:rPr>
          <w:rFonts w:ascii="仿宋_GB2312" w:hAnsi="仿宋" w:eastAsia="仿宋_GB2312" w:cs="Arial"/>
          <w:sz w:val="30"/>
          <w:szCs w:val="30"/>
        </w:rPr>
        <w:t>参赛规模。决赛参赛队由各省、自治区、直辖市，各计划单列市以及新疆建设兵团等有关部门推荐，根据决赛队数量决定是否分组进行。</w:t>
      </w:r>
    </w:p>
    <w:p>
      <w:pPr>
        <w:spacing w:line="560" w:lineRule="exact"/>
        <w:ind w:firstLine="601"/>
        <w:jc w:val="left"/>
        <w:rPr>
          <w:rFonts w:ascii="仿宋_GB2312" w:hAnsi="仿宋" w:eastAsia="仿宋_GB2312" w:cs="Arial"/>
          <w:sz w:val="30"/>
          <w:szCs w:val="30"/>
        </w:rPr>
      </w:pPr>
      <w:r>
        <w:rPr>
          <w:rFonts w:hint="eastAsia" w:ascii="仿宋_GB2312" w:hAnsi="仿宋" w:eastAsia="仿宋_GB2312" w:cs="Arial"/>
          <w:sz w:val="30"/>
          <w:szCs w:val="30"/>
        </w:rPr>
        <w:t>本赛项邀请</w:t>
      </w:r>
      <w:r>
        <w:rPr>
          <w:rFonts w:ascii="仿宋_GB2312" w:hAnsi="仿宋" w:eastAsia="仿宋_GB2312" w:cs="Arial"/>
          <w:sz w:val="30"/>
          <w:szCs w:val="30"/>
        </w:rPr>
        <w:t>台湾</w:t>
      </w:r>
      <w:r>
        <w:rPr>
          <w:rFonts w:hint="eastAsia" w:ascii="仿宋_GB2312" w:hAnsi="仿宋" w:eastAsia="仿宋_GB2312" w:cs="Arial"/>
          <w:sz w:val="30"/>
          <w:szCs w:val="30"/>
        </w:rPr>
        <w:t>院校代表参赛</w:t>
      </w:r>
      <w:r>
        <w:rPr>
          <w:rFonts w:ascii="仿宋_GB2312" w:hAnsi="仿宋" w:eastAsia="仿宋_GB2312" w:cs="Arial"/>
          <w:sz w:val="30"/>
          <w:szCs w:val="30"/>
        </w:rPr>
        <w:t>。</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八、竞赛时间安排与流程</w:t>
      </w:r>
    </w:p>
    <w:p>
      <w:pPr>
        <w:widowControl/>
        <w:spacing w:line="560" w:lineRule="exact"/>
        <w:ind w:firstLine="561"/>
        <w:jc w:val="left"/>
        <w:rPr>
          <w:rFonts w:ascii="仿宋_GB2312" w:hAnsi="仿宋" w:eastAsia="仿宋_GB2312" w:cs="Arial"/>
          <w:sz w:val="30"/>
          <w:szCs w:val="30"/>
        </w:rPr>
      </w:pPr>
      <w:r>
        <w:rPr>
          <w:rFonts w:ascii="仿宋_GB2312" w:hAnsi="仿宋" w:eastAsia="仿宋_GB2312" w:cs="Arial"/>
          <w:sz w:val="30"/>
          <w:szCs w:val="30"/>
        </w:rPr>
        <w:t>1.竞赛限定在3小时内进行，时间为9：00-12：00。</w:t>
      </w:r>
    </w:p>
    <w:p>
      <w:pPr>
        <w:widowControl/>
        <w:spacing w:line="560" w:lineRule="exact"/>
        <w:ind w:firstLine="561"/>
        <w:jc w:val="left"/>
        <w:rPr>
          <w:rFonts w:ascii="仿宋_GB2312" w:hAnsi="仿宋" w:eastAsia="仿宋_GB2312" w:cs="Arial"/>
          <w:sz w:val="30"/>
          <w:szCs w:val="30"/>
        </w:rPr>
      </w:pPr>
      <w:r>
        <w:rPr>
          <w:rFonts w:ascii="仿宋_GB2312" w:hAnsi="仿宋" w:eastAsia="仿宋_GB2312" w:cs="Arial"/>
          <w:sz w:val="30"/>
          <w:szCs w:val="30"/>
        </w:rPr>
        <w:t>2.具体流程如下：</w:t>
      </w:r>
    </w:p>
    <w:tbl>
      <w:tblPr>
        <w:tblStyle w:val="13"/>
        <w:tblW w:w="7376" w:type="dxa"/>
        <w:tblInd w:w="0" w:type="dxa"/>
        <w:tblLayout w:type="fixed"/>
        <w:tblCellMar>
          <w:top w:w="0" w:type="dxa"/>
          <w:left w:w="108" w:type="dxa"/>
          <w:bottom w:w="0" w:type="dxa"/>
          <w:right w:w="108" w:type="dxa"/>
        </w:tblCellMar>
      </w:tblPr>
      <w:tblGrid>
        <w:gridCol w:w="2410"/>
        <w:gridCol w:w="4966"/>
      </w:tblGrid>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08:00-08:10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人员签到</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08:10-08:50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选手抽签并入场</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08:50-09:00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参赛代表队就位并领取竞赛任务</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09:00-12:00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正式竞赛</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12:00-12:40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现场记录后参赛代表队离场</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1</w:t>
            </w:r>
            <w:r>
              <w:rPr>
                <w:rFonts w:hint="eastAsia" w:ascii="宋体" w:hAnsi="宋体" w:cs="宋体"/>
                <w:color w:val="141414"/>
                <w:sz w:val="24"/>
                <w:szCs w:val="24"/>
              </w:rPr>
              <w:t>2</w:t>
            </w:r>
            <w:r>
              <w:rPr>
                <w:rFonts w:ascii="宋体" w:hAnsi="宋体" w:cs="宋体"/>
                <w:color w:val="141414"/>
                <w:sz w:val="24"/>
                <w:szCs w:val="24"/>
              </w:rPr>
              <w:t>:00-</w:t>
            </w:r>
            <w:r>
              <w:rPr>
                <w:rFonts w:hint="eastAsia" w:ascii="宋体" w:hAnsi="宋体" w:cs="宋体"/>
                <w:color w:val="141414"/>
                <w:sz w:val="24"/>
                <w:szCs w:val="24"/>
              </w:rPr>
              <w:t>14</w:t>
            </w:r>
            <w:r>
              <w:rPr>
                <w:rFonts w:ascii="宋体" w:hAnsi="宋体" w:cs="宋体"/>
                <w:color w:val="141414"/>
                <w:sz w:val="24"/>
                <w:szCs w:val="24"/>
              </w:rPr>
              <w:t>:00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封场，接受申诉和仲裁</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hint="eastAsia" w:ascii="宋体" w:hAnsi="宋体" w:cs="宋体"/>
                <w:color w:val="141414"/>
                <w:sz w:val="24"/>
                <w:szCs w:val="24"/>
              </w:rPr>
              <w:t>14</w:t>
            </w:r>
            <w:r>
              <w:rPr>
                <w:rFonts w:ascii="宋体" w:hAnsi="宋体" w:cs="宋体"/>
                <w:color w:val="141414"/>
                <w:sz w:val="24"/>
                <w:szCs w:val="24"/>
              </w:rPr>
              <w:t>:00-</w:t>
            </w:r>
            <w:r>
              <w:rPr>
                <w:rFonts w:hint="eastAsia" w:ascii="宋体" w:hAnsi="宋体" w:cs="宋体"/>
                <w:color w:val="141414"/>
                <w:sz w:val="24"/>
                <w:szCs w:val="24"/>
              </w:rPr>
              <w:t>21</w:t>
            </w:r>
            <w:r>
              <w:rPr>
                <w:rFonts w:ascii="宋体" w:hAnsi="宋体" w:cs="宋体"/>
                <w:color w:val="141414"/>
                <w:sz w:val="24"/>
                <w:szCs w:val="24"/>
              </w:rPr>
              <w:t>:00</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执裁和评分</w:t>
            </w:r>
          </w:p>
        </w:tc>
      </w:tr>
      <w:tr>
        <w:tblPrEx>
          <w:tblLayout w:type="fixed"/>
          <w:tblCellMar>
            <w:top w:w="0" w:type="dxa"/>
            <w:left w:w="108" w:type="dxa"/>
            <w:bottom w:w="0" w:type="dxa"/>
            <w:right w:w="108" w:type="dxa"/>
          </w:tblCellMar>
        </w:tblPrEx>
        <w:trPr>
          <w:trHeight w:val="544"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21:00后</w:t>
            </w:r>
          </w:p>
        </w:tc>
        <w:tc>
          <w:tcPr>
            <w:tcW w:w="49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141414"/>
                <w:sz w:val="24"/>
                <w:szCs w:val="24"/>
              </w:rPr>
            </w:pPr>
            <w:r>
              <w:rPr>
                <w:rFonts w:ascii="宋体" w:hAnsi="宋体" w:cs="宋体"/>
                <w:color w:val="141414"/>
                <w:sz w:val="24"/>
                <w:szCs w:val="24"/>
              </w:rPr>
              <w:t>竞赛结果上传数据库</w:t>
            </w:r>
          </w:p>
        </w:tc>
      </w:tr>
    </w:tbl>
    <w:p>
      <w:pPr>
        <w:spacing w:line="560" w:lineRule="exact"/>
        <w:ind w:firstLine="601"/>
        <w:jc w:val="left"/>
        <w:outlineLvl w:val="0"/>
        <w:rPr>
          <w:rFonts w:ascii="黑体" w:hAnsi="黑体" w:eastAsia="黑体" w:cs="黑体"/>
          <w:bCs/>
          <w:sz w:val="30"/>
          <w:szCs w:val="30"/>
        </w:rPr>
      </w:pPr>
      <w:r>
        <w:rPr>
          <w:rFonts w:hint="eastAsia" w:ascii="黑体" w:hAnsi="黑体" w:eastAsia="黑体" w:cs="黑体"/>
          <w:bCs/>
          <w:sz w:val="30"/>
          <w:szCs w:val="30"/>
        </w:rPr>
        <w:t>九、竞赛试题</w:t>
      </w:r>
    </w:p>
    <w:p>
      <w:pPr>
        <w:snapToGrid w:val="0"/>
        <w:spacing w:line="560" w:lineRule="exact"/>
        <w:ind w:firstLine="600" w:firstLineChars="200"/>
        <w:rPr>
          <w:rFonts w:ascii="仿宋_GB2312" w:hAnsi="仿宋" w:eastAsia="仿宋_GB2312" w:cs="Arial"/>
          <w:sz w:val="30"/>
          <w:szCs w:val="30"/>
        </w:rPr>
      </w:pPr>
      <w:r>
        <w:rPr>
          <w:rFonts w:hint="eastAsia" w:ascii="仿宋_GB2312" w:hAnsi="仿宋" w:eastAsia="仿宋_GB2312" w:cs="Arial"/>
          <w:sz w:val="30"/>
          <w:szCs w:val="30"/>
        </w:rPr>
        <w:t>本赛项自</w:t>
      </w:r>
      <w:r>
        <w:rPr>
          <w:rFonts w:ascii="仿宋_GB2312" w:hAnsi="仿宋" w:eastAsia="仿宋_GB2312" w:cs="Arial"/>
          <w:sz w:val="30"/>
          <w:szCs w:val="30"/>
        </w:rPr>
        <w:t>开办以来，</w:t>
      </w:r>
      <w:r>
        <w:rPr>
          <w:rFonts w:hint="eastAsia" w:ascii="仿宋_GB2312" w:hAnsi="仿宋" w:eastAsia="仿宋_GB2312" w:cs="Arial"/>
          <w:sz w:val="30"/>
          <w:szCs w:val="30"/>
        </w:rPr>
        <w:t>历年</w:t>
      </w:r>
      <w:r>
        <w:rPr>
          <w:rFonts w:ascii="仿宋_GB2312" w:hAnsi="仿宋" w:eastAsia="仿宋_GB2312" w:cs="Arial"/>
          <w:sz w:val="30"/>
          <w:szCs w:val="30"/>
        </w:rPr>
        <w:t>积累了大量的题库资源</w:t>
      </w:r>
      <w:r>
        <w:rPr>
          <w:rFonts w:hint="eastAsia" w:ascii="仿宋_GB2312" w:hAnsi="仿宋" w:eastAsia="仿宋_GB2312" w:cs="Arial"/>
          <w:sz w:val="30"/>
          <w:szCs w:val="30"/>
        </w:rPr>
        <w:t>，2015、2016、2017每年都</w:t>
      </w:r>
      <w:r>
        <w:rPr>
          <w:rFonts w:ascii="仿宋_GB2312" w:hAnsi="仿宋" w:eastAsia="仿宋_GB2312" w:cs="Arial"/>
          <w:sz w:val="30"/>
          <w:szCs w:val="30"/>
        </w:rPr>
        <w:t>新开发</w:t>
      </w:r>
      <w:r>
        <w:rPr>
          <w:rFonts w:hint="eastAsia" w:ascii="仿宋_GB2312" w:hAnsi="仿宋" w:eastAsia="仿宋_GB2312" w:cs="Arial"/>
          <w:sz w:val="30"/>
          <w:szCs w:val="30"/>
        </w:rPr>
        <w:t>10套</w:t>
      </w:r>
      <w:r>
        <w:rPr>
          <w:rFonts w:ascii="仿宋_GB2312" w:hAnsi="仿宋" w:eastAsia="仿宋_GB2312" w:cs="Arial"/>
          <w:sz w:val="30"/>
          <w:szCs w:val="30"/>
        </w:rPr>
        <w:t>竞赛题库。</w:t>
      </w:r>
    </w:p>
    <w:p>
      <w:pPr>
        <w:numPr>
          <w:ilvl w:val="0"/>
          <w:numId w:val="2"/>
        </w:numPr>
        <w:spacing w:line="560" w:lineRule="exact"/>
        <w:ind w:firstLine="601"/>
        <w:jc w:val="left"/>
        <w:rPr>
          <w:rFonts w:ascii="仿宋_GB2312" w:hAnsi="仿宋" w:eastAsia="仿宋_GB2312" w:cs="Arial"/>
          <w:sz w:val="30"/>
          <w:szCs w:val="30"/>
        </w:rPr>
      </w:pPr>
      <w:r>
        <w:rPr>
          <w:rFonts w:hint="eastAsia" w:ascii="仿宋_GB2312" w:hAnsi="仿宋" w:eastAsia="仿宋_GB2312" w:cs="Arial"/>
          <w:sz w:val="30"/>
          <w:szCs w:val="30"/>
        </w:rPr>
        <w:t>智能家居设备安装调试及应用配置</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本部分要求完成智能家居设备的安装、配置以及调试，实现如下样品间电器布局图的效果。</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说明：样板间里所有涉及220V强电部分都已经安装完毕，选手仅需针对弱电接线。</w:t>
      </w:r>
    </w:p>
    <w:p>
      <w:pPr>
        <w:spacing w:line="560" w:lineRule="atLeast"/>
        <w:jc w:val="center"/>
        <w:rPr>
          <w:rFonts w:ascii="仿宋" w:hAnsi="仿宋" w:eastAsia="仿宋"/>
          <w:kern w:val="1"/>
          <w:sz w:val="30"/>
          <w:szCs w:val="30"/>
        </w:rPr>
      </w:pPr>
      <w:r>
        <w:rPr>
          <w:rFonts w:ascii="仿宋" w:hAnsi="仿宋" w:eastAsia="仿宋"/>
          <w:kern w:val="1"/>
          <w:sz w:val="30"/>
          <w:szCs w:val="30"/>
        </w:rPr>
        <w:drawing>
          <wp:inline distT="0" distB="0" distL="0" distR="0">
            <wp:extent cx="4686300" cy="3038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86300" cy="3038475"/>
                    </a:xfrm>
                    <a:prstGeom prst="rect">
                      <a:avLst/>
                    </a:prstGeom>
                    <a:noFill/>
                    <a:ln>
                      <a:noFill/>
                    </a:ln>
                    <a:effectLst/>
                  </pic:spPr>
                </pic:pic>
              </a:graphicData>
            </a:graphic>
          </wp:inline>
        </w:drawing>
      </w:r>
    </w:p>
    <w:p>
      <w:pPr>
        <w:spacing w:line="560" w:lineRule="atLeast"/>
        <w:jc w:val="center"/>
        <w:rPr>
          <w:rFonts w:ascii="仿宋" w:hAnsi="仿宋" w:eastAsia="仿宋" w:cs="Arial"/>
          <w:kern w:val="1"/>
          <w:sz w:val="30"/>
          <w:szCs w:val="30"/>
        </w:rPr>
      </w:pPr>
      <w:r>
        <w:rPr>
          <w:rFonts w:ascii="仿宋" w:hAnsi="仿宋" w:eastAsia="仿宋" w:cs="Arial"/>
          <w:kern w:val="1"/>
          <w:sz w:val="30"/>
          <w:szCs w:val="30"/>
        </w:rPr>
        <w:t>图1-1 样板间电器布局图</w:t>
      </w:r>
    </w:p>
    <w:p>
      <w:pPr>
        <w:numPr>
          <w:ilvl w:val="0"/>
          <w:numId w:val="3"/>
        </w:num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设备配置</w:t>
      </w:r>
    </w:p>
    <w:p>
      <w:pPr>
        <w:numPr>
          <w:ilvl w:val="0"/>
          <w:numId w:val="4"/>
        </w:num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请根据“桌面\竞赛资料\样板间”文件夹中的“配置要求”，使用智能家居应用配置软件，配置对应的传感器设备和控制设备。</w:t>
      </w:r>
    </w:p>
    <w:p>
      <w:pPr>
        <w:numPr>
          <w:ilvl w:val="0"/>
          <w:numId w:val="4"/>
        </w:numPr>
        <w:spacing w:line="560" w:lineRule="exact"/>
        <w:ind w:firstLine="600"/>
        <w:rPr>
          <w:rFonts w:ascii="仿宋_GB2312" w:hAnsi="仿宋" w:eastAsia="仿宋_GB2312" w:cs="Arial"/>
          <w:sz w:val="30"/>
          <w:szCs w:val="30"/>
        </w:rPr>
      </w:pPr>
      <w:r>
        <w:rPr>
          <w:rFonts w:ascii="仿宋_GB2312" w:hAnsi="仿宋" w:eastAsia="仿宋_GB2312" w:cs="Arial"/>
          <w:sz w:val="30"/>
          <w:szCs w:val="30"/>
        </w:rPr>
        <w:t>应用智能家居应用配置软件</w:t>
      </w:r>
      <w:r>
        <w:rPr>
          <w:rFonts w:hint="eastAsia" w:ascii="仿宋_GB2312" w:hAnsi="仿宋" w:eastAsia="仿宋_GB2312" w:cs="Arial"/>
          <w:sz w:val="30"/>
          <w:szCs w:val="30"/>
        </w:rPr>
        <w:t>，对设备</w:t>
      </w:r>
      <w:r>
        <w:rPr>
          <w:rFonts w:ascii="仿宋_GB2312" w:hAnsi="仿宋" w:eastAsia="仿宋_GB2312" w:cs="Arial"/>
          <w:sz w:val="30"/>
          <w:szCs w:val="30"/>
        </w:rPr>
        <w:t>进行“配置”</w:t>
      </w:r>
      <w:r>
        <w:rPr>
          <w:rFonts w:hint="eastAsia" w:ascii="仿宋_GB2312" w:hAnsi="仿宋" w:eastAsia="仿宋_GB2312" w:cs="Arial"/>
          <w:sz w:val="30"/>
          <w:szCs w:val="30"/>
        </w:rPr>
        <w:t>，同时</w:t>
      </w:r>
      <w:r>
        <w:rPr>
          <w:rFonts w:ascii="仿宋_GB2312" w:hAnsi="仿宋" w:eastAsia="仿宋_GB2312" w:cs="Arial"/>
          <w:sz w:val="30"/>
          <w:szCs w:val="30"/>
        </w:rPr>
        <w:t>通过对终端节点的配置</w:t>
      </w:r>
      <w:r>
        <w:rPr>
          <w:rFonts w:hint="eastAsia" w:ascii="仿宋_GB2312" w:hAnsi="仿宋" w:eastAsia="仿宋_GB2312" w:cs="Arial"/>
          <w:sz w:val="30"/>
          <w:szCs w:val="30"/>
        </w:rPr>
        <w:t>完成</w:t>
      </w:r>
      <w:r>
        <w:rPr>
          <w:rFonts w:ascii="仿宋_GB2312" w:hAnsi="仿宋" w:eastAsia="仿宋_GB2312" w:cs="Arial"/>
          <w:sz w:val="30"/>
          <w:szCs w:val="30"/>
        </w:rPr>
        <w:t>整个智能家居无线网络的搭建。</w:t>
      </w:r>
    </w:p>
    <w:p>
      <w:pPr>
        <w:numPr>
          <w:ilvl w:val="0"/>
          <w:numId w:val="3"/>
        </w:numPr>
        <w:spacing w:line="560" w:lineRule="exact"/>
        <w:ind w:firstLine="600"/>
        <w:rPr>
          <w:rFonts w:ascii="仿宋_GB2312" w:hAnsi="仿宋" w:eastAsia="仿宋_GB2312" w:cs="Arial"/>
          <w:sz w:val="30"/>
          <w:szCs w:val="30"/>
        </w:rPr>
      </w:pPr>
      <w:r>
        <w:rPr>
          <w:rFonts w:ascii="仿宋_GB2312" w:hAnsi="仿宋" w:eastAsia="仿宋_GB2312" w:cs="Arial"/>
          <w:sz w:val="30"/>
          <w:szCs w:val="30"/>
        </w:rPr>
        <w:t>设备安装</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按照样板间电器布局图将以下设备安装至指定位置并固定，完成设备供电。</w:t>
      </w:r>
    </w:p>
    <w:p>
      <w:pPr>
        <w:spacing w:line="560" w:lineRule="atLeast"/>
        <w:jc w:val="center"/>
        <w:rPr>
          <w:rFonts w:ascii="宋体" w:hAnsi="宋体" w:cs="Arial"/>
          <w:sz w:val="24"/>
          <w:szCs w:val="24"/>
        </w:rPr>
      </w:pPr>
      <w:r>
        <w:rPr>
          <w:rFonts w:ascii="宋体" w:hAnsi="宋体" w:cs="Arial"/>
          <w:sz w:val="24"/>
          <w:szCs w:val="24"/>
        </w:rPr>
        <w:t>表1-1 设备列表</w:t>
      </w:r>
    </w:p>
    <w:tbl>
      <w:tblPr>
        <w:tblStyle w:val="13"/>
        <w:tblW w:w="6324" w:type="dxa"/>
        <w:jc w:val="center"/>
        <w:tblInd w:w="0" w:type="dxa"/>
        <w:tblLayout w:type="fixed"/>
        <w:tblCellMar>
          <w:top w:w="0" w:type="dxa"/>
          <w:left w:w="108" w:type="dxa"/>
          <w:bottom w:w="0" w:type="dxa"/>
          <w:right w:w="108" w:type="dxa"/>
        </w:tblCellMar>
      </w:tblPr>
      <w:tblGrid>
        <w:gridCol w:w="1080"/>
        <w:gridCol w:w="5244"/>
      </w:tblGrid>
      <w:tr>
        <w:tblPrEx>
          <w:tblLayout w:type="fixed"/>
          <w:tblCellMar>
            <w:top w:w="0" w:type="dxa"/>
            <w:left w:w="108" w:type="dxa"/>
            <w:bottom w:w="0" w:type="dxa"/>
            <w:right w:w="108" w:type="dxa"/>
          </w:tblCellMar>
        </w:tblPrEx>
        <w:trPr>
          <w:trHeight w:val="499" w:hRule="atLeast"/>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序号</w:t>
            </w:r>
          </w:p>
        </w:tc>
        <w:tc>
          <w:tcPr>
            <w:tcW w:w="5244"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设备名称</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温湿度传感器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2</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光照传感器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3</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烟雾传感器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4</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燃气传感器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5</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CO</w:t>
            </w:r>
            <w:r>
              <w:rPr>
                <w:rFonts w:ascii="宋体" w:hAnsi="宋体" w:cs="宋体"/>
                <w:sz w:val="24"/>
                <w:szCs w:val="24"/>
                <w:vertAlign w:val="subscript"/>
              </w:rPr>
              <w:t>2</w:t>
            </w:r>
            <w:r>
              <w:rPr>
                <w:rFonts w:hint="eastAsia" w:ascii="宋体" w:hAnsi="宋体" w:cs="宋体"/>
                <w:sz w:val="24"/>
                <w:szCs w:val="24"/>
              </w:rPr>
              <w:t>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6</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PM2.5传感器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7</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气压传感器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8</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人体红外传感器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9</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LED射灯</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10</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电动窗帘</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11</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电视、空调、DVD</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12</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换气扇</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13</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报警灯</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14</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门禁系统</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15</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可视对讲系统</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16</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安防监控系统</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17</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智能语音系统</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18</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人脸识别系统</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19</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智能网关</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20</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无线路由器</w:t>
            </w:r>
          </w:p>
        </w:tc>
      </w:tr>
      <w:tr>
        <w:tblPrEx>
          <w:tblLayout w:type="fixed"/>
          <w:tblCellMar>
            <w:top w:w="0" w:type="dxa"/>
            <w:left w:w="108" w:type="dxa"/>
            <w:bottom w:w="0" w:type="dxa"/>
            <w:right w:w="108" w:type="dxa"/>
          </w:tblCellMar>
        </w:tblPrEx>
        <w:trPr>
          <w:trHeight w:val="499"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21</w:t>
            </w:r>
          </w:p>
        </w:tc>
        <w:tc>
          <w:tcPr>
            <w:tcW w:w="524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云端服务器</w:t>
            </w:r>
          </w:p>
        </w:tc>
      </w:tr>
    </w:tbl>
    <w:p>
      <w:pPr>
        <w:spacing w:line="560" w:lineRule="atLeast"/>
        <w:jc w:val="center"/>
        <w:rPr>
          <w:rFonts w:ascii="宋体" w:hAnsi="宋体" w:cs="Arial"/>
          <w:sz w:val="24"/>
          <w:szCs w:val="24"/>
        </w:rPr>
      </w:pPr>
    </w:p>
    <w:p>
      <w:pPr>
        <w:numPr>
          <w:ilvl w:val="0"/>
          <w:numId w:val="3"/>
        </w:num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设备连接与调试</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连线设备的电源线确认无误后通电运行，并进行设备调试。</w:t>
      </w:r>
    </w:p>
    <w:p>
      <w:pPr>
        <w:numPr>
          <w:ilvl w:val="0"/>
          <w:numId w:val="3"/>
        </w:num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软件调试</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（1）根据配置表完成智能家居样板间中云端服务器的配置。</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（2）完成对无线路由器的配置。</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（3）所有结果通过终端接入配置好的无线网络，结合第二部分与第三部分的软件，进行智能采集和智能操作控制。</w:t>
      </w:r>
    </w:p>
    <w:p>
      <w:pPr>
        <w:numPr>
          <w:ilvl w:val="0"/>
          <w:numId w:val="2"/>
        </w:numPr>
        <w:spacing w:line="560" w:lineRule="exact"/>
        <w:ind w:firstLine="601"/>
        <w:jc w:val="left"/>
        <w:rPr>
          <w:rFonts w:ascii="仿宋_GB2312" w:hAnsi="仿宋" w:eastAsia="仿宋_GB2312" w:cs="Arial"/>
          <w:sz w:val="30"/>
          <w:szCs w:val="30"/>
        </w:rPr>
      </w:pPr>
      <w:r>
        <w:rPr>
          <w:rFonts w:ascii="仿宋_GB2312" w:hAnsi="仿宋" w:eastAsia="仿宋_GB2312" w:cs="Arial"/>
          <w:sz w:val="30"/>
          <w:szCs w:val="30"/>
        </w:rPr>
        <w:t>智能家居网关应用配置</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要求完成智能家居网关与协调器、路由器的连接，</w:t>
      </w:r>
      <w:r>
        <w:rPr>
          <w:rFonts w:hint="eastAsia" w:ascii="仿宋_GB2312" w:hAnsi="仿宋" w:eastAsia="仿宋_GB2312" w:cs="Arial"/>
          <w:sz w:val="30"/>
          <w:szCs w:val="30"/>
        </w:rPr>
        <w:t>以及</w:t>
      </w:r>
      <w:r>
        <w:rPr>
          <w:rFonts w:ascii="仿宋_GB2312" w:hAnsi="仿宋" w:eastAsia="仿宋_GB2312" w:cs="Arial"/>
          <w:sz w:val="30"/>
          <w:szCs w:val="30"/>
        </w:rPr>
        <w:t>网关移植，</w:t>
      </w:r>
      <w:r>
        <w:rPr>
          <w:rFonts w:hint="eastAsia" w:ascii="仿宋_GB2312" w:hAnsi="仿宋" w:eastAsia="仿宋_GB2312" w:cs="Arial"/>
          <w:sz w:val="30"/>
          <w:szCs w:val="30"/>
        </w:rPr>
        <w:t>即：按</w:t>
      </w:r>
      <w:r>
        <w:rPr>
          <w:rFonts w:ascii="仿宋_GB2312" w:hAnsi="仿宋" w:eastAsia="仿宋_GB2312" w:cs="Arial"/>
          <w:sz w:val="30"/>
          <w:szCs w:val="30"/>
        </w:rPr>
        <w:t>要求使用</w:t>
      </w:r>
      <w:r>
        <w:rPr>
          <w:rFonts w:hint="eastAsia" w:ascii="仿宋_GB2312" w:hAnsi="仿宋" w:eastAsia="仿宋_GB2312" w:cs="Arial"/>
          <w:sz w:val="30"/>
          <w:szCs w:val="30"/>
        </w:rPr>
        <w:t>智能家居虚拟软件调试</w:t>
      </w:r>
      <w:r>
        <w:rPr>
          <w:rFonts w:ascii="仿宋_GB2312" w:hAnsi="仿宋" w:eastAsia="仿宋_GB2312" w:cs="Arial"/>
          <w:sz w:val="30"/>
          <w:szCs w:val="30"/>
        </w:rPr>
        <w:t>并完成整个智能家居网关的应用配置。</w:t>
      </w:r>
    </w:p>
    <w:p>
      <w:pPr>
        <w:pBdr>
          <w:top w:val="single" w:color="000000" w:sz="4" w:space="1"/>
          <w:left w:val="single" w:color="000000" w:sz="4" w:space="4"/>
          <w:bottom w:val="single" w:color="000000" w:sz="4" w:space="1"/>
          <w:right w:val="single" w:color="000000" w:sz="4" w:space="4"/>
        </w:pBdr>
        <w:shd w:val="clear" w:color="000000" w:fill="F2F2F2"/>
        <w:spacing w:before="156" w:after="156" w:line="560" w:lineRule="exact"/>
        <w:rPr>
          <w:rFonts w:ascii="黑体" w:hAnsi="黑体" w:eastAsia="黑体" w:cs="Arial"/>
          <w:sz w:val="30"/>
          <w:szCs w:val="30"/>
        </w:rPr>
      </w:pPr>
      <w:r>
        <w:rPr>
          <w:rFonts w:hint="eastAsia" w:ascii="黑体" w:hAnsi="黑体" w:eastAsia="黑体" w:cs="Arial"/>
          <w:sz w:val="30"/>
          <w:szCs w:val="30"/>
        </w:rPr>
        <w:t>说明：虚拟机登录及提升权限的密码是</w:t>
      </w:r>
      <w:r>
        <w:rPr>
          <w:rFonts w:ascii="黑体" w:hAnsi="黑体" w:eastAsia="黑体" w:cs="Arial"/>
          <w:sz w:val="30"/>
          <w:szCs w:val="30"/>
        </w:rPr>
        <w:t>bizideal</w:t>
      </w:r>
      <w:r>
        <w:rPr>
          <w:rFonts w:hint="eastAsia" w:ascii="黑体" w:hAnsi="黑体" w:eastAsia="黑体" w:cs="Arial"/>
          <w:sz w:val="30"/>
          <w:szCs w:val="30"/>
        </w:rPr>
        <w:t>，两个动态链接库SmartHomeGateway-X86.so、SmartHomeGateway-ARM.so存放于虚拟机桌面上的“\考试资料”文件夹中。</w:t>
      </w:r>
    </w:p>
    <w:p>
      <w:pPr>
        <w:spacing w:line="560" w:lineRule="atLeast"/>
        <w:ind w:firstLine="600"/>
        <w:rPr>
          <w:rFonts w:ascii="仿宋_GB2312" w:hAnsi="仿宋" w:eastAsia="仿宋_GB2312" w:cs="Arial"/>
          <w:sz w:val="30"/>
          <w:szCs w:val="30"/>
        </w:rPr>
      </w:pPr>
      <w:r>
        <w:rPr>
          <w:rFonts w:hint="eastAsia" w:ascii="仿宋_GB2312" w:hAnsi="仿宋" w:eastAsia="仿宋_GB2312" w:cs="Arial"/>
          <w:sz w:val="30"/>
          <w:szCs w:val="30"/>
        </w:rPr>
        <w:t>1</w:t>
      </w:r>
      <w:r>
        <w:rPr>
          <w:rFonts w:ascii="仿宋_GB2312" w:hAnsi="仿宋" w:eastAsia="仿宋_GB2312" w:cs="Arial"/>
          <w:sz w:val="30"/>
          <w:szCs w:val="30"/>
        </w:rPr>
        <w:t>.界面实现</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（1）登录应用程序后进入配置界面，效果如图2-1，单击配置按钮分别对串口和板号进行配置。</w:t>
      </w:r>
    </w:p>
    <w:p>
      <w:pPr>
        <w:spacing w:line="560" w:lineRule="atLeast"/>
        <w:jc w:val="center"/>
        <w:rPr>
          <w:rFonts w:ascii="仿宋" w:hAnsi="仿宋" w:eastAsia="仿宋" w:cs="Arial"/>
          <w:sz w:val="30"/>
          <w:szCs w:val="30"/>
        </w:rPr>
      </w:pPr>
      <w:r>
        <w:rPr>
          <w:rFonts w:ascii="仿宋" w:hAnsi="仿宋" w:eastAsia="仿宋"/>
          <w:kern w:val="1"/>
          <w:sz w:val="30"/>
          <w:szCs w:val="30"/>
        </w:rPr>
        <w:drawing>
          <wp:inline distT="0" distB="0" distL="0" distR="0">
            <wp:extent cx="4086225" cy="2562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86225" cy="2562225"/>
                    </a:xfrm>
                    <a:prstGeom prst="rect">
                      <a:avLst/>
                    </a:prstGeom>
                    <a:noFill/>
                    <a:ln>
                      <a:noFill/>
                    </a:ln>
                    <a:effectLst/>
                  </pic:spPr>
                </pic:pic>
              </a:graphicData>
            </a:graphic>
          </wp:inline>
        </w:drawing>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t>图2-1 配置界面效果图</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（2）单击串口配置，进入图2-2界面，对串口号，波特率，数据位，校验位，进行配置，配置完成后，单击确定完成配置。并将结果存于“桌面\竞赛结果\智能网关”文件夹中，命名为智能网关串口配置.png。</w:t>
      </w:r>
    </w:p>
    <w:p>
      <w:pPr>
        <w:spacing w:line="560" w:lineRule="atLeast"/>
        <w:jc w:val="center"/>
        <w:rPr>
          <w:rFonts w:ascii="仿宋" w:hAnsi="仿宋" w:eastAsia="仿宋" w:cs="Arial"/>
          <w:sz w:val="30"/>
          <w:szCs w:val="30"/>
        </w:rPr>
      </w:pPr>
      <w:r>
        <w:rPr>
          <w:rFonts w:ascii="仿宋" w:hAnsi="仿宋" w:eastAsia="仿宋"/>
          <w:kern w:val="1"/>
          <w:sz w:val="30"/>
          <w:szCs w:val="30"/>
        </w:rPr>
        <w:drawing>
          <wp:inline distT="0" distB="0" distL="0" distR="0">
            <wp:extent cx="2200275" cy="3038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00275" cy="3038475"/>
                    </a:xfrm>
                    <a:prstGeom prst="rect">
                      <a:avLst/>
                    </a:prstGeom>
                    <a:noFill/>
                    <a:ln>
                      <a:noFill/>
                    </a:ln>
                    <a:effectLst/>
                  </pic:spPr>
                </pic:pic>
              </a:graphicData>
            </a:graphic>
          </wp:inline>
        </w:drawing>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t>图2-2 串口配置界面</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（3）单击图2-1中的板号配置，进入如图2-3所示</w:t>
      </w:r>
      <w:r>
        <w:rPr>
          <w:rFonts w:hint="eastAsia" w:ascii="仿宋_GB2312" w:hAnsi="仿宋" w:eastAsia="仿宋_GB2312" w:cs="Arial"/>
          <w:sz w:val="30"/>
          <w:szCs w:val="30"/>
        </w:rPr>
        <w:t>的</w:t>
      </w:r>
      <w:r>
        <w:rPr>
          <w:rFonts w:ascii="仿宋_GB2312" w:hAnsi="仿宋" w:eastAsia="仿宋_GB2312" w:cs="Arial"/>
          <w:sz w:val="30"/>
          <w:szCs w:val="30"/>
        </w:rPr>
        <w:t>板号配置界面。</w:t>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drawing>
          <wp:inline distT="0" distB="0" distL="0" distR="0">
            <wp:extent cx="2038350" cy="26765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38350" cy="2676525"/>
                    </a:xfrm>
                    <a:prstGeom prst="rect">
                      <a:avLst/>
                    </a:prstGeom>
                    <a:noFill/>
                    <a:ln>
                      <a:noFill/>
                    </a:ln>
                    <a:effectLst/>
                  </pic:spPr>
                </pic:pic>
              </a:graphicData>
            </a:graphic>
          </wp:inline>
        </w:drawing>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t>图2-3   板号配置界面</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根据实际安装的各个传感器节点的板号进行配置，并将结果存于“桌面\竞赛结果\智能网关”文件夹中，命名为智能网关板号配置.png。</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（4）单击图2-1中的网络配置，进入配置界面，如图2-4对IP及端口配置，“完成”按钮实现与服务器的连接。</w:t>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drawing>
          <wp:inline distT="0" distB="0" distL="0" distR="0">
            <wp:extent cx="1285875" cy="1695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5875" cy="1695450"/>
                    </a:xfrm>
                    <a:prstGeom prst="rect">
                      <a:avLst/>
                    </a:prstGeom>
                    <a:noFill/>
                    <a:ln>
                      <a:noFill/>
                    </a:ln>
                    <a:effectLst/>
                  </pic:spPr>
                </pic:pic>
              </a:graphicData>
            </a:graphic>
          </wp:inline>
        </w:drawing>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t>图2-4   网络配置</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并将结果存于“桌面\竞赛结果\智能网关”文件夹中，命名为智能网关网络配置.png。</w:t>
      </w:r>
    </w:p>
    <w:p>
      <w:pPr>
        <w:spacing w:line="560" w:lineRule="exact"/>
        <w:ind w:firstLine="601"/>
        <w:rPr>
          <w:rFonts w:ascii="仿宋_GB2312" w:hAnsi="仿宋" w:eastAsia="仿宋_GB2312" w:cs="Arial"/>
          <w:sz w:val="30"/>
          <w:szCs w:val="30"/>
        </w:rPr>
      </w:pPr>
      <w:r>
        <w:drawing>
          <wp:anchor distT="0" distB="0" distL="0" distR="0" simplePos="0" relativeHeight="251660288" behindDoc="0" locked="0" layoutInCell="1" allowOverlap="1">
            <wp:simplePos x="0" y="0"/>
            <wp:positionH relativeFrom="column">
              <wp:posOffset>1783080</wp:posOffset>
            </wp:positionH>
            <wp:positionV relativeFrom="paragraph">
              <wp:posOffset>1905</wp:posOffset>
            </wp:positionV>
            <wp:extent cx="638175" cy="638175"/>
            <wp:effectExtent l="0" t="0" r="0" b="0"/>
            <wp:wrapNone/>
            <wp:docPr id="15" name="图片 15" descr="Basic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asic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38175" cy="638175"/>
                    </a:xfrm>
                    <a:prstGeom prst="rect">
                      <a:avLst/>
                    </a:prstGeom>
                    <a:noFill/>
                    <a:ln>
                      <a:noFill/>
                    </a:ln>
                    <a:effectLst/>
                  </pic:spPr>
                </pic:pic>
              </a:graphicData>
            </a:graphic>
          </wp:anchor>
        </w:drawing>
      </w:r>
      <w:r>
        <w:rPr>
          <w:rFonts w:hint="eastAsia" w:ascii="仿宋_GB2312" w:hAnsi="仿宋" w:eastAsia="仿宋_GB2312" w:cs="Arial"/>
          <w:sz w:val="30"/>
          <w:szCs w:val="30"/>
        </w:rPr>
        <w:t>2</w:t>
      </w:r>
      <w:r>
        <w:rPr>
          <w:rFonts w:ascii="仿宋_GB2312" w:hAnsi="仿宋" w:eastAsia="仿宋_GB2312" w:cs="Arial"/>
          <w:sz w:val="30"/>
          <w:szCs w:val="30"/>
        </w:rPr>
        <w:t>.数据采集</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单击如图2-1中</w:t>
      </w:r>
      <w:r>
        <w:rPr>
          <w:rFonts w:hint="eastAsia" w:ascii="仿宋_GB2312" w:hAnsi="仿宋" w:eastAsia="仿宋_GB2312" w:cs="Arial"/>
          <w:sz w:val="30"/>
          <w:szCs w:val="30"/>
        </w:rPr>
        <w:t xml:space="preserve">   </w:t>
      </w:r>
      <w:r>
        <w:rPr>
          <w:rFonts w:ascii="仿宋_GB2312" w:hAnsi="仿宋" w:eastAsia="仿宋_GB2312" w:cs="Arial"/>
          <w:sz w:val="30"/>
          <w:szCs w:val="30"/>
        </w:rPr>
        <w:t xml:space="preserve">   图片进入智能家居控制界面。进入数据采集及实时显示界面</w:t>
      </w:r>
      <w:r>
        <w:rPr>
          <w:rFonts w:hint="eastAsia" w:ascii="仿宋_GB2312" w:hAnsi="仿宋" w:eastAsia="仿宋_GB2312" w:cs="Arial"/>
          <w:sz w:val="30"/>
          <w:szCs w:val="30"/>
        </w:rPr>
        <w:t>，</w:t>
      </w:r>
      <w:r>
        <w:rPr>
          <w:rFonts w:ascii="仿宋_GB2312" w:hAnsi="仿宋" w:eastAsia="仿宋_GB2312" w:cs="Arial"/>
          <w:sz w:val="30"/>
          <w:szCs w:val="30"/>
        </w:rPr>
        <w:t>如图2-5所示。</w:t>
      </w:r>
    </w:p>
    <w:p>
      <w:pPr>
        <w:spacing w:line="560" w:lineRule="atLeast"/>
        <w:jc w:val="center"/>
        <w:rPr>
          <w:rFonts w:ascii="仿宋" w:hAnsi="仿宋" w:eastAsia="仿宋"/>
          <w:kern w:val="1"/>
          <w:sz w:val="30"/>
          <w:szCs w:val="30"/>
        </w:rPr>
      </w:pPr>
      <w:r>
        <w:rPr>
          <w:rFonts w:ascii="仿宋" w:hAnsi="仿宋" w:eastAsia="仿宋"/>
          <w:kern w:val="1"/>
          <w:sz w:val="30"/>
          <w:szCs w:val="30"/>
        </w:rPr>
        <w:drawing>
          <wp:inline distT="0" distB="0" distL="0" distR="0">
            <wp:extent cx="1943100" cy="2714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43100" cy="2714625"/>
                    </a:xfrm>
                    <a:prstGeom prst="rect">
                      <a:avLst/>
                    </a:prstGeom>
                    <a:noFill/>
                    <a:ln>
                      <a:noFill/>
                    </a:ln>
                    <a:effectLst/>
                  </pic:spPr>
                </pic:pic>
              </a:graphicData>
            </a:graphic>
          </wp:inline>
        </w:drawing>
      </w:r>
    </w:p>
    <w:p>
      <w:pPr>
        <w:spacing w:line="560" w:lineRule="exact"/>
        <w:jc w:val="center"/>
        <w:rPr>
          <w:rFonts w:ascii="仿宋_GB2312" w:hAnsi="仿宋" w:eastAsia="仿宋_GB2312" w:cs="Arial"/>
          <w:sz w:val="30"/>
          <w:szCs w:val="30"/>
        </w:rPr>
      </w:pPr>
      <w:r>
        <w:rPr>
          <w:rFonts w:ascii="仿宋_GB2312" w:hAnsi="仿宋" w:eastAsia="仿宋_GB2312" w:cs="Arial"/>
          <w:sz w:val="30"/>
          <w:szCs w:val="30"/>
        </w:rPr>
        <w:t>图2-5 数据采集界面</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（1）完成温度参数的采集，并将温度值实时显示。</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（2）完成湿度参数的采集，并将湿度值实时显示。</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（3）完成光照度参数的采集，并将光照值实时显示。</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（4）完成烟雾参数的采集，并将烟雾值实时显示。</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并将结果存于“桌面\竞赛结果\智能网关”文件夹中，命名为环境参数.png。</w:t>
      </w:r>
    </w:p>
    <w:p>
      <w:pPr>
        <w:spacing w:line="560" w:lineRule="exact"/>
        <w:ind w:firstLine="601"/>
        <w:rPr>
          <w:rFonts w:ascii="仿宋_GB2312" w:hAnsi="仿宋" w:eastAsia="仿宋_GB2312" w:cs="Arial"/>
          <w:sz w:val="30"/>
          <w:szCs w:val="30"/>
        </w:rPr>
      </w:pPr>
      <w:r>
        <w:drawing>
          <wp:anchor distT="0" distB="0" distL="0" distR="0" simplePos="0" relativeHeight="251661312" behindDoc="0" locked="0" layoutInCell="1" allowOverlap="1">
            <wp:simplePos x="0" y="0"/>
            <wp:positionH relativeFrom="column">
              <wp:posOffset>2089150</wp:posOffset>
            </wp:positionH>
            <wp:positionV relativeFrom="paragraph">
              <wp:posOffset>107315</wp:posOffset>
            </wp:positionV>
            <wp:extent cx="666750" cy="666750"/>
            <wp:effectExtent l="0" t="0" r="0" b="0"/>
            <wp:wrapNone/>
            <wp:docPr id="14" name="图片 14" descr="Basic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asic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a:ln>
                      <a:noFill/>
                    </a:ln>
                    <a:effectLst/>
                  </pic:spPr>
                </pic:pic>
              </a:graphicData>
            </a:graphic>
          </wp:anchor>
        </w:drawing>
      </w:r>
      <w:r>
        <w:rPr>
          <w:rFonts w:hint="eastAsia" w:ascii="仿宋_GB2312" w:hAnsi="仿宋" w:eastAsia="仿宋_GB2312" w:cs="Arial"/>
          <w:sz w:val="30"/>
          <w:szCs w:val="30"/>
        </w:rPr>
        <w:t>3</w:t>
      </w:r>
      <w:r>
        <w:rPr>
          <w:rFonts w:ascii="仿宋_GB2312" w:hAnsi="仿宋" w:eastAsia="仿宋_GB2312" w:cs="Arial"/>
          <w:sz w:val="30"/>
          <w:szCs w:val="30"/>
        </w:rPr>
        <w:t>.控制功能实现</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单击如图2-1中图片</w:t>
      </w:r>
      <w:r>
        <w:rPr>
          <w:rFonts w:hint="eastAsia" w:ascii="仿宋_GB2312" w:hAnsi="仿宋" w:eastAsia="仿宋_GB2312" w:cs="Arial"/>
          <w:sz w:val="30"/>
          <w:szCs w:val="30"/>
        </w:rPr>
        <w:t xml:space="preserve">       </w:t>
      </w:r>
      <w:r>
        <w:rPr>
          <w:rFonts w:ascii="仿宋_GB2312" w:hAnsi="仿宋" w:eastAsia="仿宋_GB2312" w:cs="Arial"/>
          <w:sz w:val="30"/>
          <w:szCs w:val="30"/>
        </w:rPr>
        <w:t>进入智能家居控制界面。如图2-6所示的界面，单击各个设备的控制按钮，实现对样板间中的器件的控制。</w:t>
      </w:r>
    </w:p>
    <w:p>
      <w:pPr>
        <w:spacing w:line="560" w:lineRule="atLeast"/>
        <w:jc w:val="center"/>
        <w:rPr>
          <w:rFonts w:ascii="仿宋" w:hAnsi="仿宋" w:eastAsia="仿宋"/>
          <w:kern w:val="1"/>
          <w:sz w:val="30"/>
          <w:szCs w:val="30"/>
        </w:rPr>
      </w:pPr>
      <w:r>
        <w:rPr>
          <w:rFonts w:ascii="仿宋" w:hAnsi="仿宋" w:eastAsia="仿宋"/>
          <w:kern w:val="1"/>
          <w:sz w:val="30"/>
          <w:szCs w:val="30"/>
        </w:rPr>
        <w:drawing>
          <wp:inline distT="0" distB="0" distL="0" distR="0">
            <wp:extent cx="2466975" cy="3609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66975" cy="3609975"/>
                    </a:xfrm>
                    <a:prstGeom prst="rect">
                      <a:avLst/>
                    </a:prstGeom>
                    <a:noFill/>
                    <a:ln>
                      <a:noFill/>
                    </a:ln>
                    <a:effectLst/>
                  </pic:spPr>
                </pic:pic>
              </a:graphicData>
            </a:graphic>
          </wp:inline>
        </w:drawing>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t>图2-6  控制界面</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如图2-6所示，分别实现对射灯、窗帘、门禁、换气扇、报警灯、电视机、空调和DVD电器进行开启和关闭控制。</w:t>
      </w:r>
    </w:p>
    <w:p>
      <w:pPr>
        <w:spacing w:line="560" w:lineRule="exact"/>
        <w:ind w:firstLine="601"/>
        <w:outlineLvl w:val="0"/>
        <w:rPr>
          <w:rFonts w:ascii="仿宋_GB2312" w:hAnsi="仿宋" w:eastAsia="仿宋_GB2312" w:cs="Arial"/>
          <w:sz w:val="30"/>
          <w:szCs w:val="30"/>
        </w:rPr>
      </w:pPr>
      <w:r>
        <w:rPr>
          <w:rFonts w:hint="eastAsia" w:ascii="仿宋_GB2312" w:hAnsi="仿宋" w:eastAsia="仿宋_GB2312" w:cs="Arial"/>
          <w:sz w:val="30"/>
          <w:szCs w:val="30"/>
        </w:rPr>
        <w:t>4</w:t>
      </w:r>
      <w:r>
        <w:rPr>
          <w:rFonts w:ascii="仿宋_GB2312" w:hAnsi="仿宋" w:eastAsia="仿宋_GB2312" w:cs="Arial"/>
          <w:sz w:val="30"/>
          <w:szCs w:val="30"/>
        </w:rPr>
        <w:t>.智能家居模拟应用配置</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实现智能家居应用中</w:t>
      </w:r>
      <w:r>
        <w:rPr>
          <w:rFonts w:hint="eastAsia" w:ascii="仿宋_GB2312" w:hAnsi="仿宋" w:eastAsia="仿宋_GB2312" w:cs="Arial"/>
          <w:sz w:val="30"/>
          <w:szCs w:val="30"/>
        </w:rPr>
        <w:t>各种模式，如</w:t>
      </w:r>
      <w:r>
        <w:rPr>
          <w:rFonts w:ascii="仿宋_GB2312" w:hAnsi="仿宋" w:eastAsia="仿宋_GB2312" w:cs="Arial"/>
          <w:sz w:val="30"/>
          <w:szCs w:val="30"/>
        </w:rPr>
        <w:t>智能安防模式，要求如下:</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单击安防配置，进入配置界面，图2-7</w:t>
      </w:r>
      <w:r>
        <w:rPr>
          <w:rFonts w:hint="eastAsia" w:ascii="仿宋_GB2312" w:hAnsi="仿宋" w:eastAsia="仿宋_GB2312" w:cs="Arial"/>
          <w:sz w:val="30"/>
          <w:szCs w:val="30"/>
        </w:rPr>
        <w:t>所示</w:t>
      </w:r>
      <w:r>
        <w:rPr>
          <w:rFonts w:ascii="仿宋_GB2312" w:hAnsi="仿宋" w:eastAsia="仿宋_GB2312" w:cs="Arial"/>
          <w:sz w:val="30"/>
          <w:szCs w:val="30"/>
        </w:rPr>
        <w:t>。</w:t>
      </w:r>
    </w:p>
    <w:p>
      <w:pPr>
        <w:spacing w:line="560" w:lineRule="atLeast"/>
        <w:jc w:val="center"/>
        <w:rPr>
          <w:rFonts w:ascii="仿宋" w:hAnsi="仿宋" w:eastAsia="仿宋"/>
          <w:kern w:val="1"/>
          <w:sz w:val="30"/>
          <w:szCs w:val="30"/>
        </w:rPr>
      </w:pPr>
      <w:r>
        <w:rPr>
          <w:rFonts w:ascii="仿宋" w:hAnsi="仿宋" w:eastAsia="仿宋"/>
          <w:kern w:val="1"/>
          <w:sz w:val="30"/>
          <w:szCs w:val="30"/>
        </w:rPr>
        <w:drawing>
          <wp:inline distT="0" distB="0" distL="0" distR="0">
            <wp:extent cx="2371725" cy="2952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71725" cy="2952750"/>
                    </a:xfrm>
                    <a:prstGeom prst="rect">
                      <a:avLst/>
                    </a:prstGeom>
                    <a:noFill/>
                    <a:ln>
                      <a:noFill/>
                    </a:ln>
                    <a:effectLst/>
                  </pic:spPr>
                </pic:pic>
              </a:graphicData>
            </a:graphic>
          </wp:inline>
        </w:drawing>
      </w:r>
    </w:p>
    <w:p>
      <w:pPr>
        <w:spacing w:line="560" w:lineRule="atLeast"/>
        <w:jc w:val="center"/>
        <w:rPr>
          <w:rFonts w:ascii="仿宋_GB2312" w:hAnsi="仿宋" w:eastAsia="仿宋_GB2312" w:cs="Arial"/>
          <w:sz w:val="30"/>
          <w:szCs w:val="30"/>
        </w:rPr>
      </w:pPr>
      <w:r>
        <w:rPr>
          <w:rFonts w:ascii="仿宋_GB2312" w:hAnsi="仿宋" w:eastAsia="仿宋_GB2312" w:cs="Arial"/>
          <w:sz w:val="30"/>
          <w:szCs w:val="30"/>
        </w:rPr>
        <w:t>图2-7  安防配置界面</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将触发值设置完成后，程序将进入安防模式，当其中的某一个值超出设定值后，触发报警器发出警报。</w:t>
      </w:r>
    </w:p>
    <w:p>
      <w:pPr>
        <w:spacing w:line="560" w:lineRule="exact"/>
        <w:ind w:firstLine="601"/>
        <w:outlineLvl w:val="0"/>
        <w:rPr>
          <w:rFonts w:ascii="仿宋_GB2312" w:hAnsi="仿宋" w:eastAsia="仿宋_GB2312" w:cs="Arial"/>
          <w:sz w:val="30"/>
          <w:szCs w:val="30"/>
        </w:rPr>
      </w:pPr>
      <w:r>
        <w:rPr>
          <w:rFonts w:hint="eastAsia" w:ascii="仿宋_GB2312" w:hAnsi="仿宋" w:eastAsia="仿宋_GB2312" w:cs="Arial"/>
          <w:sz w:val="30"/>
          <w:szCs w:val="30"/>
        </w:rPr>
        <w:t>5</w:t>
      </w:r>
      <w:r>
        <w:rPr>
          <w:rFonts w:ascii="仿宋_GB2312" w:hAnsi="仿宋" w:eastAsia="仿宋_GB2312" w:cs="Arial"/>
          <w:sz w:val="30"/>
          <w:szCs w:val="30"/>
        </w:rPr>
        <w:t>.网关移植</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将实现的智能家居模拟应用制作成镜像，</w:t>
      </w:r>
      <w:r>
        <w:rPr>
          <w:rFonts w:ascii="仿宋_GB2312" w:hAnsi="仿宋" w:eastAsia="仿宋_GB2312" w:cs="Arial"/>
          <w:sz w:val="30"/>
          <w:szCs w:val="30"/>
        </w:rPr>
        <w:t>用USB方式（使用Minitools软件）将镜像移植到网关上，</w:t>
      </w:r>
      <w:r>
        <w:rPr>
          <w:rFonts w:hint="eastAsia" w:ascii="仿宋_GB2312" w:hAnsi="仿宋" w:eastAsia="仿宋_GB2312" w:cs="Arial"/>
          <w:sz w:val="30"/>
          <w:szCs w:val="30"/>
        </w:rPr>
        <w:t>并能够正常运行。</w:t>
      </w:r>
    </w:p>
    <w:p>
      <w:pPr>
        <w:numPr>
          <w:ilvl w:val="0"/>
          <w:numId w:val="2"/>
        </w:numPr>
        <w:spacing w:line="560" w:lineRule="exact"/>
        <w:ind w:firstLine="600"/>
        <w:jc w:val="left"/>
        <w:rPr>
          <w:rFonts w:ascii="仿宋_GB2312" w:hAnsi="仿宋" w:eastAsia="仿宋_GB2312" w:cs="Arial"/>
          <w:sz w:val="30"/>
          <w:szCs w:val="30"/>
        </w:rPr>
      </w:pPr>
      <w:r>
        <w:rPr>
          <w:rFonts w:hint="eastAsia" w:ascii="仿宋_GB2312" w:hAnsi="仿宋" w:eastAsia="仿宋_GB2312" w:cs="Arial"/>
          <w:sz w:val="30"/>
          <w:szCs w:val="30"/>
        </w:rPr>
        <w:t>智能家居移动终端软件应用配置</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要求完成移动端通过网络控制设备、实现界面及网络应用配置</w:t>
      </w:r>
      <w:r>
        <w:rPr>
          <w:rFonts w:hint="eastAsia" w:ascii="仿宋_GB2312" w:hAnsi="仿宋" w:eastAsia="仿宋_GB2312" w:cs="Arial"/>
          <w:sz w:val="30"/>
          <w:szCs w:val="30"/>
        </w:rPr>
        <w:t>，并</w:t>
      </w:r>
      <w:r>
        <w:rPr>
          <w:rFonts w:ascii="仿宋_GB2312" w:hAnsi="仿宋" w:eastAsia="仿宋_GB2312" w:cs="Arial"/>
          <w:sz w:val="30"/>
          <w:szCs w:val="30"/>
        </w:rPr>
        <w:t>利用</w:t>
      </w:r>
      <w:r>
        <w:rPr>
          <w:rFonts w:hint="eastAsia" w:ascii="仿宋_GB2312" w:hAnsi="仿宋" w:eastAsia="仿宋_GB2312" w:cs="Arial"/>
          <w:sz w:val="30"/>
          <w:szCs w:val="30"/>
        </w:rPr>
        <w:t>智能家居虚拟软件完成</w:t>
      </w:r>
      <w:r>
        <w:rPr>
          <w:rFonts w:ascii="仿宋_GB2312" w:hAnsi="仿宋" w:eastAsia="仿宋_GB2312" w:cs="Arial"/>
          <w:sz w:val="30"/>
          <w:szCs w:val="30"/>
        </w:rPr>
        <w:t>软件的</w:t>
      </w:r>
      <w:r>
        <w:rPr>
          <w:rFonts w:hint="eastAsia" w:ascii="仿宋_GB2312" w:hAnsi="仿宋" w:eastAsia="仿宋_GB2312" w:cs="Arial"/>
          <w:sz w:val="30"/>
          <w:szCs w:val="30"/>
        </w:rPr>
        <w:t>调试</w:t>
      </w:r>
      <w:r>
        <w:rPr>
          <w:rFonts w:ascii="仿宋_GB2312" w:hAnsi="仿宋" w:eastAsia="仿宋_GB2312" w:cs="Arial"/>
          <w:sz w:val="30"/>
          <w:szCs w:val="30"/>
        </w:rPr>
        <w:t>工作。</w:t>
      </w:r>
    </w:p>
    <w:p>
      <w:pPr>
        <w:spacing w:line="560" w:lineRule="exact"/>
        <w:ind w:left="426"/>
        <w:rPr>
          <w:rFonts w:ascii="仿宋_GB2312" w:hAnsi="仿宋" w:eastAsia="仿宋_GB2312" w:cs="Arial"/>
          <w:sz w:val="30"/>
          <w:szCs w:val="30"/>
        </w:rPr>
      </w:pPr>
      <w:r>
        <w:rPr>
          <w:rFonts w:ascii="仿宋_GB2312" w:hAnsi="仿宋" w:eastAsia="仿宋_GB2312" w:cs="Arial"/>
          <w:sz w:val="30"/>
          <w:szCs w:val="30"/>
        </w:rPr>
        <w:t>1.界面实现</w:t>
      </w:r>
    </w:p>
    <w:p>
      <w:pPr>
        <w:spacing w:line="560" w:lineRule="exact"/>
        <w:ind w:firstLine="456" w:firstLineChars="150"/>
        <w:rPr>
          <w:rFonts w:ascii="仿宋_GB2312" w:hAnsi="仿宋" w:eastAsia="仿宋_GB2312" w:cs="Arial"/>
          <w:sz w:val="30"/>
          <w:szCs w:val="30"/>
        </w:rPr>
      </w:pPr>
      <w:r>
        <w:rPr>
          <w:rFonts w:hint="eastAsia" w:ascii="仿宋" w:hAnsi="仿宋" w:eastAsia="仿宋" w:cs="仿宋"/>
          <w:spacing w:val="2"/>
          <w:position w:val="-3"/>
          <w:sz w:val="30"/>
          <w:szCs w:val="30"/>
        </w:rPr>
        <w:t>（</w:t>
      </w:r>
      <w:r>
        <w:rPr>
          <w:rFonts w:hint="eastAsia" w:ascii="仿宋_GB2312" w:hAnsi="仿宋" w:eastAsia="仿宋_GB2312" w:cs="Arial"/>
          <w:sz w:val="30"/>
          <w:szCs w:val="30"/>
        </w:rPr>
        <w:t>1）完成用户登录界面功能。</w:t>
      </w:r>
    </w:p>
    <w:p>
      <w:pPr>
        <w:widowControl/>
        <w:spacing w:line="560" w:lineRule="atLeast"/>
        <w:jc w:val="center"/>
        <w:rPr>
          <w:rFonts w:ascii="仿宋_GB2312" w:hAnsi="仿宋" w:eastAsia="仿宋_GB2312" w:cs="Arial"/>
          <w:sz w:val="30"/>
          <w:szCs w:val="30"/>
        </w:rPr>
      </w:pPr>
      <w:r>
        <w:rPr>
          <w:rFonts w:ascii="仿宋_GB2312" w:hAnsi="仿宋" w:eastAsia="仿宋_GB2312" w:cs="Arial"/>
          <w:sz w:val="30"/>
          <w:szCs w:val="30"/>
        </w:rPr>
        <w:drawing>
          <wp:inline distT="0" distB="0" distL="0" distR="0">
            <wp:extent cx="2867025" cy="2219325"/>
            <wp:effectExtent l="0" t="0" r="0" b="0"/>
            <wp:docPr id="5" name="图片 5" descr="N9C_XAKOX`OOGFP~(]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9C_XAKOX`OOGFP~(]MA(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67025" cy="2219325"/>
                    </a:xfrm>
                    <a:prstGeom prst="rect">
                      <a:avLst/>
                    </a:prstGeom>
                    <a:noFill/>
                    <a:ln>
                      <a:noFill/>
                    </a:ln>
                    <a:effectLst/>
                  </pic:spPr>
                </pic:pic>
              </a:graphicData>
            </a:graphic>
          </wp:inline>
        </w:drawing>
      </w:r>
    </w:p>
    <w:p>
      <w:pPr>
        <w:spacing w:line="560" w:lineRule="exact"/>
        <w:ind w:left="425"/>
        <w:rPr>
          <w:rFonts w:ascii="仿宋_GB2312" w:hAnsi="仿宋" w:eastAsia="仿宋_GB2312" w:cs="Arial"/>
          <w:sz w:val="30"/>
          <w:szCs w:val="30"/>
        </w:rPr>
      </w:pPr>
      <w:r>
        <w:rPr>
          <w:rFonts w:hint="eastAsia" w:ascii="仿宋_GB2312" w:hAnsi="仿宋" w:eastAsia="仿宋_GB2312" w:cs="Arial"/>
          <w:sz w:val="30"/>
          <w:szCs w:val="30"/>
        </w:rPr>
        <w:t>（2）完成网络参数的配置。</w:t>
      </w:r>
    </w:p>
    <w:p>
      <w:pPr>
        <w:spacing w:line="560" w:lineRule="atLeast"/>
        <w:ind w:left="426"/>
        <w:jc w:val="center"/>
        <w:rPr>
          <w:rFonts w:ascii="仿宋_GB2312" w:hAnsi="仿宋" w:eastAsia="仿宋_GB2312" w:cs="Arial"/>
          <w:sz w:val="30"/>
          <w:szCs w:val="30"/>
        </w:rPr>
      </w:pPr>
      <w:r>
        <w:rPr>
          <w:rFonts w:ascii="仿宋_GB2312" w:hAnsi="仿宋" w:eastAsia="仿宋_GB2312" w:cs="Arial"/>
          <w:sz w:val="30"/>
          <w:szCs w:val="30"/>
        </w:rPr>
        <w:drawing>
          <wp:inline distT="0" distB="0" distL="0" distR="0">
            <wp:extent cx="1647825" cy="2200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47825" cy="2200275"/>
                    </a:xfrm>
                    <a:prstGeom prst="rect">
                      <a:avLst/>
                    </a:prstGeom>
                    <a:noFill/>
                    <a:ln>
                      <a:noFill/>
                    </a:ln>
                    <a:effectLst/>
                  </pic:spPr>
                </pic:pic>
              </a:graphicData>
            </a:graphic>
          </wp:inline>
        </w:drawing>
      </w:r>
    </w:p>
    <w:p>
      <w:pPr>
        <w:spacing w:line="560" w:lineRule="atLeast"/>
        <w:ind w:left="426"/>
        <w:jc w:val="center"/>
        <w:rPr>
          <w:rFonts w:ascii="仿宋" w:hAnsi="仿宋" w:eastAsia="仿宋" w:cs="仿宋"/>
          <w:spacing w:val="2"/>
          <w:position w:val="-3"/>
          <w:sz w:val="30"/>
          <w:szCs w:val="30"/>
        </w:rPr>
      </w:pPr>
    </w:p>
    <w:p>
      <w:pPr>
        <w:spacing w:line="560" w:lineRule="exact"/>
        <w:ind w:left="425"/>
        <w:rPr>
          <w:rFonts w:ascii="仿宋_GB2312" w:hAnsi="仿宋" w:eastAsia="仿宋_GB2312" w:cs="Arial"/>
          <w:sz w:val="30"/>
          <w:szCs w:val="30"/>
        </w:rPr>
      </w:pPr>
      <w:r>
        <w:rPr>
          <w:rFonts w:hint="eastAsia" w:ascii="仿宋_GB2312" w:hAnsi="仿宋" w:eastAsia="仿宋_GB2312" w:cs="Arial"/>
          <w:sz w:val="30"/>
          <w:szCs w:val="30"/>
        </w:rPr>
        <w:t>（3）完成主要显示及控制功能界面功能。</w:t>
      </w:r>
    </w:p>
    <w:p>
      <w:pPr>
        <w:spacing w:line="560" w:lineRule="atLeast"/>
        <w:ind w:left="426"/>
        <w:jc w:val="center"/>
        <w:rPr>
          <w:rFonts w:ascii="仿宋" w:hAnsi="仿宋" w:eastAsia="仿宋" w:cs="仿宋"/>
          <w:spacing w:val="2"/>
          <w:position w:val="-3"/>
          <w:sz w:val="30"/>
          <w:szCs w:val="30"/>
        </w:rPr>
      </w:pPr>
      <w:r>
        <w:rPr>
          <w:rFonts w:ascii="仿宋" w:hAnsi="仿宋" w:eastAsia="仿宋"/>
          <w:kern w:val="1"/>
          <w:sz w:val="30"/>
          <w:szCs w:val="30"/>
        </w:rPr>
        <w:drawing>
          <wp:inline distT="0" distB="0" distL="0" distR="0">
            <wp:extent cx="5238750" cy="4867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38750" cy="4867275"/>
                    </a:xfrm>
                    <a:prstGeom prst="rect">
                      <a:avLst/>
                    </a:prstGeom>
                    <a:noFill/>
                    <a:ln>
                      <a:noFill/>
                    </a:ln>
                    <a:effectLst/>
                  </pic:spPr>
                </pic:pic>
              </a:graphicData>
            </a:graphic>
          </wp:inline>
        </w:drawing>
      </w:r>
    </w:p>
    <w:p>
      <w:pPr>
        <w:spacing w:line="560" w:lineRule="exact"/>
        <w:jc w:val="left"/>
        <w:rPr>
          <w:rFonts w:ascii="仿宋_GB2312" w:hAnsi="仿宋" w:eastAsia="仿宋_GB2312" w:cs="Arial"/>
          <w:sz w:val="30"/>
          <w:szCs w:val="30"/>
        </w:rPr>
      </w:pPr>
      <w:r>
        <w:rPr>
          <w:rFonts w:ascii="仿宋_GB2312" w:hAnsi="仿宋" w:eastAsia="仿宋_GB2312" w:cs="Arial"/>
          <w:sz w:val="30"/>
          <w:szCs w:val="30"/>
        </w:rPr>
        <w:t>说明:登陆界面中的账号和密码都默认设置为</w:t>
      </w:r>
      <w:r>
        <w:rPr>
          <w:rFonts w:hint="eastAsia" w:ascii="仿宋_GB2312" w:hAnsi="仿宋" w:eastAsia="仿宋_GB2312" w:cs="Arial"/>
          <w:sz w:val="30"/>
          <w:szCs w:val="30"/>
        </w:rPr>
        <w:t>：</w:t>
      </w:r>
      <w:r>
        <w:rPr>
          <w:rFonts w:ascii="仿宋_GB2312" w:hAnsi="仿宋" w:eastAsia="仿宋_GB2312" w:cs="Arial"/>
          <w:sz w:val="30"/>
          <w:szCs w:val="30"/>
        </w:rPr>
        <w:t>“admin”；网络参数默认为IP为192.168.1.254，端口号为88；</w:t>
      </w:r>
    </w:p>
    <w:p>
      <w:pPr>
        <w:spacing w:line="560" w:lineRule="exact"/>
        <w:ind w:left="426"/>
        <w:outlineLvl w:val="0"/>
        <w:rPr>
          <w:rFonts w:ascii="仿宋_GB2312" w:hAnsi="仿宋" w:eastAsia="仿宋_GB2312" w:cs="Arial"/>
          <w:sz w:val="30"/>
          <w:szCs w:val="30"/>
        </w:rPr>
      </w:pPr>
      <w:r>
        <w:rPr>
          <w:rFonts w:ascii="仿宋_GB2312" w:hAnsi="仿宋" w:eastAsia="仿宋_GB2312" w:cs="Arial"/>
          <w:sz w:val="30"/>
          <w:szCs w:val="30"/>
        </w:rPr>
        <w:t>2.网络连接</w:t>
      </w:r>
    </w:p>
    <w:p>
      <w:pPr>
        <w:spacing w:line="560" w:lineRule="exact"/>
        <w:ind w:left="426"/>
        <w:rPr>
          <w:rFonts w:ascii="仿宋_GB2312" w:hAnsi="仿宋" w:eastAsia="仿宋_GB2312" w:cs="Arial"/>
          <w:sz w:val="30"/>
          <w:szCs w:val="30"/>
        </w:rPr>
      </w:pPr>
      <w:r>
        <w:rPr>
          <w:rFonts w:hint="eastAsia" w:ascii="仿宋_GB2312" w:hAnsi="仿宋" w:eastAsia="仿宋_GB2312" w:cs="Arial"/>
          <w:sz w:val="30"/>
          <w:szCs w:val="30"/>
        </w:rPr>
        <w:t xml:space="preserve"> </w:t>
      </w:r>
      <w:r>
        <w:rPr>
          <w:rFonts w:ascii="仿宋_GB2312" w:hAnsi="仿宋" w:eastAsia="仿宋_GB2312" w:cs="Arial"/>
          <w:sz w:val="30"/>
          <w:szCs w:val="30"/>
        </w:rPr>
        <w:t>实现socket网络连接功能，通过指定IP地址及端口号与服务器建立连接。</w:t>
      </w:r>
    </w:p>
    <w:p>
      <w:pPr>
        <w:spacing w:line="560" w:lineRule="exact"/>
        <w:ind w:left="426"/>
        <w:outlineLvl w:val="0"/>
        <w:rPr>
          <w:rFonts w:ascii="仿宋_GB2312" w:hAnsi="仿宋" w:eastAsia="仿宋_GB2312" w:cs="Arial"/>
          <w:sz w:val="30"/>
          <w:szCs w:val="30"/>
        </w:rPr>
      </w:pPr>
      <w:r>
        <w:rPr>
          <w:rFonts w:ascii="仿宋_GB2312" w:hAnsi="仿宋" w:eastAsia="仿宋_GB2312" w:cs="Arial"/>
          <w:sz w:val="30"/>
          <w:szCs w:val="30"/>
        </w:rPr>
        <w:t>3.数据采集</w:t>
      </w:r>
    </w:p>
    <w:p>
      <w:pPr>
        <w:spacing w:line="560" w:lineRule="exact"/>
        <w:ind w:firstLine="480"/>
        <w:rPr>
          <w:rFonts w:ascii="仿宋_GB2312" w:hAnsi="仿宋" w:eastAsia="仿宋_GB2312" w:cs="Arial"/>
          <w:sz w:val="30"/>
          <w:szCs w:val="30"/>
        </w:rPr>
      </w:pPr>
      <w:r>
        <w:rPr>
          <w:rFonts w:ascii="仿宋_GB2312" w:hAnsi="仿宋" w:eastAsia="仿宋_GB2312" w:cs="Arial"/>
          <w:sz w:val="30"/>
          <w:szCs w:val="30"/>
        </w:rPr>
        <w:t>完成网络连接后，实现数据采集及实时显示并将结果保存至桌面上竞赛成果文件夹中。</w:t>
      </w:r>
    </w:p>
    <w:p>
      <w:pPr>
        <w:spacing w:line="560" w:lineRule="exact"/>
        <w:ind w:left="426"/>
        <w:rPr>
          <w:rFonts w:ascii="仿宋_GB2312" w:hAnsi="仿宋" w:eastAsia="仿宋_GB2312" w:cs="Arial"/>
          <w:sz w:val="30"/>
          <w:szCs w:val="30"/>
        </w:rPr>
      </w:pPr>
      <w:r>
        <w:rPr>
          <w:rFonts w:ascii="仿宋_GB2312" w:hAnsi="仿宋" w:eastAsia="仿宋_GB2312" w:cs="Arial"/>
          <w:sz w:val="30"/>
          <w:szCs w:val="30"/>
        </w:rPr>
        <w:t>（1）完成温度参数的采集，并将温度值实时显示。</w:t>
      </w:r>
    </w:p>
    <w:p>
      <w:pPr>
        <w:spacing w:line="560" w:lineRule="exact"/>
        <w:ind w:left="426"/>
        <w:rPr>
          <w:rFonts w:ascii="仿宋_GB2312" w:hAnsi="仿宋" w:eastAsia="仿宋_GB2312" w:cs="Arial"/>
          <w:sz w:val="30"/>
          <w:szCs w:val="30"/>
        </w:rPr>
      </w:pPr>
      <w:r>
        <w:rPr>
          <w:rFonts w:ascii="仿宋_GB2312" w:hAnsi="仿宋" w:eastAsia="仿宋_GB2312" w:cs="Arial"/>
          <w:sz w:val="30"/>
          <w:szCs w:val="30"/>
        </w:rPr>
        <w:t>（2）完成湿度参数的采集，并将湿度值实时显示。</w:t>
      </w:r>
    </w:p>
    <w:p>
      <w:pPr>
        <w:spacing w:line="560" w:lineRule="exact"/>
        <w:ind w:left="426"/>
        <w:rPr>
          <w:rFonts w:ascii="仿宋_GB2312" w:hAnsi="仿宋" w:eastAsia="仿宋_GB2312" w:cs="Arial"/>
          <w:sz w:val="30"/>
          <w:szCs w:val="30"/>
        </w:rPr>
      </w:pPr>
      <w:r>
        <w:rPr>
          <w:rFonts w:ascii="仿宋_GB2312" w:hAnsi="仿宋" w:eastAsia="仿宋_GB2312" w:cs="Arial"/>
          <w:sz w:val="30"/>
          <w:szCs w:val="30"/>
        </w:rPr>
        <w:t>（3）完成光照度参数的采集，并将光照值实时显示。</w:t>
      </w:r>
    </w:p>
    <w:p>
      <w:pPr>
        <w:spacing w:line="560" w:lineRule="exact"/>
        <w:ind w:left="425"/>
        <w:rPr>
          <w:rFonts w:ascii="仿宋_GB2312" w:hAnsi="仿宋" w:eastAsia="仿宋_GB2312" w:cs="Arial"/>
          <w:sz w:val="30"/>
          <w:szCs w:val="30"/>
        </w:rPr>
      </w:pPr>
      <w:r>
        <w:rPr>
          <w:rFonts w:ascii="仿宋_GB2312" w:hAnsi="仿宋" w:eastAsia="仿宋_GB2312" w:cs="Arial"/>
          <w:sz w:val="30"/>
          <w:szCs w:val="30"/>
        </w:rPr>
        <w:t>（4）完成烟雾参数的采集，并将烟雾值实时显示。</w:t>
      </w:r>
    </w:p>
    <w:p>
      <w:pPr>
        <w:spacing w:line="560" w:lineRule="exact"/>
        <w:ind w:left="425"/>
        <w:rPr>
          <w:rFonts w:ascii="仿宋_GB2312" w:hAnsi="仿宋" w:eastAsia="仿宋_GB2312" w:cs="Arial"/>
          <w:sz w:val="30"/>
          <w:szCs w:val="30"/>
        </w:rPr>
      </w:pPr>
      <w:r>
        <w:rPr>
          <w:rFonts w:ascii="仿宋_GB2312" w:hAnsi="仿宋" w:eastAsia="仿宋_GB2312" w:cs="Arial"/>
          <w:sz w:val="30"/>
          <w:szCs w:val="30"/>
        </w:rPr>
        <w:t>（5）完成燃气参数的采集，并将燃气值实时显示</w:t>
      </w:r>
    </w:p>
    <w:p>
      <w:pPr>
        <w:spacing w:line="560" w:lineRule="exact"/>
        <w:ind w:left="425"/>
        <w:rPr>
          <w:rFonts w:ascii="仿宋_GB2312" w:hAnsi="仿宋" w:eastAsia="仿宋_GB2312" w:cs="Arial"/>
          <w:sz w:val="30"/>
          <w:szCs w:val="30"/>
        </w:rPr>
      </w:pPr>
      <w:r>
        <w:rPr>
          <w:rFonts w:ascii="仿宋_GB2312" w:hAnsi="仿宋" w:eastAsia="仿宋_GB2312" w:cs="Arial"/>
          <w:sz w:val="30"/>
          <w:szCs w:val="30"/>
        </w:rPr>
        <w:t>（6）完成人体感应传感器参数的采集，并将值实时显示。</w:t>
      </w:r>
    </w:p>
    <w:p>
      <w:pPr>
        <w:spacing w:line="560" w:lineRule="exact"/>
        <w:ind w:left="425"/>
        <w:rPr>
          <w:rFonts w:ascii="仿宋_GB2312" w:hAnsi="仿宋" w:eastAsia="仿宋_GB2312" w:cs="Arial"/>
          <w:sz w:val="30"/>
          <w:szCs w:val="30"/>
        </w:rPr>
      </w:pPr>
      <w:r>
        <w:rPr>
          <w:rFonts w:ascii="仿宋_GB2312" w:hAnsi="仿宋" w:eastAsia="仿宋_GB2312" w:cs="Arial"/>
          <w:sz w:val="30"/>
          <w:szCs w:val="30"/>
        </w:rPr>
        <w:t>（7）完成PM2.5传感器的采集，并将状态实时显示。</w:t>
      </w:r>
    </w:p>
    <w:p>
      <w:pPr>
        <w:spacing w:line="560" w:lineRule="exact"/>
        <w:ind w:left="425"/>
        <w:rPr>
          <w:rFonts w:ascii="仿宋_GB2312" w:hAnsi="仿宋" w:eastAsia="仿宋_GB2312" w:cs="Arial"/>
          <w:sz w:val="30"/>
          <w:szCs w:val="30"/>
        </w:rPr>
      </w:pPr>
      <w:r>
        <w:rPr>
          <w:rFonts w:ascii="仿宋_GB2312" w:hAnsi="仿宋" w:eastAsia="仿宋_GB2312" w:cs="Arial"/>
          <w:sz w:val="30"/>
          <w:szCs w:val="30"/>
        </w:rPr>
        <w:t>（8）完成气压传感器的采集，并将状态实时显示。</w:t>
      </w:r>
    </w:p>
    <w:p>
      <w:pPr>
        <w:spacing w:line="560" w:lineRule="exact"/>
        <w:ind w:left="425"/>
        <w:rPr>
          <w:rFonts w:ascii="仿宋_GB2312" w:hAnsi="仿宋" w:eastAsia="仿宋_GB2312" w:cs="Arial"/>
          <w:sz w:val="30"/>
          <w:szCs w:val="30"/>
        </w:rPr>
      </w:pPr>
      <w:r>
        <w:rPr>
          <w:rFonts w:ascii="仿宋_GB2312" w:hAnsi="仿宋" w:eastAsia="仿宋_GB2312" w:cs="Arial"/>
          <w:sz w:val="30"/>
          <w:szCs w:val="30"/>
        </w:rPr>
        <w:t>（9）完成CO</w:t>
      </w:r>
      <w:r>
        <w:rPr>
          <w:rFonts w:ascii="仿宋_GB2312" w:hAnsi="仿宋" w:eastAsia="仿宋_GB2312" w:cs="Arial"/>
          <w:sz w:val="30"/>
          <w:szCs w:val="30"/>
          <w:vertAlign w:val="subscript"/>
        </w:rPr>
        <w:t>2</w:t>
      </w:r>
      <w:r>
        <w:rPr>
          <w:rFonts w:ascii="仿宋_GB2312" w:hAnsi="仿宋" w:eastAsia="仿宋_GB2312" w:cs="Arial"/>
          <w:sz w:val="30"/>
          <w:szCs w:val="30"/>
        </w:rPr>
        <w:t>传感器的采集，并将状态实时显示。</w:t>
      </w:r>
    </w:p>
    <w:p>
      <w:pPr>
        <w:spacing w:line="560" w:lineRule="exact"/>
        <w:ind w:left="426"/>
        <w:rPr>
          <w:rFonts w:ascii="仿宋_GB2312" w:hAnsi="仿宋" w:eastAsia="仿宋_GB2312" w:cs="Arial"/>
          <w:sz w:val="30"/>
          <w:szCs w:val="30"/>
        </w:rPr>
      </w:pPr>
      <w:r>
        <w:rPr>
          <w:rFonts w:ascii="仿宋_GB2312" w:hAnsi="仿宋" w:eastAsia="仿宋_GB2312" w:cs="Arial"/>
          <w:sz w:val="30"/>
          <w:szCs w:val="30"/>
        </w:rPr>
        <w:t>4.控制功能实现</w:t>
      </w:r>
    </w:p>
    <w:p>
      <w:pPr>
        <w:spacing w:line="560" w:lineRule="exact"/>
        <w:ind w:left="426"/>
        <w:rPr>
          <w:rFonts w:ascii="仿宋_GB2312" w:hAnsi="仿宋" w:eastAsia="仿宋_GB2312" w:cs="Arial"/>
          <w:sz w:val="30"/>
          <w:szCs w:val="30"/>
        </w:rPr>
      </w:pPr>
      <w:r>
        <w:rPr>
          <w:rFonts w:ascii="仿宋_GB2312" w:hAnsi="仿宋" w:eastAsia="仿宋_GB2312" w:cs="Arial"/>
          <w:sz w:val="30"/>
          <w:szCs w:val="30"/>
        </w:rPr>
        <w:t>（1）窗帘模块控制功能</w:t>
      </w:r>
    </w:p>
    <w:p>
      <w:pPr>
        <w:spacing w:line="560" w:lineRule="exact"/>
        <w:ind w:firstLine="608"/>
        <w:rPr>
          <w:rFonts w:ascii="仿宋_GB2312" w:hAnsi="仿宋" w:eastAsia="仿宋_GB2312" w:cs="Arial"/>
          <w:sz w:val="30"/>
          <w:szCs w:val="30"/>
        </w:rPr>
      </w:pPr>
      <w:r>
        <w:rPr>
          <w:rFonts w:ascii="仿宋_GB2312" w:hAnsi="仿宋" w:eastAsia="仿宋_GB2312" w:cs="Arial"/>
          <w:sz w:val="30"/>
          <w:szCs w:val="30"/>
        </w:rPr>
        <w:t>通过单击界面中的窗帘控制按钮，实现控制样板间中窗帘的开启和关闭。</w:t>
      </w:r>
    </w:p>
    <w:p>
      <w:pPr>
        <w:spacing w:line="560" w:lineRule="exact"/>
        <w:ind w:left="426"/>
        <w:outlineLvl w:val="0"/>
        <w:rPr>
          <w:rFonts w:ascii="仿宋_GB2312" w:hAnsi="仿宋" w:eastAsia="仿宋_GB2312" w:cs="Arial"/>
          <w:sz w:val="30"/>
          <w:szCs w:val="30"/>
        </w:rPr>
      </w:pPr>
      <w:r>
        <w:rPr>
          <w:rFonts w:ascii="仿宋_GB2312" w:hAnsi="仿宋" w:eastAsia="仿宋_GB2312" w:cs="Arial"/>
          <w:sz w:val="30"/>
          <w:szCs w:val="30"/>
        </w:rPr>
        <w:t>（2）灯光控制功能</w:t>
      </w:r>
    </w:p>
    <w:p>
      <w:pPr>
        <w:spacing w:line="560" w:lineRule="exact"/>
        <w:ind w:firstLine="608"/>
        <w:rPr>
          <w:rFonts w:ascii="仿宋_GB2312" w:hAnsi="仿宋" w:eastAsia="仿宋_GB2312" w:cs="Arial"/>
          <w:sz w:val="30"/>
          <w:szCs w:val="30"/>
        </w:rPr>
      </w:pPr>
      <w:r>
        <w:rPr>
          <w:rFonts w:ascii="仿宋_GB2312" w:hAnsi="仿宋" w:eastAsia="仿宋_GB2312" w:cs="Arial"/>
          <w:sz w:val="30"/>
          <w:szCs w:val="30"/>
        </w:rPr>
        <w:t>通过单击界面中的灯光控制按钮，实现控制样板间中射灯的开启和关闭。</w:t>
      </w:r>
    </w:p>
    <w:p>
      <w:pPr>
        <w:spacing w:line="560" w:lineRule="exact"/>
        <w:ind w:left="426"/>
        <w:outlineLvl w:val="0"/>
        <w:rPr>
          <w:rFonts w:ascii="仿宋_GB2312" w:hAnsi="仿宋" w:eastAsia="仿宋_GB2312" w:cs="Arial"/>
          <w:sz w:val="30"/>
          <w:szCs w:val="30"/>
        </w:rPr>
      </w:pPr>
      <w:r>
        <w:rPr>
          <w:rFonts w:ascii="仿宋_GB2312" w:hAnsi="仿宋" w:eastAsia="仿宋_GB2312" w:cs="Arial"/>
          <w:sz w:val="30"/>
          <w:szCs w:val="30"/>
        </w:rPr>
        <w:t>（3）排风扇控制</w:t>
      </w:r>
    </w:p>
    <w:p>
      <w:pPr>
        <w:spacing w:line="560" w:lineRule="exact"/>
        <w:ind w:firstLine="608"/>
        <w:rPr>
          <w:rFonts w:ascii="仿宋_GB2312" w:hAnsi="仿宋" w:eastAsia="仿宋_GB2312" w:cs="Arial"/>
          <w:sz w:val="30"/>
          <w:szCs w:val="30"/>
        </w:rPr>
      </w:pPr>
      <w:r>
        <w:rPr>
          <w:rFonts w:ascii="仿宋_GB2312" w:hAnsi="仿宋" w:eastAsia="仿宋_GB2312" w:cs="Arial"/>
          <w:sz w:val="30"/>
          <w:szCs w:val="30"/>
        </w:rPr>
        <w:t>通过单击界面中的风扇控制按钮，实现控制样板间中的排风扇的开启和关闭。</w:t>
      </w:r>
    </w:p>
    <w:p>
      <w:pPr>
        <w:spacing w:line="560" w:lineRule="exact"/>
        <w:ind w:left="568"/>
        <w:outlineLvl w:val="0"/>
        <w:rPr>
          <w:rFonts w:ascii="仿宋_GB2312" w:hAnsi="仿宋" w:eastAsia="仿宋_GB2312" w:cs="Arial"/>
          <w:sz w:val="30"/>
          <w:szCs w:val="30"/>
        </w:rPr>
      </w:pPr>
      <w:r>
        <w:rPr>
          <w:rFonts w:hint="eastAsia" w:ascii="仿宋_GB2312" w:hAnsi="仿宋" w:eastAsia="仿宋_GB2312" w:cs="Arial"/>
          <w:sz w:val="30"/>
          <w:szCs w:val="30"/>
        </w:rPr>
        <w:t>5</w:t>
      </w:r>
      <w:r>
        <w:rPr>
          <w:rFonts w:ascii="仿宋_GB2312" w:hAnsi="仿宋" w:eastAsia="仿宋_GB2312" w:cs="Arial"/>
          <w:sz w:val="30"/>
          <w:szCs w:val="30"/>
        </w:rPr>
        <w:t>.智能家居模拟应用配置</w:t>
      </w:r>
    </w:p>
    <w:p>
      <w:pPr>
        <w:spacing w:line="560" w:lineRule="exact"/>
        <w:ind w:firstLine="607"/>
        <w:rPr>
          <w:rFonts w:ascii="仿宋_GB2312" w:hAnsi="仿宋" w:eastAsia="仿宋_GB2312" w:cs="Arial"/>
          <w:sz w:val="30"/>
          <w:szCs w:val="30"/>
        </w:rPr>
      </w:pPr>
      <w:r>
        <w:rPr>
          <w:rFonts w:ascii="仿宋_GB2312" w:hAnsi="仿宋" w:eastAsia="仿宋_GB2312" w:cs="Arial"/>
          <w:sz w:val="30"/>
          <w:szCs w:val="30"/>
        </w:rPr>
        <w:t>实现智能家居应用中</w:t>
      </w:r>
      <w:r>
        <w:rPr>
          <w:rFonts w:hint="eastAsia" w:ascii="仿宋_GB2312" w:hAnsi="仿宋" w:eastAsia="仿宋_GB2312" w:cs="Arial"/>
          <w:sz w:val="30"/>
          <w:szCs w:val="30"/>
        </w:rPr>
        <w:t>一般</w:t>
      </w:r>
      <w:r>
        <w:rPr>
          <w:rFonts w:ascii="仿宋_GB2312" w:hAnsi="仿宋" w:eastAsia="仿宋_GB2312" w:cs="Arial"/>
          <w:sz w:val="30"/>
          <w:szCs w:val="30"/>
        </w:rPr>
        <w:t>模式，</w:t>
      </w:r>
      <w:r>
        <w:rPr>
          <w:rFonts w:hint="eastAsia" w:ascii="仿宋_GB2312" w:hAnsi="仿宋" w:eastAsia="仿宋_GB2312" w:cs="Arial"/>
          <w:sz w:val="30"/>
          <w:szCs w:val="30"/>
        </w:rPr>
        <w:t>例如安防模式，</w:t>
      </w:r>
      <w:r>
        <w:rPr>
          <w:rFonts w:ascii="仿宋_GB2312" w:hAnsi="仿宋" w:eastAsia="仿宋_GB2312" w:cs="Arial"/>
          <w:sz w:val="30"/>
          <w:szCs w:val="30"/>
        </w:rPr>
        <w:t>要求如下:当人体感应传感器感应到有人入侵时，触发报警器发出警报，并将入侵信息发送到移动端。</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十、评分标准制定原则、评分方法、评分细则</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 xml:space="preserve">(一)评分标准的制定原则 </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竞赛评分严格按照公平、公正、公开的原则，评分标准注重考察参赛选手以下三个方面的能力和水平：</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传感器设备和执行控制设备的安装</w:t>
      </w:r>
      <w:r>
        <w:rPr>
          <w:rFonts w:ascii="仿宋_GB2312" w:hAnsi="仿宋" w:eastAsia="仿宋_GB2312" w:cs="Arial"/>
          <w:sz w:val="30"/>
          <w:szCs w:val="30"/>
        </w:rPr>
        <w:t>、</w:t>
      </w:r>
      <w:r>
        <w:rPr>
          <w:rFonts w:hint="eastAsia" w:ascii="仿宋_GB2312" w:hAnsi="仿宋" w:eastAsia="仿宋_GB2312" w:cs="Arial"/>
          <w:sz w:val="30"/>
          <w:szCs w:val="30"/>
        </w:rPr>
        <w:t>调试</w:t>
      </w:r>
      <w:r>
        <w:rPr>
          <w:rFonts w:ascii="仿宋_GB2312" w:hAnsi="仿宋" w:eastAsia="仿宋_GB2312" w:cs="Arial"/>
          <w:sz w:val="30"/>
          <w:szCs w:val="30"/>
        </w:rPr>
        <w:t>与应用、</w:t>
      </w:r>
      <w:r>
        <w:rPr>
          <w:rFonts w:hint="eastAsia" w:ascii="仿宋_GB2312" w:hAnsi="仿宋" w:eastAsia="仿宋_GB2312" w:cs="Arial"/>
          <w:sz w:val="30"/>
          <w:szCs w:val="30"/>
        </w:rPr>
        <w:t>条件</w:t>
      </w:r>
      <w:r>
        <w:rPr>
          <w:rFonts w:ascii="仿宋_GB2312" w:hAnsi="仿宋" w:eastAsia="仿宋_GB2312" w:cs="Arial"/>
          <w:sz w:val="30"/>
          <w:szCs w:val="30"/>
        </w:rPr>
        <w:t>配置与</w:t>
      </w:r>
      <w:r>
        <w:rPr>
          <w:rFonts w:hint="eastAsia" w:ascii="仿宋_GB2312" w:hAnsi="仿宋" w:eastAsia="仿宋_GB2312" w:cs="Arial"/>
          <w:sz w:val="30"/>
          <w:szCs w:val="30"/>
        </w:rPr>
        <w:t>软件代码编写的</w:t>
      </w:r>
      <w:r>
        <w:rPr>
          <w:rFonts w:ascii="仿宋_GB2312" w:hAnsi="仿宋" w:eastAsia="仿宋_GB2312" w:cs="Arial"/>
          <w:sz w:val="30"/>
          <w:szCs w:val="30"/>
        </w:rPr>
        <w:t>正确性、规范性和合理性；</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相关文档的准确性与规范性；</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团队风貌、团队协作与沟通、组织与管理能力</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(二)评分方法</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参赛队成绩由裁判</w:t>
      </w:r>
      <w:r>
        <w:rPr>
          <w:rFonts w:hint="eastAsia" w:ascii="仿宋_GB2312" w:hAnsi="仿宋" w:eastAsia="仿宋_GB2312" w:cs="Arial"/>
          <w:sz w:val="30"/>
          <w:szCs w:val="30"/>
        </w:rPr>
        <w:t>组</w:t>
      </w:r>
      <w:r>
        <w:rPr>
          <w:rFonts w:ascii="仿宋_GB2312" w:hAnsi="仿宋" w:eastAsia="仿宋_GB2312" w:cs="Arial"/>
          <w:sz w:val="30"/>
          <w:szCs w:val="30"/>
        </w:rPr>
        <w:t>统一评定</w:t>
      </w:r>
      <w:r>
        <w:rPr>
          <w:rFonts w:hint="eastAsia" w:ascii="仿宋_GB2312" w:hAnsi="仿宋" w:eastAsia="仿宋_GB2312" w:cs="Arial"/>
          <w:sz w:val="30"/>
          <w:szCs w:val="30"/>
        </w:rPr>
        <w:t>；</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采取分步得分、错误不传递、累计总分的积分方式，分别计算环节得分，不计参赛选手个人得分；</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在竞赛过程中，参赛选手如有不服从裁判判决、扰乱赛场秩序、舞弊等不文明行为的，由裁判长按照规定扣减相应分数，情节严重的取消比赛资格，比赛成绩记0分；</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评分采用</w:t>
      </w:r>
      <w:r>
        <w:rPr>
          <w:rFonts w:ascii="仿宋_GB2312" w:hAnsi="仿宋" w:eastAsia="仿宋_GB2312" w:cs="Arial"/>
          <w:sz w:val="30"/>
          <w:szCs w:val="30"/>
        </w:rPr>
        <w:t>现场评分法，当职</w:t>
      </w:r>
      <w:r>
        <w:rPr>
          <w:rFonts w:hint="eastAsia" w:ascii="仿宋_GB2312" w:hAnsi="仿宋" w:eastAsia="仿宋_GB2312" w:cs="Arial"/>
          <w:sz w:val="30"/>
          <w:szCs w:val="30"/>
        </w:rPr>
        <w:t>裁判依据</w:t>
      </w:r>
      <w:r>
        <w:rPr>
          <w:rFonts w:ascii="仿宋_GB2312" w:hAnsi="仿宋" w:eastAsia="仿宋_GB2312" w:cs="Arial"/>
          <w:sz w:val="30"/>
          <w:szCs w:val="30"/>
        </w:rPr>
        <w:t>裁判分工职责表，进行</w:t>
      </w:r>
      <w:r>
        <w:rPr>
          <w:rFonts w:hint="eastAsia" w:ascii="仿宋_GB2312" w:hAnsi="仿宋" w:eastAsia="仿宋_GB2312" w:cs="Arial"/>
          <w:sz w:val="30"/>
          <w:szCs w:val="30"/>
        </w:rPr>
        <w:t>模块</w:t>
      </w:r>
      <w:r>
        <w:rPr>
          <w:rFonts w:ascii="仿宋_GB2312" w:hAnsi="仿宋" w:eastAsia="仿宋_GB2312" w:cs="Arial"/>
          <w:sz w:val="30"/>
          <w:szCs w:val="30"/>
        </w:rPr>
        <w:t>评判</w:t>
      </w:r>
      <w:r>
        <w:rPr>
          <w:rFonts w:hint="eastAsia" w:ascii="仿宋_GB2312" w:hAnsi="仿宋" w:eastAsia="仿宋_GB2312" w:cs="Arial"/>
          <w:sz w:val="30"/>
          <w:szCs w:val="30"/>
        </w:rPr>
        <w:t>；各组</w:t>
      </w:r>
      <w:r>
        <w:rPr>
          <w:rFonts w:ascii="仿宋_GB2312" w:hAnsi="仿宋" w:eastAsia="仿宋_GB2312" w:cs="Arial"/>
          <w:sz w:val="30"/>
          <w:szCs w:val="30"/>
        </w:rPr>
        <w:t>裁判</w:t>
      </w:r>
      <w:r>
        <w:rPr>
          <w:rFonts w:hint="eastAsia" w:ascii="仿宋_GB2312" w:hAnsi="仿宋" w:eastAsia="仿宋_GB2312" w:cs="Arial"/>
          <w:sz w:val="30"/>
          <w:szCs w:val="30"/>
        </w:rPr>
        <w:t>单独评判。</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竞赛评分细则按照本竞赛规程在竞赛开始7天之前由执行委员会制定。</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(三)评分细则</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比赛成绩满分为100分，其中智能家居移动终端软件应用配置20分，智能家居网关应用配置30分，智能家居设备安装调试及应用配置45分，团队风貌及职业素养5分。</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 xml:space="preserve"> (四)成绩产生流程</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赛前建立健全相关组织机构，杜绝舞弊。成立裁判小</w:t>
      </w:r>
      <w:r>
        <w:rPr>
          <w:rFonts w:hint="eastAsia" w:ascii="仿宋" w:hAnsi="仿宋" w:eastAsia="仿宋" w:cs="Arial"/>
          <w:sz w:val="30"/>
          <w:szCs w:val="30"/>
        </w:rPr>
        <w:t>组</w:t>
      </w:r>
      <w:r>
        <w:rPr>
          <w:rFonts w:hint="eastAsia" w:ascii="仿宋_GB2312" w:hAnsi="仿宋" w:eastAsia="仿宋_GB2312" w:cs="Arial"/>
          <w:sz w:val="30"/>
          <w:szCs w:val="30"/>
        </w:rPr>
        <w:t>（至少2人为一组），防止裁判营私舞弊。</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为确保本次竞赛的公平公正，赛项专家组与裁判组就成绩的产生制定了严格的程序：一是赛前的二个抽签环节；二是竞赛过程监考和过程性评分环节；三是赛后的结果性评判环节；四是成绩的汇总及核查环节。裁判组负责竞赛过程评分和结果性评分，由裁判长负责竞赛全过程；裁判员提前报到，报到后所有裁判的手机全部上缴并统一保管，直至评分结束发还，通过封闭管理，保证竞赛的公正公平。</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比赛当天上午8点30分起各参赛队按照前一天抽取的抽签顺序在比赛现场抽取工位号后由监考人员带到对应工位。参赛队员根据现场设备清单检查设备，并在设备确认单上签字。现场抽签由督导组负责，抽签结果由裁判长封存。</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竞赛现场有裁判员和监考员两支队伍，分工明确。根据现场环境，每位裁判对应1-2位监考，每位监考对应2组选手。监考负责与参赛队伍的交流沟通及试卷等材料的收发，裁判员负责设备问题确认和现场执裁。由于工位系临时抽签，杜绝了提前联系的可能，以确保监考的公平。</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比赛当天上午9点，由裁判长负责宣布比赛开始，选手进行答题，时长3个小时。</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整个过程中，监考人员负责监督参赛队伍有无违纪行为。每位裁判员负责2-3个工位的团队风貌分的现场执裁。如果参赛选手发现设备故障，由裁判员确认后联系设备赞助商的现场工程师解决。</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竞赛结束时间为中午12点，由裁判长宣布比赛结束，选手停止答题，由承办院校提供摄影师进行现场拍照，拍照分为两部分内容：比赛现场保留和参赛队员身份保留。待所有试卷收齐和现场确认完成，监考人员和参赛队伍离场，现场封闭。</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监考人员负责试卷收集。裁判员负责收齐2个参赛队伍的试卷和团队风貌分的评分表并上交汇总。</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裁判执裁从下午2点开始，需经过两小时的申诉期，裁判长宣布现场启封开始执裁工作，执裁过程将裁判员分为四组：有1组负责成绩汇总统计；1组负责智能家居设备安装调试以及应用配置部分的评分；1组负责智能家居嵌入式网关应用软件配置部分的评分；1组负责智能家居移动终端软件应用配置的评分。裁判长负责现场协调和监控。</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执裁过程中，智能家居设备安装调试以及应用配置部分每工位由五位裁判员共同评分，由小组长负责裁定成绩一致方提交到成绩统计组，统计组再次核对每小题的得分并输入电脑汇总产生每工位的对应成绩。</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所有组的执裁工作完成。裁判长启封各组对应的工位号，核对每工位对应的参赛队伍，并根据奖项确认队伍名称形成成绩一览表，由裁判长和监督组长签字确认。</w:t>
      </w:r>
    </w:p>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十一、奖项设置</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本赛项奖项设团体奖。竞赛团体奖的设定为：一等奖占参赛队伍的10%，二等奖占参赛队伍的20%，三等奖占参赛队伍的30%。</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获得一等奖的指导教师由组委会颁发优秀指导教师证书。</w:t>
      </w:r>
    </w:p>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十二、技术规范</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《民用建筑电气设计规范》JGJ/T16-92</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《低压配电设计规范》 GB50054-95</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《安全防范工程技术规范》 GB50348-2004</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《环境空气质量标准》</w:t>
      </w:r>
      <w:r>
        <w:rPr>
          <w:rFonts w:hint="eastAsia" w:ascii="仿宋_GB2312" w:hAnsi="仿宋" w:eastAsia="仿宋_GB2312" w:cs="Arial"/>
          <w:sz w:val="30"/>
          <w:szCs w:val="30"/>
        </w:rPr>
        <w:t>GB3095-2012</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《声环境质量标准》GB3096－2008</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《建筑照明设计标准》</w:t>
      </w:r>
      <w:r>
        <w:rPr>
          <w:rFonts w:hint="eastAsia" w:ascii="仿宋_GB2312" w:hAnsi="仿宋" w:eastAsia="仿宋_GB2312" w:cs="Arial"/>
          <w:sz w:val="30"/>
          <w:szCs w:val="30"/>
        </w:rPr>
        <w:t>GB50034-2013</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w:t>
      </w:r>
      <w:r>
        <w:rPr>
          <w:rFonts w:hint="eastAsia" w:ascii="仿宋_GB2312" w:hAnsi="仿宋" w:eastAsia="仿宋_GB2312" w:cs="Arial"/>
          <w:sz w:val="30"/>
          <w:szCs w:val="30"/>
        </w:rPr>
        <w:t>配电系统电气装置安装工程施工及验收规范</w:t>
      </w:r>
      <w:r>
        <w:rPr>
          <w:rFonts w:ascii="仿宋_GB2312" w:hAnsi="仿宋" w:eastAsia="仿宋_GB2312" w:cs="Arial"/>
          <w:sz w:val="30"/>
          <w:szCs w:val="30"/>
        </w:rPr>
        <w:t>》</w:t>
      </w:r>
      <w:r>
        <w:rPr>
          <w:rFonts w:hint="eastAsia" w:ascii="仿宋_GB2312" w:hAnsi="仿宋" w:eastAsia="仿宋_GB2312" w:cs="Arial"/>
          <w:sz w:val="30"/>
          <w:szCs w:val="30"/>
        </w:rPr>
        <w:t>DL/T 5759-2017</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《安全防范工作程序与要求》</w:t>
      </w:r>
      <w:r>
        <w:rPr>
          <w:rFonts w:hint="eastAsia" w:ascii="仿宋_GB2312" w:hAnsi="仿宋" w:eastAsia="仿宋_GB2312" w:cs="Arial"/>
          <w:sz w:val="30"/>
          <w:szCs w:val="30"/>
        </w:rPr>
        <w:t>GA/T 75-1994</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w:t>
      </w:r>
      <w:r>
        <w:rPr>
          <w:rFonts w:hint="eastAsia" w:ascii="仿宋_GB2312" w:hAnsi="仿宋" w:eastAsia="仿宋_GB2312" w:cs="Arial"/>
          <w:sz w:val="30"/>
          <w:szCs w:val="30"/>
        </w:rPr>
        <w:t>民用建筑工程室内环境污染控制规范</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w:t>
      </w:r>
      <w:r>
        <w:rPr>
          <w:rFonts w:hint="eastAsia" w:ascii="仿宋_GB2312" w:hAnsi="仿宋" w:eastAsia="仿宋_GB2312" w:cs="Arial"/>
          <w:bCs/>
          <w:sz w:val="30"/>
          <w:szCs w:val="30"/>
        </w:rPr>
        <w:t>GB 50325-2010</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《温室控制系统设计规范》</w:t>
      </w:r>
      <w:r>
        <w:rPr>
          <w:rFonts w:hint="eastAsia" w:ascii="仿宋_GB2312" w:hAnsi="仿宋" w:eastAsia="仿宋_GB2312" w:cs="Arial"/>
          <w:bCs/>
          <w:sz w:val="30"/>
          <w:szCs w:val="30"/>
        </w:rPr>
        <w:t>JB/T 10306-2013</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《环境监测质量管理技术导则》HJ 630-2011</w:t>
      </w:r>
      <w:r>
        <w:br w:type="page"/>
      </w:r>
      <w:r>
        <w:rPr>
          <w:rFonts w:hint="eastAsia" w:ascii="黑体" w:hAnsi="黑体" w:eastAsia="黑体" w:cs="黑体"/>
          <w:bCs/>
          <w:sz w:val="30"/>
          <w:szCs w:val="30"/>
        </w:rPr>
        <w:t>十三、建议使用的比赛器材、技术平台和场地要求</w:t>
      </w:r>
    </w:p>
    <w:p>
      <w:pPr>
        <w:numPr>
          <w:ilvl w:val="0"/>
          <w:numId w:val="5"/>
        </w:numPr>
        <w:spacing w:line="560" w:lineRule="exact"/>
        <w:ind w:left="1021" w:hanging="420"/>
        <w:jc w:val="left"/>
        <w:rPr>
          <w:rFonts w:ascii="仿宋_GB2312" w:hAnsi="仿宋" w:eastAsia="仿宋_GB2312" w:cs="Arial"/>
          <w:sz w:val="30"/>
          <w:szCs w:val="30"/>
        </w:rPr>
      </w:pPr>
      <w:r>
        <w:rPr>
          <w:rFonts w:hint="eastAsia" w:ascii="仿宋_GB2312" w:hAnsi="仿宋" w:eastAsia="仿宋_GB2312" w:cs="Arial"/>
          <w:sz w:val="30"/>
          <w:szCs w:val="30"/>
        </w:rPr>
        <w:t>比赛器材</w:t>
      </w:r>
    </w:p>
    <w:tbl>
      <w:tblPr>
        <w:tblStyle w:val="13"/>
        <w:tblW w:w="8360" w:type="dxa"/>
        <w:tblInd w:w="108" w:type="dxa"/>
        <w:tblLayout w:type="fixed"/>
        <w:tblCellMar>
          <w:top w:w="0" w:type="dxa"/>
          <w:left w:w="108" w:type="dxa"/>
          <w:bottom w:w="0" w:type="dxa"/>
          <w:right w:w="108" w:type="dxa"/>
        </w:tblCellMar>
      </w:tblPr>
      <w:tblGrid>
        <w:gridCol w:w="720"/>
        <w:gridCol w:w="2200"/>
        <w:gridCol w:w="3280"/>
        <w:gridCol w:w="1080"/>
        <w:gridCol w:w="1080"/>
      </w:tblGrid>
      <w:tr>
        <w:tblPrEx>
          <w:tblLayout w:type="fixed"/>
          <w:tblCellMar>
            <w:top w:w="0" w:type="dxa"/>
            <w:left w:w="108" w:type="dxa"/>
            <w:bottom w:w="0" w:type="dxa"/>
            <w:right w:w="108" w:type="dxa"/>
          </w:tblCellMar>
        </w:tblPrEx>
        <w:trPr>
          <w:trHeight w:val="499" w:hRule="atLeast"/>
        </w:trPr>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序号</w:t>
            </w:r>
          </w:p>
        </w:tc>
        <w:tc>
          <w:tcPr>
            <w:tcW w:w="220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设备名称</w:t>
            </w:r>
          </w:p>
        </w:tc>
        <w:tc>
          <w:tcPr>
            <w:tcW w:w="32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子项名称</w:t>
            </w:r>
          </w:p>
        </w:tc>
        <w:tc>
          <w:tcPr>
            <w:tcW w:w="10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单位</w:t>
            </w:r>
          </w:p>
        </w:tc>
        <w:tc>
          <w:tcPr>
            <w:tcW w:w="108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sz w:val="24"/>
                <w:szCs w:val="24"/>
              </w:rPr>
            </w:pPr>
            <w:r>
              <w:rPr>
                <w:rFonts w:hint="eastAsia" w:ascii="宋体" w:hAnsi="宋体" w:cs="宋体"/>
                <w:b/>
                <w:bCs/>
                <w:sz w:val="24"/>
                <w:szCs w:val="24"/>
              </w:rPr>
              <w:t>数量</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c>
          <w:tcPr>
            <w:tcW w:w="220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智能家居实训系统设备</w:t>
            </w: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智能家居样板操作间</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2</w:t>
            </w:r>
          </w:p>
        </w:tc>
        <w:tc>
          <w:tcPr>
            <w:tcW w:w="220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sz w:val="24"/>
                <w:szCs w:val="24"/>
              </w:rPr>
            </w:pP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智能网关</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3</w:t>
            </w:r>
          </w:p>
        </w:tc>
        <w:tc>
          <w:tcPr>
            <w:tcW w:w="220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sz w:val="24"/>
                <w:szCs w:val="24"/>
              </w:rPr>
            </w:pP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智能家居应用套件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4</w:t>
            </w:r>
          </w:p>
        </w:tc>
        <w:tc>
          <w:tcPr>
            <w:tcW w:w="220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sz w:val="24"/>
                <w:szCs w:val="24"/>
              </w:rPr>
            </w:pP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嵌入式移动教学套件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5</w:t>
            </w:r>
          </w:p>
        </w:tc>
        <w:tc>
          <w:tcPr>
            <w:tcW w:w="2200"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智能家居演示平台软件V1.2</w:t>
            </w: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智能家居应用配置软件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6</w:t>
            </w:r>
          </w:p>
        </w:tc>
        <w:tc>
          <w:tcPr>
            <w:tcW w:w="220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sz w:val="24"/>
                <w:szCs w:val="24"/>
              </w:rPr>
            </w:pP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bookmarkStart w:id="0" w:name="RANGE!C12"/>
            <w:r>
              <w:rPr>
                <w:rFonts w:hint="eastAsia" w:ascii="宋体" w:hAnsi="宋体" w:cs="宋体"/>
                <w:sz w:val="24"/>
                <w:szCs w:val="24"/>
              </w:rPr>
              <w:t>智能家居网关应用控制平台</w:t>
            </w:r>
            <w:bookmarkEnd w:id="0"/>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7</w:t>
            </w:r>
          </w:p>
        </w:tc>
        <w:tc>
          <w:tcPr>
            <w:tcW w:w="220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sz w:val="24"/>
                <w:szCs w:val="24"/>
              </w:rPr>
            </w:pP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云端服务器软件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r>
        <w:tblPrEx>
          <w:tblLayout w:type="fixed"/>
          <w:tblCellMar>
            <w:top w:w="0" w:type="dxa"/>
            <w:left w:w="108" w:type="dxa"/>
            <w:bottom w:w="0" w:type="dxa"/>
            <w:right w:w="108" w:type="dxa"/>
          </w:tblCellMar>
        </w:tblPrEx>
        <w:trPr>
          <w:trHeight w:val="499" w:hRule="atLeast"/>
        </w:trPr>
        <w:tc>
          <w:tcPr>
            <w:tcW w:w="72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8</w:t>
            </w:r>
          </w:p>
        </w:tc>
        <w:tc>
          <w:tcPr>
            <w:tcW w:w="220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sz w:val="24"/>
                <w:szCs w:val="24"/>
              </w:rPr>
            </w:pPr>
          </w:p>
        </w:tc>
        <w:tc>
          <w:tcPr>
            <w:tcW w:w="32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智能家居移动端软件</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套</w:t>
            </w:r>
          </w:p>
        </w:tc>
        <w:tc>
          <w:tcPr>
            <w:tcW w:w="108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sz w:val="24"/>
                <w:szCs w:val="24"/>
              </w:rPr>
            </w:pPr>
            <w:r>
              <w:rPr>
                <w:rFonts w:hint="eastAsia" w:ascii="宋体" w:hAnsi="宋体" w:cs="宋体"/>
                <w:sz w:val="24"/>
                <w:szCs w:val="24"/>
              </w:rPr>
              <w:t>1</w:t>
            </w:r>
          </w:p>
        </w:tc>
      </w:tr>
    </w:tbl>
    <w:p>
      <w:pPr>
        <w:spacing w:line="560" w:lineRule="exact"/>
        <w:ind w:left="1021"/>
        <w:jc w:val="left"/>
        <w:rPr>
          <w:rFonts w:ascii="仿宋_GB2312" w:hAnsi="仿宋" w:eastAsia="仿宋_GB2312" w:cs="Arial"/>
          <w:sz w:val="30"/>
          <w:szCs w:val="30"/>
        </w:rPr>
      </w:pPr>
    </w:p>
    <w:p>
      <w:pPr>
        <w:numPr>
          <w:ilvl w:val="0"/>
          <w:numId w:val="5"/>
        </w:numPr>
        <w:spacing w:line="560" w:lineRule="exact"/>
        <w:ind w:left="1020" w:hanging="420"/>
        <w:jc w:val="left"/>
        <w:rPr>
          <w:rFonts w:ascii="仿宋_GB2312" w:hAnsi="仿宋" w:eastAsia="仿宋_GB2312" w:cs="Arial"/>
          <w:sz w:val="30"/>
          <w:szCs w:val="30"/>
        </w:rPr>
      </w:pPr>
      <w:r>
        <w:rPr>
          <w:rFonts w:hint="eastAsia" w:ascii="仿宋_GB2312" w:hAnsi="仿宋" w:eastAsia="仿宋_GB2312" w:cs="Arial"/>
          <w:sz w:val="30"/>
          <w:szCs w:val="30"/>
        </w:rPr>
        <w:t>竞赛技术平台标准</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一套需要能搭建出智能家居应用系统，能够进行传感节点、传感器、执行器、智能网关、移动端软件进行灵活搭配，防空板样板间及真实传感器件和家用电器，实现环境监控及智能家居系统的安装、调试、故障排除和编程等考核。</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能够进行基本的安装调试考核。</w:t>
      </w:r>
    </w:p>
    <w:p>
      <w:pPr>
        <w:spacing w:line="560" w:lineRule="exact"/>
        <w:ind w:firstLine="600"/>
        <w:rPr>
          <w:rFonts w:ascii="仿宋_GB2312" w:hAnsi="仿宋" w:eastAsia="仿宋_GB2312" w:cs="Arial"/>
          <w:sz w:val="30"/>
          <w:szCs w:val="30"/>
        </w:rPr>
      </w:pPr>
      <w:r>
        <w:rPr>
          <w:rFonts w:hint="eastAsia" w:ascii="仿宋_GB2312" w:hAnsi="仿宋" w:eastAsia="仿宋_GB2312" w:cs="Arial"/>
          <w:sz w:val="30"/>
          <w:szCs w:val="30"/>
        </w:rPr>
        <w:t>整个系统的占地面积应不大于15M</w:t>
      </w:r>
      <w:r>
        <w:rPr>
          <w:rFonts w:hint="eastAsia" w:ascii="仿宋_GB2312" w:hAnsi="仿宋" w:eastAsia="仿宋_GB2312" w:cs="Arial"/>
          <w:sz w:val="30"/>
          <w:szCs w:val="30"/>
          <w:vertAlign w:val="superscript"/>
        </w:rPr>
        <w:t>2</w:t>
      </w:r>
      <w:r>
        <w:rPr>
          <w:rFonts w:hint="eastAsia" w:ascii="仿宋_GB2312" w:hAnsi="仿宋" w:eastAsia="仿宋_GB2312" w:cs="Arial"/>
          <w:sz w:val="30"/>
          <w:szCs w:val="30"/>
        </w:rPr>
        <w:t>，高度应不高于2.5M。</w:t>
      </w:r>
    </w:p>
    <w:p>
      <w:pPr>
        <w:numPr>
          <w:ilvl w:val="0"/>
          <w:numId w:val="5"/>
        </w:numPr>
        <w:spacing w:line="560" w:lineRule="exact"/>
        <w:ind w:left="1020" w:hanging="420"/>
        <w:jc w:val="left"/>
        <w:rPr>
          <w:rFonts w:ascii="仿宋_GB2312" w:hAnsi="仿宋" w:eastAsia="仿宋_GB2312" w:cs="Arial"/>
          <w:sz w:val="30"/>
          <w:szCs w:val="30"/>
        </w:rPr>
      </w:pPr>
      <w:r>
        <w:rPr>
          <w:rFonts w:hint="eastAsia" w:ascii="仿宋_GB2312" w:hAnsi="仿宋" w:eastAsia="仿宋_GB2312" w:cs="Arial"/>
          <w:sz w:val="30"/>
          <w:szCs w:val="30"/>
        </w:rPr>
        <w:t>竞赛场地和环境标准</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 xml:space="preserve">竞赛场地应为地面平整、明亮、通风的室内场地，场地面积应不小于2000 </w:t>
      </w:r>
      <w:r>
        <w:rPr>
          <w:rFonts w:hint="eastAsia" w:ascii="仿宋_GB2312" w:hAnsi="仿宋" w:eastAsia="仿宋_GB2312" w:cs="Arial"/>
          <w:sz w:val="30"/>
          <w:szCs w:val="30"/>
        </w:rPr>
        <w:t>M</w:t>
      </w:r>
      <w:r>
        <w:rPr>
          <w:rFonts w:hint="eastAsia" w:ascii="仿宋_GB2312" w:hAnsi="仿宋" w:eastAsia="仿宋_GB2312" w:cs="Arial"/>
          <w:sz w:val="30"/>
          <w:szCs w:val="30"/>
          <w:vertAlign w:val="superscript"/>
        </w:rPr>
        <w:t>2</w:t>
      </w:r>
      <w:r>
        <w:rPr>
          <w:rFonts w:ascii="仿宋_GB2312" w:hAnsi="仿宋" w:eastAsia="仿宋_GB2312" w:cs="Arial"/>
          <w:sz w:val="30"/>
          <w:szCs w:val="30"/>
        </w:rPr>
        <w:t>，场地净高应不低于3.5m。</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每个竞赛工位应能够提供独立的电源，其供电负荷不小于3 kw，且含安全的接地保护。</w:t>
      </w:r>
    </w:p>
    <w:p>
      <w:pPr>
        <w:spacing w:line="560" w:lineRule="exact"/>
        <w:ind w:firstLine="600"/>
        <w:rPr>
          <w:rFonts w:ascii="仿宋_GB2312" w:hAnsi="仿宋" w:eastAsia="仿宋_GB2312" w:cs="Arial"/>
          <w:sz w:val="30"/>
          <w:szCs w:val="30"/>
        </w:rPr>
      </w:pPr>
      <w:r>
        <w:rPr>
          <w:rFonts w:ascii="仿宋_GB2312" w:hAnsi="仿宋" w:eastAsia="仿宋_GB2312" w:cs="Arial"/>
          <w:sz w:val="30"/>
          <w:szCs w:val="30"/>
        </w:rPr>
        <w:t>每个竞赛工位应提供性能完好的</w:t>
      </w:r>
      <w:r>
        <w:rPr>
          <w:rFonts w:hint="eastAsia" w:ascii="仿宋_GB2312" w:hAnsi="仿宋" w:eastAsia="仿宋_GB2312" w:cs="Arial"/>
          <w:sz w:val="30"/>
          <w:szCs w:val="30"/>
        </w:rPr>
        <w:t>智能家居</w:t>
      </w:r>
      <w:r>
        <w:rPr>
          <w:rFonts w:ascii="仿宋_GB2312" w:hAnsi="仿宋" w:eastAsia="仿宋_GB2312" w:cs="Arial"/>
          <w:sz w:val="30"/>
          <w:szCs w:val="30"/>
        </w:rPr>
        <w:t>应用技术综合平台</w:t>
      </w:r>
      <w:r>
        <w:rPr>
          <w:rFonts w:hint="eastAsia" w:ascii="仿宋_GB2312" w:hAnsi="仿宋" w:eastAsia="仿宋_GB2312" w:cs="Arial"/>
          <w:sz w:val="30"/>
          <w:szCs w:val="30"/>
        </w:rPr>
        <w:t>，</w:t>
      </w:r>
      <w:r>
        <w:rPr>
          <w:rFonts w:ascii="仿宋_GB2312" w:hAnsi="仿宋" w:eastAsia="仿宋_GB2312" w:cs="Arial"/>
          <w:sz w:val="30"/>
          <w:szCs w:val="30"/>
        </w:rPr>
        <w:t>网孔板支架和电脑3台，</w:t>
      </w:r>
      <w:r>
        <w:rPr>
          <w:rFonts w:hint="eastAsia" w:ascii="仿宋_GB2312" w:hAnsi="仿宋" w:eastAsia="仿宋_GB2312" w:cs="Arial"/>
          <w:sz w:val="30"/>
          <w:szCs w:val="30"/>
        </w:rPr>
        <w:t>智能家居套件，</w:t>
      </w:r>
      <w:r>
        <w:rPr>
          <w:rFonts w:ascii="仿宋_GB2312" w:hAnsi="仿宋" w:eastAsia="仿宋_GB2312" w:cs="Arial"/>
          <w:sz w:val="30"/>
          <w:szCs w:val="30"/>
        </w:rPr>
        <w:t>安装竞赛所需的相关软件。</w:t>
      </w:r>
    </w:p>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十四、安全保障</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场地及消防设施：竞赛现场须符合消防安全要求。</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线路布置：竞赛现场网线、电源线以及其他线路应符合安全布线要求。</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采光与通风：竞赛现场需通风良好、照明需符合教室采光规范。</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参赛人员安全：竞赛期间参赛人员（含指导和领队）集中住宿、饮食安全。</w:t>
      </w:r>
    </w:p>
    <w:p>
      <w:pPr>
        <w:spacing w:line="560" w:lineRule="exact"/>
        <w:ind w:firstLine="601"/>
        <w:jc w:val="left"/>
        <w:outlineLvl w:val="0"/>
        <w:rPr>
          <w:rFonts w:ascii="黑体" w:hAnsi="黑体" w:eastAsia="黑体" w:cs="黑体"/>
          <w:bCs/>
          <w:sz w:val="30"/>
          <w:szCs w:val="30"/>
        </w:rPr>
      </w:pPr>
      <w:r>
        <w:rPr>
          <w:rFonts w:hint="eastAsia" w:ascii="黑体" w:hAnsi="黑体" w:eastAsia="黑体" w:cs="黑体"/>
          <w:bCs/>
          <w:sz w:val="30"/>
          <w:szCs w:val="30"/>
        </w:rPr>
        <w:t>十五、经费概算</w:t>
      </w:r>
    </w:p>
    <w:tbl>
      <w:tblPr>
        <w:tblStyle w:val="13"/>
        <w:tblW w:w="7088" w:type="dxa"/>
        <w:jc w:val="center"/>
        <w:tblInd w:w="0" w:type="dxa"/>
        <w:tblLayout w:type="fixed"/>
        <w:tblCellMar>
          <w:top w:w="0" w:type="dxa"/>
          <w:left w:w="108" w:type="dxa"/>
          <w:bottom w:w="0" w:type="dxa"/>
          <w:right w:w="108" w:type="dxa"/>
        </w:tblCellMar>
      </w:tblPr>
      <w:tblGrid>
        <w:gridCol w:w="993"/>
        <w:gridCol w:w="1275"/>
        <w:gridCol w:w="1276"/>
        <w:gridCol w:w="2268"/>
        <w:gridCol w:w="1276"/>
      </w:tblGrid>
      <w:tr>
        <w:tblPrEx>
          <w:tblLayout w:type="fixed"/>
          <w:tblCellMar>
            <w:top w:w="0" w:type="dxa"/>
            <w:left w:w="108" w:type="dxa"/>
            <w:bottom w:w="0" w:type="dxa"/>
            <w:right w:w="108" w:type="dxa"/>
          </w:tblCellMar>
        </w:tblPrEx>
        <w:trPr>
          <w:trHeight w:val="585" w:hRule="atLeast"/>
          <w:jc w:val="center"/>
        </w:trPr>
        <w:tc>
          <w:tcPr>
            <w:tcW w:w="993"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序号</w:t>
            </w:r>
          </w:p>
        </w:tc>
        <w:tc>
          <w:tcPr>
            <w:tcW w:w="1275"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项目阶段</w:t>
            </w:r>
          </w:p>
        </w:tc>
        <w:tc>
          <w:tcPr>
            <w:tcW w:w="3544" w:type="dxa"/>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资金用途</w:t>
            </w:r>
          </w:p>
        </w:tc>
        <w:tc>
          <w:tcPr>
            <w:tcW w:w="12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费用</w:t>
            </w:r>
          </w:p>
        </w:tc>
      </w:tr>
      <w:tr>
        <w:tblPrEx>
          <w:tblLayout w:type="fixed"/>
          <w:tblCellMar>
            <w:top w:w="0" w:type="dxa"/>
            <w:left w:w="108" w:type="dxa"/>
            <w:bottom w:w="0" w:type="dxa"/>
            <w:right w:w="108" w:type="dxa"/>
          </w:tblCellMar>
        </w:tblPrEx>
        <w:trPr>
          <w:trHeight w:val="300" w:hRule="atLeast"/>
          <w:jc w:val="center"/>
        </w:trPr>
        <w:tc>
          <w:tcPr>
            <w:tcW w:w="99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75"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方案论证</w:t>
            </w:r>
          </w:p>
        </w:tc>
        <w:tc>
          <w:tcPr>
            <w:tcW w:w="3544" w:type="dxa"/>
            <w:gridSpan w:val="2"/>
            <w:tcBorders>
              <w:top w:val="single" w:color="auto" w:sz="8" w:space="0"/>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专家论证会议</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w:t>
            </w:r>
          </w:p>
        </w:tc>
      </w:tr>
      <w:tr>
        <w:tblPrEx>
          <w:tblLayout w:type="fixed"/>
          <w:tblCellMar>
            <w:top w:w="0" w:type="dxa"/>
            <w:left w:w="108" w:type="dxa"/>
            <w:bottom w:w="0" w:type="dxa"/>
            <w:right w:w="108" w:type="dxa"/>
          </w:tblCellMar>
        </w:tblPrEx>
        <w:trPr>
          <w:trHeight w:val="570" w:hRule="atLeast"/>
          <w:jc w:val="center"/>
        </w:trPr>
        <w:tc>
          <w:tcPr>
            <w:tcW w:w="993"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75" w:type="dxa"/>
            <w:vMerge w:val="restart"/>
            <w:tcBorders>
              <w:top w:val="nil"/>
              <w:left w:val="single" w:color="auto" w:sz="8" w:space="0"/>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赛前准备</w:t>
            </w:r>
          </w:p>
        </w:tc>
        <w:tc>
          <w:tcPr>
            <w:tcW w:w="3544" w:type="dxa"/>
            <w:gridSpan w:val="2"/>
            <w:tcBorders>
              <w:top w:val="single" w:color="auto" w:sz="8" w:space="0"/>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模拟题开发</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w:t>
            </w:r>
          </w:p>
        </w:tc>
      </w:tr>
      <w:tr>
        <w:tblPrEx>
          <w:tblLayout w:type="fixed"/>
          <w:tblCellMar>
            <w:top w:w="0" w:type="dxa"/>
            <w:left w:w="108" w:type="dxa"/>
            <w:bottom w:w="0" w:type="dxa"/>
            <w:right w:w="108" w:type="dxa"/>
          </w:tblCellMar>
        </w:tblPrEx>
        <w:trPr>
          <w:trHeight w:val="585"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全国说明会</w:t>
            </w: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面授约2场</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r>
      <w:tr>
        <w:tblPrEx>
          <w:tblLayout w:type="fixed"/>
          <w:tblCellMar>
            <w:top w:w="0" w:type="dxa"/>
            <w:left w:w="108" w:type="dxa"/>
            <w:bottom w:w="0" w:type="dxa"/>
            <w:right w:w="108" w:type="dxa"/>
          </w:tblCellMar>
        </w:tblPrEx>
        <w:trPr>
          <w:trHeight w:val="585"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全国说明会</w:t>
            </w: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网络约2场</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r>
      <w:tr>
        <w:tblPrEx>
          <w:tblLayout w:type="fixed"/>
          <w:tblCellMar>
            <w:top w:w="0" w:type="dxa"/>
            <w:left w:w="108" w:type="dxa"/>
            <w:bottom w:w="0" w:type="dxa"/>
            <w:right w:w="108" w:type="dxa"/>
          </w:tblCellMar>
        </w:tblPrEx>
        <w:trPr>
          <w:trHeight w:val="585" w:hRule="atLeast"/>
          <w:jc w:val="center"/>
        </w:trPr>
        <w:tc>
          <w:tcPr>
            <w:tcW w:w="993"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75" w:type="dxa"/>
            <w:vMerge w:val="restart"/>
            <w:tcBorders>
              <w:top w:val="nil"/>
              <w:left w:val="single" w:color="auto" w:sz="8" w:space="0"/>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比赛现场</w:t>
            </w:r>
          </w:p>
        </w:tc>
        <w:tc>
          <w:tcPr>
            <w:tcW w:w="1276"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场内活动</w:t>
            </w:r>
          </w:p>
        </w:tc>
        <w:tc>
          <w:tcPr>
            <w:tcW w:w="2268"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比赛用设备</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厂商赞助</w:t>
            </w:r>
          </w:p>
        </w:tc>
      </w:tr>
      <w:tr>
        <w:tblPrEx>
          <w:tblLayout w:type="fixed"/>
          <w:tblCellMar>
            <w:top w:w="0" w:type="dxa"/>
            <w:left w:w="108" w:type="dxa"/>
            <w:bottom w:w="0" w:type="dxa"/>
            <w:right w:w="108" w:type="dxa"/>
          </w:tblCellMar>
        </w:tblPrEx>
        <w:trPr>
          <w:trHeight w:val="870"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设备运输、安装调试</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7</w:t>
            </w:r>
          </w:p>
        </w:tc>
      </w:tr>
      <w:tr>
        <w:tblPrEx>
          <w:tblLayout w:type="fixed"/>
          <w:tblCellMar>
            <w:top w:w="0" w:type="dxa"/>
            <w:left w:w="108" w:type="dxa"/>
            <w:bottom w:w="0" w:type="dxa"/>
            <w:right w:w="108" w:type="dxa"/>
          </w:tblCellMar>
        </w:tblPrEx>
        <w:trPr>
          <w:trHeight w:val="870"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现场环境布置及奖品</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w:t>
            </w:r>
          </w:p>
        </w:tc>
      </w:tr>
      <w:tr>
        <w:tblPrEx>
          <w:tblLayout w:type="fixed"/>
          <w:tblCellMar>
            <w:top w:w="0" w:type="dxa"/>
            <w:left w:w="108" w:type="dxa"/>
            <w:bottom w:w="0" w:type="dxa"/>
            <w:right w:w="108" w:type="dxa"/>
          </w:tblCellMar>
        </w:tblPrEx>
        <w:trPr>
          <w:trHeight w:val="585"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出题，监考和裁判</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8</w:t>
            </w:r>
          </w:p>
        </w:tc>
      </w:tr>
      <w:tr>
        <w:tblPrEx>
          <w:tblLayout w:type="fixed"/>
          <w:tblCellMar>
            <w:top w:w="0" w:type="dxa"/>
            <w:left w:w="108" w:type="dxa"/>
            <w:bottom w:w="0" w:type="dxa"/>
            <w:right w:w="108" w:type="dxa"/>
          </w:tblCellMar>
        </w:tblPrEx>
        <w:trPr>
          <w:trHeight w:val="585"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场外</w:t>
            </w: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教师学生论坛</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r>
      <w:tr>
        <w:tblPrEx>
          <w:tblLayout w:type="fixed"/>
          <w:tblCellMar>
            <w:top w:w="0" w:type="dxa"/>
            <w:left w:w="108" w:type="dxa"/>
            <w:bottom w:w="0" w:type="dxa"/>
            <w:right w:w="108" w:type="dxa"/>
          </w:tblCellMar>
        </w:tblPrEx>
        <w:trPr>
          <w:trHeight w:val="585" w:hRule="atLeast"/>
          <w:jc w:val="center"/>
        </w:trPr>
        <w:tc>
          <w:tcPr>
            <w:tcW w:w="99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5"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color w:val="000000"/>
                <w:kern w:val="0"/>
                <w:sz w:val="24"/>
                <w:szCs w:val="24"/>
              </w:rPr>
            </w:pP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活动</w:t>
            </w:r>
          </w:p>
        </w:tc>
        <w:tc>
          <w:tcPr>
            <w:tcW w:w="226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媒体宣传报道</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r>
      <w:tr>
        <w:tblPrEx>
          <w:tblLayout w:type="fixed"/>
          <w:tblCellMar>
            <w:top w:w="0" w:type="dxa"/>
            <w:left w:w="108" w:type="dxa"/>
            <w:bottom w:w="0" w:type="dxa"/>
            <w:right w:w="108" w:type="dxa"/>
          </w:tblCellMar>
        </w:tblPrEx>
        <w:trPr>
          <w:trHeight w:val="300" w:hRule="atLeast"/>
          <w:jc w:val="center"/>
        </w:trPr>
        <w:tc>
          <w:tcPr>
            <w:tcW w:w="99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1275" w:type="dxa"/>
            <w:tcBorders>
              <w:top w:val="nil"/>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比赛总结</w:t>
            </w:r>
          </w:p>
        </w:tc>
        <w:tc>
          <w:tcPr>
            <w:tcW w:w="3544" w:type="dxa"/>
            <w:gridSpan w:val="2"/>
            <w:tcBorders>
              <w:top w:val="single" w:color="auto" w:sz="8" w:space="0"/>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总结研讨会</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r>
      <w:tr>
        <w:tblPrEx>
          <w:tblLayout w:type="fixed"/>
          <w:tblCellMar>
            <w:top w:w="0" w:type="dxa"/>
            <w:left w:w="108" w:type="dxa"/>
            <w:bottom w:w="0" w:type="dxa"/>
            <w:right w:w="108" w:type="dxa"/>
          </w:tblCellMar>
        </w:tblPrEx>
        <w:trPr>
          <w:trHeight w:val="300" w:hRule="atLeast"/>
          <w:jc w:val="center"/>
        </w:trPr>
        <w:tc>
          <w:tcPr>
            <w:tcW w:w="5812"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xml:space="preserve">小计(单位：万元) </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45万</w:t>
            </w:r>
          </w:p>
        </w:tc>
      </w:tr>
    </w:tbl>
    <w:p>
      <w:pPr>
        <w:spacing w:line="560" w:lineRule="exact"/>
        <w:ind w:firstLine="601"/>
        <w:jc w:val="left"/>
        <w:outlineLvl w:val="0"/>
        <w:rPr>
          <w:rFonts w:ascii="黑体" w:hAnsi="黑体" w:eastAsia="黑体" w:cs="Arial"/>
          <w:b/>
          <w:sz w:val="30"/>
          <w:szCs w:val="30"/>
        </w:rPr>
      </w:pPr>
    </w:p>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十六、比赛组织与管理</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通信行业职业技能鉴定指导中心整体负责赛项组织筹备工作；负责竞赛方案与赛题设计、赛项命题专家遴选、赛项裁判专家遴选等；</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承办院校：负责提供赛项场地并协调搭建赛场环境；负责接待赛项参赛院校师生、赛项专家和相关领导；</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承办企业：负责提供、安装赛项所需设备并提供现场技术支持；协助完成赛项方案与赛题设计。</w:t>
      </w:r>
    </w:p>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十七、教学资源转化建设方案</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本大赛的设备和技术来自于当前智能家居行业前沿企业，反映了当前</w:t>
      </w:r>
      <w:r>
        <w:rPr>
          <w:rFonts w:hint="eastAsia" w:ascii="仿宋_GB2312" w:hAnsi="仿宋" w:eastAsia="仿宋_GB2312" w:cs="Arial"/>
          <w:sz w:val="30"/>
          <w:szCs w:val="30"/>
        </w:rPr>
        <w:t>智能家居行业</w:t>
      </w:r>
      <w:r>
        <w:rPr>
          <w:rFonts w:ascii="仿宋_GB2312" w:hAnsi="仿宋" w:eastAsia="仿宋_GB2312" w:cs="Arial"/>
          <w:sz w:val="30"/>
          <w:szCs w:val="30"/>
        </w:rPr>
        <w:t>最新成果和技术趋势。大赛所涉及的教学资源转化有利于提高中职相关专业（如网络工程、计算机网络、自动化、通信等专业）的教育装备水平，完善课程体系建设，提高师资队伍水平，提升教育质量，培养具有适应行业需求和就业竞争力的中职毕业生。大赛的教学资源拟从以下几方面进行转化建设：</w:t>
      </w:r>
    </w:p>
    <w:p>
      <w:pPr>
        <w:spacing w:line="560" w:lineRule="exact"/>
        <w:ind w:firstLine="601"/>
        <w:outlineLvl w:val="0"/>
        <w:rPr>
          <w:rFonts w:ascii="仿宋_GB2312" w:hAnsi="仿宋" w:eastAsia="仿宋_GB2312" w:cs="Arial"/>
          <w:sz w:val="30"/>
          <w:szCs w:val="30"/>
        </w:rPr>
      </w:pPr>
      <w:r>
        <w:rPr>
          <w:rFonts w:hint="eastAsia" w:ascii="仿宋_GB2312" w:hAnsi="仿宋" w:eastAsia="仿宋_GB2312" w:cs="Arial"/>
          <w:sz w:val="30"/>
          <w:szCs w:val="30"/>
        </w:rPr>
        <w:t>1. 师资培训</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结合国家技能大赛、行业技能鉴定要求、教育教学需求，邀请行业技能考核专家、企业技术专家、中高职教学能手为师资培训讲师，挑选具备有承办场所及设备的多家院校或企业，成立国家级或省市级的师资培训基地，定期举办师资培训班。</w:t>
      </w:r>
    </w:p>
    <w:p>
      <w:pPr>
        <w:spacing w:line="560" w:lineRule="exact"/>
        <w:ind w:firstLine="601"/>
        <w:outlineLvl w:val="0"/>
        <w:rPr>
          <w:rFonts w:ascii="仿宋_GB2312" w:hAnsi="仿宋" w:eastAsia="仿宋_GB2312" w:cs="Arial"/>
          <w:sz w:val="30"/>
          <w:szCs w:val="30"/>
        </w:rPr>
      </w:pPr>
      <w:r>
        <w:rPr>
          <w:rFonts w:hint="eastAsia" w:ascii="仿宋_GB2312" w:hAnsi="仿宋" w:eastAsia="仿宋_GB2312" w:cs="Arial"/>
          <w:sz w:val="30"/>
          <w:szCs w:val="30"/>
        </w:rPr>
        <w:t>2. 教材开发</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以国家示范校、行业专家、企业专家为班底成立教材开发团队，整合国内外行业发展动向，结合各学校师资、实训设备、实习单位实际情况，更新现有智能家居实践教材的内容。</w:t>
      </w:r>
    </w:p>
    <w:p>
      <w:pPr>
        <w:spacing w:line="560" w:lineRule="exact"/>
        <w:ind w:firstLine="601"/>
        <w:outlineLvl w:val="0"/>
        <w:rPr>
          <w:rFonts w:ascii="仿宋_GB2312" w:hAnsi="仿宋" w:eastAsia="仿宋_GB2312" w:cs="Arial"/>
          <w:sz w:val="30"/>
          <w:szCs w:val="30"/>
        </w:rPr>
      </w:pPr>
      <w:r>
        <w:rPr>
          <w:rFonts w:hint="eastAsia" w:ascii="仿宋_GB2312" w:hAnsi="仿宋" w:eastAsia="仿宋_GB2312" w:cs="Arial"/>
          <w:sz w:val="30"/>
          <w:szCs w:val="30"/>
        </w:rPr>
        <w:t>3. 教学资源包开发</w:t>
      </w:r>
    </w:p>
    <w:p>
      <w:pPr>
        <w:spacing w:line="560" w:lineRule="exact"/>
        <w:ind w:firstLine="601"/>
        <w:rPr>
          <w:rFonts w:ascii="仿宋_GB2312" w:hAnsi="仿宋" w:eastAsia="仿宋_GB2312" w:cs="Arial"/>
          <w:sz w:val="30"/>
          <w:szCs w:val="30"/>
        </w:rPr>
      </w:pPr>
      <w:r>
        <w:rPr>
          <w:rFonts w:hint="eastAsia" w:ascii="仿宋_GB2312" w:hAnsi="仿宋" w:eastAsia="仿宋_GB2312" w:cs="Arial"/>
          <w:sz w:val="30"/>
          <w:szCs w:val="30"/>
        </w:rPr>
        <w:t>赛后汇总整个</w:t>
      </w:r>
      <w:r>
        <w:rPr>
          <w:rFonts w:ascii="仿宋_GB2312" w:hAnsi="仿宋" w:eastAsia="仿宋_GB2312" w:cs="Arial"/>
          <w:sz w:val="30"/>
          <w:szCs w:val="30"/>
        </w:rPr>
        <w:t>赛项</w:t>
      </w:r>
      <w:r>
        <w:rPr>
          <w:rFonts w:hint="eastAsia" w:ascii="仿宋_GB2312" w:hAnsi="仿宋" w:eastAsia="仿宋_GB2312" w:cs="Arial"/>
          <w:sz w:val="30"/>
          <w:szCs w:val="30"/>
        </w:rPr>
        <w:t>的</w:t>
      </w:r>
      <w:r>
        <w:rPr>
          <w:rFonts w:ascii="仿宋_GB2312" w:hAnsi="仿宋" w:eastAsia="仿宋_GB2312" w:cs="Arial"/>
          <w:sz w:val="30"/>
          <w:szCs w:val="30"/>
        </w:rPr>
        <w:t>视频、语音、书面材料</w:t>
      </w:r>
      <w:r>
        <w:rPr>
          <w:rFonts w:hint="eastAsia" w:ascii="仿宋_GB2312" w:hAnsi="仿宋" w:eastAsia="仿宋_GB2312" w:cs="Arial"/>
          <w:sz w:val="30"/>
          <w:szCs w:val="30"/>
        </w:rPr>
        <w:t>，并</w:t>
      </w:r>
      <w:r>
        <w:rPr>
          <w:rFonts w:ascii="仿宋_GB2312" w:hAnsi="仿宋" w:eastAsia="仿宋_GB2312" w:cs="Arial"/>
          <w:sz w:val="30"/>
          <w:szCs w:val="30"/>
        </w:rPr>
        <w:t>进行进一步整理和整合</w:t>
      </w:r>
      <w:r>
        <w:rPr>
          <w:rFonts w:hint="eastAsia" w:ascii="仿宋_GB2312" w:hAnsi="仿宋" w:eastAsia="仿宋_GB2312" w:cs="Arial"/>
          <w:sz w:val="30"/>
          <w:szCs w:val="30"/>
        </w:rPr>
        <w:t>，完成</w:t>
      </w:r>
      <w:r>
        <w:rPr>
          <w:rFonts w:ascii="仿宋_GB2312" w:hAnsi="仿宋" w:eastAsia="仿宋_GB2312" w:cs="Arial"/>
          <w:sz w:val="30"/>
          <w:szCs w:val="30"/>
        </w:rPr>
        <w:t>后汇总至大赛组委会，通过大赛网站进行</w:t>
      </w:r>
      <w:r>
        <w:rPr>
          <w:rFonts w:hint="eastAsia" w:ascii="仿宋_GB2312" w:hAnsi="仿宋" w:eastAsia="仿宋_GB2312" w:cs="Arial"/>
          <w:sz w:val="30"/>
          <w:szCs w:val="30"/>
        </w:rPr>
        <w:t>教学</w:t>
      </w:r>
      <w:r>
        <w:rPr>
          <w:rFonts w:ascii="仿宋_GB2312" w:hAnsi="仿宋" w:eastAsia="仿宋_GB2312" w:cs="Arial"/>
          <w:sz w:val="30"/>
          <w:szCs w:val="30"/>
        </w:rPr>
        <w:t>资源包的共享</w:t>
      </w:r>
      <w:r>
        <w:rPr>
          <w:rFonts w:hint="eastAsia" w:ascii="仿宋_GB2312" w:hAnsi="仿宋" w:eastAsia="仿宋_GB2312" w:cs="Arial"/>
          <w:sz w:val="30"/>
          <w:szCs w:val="30"/>
        </w:rPr>
        <w:t>。</w:t>
      </w:r>
    </w:p>
    <w:p>
      <w:pPr>
        <w:spacing w:line="560" w:lineRule="exact"/>
        <w:ind w:firstLine="601"/>
        <w:outlineLvl w:val="0"/>
        <w:rPr>
          <w:rFonts w:ascii="仿宋_GB2312" w:hAnsi="仿宋" w:eastAsia="仿宋_GB2312" w:cs="Arial"/>
          <w:sz w:val="30"/>
          <w:szCs w:val="30"/>
        </w:rPr>
      </w:pPr>
      <w:r>
        <w:rPr>
          <w:rFonts w:hint="eastAsia" w:ascii="仿宋_GB2312" w:hAnsi="仿宋" w:eastAsia="仿宋_GB2312" w:cs="Arial"/>
          <w:sz w:val="30"/>
          <w:szCs w:val="30"/>
        </w:rPr>
        <w:t>4. 竞赛题库开发</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通过汇总2015年、2016和2017年国赛、各省市赛的样题及试题、通过向院校征集试题和专家命题等形式，以专家组、国家示范校、行业专家、企业专家为班底成立题库开发团队，参照行业规范，完善现有的技能操作试题库。</w:t>
      </w:r>
    </w:p>
    <w:p>
      <w:pPr>
        <w:spacing w:line="560" w:lineRule="exact"/>
        <w:ind w:firstLine="601"/>
        <w:outlineLvl w:val="0"/>
        <w:rPr>
          <w:rFonts w:ascii="仿宋_GB2312" w:hAnsi="仿宋" w:eastAsia="仿宋_GB2312" w:cs="Arial"/>
          <w:sz w:val="30"/>
          <w:szCs w:val="30"/>
        </w:rPr>
      </w:pPr>
      <w:r>
        <w:rPr>
          <w:rFonts w:ascii="仿宋_GB2312" w:hAnsi="仿宋" w:eastAsia="仿宋_GB2312" w:cs="Arial"/>
          <w:sz w:val="30"/>
          <w:szCs w:val="30"/>
        </w:rPr>
        <w:t>5.“现代学徒制-创新创业定向班”的打造和推广</w:t>
      </w:r>
    </w:p>
    <w:p>
      <w:pPr>
        <w:spacing w:line="560" w:lineRule="exact"/>
        <w:ind w:firstLine="601"/>
        <w:rPr>
          <w:rFonts w:ascii="仿宋_GB2312" w:hAnsi="仿宋" w:eastAsia="仿宋_GB2312" w:cs="Arial"/>
          <w:sz w:val="30"/>
          <w:szCs w:val="30"/>
        </w:rPr>
      </w:pPr>
      <w:r>
        <w:rPr>
          <w:rFonts w:ascii="仿宋_GB2312" w:hAnsi="仿宋" w:eastAsia="仿宋_GB2312" w:cs="Arial"/>
          <w:sz w:val="30"/>
          <w:szCs w:val="30"/>
        </w:rPr>
        <w:t>通过行业需求及历年省市赛及国赛参赛选手的学习基础，开发智能家居行业人才培养方案和课程体系，开设“现代学徒制-创新创业定向班”，推动行业和教学无缝对接，帮助学生创立智能家居销售及安装工程公司，推动就业创业。</w:t>
      </w:r>
    </w:p>
    <w:p>
      <w:pPr>
        <w:spacing w:line="560" w:lineRule="atLeast"/>
        <w:ind w:firstLine="560"/>
        <w:jc w:val="center"/>
        <w:rPr>
          <w:rFonts w:ascii="仿宋_GB2312" w:hAnsi="仿宋" w:eastAsia="仿宋_GB2312" w:cs="Arial"/>
          <w:sz w:val="30"/>
          <w:szCs w:val="30"/>
        </w:rPr>
      </w:pPr>
      <w:r>
        <w:rPr>
          <w:rFonts w:ascii="仿宋_GB2312" w:hAnsi="仿宋" w:eastAsia="仿宋_GB2312" w:cs="Arial"/>
          <w:sz w:val="30"/>
          <w:szCs w:val="30"/>
        </w:rPr>
        <w:t>表1 教学资源转化时间表</w:t>
      </w:r>
    </w:p>
    <w:tbl>
      <w:tblPr>
        <w:tblStyle w:val="13"/>
        <w:tblW w:w="10065" w:type="dxa"/>
        <w:tblInd w:w="-885" w:type="dxa"/>
        <w:tblLayout w:type="fixed"/>
        <w:tblCellMar>
          <w:top w:w="0" w:type="dxa"/>
          <w:left w:w="108" w:type="dxa"/>
          <w:bottom w:w="0" w:type="dxa"/>
          <w:right w:w="108" w:type="dxa"/>
        </w:tblCellMar>
      </w:tblPr>
      <w:tblGrid>
        <w:gridCol w:w="709"/>
        <w:gridCol w:w="1896"/>
        <w:gridCol w:w="1790"/>
        <w:gridCol w:w="2694"/>
        <w:gridCol w:w="2976"/>
      </w:tblGrid>
      <w:tr>
        <w:tblPrEx>
          <w:tblLayout w:type="fixed"/>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宋体" w:hAnsi="宋体" w:cs="Arial"/>
                <w:b/>
                <w:kern w:val="1"/>
                <w:sz w:val="24"/>
                <w:szCs w:val="24"/>
              </w:rPr>
            </w:pPr>
            <w:r>
              <w:rPr>
                <w:rFonts w:ascii="宋体" w:hAnsi="宋体" w:cs="Arial"/>
                <w:b/>
                <w:kern w:val="1"/>
                <w:sz w:val="24"/>
                <w:szCs w:val="24"/>
              </w:rPr>
              <w:t>序号</w:t>
            </w:r>
          </w:p>
        </w:tc>
        <w:tc>
          <w:tcPr>
            <w:tcW w:w="1896" w:type="dxa"/>
            <w:tcBorders>
              <w:top w:val="single" w:color="000000" w:sz="4" w:space="0"/>
              <w:left w:val="single" w:color="000000" w:sz="4" w:space="0"/>
              <w:bottom w:val="single" w:color="000000" w:sz="4" w:space="0"/>
              <w:right w:val="single" w:color="000000" w:sz="4" w:space="0"/>
            </w:tcBorders>
          </w:tcPr>
          <w:p>
            <w:pPr>
              <w:jc w:val="center"/>
              <w:rPr>
                <w:rFonts w:ascii="宋体" w:hAnsi="宋体" w:cs="Arial"/>
                <w:b/>
                <w:kern w:val="1"/>
                <w:sz w:val="24"/>
                <w:szCs w:val="24"/>
              </w:rPr>
            </w:pPr>
            <w:r>
              <w:rPr>
                <w:rFonts w:ascii="宋体" w:hAnsi="宋体" w:cs="Arial"/>
                <w:b/>
                <w:kern w:val="1"/>
                <w:sz w:val="24"/>
                <w:szCs w:val="24"/>
              </w:rPr>
              <w:t>时间点</w:t>
            </w:r>
          </w:p>
        </w:tc>
        <w:tc>
          <w:tcPr>
            <w:tcW w:w="1790" w:type="dxa"/>
            <w:tcBorders>
              <w:top w:val="single" w:color="000000" w:sz="4" w:space="0"/>
              <w:left w:val="single" w:color="000000" w:sz="4" w:space="0"/>
              <w:bottom w:val="single" w:color="000000" w:sz="4" w:space="0"/>
              <w:right w:val="single" w:color="000000" w:sz="4" w:space="0"/>
            </w:tcBorders>
          </w:tcPr>
          <w:p>
            <w:pPr>
              <w:jc w:val="center"/>
              <w:rPr>
                <w:rFonts w:ascii="宋体" w:hAnsi="宋体" w:cs="Arial"/>
                <w:b/>
                <w:kern w:val="1"/>
                <w:sz w:val="24"/>
                <w:szCs w:val="24"/>
              </w:rPr>
            </w:pPr>
            <w:r>
              <w:rPr>
                <w:rFonts w:ascii="宋体" w:hAnsi="宋体" w:cs="Arial"/>
                <w:b/>
                <w:kern w:val="1"/>
                <w:sz w:val="24"/>
                <w:szCs w:val="24"/>
              </w:rPr>
              <w:t>事项</w:t>
            </w:r>
          </w:p>
        </w:tc>
        <w:tc>
          <w:tcPr>
            <w:tcW w:w="2694" w:type="dxa"/>
            <w:tcBorders>
              <w:top w:val="single" w:color="000000" w:sz="4" w:space="0"/>
              <w:left w:val="single" w:color="000000" w:sz="4" w:space="0"/>
              <w:bottom w:val="single" w:color="000000" w:sz="4" w:space="0"/>
              <w:right w:val="single" w:color="000000" w:sz="4" w:space="0"/>
            </w:tcBorders>
          </w:tcPr>
          <w:p>
            <w:pPr>
              <w:jc w:val="center"/>
              <w:rPr>
                <w:rFonts w:ascii="宋体" w:hAnsi="宋体" w:cs="Arial"/>
                <w:b/>
                <w:kern w:val="1"/>
                <w:sz w:val="24"/>
                <w:szCs w:val="24"/>
              </w:rPr>
            </w:pPr>
            <w:r>
              <w:rPr>
                <w:rFonts w:ascii="宋体" w:hAnsi="宋体" w:cs="Arial"/>
                <w:b/>
                <w:kern w:val="1"/>
                <w:sz w:val="24"/>
                <w:szCs w:val="24"/>
              </w:rPr>
              <w:t>说明</w:t>
            </w:r>
          </w:p>
        </w:tc>
        <w:tc>
          <w:tcPr>
            <w:tcW w:w="2976" w:type="dxa"/>
            <w:tcBorders>
              <w:top w:val="single" w:color="000000" w:sz="4" w:space="0"/>
              <w:left w:val="single" w:color="000000" w:sz="4" w:space="0"/>
              <w:bottom w:val="single" w:color="000000" w:sz="4" w:space="0"/>
              <w:right w:val="single" w:color="000000" w:sz="4" w:space="0"/>
            </w:tcBorders>
          </w:tcPr>
          <w:p>
            <w:pPr>
              <w:jc w:val="center"/>
              <w:rPr>
                <w:rFonts w:ascii="宋体" w:hAnsi="宋体" w:cs="Arial"/>
                <w:b/>
                <w:kern w:val="1"/>
                <w:sz w:val="24"/>
                <w:szCs w:val="24"/>
              </w:rPr>
            </w:pPr>
            <w:r>
              <w:rPr>
                <w:rFonts w:ascii="宋体" w:hAnsi="宋体" w:cs="Arial"/>
                <w:b/>
                <w:kern w:val="1"/>
                <w:sz w:val="24"/>
                <w:szCs w:val="24"/>
              </w:rPr>
              <w:t>备注</w:t>
            </w:r>
          </w:p>
        </w:tc>
      </w:tr>
      <w:tr>
        <w:tblPrEx>
          <w:tblLayout w:type="fixed"/>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1</w:t>
            </w:r>
          </w:p>
        </w:tc>
        <w:tc>
          <w:tcPr>
            <w:tcW w:w="18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2018.8—2019.5</w:t>
            </w:r>
          </w:p>
        </w:tc>
        <w:tc>
          <w:tcPr>
            <w:tcW w:w="17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师资培训</w:t>
            </w:r>
          </w:p>
        </w:tc>
        <w:tc>
          <w:tcPr>
            <w:tcW w:w="26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合作企业、院校联手实施</w:t>
            </w: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已累计开设</w:t>
            </w:r>
            <w:r>
              <w:rPr>
                <w:rFonts w:hint="eastAsia" w:ascii="宋体" w:hAnsi="宋体" w:cs="宋体"/>
                <w:sz w:val="24"/>
                <w:szCs w:val="24"/>
              </w:rPr>
              <w:t>20多场，参加培训教师200多人次；</w:t>
            </w:r>
            <w:r>
              <w:rPr>
                <w:rFonts w:ascii="宋体" w:hAnsi="宋体" w:cs="宋体"/>
                <w:sz w:val="24"/>
                <w:szCs w:val="24"/>
              </w:rPr>
              <w:t>每2周举办1次</w:t>
            </w:r>
            <w:r>
              <w:rPr>
                <w:rFonts w:hint="eastAsia" w:ascii="宋体" w:hAnsi="宋体" w:cs="宋体"/>
                <w:sz w:val="24"/>
                <w:szCs w:val="24"/>
              </w:rPr>
              <w:t>。</w:t>
            </w:r>
          </w:p>
        </w:tc>
      </w:tr>
      <w:tr>
        <w:tblPrEx>
          <w:tblLayout w:type="fixed"/>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2</w:t>
            </w:r>
          </w:p>
        </w:tc>
        <w:tc>
          <w:tcPr>
            <w:tcW w:w="18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2018.8—2019.2</w:t>
            </w:r>
          </w:p>
        </w:tc>
        <w:tc>
          <w:tcPr>
            <w:tcW w:w="17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教材开发</w:t>
            </w:r>
          </w:p>
        </w:tc>
        <w:tc>
          <w:tcPr>
            <w:tcW w:w="26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专家组牵头、联合金牌院校和企业实施</w:t>
            </w: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已</w:t>
            </w:r>
            <w:r>
              <w:rPr>
                <w:rFonts w:ascii="宋体" w:hAnsi="宋体" w:cs="宋体"/>
                <w:sz w:val="24"/>
                <w:szCs w:val="24"/>
              </w:rPr>
              <w:t>出版7本</w:t>
            </w:r>
            <w:r>
              <w:rPr>
                <w:rFonts w:hint="eastAsia" w:ascii="宋体" w:hAnsi="宋体" w:cs="宋体"/>
                <w:sz w:val="24"/>
                <w:szCs w:val="24"/>
              </w:rPr>
              <w:t>；</w:t>
            </w:r>
            <w:r>
              <w:rPr>
                <w:rFonts w:ascii="宋体" w:hAnsi="宋体" w:cs="宋体"/>
                <w:sz w:val="24"/>
                <w:szCs w:val="24"/>
              </w:rPr>
              <w:t>计划在</w:t>
            </w:r>
            <w:r>
              <w:rPr>
                <w:rFonts w:hint="eastAsia" w:ascii="宋体" w:hAnsi="宋体" w:cs="宋体"/>
                <w:sz w:val="24"/>
                <w:szCs w:val="24"/>
              </w:rPr>
              <w:t>2019年2月前继续出版3</w:t>
            </w:r>
            <w:r>
              <w:rPr>
                <w:rFonts w:ascii="宋体" w:hAnsi="宋体" w:cs="宋体"/>
                <w:sz w:val="24"/>
                <w:szCs w:val="24"/>
              </w:rPr>
              <w:t>本</w:t>
            </w:r>
            <w:r>
              <w:rPr>
                <w:rFonts w:hint="eastAsia" w:ascii="宋体" w:hAnsi="宋体" w:cs="宋体"/>
                <w:sz w:val="24"/>
                <w:szCs w:val="24"/>
              </w:rPr>
              <w:t>。</w:t>
            </w:r>
          </w:p>
        </w:tc>
      </w:tr>
      <w:tr>
        <w:tblPrEx>
          <w:tblLayout w:type="fixed"/>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3</w:t>
            </w:r>
          </w:p>
        </w:tc>
        <w:tc>
          <w:tcPr>
            <w:tcW w:w="18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2018.8—2019.3</w:t>
            </w:r>
          </w:p>
        </w:tc>
        <w:tc>
          <w:tcPr>
            <w:tcW w:w="17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教学资源包开发</w:t>
            </w:r>
          </w:p>
        </w:tc>
        <w:tc>
          <w:tcPr>
            <w:tcW w:w="26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专家组牵头、联合代表院校和企业实施</w:t>
            </w: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已完成50多个案例开发</w:t>
            </w:r>
            <w:r>
              <w:rPr>
                <w:rFonts w:hint="eastAsia" w:ascii="宋体" w:hAnsi="宋体" w:cs="宋体"/>
                <w:sz w:val="24"/>
                <w:szCs w:val="24"/>
              </w:rPr>
              <w:t>；</w:t>
            </w:r>
            <w:r>
              <w:rPr>
                <w:rFonts w:ascii="宋体" w:hAnsi="宋体" w:cs="宋体"/>
                <w:sz w:val="24"/>
                <w:szCs w:val="24"/>
              </w:rPr>
              <w:t>目前应用学校</w:t>
            </w:r>
            <w:r>
              <w:rPr>
                <w:rFonts w:hint="eastAsia" w:ascii="宋体" w:hAnsi="宋体" w:cs="宋体"/>
                <w:sz w:val="24"/>
                <w:szCs w:val="24"/>
              </w:rPr>
              <w:t>15所，2019年3月前累计达到30所。</w:t>
            </w:r>
          </w:p>
        </w:tc>
      </w:tr>
      <w:tr>
        <w:tblPrEx>
          <w:tblLayout w:type="fixed"/>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4</w:t>
            </w:r>
          </w:p>
        </w:tc>
        <w:tc>
          <w:tcPr>
            <w:tcW w:w="18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2019.1—2019.3</w:t>
            </w:r>
          </w:p>
        </w:tc>
        <w:tc>
          <w:tcPr>
            <w:tcW w:w="17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竞赛题库开发</w:t>
            </w:r>
          </w:p>
        </w:tc>
        <w:tc>
          <w:tcPr>
            <w:tcW w:w="26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专家组</w:t>
            </w: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已完成</w:t>
            </w:r>
            <w:r>
              <w:rPr>
                <w:rFonts w:hint="eastAsia" w:ascii="宋体" w:hAnsi="宋体" w:cs="宋体"/>
                <w:sz w:val="24"/>
                <w:szCs w:val="24"/>
              </w:rPr>
              <w:t>26套题目积累；今年继续完成</w:t>
            </w:r>
            <w:r>
              <w:rPr>
                <w:rFonts w:ascii="宋体" w:hAnsi="宋体" w:cs="宋体"/>
                <w:sz w:val="24"/>
                <w:szCs w:val="24"/>
              </w:rPr>
              <w:t>10套赛题</w:t>
            </w:r>
            <w:r>
              <w:rPr>
                <w:rFonts w:hint="eastAsia" w:ascii="宋体" w:hAnsi="宋体" w:cs="宋体"/>
                <w:sz w:val="24"/>
                <w:szCs w:val="24"/>
              </w:rPr>
              <w:t>。</w:t>
            </w:r>
          </w:p>
        </w:tc>
      </w:tr>
      <w:tr>
        <w:tblPrEx>
          <w:tblLayout w:type="fixed"/>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5</w:t>
            </w:r>
          </w:p>
        </w:tc>
        <w:tc>
          <w:tcPr>
            <w:tcW w:w="18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2018.9—2019.6</w:t>
            </w:r>
          </w:p>
        </w:tc>
        <w:tc>
          <w:tcPr>
            <w:tcW w:w="17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定向班推广</w:t>
            </w:r>
          </w:p>
        </w:tc>
        <w:tc>
          <w:tcPr>
            <w:tcW w:w="26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专家组与合作企业</w:t>
            </w: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ascii="宋体" w:hAnsi="宋体" w:cs="宋体"/>
                <w:sz w:val="24"/>
                <w:szCs w:val="24"/>
              </w:rPr>
              <w:t>目前已有30所学校</w:t>
            </w:r>
            <w:r>
              <w:rPr>
                <w:rFonts w:hint="eastAsia" w:ascii="宋体" w:hAnsi="宋体" w:cs="宋体"/>
                <w:sz w:val="24"/>
                <w:szCs w:val="24"/>
              </w:rPr>
              <w:t>；</w:t>
            </w:r>
            <w:r>
              <w:rPr>
                <w:rFonts w:ascii="宋体" w:hAnsi="宋体" w:cs="宋体"/>
                <w:sz w:val="24"/>
                <w:szCs w:val="24"/>
              </w:rPr>
              <w:t>计划在时间点增加</w:t>
            </w:r>
            <w:r>
              <w:rPr>
                <w:rFonts w:hint="eastAsia" w:ascii="宋体" w:hAnsi="宋体" w:cs="宋体"/>
                <w:sz w:val="24"/>
                <w:szCs w:val="24"/>
              </w:rPr>
              <w:t>10所学校。</w:t>
            </w:r>
          </w:p>
        </w:tc>
      </w:tr>
    </w:tbl>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十八、筹备工作进度时间表</w:t>
      </w:r>
    </w:p>
    <w:tbl>
      <w:tblPr>
        <w:tblStyle w:val="13"/>
        <w:tblW w:w="8640" w:type="dxa"/>
        <w:tblInd w:w="0" w:type="dxa"/>
        <w:tblLayout w:type="fixed"/>
        <w:tblCellMar>
          <w:top w:w="0" w:type="dxa"/>
          <w:left w:w="108" w:type="dxa"/>
          <w:bottom w:w="0" w:type="dxa"/>
          <w:right w:w="108" w:type="dxa"/>
        </w:tblCellMar>
      </w:tblPr>
      <w:tblGrid>
        <w:gridCol w:w="1058"/>
        <w:gridCol w:w="1417"/>
        <w:gridCol w:w="1125"/>
        <w:gridCol w:w="1800"/>
        <w:gridCol w:w="3240"/>
      </w:tblGrid>
      <w:tr>
        <w:tblPrEx>
          <w:tblLayout w:type="fixed"/>
          <w:tblCellMar>
            <w:top w:w="0" w:type="dxa"/>
            <w:left w:w="108" w:type="dxa"/>
            <w:bottom w:w="0" w:type="dxa"/>
            <w:right w:w="108" w:type="dxa"/>
          </w:tblCellMar>
        </w:tblPrEx>
        <w:trPr>
          <w:trHeight w:val="624" w:hRule="atLeast"/>
        </w:trPr>
        <w:tc>
          <w:tcPr>
            <w:tcW w:w="1058" w:type="dxa"/>
            <w:tcBorders>
              <w:top w:val="single" w:color="000000" w:sz="4" w:space="0"/>
              <w:left w:val="single" w:color="000000" w:sz="4" w:space="0"/>
              <w:bottom w:val="single" w:color="000000" w:sz="4" w:space="0"/>
              <w:right w:val="single" w:color="000000" w:sz="4" w:space="0"/>
            </w:tcBorders>
          </w:tcPr>
          <w:p>
            <w:pPr>
              <w:spacing w:line="560" w:lineRule="atLeast"/>
              <w:jc w:val="center"/>
              <w:rPr>
                <w:rFonts w:ascii="宋体" w:hAnsi="宋体" w:cs="Arial"/>
                <w:b/>
                <w:kern w:val="1"/>
                <w:sz w:val="24"/>
                <w:szCs w:val="24"/>
              </w:rPr>
            </w:pPr>
            <w:r>
              <w:rPr>
                <w:rFonts w:ascii="宋体" w:hAnsi="宋体" w:cs="Arial"/>
                <w:b/>
                <w:kern w:val="1"/>
                <w:sz w:val="24"/>
                <w:szCs w:val="24"/>
              </w:rPr>
              <w:t>序号</w:t>
            </w:r>
          </w:p>
        </w:tc>
        <w:tc>
          <w:tcPr>
            <w:tcW w:w="1417" w:type="dxa"/>
            <w:tcBorders>
              <w:top w:val="single" w:color="000000" w:sz="4" w:space="0"/>
              <w:left w:val="single" w:color="000000" w:sz="4" w:space="0"/>
              <w:bottom w:val="single" w:color="000000" w:sz="4" w:space="0"/>
              <w:right w:val="single" w:color="000000" w:sz="4" w:space="0"/>
            </w:tcBorders>
          </w:tcPr>
          <w:p>
            <w:pPr>
              <w:spacing w:line="560" w:lineRule="atLeast"/>
              <w:jc w:val="center"/>
              <w:rPr>
                <w:rFonts w:ascii="宋体" w:hAnsi="宋体" w:cs="Arial"/>
                <w:b/>
                <w:kern w:val="1"/>
                <w:sz w:val="24"/>
                <w:szCs w:val="24"/>
              </w:rPr>
            </w:pPr>
            <w:r>
              <w:rPr>
                <w:rFonts w:ascii="宋体" w:hAnsi="宋体" w:cs="Arial"/>
                <w:b/>
                <w:kern w:val="1"/>
                <w:sz w:val="24"/>
                <w:szCs w:val="24"/>
              </w:rPr>
              <w:t>项目阶段</w:t>
            </w:r>
          </w:p>
        </w:tc>
        <w:tc>
          <w:tcPr>
            <w:tcW w:w="2925" w:type="dxa"/>
            <w:gridSpan w:val="2"/>
            <w:tcBorders>
              <w:top w:val="single" w:color="000000" w:sz="4" w:space="0"/>
              <w:left w:val="single" w:color="000000" w:sz="4" w:space="0"/>
              <w:bottom w:val="single" w:color="000000" w:sz="4" w:space="0"/>
              <w:right w:val="single" w:color="000000" w:sz="4" w:space="0"/>
            </w:tcBorders>
          </w:tcPr>
          <w:p>
            <w:pPr>
              <w:spacing w:line="560" w:lineRule="atLeast"/>
              <w:jc w:val="center"/>
              <w:rPr>
                <w:rFonts w:ascii="宋体" w:hAnsi="宋体" w:cs="Arial"/>
                <w:b/>
                <w:kern w:val="1"/>
                <w:sz w:val="24"/>
                <w:szCs w:val="24"/>
              </w:rPr>
            </w:pPr>
            <w:r>
              <w:rPr>
                <w:rFonts w:ascii="宋体" w:hAnsi="宋体" w:cs="Arial"/>
                <w:b/>
                <w:kern w:val="1"/>
                <w:sz w:val="24"/>
                <w:szCs w:val="24"/>
              </w:rPr>
              <w:t>活动名称</w:t>
            </w:r>
          </w:p>
        </w:tc>
        <w:tc>
          <w:tcPr>
            <w:tcW w:w="3240" w:type="dxa"/>
            <w:tcBorders>
              <w:top w:val="single" w:color="000000" w:sz="4" w:space="0"/>
              <w:left w:val="single" w:color="000000" w:sz="4" w:space="0"/>
              <w:bottom w:val="single" w:color="000000" w:sz="4" w:space="0"/>
              <w:right w:val="single" w:color="000000" w:sz="4" w:space="0"/>
            </w:tcBorders>
          </w:tcPr>
          <w:p>
            <w:pPr>
              <w:spacing w:line="560" w:lineRule="atLeast"/>
              <w:jc w:val="center"/>
              <w:rPr>
                <w:rFonts w:ascii="宋体" w:hAnsi="宋体" w:cs="Arial"/>
                <w:b/>
                <w:kern w:val="1"/>
                <w:sz w:val="24"/>
                <w:szCs w:val="24"/>
              </w:rPr>
            </w:pPr>
            <w:r>
              <w:rPr>
                <w:rFonts w:ascii="宋体" w:hAnsi="宋体" w:cs="Arial"/>
                <w:b/>
                <w:kern w:val="1"/>
                <w:sz w:val="24"/>
                <w:szCs w:val="24"/>
              </w:rPr>
              <w:t>时间</w:t>
            </w:r>
          </w:p>
        </w:tc>
      </w:tr>
      <w:tr>
        <w:tblPrEx>
          <w:tblLayout w:type="fixed"/>
          <w:tblCellMar>
            <w:top w:w="0" w:type="dxa"/>
            <w:left w:w="108" w:type="dxa"/>
            <w:bottom w:w="0" w:type="dxa"/>
            <w:right w:w="108" w:type="dxa"/>
          </w:tblCellMar>
        </w:tblPrEx>
        <w:tc>
          <w:tcPr>
            <w:tcW w:w="1058"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1</w:t>
            </w:r>
          </w:p>
        </w:tc>
        <w:tc>
          <w:tcPr>
            <w:tcW w:w="1417"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方案论证</w:t>
            </w:r>
          </w:p>
        </w:tc>
        <w:tc>
          <w:tcPr>
            <w:tcW w:w="2925" w:type="dxa"/>
            <w:gridSpan w:val="2"/>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专家研讨会议</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2018年12月到2019年2月（每月组织一次，包括见面会议或者网络会议）</w:t>
            </w:r>
          </w:p>
        </w:tc>
      </w:tr>
      <w:tr>
        <w:tblPrEx>
          <w:tblLayout w:type="fixed"/>
          <w:tblCellMar>
            <w:top w:w="0" w:type="dxa"/>
            <w:left w:w="108" w:type="dxa"/>
            <w:bottom w:w="0" w:type="dxa"/>
            <w:right w:w="108" w:type="dxa"/>
          </w:tblCellMar>
        </w:tblPrEx>
        <w:trPr>
          <w:trHeight w:val="341" w:hRule="atLeast"/>
        </w:trPr>
        <w:tc>
          <w:tcPr>
            <w:tcW w:w="1058" w:type="dxa"/>
            <w:vMerge w:val="restart"/>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hint="eastAsia" w:ascii="宋体" w:hAnsi="宋体" w:cs="宋体"/>
                <w:sz w:val="24"/>
                <w:szCs w:val="24"/>
              </w:rPr>
              <w:t>2</w:t>
            </w:r>
          </w:p>
          <w:p>
            <w:pPr>
              <w:widowControl/>
              <w:jc w:val="center"/>
              <w:rPr>
                <w:rFonts w:ascii="宋体" w:hAnsi="宋体" w:cs="宋体"/>
                <w:sz w:val="24"/>
                <w:szCs w:val="24"/>
              </w:rPr>
            </w:pPr>
          </w:p>
        </w:tc>
        <w:tc>
          <w:tcPr>
            <w:tcW w:w="1417" w:type="dxa"/>
            <w:vMerge w:val="restart"/>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赛前准备</w:t>
            </w:r>
          </w:p>
        </w:tc>
        <w:tc>
          <w:tcPr>
            <w:tcW w:w="2925" w:type="dxa"/>
            <w:gridSpan w:val="2"/>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模拟题开发</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2019年3月初完成</w:t>
            </w:r>
          </w:p>
        </w:tc>
      </w:tr>
      <w:tr>
        <w:tblPrEx>
          <w:tblLayout w:type="fixed"/>
          <w:tblCellMar>
            <w:top w:w="0" w:type="dxa"/>
            <w:left w:w="108" w:type="dxa"/>
            <w:bottom w:w="0" w:type="dxa"/>
            <w:right w:w="108" w:type="dxa"/>
          </w:tblCellMar>
        </w:tblPrEx>
        <w:trPr>
          <w:trHeight w:val="665" w:hRule="atLeast"/>
        </w:trPr>
        <w:tc>
          <w:tcPr>
            <w:tcW w:w="1058"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417"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2925" w:type="dxa"/>
            <w:gridSpan w:val="2"/>
            <w:vMerge w:val="restart"/>
            <w:tcBorders>
              <w:top w:val="single" w:color="000000" w:sz="4" w:space="0"/>
              <w:left w:val="single" w:color="000000" w:sz="4" w:space="0"/>
              <w:right w:val="single" w:color="000000" w:sz="4" w:space="0"/>
            </w:tcBorders>
          </w:tcPr>
          <w:p>
            <w:pPr>
              <w:jc w:val="center"/>
              <w:rPr>
                <w:rFonts w:ascii="宋体" w:hAnsi="宋体" w:cs="宋体"/>
                <w:sz w:val="24"/>
                <w:szCs w:val="24"/>
              </w:rPr>
            </w:pPr>
            <w:r>
              <w:rPr>
                <w:rFonts w:ascii="宋体" w:hAnsi="宋体" w:cs="宋体"/>
                <w:sz w:val="24"/>
                <w:szCs w:val="24"/>
              </w:rPr>
              <w:t>全国说明会</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2019年3月到5月中旬（平均每个星期一场）</w:t>
            </w:r>
          </w:p>
        </w:tc>
      </w:tr>
      <w:tr>
        <w:tblPrEx>
          <w:tblLayout w:type="fixed"/>
          <w:tblCellMar>
            <w:top w:w="0" w:type="dxa"/>
            <w:left w:w="108" w:type="dxa"/>
            <w:bottom w:w="0" w:type="dxa"/>
            <w:right w:w="108" w:type="dxa"/>
          </w:tblCellMar>
        </w:tblPrEx>
        <w:trPr>
          <w:trHeight w:val="728" w:hRule="atLeast"/>
        </w:trPr>
        <w:tc>
          <w:tcPr>
            <w:tcW w:w="1058"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417"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2925" w:type="dxa"/>
            <w:gridSpan w:val="2"/>
            <w:vMerge w:val="continue"/>
            <w:tcBorders>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2019年3月到5月间（根据需要进行安排）</w:t>
            </w:r>
          </w:p>
        </w:tc>
      </w:tr>
      <w:tr>
        <w:tblPrEx>
          <w:tblLayout w:type="fixed"/>
          <w:tblCellMar>
            <w:top w:w="0" w:type="dxa"/>
            <w:left w:w="108" w:type="dxa"/>
            <w:bottom w:w="0" w:type="dxa"/>
            <w:right w:w="108" w:type="dxa"/>
          </w:tblCellMar>
        </w:tblPrEx>
        <w:trPr>
          <w:trHeight w:val="301" w:hRule="atLeast"/>
        </w:trPr>
        <w:tc>
          <w:tcPr>
            <w:tcW w:w="1058" w:type="dxa"/>
            <w:vMerge w:val="restart"/>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hint="eastAsia" w:ascii="宋体" w:hAnsi="宋体" w:cs="宋体"/>
                <w:sz w:val="24"/>
                <w:szCs w:val="24"/>
              </w:rPr>
              <w:t>3</w:t>
            </w:r>
          </w:p>
          <w:p>
            <w:pPr>
              <w:widowControl/>
              <w:jc w:val="center"/>
              <w:rPr>
                <w:rFonts w:ascii="宋体" w:hAnsi="宋体" w:cs="宋体"/>
                <w:sz w:val="24"/>
                <w:szCs w:val="24"/>
              </w:rPr>
            </w:pPr>
          </w:p>
        </w:tc>
        <w:tc>
          <w:tcPr>
            <w:tcW w:w="1417" w:type="dxa"/>
            <w:vMerge w:val="restart"/>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比赛现场</w:t>
            </w:r>
          </w:p>
        </w:tc>
        <w:tc>
          <w:tcPr>
            <w:tcW w:w="1125" w:type="dxa"/>
            <w:vMerge w:val="restart"/>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场内活动</w:t>
            </w:r>
          </w:p>
        </w:tc>
        <w:tc>
          <w:tcPr>
            <w:tcW w:w="180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比赛用设备</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2019年4月底所有设备准备完毕。5月下旬，比赛前5天安装就位。</w:t>
            </w:r>
          </w:p>
        </w:tc>
      </w:tr>
      <w:tr>
        <w:tblPrEx>
          <w:tblLayout w:type="fixed"/>
          <w:tblCellMar>
            <w:top w:w="0" w:type="dxa"/>
            <w:left w:w="108" w:type="dxa"/>
            <w:bottom w:w="0" w:type="dxa"/>
            <w:right w:w="108" w:type="dxa"/>
          </w:tblCellMar>
        </w:tblPrEx>
        <w:trPr>
          <w:trHeight w:val="2223" w:hRule="atLeast"/>
        </w:trPr>
        <w:tc>
          <w:tcPr>
            <w:tcW w:w="1058"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417"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125"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80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设备安装调测</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2019年5月初所有设备第一次调测完毕。5月中，第二次调测完毕。5月底，安装到现场后第三次调测完毕。</w:t>
            </w:r>
          </w:p>
        </w:tc>
      </w:tr>
      <w:tr>
        <w:tblPrEx>
          <w:tblLayout w:type="fixed"/>
          <w:tblCellMar>
            <w:top w:w="0" w:type="dxa"/>
            <w:left w:w="108" w:type="dxa"/>
            <w:bottom w:w="0" w:type="dxa"/>
            <w:right w:w="108" w:type="dxa"/>
          </w:tblCellMar>
        </w:tblPrEx>
        <w:trPr>
          <w:trHeight w:val="1940" w:hRule="atLeast"/>
        </w:trPr>
        <w:tc>
          <w:tcPr>
            <w:tcW w:w="1058"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417"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125"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80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出题，监考，裁判</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2019年4月底专家、监考、出题人员就位，并培训完毕。封闭出题形成题库。大赛期间监考和判题。</w:t>
            </w:r>
          </w:p>
        </w:tc>
      </w:tr>
      <w:tr>
        <w:tblPrEx>
          <w:tblLayout w:type="fixed"/>
          <w:tblCellMar>
            <w:top w:w="0" w:type="dxa"/>
            <w:left w:w="108" w:type="dxa"/>
            <w:bottom w:w="0" w:type="dxa"/>
            <w:right w:w="108" w:type="dxa"/>
          </w:tblCellMar>
        </w:tblPrEx>
        <w:trPr>
          <w:trHeight w:val="704" w:hRule="atLeast"/>
        </w:trPr>
        <w:tc>
          <w:tcPr>
            <w:tcW w:w="1058"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417"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125"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80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教师和学生活动</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2019年5月初方案出台。</w:t>
            </w:r>
          </w:p>
        </w:tc>
      </w:tr>
      <w:tr>
        <w:tblPrEx>
          <w:tblLayout w:type="fixed"/>
          <w:tblCellMar>
            <w:top w:w="0" w:type="dxa"/>
            <w:left w:w="108" w:type="dxa"/>
            <w:bottom w:w="0" w:type="dxa"/>
            <w:right w:w="108" w:type="dxa"/>
          </w:tblCellMar>
        </w:tblPrEx>
        <w:trPr>
          <w:trHeight w:val="476" w:hRule="atLeast"/>
        </w:trPr>
        <w:tc>
          <w:tcPr>
            <w:tcW w:w="1058"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417"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125" w:type="dxa"/>
            <w:vMerge w:val="continue"/>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p>
        </w:tc>
        <w:tc>
          <w:tcPr>
            <w:tcW w:w="180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媒体宣传报道</w:t>
            </w:r>
          </w:p>
        </w:tc>
        <w:tc>
          <w:tcPr>
            <w:tcW w:w="324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ascii="宋体" w:hAnsi="宋体" w:cs="宋体"/>
                <w:sz w:val="24"/>
                <w:szCs w:val="24"/>
              </w:rPr>
              <w:t>2019年5月中，媒体宣传策划方案准备完毕。</w:t>
            </w:r>
          </w:p>
        </w:tc>
      </w:tr>
    </w:tbl>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十九、裁判人员建议</w:t>
      </w:r>
    </w:p>
    <w:p/>
    <w:tbl>
      <w:tblPr>
        <w:tblStyle w:val="13"/>
        <w:tblW w:w="8522" w:type="dxa"/>
        <w:tblInd w:w="0" w:type="dxa"/>
        <w:tblLayout w:type="fixed"/>
        <w:tblCellMar>
          <w:top w:w="0" w:type="dxa"/>
          <w:left w:w="108" w:type="dxa"/>
          <w:bottom w:w="0" w:type="dxa"/>
          <w:right w:w="108" w:type="dxa"/>
        </w:tblCellMar>
      </w:tblPr>
      <w:tblGrid>
        <w:gridCol w:w="831"/>
        <w:gridCol w:w="1524"/>
        <w:gridCol w:w="1439"/>
        <w:gridCol w:w="1559"/>
        <w:gridCol w:w="2437"/>
        <w:gridCol w:w="732"/>
      </w:tblGrid>
      <w:tr>
        <w:tblPrEx>
          <w:tblLayout w:type="fixed"/>
          <w:tblCellMar>
            <w:top w:w="0" w:type="dxa"/>
            <w:left w:w="108" w:type="dxa"/>
            <w:bottom w:w="0" w:type="dxa"/>
            <w:right w:w="108" w:type="dxa"/>
          </w:tblCellMar>
        </w:tblPrEx>
        <w:trPr>
          <w:trHeight w:val="454" w:hRule="atLeast"/>
        </w:trPr>
        <w:tc>
          <w:tcPr>
            <w:tcW w:w="831"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b/>
                <w:sz w:val="24"/>
                <w:szCs w:val="24"/>
              </w:rPr>
            </w:pPr>
            <w:r>
              <w:rPr>
                <w:rFonts w:ascii="宋体" w:hAnsi="宋体" w:cs="宋体"/>
                <w:b/>
                <w:sz w:val="24"/>
                <w:szCs w:val="24"/>
              </w:rPr>
              <w:t>序号</w:t>
            </w:r>
          </w:p>
        </w:tc>
        <w:tc>
          <w:tcPr>
            <w:tcW w:w="1524" w:type="dxa"/>
            <w:tcBorders>
              <w:top w:val="single" w:color="000000" w:sz="8" w:space="0"/>
              <w:left w:val="single" w:color="000000" w:sz="4" w:space="0"/>
              <w:bottom w:val="single" w:color="000000" w:sz="4" w:space="0"/>
              <w:right w:val="single" w:color="000000" w:sz="4" w:space="0"/>
            </w:tcBorders>
            <w:vAlign w:val="center"/>
          </w:tcPr>
          <w:p>
            <w:pPr>
              <w:widowControl/>
              <w:jc w:val="center"/>
              <w:rPr>
                <w:rFonts w:ascii="宋体" w:hAnsi="宋体" w:cs="宋体"/>
                <w:b/>
                <w:sz w:val="24"/>
                <w:szCs w:val="24"/>
              </w:rPr>
            </w:pPr>
            <w:r>
              <w:rPr>
                <w:rFonts w:ascii="宋体" w:hAnsi="宋体" w:cs="宋体"/>
                <w:b/>
                <w:sz w:val="24"/>
                <w:szCs w:val="24"/>
              </w:rPr>
              <w:t>专业技术方向</w:t>
            </w:r>
          </w:p>
        </w:tc>
        <w:tc>
          <w:tcPr>
            <w:tcW w:w="1439" w:type="dxa"/>
            <w:tcBorders>
              <w:top w:val="single" w:color="000000" w:sz="8" w:space="0"/>
              <w:left w:val="single" w:color="000000" w:sz="4" w:space="0"/>
              <w:bottom w:val="single" w:color="000000" w:sz="4" w:space="0"/>
              <w:right w:val="single" w:color="000000" w:sz="4" w:space="0"/>
            </w:tcBorders>
            <w:vAlign w:val="center"/>
          </w:tcPr>
          <w:p>
            <w:pPr>
              <w:widowControl/>
              <w:jc w:val="center"/>
              <w:rPr>
                <w:rFonts w:ascii="宋体" w:hAnsi="宋体" w:cs="宋体"/>
                <w:b/>
                <w:sz w:val="24"/>
                <w:szCs w:val="24"/>
              </w:rPr>
            </w:pPr>
            <w:r>
              <w:rPr>
                <w:rFonts w:ascii="宋体" w:hAnsi="宋体" w:cs="宋体"/>
                <w:b/>
                <w:sz w:val="24"/>
                <w:szCs w:val="24"/>
              </w:rPr>
              <w:t>知识能力要求</w:t>
            </w:r>
          </w:p>
        </w:tc>
        <w:tc>
          <w:tcPr>
            <w:tcW w:w="1559" w:type="dxa"/>
            <w:tcBorders>
              <w:top w:val="single" w:color="000000" w:sz="8" w:space="0"/>
              <w:left w:val="single" w:color="000000" w:sz="4" w:space="0"/>
              <w:bottom w:val="single" w:color="000000" w:sz="4" w:space="0"/>
              <w:right w:val="single" w:color="000000" w:sz="4" w:space="0"/>
            </w:tcBorders>
          </w:tcPr>
          <w:p>
            <w:pPr>
              <w:widowControl/>
              <w:jc w:val="center"/>
              <w:rPr>
                <w:rFonts w:ascii="宋体" w:hAnsi="宋体" w:cs="宋体"/>
                <w:b/>
                <w:sz w:val="24"/>
                <w:szCs w:val="24"/>
              </w:rPr>
            </w:pPr>
            <w:r>
              <w:rPr>
                <w:rFonts w:hint="eastAsia" w:ascii="仿宋_GB2312" w:hAnsi="仿宋" w:eastAsia="仿宋_GB2312" w:cs="Arial"/>
                <w:b/>
                <w:color w:val="000000"/>
                <w:sz w:val="24"/>
                <w:szCs w:val="24"/>
              </w:rPr>
              <w:t>执裁、教学、工作经历</w:t>
            </w:r>
          </w:p>
        </w:tc>
        <w:tc>
          <w:tcPr>
            <w:tcW w:w="2437" w:type="dxa"/>
            <w:tcBorders>
              <w:top w:val="single" w:color="000000" w:sz="8" w:space="0"/>
              <w:left w:val="single" w:color="000000" w:sz="4" w:space="0"/>
              <w:bottom w:val="single" w:color="000000" w:sz="4" w:space="0"/>
              <w:right w:val="single" w:color="000000" w:sz="4" w:space="0"/>
            </w:tcBorders>
            <w:vAlign w:val="center"/>
          </w:tcPr>
          <w:p>
            <w:pPr>
              <w:widowControl/>
              <w:jc w:val="center"/>
              <w:rPr>
                <w:rFonts w:ascii="宋体" w:hAnsi="宋体" w:cs="宋体"/>
                <w:b/>
                <w:sz w:val="24"/>
                <w:szCs w:val="24"/>
              </w:rPr>
            </w:pPr>
            <w:r>
              <w:rPr>
                <w:rFonts w:ascii="宋体" w:hAnsi="宋体" w:cs="宋体"/>
                <w:b/>
                <w:sz w:val="24"/>
                <w:szCs w:val="24"/>
              </w:rPr>
              <w:t>专业技术职称</w:t>
            </w:r>
          </w:p>
          <w:p>
            <w:pPr>
              <w:widowControl/>
              <w:jc w:val="center"/>
              <w:rPr>
                <w:rFonts w:ascii="宋体" w:hAnsi="宋体" w:cs="宋体"/>
                <w:b/>
                <w:sz w:val="24"/>
                <w:szCs w:val="24"/>
              </w:rPr>
            </w:pPr>
            <w:r>
              <w:rPr>
                <w:rFonts w:ascii="宋体" w:hAnsi="宋体" w:cs="宋体"/>
                <w:b/>
                <w:sz w:val="24"/>
                <w:szCs w:val="24"/>
              </w:rPr>
              <w:t>（职业资格等级）</w:t>
            </w:r>
          </w:p>
        </w:tc>
        <w:tc>
          <w:tcPr>
            <w:tcW w:w="732" w:type="dxa"/>
            <w:tcBorders>
              <w:top w:val="single" w:color="000000" w:sz="8" w:space="0"/>
              <w:left w:val="single" w:color="000000" w:sz="4" w:space="0"/>
              <w:bottom w:val="single" w:color="000000" w:sz="4" w:space="0"/>
              <w:right w:val="single" w:color="000000" w:sz="8" w:space="0"/>
            </w:tcBorders>
          </w:tcPr>
          <w:p>
            <w:pPr>
              <w:widowControl/>
              <w:jc w:val="center"/>
              <w:rPr>
                <w:rFonts w:ascii="宋体" w:hAnsi="宋体" w:cs="宋体"/>
                <w:b/>
                <w:sz w:val="24"/>
                <w:szCs w:val="24"/>
              </w:rPr>
            </w:pPr>
            <w:r>
              <w:rPr>
                <w:rFonts w:ascii="宋体" w:hAnsi="宋体" w:cs="宋体"/>
                <w:b/>
                <w:sz w:val="24"/>
                <w:szCs w:val="24"/>
              </w:rPr>
              <w:t>人数</w:t>
            </w:r>
          </w:p>
        </w:tc>
      </w:tr>
      <w:tr>
        <w:tblPrEx>
          <w:tblLayout w:type="fixed"/>
          <w:tblCellMar>
            <w:top w:w="0" w:type="dxa"/>
            <w:left w:w="108" w:type="dxa"/>
            <w:bottom w:w="0" w:type="dxa"/>
            <w:right w:w="108" w:type="dxa"/>
          </w:tblCellMar>
        </w:tblPrEx>
        <w:trPr>
          <w:trHeight w:val="454" w:hRule="atLeast"/>
        </w:trPr>
        <w:tc>
          <w:tcPr>
            <w:tcW w:w="831"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1</w:t>
            </w:r>
          </w:p>
        </w:tc>
        <w:tc>
          <w:tcPr>
            <w:tcW w:w="15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计算机技术</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熟悉JAVA开发</w:t>
            </w:r>
          </w:p>
        </w:tc>
        <w:tc>
          <w:tcPr>
            <w:tcW w:w="1559"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hint="eastAsia" w:ascii="宋体" w:hAnsi="宋体" w:cs="宋体"/>
                <w:sz w:val="24"/>
                <w:szCs w:val="24"/>
              </w:rPr>
              <w:t>有过省赛及以上执裁经历，专业技术证书高级或中级职称以上</w:t>
            </w:r>
          </w:p>
        </w:tc>
        <w:tc>
          <w:tcPr>
            <w:tcW w:w="243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中级（高级工证书）</w:t>
            </w:r>
          </w:p>
        </w:tc>
        <w:tc>
          <w:tcPr>
            <w:tcW w:w="732" w:type="dxa"/>
            <w:tcBorders>
              <w:top w:val="single" w:color="000000" w:sz="4" w:space="0"/>
              <w:left w:val="single" w:color="000000" w:sz="4" w:space="0"/>
              <w:bottom w:val="single" w:color="000000" w:sz="4" w:space="0"/>
              <w:right w:val="single" w:color="000000" w:sz="8" w:space="0"/>
            </w:tcBorders>
            <w:vAlign w:val="center"/>
          </w:tcPr>
          <w:p>
            <w:pPr>
              <w:widowControl/>
              <w:jc w:val="center"/>
              <w:rPr>
                <w:rFonts w:ascii="宋体" w:hAnsi="宋体" w:cs="宋体"/>
                <w:sz w:val="24"/>
                <w:szCs w:val="24"/>
              </w:rPr>
            </w:pPr>
            <w:r>
              <w:rPr>
                <w:rFonts w:hint="eastAsia" w:ascii="宋体" w:hAnsi="宋体" w:cs="宋体"/>
                <w:sz w:val="24"/>
                <w:szCs w:val="24"/>
              </w:rPr>
              <w:t>6</w:t>
            </w:r>
          </w:p>
        </w:tc>
      </w:tr>
      <w:tr>
        <w:tblPrEx>
          <w:tblLayout w:type="fixed"/>
          <w:tblCellMar>
            <w:top w:w="0" w:type="dxa"/>
            <w:left w:w="108" w:type="dxa"/>
            <w:bottom w:w="0" w:type="dxa"/>
            <w:right w:w="108" w:type="dxa"/>
          </w:tblCellMar>
        </w:tblPrEx>
        <w:trPr>
          <w:trHeight w:val="454" w:hRule="atLeast"/>
        </w:trPr>
        <w:tc>
          <w:tcPr>
            <w:tcW w:w="831"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2</w:t>
            </w:r>
          </w:p>
        </w:tc>
        <w:tc>
          <w:tcPr>
            <w:tcW w:w="15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网络/物联网</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熟悉传感网技术</w:t>
            </w:r>
          </w:p>
        </w:tc>
        <w:tc>
          <w:tcPr>
            <w:tcW w:w="1559"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hint="eastAsia" w:ascii="宋体" w:hAnsi="宋体" w:cs="宋体"/>
                <w:sz w:val="24"/>
                <w:szCs w:val="24"/>
              </w:rPr>
              <w:t>有过省赛及以上执裁经历，专业技术证书高级或中级职称以上</w:t>
            </w:r>
          </w:p>
        </w:tc>
        <w:tc>
          <w:tcPr>
            <w:tcW w:w="243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中级（高级工证书）</w:t>
            </w:r>
          </w:p>
        </w:tc>
        <w:tc>
          <w:tcPr>
            <w:tcW w:w="732" w:type="dxa"/>
            <w:tcBorders>
              <w:top w:val="single" w:color="000000" w:sz="4" w:space="0"/>
              <w:left w:val="single" w:color="000000" w:sz="4" w:space="0"/>
              <w:bottom w:val="single" w:color="000000" w:sz="4" w:space="0"/>
              <w:right w:val="single" w:color="000000" w:sz="8" w:space="0"/>
            </w:tcBorders>
            <w:vAlign w:val="center"/>
          </w:tcPr>
          <w:p>
            <w:pPr>
              <w:widowControl/>
              <w:jc w:val="center"/>
              <w:rPr>
                <w:rFonts w:ascii="宋体" w:hAnsi="宋体" w:cs="宋体"/>
                <w:sz w:val="24"/>
                <w:szCs w:val="24"/>
              </w:rPr>
            </w:pPr>
            <w:r>
              <w:rPr>
                <w:rFonts w:hint="eastAsia" w:ascii="宋体" w:hAnsi="宋体" w:cs="宋体"/>
                <w:sz w:val="24"/>
                <w:szCs w:val="24"/>
              </w:rPr>
              <w:t>6</w:t>
            </w:r>
          </w:p>
        </w:tc>
      </w:tr>
      <w:tr>
        <w:tblPrEx>
          <w:tblLayout w:type="fixed"/>
          <w:tblCellMar>
            <w:top w:w="0" w:type="dxa"/>
            <w:left w:w="108" w:type="dxa"/>
            <w:bottom w:w="0" w:type="dxa"/>
            <w:right w:w="108" w:type="dxa"/>
          </w:tblCellMar>
        </w:tblPrEx>
        <w:trPr>
          <w:trHeight w:val="454" w:hRule="atLeast"/>
        </w:trPr>
        <w:tc>
          <w:tcPr>
            <w:tcW w:w="831"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3</w:t>
            </w:r>
          </w:p>
        </w:tc>
        <w:tc>
          <w:tcPr>
            <w:tcW w:w="15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通信与信息系统</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熟悉网络通信技术</w:t>
            </w:r>
          </w:p>
        </w:tc>
        <w:tc>
          <w:tcPr>
            <w:tcW w:w="1559"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szCs w:val="24"/>
              </w:rPr>
            </w:pPr>
            <w:r>
              <w:rPr>
                <w:rFonts w:hint="eastAsia" w:ascii="宋体" w:hAnsi="宋体" w:cs="宋体"/>
                <w:sz w:val="24"/>
                <w:szCs w:val="24"/>
              </w:rPr>
              <w:t>有过省赛及以上执裁经历，专业技术证书高级或中级职称以上</w:t>
            </w:r>
          </w:p>
        </w:tc>
        <w:tc>
          <w:tcPr>
            <w:tcW w:w="243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szCs w:val="24"/>
              </w:rPr>
            </w:pPr>
            <w:r>
              <w:rPr>
                <w:rFonts w:hint="eastAsia" w:ascii="宋体" w:hAnsi="宋体" w:cs="宋体"/>
                <w:sz w:val="24"/>
                <w:szCs w:val="24"/>
              </w:rPr>
              <w:t>中级（高级工证书）</w:t>
            </w:r>
          </w:p>
        </w:tc>
        <w:tc>
          <w:tcPr>
            <w:tcW w:w="732" w:type="dxa"/>
            <w:tcBorders>
              <w:top w:val="single" w:color="000000" w:sz="4" w:space="0"/>
              <w:left w:val="single" w:color="000000" w:sz="4" w:space="0"/>
              <w:bottom w:val="single" w:color="000000" w:sz="4" w:space="0"/>
              <w:right w:val="single" w:color="000000" w:sz="8" w:space="0"/>
            </w:tcBorders>
            <w:vAlign w:val="center"/>
          </w:tcPr>
          <w:p>
            <w:pPr>
              <w:widowControl/>
              <w:jc w:val="center"/>
              <w:rPr>
                <w:rFonts w:ascii="宋体" w:hAnsi="宋体" w:cs="宋体"/>
                <w:sz w:val="24"/>
                <w:szCs w:val="24"/>
              </w:rPr>
            </w:pPr>
            <w:r>
              <w:rPr>
                <w:rFonts w:hint="eastAsia" w:ascii="宋体" w:hAnsi="宋体" w:cs="宋体"/>
                <w:sz w:val="24"/>
                <w:szCs w:val="24"/>
              </w:rPr>
              <w:t>6</w:t>
            </w:r>
          </w:p>
        </w:tc>
      </w:tr>
      <w:tr>
        <w:tblPrEx>
          <w:tblLayout w:type="fixed"/>
          <w:tblCellMar>
            <w:top w:w="0" w:type="dxa"/>
            <w:left w:w="108" w:type="dxa"/>
            <w:bottom w:w="0" w:type="dxa"/>
            <w:right w:w="108" w:type="dxa"/>
          </w:tblCellMar>
        </w:tblPrEx>
        <w:trPr>
          <w:trHeight w:val="454" w:hRule="atLeast"/>
        </w:trPr>
        <w:tc>
          <w:tcPr>
            <w:tcW w:w="831" w:type="dxa"/>
            <w:tcBorders>
              <w:top w:val="single" w:color="000000" w:sz="4" w:space="0"/>
              <w:left w:val="single" w:color="000000" w:sz="8" w:space="0"/>
              <w:bottom w:val="single" w:color="000000" w:sz="8" w:space="0"/>
              <w:right w:val="single" w:color="000000" w:sz="4" w:space="0"/>
            </w:tcBorders>
            <w:vAlign w:val="center"/>
          </w:tcPr>
          <w:p>
            <w:pPr>
              <w:widowControl/>
              <w:jc w:val="center"/>
              <w:rPr>
                <w:rFonts w:ascii="宋体" w:hAnsi="宋体" w:cs="宋体"/>
                <w:b/>
                <w:sz w:val="24"/>
                <w:szCs w:val="24"/>
              </w:rPr>
            </w:pPr>
            <w:r>
              <w:rPr>
                <w:rFonts w:ascii="宋体" w:hAnsi="宋体" w:cs="宋体"/>
                <w:b/>
                <w:sz w:val="24"/>
                <w:szCs w:val="24"/>
              </w:rPr>
              <w:t>裁判总人数</w:t>
            </w:r>
          </w:p>
        </w:tc>
        <w:tc>
          <w:tcPr>
            <w:tcW w:w="7691" w:type="dxa"/>
            <w:gridSpan w:val="5"/>
            <w:tcBorders>
              <w:top w:val="single" w:color="000000" w:sz="4" w:space="0"/>
              <w:left w:val="single" w:color="000000" w:sz="4" w:space="0"/>
              <w:bottom w:val="single" w:color="000000" w:sz="8" w:space="0"/>
              <w:right w:val="single" w:color="000000" w:sz="8" w:space="0"/>
            </w:tcBorders>
          </w:tcPr>
          <w:p>
            <w:pPr>
              <w:widowControl/>
              <w:jc w:val="center"/>
              <w:rPr>
                <w:rFonts w:ascii="宋体" w:hAnsi="宋体" w:cs="宋体"/>
                <w:sz w:val="24"/>
                <w:szCs w:val="24"/>
              </w:rPr>
            </w:pPr>
          </w:p>
          <w:p>
            <w:pPr>
              <w:widowControl/>
              <w:jc w:val="center"/>
              <w:rPr>
                <w:rFonts w:ascii="宋体" w:hAnsi="宋体" w:cs="宋体"/>
                <w:sz w:val="24"/>
                <w:szCs w:val="24"/>
              </w:rPr>
            </w:pPr>
            <w:r>
              <w:rPr>
                <w:rFonts w:hint="eastAsia" w:ascii="宋体" w:hAnsi="宋体" w:cs="宋体"/>
                <w:sz w:val="24"/>
                <w:szCs w:val="24"/>
              </w:rPr>
              <w:t>18</w:t>
            </w:r>
          </w:p>
        </w:tc>
      </w:tr>
    </w:tbl>
    <w:p/>
    <w:p>
      <w:pPr>
        <w:snapToGrid w:val="0"/>
        <w:spacing w:line="560" w:lineRule="exact"/>
        <w:ind w:firstLine="600" w:firstLineChars="200"/>
        <w:rPr>
          <w:rFonts w:ascii="Arial Narrow" w:hAnsi="Arial Narrow" w:eastAsia="仿宋_GB2312" w:cs="Arial"/>
          <w:b/>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承诺保证于开赛1个月前在大赛网络信息发布平台上（www.chinaskills-jsw.org)公开全部赛题。</w:t>
      </w:r>
    </w:p>
    <w:p>
      <w:pPr>
        <w:snapToGrid w:val="0"/>
        <w:spacing w:line="560" w:lineRule="exact"/>
        <w:ind w:firstLine="600" w:firstLineChars="200"/>
        <w:rPr>
          <w:rFonts w:ascii="黑体" w:hAnsi="黑体" w:eastAsia="黑体" w:cs="黑体"/>
          <w:bCs/>
          <w:sz w:val="30"/>
          <w:szCs w:val="30"/>
        </w:rPr>
      </w:pPr>
    </w:p>
    <w:p>
      <w:pPr>
        <w:spacing w:line="560" w:lineRule="exact"/>
        <w:ind w:firstLine="601"/>
        <w:jc w:val="left"/>
        <w:outlineLvl w:val="0"/>
        <w:rPr>
          <w:rFonts w:ascii="黑体" w:hAnsi="黑体" w:eastAsia="黑体" w:cs="Arial"/>
          <w:b/>
          <w:sz w:val="30"/>
          <w:szCs w:val="30"/>
        </w:rPr>
      </w:pPr>
      <w:r>
        <w:rPr>
          <w:rFonts w:hint="eastAsia" w:ascii="黑体" w:hAnsi="黑体" w:eastAsia="黑体" w:cs="黑体"/>
          <w:bCs/>
          <w:sz w:val="30"/>
          <w:szCs w:val="30"/>
        </w:rPr>
        <w:t>二十一、其他</w:t>
      </w:r>
      <w:bookmarkStart w:id="1" w:name="_GoBack"/>
      <w:bookmarkEnd w:id="1"/>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t>26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EE1CE"/>
    <w:multiLevelType w:val="multilevel"/>
    <w:tmpl w:val="597EE1CE"/>
    <w:lvl w:ilvl="0" w:tentative="0">
      <w:start w:val="1"/>
      <w:numFmt w:val="chineseCountingThousand"/>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lvl w:ilvl="4" w:tentative="0">
      <w:start w:val="1"/>
      <w:numFmt w:val="lowerLetter"/>
      <w:lvlText w:val="%5)"/>
      <w:lvlJc w:val="left"/>
    </w:lvl>
    <w:lvl w:ilvl="5" w:tentative="0">
      <w:start w:val="1"/>
      <w:numFmt w:val="lowerRoman"/>
      <w:lvlText w:val="%6."/>
      <w:lvlJc w:val="left"/>
    </w:lvl>
    <w:lvl w:ilvl="6" w:tentative="0">
      <w:start w:val="1"/>
      <w:numFmt w:val="decimal"/>
      <w:lvlText w:val="%7."/>
      <w:lvlJc w:val="left"/>
    </w:lvl>
    <w:lvl w:ilvl="7" w:tentative="0">
      <w:start w:val="1"/>
      <w:numFmt w:val="lowerLetter"/>
      <w:lvlText w:val="%8)"/>
      <w:lvlJc w:val="left"/>
    </w:lvl>
    <w:lvl w:ilvl="8" w:tentative="0">
      <w:start w:val="1"/>
      <w:numFmt w:val="lowerRoman"/>
      <w:lvlText w:val="%9."/>
      <w:lvlJc w:val="left"/>
    </w:lvl>
  </w:abstractNum>
  <w:abstractNum w:abstractNumId="1">
    <w:nsid w:val="597EE1CF"/>
    <w:multiLevelType w:val="multilevel"/>
    <w:tmpl w:val="597EE1CF"/>
    <w:lvl w:ilvl="0" w:tentative="0">
      <w:start w:val="1"/>
      <w:numFmt w:val="decimal"/>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lvl w:ilvl="4" w:tentative="0">
      <w:start w:val="1"/>
      <w:numFmt w:val="lowerLetter"/>
      <w:lvlText w:val="%5)"/>
      <w:lvlJc w:val="left"/>
    </w:lvl>
    <w:lvl w:ilvl="5" w:tentative="0">
      <w:start w:val="1"/>
      <w:numFmt w:val="lowerRoman"/>
      <w:lvlText w:val="%6."/>
      <w:lvlJc w:val="left"/>
    </w:lvl>
    <w:lvl w:ilvl="6" w:tentative="0">
      <w:start w:val="1"/>
      <w:numFmt w:val="decimal"/>
      <w:lvlText w:val="%7."/>
      <w:lvlJc w:val="left"/>
    </w:lvl>
    <w:lvl w:ilvl="7" w:tentative="0">
      <w:start w:val="1"/>
      <w:numFmt w:val="lowerLetter"/>
      <w:lvlText w:val="%8)"/>
      <w:lvlJc w:val="left"/>
    </w:lvl>
    <w:lvl w:ilvl="8" w:tentative="0">
      <w:start w:val="1"/>
      <w:numFmt w:val="lowerRoman"/>
      <w:lvlText w:val="%9."/>
      <w:lvlJc w:val="left"/>
    </w:lvl>
  </w:abstractNum>
  <w:abstractNum w:abstractNumId="2">
    <w:nsid w:val="597EE1D0"/>
    <w:multiLevelType w:val="multilevel"/>
    <w:tmpl w:val="597EE1D0"/>
    <w:lvl w:ilvl="0" w:tentative="0">
      <w:start w:val="1"/>
      <w:numFmt w:val="decimal"/>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lvl w:ilvl="4" w:tentative="0">
      <w:start w:val="1"/>
      <w:numFmt w:val="lowerLetter"/>
      <w:lvlText w:val="%5)"/>
      <w:lvlJc w:val="left"/>
    </w:lvl>
    <w:lvl w:ilvl="5" w:tentative="0">
      <w:start w:val="1"/>
      <w:numFmt w:val="lowerRoman"/>
      <w:lvlText w:val="%6."/>
      <w:lvlJc w:val="left"/>
    </w:lvl>
    <w:lvl w:ilvl="6" w:tentative="0">
      <w:start w:val="1"/>
      <w:numFmt w:val="decimal"/>
      <w:lvlText w:val="%7."/>
      <w:lvlJc w:val="left"/>
    </w:lvl>
    <w:lvl w:ilvl="7" w:tentative="0">
      <w:start w:val="1"/>
      <w:numFmt w:val="lowerLetter"/>
      <w:lvlText w:val="%8)"/>
      <w:lvlJc w:val="left"/>
    </w:lvl>
    <w:lvl w:ilvl="8" w:tentative="0">
      <w:start w:val="1"/>
      <w:numFmt w:val="lowerRoman"/>
      <w:lvlText w:val="%9."/>
      <w:lvlJc w:val="left"/>
    </w:lvl>
  </w:abstractNum>
  <w:abstractNum w:abstractNumId="3">
    <w:nsid w:val="597EE1D1"/>
    <w:multiLevelType w:val="multilevel"/>
    <w:tmpl w:val="597EE1D1"/>
    <w:lvl w:ilvl="0" w:tentative="0">
      <w:start w:val="1"/>
      <w:numFmt w:val="decimal"/>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lvl w:ilvl="4" w:tentative="0">
      <w:start w:val="1"/>
      <w:numFmt w:val="lowerLetter"/>
      <w:lvlText w:val="%5)"/>
      <w:lvlJc w:val="left"/>
    </w:lvl>
    <w:lvl w:ilvl="5" w:tentative="0">
      <w:start w:val="1"/>
      <w:numFmt w:val="lowerRoman"/>
      <w:lvlText w:val="%6."/>
      <w:lvlJc w:val="left"/>
    </w:lvl>
    <w:lvl w:ilvl="6" w:tentative="0">
      <w:start w:val="1"/>
      <w:numFmt w:val="decimal"/>
      <w:lvlText w:val="%7."/>
      <w:lvlJc w:val="left"/>
    </w:lvl>
    <w:lvl w:ilvl="7" w:tentative="0">
      <w:start w:val="1"/>
      <w:numFmt w:val="lowerLetter"/>
      <w:lvlText w:val="%8)"/>
      <w:lvlJc w:val="left"/>
    </w:lvl>
    <w:lvl w:ilvl="8" w:tentative="0">
      <w:start w:val="1"/>
      <w:numFmt w:val="lowerRoman"/>
      <w:lvlText w:val="%9."/>
      <w:lvlJc w:val="left"/>
    </w:lvl>
  </w:abstractNum>
  <w:abstractNum w:abstractNumId="4">
    <w:nsid w:val="6E2A4A6B"/>
    <w:multiLevelType w:val="singleLevel"/>
    <w:tmpl w:val="6E2A4A6B"/>
    <w:lvl w:ilvl="0" w:tentative="0">
      <w:start w:val="2"/>
      <w:numFmt w:val="chineseCounting"/>
      <w:suff w:val="nothing"/>
      <w:lvlText w:val="%1、"/>
      <w:lvlJc w:val="left"/>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24411"/>
    <w:rsid w:val="00025C21"/>
    <w:rsid w:val="00045A70"/>
    <w:rsid w:val="000531CD"/>
    <w:rsid w:val="00066845"/>
    <w:rsid w:val="000C01FD"/>
    <w:rsid w:val="000C0C5B"/>
    <w:rsid w:val="000E121B"/>
    <w:rsid w:val="001018D1"/>
    <w:rsid w:val="00145521"/>
    <w:rsid w:val="001B047E"/>
    <w:rsid w:val="001E056E"/>
    <w:rsid w:val="001F632E"/>
    <w:rsid w:val="0020098C"/>
    <w:rsid w:val="002226AF"/>
    <w:rsid w:val="00224B5D"/>
    <w:rsid w:val="00226102"/>
    <w:rsid w:val="00242486"/>
    <w:rsid w:val="00292CC6"/>
    <w:rsid w:val="002B2BF9"/>
    <w:rsid w:val="002B7BC2"/>
    <w:rsid w:val="002C7038"/>
    <w:rsid w:val="002F7A3E"/>
    <w:rsid w:val="003261A7"/>
    <w:rsid w:val="003347F2"/>
    <w:rsid w:val="00345B57"/>
    <w:rsid w:val="0034621A"/>
    <w:rsid w:val="00361A11"/>
    <w:rsid w:val="0036490F"/>
    <w:rsid w:val="00366BB1"/>
    <w:rsid w:val="00374FD4"/>
    <w:rsid w:val="00376CFF"/>
    <w:rsid w:val="003C42E7"/>
    <w:rsid w:val="00405E64"/>
    <w:rsid w:val="00460BEB"/>
    <w:rsid w:val="0047084A"/>
    <w:rsid w:val="00472EB8"/>
    <w:rsid w:val="004A0099"/>
    <w:rsid w:val="004A2E79"/>
    <w:rsid w:val="004A5155"/>
    <w:rsid w:val="004B1AC0"/>
    <w:rsid w:val="004E0F22"/>
    <w:rsid w:val="004F50D0"/>
    <w:rsid w:val="00500160"/>
    <w:rsid w:val="005015A4"/>
    <w:rsid w:val="00564C24"/>
    <w:rsid w:val="00572180"/>
    <w:rsid w:val="005C7AA1"/>
    <w:rsid w:val="005E3AC7"/>
    <w:rsid w:val="00621982"/>
    <w:rsid w:val="00645999"/>
    <w:rsid w:val="006848C2"/>
    <w:rsid w:val="00686098"/>
    <w:rsid w:val="006C549C"/>
    <w:rsid w:val="006E19F3"/>
    <w:rsid w:val="0072503E"/>
    <w:rsid w:val="00735F41"/>
    <w:rsid w:val="00741A12"/>
    <w:rsid w:val="0074671B"/>
    <w:rsid w:val="00750F16"/>
    <w:rsid w:val="0075368E"/>
    <w:rsid w:val="007542DA"/>
    <w:rsid w:val="007733B7"/>
    <w:rsid w:val="007748BA"/>
    <w:rsid w:val="00775F44"/>
    <w:rsid w:val="007B16A6"/>
    <w:rsid w:val="007D7509"/>
    <w:rsid w:val="007E4CF7"/>
    <w:rsid w:val="008150F6"/>
    <w:rsid w:val="00817C16"/>
    <w:rsid w:val="00833384"/>
    <w:rsid w:val="008667F7"/>
    <w:rsid w:val="00895BEB"/>
    <w:rsid w:val="008C04F7"/>
    <w:rsid w:val="008C4E62"/>
    <w:rsid w:val="008D371E"/>
    <w:rsid w:val="00943370"/>
    <w:rsid w:val="009A6032"/>
    <w:rsid w:val="009B3DE7"/>
    <w:rsid w:val="009B43E7"/>
    <w:rsid w:val="009B7DDE"/>
    <w:rsid w:val="009C2F9A"/>
    <w:rsid w:val="009C4FBF"/>
    <w:rsid w:val="009D38FC"/>
    <w:rsid w:val="009F318F"/>
    <w:rsid w:val="009F5BF4"/>
    <w:rsid w:val="00A10B27"/>
    <w:rsid w:val="00A2494B"/>
    <w:rsid w:val="00A31DCE"/>
    <w:rsid w:val="00A34C17"/>
    <w:rsid w:val="00A513B6"/>
    <w:rsid w:val="00A574B2"/>
    <w:rsid w:val="00A60FE7"/>
    <w:rsid w:val="00A81121"/>
    <w:rsid w:val="00AA75A4"/>
    <w:rsid w:val="00AB7238"/>
    <w:rsid w:val="00AD5233"/>
    <w:rsid w:val="00AE5BB8"/>
    <w:rsid w:val="00AF4320"/>
    <w:rsid w:val="00AF4E2E"/>
    <w:rsid w:val="00B0061E"/>
    <w:rsid w:val="00B127ED"/>
    <w:rsid w:val="00B505DD"/>
    <w:rsid w:val="00B650C3"/>
    <w:rsid w:val="00B73144"/>
    <w:rsid w:val="00B73292"/>
    <w:rsid w:val="00B86152"/>
    <w:rsid w:val="00B93BB2"/>
    <w:rsid w:val="00C00870"/>
    <w:rsid w:val="00C05C42"/>
    <w:rsid w:val="00C142AA"/>
    <w:rsid w:val="00C23559"/>
    <w:rsid w:val="00C43C07"/>
    <w:rsid w:val="00C51BE7"/>
    <w:rsid w:val="00CA0B5A"/>
    <w:rsid w:val="00CB7100"/>
    <w:rsid w:val="00CC0A26"/>
    <w:rsid w:val="00CE7C93"/>
    <w:rsid w:val="00CF1744"/>
    <w:rsid w:val="00CF74E8"/>
    <w:rsid w:val="00D04BB0"/>
    <w:rsid w:val="00D061C2"/>
    <w:rsid w:val="00D067BD"/>
    <w:rsid w:val="00D521A2"/>
    <w:rsid w:val="00D70EA3"/>
    <w:rsid w:val="00D7278D"/>
    <w:rsid w:val="00DD015D"/>
    <w:rsid w:val="00E051BE"/>
    <w:rsid w:val="00E1132B"/>
    <w:rsid w:val="00E1531A"/>
    <w:rsid w:val="00E643AC"/>
    <w:rsid w:val="00E80912"/>
    <w:rsid w:val="00E80DA5"/>
    <w:rsid w:val="00E8155D"/>
    <w:rsid w:val="00E84820"/>
    <w:rsid w:val="00E87482"/>
    <w:rsid w:val="00E969EA"/>
    <w:rsid w:val="00EC43EE"/>
    <w:rsid w:val="00EC4FEE"/>
    <w:rsid w:val="00EC7985"/>
    <w:rsid w:val="00ED10D4"/>
    <w:rsid w:val="00EE0B1D"/>
    <w:rsid w:val="00EF6D66"/>
    <w:rsid w:val="00F109D3"/>
    <w:rsid w:val="00F23516"/>
    <w:rsid w:val="00F27A8F"/>
    <w:rsid w:val="00F57F98"/>
    <w:rsid w:val="00F77BF9"/>
    <w:rsid w:val="00FB13F2"/>
    <w:rsid w:val="00FC47A3"/>
    <w:rsid w:val="00FC5935"/>
    <w:rsid w:val="00FC5FC7"/>
    <w:rsid w:val="10907F32"/>
    <w:rsid w:val="15405F2B"/>
    <w:rsid w:val="28627691"/>
    <w:rsid w:val="4E011963"/>
    <w:rsid w:val="51DB12F6"/>
    <w:rsid w:val="5E4A6A02"/>
    <w:rsid w:val="5F9C1C10"/>
    <w:rsid w:val="62411A37"/>
    <w:rsid w:val="62860A3B"/>
    <w:rsid w:val="68FD3A85"/>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8"/>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9">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15"/>
    <w:uiPriority w:val="0"/>
    <w:rPr>
      <w:b/>
      <w:bCs/>
    </w:rPr>
  </w:style>
  <w:style w:type="paragraph" w:styleId="4">
    <w:name w:val="annotation text"/>
    <w:basedOn w:val="1"/>
    <w:link w:val="14"/>
    <w:uiPriority w:val="0"/>
    <w:pPr>
      <w:jc w:val="left"/>
    </w:pPr>
  </w:style>
  <w:style w:type="paragraph" w:styleId="5">
    <w:name w:val="Balloon Text"/>
    <w:basedOn w:val="1"/>
    <w:link w:val="16"/>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link w:val="17"/>
    <w:qFormat/>
    <w:uiPriority w:val="0"/>
    <w:pPr>
      <w:snapToGrid w:val="0"/>
      <w:jc w:val="left"/>
    </w:pPr>
    <w:rPr>
      <w:kern w:val="0"/>
      <w:sz w:val="18"/>
      <w:szCs w:val="18"/>
    </w:rPr>
  </w:style>
  <w:style w:type="character" w:styleId="10">
    <w:name w:val="Strong"/>
    <w:basedOn w:val="9"/>
    <w:qFormat/>
    <w:uiPriority w:val="22"/>
    <w:rPr>
      <w:b/>
      <w:bCs/>
    </w:rPr>
  </w:style>
  <w:style w:type="character" w:styleId="11">
    <w:name w:val="annotation reference"/>
    <w:basedOn w:val="9"/>
    <w:qFormat/>
    <w:uiPriority w:val="0"/>
    <w:rPr>
      <w:sz w:val="21"/>
      <w:szCs w:val="21"/>
    </w:rPr>
  </w:style>
  <w:style w:type="character" w:styleId="12">
    <w:name w:val="footnote reference"/>
    <w:qFormat/>
    <w:uiPriority w:val="0"/>
    <w:rPr>
      <w:rFonts w:cs="Times New Roman"/>
      <w:vertAlign w:val="superscript"/>
    </w:rPr>
  </w:style>
  <w:style w:type="character" w:customStyle="1" w:styleId="14">
    <w:name w:val="批注文字 Char"/>
    <w:basedOn w:val="9"/>
    <w:link w:val="4"/>
    <w:uiPriority w:val="0"/>
    <w:rPr>
      <w:kern w:val="2"/>
      <w:sz w:val="21"/>
      <w:szCs w:val="22"/>
    </w:rPr>
  </w:style>
  <w:style w:type="character" w:customStyle="1" w:styleId="15">
    <w:name w:val="批注主题 Char"/>
    <w:basedOn w:val="14"/>
    <w:link w:val="3"/>
    <w:qFormat/>
    <w:uiPriority w:val="0"/>
    <w:rPr>
      <w:b/>
      <w:bCs/>
      <w:kern w:val="2"/>
      <w:sz w:val="21"/>
      <w:szCs w:val="22"/>
    </w:rPr>
  </w:style>
  <w:style w:type="character" w:customStyle="1" w:styleId="16">
    <w:name w:val="批注框文本 Char"/>
    <w:basedOn w:val="9"/>
    <w:link w:val="5"/>
    <w:qFormat/>
    <w:uiPriority w:val="0"/>
    <w:rPr>
      <w:kern w:val="2"/>
      <w:sz w:val="18"/>
      <w:szCs w:val="18"/>
    </w:rPr>
  </w:style>
  <w:style w:type="character" w:customStyle="1" w:styleId="17">
    <w:name w:val="脚注文本 Char"/>
    <w:basedOn w:val="9"/>
    <w:link w:val="8"/>
    <w:qFormat/>
    <w:uiPriority w:val="0"/>
    <w:rPr>
      <w:sz w:val="18"/>
      <w:szCs w:val="18"/>
    </w:rPr>
  </w:style>
  <w:style w:type="character" w:customStyle="1" w:styleId="18">
    <w:name w:val="标题 3 Char"/>
    <w:basedOn w:val="9"/>
    <w:link w:val="2"/>
    <w:uiPriority w:val="9"/>
    <w:rPr>
      <w:rFonts w:ascii="宋体" w:hAnsi="宋体" w:eastAsia="宋体" w:cs="宋体"/>
      <w:b/>
      <w:bCs/>
      <w:sz w:val="27"/>
      <w:szCs w:val="27"/>
    </w:rPr>
  </w:style>
  <w:style w:type="character" w:customStyle="1" w:styleId="19">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9373</Words>
  <Characters>2768</Characters>
  <Lines>23</Lines>
  <Paragraphs>24</Paragraphs>
  <TotalTime>246</TotalTime>
  <ScaleCrop>false</ScaleCrop>
  <LinksUpToDate>false</LinksUpToDate>
  <CharactersWithSpaces>12117</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2018-08-02T06:54:00Z</dcterms:created>
  <dc:creator>Administrator</dc:creator>
  <cp:lastModifiedBy>徐园园</cp:lastModifiedBy>
  <dcterms:modified xsi:type="dcterms:W3CDTF">2018-10-24T06:24:05Z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