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00" w:rsidRDefault="00381721" w:rsidP="00CC1E00">
      <w:pPr>
        <w:spacing w:line="360" w:lineRule="auto"/>
        <w:jc w:val="center"/>
        <w:rPr>
          <w:rFonts w:ascii="宋体" w:eastAsia="宋体" w:hAnsi="宋体" w:cs="宋体"/>
          <w:b/>
          <w:sz w:val="32"/>
          <w:szCs w:val="32"/>
        </w:rPr>
      </w:pPr>
      <w:r w:rsidRPr="00CC1E00">
        <w:rPr>
          <w:rFonts w:ascii="宋体" w:eastAsia="宋体" w:hAnsi="宋体" w:cs="宋体" w:hint="eastAsia"/>
          <w:b/>
          <w:sz w:val="32"/>
          <w:szCs w:val="32"/>
        </w:rPr>
        <w:t>关于召开201</w:t>
      </w:r>
      <w:r w:rsidR="009F3A44" w:rsidRPr="00CC1E00">
        <w:rPr>
          <w:rFonts w:ascii="宋体" w:eastAsia="宋体" w:hAnsi="宋体" w:cs="宋体" w:hint="eastAsia"/>
          <w:b/>
          <w:sz w:val="32"/>
          <w:szCs w:val="32"/>
        </w:rPr>
        <w:t>8</w:t>
      </w:r>
      <w:r w:rsidRPr="00CC1E00">
        <w:rPr>
          <w:rFonts w:ascii="宋体" w:eastAsia="宋体" w:hAnsi="宋体" w:cs="宋体" w:hint="eastAsia"/>
          <w:b/>
          <w:sz w:val="32"/>
          <w:szCs w:val="32"/>
        </w:rPr>
        <w:t>年全国职业院校技能大赛高职组</w:t>
      </w:r>
    </w:p>
    <w:p w:rsidR="005C6F9A" w:rsidRPr="00F8424D" w:rsidRDefault="00CC1E00" w:rsidP="00CC1E00">
      <w:pPr>
        <w:spacing w:line="360" w:lineRule="auto"/>
        <w:jc w:val="center"/>
        <w:rPr>
          <w:rFonts w:ascii="方正小标宋_GBK" w:eastAsia="方正小标宋_GBK"/>
          <w:spacing w:val="10"/>
          <w:kern w:val="0"/>
          <w:sz w:val="42"/>
          <w:szCs w:val="4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“</w:t>
      </w:r>
      <w:r w:rsidRPr="00CC1E00">
        <w:rPr>
          <w:rFonts w:ascii="宋体" w:eastAsia="宋体" w:hAnsi="宋体" w:cs="宋体" w:hint="eastAsia"/>
          <w:b/>
          <w:sz w:val="32"/>
          <w:szCs w:val="32"/>
        </w:rPr>
        <w:t>智慧物流作业方案设计与实施</w:t>
      </w:r>
      <w:r>
        <w:rPr>
          <w:rFonts w:ascii="宋体" w:eastAsia="宋体" w:hAnsi="宋体" w:cs="宋体" w:hint="eastAsia"/>
          <w:b/>
          <w:sz w:val="32"/>
          <w:szCs w:val="32"/>
        </w:rPr>
        <w:t>”</w:t>
      </w:r>
      <w:r w:rsidR="00381721" w:rsidRPr="00CC1E00">
        <w:rPr>
          <w:rFonts w:ascii="宋体" w:eastAsia="宋体" w:hAnsi="宋体" w:cs="宋体" w:hint="eastAsia"/>
          <w:b/>
          <w:sz w:val="32"/>
          <w:szCs w:val="32"/>
        </w:rPr>
        <w:t>赛项说明会的通知</w:t>
      </w:r>
    </w:p>
    <w:p w:rsidR="005C6F9A" w:rsidRPr="00F8424D" w:rsidRDefault="000C39B4" w:rsidP="00F8424D">
      <w:pPr>
        <w:adjustRightInd w:val="0"/>
        <w:spacing w:beforeLines="100" w:before="240" w:line="570" w:lineRule="exact"/>
        <w:rPr>
          <w:rFonts w:eastAsia="仿宋_GB2312" w:hAnsi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各省、自治区、直辖市教育厅（教委），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新疆生产建设兵团教育局，</w:t>
      </w:r>
      <w:r w:rsidRPr="009F7A99">
        <w:rPr>
          <w:rFonts w:ascii="仿宋_GB2312" w:eastAsia="仿宋_GB2312" w:hAnsi="宋体" w:cs="宋体" w:hint="eastAsia"/>
          <w:kern w:val="0"/>
          <w:sz w:val="28"/>
          <w:szCs w:val="28"/>
        </w:rPr>
        <w:t>有关单位</w:t>
      </w:r>
      <w:r w:rsid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：</w:t>
      </w:r>
    </w:p>
    <w:p w:rsidR="00104847" w:rsidRPr="00CC1E00" w:rsidRDefault="00381721" w:rsidP="00381721">
      <w:pPr>
        <w:widowControl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根据教育部关于做好201</w:t>
      </w:r>
      <w:r w:rsidR="009F3A44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8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年全国职业院校技能大赛筹办工作的有关要求，为进一步提升各地备赛工作的水平和全国决赛的办赛质量，全国职业院校技能大赛高职组</w:t>
      </w:r>
      <w:r w:rsidR="009F3A44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智慧物流作业方案设计与实施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赛项执委会（以下简称赛项执委会）决定在天津市举办201</w:t>
      </w:r>
      <w:r w:rsidR="009F3A44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8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年全国职业院校技能大赛高职组“</w:t>
      </w:r>
      <w:r w:rsidR="009F3A44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智慧物流作业方案设计与实施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”赛项说明会。现将有关事宜通知如下</w:t>
      </w:r>
      <w:r w:rsidR="00CA0217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：</w:t>
      </w:r>
    </w:p>
    <w:p w:rsidR="007A0ABA" w:rsidRPr="00CC1E00" w:rsidRDefault="00381721" w:rsidP="00381721">
      <w:pPr>
        <w:adjustRightInd w:val="0"/>
        <w:spacing w:line="57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一、会议内容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1.解读竞赛规程及相关事项；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2.竞赛设备功能及操作介绍；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3.技术标准答疑；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4.竞赛场地及准备情况答疑。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二、与会人员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1.各省、自治区、直辖市、新疆生产建设兵团等地区参加本赛项全国决赛的参赛队指导教师（每支参赛队可选派1-2名指导教师参会）；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2.赛项执委会、专家组成员代表；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3.本赛项决赛承办校代表；</w:t>
      </w:r>
    </w:p>
    <w:p w:rsidR="00381721" w:rsidRPr="00CC1E00" w:rsidRDefault="00381721" w:rsidP="00381721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4.本赛项合作企业代表。</w:t>
      </w:r>
    </w:p>
    <w:p w:rsidR="003E4B42" w:rsidRPr="00CC1E00" w:rsidRDefault="003E4B42" w:rsidP="003E4B42">
      <w:pPr>
        <w:adjustRightInd w:val="0"/>
        <w:spacing w:line="60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三、时间、地点</w:t>
      </w:r>
    </w:p>
    <w:p w:rsidR="003E4B42" w:rsidRPr="00CC1E00" w:rsidRDefault="003E4B42" w:rsidP="003E4B42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lastRenderedPageBreak/>
        <w:t>1.会议时间：201</w:t>
      </w:r>
      <w:r w:rsidR="009F3A44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8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年4月</w:t>
      </w:r>
      <w:r w:rsidR="009F3A44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9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日；</w:t>
      </w:r>
    </w:p>
    <w:p w:rsidR="003E4B42" w:rsidRPr="00CC1E00" w:rsidRDefault="003E4B42" w:rsidP="003E4B42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2.会议地点：天津交通职业学院（天津市西青区西青道269号）</w:t>
      </w:r>
      <w:r w:rsidR="00C46697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2号综合楼学术报告厅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；</w:t>
      </w:r>
    </w:p>
    <w:p w:rsidR="003E4B42" w:rsidRPr="00CC1E00" w:rsidRDefault="003E4B42" w:rsidP="003E4B42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3.会议住宿宾馆：天津维多利亚国际大酒店，地址：天津市河北区中山路66号</w:t>
      </w:r>
      <w:r w:rsidR="00C46697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,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住宿标准：3</w:t>
      </w:r>
      <w:r w:rsidR="00176627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58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元/标双/天；</w:t>
      </w:r>
    </w:p>
    <w:p w:rsidR="003E4B42" w:rsidRPr="00CC1E00" w:rsidRDefault="003E4B42" w:rsidP="003E4B42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4.会议报到：会议将安排住宿宾馆到会议地点的班车，4月</w:t>
      </w:r>
      <w:r w:rsidR="009F3A44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9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日8:30从宾馆发车，9:00前报到，报到地点为天津交通职业学院</w:t>
      </w:r>
      <w:r w:rsidR="00C46697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2号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综合楼</w:t>
      </w:r>
      <w:r w:rsidR="00C46697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学术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报告厅前厅。</w:t>
      </w:r>
    </w:p>
    <w:p w:rsidR="003E4B42" w:rsidRPr="00CC1E00" w:rsidRDefault="003E4B42" w:rsidP="003E4B42">
      <w:pPr>
        <w:adjustRightInd w:val="0"/>
        <w:spacing w:line="60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四、联系方式</w:t>
      </w:r>
    </w:p>
    <w:p w:rsidR="003E4B42" w:rsidRPr="00CC1E00" w:rsidRDefault="003E4B42" w:rsidP="003E4B42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联系人：李泽</w:t>
      </w:r>
      <w:r w:rsidR="00311B00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ab/>
        <w:t xml:space="preserve"> 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联系电话：</w:t>
      </w:r>
      <w:r w:rsidR="00311B00"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022-87912793  </w:t>
      </w: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13752325181</w:t>
      </w:r>
    </w:p>
    <w:p w:rsidR="007A0ABA" w:rsidRPr="00CC1E00" w:rsidRDefault="003E4B42" w:rsidP="003E4B42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联系邮箱：lz00_2008@126.com</w:t>
      </w:r>
    </w:p>
    <w:p w:rsidR="003E4B42" w:rsidRPr="00CC1E00" w:rsidRDefault="003E4B42" w:rsidP="003E4B42">
      <w:pPr>
        <w:pStyle w:val="a3"/>
        <w:spacing w:line="560" w:lineRule="exact"/>
        <w:ind w:firstLine="600"/>
        <w:rPr>
          <w:rFonts w:ascii="仿宋" w:eastAsia="仿宋" w:hAnsi="仿宋" w:cstheme="minorBidi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五、其他</w:t>
      </w:r>
    </w:p>
    <w:p w:rsidR="003E4B42" w:rsidRPr="00CC1E00" w:rsidRDefault="003E4B42" w:rsidP="003E4B42">
      <w:pPr>
        <w:pStyle w:val="a3"/>
        <w:spacing w:line="560" w:lineRule="exact"/>
        <w:ind w:firstLine="600"/>
        <w:rPr>
          <w:rFonts w:ascii="仿宋" w:eastAsia="仿宋" w:hAnsi="仿宋" w:cstheme="minorBidi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1.会议不收取会议费，参会人员交通费、住宿费自理。</w:t>
      </w:r>
    </w:p>
    <w:p w:rsidR="003E4B42" w:rsidRPr="00CC1E00" w:rsidRDefault="003E4B42" w:rsidP="003E4B42">
      <w:pPr>
        <w:pStyle w:val="a3"/>
        <w:spacing w:line="560" w:lineRule="exact"/>
        <w:ind w:firstLine="600"/>
        <w:rPr>
          <w:rFonts w:ascii="仿宋" w:eastAsia="仿宋" w:hAnsi="仿宋" w:cstheme="minorBidi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2.请参会人员务必于201</w:t>
      </w:r>
      <w:r w:rsidR="005A1774"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8</w:t>
      </w:r>
      <w:r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年4月</w:t>
      </w:r>
      <w:r w:rsidR="00176627"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4</w:t>
      </w:r>
      <w:r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日前将会议回执以电子邮件方式，发送至联系邮箱lz00_2008@126.com，以便安排会务服务。</w:t>
      </w:r>
    </w:p>
    <w:p w:rsidR="003E4B42" w:rsidRPr="00CC1E00" w:rsidRDefault="003E4B42" w:rsidP="003E4B42">
      <w:pPr>
        <w:pStyle w:val="a3"/>
        <w:spacing w:line="560" w:lineRule="exact"/>
        <w:ind w:firstLine="600"/>
        <w:rPr>
          <w:rFonts w:ascii="仿宋" w:eastAsia="仿宋" w:hAnsi="仿宋" w:cstheme="minorBidi"/>
          <w:color w:val="000000"/>
          <w:sz w:val="30"/>
          <w:szCs w:val="30"/>
          <w:shd w:val="clear" w:color="auto" w:fill="FFFFFF"/>
        </w:rPr>
      </w:pPr>
    </w:p>
    <w:p w:rsidR="00A94A06" w:rsidRPr="00CC1E00" w:rsidRDefault="003E4B42" w:rsidP="003E4B42">
      <w:pPr>
        <w:pStyle w:val="a3"/>
        <w:spacing w:line="560" w:lineRule="exact"/>
        <w:ind w:firstLine="600"/>
        <w:rPr>
          <w:rFonts w:ascii="仿宋" w:eastAsia="仿宋" w:hAnsi="仿宋" w:cstheme="minorBidi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附件：参会回执</w:t>
      </w:r>
    </w:p>
    <w:p w:rsidR="003E4B42" w:rsidRPr="00CC1E00" w:rsidRDefault="003E4B42" w:rsidP="003E4B42">
      <w:pPr>
        <w:pStyle w:val="a8"/>
        <w:shd w:val="clear" w:color="auto" w:fill="FFFFFF"/>
        <w:ind w:right="2400"/>
        <w:rPr>
          <w:rFonts w:ascii="仿宋" w:eastAsia="仿宋" w:hAnsi="仿宋" w:cstheme="minorBidi"/>
          <w:color w:val="000000"/>
          <w:kern w:val="2"/>
          <w:sz w:val="30"/>
          <w:szCs w:val="30"/>
          <w:shd w:val="clear" w:color="auto" w:fill="FFFFFF"/>
        </w:rPr>
      </w:pPr>
    </w:p>
    <w:p w:rsidR="003E4B42" w:rsidRPr="00CC1E00" w:rsidRDefault="003E4B42" w:rsidP="003E4B42">
      <w:pPr>
        <w:pStyle w:val="a8"/>
        <w:shd w:val="clear" w:color="auto" w:fill="FFFFFF"/>
        <w:ind w:right="2400"/>
        <w:rPr>
          <w:rFonts w:ascii="仿宋" w:eastAsia="仿宋" w:hAnsi="仿宋" w:cstheme="minorBidi"/>
          <w:color w:val="000000"/>
          <w:kern w:val="2"/>
          <w:sz w:val="30"/>
          <w:szCs w:val="30"/>
          <w:shd w:val="clear" w:color="auto" w:fill="FFFFFF"/>
        </w:rPr>
      </w:pPr>
    </w:p>
    <w:p w:rsidR="004E1155" w:rsidRDefault="004E1155" w:rsidP="00CC1E00">
      <w:pPr>
        <w:pStyle w:val="a8"/>
        <w:shd w:val="clear" w:color="auto" w:fill="FFFFFF"/>
        <w:ind w:right="900"/>
        <w:jc w:val="right"/>
        <w:rPr>
          <w:rFonts w:ascii="仿宋" w:eastAsia="仿宋" w:hAnsi="仿宋" w:cstheme="minorBidi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中国物流与采购联合会、</w:t>
      </w:r>
    </w:p>
    <w:p w:rsidR="003E4B42" w:rsidRDefault="004E1155" w:rsidP="00CC1E00">
      <w:pPr>
        <w:pStyle w:val="a8"/>
        <w:shd w:val="clear" w:color="auto" w:fill="FFFFFF"/>
        <w:ind w:right="900"/>
        <w:jc w:val="right"/>
        <w:rPr>
          <w:rFonts w:ascii="仿宋" w:eastAsia="仿宋" w:hAnsi="仿宋" w:cstheme="minorBidi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sz w:val="30"/>
          <w:szCs w:val="30"/>
          <w:shd w:val="clear" w:color="auto" w:fill="FFFFFF"/>
        </w:rPr>
        <w:t>全国物流职业教育教学指导委员会</w:t>
      </w:r>
    </w:p>
    <w:p w:rsidR="003E4B42" w:rsidRPr="00CC1E00" w:rsidRDefault="003E4B42" w:rsidP="004E1155">
      <w:pPr>
        <w:pStyle w:val="a8"/>
        <w:shd w:val="clear" w:color="auto" w:fill="FFFFFF"/>
        <w:ind w:right="1500" w:firstLineChars="1500" w:firstLine="4500"/>
        <w:rPr>
          <w:rFonts w:ascii="仿宋" w:eastAsia="仿宋" w:hAnsi="仿宋" w:cstheme="minorBidi"/>
          <w:color w:val="000000"/>
          <w:kern w:val="2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 w:cstheme="minorBidi" w:hint="eastAsia"/>
          <w:color w:val="000000"/>
          <w:kern w:val="2"/>
          <w:sz w:val="30"/>
          <w:szCs w:val="30"/>
          <w:shd w:val="clear" w:color="auto" w:fill="FFFFFF"/>
        </w:rPr>
        <w:t>201</w:t>
      </w:r>
      <w:r w:rsidR="009F3A44" w:rsidRPr="00CC1E00">
        <w:rPr>
          <w:rFonts w:ascii="仿宋" w:eastAsia="仿宋" w:hAnsi="仿宋" w:cstheme="minorBidi" w:hint="eastAsia"/>
          <w:color w:val="000000"/>
          <w:kern w:val="2"/>
          <w:sz w:val="30"/>
          <w:szCs w:val="30"/>
          <w:shd w:val="clear" w:color="auto" w:fill="FFFFFF"/>
        </w:rPr>
        <w:t>8</w:t>
      </w:r>
      <w:r w:rsidRPr="00CC1E00">
        <w:rPr>
          <w:rFonts w:ascii="仿宋" w:eastAsia="仿宋" w:hAnsi="仿宋" w:cstheme="minorBidi" w:hint="eastAsia"/>
          <w:color w:val="000000"/>
          <w:kern w:val="2"/>
          <w:sz w:val="30"/>
          <w:szCs w:val="30"/>
          <w:shd w:val="clear" w:color="auto" w:fill="FFFFFF"/>
        </w:rPr>
        <w:t>年</w:t>
      </w:r>
      <w:r w:rsidR="009F3A44" w:rsidRPr="00CC1E00">
        <w:rPr>
          <w:rFonts w:ascii="仿宋" w:eastAsia="仿宋" w:hAnsi="仿宋" w:cstheme="minorBidi" w:hint="eastAsia"/>
          <w:color w:val="000000"/>
          <w:kern w:val="2"/>
          <w:sz w:val="30"/>
          <w:szCs w:val="30"/>
          <w:shd w:val="clear" w:color="auto" w:fill="FFFFFF"/>
        </w:rPr>
        <w:t>3</w:t>
      </w:r>
      <w:r w:rsidRPr="00CC1E00">
        <w:rPr>
          <w:rFonts w:ascii="仿宋" w:eastAsia="仿宋" w:hAnsi="仿宋" w:cstheme="minorBidi" w:hint="eastAsia"/>
          <w:color w:val="000000"/>
          <w:kern w:val="2"/>
          <w:sz w:val="30"/>
          <w:szCs w:val="30"/>
          <w:shd w:val="clear" w:color="auto" w:fill="FFFFFF"/>
        </w:rPr>
        <w:t>月</w:t>
      </w:r>
      <w:r w:rsidR="009F3A44" w:rsidRPr="00CC1E00">
        <w:rPr>
          <w:rFonts w:ascii="仿宋" w:eastAsia="仿宋" w:hAnsi="仿宋" w:cstheme="minorBidi" w:hint="eastAsia"/>
          <w:color w:val="000000"/>
          <w:kern w:val="2"/>
          <w:sz w:val="30"/>
          <w:szCs w:val="30"/>
          <w:shd w:val="clear" w:color="auto" w:fill="FFFFFF"/>
        </w:rPr>
        <w:t>2</w:t>
      </w:r>
      <w:r w:rsidRPr="00CC1E00">
        <w:rPr>
          <w:rFonts w:ascii="仿宋" w:eastAsia="仿宋" w:hAnsi="仿宋" w:cstheme="minorBidi" w:hint="eastAsia"/>
          <w:color w:val="000000"/>
          <w:kern w:val="2"/>
          <w:sz w:val="30"/>
          <w:szCs w:val="30"/>
          <w:shd w:val="clear" w:color="auto" w:fill="FFFFFF"/>
        </w:rPr>
        <w:t>7日</w:t>
      </w:r>
    </w:p>
    <w:p w:rsidR="005130ED" w:rsidRPr="00CC1E00" w:rsidRDefault="005130ED">
      <w:pPr>
        <w:widowControl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1E00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br w:type="page"/>
      </w:r>
    </w:p>
    <w:p w:rsidR="00097229" w:rsidRPr="00CC1E00" w:rsidRDefault="00097229" w:rsidP="005130ED">
      <w:pPr>
        <w:spacing w:line="560" w:lineRule="exac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sectPr w:rsidR="00097229" w:rsidRPr="00CC1E00" w:rsidSect="003E4B42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:rsidR="005130ED" w:rsidRDefault="005130ED" w:rsidP="005130ED">
      <w:pPr>
        <w:spacing w:line="560" w:lineRule="exact"/>
        <w:rPr>
          <w:rFonts w:eastAsia="仿宋_GB2312" w:hAnsi="仿宋_GB2312"/>
          <w:sz w:val="30"/>
          <w:szCs w:val="30"/>
        </w:rPr>
      </w:pPr>
      <w:r>
        <w:rPr>
          <w:rFonts w:eastAsia="仿宋_GB2312" w:hAnsi="仿宋_GB2312" w:hint="eastAsia"/>
          <w:sz w:val="30"/>
          <w:szCs w:val="30"/>
        </w:rPr>
        <w:lastRenderedPageBreak/>
        <w:t>附件</w:t>
      </w:r>
    </w:p>
    <w:p w:rsidR="003E4B42" w:rsidRPr="005130ED" w:rsidRDefault="005130ED" w:rsidP="005130ED">
      <w:pPr>
        <w:spacing w:line="560" w:lineRule="exact"/>
        <w:jc w:val="center"/>
        <w:rPr>
          <w:rFonts w:ascii="方正小标宋_GBK" w:eastAsia="方正小标宋_GBK"/>
          <w:spacing w:val="10"/>
          <w:kern w:val="0"/>
          <w:sz w:val="42"/>
          <w:szCs w:val="42"/>
        </w:rPr>
      </w:pPr>
      <w:r w:rsidRPr="005130ED">
        <w:rPr>
          <w:rFonts w:ascii="方正小标宋_GBK" w:eastAsia="方正小标宋_GBK" w:hint="eastAsia"/>
          <w:spacing w:val="10"/>
          <w:kern w:val="0"/>
          <w:sz w:val="42"/>
          <w:szCs w:val="42"/>
        </w:rPr>
        <w:t>参会回执</w:t>
      </w:r>
    </w:p>
    <w:p w:rsidR="005130ED" w:rsidRDefault="005130ED" w:rsidP="005130ED">
      <w:pPr>
        <w:spacing w:line="560" w:lineRule="exact"/>
        <w:rPr>
          <w:rFonts w:eastAsia="仿宋_GB2312" w:hAnsi="仿宋_GB2312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984"/>
        <w:gridCol w:w="3260"/>
        <w:gridCol w:w="4395"/>
      </w:tblGrid>
      <w:tr w:rsidR="005130ED" w:rsidRPr="005130ED" w:rsidTr="0049051D">
        <w:tc>
          <w:tcPr>
            <w:tcW w:w="1242" w:type="dxa"/>
            <w:vAlign w:val="center"/>
          </w:tcPr>
          <w:p w:rsidR="005130ED" w:rsidRPr="005130ED" w:rsidRDefault="005130ED" w:rsidP="005130ED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130E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1" w:type="dxa"/>
            <w:vAlign w:val="center"/>
          </w:tcPr>
          <w:p w:rsidR="005130ED" w:rsidRPr="005130ED" w:rsidRDefault="005130ED" w:rsidP="005130ED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130E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单位职务</w:t>
            </w:r>
          </w:p>
        </w:tc>
        <w:tc>
          <w:tcPr>
            <w:tcW w:w="1984" w:type="dxa"/>
            <w:vAlign w:val="center"/>
          </w:tcPr>
          <w:p w:rsidR="005130ED" w:rsidRPr="005130ED" w:rsidRDefault="005130ED" w:rsidP="005130ED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130E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260" w:type="dxa"/>
            <w:vAlign w:val="center"/>
          </w:tcPr>
          <w:p w:rsidR="005130ED" w:rsidRPr="005130ED" w:rsidRDefault="005130ED" w:rsidP="005130ED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130E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4395" w:type="dxa"/>
            <w:vAlign w:val="center"/>
          </w:tcPr>
          <w:p w:rsidR="005130ED" w:rsidRPr="005130ED" w:rsidRDefault="005130ED" w:rsidP="0049051D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130E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住宿需求</w:t>
            </w:r>
          </w:p>
        </w:tc>
      </w:tr>
      <w:tr w:rsidR="006347B9" w:rsidRPr="005130ED" w:rsidTr="0049051D">
        <w:tc>
          <w:tcPr>
            <w:tcW w:w="1242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6347B9" w:rsidRDefault="006347B9" w:rsidP="006347B9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6347B9">
              <w:rPr>
                <w:rFonts w:ascii="仿宋_GB2312" w:eastAsia="仿宋_GB2312" w:hAnsi="仿宋_GB2312" w:hint="eastAsia"/>
                <w:sz w:val="28"/>
                <w:szCs w:val="28"/>
              </w:rPr>
              <w:t>大床房：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 w:rsidRPr="006347B9">
              <w:rPr>
                <w:rFonts w:ascii="仿宋_GB2312" w:eastAsia="仿宋_GB2312" w:hAnsi="仿宋_GB2312" w:hint="eastAsia"/>
                <w:sz w:val="28"/>
                <w:szCs w:val="28"/>
              </w:rPr>
              <w:t>间</w:t>
            </w:r>
          </w:p>
          <w:p w:rsidR="006347B9" w:rsidRPr="005130ED" w:rsidRDefault="006347B9" w:rsidP="006347B9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6347B9">
              <w:rPr>
                <w:rFonts w:ascii="仿宋_GB2312" w:eastAsia="仿宋_GB2312" w:hAnsi="仿宋_GB2312" w:hint="eastAsia"/>
                <w:sz w:val="28"/>
                <w:szCs w:val="28"/>
              </w:rPr>
              <w:t>双床房：单住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 w:rsidRPr="006347B9">
              <w:rPr>
                <w:rFonts w:ascii="仿宋_GB2312" w:eastAsia="仿宋_GB2312" w:hAnsi="仿宋_GB2312" w:hint="eastAsia"/>
                <w:sz w:val="28"/>
                <w:szCs w:val="28"/>
              </w:rPr>
              <w:t>间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，</w:t>
            </w:r>
            <w:r w:rsidRPr="006347B9">
              <w:rPr>
                <w:rFonts w:ascii="仿宋_GB2312" w:eastAsia="仿宋_GB2312" w:hAnsi="仿宋_GB2312" w:hint="eastAsia"/>
                <w:sz w:val="28"/>
                <w:szCs w:val="28"/>
              </w:rPr>
              <w:t>合住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 w:rsidRPr="006347B9">
              <w:rPr>
                <w:rFonts w:ascii="仿宋_GB2312" w:eastAsia="仿宋_GB2312" w:hAnsi="仿宋_GB2312" w:hint="eastAsia"/>
                <w:sz w:val="28"/>
                <w:szCs w:val="28"/>
              </w:rPr>
              <w:t>间</w:t>
            </w:r>
          </w:p>
        </w:tc>
      </w:tr>
      <w:tr w:rsidR="006347B9" w:rsidRPr="005130ED" w:rsidTr="0049051D">
        <w:tc>
          <w:tcPr>
            <w:tcW w:w="1242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347B9" w:rsidRPr="005130ED" w:rsidRDefault="006347B9" w:rsidP="005130E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5130ED" w:rsidRPr="00DF581E" w:rsidRDefault="005B2D2F" w:rsidP="005130ED">
      <w:pPr>
        <w:spacing w:line="560" w:lineRule="exact"/>
        <w:rPr>
          <w:rFonts w:eastAsia="仿宋_GB2312" w:hAnsi="仿宋_GB2312"/>
          <w:color w:val="000000" w:themeColor="text1"/>
          <w:sz w:val="24"/>
          <w:szCs w:val="30"/>
        </w:rPr>
      </w:pPr>
      <w:r w:rsidRPr="00DF581E">
        <w:rPr>
          <w:rFonts w:eastAsia="仿宋_GB2312" w:hAnsi="仿宋_GB2312" w:hint="eastAsia"/>
          <w:color w:val="000000" w:themeColor="text1"/>
          <w:sz w:val="24"/>
          <w:szCs w:val="30"/>
        </w:rPr>
        <w:t>备注：</w:t>
      </w:r>
      <w:r w:rsidR="00DD63D5" w:rsidRPr="00DF581E">
        <w:rPr>
          <w:rFonts w:eastAsia="仿宋_GB2312" w:hAnsi="仿宋_GB2312" w:hint="eastAsia"/>
          <w:color w:val="000000" w:themeColor="text1"/>
          <w:sz w:val="24"/>
          <w:szCs w:val="30"/>
        </w:rPr>
        <w:t>请参会人员务必于</w:t>
      </w:r>
      <w:r w:rsidRPr="00DF581E">
        <w:rPr>
          <w:rFonts w:eastAsia="仿宋_GB2312" w:hAnsi="仿宋_GB2312" w:hint="eastAsia"/>
          <w:color w:val="000000" w:themeColor="text1"/>
          <w:sz w:val="24"/>
          <w:szCs w:val="30"/>
        </w:rPr>
        <w:t>指定日期将会议回执以电子邮件方式</w:t>
      </w:r>
      <w:r w:rsidR="00DD63D5" w:rsidRPr="00DF581E">
        <w:rPr>
          <w:rFonts w:eastAsia="仿宋_GB2312" w:hAnsi="仿宋_GB2312" w:hint="eastAsia"/>
          <w:color w:val="000000" w:themeColor="text1"/>
          <w:sz w:val="24"/>
          <w:szCs w:val="30"/>
        </w:rPr>
        <w:t>发送至联系邮箱，以便安排会务服务</w:t>
      </w:r>
    </w:p>
    <w:p w:rsidR="005130ED" w:rsidRPr="005130ED" w:rsidRDefault="005130ED" w:rsidP="005130ED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sectPr w:rsidR="005130ED" w:rsidRPr="005130ED" w:rsidSect="00097229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E4" w:rsidRDefault="005869E4" w:rsidP="009C23A3">
      <w:r>
        <w:separator/>
      </w:r>
    </w:p>
  </w:endnote>
  <w:endnote w:type="continuationSeparator" w:id="0">
    <w:p w:rsidR="005869E4" w:rsidRDefault="005869E4" w:rsidP="009C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E4" w:rsidRDefault="005869E4" w:rsidP="009C23A3">
      <w:r>
        <w:separator/>
      </w:r>
    </w:p>
  </w:footnote>
  <w:footnote w:type="continuationSeparator" w:id="0">
    <w:p w:rsidR="005869E4" w:rsidRDefault="005869E4" w:rsidP="009C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31B"/>
    <w:rsid w:val="00023BA3"/>
    <w:rsid w:val="00097229"/>
    <w:rsid w:val="000C39B4"/>
    <w:rsid w:val="000C531B"/>
    <w:rsid w:val="000E7DD7"/>
    <w:rsid w:val="000F0E34"/>
    <w:rsid w:val="00104847"/>
    <w:rsid w:val="00106D49"/>
    <w:rsid w:val="0012012D"/>
    <w:rsid w:val="00133149"/>
    <w:rsid w:val="00176627"/>
    <w:rsid w:val="001B0EDB"/>
    <w:rsid w:val="001B5D53"/>
    <w:rsid w:val="001B6DB8"/>
    <w:rsid w:val="00211A84"/>
    <w:rsid w:val="002203E3"/>
    <w:rsid w:val="00230CDF"/>
    <w:rsid w:val="002603FF"/>
    <w:rsid w:val="00270C79"/>
    <w:rsid w:val="002847C4"/>
    <w:rsid w:val="002B58E3"/>
    <w:rsid w:val="002B5F29"/>
    <w:rsid w:val="002C1380"/>
    <w:rsid w:val="002C6B6D"/>
    <w:rsid w:val="002D6F16"/>
    <w:rsid w:val="002F241F"/>
    <w:rsid w:val="00311B00"/>
    <w:rsid w:val="0031410E"/>
    <w:rsid w:val="0032656D"/>
    <w:rsid w:val="00381721"/>
    <w:rsid w:val="003E4B42"/>
    <w:rsid w:val="00410E40"/>
    <w:rsid w:val="004166CC"/>
    <w:rsid w:val="0045141A"/>
    <w:rsid w:val="0049051D"/>
    <w:rsid w:val="004979CA"/>
    <w:rsid w:val="004A4892"/>
    <w:rsid w:val="004A5730"/>
    <w:rsid w:val="004A6412"/>
    <w:rsid w:val="004B4B6E"/>
    <w:rsid w:val="004D75DC"/>
    <w:rsid w:val="004E1155"/>
    <w:rsid w:val="00505791"/>
    <w:rsid w:val="005130ED"/>
    <w:rsid w:val="0054045E"/>
    <w:rsid w:val="005869E4"/>
    <w:rsid w:val="005A1774"/>
    <w:rsid w:val="005B2D2F"/>
    <w:rsid w:val="005C6F9A"/>
    <w:rsid w:val="005D31B9"/>
    <w:rsid w:val="005F0548"/>
    <w:rsid w:val="006017C1"/>
    <w:rsid w:val="0060541E"/>
    <w:rsid w:val="006347B9"/>
    <w:rsid w:val="006C3B3C"/>
    <w:rsid w:val="006D6584"/>
    <w:rsid w:val="006F2597"/>
    <w:rsid w:val="00700942"/>
    <w:rsid w:val="00727D2E"/>
    <w:rsid w:val="00730BD6"/>
    <w:rsid w:val="00744AB5"/>
    <w:rsid w:val="00744F28"/>
    <w:rsid w:val="007552A6"/>
    <w:rsid w:val="007747B1"/>
    <w:rsid w:val="00793F5E"/>
    <w:rsid w:val="007A0ABA"/>
    <w:rsid w:val="007B28AA"/>
    <w:rsid w:val="007E6B6A"/>
    <w:rsid w:val="00842958"/>
    <w:rsid w:val="00850CF3"/>
    <w:rsid w:val="00863DE2"/>
    <w:rsid w:val="008B6809"/>
    <w:rsid w:val="008D24AB"/>
    <w:rsid w:val="0099252E"/>
    <w:rsid w:val="009C23A3"/>
    <w:rsid w:val="009F3A44"/>
    <w:rsid w:val="00A03ABF"/>
    <w:rsid w:val="00A052E8"/>
    <w:rsid w:val="00A27ACA"/>
    <w:rsid w:val="00A41570"/>
    <w:rsid w:val="00A60A87"/>
    <w:rsid w:val="00A94A06"/>
    <w:rsid w:val="00AF2F38"/>
    <w:rsid w:val="00B15F76"/>
    <w:rsid w:val="00B271D1"/>
    <w:rsid w:val="00B30575"/>
    <w:rsid w:val="00B84BC2"/>
    <w:rsid w:val="00BE6FA9"/>
    <w:rsid w:val="00C120DE"/>
    <w:rsid w:val="00C23D02"/>
    <w:rsid w:val="00C46697"/>
    <w:rsid w:val="00CA0217"/>
    <w:rsid w:val="00CC1E00"/>
    <w:rsid w:val="00D034BC"/>
    <w:rsid w:val="00D55FD8"/>
    <w:rsid w:val="00DD63D5"/>
    <w:rsid w:val="00DE2DE7"/>
    <w:rsid w:val="00DF581E"/>
    <w:rsid w:val="00E8449C"/>
    <w:rsid w:val="00E94DC6"/>
    <w:rsid w:val="00EA6F80"/>
    <w:rsid w:val="00EB5A5A"/>
    <w:rsid w:val="00F35755"/>
    <w:rsid w:val="00F602CA"/>
    <w:rsid w:val="00F61C47"/>
    <w:rsid w:val="00F8424D"/>
    <w:rsid w:val="00FA7038"/>
    <w:rsid w:val="00FB545B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80D27-2535-4C22-96A2-286B830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A84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9C2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3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3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4A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4AB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F2F3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F2F38"/>
  </w:style>
  <w:style w:type="paragraph" w:styleId="a8">
    <w:name w:val="Normal (Web)"/>
    <w:basedOn w:val="a"/>
    <w:uiPriority w:val="99"/>
    <w:unhideWhenUsed/>
    <w:rsid w:val="003E4B4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51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sgsx</dc:creator>
  <cp:lastModifiedBy>原平</cp:lastModifiedBy>
  <cp:revision>18</cp:revision>
  <cp:lastPrinted>2016-04-11T05:58:00Z</cp:lastPrinted>
  <dcterms:created xsi:type="dcterms:W3CDTF">2018-03-27T02:31:00Z</dcterms:created>
  <dcterms:modified xsi:type="dcterms:W3CDTF">2018-03-28T02:37:00Z</dcterms:modified>
</cp:coreProperties>
</file>