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附件4</w:t>
      </w:r>
    </w:p>
    <w:p>
      <w:bookmarkStart w:id="15" w:name="_GoBack"/>
      <w:bookmarkEnd w:id="15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1905</wp:posOffset>
            </wp:positionV>
            <wp:extent cx="1344930" cy="876300"/>
            <wp:effectExtent l="0" t="0" r="7620" b="0"/>
            <wp:wrapTight wrapText="bothSides">
              <wp:wrapPolygon>
                <wp:start x="14686" y="0"/>
                <wp:lineTo x="10708" y="15026"/>
                <wp:lineTo x="0" y="15496"/>
                <wp:lineTo x="0" y="21130"/>
                <wp:lineTo x="21416" y="21130"/>
                <wp:lineTo x="21416" y="16904"/>
                <wp:lineTo x="18663" y="15496"/>
                <wp:lineTo x="13156" y="15026"/>
                <wp:lineTo x="19887" y="9391"/>
                <wp:lineTo x="19887" y="7513"/>
                <wp:lineTo x="21416" y="4226"/>
                <wp:lineTo x="21416" y="470"/>
                <wp:lineTo x="17745" y="0"/>
                <wp:lineTo x="14686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182880</wp:posOffset>
                </wp:positionV>
                <wp:extent cx="5122545" cy="1772285"/>
                <wp:effectExtent l="0" t="3810" r="3810" b="0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545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44"/>
                              </w:rPr>
                              <w:t>全国职业院校技能大赛初评系统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  <w:szCs w:val="44"/>
                              </w:rPr>
                              <w:t>用户使用手册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6pt;margin-top:14.4pt;height:139.55pt;width:403.35pt;mso-wrap-distance-bottom:3.6pt;mso-wrap-distance-left:9pt;mso-wrap-distance-right:9pt;mso-wrap-distance-top:3.6pt;z-index:251659264;mso-width-relative:page;mso-height-relative:page;" filled="f" stroked="f" coordsize="21600,21600" o:gfxdata="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At8F21wAAAAsBAAAPAAAAAAAAAAEAIAAAACIAAABkcnMvZG93bnJldi54&#10;bWxQSwECFAAUAAAACACHTuJAYLsxGPsBAADI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44"/>
                        </w:rPr>
                        <w:t>全国职业院校技能大赛初评系统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  <w:szCs w:val="44"/>
                        </w:rPr>
                        <w:t>用户使用手册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pPr>
        <w:tabs>
          <w:tab w:val="left" w:pos="567"/>
        </w:tabs>
        <w:spacing w:after="156" w:afterLines="50"/>
        <w:ind w:right="397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全国</w:t>
      </w:r>
      <w:r>
        <w:rPr>
          <w:rFonts w:ascii="微软雅黑" w:hAnsi="微软雅黑" w:eastAsia="微软雅黑"/>
          <w:sz w:val="32"/>
          <w:szCs w:val="32"/>
        </w:rPr>
        <w:t>职业院校技能大赛执委会办公室</w:t>
      </w:r>
    </w:p>
    <w:p>
      <w:pPr>
        <w:ind w:firstLine="6080" w:firstLineChars="190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2017年9月</w:t>
      </w:r>
    </w:p>
    <w:p>
      <w:pPr>
        <w:pStyle w:val="2"/>
        <w:numPr>
          <w:ilvl w:val="0"/>
          <w:numId w:val="0"/>
        </w:numPr>
        <w:ind w:left="432"/>
        <w:jc w:val="center"/>
      </w:pPr>
      <w:bookmarkStart w:id="0" w:name="_Toc30653"/>
      <w:bookmarkStart w:id="1" w:name="_Toc13816"/>
      <w:r>
        <w:rPr>
          <w:lang w:val="zh-CN"/>
        </w:rPr>
        <w:t>目录</w:t>
      </w:r>
      <w:bookmarkEnd w:id="0"/>
      <w:bookmarkEnd w:id="1"/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</w:rPr>
      </w:pPr>
      <w:r>
        <w:rPr>
          <w:szCs w:val="18"/>
        </w:rPr>
        <w:fldChar w:fldCharType="begin"/>
      </w:r>
      <w:r>
        <w:rPr>
          <w:szCs w:val="18"/>
        </w:rPr>
        <w:instrText xml:space="preserve">TOC \o "1-3" \h \u </w:instrText>
      </w:r>
      <w:r>
        <w:rPr>
          <w:szCs w:val="18"/>
        </w:rPr>
        <w:fldChar w:fldCharType="separate"/>
      </w:r>
      <w:r>
        <w:rPr>
          <w:rFonts w:hint="eastAsia" w:ascii="宋体" w:hAnsi="宋体" w:eastAsia="宋体" w:cs="宋体"/>
          <w:bCs/>
          <w:kern w:val="44"/>
          <w:szCs w:val="36"/>
        </w:rPr>
        <w:t xml:space="preserve">1 </w:t>
      </w:r>
      <w:r>
        <w:rPr>
          <w:rFonts w:hint="eastAsia" w:ascii="宋体" w:hAnsi="宋体" w:eastAsia="宋体" w:cs="宋体"/>
          <w:kern w:val="0"/>
          <w:szCs w:val="36"/>
        </w:rPr>
        <w:t>登录操作说明</w:t>
      </w:r>
      <w:r>
        <w:rPr>
          <w:rFonts w:hint="eastAsia" w:ascii="宋体" w:hAnsi="宋体" w:cs="宋体"/>
          <w:kern w:val="0"/>
          <w:szCs w:val="36"/>
          <w:lang w:val="en-US" w:eastAsia="zh-CN"/>
        </w:rPr>
        <w:t>.................................................................................................................1</w:t>
      </w:r>
    </w:p>
    <w:p>
      <w:pPr>
        <w:pStyle w:val="13"/>
        <w:tabs>
          <w:tab w:val="right" w:leader="dot" w:pos="8306"/>
        </w:tabs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0"/>
          <w:szCs w:val="30"/>
        </w:rPr>
        <w:t xml:space="preserve">1.1 </w:t>
      </w:r>
      <w:r>
        <w:rPr>
          <w:rFonts w:hint="eastAsia" w:ascii="宋体" w:hAnsi="宋体" w:eastAsia="宋体" w:cs="宋体"/>
          <w:kern w:val="0"/>
          <w:szCs w:val="30"/>
        </w:rPr>
        <w:t>用户登录</w:t>
      </w:r>
      <w:r>
        <w:rPr>
          <w:rFonts w:hint="eastAsia" w:ascii="宋体" w:hAnsi="宋体" w:cs="宋体"/>
          <w:kern w:val="0"/>
          <w:szCs w:val="30"/>
          <w:lang w:val="en-US" w:eastAsia="zh-CN"/>
        </w:rPr>
        <w:t>...............................................................................................................1</w:t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44"/>
          <w:szCs w:val="36"/>
        </w:rPr>
        <w:t xml:space="preserve">2 </w:t>
      </w:r>
      <w:r>
        <w:rPr>
          <w:rFonts w:hint="eastAsia" w:ascii="宋体" w:hAnsi="宋体" w:eastAsia="宋体" w:cs="宋体"/>
          <w:kern w:val="0"/>
          <w:szCs w:val="36"/>
        </w:rPr>
        <w:t>省市行政部门操作说明</w:t>
      </w:r>
      <w:r>
        <w:rPr>
          <w:rFonts w:hint="eastAsia" w:ascii="宋体" w:hAnsi="宋体" w:cs="宋体"/>
          <w:kern w:val="0"/>
          <w:szCs w:val="36"/>
          <w:lang w:val="en-US" w:eastAsia="zh-CN"/>
        </w:rPr>
        <w:t>.........................................................................................................4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0"/>
          <w:szCs w:val="30"/>
        </w:rPr>
        <w:t xml:space="preserve">2.1 </w:t>
      </w:r>
      <w:r>
        <w:rPr>
          <w:rFonts w:hint="eastAsia" w:ascii="宋体" w:hAnsi="宋体" w:eastAsia="宋体" w:cs="宋体"/>
          <w:kern w:val="0"/>
          <w:szCs w:val="30"/>
        </w:rPr>
        <w:t>页面总览</w:t>
      </w:r>
      <w:r>
        <w:rPr>
          <w:rFonts w:hint="eastAsia" w:ascii="宋体" w:hAnsi="宋体" w:eastAsia="宋体" w:cs="宋体"/>
          <w:kern w:val="0"/>
          <w:szCs w:val="30"/>
          <w:lang w:val="en-US" w:eastAsia="zh-CN"/>
        </w:rPr>
        <w:t>...............................................................................................................4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0"/>
          <w:szCs w:val="30"/>
        </w:rPr>
        <w:t xml:space="preserve">2.2 </w:t>
      </w:r>
      <w:r>
        <w:rPr>
          <w:rFonts w:hint="eastAsia" w:ascii="宋体" w:hAnsi="宋体" w:eastAsia="宋体" w:cs="宋体"/>
          <w:kern w:val="0"/>
          <w:szCs w:val="30"/>
        </w:rPr>
        <w:t>省市行政部门评价</w:t>
      </w:r>
      <w:r>
        <w:rPr>
          <w:rFonts w:hint="eastAsia" w:ascii="宋体" w:hAnsi="宋体" w:eastAsia="宋体" w:cs="宋体"/>
          <w:kern w:val="0"/>
          <w:szCs w:val="30"/>
          <w:lang w:val="en-US" w:eastAsia="zh-CN"/>
        </w:rPr>
        <w:t>.......................................................................................................5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44"/>
          <w:szCs w:val="36"/>
        </w:rPr>
        <w:t xml:space="preserve">3 </w:t>
      </w:r>
      <w:r>
        <w:rPr>
          <w:rFonts w:hint="eastAsia" w:ascii="宋体" w:hAnsi="宋体" w:eastAsia="宋体" w:cs="宋体"/>
          <w:kern w:val="0"/>
          <w:szCs w:val="36"/>
        </w:rPr>
        <w:t>职业院校操作说明</w:t>
      </w:r>
      <w:r>
        <w:rPr>
          <w:rFonts w:hint="eastAsia" w:ascii="宋体" w:hAnsi="宋体" w:eastAsia="宋体" w:cs="宋体"/>
          <w:kern w:val="0"/>
          <w:szCs w:val="36"/>
          <w:lang w:val="en-US" w:eastAsia="zh-CN"/>
        </w:rPr>
        <w:t>.............................................................................................................10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0"/>
          <w:szCs w:val="30"/>
        </w:rPr>
        <w:t xml:space="preserve">3.1 </w:t>
      </w:r>
      <w:r>
        <w:rPr>
          <w:rFonts w:hint="eastAsia" w:ascii="宋体" w:hAnsi="宋体" w:eastAsia="宋体" w:cs="宋体"/>
          <w:kern w:val="0"/>
          <w:szCs w:val="30"/>
        </w:rPr>
        <w:t>页面总览</w:t>
      </w:r>
      <w:r>
        <w:rPr>
          <w:rFonts w:hint="eastAsia" w:ascii="宋体" w:hAnsi="宋体" w:eastAsia="宋体" w:cs="宋体"/>
          <w:kern w:val="0"/>
          <w:szCs w:val="30"/>
          <w:lang w:val="en-US" w:eastAsia="zh-CN"/>
        </w:rPr>
        <w:t>...............................................................................................................10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0"/>
          <w:szCs w:val="30"/>
        </w:rPr>
        <w:t xml:space="preserve">3.2 </w:t>
      </w:r>
      <w:r>
        <w:rPr>
          <w:rFonts w:hint="eastAsia" w:ascii="宋体" w:hAnsi="宋体" w:eastAsia="宋体" w:cs="宋体"/>
          <w:kern w:val="0"/>
          <w:szCs w:val="30"/>
        </w:rPr>
        <w:t>职业院校评价</w:t>
      </w:r>
      <w:r>
        <w:rPr>
          <w:rFonts w:hint="eastAsia" w:ascii="宋体" w:hAnsi="宋体" w:eastAsia="宋体" w:cs="宋体"/>
          <w:kern w:val="0"/>
          <w:szCs w:val="30"/>
          <w:lang w:val="en-US" w:eastAsia="zh-CN"/>
        </w:rPr>
        <w:t>...........................................................................................................12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Cs/>
          <w:kern w:val="44"/>
          <w:szCs w:val="36"/>
        </w:rPr>
        <w:t xml:space="preserve">4 </w:t>
      </w:r>
      <w:r>
        <w:rPr>
          <w:rFonts w:hint="eastAsia" w:ascii="宋体" w:hAnsi="宋体" w:eastAsia="宋体" w:cs="宋体"/>
          <w:kern w:val="0"/>
          <w:szCs w:val="36"/>
        </w:rPr>
        <w:t>竞赛委理事单位操作说明</w:t>
      </w:r>
      <w:r>
        <w:rPr>
          <w:rFonts w:hint="eastAsia" w:ascii="宋体" w:hAnsi="宋体" w:eastAsia="宋体" w:cs="宋体"/>
          <w:kern w:val="0"/>
          <w:szCs w:val="36"/>
          <w:lang w:val="en-US" w:eastAsia="zh-CN"/>
        </w:rPr>
        <w:t>.......................................................................................................20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Cs w:val="30"/>
        </w:rPr>
        <w:t xml:space="preserve">4.1 </w:t>
      </w:r>
      <w:r>
        <w:rPr>
          <w:rFonts w:hint="eastAsia" w:ascii="宋体" w:hAnsi="宋体" w:eastAsia="宋体" w:cs="宋体"/>
          <w:kern w:val="0"/>
          <w:szCs w:val="30"/>
        </w:rPr>
        <w:t>页面总览</w:t>
      </w:r>
      <w:r>
        <w:rPr>
          <w:rFonts w:hint="eastAsia" w:ascii="宋体" w:hAnsi="宋体" w:eastAsia="宋体" w:cs="宋体"/>
          <w:kern w:val="0"/>
          <w:szCs w:val="30"/>
          <w:lang w:val="en-US" w:eastAsia="zh-CN"/>
        </w:rPr>
        <w:t>...............................................................................................................20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Cs w:val="30"/>
        </w:rPr>
        <w:t xml:space="preserve">4.2 </w:t>
      </w:r>
      <w:r>
        <w:rPr>
          <w:rFonts w:hint="eastAsia" w:ascii="宋体" w:hAnsi="宋体" w:eastAsia="宋体" w:cs="宋体"/>
          <w:kern w:val="0"/>
          <w:szCs w:val="30"/>
        </w:rPr>
        <w:t>竞赛委理事单位评价</w:t>
      </w:r>
      <w:r>
        <w:rPr>
          <w:rFonts w:hint="eastAsia" w:ascii="宋体" w:hAnsi="宋体" w:eastAsia="宋体" w:cs="宋体"/>
          <w:kern w:val="0"/>
          <w:szCs w:val="30"/>
          <w:lang w:val="en-US" w:eastAsia="zh-CN"/>
        </w:rPr>
        <w:t>.....................................................................................................22</w:t>
      </w:r>
    </w:p>
    <w:p>
      <w:pPr>
        <w:pStyle w:val="14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</w:p>
    <w:p>
      <w:r>
        <w:rPr>
          <w:szCs w:val="18"/>
        </w:rPr>
        <w:fldChar w:fldCharType="end"/>
      </w:r>
    </w:p>
    <w:p/>
    <w:p/>
    <w:p/>
    <w:p/>
    <w:p/>
    <w:p/>
    <w:p/>
    <w:p>
      <w:pPr>
        <w:rPr>
          <w:rFonts w:hint="eastAsia"/>
          <w:sz w:val="36"/>
          <w:szCs w:val="36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2" w:name="_Toc14556"/>
      <w:bookmarkStart w:id="3" w:name="_Toc22200"/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登录操作说明</w:t>
      </w:r>
      <w:bookmarkEnd w:id="2"/>
      <w:bookmarkEnd w:id="3"/>
    </w:p>
    <w:p>
      <w:pPr>
        <w:pStyle w:val="3"/>
        <w:rPr>
          <w:sz w:val="30"/>
          <w:szCs w:val="30"/>
        </w:rPr>
      </w:pPr>
      <w:bookmarkStart w:id="4" w:name="_Toc7772"/>
      <w:bookmarkStart w:id="5" w:name="_Toc3482"/>
      <w:r>
        <w:rPr>
          <w:sz w:val="30"/>
          <w:szCs w:val="30"/>
        </w:rPr>
        <w:t>用户登录</w:t>
      </w:r>
      <w:bookmarkEnd w:id="4"/>
      <w:bookmarkEnd w:id="5"/>
    </w:p>
    <w:p>
      <w:pPr>
        <w:jc w:val="left"/>
        <w:rPr>
          <w:b/>
          <w:color w:val="FF0000"/>
          <w:sz w:val="32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.</w:t>
      </w:r>
      <w:r>
        <w:rPr>
          <w:rFonts w:ascii="Times New Roman" w:hAnsi="宋体" w:cs="Times New Roman"/>
          <w:sz w:val="28"/>
          <w:szCs w:val="28"/>
        </w:rPr>
        <w:t>登录网站首页</w:t>
      </w:r>
      <w:r>
        <w:rPr>
          <w:rFonts w:hint="eastAsia" w:ascii="Times New Roman" w:hAnsi="宋体" w:cs="Times New Roman"/>
          <w:sz w:val="28"/>
          <w:szCs w:val="28"/>
        </w:rPr>
        <w:t>（</w:t>
      </w:r>
      <w:r>
        <w:rPr>
          <w:rFonts w:hint="eastAsia"/>
          <w:b/>
          <w:color w:val="FF0000"/>
          <w:sz w:val="32"/>
        </w:rPr>
        <w:t>注：建议使用</w:t>
      </w:r>
      <w:r>
        <w:rPr>
          <w:b/>
          <w:color w:val="FF0000"/>
          <w:sz w:val="32"/>
        </w:rPr>
        <w:t>IE9+、火狐、</w:t>
      </w:r>
      <w:r>
        <w:rPr>
          <w:rFonts w:hint="eastAsia"/>
          <w:b/>
          <w:color w:val="FF0000"/>
          <w:sz w:val="32"/>
        </w:rPr>
        <w:t>谷歌浏览器</w:t>
      </w:r>
      <w:r>
        <w:rPr>
          <w:b/>
          <w:color w:val="FF0000"/>
          <w:sz w:val="32"/>
        </w:rPr>
        <w:t>。</w:t>
      </w:r>
      <w:r>
        <w:rPr>
          <w:rFonts w:hint="eastAsia" w:ascii="Times New Roman" w:hAnsi="宋体" w:cs="Times New Roman"/>
          <w:sz w:val="28"/>
          <w:szCs w:val="28"/>
        </w:rPr>
        <w:t>）</w:t>
      </w:r>
    </w:p>
    <w:p>
      <w:pPr>
        <w:rPr>
          <w:rFonts w:ascii="Times New Roman" w:hAnsi="宋体" w:cs="Times New Roman"/>
          <w:szCs w:val="21"/>
        </w:rPr>
      </w:pPr>
      <w:r>
        <w:rPr>
          <w:rFonts w:ascii="Times New Roman" w:hAnsi="宋体" w:cs="Times New Roman"/>
          <w:szCs w:val="21"/>
        </w:rPr>
        <w:t>用户登录平台网址为：</w:t>
      </w:r>
      <w:r>
        <w:fldChar w:fldCharType="begin"/>
      </w:r>
      <w:r>
        <w:instrText xml:space="preserve"> HYPERLINK "http://dsxxgl.chinaskills-jsw.org/" </w:instrText>
      </w:r>
      <w:r>
        <w:fldChar w:fldCharType="separate"/>
      </w:r>
      <w:r>
        <w:rPr>
          <w:rStyle w:val="17"/>
          <w:rFonts w:ascii="Times New Roman" w:hAnsi="Times New Roman" w:cs="Times New Roman"/>
          <w:szCs w:val="21"/>
        </w:rPr>
        <w:t>http://dsxxgl.chinaskills-jsw.org/</w:t>
      </w:r>
      <w:r>
        <w:rPr>
          <w:rStyle w:val="17"/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宋体" w:cs="Times New Roman"/>
          <w:szCs w:val="21"/>
        </w:rPr>
        <w:t>，输入网址后，如图</w:t>
      </w:r>
      <w:r>
        <w:rPr>
          <w:rFonts w:ascii="Times New Roman" w:hAnsi="Times New Roman" w:cs="Times New Roman"/>
          <w:szCs w:val="21"/>
        </w:rPr>
        <w:t>1.1</w:t>
      </w:r>
      <w:r>
        <w:rPr>
          <w:rFonts w:hint="eastAsia" w:ascii="Times New Roman" w:hAnsi="宋体" w:cs="Times New Roman"/>
          <w:szCs w:val="21"/>
        </w:rPr>
        <w:t>.1所示。</w:t>
      </w:r>
    </w:p>
    <w:p>
      <w:r>
        <w:drawing>
          <wp:inline distT="0" distB="0" distL="0" distR="0">
            <wp:extent cx="7856855" cy="3105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3190" cy="311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图1.1.1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2.登录</w:t>
      </w:r>
    </w:p>
    <w:p>
      <w:pPr>
        <w:rPr>
          <w:szCs w:val="21"/>
        </w:rPr>
      </w:pPr>
      <w:r>
        <w:rPr>
          <w:rFonts w:hint="eastAsia" w:hAnsi="宋体"/>
          <w:szCs w:val="21"/>
        </w:rPr>
        <w:t>（1）点击首页右上方</w:t>
      </w:r>
      <w:r>
        <w:rPr>
          <w:rFonts w:hint="eastAsia" w:hAnsi="宋体"/>
          <w:b/>
          <w:szCs w:val="21"/>
        </w:rPr>
        <w:t>“国赛赛项初评”</w:t>
      </w:r>
      <w:r>
        <w:rPr>
          <w:rFonts w:hint="eastAsia" w:hAnsi="宋体"/>
          <w:szCs w:val="21"/>
        </w:rPr>
        <w:t>按钮，进入模块选择界面。如图1.1.2所示。</w:t>
      </w:r>
    </w:p>
    <w:p>
      <w:pPr>
        <w:jc w:val="center"/>
      </w:pPr>
      <w:r>
        <w:drawing>
          <wp:inline distT="0" distB="0" distL="0" distR="0">
            <wp:extent cx="7848600" cy="4133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5270" cy="41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ind w:firstLine="0" w:firstLineChars="0"/>
        <w:jc w:val="center"/>
      </w:pPr>
      <w:r>
        <w:rPr>
          <w:rFonts w:hint="eastAsia"/>
          <w:sz w:val="21"/>
          <w:szCs w:val="21"/>
        </w:rPr>
        <w:t>图1.1.2</w:t>
      </w:r>
    </w:p>
    <w:p/>
    <w:p>
      <w:pPr>
        <w:pStyle w:val="30"/>
        <w:spacing w:before="156" w:beforeLines="50" w:after="156" w:afterLines="50" w:line="400" w:lineRule="exact"/>
        <w:ind w:left="4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（2）根据实际在选择界面点击相应模块进入评价。如图1.1.3所示。</w:t>
      </w:r>
    </w:p>
    <w:p>
      <w:pPr>
        <w:jc w:val="center"/>
      </w:pPr>
      <w:r>
        <w:drawing>
          <wp:inline distT="0" distB="0" distL="0" distR="0">
            <wp:extent cx="7733030" cy="429577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9280" cy="43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图1.1.3</w:t>
      </w:r>
    </w:p>
    <w:p/>
    <w:p>
      <w:pPr>
        <w:pStyle w:val="2"/>
        <w:rPr>
          <w:sz w:val="36"/>
          <w:szCs w:val="36"/>
        </w:rPr>
      </w:pPr>
      <w:bookmarkStart w:id="6" w:name="_Toc32368"/>
      <w:r>
        <w:rPr>
          <w:rFonts w:hint="eastAsia"/>
          <w:sz w:val="36"/>
          <w:szCs w:val="36"/>
        </w:rPr>
        <w:t>省市行政部门操作说明</w:t>
      </w:r>
      <w:bookmarkEnd w:id="6"/>
    </w:p>
    <w:p>
      <w:pPr>
        <w:pStyle w:val="3"/>
        <w:rPr>
          <w:sz w:val="30"/>
          <w:szCs w:val="30"/>
        </w:rPr>
      </w:pPr>
      <w:bookmarkStart w:id="7" w:name="_Toc23333"/>
      <w:r>
        <w:rPr>
          <w:rFonts w:hint="eastAsia"/>
          <w:sz w:val="30"/>
          <w:szCs w:val="30"/>
        </w:rPr>
        <w:t>页面总览</w:t>
      </w:r>
      <w:bookmarkEnd w:id="7"/>
    </w:p>
    <w:p>
      <w:r>
        <w:rPr>
          <w:rFonts w:hint="eastAsia"/>
        </w:rPr>
        <w:t xml:space="preserve"> 用户在登录页面点选“省市行政部门”后进入省市行政部门评价页面，如图2.1.1、2.1.2</w:t>
      </w:r>
    </w:p>
    <w:p>
      <w:pPr>
        <w:jc w:val="center"/>
      </w:pPr>
      <w:r>
        <w:drawing>
          <wp:inline distT="0" distB="0" distL="0" distR="0">
            <wp:extent cx="8863330" cy="31832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图2.1.1</w:t>
      </w:r>
    </w:p>
    <w:p/>
    <w:p/>
    <w:p>
      <w:r>
        <w:drawing>
          <wp:inline distT="0" distB="0" distL="0" distR="0">
            <wp:extent cx="8863330" cy="2324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7564" cy="23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图2.1.2</w:t>
      </w:r>
    </w:p>
    <w:p>
      <w:pPr>
        <w:pStyle w:val="3"/>
        <w:numPr>
          <w:ilvl w:val="1"/>
          <w:numId w:val="0"/>
        </w:numPr>
        <w:tabs>
          <w:tab w:val="clear" w:pos="681"/>
        </w:tabs>
        <w:ind w:left="105" w:leftChars="0"/>
        <w:rPr>
          <w:sz w:val="30"/>
          <w:szCs w:val="30"/>
        </w:rPr>
      </w:pPr>
      <w:bookmarkStart w:id="8" w:name="_Toc10341"/>
      <w:r>
        <w:rPr>
          <w:rFonts w:hint="eastAsia"/>
          <w:sz w:val="30"/>
          <w:szCs w:val="30"/>
          <w:lang w:val="en-US" w:eastAsia="zh-CN"/>
        </w:rPr>
        <w:t>2.2</w:t>
      </w:r>
      <w:r>
        <w:rPr>
          <w:rFonts w:hint="eastAsia"/>
          <w:sz w:val="30"/>
          <w:szCs w:val="30"/>
        </w:rPr>
        <w:t>省市行政部门评价</w:t>
      </w:r>
      <w:bookmarkEnd w:id="8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</w:rPr>
        <w:t xml:space="preserve">   </w:t>
      </w:r>
      <w:r>
        <w:rPr>
          <w:rFonts w:hint="eastAsia" w:ascii="Times New Roman" w:hAnsi="Times New Roman" w:cs="Times New Roman"/>
          <w:sz w:val="28"/>
          <w:szCs w:val="28"/>
        </w:rPr>
        <w:t>1.</w:t>
      </w:r>
      <w:r>
        <w:rPr>
          <w:rFonts w:hint="eastAsia" w:ascii="Times New Roman" w:hAnsi="宋体" w:cs="Times New Roman"/>
          <w:sz w:val="28"/>
          <w:szCs w:val="28"/>
        </w:rPr>
        <w:t>选择赛事组别</w:t>
      </w:r>
    </w:p>
    <w:p>
      <w:pPr>
        <w:ind w:firstLine="420" w:firstLineChars="200"/>
      </w:pPr>
      <w:r>
        <w:rPr>
          <w:rFonts w:hint="eastAsia"/>
        </w:rPr>
        <w:t>点击图2.2.1上所示的下拉框选择要评价的赛事组别（中职组/高职组）</w:t>
      </w:r>
    </w:p>
    <w:p/>
    <w:p>
      <w:r>
        <w:drawing>
          <wp:inline distT="0" distB="0" distL="0" distR="0">
            <wp:extent cx="8863330" cy="33381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图2.2.1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</w:t>
      </w:r>
    </w:p>
    <w:p>
      <w:pPr>
        <w:rPr>
          <w:rFonts w:ascii="Times New Roman" w:hAnsi="宋体" w:cs="Times New Roman"/>
          <w:sz w:val="28"/>
          <w:szCs w:val="28"/>
        </w:rPr>
      </w:pPr>
    </w:p>
    <w:p>
      <w:pPr>
        <w:rPr>
          <w:rFonts w:ascii="Times New Roman" w:hAnsi="宋体" w:cs="Times New Roman"/>
          <w:sz w:val="28"/>
          <w:szCs w:val="28"/>
        </w:rPr>
      </w:pPr>
    </w:p>
    <w:p>
      <w:pPr>
        <w:rPr>
          <w:rFonts w:ascii="Times New Roman" w:hAnsi="宋体" w:cs="Times New Roman"/>
          <w:sz w:val="28"/>
          <w:szCs w:val="28"/>
        </w:rPr>
      </w:pP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>2.填写页面必填内容</w:t>
      </w:r>
    </w:p>
    <w:p>
      <w:r>
        <w:rPr>
          <w:rFonts w:hint="eastAsia" w:ascii="Times New Roman" w:hAnsi="宋体" w:cs="Times New Roman"/>
          <w:sz w:val="28"/>
          <w:szCs w:val="28"/>
        </w:rPr>
        <w:t xml:space="preserve"> </w:t>
      </w:r>
      <w:r>
        <w:rPr>
          <w:rFonts w:hint="eastAsia"/>
        </w:rPr>
        <w:t>填写基本信息，带星号为必填项，如图2.2.2。</w:t>
      </w:r>
    </w:p>
    <w:p>
      <w:r>
        <w:drawing>
          <wp:inline distT="0" distB="0" distL="0" distR="0">
            <wp:extent cx="8863330" cy="330771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Times New Roman" w:hAnsi="宋体" w:cs="Times New Roman"/>
          <w:sz w:val="28"/>
          <w:szCs w:val="28"/>
        </w:rPr>
      </w:pPr>
      <w:r>
        <w:rPr>
          <w:rFonts w:hint="eastAsia"/>
        </w:rPr>
        <w:t>图2.2.2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3.开始评价</w:t>
      </w:r>
    </w:p>
    <w:p>
      <w:r>
        <w:rPr>
          <w:rFonts w:hint="eastAsia"/>
        </w:rPr>
        <w:t xml:space="preserve">     各省市行政部门可在评价页面“申报方案”一栏下载查看</w:t>
      </w:r>
      <w:r>
        <w:rPr>
          <w:rFonts w:hint="eastAsia"/>
          <w:highlight w:val="none"/>
        </w:rPr>
        <w:t>2018年中职组、高职组各赛项申报方案。</w:t>
      </w:r>
      <w:r>
        <w:rPr>
          <w:rFonts w:hint="eastAsia"/>
        </w:rPr>
        <w:t xml:space="preserve"> 如图2.2.3</w:t>
      </w:r>
    </w:p>
    <w:p>
      <w:r>
        <w:drawing>
          <wp:inline distT="0" distB="0" distL="0" distR="0">
            <wp:extent cx="8863330" cy="155956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图2.2.3</w:t>
      </w:r>
    </w:p>
    <w:p>
      <w:r>
        <w:rPr>
          <w:rFonts w:hint="eastAsia"/>
        </w:rPr>
        <w:t xml:space="preserve">    </w:t>
      </w:r>
    </w:p>
    <w:p>
      <w:pPr>
        <w:rPr>
          <w:highlight w:val="none"/>
        </w:rPr>
      </w:pPr>
      <w:r>
        <w:rPr>
          <w:rFonts w:hint="eastAsia"/>
          <w:highlight w:val="none"/>
        </w:rPr>
        <w:t>点击“是”“否”“弃权”进行评价，“是”代表支持，“否”代表不支持。一页评完后点击页码进入下一页进行评价。如图2.2.4。各评价单位对同一赛项只评价一次，且必须完成本组别内所有赛项的评价，不能漏选，否则不能提交。</w:t>
      </w:r>
    </w:p>
    <w:p>
      <w:pPr>
        <w:rPr>
          <w:highlight w:val="yellow"/>
        </w:rPr>
      </w:pPr>
      <w:r>
        <w:drawing>
          <wp:inline distT="0" distB="0" distL="0" distR="0">
            <wp:extent cx="8863330" cy="14331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图2.2.4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   4.提交下载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</w:t>
      </w:r>
      <w:r>
        <w:rPr>
          <w:rFonts w:hint="eastAsia"/>
        </w:rPr>
        <w:t xml:space="preserve">   页面评价完成后，点击“提交”按钮，把基本信息及评价内容提交入系统，如图2.2.5</w:t>
      </w:r>
    </w:p>
    <w:p/>
    <w:p>
      <w:pPr>
        <w:jc w:val="center"/>
      </w:pPr>
    </w:p>
    <w:p/>
    <w:p>
      <w:r>
        <w:drawing>
          <wp:inline distT="0" distB="0" distL="0" distR="0">
            <wp:extent cx="8863330" cy="2076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图2.2.5</w:t>
      </w:r>
    </w:p>
    <w:p>
      <w:r>
        <w:rPr>
          <w:rFonts w:hint="eastAsia"/>
        </w:rPr>
        <w:t>点击“提交“后会弹出提示框，点击“确认”会继续弹出评估成功对话框图2.2.6，点击“下载”按钮，下载评价的内容。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下载文件后，该组别评价即完成。以相同方式完成另一组别。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0" distR="0">
            <wp:extent cx="3292475" cy="199072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371" cy="20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357880" cy="2209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926" cy="22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图2.2.6</w:t>
      </w:r>
    </w:p>
    <w:p>
      <w:pPr>
        <w:pStyle w:val="2"/>
        <w:rPr>
          <w:sz w:val="36"/>
          <w:szCs w:val="36"/>
        </w:rPr>
      </w:pPr>
      <w:bookmarkStart w:id="9" w:name="_Toc18429"/>
      <w:r>
        <w:rPr>
          <w:rFonts w:hint="eastAsia"/>
          <w:sz w:val="36"/>
          <w:szCs w:val="36"/>
        </w:rPr>
        <w:t>职业院校操作说明</w:t>
      </w:r>
      <w:bookmarkEnd w:id="9"/>
    </w:p>
    <w:p>
      <w:pPr>
        <w:pStyle w:val="3"/>
        <w:rPr>
          <w:sz w:val="30"/>
          <w:szCs w:val="30"/>
        </w:rPr>
      </w:pPr>
      <w:bookmarkStart w:id="10" w:name="_Toc32479"/>
      <w:r>
        <w:rPr>
          <w:rFonts w:hint="eastAsia"/>
          <w:sz w:val="30"/>
          <w:szCs w:val="30"/>
        </w:rPr>
        <w:t>页面总览</w:t>
      </w:r>
      <w:bookmarkEnd w:id="10"/>
    </w:p>
    <w:p>
      <w:r>
        <w:rPr>
          <w:rFonts w:hint="eastAsia"/>
        </w:rPr>
        <w:t>用户在登录页面点选“职业院校”后进入职业院校评价页面，如图3.1.1、3.1.2</w:t>
      </w:r>
    </w:p>
    <w:p>
      <w:r>
        <w:drawing>
          <wp:inline distT="0" distB="0" distL="0" distR="0">
            <wp:extent cx="8863330" cy="365061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图3.1.1</w:t>
      </w:r>
    </w:p>
    <w:p/>
    <w:p>
      <w:r>
        <w:drawing>
          <wp:inline distT="0" distB="0" distL="0" distR="0">
            <wp:extent cx="8863330" cy="24015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rPr>
          <w:rFonts w:hint="eastAsia"/>
        </w:rPr>
        <w:t>图3.1.2</w:t>
      </w:r>
    </w:p>
    <w:p>
      <w:pPr>
        <w:pStyle w:val="3"/>
        <w:numPr>
          <w:ilvl w:val="1"/>
          <w:numId w:val="0"/>
        </w:numPr>
        <w:tabs>
          <w:tab w:val="clear" w:pos="681"/>
        </w:tabs>
        <w:ind w:left="105" w:leftChars="0"/>
        <w:rPr>
          <w:sz w:val="30"/>
          <w:szCs w:val="30"/>
        </w:rPr>
      </w:pPr>
      <w:bookmarkStart w:id="11" w:name="_Toc22057"/>
      <w:r>
        <w:rPr>
          <w:rFonts w:hint="eastAsia"/>
          <w:sz w:val="30"/>
          <w:szCs w:val="30"/>
          <w:lang w:val="en-US" w:eastAsia="zh-CN"/>
        </w:rPr>
        <w:t>3.2</w:t>
      </w:r>
      <w:r>
        <w:rPr>
          <w:rFonts w:hint="eastAsia"/>
          <w:sz w:val="30"/>
          <w:szCs w:val="30"/>
        </w:rPr>
        <w:t>职业院校评价</w:t>
      </w:r>
      <w:bookmarkEnd w:id="11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.</w:t>
      </w:r>
      <w:r>
        <w:rPr>
          <w:rFonts w:hint="eastAsia" w:ascii="Times New Roman" w:hAnsi="宋体" w:cs="Times New Roman"/>
          <w:sz w:val="28"/>
          <w:szCs w:val="28"/>
        </w:rPr>
        <w:t>选择赛事组别</w:t>
      </w:r>
    </w:p>
    <w:p>
      <w:pPr>
        <w:ind w:firstLine="420" w:firstLineChars="200"/>
      </w:pPr>
      <w:r>
        <w:rPr>
          <w:rFonts w:hint="eastAsia"/>
        </w:rPr>
        <w:t>点击图3.2.1上所示的下拉框选择要评价的赛事组别（高职组/中职组）</w:t>
      </w:r>
    </w:p>
    <w:p/>
    <w:p>
      <w:r>
        <w:drawing>
          <wp:inline distT="0" distB="0" distL="0" distR="0">
            <wp:extent cx="8863330" cy="2279015"/>
            <wp:effectExtent l="0" t="0" r="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图3.2.1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   2.填写页面必填内容</w:t>
      </w:r>
    </w:p>
    <w:p>
      <w:r>
        <w:rPr>
          <w:rFonts w:hint="eastAsia" w:ascii="Times New Roman" w:hAnsi="宋体" w:cs="Times New Roman"/>
          <w:sz w:val="28"/>
          <w:szCs w:val="28"/>
        </w:rPr>
        <w:t xml:space="preserve">   </w:t>
      </w:r>
      <w:r>
        <w:rPr>
          <w:rFonts w:hint="eastAsia"/>
        </w:rPr>
        <w:t>填写基本信息，带星号为必填项，如图3.2.2。</w:t>
      </w:r>
    </w:p>
    <w:p/>
    <w:p>
      <w:r>
        <w:drawing>
          <wp:inline distT="0" distB="0" distL="0" distR="0">
            <wp:extent cx="8863330" cy="2284095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图3.2.2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    3.开始评价</w:t>
      </w:r>
    </w:p>
    <w:p>
      <w:pPr>
        <w:ind w:firstLine="420" w:firstLineChars="200"/>
      </w:pPr>
      <w:r>
        <w:rPr>
          <w:rFonts w:hint="eastAsia"/>
        </w:rPr>
        <w:t xml:space="preserve">  点击赛项对应的申报方案进行下载查看，如图3.2.3</w:t>
      </w:r>
    </w:p>
    <w:p/>
    <w:p>
      <w:r>
        <w:drawing>
          <wp:inline distT="0" distB="0" distL="0" distR="0">
            <wp:extent cx="8863330" cy="22701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图3.2.3</w:t>
      </w:r>
    </w:p>
    <w:p>
      <w:pPr>
        <w:ind w:firstLine="420" w:firstLineChars="200"/>
        <w:jc w:val="center"/>
      </w:pPr>
    </w:p>
    <w:p>
      <w:pPr>
        <w:ind w:firstLine="420" w:firstLineChars="200"/>
      </w:pPr>
      <w:r>
        <w:rPr>
          <w:rFonts w:hint="eastAsia"/>
        </w:rPr>
        <w:t xml:space="preserve"> 查看过申报方案后，点击相应赛事的“评价表”（图3.2.4），弹出评价表，进行评价如图3.2.5.</w:t>
      </w:r>
    </w:p>
    <w:p/>
    <w:p>
      <w:r>
        <w:drawing>
          <wp:inline distT="0" distB="0" distL="0" distR="0">
            <wp:extent cx="8863330" cy="247332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图3.2.4</w:t>
      </w:r>
    </w:p>
    <w:p/>
    <w:p>
      <w:r>
        <w:drawing>
          <wp:inline distT="0" distB="0" distL="0" distR="0">
            <wp:extent cx="8863330" cy="482219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图3.2.5</w:t>
      </w:r>
    </w:p>
    <w:p>
      <w:pPr>
        <w:ind w:firstLine="420" w:firstLineChars="200"/>
      </w:pPr>
      <w:r>
        <w:rPr>
          <w:rFonts w:hint="eastAsia"/>
        </w:rPr>
        <w:t>填写得分，得分为正整数，且不大于其对应权重，填完得分后，可填写意见建议（非必填），确认无误，点击“提交”，即把评价内容提交至系统，如图3.2.6,图3.2.7.</w:t>
      </w:r>
    </w:p>
    <w:p/>
    <w:p>
      <w:r>
        <w:drawing>
          <wp:inline distT="0" distB="0" distL="0" distR="0">
            <wp:extent cx="8863330" cy="38195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图3.2.6</w:t>
      </w:r>
    </w:p>
    <w:p>
      <w:pPr>
        <w:ind w:firstLine="420" w:firstLineChars="200"/>
      </w:pPr>
    </w:p>
    <w:p/>
    <w:p>
      <w:r>
        <w:drawing>
          <wp:inline distT="0" distB="0" distL="0" distR="0">
            <wp:extent cx="8863330" cy="473710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图3.2.7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成功提交后，弹出下载对话框，点击“下载”按钮进行下载，如图3.2.8，之后可对其他赛事进行评价。各评价单位对同一赛项只评价一次。</w:t>
      </w:r>
    </w:p>
    <w:p>
      <w:r>
        <w:rPr>
          <w:rFonts w:hint="eastAsia"/>
        </w:rPr>
        <w:drawing>
          <wp:inline distT="0" distB="0" distL="0" distR="0">
            <wp:extent cx="3038475" cy="180975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图3.2.8</w:t>
      </w:r>
    </w:p>
    <w:p>
      <w:pPr>
        <w:pStyle w:val="2"/>
        <w:rPr>
          <w:sz w:val="36"/>
          <w:szCs w:val="36"/>
        </w:rPr>
      </w:pPr>
      <w:bookmarkStart w:id="12" w:name="_Toc26026"/>
      <w:r>
        <w:rPr>
          <w:rFonts w:hint="eastAsia"/>
          <w:sz w:val="36"/>
          <w:szCs w:val="36"/>
        </w:rPr>
        <w:t>竞赛委理事单位操作说明</w:t>
      </w:r>
      <w:bookmarkEnd w:id="12"/>
    </w:p>
    <w:p>
      <w:pPr>
        <w:pStyle w:val="3"/>
        <w:rPr>
          <w:sz w:val="30"/>
          <w:szCs w:val="30"/>
        </w:rPr>
      </w:pPr>
      <w:bookmarkStart w:id="13" w:name="_Toc7035"/>
      <w:r>
        <w:rPr>
          <w:rFonts w:hint="eastAsia"/>
          <w:sz w:val="30"/>
          <w:szCs w:val="30"/>
        </w:rPr>
        <w:t>页面总览</w:t>
      </w:r>
      <w:bookmarkEnd w:id="13"/>
    </w:p>
    <w:p>
      <w:r>
        <w:rPr>
          <w:rFonts w:hint="eastAsia"/>
        </w:rPr>
        <w:t>用户在登录页面点选“竞赛委理事单位”后进入竞赛委理事单位评价页面，如图4.1.1、4.1.2</w:t>
      </w:r>
    </w:p>
    <w:p/>
    <w:p>
      <w:r>
        <w:drawing>
          <wp:inline distT="0" distB="0" distL="0" distR="0">
            <wp:extent cx="8863330" cy="263207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图4.1.1</w:t>
      </w:r>
    </w:p>
    <w:p/>
    <w:p>
      <w:r>
        <w:drawing>
          <wp:inline distT="0" distB="0" distL="0" distR="0">
            <wp:extent cx="8863330" cy="22669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图4.1.2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3"/>
        <w:rPr>
          <w:sz w:val="30"/>
          <w:szCs w:val="30"/>
        </w:rPr>
      </w:pPr>
      <w:bookmarkStart w:id="14" w:name="_Toc8122"/>
      <w:r>
        <w:rPr>
          <w:rFonts w:hint="eastAsia"/>
          <w:sz w:val="30"/>
          <w:szCs w:val="30"/>
        </w:rPr>
        <w:t>竞赛委理事单位评价</w:t>
      </w:r>
      <w:bookmarkEnd w:id="14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.</w:t>
      </w:r>
      <w:r>
        <w:rPr>
          <w:rFonts w:hint="eastAsia" w:ascii="Times New Roman" w:hAnsi="宋体" w:cs="Times New Roman"/>
          <w:sz w:val="28"/>
          <w:szCs w:val="28"/>
        </w:rPr>
        <w:t>选择赛事组别</w:t>
      </w:r>
    </w:p>
    <w:p>
      <w:pPr>
        <w:ind w:firstLine="420" w:firstLineChars="200"/>
      </w:pPr>
      <w:r>
        <w:rPr>
          <w:rFonts w:hint="eastAsia"/>
        </w:rPr>
        <w:t>点击图4.2.1上所示的下拉框选择要评价的赛事组别</w:t>
      </w:r>
    </w:p>
    <w:p/>
    <w:p>
      <w:r>
        <w:drawing>
          <wp:inline distT="0" distB="0" distL="0" distR="0">
            <wp:extent cx="8863330" cy="246570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图4.2.1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2.填写页面必填内容</w:t>
      </w:r>
    </w:p>
    <w:p>
      <w:r>
        <w:rPr>
          <w:rFonts w:hint="eastAsia" w:ascii="Times New Roman" w:hAnsi="宋体" w:cs="Times New Roman"/>
          <w:sz w:val="28"/>
          <w:szCs w:val="28"/>
        </w:rPr>
        <w:t xml:space="preserve">   </w:t>
      </w:r>
      <w:r>
        <w:rPr>
          <w:rFonts w:hint="eastAsia"/>
        </w:rPr>
        <w:t>填写个人信息，带星号为必填项，如图4.2.2。</w:t>
      </w:r>
    </w:p>
    <w:p/>
    <w:p>
      <w:r>
        <w:drawing>
          <wp:inline distT="0" distB="0" distL="0" distR="0">
            <wp:extent cx="8863330" cy="143700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图4.2.2</w:t>
      </w:r>
    </w:p>
    <w:p>
      <w:pPr>
        <w:rPr>
          <w:rFonts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t xml:space="preserve"> 3.开始评价</w:t>
      </w:r>
    </w:p>
    <w:p>
      <w:pPr>
        <w:ind w:firstLine="420" w:firstLineChars="200"/>
      </w:pPr>
      <w:r>
        <w:rPr>
          <w:rFonts w:hint="eastAsia"/>
        </w:rPr>
        <w:t>点击赛项对应的申报方案进行下载，如图4.2.3</w:t>
      </w:r>
    </w:p>
    <w:p/>
    <w:p>
      <w:r>
        <w:drawing>
          <wp:inline distT="0" distB="0" distL="0" distR="0">
            <wp:extent cx="8863330" cy="22701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图4.2.3</w:t>
      </w:r>
    </w:p>
    <w:p>
      <w:pPr>
        <w:ind w:firstLine="420" w:firstLineChars="200"/>
        <w:jc w:val="center"/>
      </w:pPr>
    </w:p>
    <w:p>
      <w:pPr>
        <w:ind w:firstLine="420" w:firstLineChars="200"/>
      </w:pPr>
      <w:r>
        <w:rPr>
          <w:rFonts w:hint="eastAsia"/>
        </w:rPr>
        <w:t>查看过申报方案后，点击相应赛事的“评价表”（图4.2.4），弹出评价表，进行评价如图4.2.5.</w:t>
      </w:r>
    </w:p>
    <w:p/>
    <w:p>
      <w:r>
        <w:drawing>
          <wp:inline distT="0" distB="0" distL="0" distR="0">
            <wp:extent cx="8863330" cy="2473325"/>
            <wp:effectExtent l="0" t="0" r="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图4.2.4</w:t>
      </w:r>
    </w:p>
    <w:p/>
    <w:p>
      <w:r>
        <w:drawing>
          <wp:inline distT="0" distB="0" distL="0" distR="0">
            <wp:extent cx="8863330" cy="482219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图4.2.5</w:t>
      </w:r>
    </w:p>
    <w:p>
      <w:pPr>
        <w:ind w:firstLine="420" w:firstLineChars="200"/>
      </w:pPr>
      <w:r>
        <w:rPr>
          <w:rFonts w:hint="eastAsia"/>
        </w:rPr>
        <w:t>填写得分，得分为正整数，且不大于其对应权重，填完得分后，可填写意见建议（非必填），确认无误，点击“提交”，即把评价内容提交至系统，如图4.2.6,图4.2.7.</w:t>
      </w:r>
    </w:p>
    <w:p/>
    <w:p>
      <w:r>
        <w:drawing>
          <wp:inline distT="0" distB="0" distL="0" distR="0">
            <wp:extent cx="8863330" cy="3819525"/>
            <wp:effectExtent l="0" t="0" r="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图4.2.6</w:t>
      </w:r>
    </w:p>
    <w:p/>
    <w:p>
      <w:r>
        <w:drawing>
          <wp:inline distT="0" distB="0" distL="0" distR="0">
            <wp:extent cx="8863330" cy="4737100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 xml:space="preserve">                                  图4.2.7</w:t>
      </w:r>
    </w:p>
    <w:p>
      <w:pPr>
        <w:ind w:firstLine="420" w:firstLineChars="200"/>
      </w:pPr>
      <w:r>
        <w:rPr>
          <w:rFonts w:hint="eastAsia"/>
        </w:rPr>
        <w:t>成功提交后，弹出下载对话框，点击“下载”按钮进行下载，如图4.2.8，之后可对其他赛事进行评价。各评价单位对同一赛项只评价一次。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3038475" cy="180975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 xml:space="preserve">            图4.2.8</w:t>
      </w:r>
    </w:p>
    <w:p/>
    <w:sectPr>
      <w:footerReference r:id="rId3" w:type="default"/>
      <w:pgSz w:w="16838" w:h="11906" w:orient="landscape"/>
      <w:pgMar w:top="1800" w:right="1440" w:bottom="1800" w:left="144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84877"/>
    <w:multiLevelType w:val="multilevel"/>
    <w:tmpl w:val="3198487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681"/>
        </w:tabs>
        <w:ind w:left="681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7B"/>
    <w:rsid w:val="00053091"/>
    <w:rsid w:val="000913EF"/>
    <w:rsid w:val="00170BEB"/>
    <w:rsid w:val="0047019E"/>
    <w:rsid w:val="0056747F"/>
    <w:rsid w:val="006B7ADC"/>
    <w:rsid w:val="007675ED"/>
    <w:rsid w:val="0092044B"/>
    <w:rsid w:val="00945B00"/>
    <w:rsid w:val="00A7316C"/>
    <w:rsid w:val="00AA0F22"/>
    <w:rsid w:val="00AE347B"/>
    <w:rsid w:val="00F0030F"/>
    <w:rsid w:val="10D76E1B"/>
    <w:rsid w:val="3D3B2064"/>
    <w:rsid w:val="5703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widowControl/>
      <w:numPr>
        <w:ilvl w:val="0"/>
        <w:numId w:val="1"/>
      </w:numPr>
      <w:spacing w:before="340" w:after="330" w:line="578" w:lineRule="auto"/>
      <w:jc w:val="left"/>
      <w:outlineLvl w:val="0"/>
    </w:pPr>
    <w:rPr>
      <w:rFonts w:ascii="Times New Roman" w:hAnsi="Times New Roman" w:eastAsia="宋体" w:cs="Times New Roman"/>
      <w:b/>
      <w:bCs/>
      <w:kern w:val="44"/>
      <w:sz w:val="48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widowControl/>
      <w:numPr>
        <w:ilvl w:val="1"/>
        <w:numId w:val="1"/>
      </w:numPr>
      <w:tabs>
        <w:tab w:val="left" w:pos="432"/>
      </w:tabs>
      <w:spacing w:before="260" w:after="260" w:line="416" w:lineRule="auto"/>
      <w:jc w:val="left"/>
      <w:outlineLvl w:val="1"/>
    </w:pPr>
    <w:rPr>
      <w:rFonts w:ascii="Arial" w:hAnsi="Arial" w:eastAsia="宋体" w:cs="Times New Roman"/>
      <w:b/>
      <w:bCs/>
      <w:kern w:val="0"/>
      <w:sz w:val="36"/>
      <w:szCs w:val="32"/>
    </w:rPr>
  </w:style>
  <w:style w:type="paragraph" w:styleId="4">
    <w:name w:val="heading 3"/>
    <w:basedOn w:val="1"/>
    <w:next w:val="1"/>
    <w:link w:val="23"/>
    <w:qFormat/>
    <w:uiPriority w:val="0"/>
    <w:pPr>
      <w:keepNext/>
      <w:keepLines/>
      <w:widowControl/>
      <w:numPr>
        <w:ilvl w:val="2"/>
        <w:numId w:val="1"/>
      </w:numPr>
      <w:tabs>
        <w:tab w:val="left" w:pos="432"/>
      </w:tabs>
      <w:spacing w:before="260" w:after="260" w:line="416" w:lineRule="auto"/>
      <w:jc w:val="left"/>
      <w:outlineLvl w:val="2"/>
    </w:pPr>
    <w:rPr>
      <w:rFonts w:ascii="Times New Roman" w:hAnsi="Times New Roman" w:eastAsia="宋体" w:cs="Times New Roman"/>
      <w:b/>
      <w:bCs/>
      <w:kern w:val="0"/>
      <w:sz w:val="30"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widowControl/>
      <w:numPr>
        <w:ilvl w:val="3"/>
        <w:numId w:val="1"/>
      </w:numPr>
      <w:tabs>
        <w:tab w:val="left" w:pos="432"/>
      </w:tabs>
      <w:spacing w:before="280" w:after="290" w:line="376" w:lineRule="auto"/>
      <w:jc w:val="left"/>
      <w:outlineLvl w:val="3"/>
    </w:pPr>
    <w:rPr>
      <w:rFonts w:ascii="Arial" w:hAnsi="Arial" w:eastAsia="宋体" w:cs="Times New Roman"/>
      <w:b/>
      <w:bCs/>
      <w:kern w:val="0"/>
      <w:sz w:val="28"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widowControl/>
      <w:numPr>
        <w:ilvl w:val="4"/>
        <w:numId w:val="1"/>
      </w:numPr>
      <w:tabs>
        <w:tab w:val="left" w:pos="432"/>
      </w:tabs>
      <w:spacing w:before="280" w:after="290" w:line="376" w:lineRule="auto"/>
      <w:jc w:val="left"/>
      <w:outlineLvl w:val="4"/>
    </w:pPr>
    <w:rPr>
      <w:rFonts w:ascii="Times New Roman" w:hAnsi="Times New Roman" w:eastAsia="宋体" w:cs="Times New Roman"/>
      <w:b/>
      <w:bCs/>
      <w:kern w:val="0"/>
      <w:sz w:val="24"/>
      <w:szCs w:val="28"/>
    </w:rPr>
  </w:style>
  <w:style w:type="paragraph" w:styleId="7">
    <w:name w:val="heading 6"/>
    <w:basedOn w:val="1"/>
    <w:next w:val="1"/>
    <w:link w:val="26"/>
    <w:qFormat/>
    <w:uiPriority w:val="0"/>
    <w:pPr>
      <w:keepNext/>
      <w:keepLines/>
      <w:widowControl/>
      <w:numPr>
        <w:ilvl w:val="5"/>
        <w:numId w:val="1"/>
      </w:numPr>
      <w:tabs>
        <w:tab w:val="left" w:pos="432"/>
      </w:tabs>
      <w:spacing w:before="240" w:after="64" w:line="320" w:lineRule="auto"/>
      <w:jc w:val="left"/>
      <w:outlineLvl w:val="5"/>
    </w:pPr>
    <w:rPr>
      <w:rFonts w:ascii="Arial" w:hAnsi="Arial" w:eastAsia="黑体" w:cs="Times New Roman"/>
      <w:b/>
      <w:bCs/>
      <w:kern w:val="0"/>
      <w:sz w:val="24"/>
      <w:szCs w:val="24"/>
    </w:rPr>
  </w:style>
  <w:style w:type="paragraph" w:styleId="8">
    <w:name w:val="heading 7"/>
    <w:basedOn w:val="1"/>
    <w:next w:val="1"/>
    <w:link w:val="27"/>
    <w:qFormat/>
    <w:uiPriority w:val="0"/>
    <w:pPr>
      <w:keepNext/>
      <w:keepLines/>
      <w:widowControl/>
      <w:numPr>
        <w:ilvl w:val="6"/>
        <w:numId w:val="1"/>
      </w:numPr>
      <w:tabs>
        <w:tab w:val="left" w:pos="432"/>
      </w:tabs>
      <w:spacing w:before="240" w:after="64" w:line="320" w:lineRule="auto"/>
      <w:jc w:val="left"/>
      <w:outlineLvl w:val="6"/>
    </w:pPr>
    <w:rPr>
      <w:rFonts w:ascii="Times New Roman" w:hAnsi="Times New Roman" w:eastAsia="宋体" w:cs="Times New Roman"/>
      <w:b/>
      <w:bCs/>
      <w:kern w:val="0"/>
      <w:sz w:val="24"/>
      <w:szCs w:val="24"/>
    </w:rPr>
  </w:style>
  <w:style w:type="paragraph" w:styleId="9">
    <w:name w:val="heading 8"/>
    <w:basedOn w:val="1"/>
    <w:next w:val="1"/>
    <w:link w:val="28"/>
    <w:qFormat/>
    <w:uiPriority w:val="0"/>
    <w:pPr>
      <w:keepNext/>
      <w:keepLines/>
      <w:widowControl/>
      <w:numPr>
        <w:ilvl w:val="7"/>
        <w:numId w:val="1"/>
      </w:numPr>
      <w:tabs>
        <w:tab w:val="left" w:pos="432"/>
      </w:tabs>
      <w:spacing w:before="240" w:after="64" w:line="320" w:lineRule="auto"/>
      <w:jc w:val="left"/>
      <w:outlineLvl w:val="7"/>
    </w:pPr>
    <w:rPr>
      <w:rFonts w:ascii="Arial" w:hAnsi="Arial" w:eastAsia="黑体" w:cs="Times New Roman"/>
      <w:kern w:val="0"/>
      <w:sz w:val="24"/>
      <w:szCs w:val="24"/>
    </w:rPr>
  </w:style>
  <w:style w:type="paragraph" w:styleId="10">
    <w:name w:val="heading 9"/>
    <w:basedOn w:val="1"/>
    <w:next w:val="1"/>
    <w:link w:val="29"/>
    <w:qFormat/>
    <w:uiPriority w:val="0"/>
    <w:pPr>
      <w:keepNext/>
      <w:keepLines/>
      <w:widowControl/>
      <w:numPr>
        <w:ilvl w:val="8"/>
        <w:numId w:val="1"/>
      </w:numPr>
      <w:tabs>
        <w:tab w:val="left" w:pos="432"/>
      </w:tabs>
      <w:spacing w:before="240" w:after="64" w:line="320" w:lineRule="auto"/>
      <w:jc w:val="left"/>
      <w:outlineLvl w:val="8"/>
    </w:pPr>
    <w:rPr>
      <w:rFonts w:ascii="Arial" w:hAnsi="Arial" w:eastAsia="黑体" w:cs="Times New Roman"/>
      <w:kern w:val="0"/>
      <w:sz w:val="24"/>
      <w:szCs w:val="21"/>
    </w:rPr>
  </w:style>
  <w:style w:type="character" w:default="1" w:styleId="15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rPr>
      <w:rFonts w:ascii="Calibri" w:hAnsi="Calibri" w:eastAsia="宋体" w:cs="黑体"/>
    </w:rPr>
  </w:style>
  <w:style w:type="paragraph" w:styleId="14">
    <w:name w:val="toc 2"/>
    <w:basedOn w:val="1"/>
    <w:next w:val="1"/>
    <w:qFormat/>
    <w:uiPriority w:val="39"/>
    <w:pPr>
      <w:ind w:left="420" w:leftChars="200"/>
    </w:pPr>
    <w:rPr>
      <w:rFonts w:ascii="Calibri" w:hAnsi="Calibri" w:eastAsia="宋体" w:cs="黑体"/>
    </w:rPr>
  </w:style>
  <w:style w:type="character" w:styleId="16">
    <w:name w:val="FollowedHyperlink"/>
    <w:basedOn w:val="15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qFormat/>
    <w:uiPriority w:val="99"/>
    <w:rPr>
      <w:color w:val="0000FF"/>
      <w:u w:val="single"/>
    </w:rPr>
  </w:style>
  <w:style w:type="character" w:customStyle="1" w:styleId="19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11"/>
    <w:qFormat/>
    <w:uiPriority w:val="99"/>
    <w:rPr>
      <w:sz w:val="18"/>
      <w:szCs w:val="18"/>
    </w:rPr>
  </w:style>
  <w:style w:type="character" w:customStyle="1" w:styleId="21">
    <w:name w:val="标题 1 字符"/>
    <w:basedOn w:val="15"/>
    <w:link w:val="2"/>
    <w:qFormat/>
    <w:uiPriority w:val="0"/>
    <w:rPr>
      <w:rFonts w:ascii="Times New Roman" w:hAnsi="Times New Roman" w:eastAsia="宋体" w:cs="Times New Roman"/>
      <w:b/>
      <w:bCs/>
      <w:kern w:val="44"/>
      <w:sz w:val="48"/>
      <w:szCs w:val="44"/>
    </w:rPr>
  </w:style>
  <w:style w:type="character" w:customStyle="1" w:styleId="22">
    <w:name w:val="标题 2 字符"/>
    <w:basedOn w:val="15"/>
    <w:link w:val="3"/>
    <w:qFormat/>
    <w:uiPriority w:val="0"/>
    <w:rPr>
      <w:rFonts w:ascii="Arial" w:hAnsi="Arial" w:eastAsia="宋体" w:cs="Times New Roman"/>
      <w:b/>
      <w:bCs/>
      <w:kern w:val="0"/>
      <w:sz w:val="36"/>
      <w:szCs w:val="32"/>
    </w:rPr>
  </w:style>
  <w:style w:type="character" w:customStyle="1" w:styleId="23">
    <w:name w:val="标题 3 字符"/>
    <w:basedOn w:val="15"/>
    <w:link w:val="4"/>
    <w:qFormat/>
    <w:uiPriority w:val="0"/>
    <w:rPr>
      <w:rFonts w:ascii="Times New Roman" w:hAnsi="Times New Roman" w:eastAsia="宋体" w:cs="Times New Roman"/>
      <w:b/>
      <w:bCs/>
      <w:kern w:val="0"/>
      <w:sz w:val="30"/>
      <w:szCs w:val="32"/>
    </w:rPr>
  </w:style>
  <w:style w:type="character" w:customStyle="1" w:styleId="24">
    <w:name w:val="标题 4 字符"/>
    <w:basedOn w:val="15"/>
    <w:link w:val="5"/>
    <w:qFormat/>
    <w:uiPriority w:val="0"/>
    <w:rPr>
      <w:rFonts w:ascii="Arial" w:hAnsi="Arial" w:eastAsia="宋体" w:cs="Times New Roman"/>
      <w:b/>
      <w:bCs/>
      <w:kern w:val="0"/>
      <w:sz w:val="28"/>
      <w:szCs w:val="28"/>
    </w:rPr>
  </w:style>
  <w:style w:type="character" w:customStyle="1" w:styleId="25">
    <w:name w:val="标题 5 字符"/>
    <w:basedOn w:val="15"/>
    <w:link w:val="6"/>
    <w:qFormat/>
    <w:uiPriority w:val="0"/>
    <w:rPr>
      <w:rFonts w:ascii="Times New Roman" w:hAnsi="Times New Roman" w:eastAsia="宋体" w:cs="Times New Roman"/>
      <w:b/>
      <w:bCs/>
      <w:kern w:val="0"/>
      <w:sz w:val="24"/>
      <w:szCs w:val="28"/>
    </w:rPr>
  </w:style>
  <w:style w:type="character" w:customStyle="1" w:styleId="26">
    <w:name w:val="标题 6 字符"/>
    <w:basedOn w:val="15"/>
    <w:link w:val="7"/>
    <w:qFormat/>
    <w:uiPriority w:val="0"/>
    <w:rPr>
      <w:rFonts w:ascii="Arial" w:hAnsi="Arial" w:eastAsia="黑体" w:cs="Times New Roman"/>
      <w:b/>
      <w:bCs/>
      <w:kern w:val="0"/>
      <w:sz w:val="24"/>
      <w:szCs w:val="24"/>
    </w:rPr>
  </w:style>
  <w:style w:type="character" w:customStyle="1" w:styleId="27">
    <w:name w:val="标题 7 字符"/>
    <w:basedOn w:val="15"/>
    <w:link w:val="8"/>
    <w:qFormat/>
    <w:uiPriority w:val="0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28">
    <w:name w:val="标题 8 字符"/>
    <w:basedOn w:val="15"/>
    <w:link w:val="9"/>
    <w:qFormat/>
    <w:uiPriority w:val="0"/>
    <w:rPr>
      <w:rFonts w:ascii="Arial" w:hAnsi="Arial" w:eastAsia="黑体" w:cs="Times New Roman"/>
      <w:kern w:val="0"/>
      <w:sz w:val="24"/>
      <w:szCs w:val="24"/>
    </w:rPr>
  </w:style>
  <w:style w:type="character" w:customStyle="1" w:styleId="29">
    <w:name w:val="标题 9 字符"/>
    <w:basedOn w:val="15"/>
    <w:link w:val="10"/>
    <w:qFormat/>
    <w:uiPriority w:val="0"/>
    <w:rPr>
      <w:rFonts w:ascii="Arial" w:hAnsi="Arial" w:eastAsia="黑体" w:cs="Times New Roman"/>
      <w:kern w:val="0"/>
      <w:sz w:val="24"/>
      <w:szCs w:val="21"/>
    </w:rPr>
  </w:style>
  <w:style w:type="paragraph" w:customStyle="1" w:styleId="30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401</Words>
  <Characters>2288</Characters>
  <Lines>19</Lines>
  <Paragraphs>5</Paragraphs>
  <ScaleCrop>false</ScaleCrop>
  <LinksUpToDate>false</LinksUpToDate>
  <CharactersWithSpaces>2684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2017-09-18T06:58:00Z</dcterms:created>
  <dc:creator>许超</dc:creator>
  <cp:lastModifiedBy>1</cp:lastModifiedBy>
  <dcterms:modified xsi:type="dcterms:W3CDTF">2017-09-20T05:11:16Z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