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val="0"/>
        <w:snapToGrid w:val="0"/>
        <w:jc w:val="center"/>
        <w:textAlignment w:val="auto"/>
        <w:rPr>
          <w:rFonts w:hint="eastAsia" w:ascii="楷体" w:hAnsi="楷体" w:eastAsia="楷体" w:cs="楷体"/>
          <w:snapToGrid/>
          <w:kern w:val="2"/>
          <w:sz w:val="30"/>
          <w:szCs w:val="30"/>
          <w:lang w:eastAsia="zh-Hans"/>
        </w:rPr>
      </w:pPr>
      <w:r>
        <w:rPr>
          <w:rFonts w:hint="eastAsia" w:ascii="楷体" w:hAnsi="楷体" w:eastAsia="楷体" w:cs="楷体"/>
          <w:snapToGrid/>
          <w:kern w:val="2"/>
          <w:sz w:val="30"/>
          <w:szCs w:val="30"/>
          <w:lang w:eastAsia="zh-Hans"/>
        </w:rPr>
        <w:t>2023年</w:t>
      </w:r>
      <w:r>
        <w:rPr>
          <w:rFonts w:hint="eastAsia" w:ascii="楷体" w:hAnsi="楷体" w:eastAsia="楷体" w:cs="楷体"/>
          <w:snapToGrid/>
          <w:kern w:val="2"/>
          <w:sz w:val="30"/>
          <w:szCs w:val="30"/>
          <w:lang w:eastAsia="zh-CN"/>
        </w:rPr>
        <w:t>全国职业院校技能大赛（</w:t>
      </w:r>
      <w:r>
        <w:rPr>
          <w:rFonts w:hint="eastAsia" w:ascii="楷体" w:hAnsi="楷体" w:eastAsia="楷体" w:cs="楷体"/>
          <w:snapToGrid/>
          <w:kern w:val="2"/>
          <w:sz w:val="30"/>
          <w:szCs w:val="30"/>
          <w:lang w:val="en-US" w:eastAsia="zh-CN"/>
        </w:rPr>
        <w:t>高</w:t>
      </w:r>
      <w:r>
        <w:rPr>
          <w:rFonts w:hint="eastAsia" w:ascii="楷体" w:hAnsi="楷体" w:eastAsia="楷体" w:cs="楷体"/>
          <w:snapToGrid/>
          <w:kern w:val="2"/>
          <w:sz w:val="30"/>
          <w:szCs w:val="30"/>
          <w:lang w:eastAsia="zh-CN"/>
        </w:rPr>
        <w:t>职组）</w:t>
      </w:r>
      <w:r>
        <w:rPr>
          <w:rFonts w:hint="eastAsia" w:ascii="楷体" w:hAnsi="楷体" w:eastAsia="楷体" w:cs="楷体"/>
          <w:snapToGrid/>
          <w:kern w:val="2"/>
          <w:sz w:val="30"/>
          <w:szCs w:val="30"/>
          <w:lang w:val="en-US" w:eastAsia="zh-CN"/>
        </w:rPr>
        <w:t>老年护理与保健</w:t>
      </w:r>
      <w:r>
        <w:rPr>
          <w:rFonts w:hint="eastAsia" w:ascii="楷体" w:hAnsi="楷体" w:eastAsia="楷体" w:cs="楷体"/>
          <w:snapToGrid/>
          <w:kern w:val="2"/>
          <w:sz w:val="30"/>
          <w:szCs w:val="30"/>
          <w:lang w:eastAsia="zh-Hans"/>
        </w:rPr>
        <w:t>赛项</w:t>
      </w:r>
    </w:p>
    <w:p>
      <w:pPr>
        <w:widowControl w:val="0"/>
        <w:kinsoku/>
        <w:autoSpaceDE/>
        <w:autoSpaceDN/>
        <w:adjustRightInd w:val="0"/>
        <w:snapToGrid w:val="0"/>
        <w:spacing w:line="360" w:lineRule="auto"/>
        <w:jc w:val="center"/>
        <w:textAlignment w:val="auto"/>
        <w:rPr>
          <w:rFonts w:hint="eastAsia" w:ascii="楷体" w:hAnsi="楷体" w:eastAsia="楷体" w:cs="楷体"/>
          <w:b/>
          <w:bCs/>
          <w:snapToGrid w:val="0"/>
          <w:color w:val="000000"/>
          <w:kern w:val="0"/>
          <w:sz w:val="30"/>
          <w:szCs w:val="30"/>
          <w:lang w:val="en-US" w:eastAsia="zh-CN"/>
        </w:rPr>
      </w:pPr>
      <w:r>
        <w:rPr>
          <w:rFonts w:hint="eastAsia" w:ascii="楷体" w:hAnsi="楷体" w:eastAsia="楷体" w:cs="楷体"/>
          <w:b/>
          <w:bCs/>
          <w:snapToGrid w:val="0"/>
          <w:color w:val="000000"/>
          <w:kern w:val="0"/>
          <w:sz w:val="30"/>
          <w:szCs w:val="30"/>
          <w:lang w:val="en-US" w:eastAsia="zh-CN"/>
        </w:rPr>
        <w:t>社区居家场景—健康保健模块</w:t>
      </w:r>
      <w:bookmarkStart w:id="0" w:name="_GoBack"/>
      <w:bookmarkEnd w:id="0"/>
    </w:p>
    <w:p>
      <w:pPr>
        <w:widowControl w:val="0"/>
        <w:kinsoku/>
        <w:autoSpaceDE/>
        <w:autoSpaceDN/>
        <w:adjustRightInd w:val="0"/>
        <w:snapToGrid w:val="0"/>
        <w:spacing w:line="360" w:lineRule="auto"/>
        <w:jc w:val="center"/>
        <w:textAlignment w:val="auto"/>
        <w:rPr>
          <w:rFonts w:hint="eastAsia" w:ascii="楷体" w:hAnsi="楷体" w:eastAsia="楷体" w:cs="楷体"/>
          <w:b/>
          <w:bCs/>
          <w:snapToGrid w:val="0"/>
          <w:color w:val="000000"/>
          <w:kern w:val="0"/>
          <w:sz w:val="30"/>
          <w:szCs w:val="30"/>
          <w:lang w:val="en-US" w:eastAsia="zh-CN"/>
        </w:rPr>
      </w:pPr>
      <w:r>
        <w:rPr>
          <w:rFonts w:hint="eastAsia" w:ascii="楷体" w:hAnsi="楷体" w:eastAsia="楷体" w:cs="楷体"/>
          <w:b/>
          <w:bCs/>
          <w:snapToGrid w:val="0"/>
          <w:color w:val="000000"/>
          <w:kern w:val="0"/>
          <w:sz w:val="30"/>
          <w:szCs w:val="30"/>
          <w:lang w:val="en-US" w:eastAsia="zh-CN"/>
        </w:rPr>
        <w:t>更新健康档案和健康保健指导书评分标准</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4386"/>
        <w:gridCol w:w="797"/>
        <w:gridCol w:w="709"/>
        <w:gridCol w:w="91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271" w:type="dxa"/>
            <w:vMerge w:val="restart"/>
            <w:vAlign w:val="center"/>
          </w:tcPr>
          <w:p>
            <w:pPr>
              <w:pStyle w:val="8"/>
              <w:framePr w:wrap="auto" w:vAnchor="margin" w:hAnchor="text" w:yAlign="inline"/>
              <w:jc w:val="center"/>
              <w:rPr>
                <w:rFonts w:ascii="Times New Roman" w:hAnsi="Times New Roman" w:eastAsia="仿宋_GB2312" w:cs="Times New Roman"/>
                <w:b/>
                <w:bCs/>
                <w:color w:val="auto"/>
                <w:kern w:val="0"/>
                <w:sz w:val="24"/>
                <w:szCs w:val="24"/>
              </w:rPr>
            </w:pPr>
            <w:r>
              <w:rPr>
                <w:rFonts w:ascii="Times New Roman" w:hAnsi="Times New Roman" w:eastAsia="仿宋_GB2312" w:cs="Times New Roman"/>
                <w:b/>
                <w:bCs/>
                <w:color w:val="auto"/>
                <w:kern w:val="0"/>
                <w:sz w:val="24"/>
                <w:szCs w:val="24"/>
                <w:lang w:val="zh-TW"/>
              </w:rPr>
              <w:t>评分标准一级指标</w:t>
            </w:r>
          </w:p>
        </w:tc>
        <w:tc>
          <w:tcPr>
            <w:tcW w:w="4386" w:type="dxa"/>
            <w:vMerge w:val="restart"/>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u w:color="000000"/>
                <w:lang w:val="zh-TW"/>
              </w:rPr>
              <w:t>评分标准二级指标</w:t>
            </w:r>
          </w:p>
        </w:tc>
        <w:tc>
          <w:tcPr>
            <w:tcW w:w="3127" w:type="dxa"/>
            <w:gridSpan w:val="4"/>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271" w:type="dxa"/>
            <w:vMerge w:val="continue"/>
            <w:vAlign w:val="bottom"/>
          </w:tcPr>
          <w:p>
            <w:pPr>
              <w:jc w:val="center"/>
              <w:rPr>
                <w:rFonts w:ascii="Times New Roman" w:hAnsi="Times New Roman" w:eastAsia="仿宋_GB2312"/>
                <w:b/>
                <w:bCs/>
                <w:sz w:val="24"/>
                <w:szCs w:val="24"/>
              </w:rPr>
            </w:pPr>
          </w:p>
        </w:tc>
        <w:tc>
          <w:tcPr>
            <w:tcW w:w="4386" w:type="dxa"/>
            <w:vMerge w:val="continue"/>
            <w:vAlign w:val="bottom"/>
          </w:tcPr>
          <w:p>
            <w:pPr>
              <w:rPr>
                <w:rFonts w:ascii="Times New Roman" w:hAnsi="Times New Roman" w:eastAsia="仿宋_GB2312"/>
                <w:b/>
                <w:bCs/>
                <w:sz w:val="24"/>
                <w:szCs w:val="24"/>
              </w:rPr>
            </w:pPr>
          </w:p>
        </w:tc>
        <w:tc>
          <w:tcPr>
            <w:tcW w:w="797"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完全</w:t>
            </w:r>
          </w:p>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满足</w:t>
            </w:r>
          </w:p>
        </w:tc>
        <w:tc>
          <w:tcPr>
            <w:tcW w:w="709"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基本</w:t>
            </w:r>
          </w:p>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满足</w:t>
            </w:r>
          </w:p>
        </w:tc>
        <w:tc>
          <w:tcPr>
            <w:tcW w:w="912"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基本没满足</w:t>
            </w:r>
          </w:p>
        </w:tc>
        <w:tc>
          <w:tcPr>
            <w:tcW w:w="709"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完全没满足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一、直观性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w:t>
            </w:r>
            <w:r>
              <w:rPr>
                <w:rStyle w:val="7"/>
                <w:rFonts w:ascii="Times New Roman" w:hAnsi="Times New Roman" w:eastAsia="仿宋_GB2312"/>
                <w:sz w:val="24"/>
                <w:szCs w:val="24"/>
              </w:rPr>
              <w:t>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1.表述易于工作团队沟通</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2.从专业角度看，表述恰当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3.整体结构合理，层次分明，条理清晰</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4.使用图表恰当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5.表述专业规范</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二、功能性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6.对应本案例老人的护理保健需求</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7.体现老年护理与保健相关专业发展新成果</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8.具有老年护理与保健相关专业实践可行性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9.使用专业术语，具有相关知识说明支撑</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10.方案内容正确</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三、持久性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11.具有长期性，设计了后续护理保健</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12.考虑了老年护理与保健人员与被服务者双方在长期护理保健中需求变化与任务扩展的可能性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13.说明了长久护理保健中可能出现的问题</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14.考虑了服务实施的便利性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15.分析了方案对本案例老人的合理性与适宜性价值</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四、经济性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16.在效率与经济上合适，被护理保健对象认可</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17.在时间与人员安排上妥当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18.提供服务的成本与服务机构基本收益关系合理可行性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19.考虑了为工作完成的后续支出</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20.考虑了职业服务过程的效率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rPr>
              <w:t>五、服务流程和工作过程导向</w:t>
            </w:r>
          </w:p>
          <w:p>
            <w:pPr>
              <w:jc w:val="center"/>
              <w:rPr>
                <w:rFonts w:ascii="Times New Roman" w:hAnsi="Times New Roman" w:eastAsia="仿宋_GB2312"/>
                <w:sz w:val="24"/>
                <w:szCs w:val="24"/>
              </w:rPr>
            </w:pP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20分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21.工作流程和管理适合护理保健人员及其机构、护理保健对象等双方</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22.按照工作过程设计</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23.考虑了本任务前后及平行任务之间的相关关系，说明理由</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24.反映出专业核心能力，以及自主决策与行动的能力</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25.考虑了与本专业工作范围相关人员、机构的合作</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六、社会接受度</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15分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26.运用了相关法规（如服务对象权益保障法、医疗保险、长期护理险、相关卫生法规等）</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2</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27.运用了劳动保护和事故防范相关规定</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28.体现了人性化的工作与组织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29.提出符合人体工程学的建议</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30.分析了文化、习惯、职业等与科学养老护理保健的相互影响</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七、环境保护与环境适宜性改进</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31.考虑了废弃物的回收处理与再利用</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32.考虑了降低环境引起感染或污染的可能性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33.考虑了用品的环保性、适宜性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34.考虑了环境保护、节能与提高能源利用率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spacing w:line="276" w:lineRule="auto"/>
              <w:rPr>
                <w:rFonts w:ascii="Times New Roman" w:hAnsi="Times New Roman" w:eastAsia="仿宋_GB2312"/>
                <w:sz w:val="24"/>
                <w:szCs w:val="24"/>
              </w:rPr>
            </w:pPr>
            <w:r>
              <w:rPr>
                <w:rFonts w:ascii="Times New Roman" w:hAnsi="Times New Roman" w:eastAsia="仿宋_GB2312"/>
                <w:sz w:val="24"/>
                <w:szCs w:val="24"/>
              </w:rPr>
              <w:t>35.考虑了环境舒适、适宜与美的协调</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八、创造性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15分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36.包含超出问题解决常规范畴的内容</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37.提出了不同寻常的内涵，并很有意义</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38.方案的设计思路与质量具有明显创新性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39.表现出对本个案问题的职业敏感性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40.充分使用了题目所提供的设计空间</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bl>
    <w:p>
      <w:pPr>
        <w:pStyle w:val="2"/>
        <w:ind w:firstLine="0" w:firstLineChars="0"/>
        <w:rPr>
          <w:rFonts w:ascii="宋体" w:hAnsi="宋体" w:cs="宋体"/>
          <w:b/>
          <w:bCs/>
          <w:color w:val="000000"/>
          <w:spacing w:val="-2"/>
          <w:w w:val="101"/>
          <w:kern w:val="0"/>
          <w:sz w:val="3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EE87A66"/>
    <w:rsid w:val="0EE87A66"/>
    <w:rsid w:val="2D677EDC"/>
    <w:rsid w:val="723B4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4">
    <w:name w:val="header"/>
    <w:basedOn w:val="1"/>
    <w:qFormat/>
    <w:uiPriority w:val="0"/>
    <w:pPr>
      <w:tabs>
        <w:tab w:val="center" w:pos="4153"/>
        <w:tab w:val="right" w:pos="8306"/>
      </w:tabs>
      <w:jc w:val="center"/>
    </w:pPr>
    <w:rPr>
      <w:sz w:val="18"/>
      <w:szCs w:val="18"/>
    </w:rPr>
  </w:style>
  <w:style w:type="character" w:styleId="7">
    <w:name w:val="annotation reference"/>
    <w:qFormat/>
    <w:uiPriority w:val="0"/>
    <w:rPr>
      <w:sz w:val="21"/>
      <w:szCs w:val="21"/>
    </w:rPr>
  </w:style>
  <w:style w:type="paragraph" w:customStyle="1" w:styleId="8">
    <w:name w:val="正文 A"/>
    <w:qFormat/>
    <w:uiPriority w:val="0"/>
    <w:pPr>
      <w:framePr w:wrap="around" w:vAnchor="margin" w:hAnchor="text" w:y="1"/>
      <w:widowControl w:val="0"/>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2023-10-05T07:15:00Z</dcterms:created>
  <dc:creator>陈红</dc:creator>
  <cp:lastModifiedBy>陈红</cp:lastModifiedBy>
  <dcterms:modified xsi:type="dcterms:W3CDTF">2023-10-10T14:21:36Z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E875FEF2BCA34DD79FBB6C81FC6C188E_11</vt:lpwstr>
  </property>
</Properties>
</file>