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kinsoku/>
        <w:autoSpaceDE/>
        <w:autoSpaceDN/>
        <w:adjustRightInd w:val="0"/>
        <w:snapToGrid w:val="0"/>
        <w:jc w:val="center"/>
        <w:textAlignment w:val="auto"/>
        <w:rPr>
          <w:rFonts w:hint="eastAsia" w:ascii="楷体" w:hAnsi="楷体" w:eastAsia="楷体" w:cs="楷体"/>
          <w:snapToGrid/>
          <w:kern w:val="2"/>
          <w:sz w:val="30"/>
          <w:szCs w:val="30"/>
          <w:lang w:eastAsia="zh-Hans"/>
        </w:rPr>
      </w:pPr>
      <w:r>
        <w:rPr>
          <w:rFonts w:hint="eastAsia" w:ascii="楷体" w:hAnsi="楷体" w:eastAsia="楷体" w:cs="楷体"/>
          <w:snapToGrid/>
          <w:kern w:val="2"/>
          <w:sz w:val="30"/>
          <w:szCs w:val="30"/>
          <w:lang w:eastAsia="zh-Hans"/>
        </w:rPr>
        <w:t>2023年</w:t>
      </w:r>
      <w:r>
        <w:rPr>
          <w:rFonts w:hint="eastAsia" w:ascii="楷体" w:hAnsi="楷体" w:eastAsia="楷体" w:cs="楷体"/>
          <w:snapToGrid/>
          <w:kern w:val="2"/>
          <w:sz w:val="30"/>
          <w:szCs w:val="30"/>
          <w:lang w:eastAsia="zh-CN"/>
        </w:rPr>
        <w:t>全国职业院校技能大赛（</w:t>
      </w:r>
      <w:r>
        <w:rPr>
          <w:rFonts w:hint="eastAsia" w:ascii="楷体" w:hAnsi="楷体" w:eastAsia="楷体" w:cs="楷体"/>
          <w:snapToGrid/>
          <w:kern w:val="2"/>
          <w:sz w:val="30"/>
          <w:szCs w:val="30"/>
          <w:lang w:val="en-US" w:eastAsia="zh-CN"/>
        </w:rPr>
        <w:t>高</w:t>
      </w:r>
      <w:r>
        <w:rPr>
          <w:rFonts w:hint="eastAsia" w:ascii="楷体" w:hAnsi="楷体" w:eastAsia="楷体" w:cs="楷体"/>
          <w:snapToGrid/>
          <w:kern w:val="2"/>
          <w:sz w:val="30"/>
          <w:szCs w:val="30"/>
          <w:lang w:eastAsia="zh-CN"/>
        </w:rPr>
        <w:t>职组）</w:t>
      </w:r>
      <w:r>
        <w:rPr>
          <w:rFonts w:hint="eastAsia" w:ascii="楷体" w:hAnsi="楷体" w:eastAsia="楷体" w:cs="楷体"/>
          <w:snapToGrid/>
          <w:kern w:val="2"/>
          <w:sz w:val="30"/>
          <w:szCs w:val="30"/>
          <w:lang w:val="en-US" w:eastAsia="zh-CN"/>
        </w:rPr>
        <w:t>老年护理与保健</w:t>
      </w:r>
      <w:r>
        <w:rPr>
          <w:rFonts w:hint="eastAsia" w:ascii="楷体" w:hAnsi="楷体" w:eastAsia="楷体" w:cs="楷体"/>
          <w:snapToGrid/>
          <w:kern w:val="2"/>
          <w:sz w:val="30"/>
          <w:szCs w:val="30"/>
          <w:lang w:eastAsia="zh-Hans"/>
        </w:rPr>
        <w:t>赛项</w:t>
      </w:r>
    </w:p>
    <w:p>
      <w:pPr>
        <w:widowControl w:val="0"/>
        <w:kinsoku/>
        <w:autoSpaceDE/>
        <w:autoSpaceDN/>
        <w:adjustRightInd w:val="0"/>
        <w:snapToGrid w:val="0"/>
        <w:spacing w:line="360" w:lineRule="auto"/>
        <w:jc w:val="center"/>
        <w:textAlignment w:val="auto"/>
        <w:rPr>
          <w:rFonts w:hint="eastAsia" w:ascii="楷体" w:hAnsi="楷体" w:eastAsia="楷体" w:cs="楷体"/>
          <w:b/>
          <w:bCs/>
          <w:snapToGrid w:val="0"/>
          <w:color w:val="000000"/>
          <w:kern w:val="0"/>
          <w:sz w:val="30"/>
          <w:szCs w:val="30"/>
          <w:lang w:val="en-US" w:eastAsia="zh-CN"/>
        </w:rPr>
      </w:pPr>
      <w:r>
        <w:rPr>
          <w:rFonts w:hint="eastAsia" w:ascii="楷体" w:hAnsi="楷体" w:eastAsia="楷体" w:cs="楷体"/>
          <w:b/>
          <w:bCs/>
          <w:snapToGrid w:val="0"/>
          <w:color w:val="000000"/>
          <w:kern w:val="0"/>
          <w:sz w:val="30"/>
          <w:szCs w:val="30"/>
          <w:lang w:val="en-US" w:eastAsia="zh-CN"/>
        </w:rPr>
        <w:t>医养机构</w:t>
      </w:r>
      <w:bookmarkStart w:id="0" w:name="_GoBack"/>
      <w:bookmarkEnd w:id="0"/>
      <w:r>
        <w:rPr>
          <w:rFonts w:hint="eastAsia" w:ascii="楷体" w:hAnsi="楷体" w:eastAsia="楷体" w:cs="楷体"/>
          <w:b/>
          <w:bCs/>
          <w:snapToGrid w:val="0"/>
          <w:color w:val="000000"/>
          <w:kern w:val="0"/>
          <w:sz w:val="30"/>
          <w:szCs w:val="30"/>
          <w:lang w:val="en-US" w:eastAsia="zh-CN"/>
        </w:rPr>
        <w:t>场景—健康保健模块</w:t>
      </w:r>
    </w:p>
    <w:p>
      <w:pPr>
        <w:widowControl w:val="0"/>
        <w:kinsoku/>
        <w:autoSpaceDE/>
        <w:autoSpaceDN/>
        <w:adjustRightInd w:val="0"/>
        <w:snapToGrid w:val="0"/>
        <w:spacing w:line="360" w:lineRule="auto"/>
        <w:jc w:val="center"/>
        <w:textAlignment w:val="auto"/>
        <w:rPr>
          <w:rFonts w:hint="eastAsia" w:ascii="楷体" w:hAnsi="楷体" w:eastAsia="楷体" w:cs="楷体"/>
          <w:b/>
          <w:bCs/>
          <w:snapToGrid w:val="0"/>
          <w:color w:val="000000"/>
          <w:kern w:val="0"/>
          <w:sz w:val="30"/>
          <w:szCs w:val="30"/>
          <w:lang w:val="en-US" w:eastAsia="zh-CN"/>
        </w:rPr>
      </w:pPr>
      <w:r>
        <w:rPr>
          <w:rFonts w:hint="eastAsia" w:ascii="楷体" w:hAnsi="楷体" w:eastAsia="楷体" w:cs="楷体"/>
          <w:b/>
          <w:bCs/>
          <w:snapToGrid w:val="0"/>
          <w:color w:val="000000"/>
          <w:kern w:val="0"/>
          <w:sz w:val="30"/>
          <w:szCs w:val="30"/>
          <w:lang w:val="en-US" w:eastAsia="zh-CN"/>
        </w:rPr>
        <w:t>更新健康档案和健康保健指导书评分标准</w:t>
      </w:r>
    </w:p>
    <w:tbl>
      <w:tblPr>
        <w:tblStyle w:val="5"/>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4386"/>
        <w:gridCol w:w="797"/>
        <w:gridCol w:w="709"/>
        <w:gridCol w:w="912"/>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 w:hRule="atLeast"/>
          <w:jc w:val="center"/>
        </w:trPr>
        <w:tc>
          <w:tcPr>
            <w:tcW w:w="1271" w:type="dxa"/>
            <w:vMerge w:val="restart"/>
            <w:vAlign w:val="center"/>
          </w:tcPr>
          <w:p>
            <w:pPr>
              <w:pStyle w:val="8"/>
              <w:framePr w:wrap="auto" w:vAnchor="margin" w:hAnchor="text" w:yAlign="inline"/>
              <w:jc w:val="center"/>
              <w:rPr>
                <w:rFonts w:ascii="Times New Roman" w:hAnsi="Times New Roman" w:eastAsia="仿宋_GB2312" w:cs="Times New Roman"/>
                <w:b/>
                <w:bCs/>
                <w:color w:val="auto"/>
                <w:kern w:val="0"/>
                <w:sz w:val="24"/>
                <w:szCs w:val="24"/>
              </w:rPr>
            </w:pPr>
            <w:r>
              <w:rPr>
                <w:rFonts w:ascii="Times New Roman" w:hAnsi="Times New Roman" w:eastAsia="仿宋_GB2312" w:cs="Times New Roman"/>
                <w:b/>
                <w:bCs/>
                <w:color w:val="auto"/>
                <w:kern w:val="0"/>
                <w:sz w:val="24"/>
                <w:szCs w:val="24"/>
                <w:lang w:val="zh-TW"/>
              </w:rPr>
              <w:t>评分标准一级指标</w:t>
            </w:r>
          </w:p>
        </w:tc>
        <w:tc>
          <w:tcPr>
            <w:tcW w:w="4386" w:type="dxa"/>
            <w:vMerge w:val="restart"/>
            <w:vAlign w:val="center"/>
          </w:tcPr>
          <w:p>
            <w:pPr>
              <w:jc w:val="center"/>
              <w:rPr>
                <w:rFonts w:ascii="Times New Roman" w:hAnsi="Times New Roman" w:eastAsia="仿宋_GB2312"/>
                <w:b/>
                <w:bCs/>
                <w:sz w:val="24"/>
                <w:szCs w:val="24"/>
              </w:rPr>
            </w:pPr>
            <w:r>
              <w:rPr>
                <w:rFonts w:ascii="Times New Roman" w:hAnsi="Times New Roman" w:eastAsia="仿宋_GB2312"/>
                <w:b/>
                <w:bCs/>
                <w:sz w:val="24"/>
                <w:szCs w:val="24"/>
                <w:u w:color="000000"/>
                <w:lang w:val="zh-TW"/>
              </w:rPr>
              <w:t>评分标准二级指标</w:t>
            </w:r>
          </w:p>
        </w:tc>
        <w:tc>
          <w:tcPr>
            <w:tcW w:w="3127" w:type="dxa"/>
            <w:gridSpan w:val="4"/>
            <w:vAlign w:val="center"/>
          </w:tcPr>
          <w:p>
            <w:pPr>
              <w:jc w:val="center"/>
              <w:rPr>
                <w:rFonts w:ascii="Times New Roman" w:hAnsi="Times New Roman" w:eastAsia="仿宋_GB2312"/>
                <w:b/>
                <w:bCs/>
                <w:sz w:val="24"/>
                <w:szCs w:val="24"/>
              </w:rPr>
            </w:pPr>
            <w:r>
              <w:rPr>
                <w:rFonts w:ascii="Times New Roman" w:hAnsi="Times New Roman" w:eastAsia="仿宋_GB2312"/>
                <w:b/>
                <w:bCs/>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 w:hRule="atLeast"/>
          <w:jc w:val="center"/>
        </w:trPr>
        <w:tc>
          <w:tcPr>
            <w:tcW w:w="1271" w:type="dxa"/>
            <w:vMerge w:val="continue"/>
            <w:vAlign w:val="bottom"/>
          </w:tcPr>
          <w:p>
            <w:pPr>
              <w:jc w:val="center"/>
              <w:rPr>
                <w:rFonts w:ascii="Times New Roman" w:hAnsi="Times New Roman" w:eastAsia="仿宋_GB2312"/>
                <w:b/>
                <w:bCs/>
                <w:sz w:val="24"/>
                <w:szCs w:val="24"/>
              </w:rPr>
            </w:pPr>
          </w:p>
        </w:tc>
        <w:tc>
          <w:tcPr>
            <w:tcW w:w="4386" w:type="dxa"/>
            <w:vMerge w:val="continue"/>
            <w:vAlign w:val="bottom"/>
          </w:tcPr>
          <w:p>
            <w:pPr>
              <w:rPr>
                <w:rFonts w:ascii="Times New Roman" w:hAnsi="Times New Roman" w:eastAsia="仿宋_GB2312"/>
                <w:b/>
                <w:bCs/>
                <w:sz w:val="24"/>
                <w:szCs w:val="24"/>
              </w:rPr>
            </w:pPr>
          </w:p>
        </w:tc>
        <w:tc>
          <w:tcPr>
            <w:tcW w:w="797" w:type="dxa"/>
            <w:vAlign w:val="center"/>
          </w:tcPr>
          <w:p>
            <w:pPr>
              <w:spacing w:line="240" w:lineRule="exact"/>
              <w:jc w:val="center"/>
              <w:rPr>
                <w:rFonts w:ascii="Times New Roman" w:hAnsi="Times New Roman" w:eastAsia="仿宋_GB2312"/>
                <w:b/>
                <w:bCs/>
                <w:sz w:val="24"/>
                <w:szCs w:val="24"/>
              </w:rPr>
            </w:pPr>
            <w:r>
              <w:rPr>
                <w:rFonts w:ascii="Times New Roman" w:hAnsi="Times New Roman" w:eastAsia="仿宋_GB2312"/>
                <w:b/>
                <w:bCs/>
                <w:sz w:val="24"/>
                <w:szCs w:val="24"/>
              </w:rPr>
              <w:t>完全</w:t>
            </w:r>
          </w:p>
          <w:p>
            <w:pPr>
              <w:spacing w:line="240" w:lineRule="exact"/>
              <w:jc w:val="center"/>
              <w:rPr>
                <w:rFonts w:ascii="Times New Roman" w:hAnsi="Times New Roman" w:eastAsia="仿宋_GB2312"/>
                <w:b/>
                <w:bCs/>
                <w:sz w:val="24"/>
                <w:szCs w:val="24"/>
              </w:rPr>
            </w:pPr>
            <w:r>
              <w:rPr>
                <w:rFonts w:ascii="Times New Roman" w:hAnsi="Times New Roman" w:eastAsia="仿宋_GB2312"/>
                <w:b/>
                <w:bCs/>
                <w:sz w:val="24"/>
                <w:szCs w:val="24"/>
              </w:rPr>
              <w:t>满足</w:t>
            </w:r>
          </w:p>
        </w:tc>
        <w:tc>
          <w:tcPr>
            <w:tcW w:w="709" w:type="dxa"/>
            <w:vAlign w:val="center"/>
          </w:tcPr>
          <w:p>
            <w:pPr>
              <w:spacing w:line="240" w:lineRule="exact"/>
              <w:jc w:val="center"/>
              <w:rPr>
                <w:rFonts w:ascii="Times New Roman" w:hAnsi="Times New Roman" w:eastAsia="仿宋_GB2312"/>
                <w:b/>
                <w:bCs/>
                <w:sz w:val="24"/>
                <w:szCs w:val="24"/>
              </w:rPr>
            </w:pPr>
            <w:r>
              <w:rPr>
                <w:rFonts w:ascii="Times New Roman" w:hAnsi="Times New Roman" w:eastAsia="仿宋_GB2312"/>
                <w:b/>
                <w:bCs/>
                <w:sz w:val="24"/>
                <w:szCs w:val="24"/>
              </w:rPr>
              <w:t>基本</w:t>
            </w:r>
          </w:p>
          <w:p>
            <w:pPr>
              <w:spacing w:line="240" w:lineRule="exact"/>
              <w:jc w:val="center"/>
              <w:rPr>
                <w:rFonts w:ascii="Times New Roman" w:hAnsi="Times New Roman" w:eastAsia="仿宋_GB2312"/>
                <w:b/>
                <w:bCs/>
                <w:sz w:val="24"/>
                <w:szCs w:val="24"/>
              </w:rPr>
            </w:pPr>
            <w:r>
              <w:rPr>
                <w:rFonts w:ascii="Times New Roman" w:hAnsi="Times New Roman" w:eastAsia="仿宋_GB2312"/>
                <w:b/>
                <w:bCs/>
                <w:sz w:val="24"/>
                <w:szCs w:val="24"/>
              </w:rPr>
              <w:t>满足</w:t>
            </w:r>
          </w:p>
        </w:tc>
        <w:tc>
          <w:tcPr>
            <w:tcW w:w="912" w:type="dxa"/>
            <w:vAlign w:val="center"/>
          </w:tcPr>
          <w:p>
            <w:pPr>
              <w:spacing w:line="240" w:lineRule="exact"/>
              <w:jc w:val="center"/>
              <w:rPr>
                <w:rFonts w:ascii="Times New Roman" w:hAnsi="Times New Roman" w:eastAsia="仿宋_GB2312"/>
                <w:b/>
                <w:bCs/>
                <w:sz w:val="24"/>
                <w:szCs w:val="24"/>
              </w:rPr>
            </w:pPr>
            <w:r>
              <w:rPr>
                <w:rFonts w:ascii="Times New Roman" w:hAnsi="Times New Roman" w:eastAsia="仿宋_GB2312"/>
                <w:b/>
                <w:bCs/>
                <w:sz w:val="24"/>
                <w:szCs w:val="24"/>
              </w:rPr>
              <w:t>基本没满足</w:t>
            </w:r>
          </w:p>
        </w:tc>
        <w:tc>
          <w:tcPr>
            <w:tcW w:w="709" w:type="dxa"/>
            <w:vAlign w:val="center"/>
          </w:tcPr>
          <w:p>
            <w:pPr>
              <w:spacing w:line="240" w:lineRule="exact"/>
              <w:jc w:val="center"/>
              <w:rPr>
                <w:rFonts w:ascii="Times New Roman" w:hAnsi="Times New Roman" w:eastAsia="仿宋_GB2312"/>
                <w:b/>
                <w:bCs/>
                <w:sz w:val="24"/>
                <w:szCs w:val="24"/>
              </w:rPr>
            </w:pPr>
            <w:r>
              <w:rPr>
                <w:rFonts w:ascii="Times New Roman" w:hAnsi="Times New Roman" w:eastAsia="仿宋_GB2312"/>
                <w:b/>
                <w:bCs/>
                <w:sz w:val="24"/>
                <w:szCs w:val="24"/>
              </w:rPr>
              <w:t>完全没满足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restart"/>
            <w:vAlign w:val="center"/>
          </w:tcPr>
          <w:p>
            <w:pPr>
              <w:jc w:val="center"/>
              <w:rPr>
                <w:rFonts w:ascii="Times New Roman" w:hAnsi="Times New Roman" w:eastAsia="仿宋_GB2312"/>
                <w:sz w:val="24"/>
                <w:szCs w:val="24"/>
              </w:rPr>
            </w:pPr>
            <w:r>
              <w:rPr>
                <w:rFonts w:ascii="Times New Roman" w:hAnsi="Times New Roman" w:eastAsia="仿宋_GB2312"/>
                <w:b/>
                <w:bCs/>
                <w:sz w:val="24"/>
                <w:szCs w:val="24"/>
              </w:rPr>
              <w:t>一、直观性</w:t>
            </w:r>
            <w:r>
              <w:rPr>
                <w:rFonts w:ascii="Times New Roman" w:hAnsi="Times New Roman" w:eastAsia="仿宋_GB2312"/>
                <w:b/>
                <w:bCs/>
                <w:sz w:val="24"/>
                <w:szCs w:val="24"/>
                <w:u w:color="000000"/>
                <w:lang w:val="zh-TW" w:eastAsia="zh-TW"/>
              </w:rPr>
              <w:t>（</w:t>
            </w:r>
            <w:r>
              <w:rPr>
                <w:rFonts w:ascii="Times New Roman" w:hAnsi="Times New Roman" w:eastAsia="仿宋_GB2312"/>
                <w:b/>
                <w:bCs/>
                <w:sz w:val="24"/>
                <w:szCs w:val="24"/>
                <w:u w:color="000000"/>
              </w:rPr>
              <w:t>10</w:t>
            </w:r>
            <w:r>
              <w:rPr>
                <w:rStyle w:val="7"/>
                <w:rFonts w:ascii="Times New Roman" w:hAnsi="Times New Roman" w:eastAsia="仿宋_GB2312"/>
                <w:sz w:val="24"/>
                <w:szCs w:val="24"/>
              </w:rPr>
              <w:t>分</w:t>
            </w:r>
            <w:r>
              <w:rPr>
                <w:rFonts w:ascii="Times New Roman" w:hAnsi="Times New Roman" w:eastAsia="仿宋_GB2312"/>
                <w:b/>
                <w:bCs/>
                <w:sz w:val="24"/>
                <w:szCs w:val="24"/>
                <w:u w:color="000000"/>
                <w:lang w:val="zh-TW" w:eastAsia="zh-TW"/>
              </w:rPr>
              <w:t>）</w:t>
            </w: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1.表述易于工作团队沟通</w:t>
            </w:r>
          </w:p>
        </w:tc>
        <w:tc>
          <w:tcPr>
            <w:tcW w:w="797" w:type="dxa"/>
            <w:vAlign w:val="center"/>
          </w:tcPr>
          <w:p>
            <w:pPr>
              <w:rPr>
                <w:rFonts w:ascii="Times New Roman" w:hAnsi="Times New Roman" w:eastAsia="仿宋_GB2312"/>
                <w:sz w:val="24"/>
                <w:szCs w:val="24"/>
              </w:rPr>
            </w:pPr>
            <w:r>
              <w:rPr>
                <w:rFonts w:ascii="Times New Roman" w:hAnsi="Times New Roman" w:eastAsia="仿宋_GB2312"/>
                <w:sz w:val="24"/>
                <w:szCs w:val="24"/>
              </w:rPr>
              <w:t>　</w:t>
            </w:r>
            <w:r>
              <w:rPr>
                <w:rFonts w:hint="eastAsia" w:ascii="Times New Roman" w:hAnsi="Times New Roman" w:eastAsia="仿宋_GB2312"/>
                <w:sz w:val="24"/>
                <w:szCs w:val="24"/>
              </w:rPr>
              <w:t>2</w:t>
            </w:r>
          </w:p>
        </w:tc>
        <w:tc>
          <w:tcPr>
            <w:tcW w:w="709" w:type="dxa"/>
            <w:vAlign w:val="center"/>
          </w:tcPr>
          <w:p>
            <w:pPr>
              <w:jc w:val="center"/>
              <w:rPr>
                <w:rFonts w:ascii="Times New Roman" w:hAnsi="Times New Roman" w:eastAsia="仿宋_GB2312"/>
                <w:sz w:val="24"/>
                <w:szCs w:val="24"/>
              </w:rPr>
            </w:pPr>
            <w:r>
              <w:rPr>
                <w:rFonts w:ascii="Times New Roman" w:hAnsi="Times New Roman" w:eastAsia="仿宋_GB2312"/>
                <w:sz w:val="24"/>
                <w:szCs w:val="24"/>
              </w:rPr>
              <w:t>1.5</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rPr>
                <w:rFonts w:ascii="Times New Roman" w:hAnsi="Times New Roman" w:eastAsia="仿宋_GB2312"/>
                <w:sz w:val="24"/>
                <w:szCs w:val="24"/>
              </w:rPr>
            </w:pPr>
            <w:r>
              <w:rPr>
                <w:rFonts w:ascii="Times New Roman" w:hAnsi="Times New Roman" w:eastAsia="仿宋_GB2312"/>
                <w:sz w:val="24"/>
                <w:szCs w:val="24"/>
              </w:rPr>
              <w:t>　</w:t>
            </w: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2.从专业角度看，表述恰当</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709" w:type="dxa"/>
            <w:vAlign w:val="center"/>
          </w:tcPr>
          <w:p>
            <w:pPr>
              <w:jc w:val="center"/>
              <w:rPr>
                <w:rFonts w:ascii="Times New Roman" w:hAnsi="Times New Roman" w:eastAsia="仿宋_GB2312"/>
                <w:sz w:val="24"/>
                <w:szCs w:val="24"/>
              </w:rPr>
            </w:pPr>
            <w:r>
              <w:rPr>
                <w:rFonts w:ascii="Times New Roman" w:hAnsi="Times New Roman" w:eastAsia="仿宋_GB2312"/>
                <w:sz w:val="24"/>
                <w:szCs w:val="24"/>
              </w:rPr>
              <w:t>1.5</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3.整体结构合理，层次分明，条理清晰</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709" w:type="dxa"/>
            <w:vAlign w:val="center"/>
          </w:tcPr>
          <w:p>
            <w:pPr>
              <w:jc w:val="center"/>
              <w:rPr>
                <w:rFonts w:ascii="Times New Roman" w:hAnsi="Times New Roman" w:eastAsia="仿宋_GB2312"/>
                <w:sz w:val="24"/>
                <w:szCs w:val="24"/>
              </w:rPr>
            </w:pPr>
            <w:r>
              <w:rPr>
                <w:rFonts w:ascii="Times New Roman" w:hAnsi="Times New Roman" w:eastAsia="仿宋_GB2312"/>
                <w:sz w:val="24"/>
                <w:szCs w:val="24"/>
              </w:rPr>
              <w:t>1.5</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4.使用图表恰当</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709" w:type="dxa"/>
            <w:vAlign w:val="center"/>
          </w:tcPr>
          <w:p>
            <w:pPr>
              <w:jc w:val="center"/>
              <w:rPr>
                <w:rFonts w:ascii="Times New Roman" w:hAnsi="Times New Roman" w:eastAsia="仿宋_GB2312"/>
                <w:sz w:val="24"/>
                <w:szCs w:val="24"/>
              </w:rPr>
            </w:pPr>
            <w:r>
              <w:rPr>
                <w:rFonts w:ascii="Times New Roman" w:hAnsi="Times New Roman" w:eastAsia="仿宋_GB2312"/>
                <w:sz w:val="24"/>
                <w:szCs w:val="24"/>
              </w:rPr>
              <w:t>1.5</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5.表述专业规范</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709" w:type="dxa"/>
            <w:vAlign w:val="center"/>
          </w:tcPr>
          <w:p>
            <w:pPr>
              <w:jc w:val="center"/>
              <w:rPr>
                <w:rFonts w:ascii="Times New Roman" w:hAnsi="Times New Roman" w:eastAsia="仿宋_GB2312"/>
                <w:sz w:val="24"/>
                <w:szCs w:val="24"/>
              </w:rPr>
            </w:pPr>
            <w:r>
              <w:rPr>
                <w:rFonts w:ascii="Times New Roman" w:hAnsi="Times New Roman" w:eastAsia="仿宋_GB2312"/>
                <w:sz w:val="24"/>
                <w:szCs w:val="24"/>
              </w:rPr>
              <w:t>1.5</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restart"/>
            <w:vAlign w:val="center"/>
          </w:tcPr>
          <w:p>
            <w:pPr>
              <w:jc w:val="center"/>
              <w:rPr>
                <w:rFonts w:ascii="Times New Roman" w:hAnsi="Times New Roman" w:eastAsia="仿宋_GB2312"/>
                <w:sz w:val="24"/>
                <w:szCs w:val="24"/>
              </w:rPr>
            </w:pPr>
            <w:r>
              <w:rPr>
                <w:rFonts w:ascii="Times New Roman" w:hAnsi="Times New Roman" w:eastAsia="仿宋_GB2312"/>
                <w:b/>
                <w:bCs/>
                <w:sz w:val="24"/>
                <w:szCs w:val="24"/>
              </w:rPr>
              <w:t>二、功能性</w:t>
            </w:r>
            <w:r>
              <w:rPr>
                <w:rFonts w:ascii="Times New Roman" w:hAnsi="Times New Roman" w:eastAsia="仿宋_GB2312"/>
                <w:b/>
                <w:bCs/>
                <w:sz w:val="24"/>
                <w:szCs w:val="24"/>
                <w:u w:color="000000"/>
                <w:lang w:val="zh-TW" w:eastAsia="zh-TW"/>
              </w:rPr>
              <w:t>（</w:t>
            </w:r>
            <w:r>
              <w:rPr>
                <w:rFonts w:ascii="Times New Roman" w:hAnsi="Times New Roman" w:eastAsia="仿宋_GB2312"/>
                <w:b/>
                <w:bCs/>
                <w:sz w:val="24"/>
                <w:szCs w:val="24"/>
                <w:u w:color="000000"/>
              </w:rPr>
              <w:t>10分</w:t>
            </w:r>
            <w:r>
              <w:rPr>
                <w:rFonts w:ascii="Times New Roman" w:hAnsi="Times New Roman" w:eastAsia="仿宋_GB2312"/>
                <w:b/>
                <w:bCs/>
                <w:sz w:val="24"/>
                <w:szCs w:val="24"/>
                <w:u w:color="000000"/>
                <w:lang w:val="zh-TW" w:eastAsia="zh-TW"/>
              </w:rPr>
              <w:t>）</w:t>
            </w: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6.对应本案例老人的护理保健需求</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709" w:type="dxa"/>
            <w:vAlign w:val="center"/>
          </w:tcPr>
          <w:p>
            <w:pPr>
              <w:jc w:val="center"/>
              <w:rPr>
                <w:rFonts w:ascii="Times New Roman" w:hAnsi="Times New Roman" w:eastAsia="仿宋_GB2312"/>
                <w:sz w:val="24"/>
                <w:szCs w:val="24"/>
              </w:rPr>
            </w:pPr>
            <w:r>
              <w:rPr>
                <w:rFonts w:ascii="Times New Roman" w:hAnsi="Times New Roman" w:eastAsia="仿宋_GB2312"/>
                <w:sz w:val="24"/>
                <w:szCs w:val="24"/>
              </w:rPr>
              <w:t>1.5</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7.体现老年护理与保健相关专业发展新成果</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709" w:type="dxa"/>
            <w:vAlign w:val="center"/>
          </w:tcPr>
          <w:p>
            <w:pPr>
              <w:jc w:val="center"/>
              <w:rPr>
                <w:rFonts w:ascii="Times New Roman" w:hAnsi="Times New Roman" w:eastAsia="仿宋_GB2312"/>
                <w:sz w:val="24"/>
                <w:szCs w:val="24"/>
              </w:rPr>
            </w:pPr>
            <w:r>
              <w:rPr>
                <w:rFonts w:ascii="Times New Roman" w:hAnsi="Times New Roman" w:eastAsia="仿宋_GB2312"/>
                <w:sz w:val="24"/>
                <w:szCs w:val="24"/>
              </w:rPr>
              <w:t>1.5</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8.具有老年护理与保健相关专业实践可行性</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709" w:type="dxa"/>
            <w:vAlign w:val="center"/>
          </w:tcPr>
          <w:p>
            <w:pPr>
              <w:jc w:val="center"/>
              <w:rPr>
                <w:rFonts w:ascii="Times New Roman" w:hAnsi="Times New Roman" w:eastAsia="仿宋_GB2312"/>
                <w:sz w:val="24"/>
                <w:szCs w:val="24"/>
              </w:rPr>
            </w:pPr>
            <w:r>
              <w:rPr>
                <w:rFonts w:ascii="Times New Roman" w:hAnsi="Times New Roman" w:eastAsia="仿宋_GB2312"/>
                <w:sz w:val="24"/>
                <w:szCs w:val="24"/>
              </w:rPr>
              <w:t>1.5</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9.使用专业术语，具有相关知识说明支撑</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709" w:type="dxa"/>
            <w:vAlign w:val="center"/>
          </w:tcPr>
          <w:p>
            <w:pPr>
              <w:jc w:val="center"/>
              <w:rPr>
                <w:rFonts w:ascii="Times New Roman" w:hAnsi="Times New Roman" w:eastAsia="仿宋_GB2312"/>
                <w:sz w:val="24"/>
                <w:szCs w:val="24"/>
              </w:rPr>
            </w:pPr>
            <w:r>
              <w:rPr>
                <w:rFonts w:ascii="Times New Roman" w:hAnsi="Times New Roman" w:eastAsia="仿宋_GB2312"/>
                <w:sz w:val="24"/>
                <w:szCs w:val="24"/>
              </w:rPr>
              <w:t>1.5</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10.方案内容正确</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709" w:type="dxa"/>
            <w:vAlign w:val="center"/>
          </w:tcPr>
          <w:p>
            <w:pPr>
              <w:jc w:val="center"/>
              <w:rPr>
                <w:rFonts w:ascii="Times New Roman" w:hAnsi="Times New Roman" w:eastAsia="仿宋_GB2312"/>
                <w:sz w:val="24"/>
                <w:szCs w:val="24"/>
              </w:rPr>
            </w:pPr>
            <w:r>
              <w:rPr>
                <w:rFonts w:ascii="Times New Roman" w:hAnsi="Times New Roman" w:eastAsia="仿宋_GB2312"/>
                <w:sz w:val="24"/>
                <w:szCs w:val="24"/>
              </w:rPr>
              <w:t>1.5</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271" w:type="dxa"/>
            <w:vMerge w:val="restart"/>
            <w:vAlign w:val="center"/>
          </w:tcPr>
          <w:p>
            <w:pPr>
              <w:jc w:val="center"/>
              <w:rPr>
                <w:rFonts w:ascii="Times New Roman" w:hAnsi="Times New Roman" w:eastAsia="仿宋_GB2312"/>
                <w:sz w:val="24"/>
                <w:szCs w:val="24"/>
              </w:rPr>
            </w:pPr>
            <w:r>
              <w:rPr>
                <w:rFonts w:ascii="Times New Roman" w:hAnsi="Times New Roman" w:eastAsia="仿宋_GB2312"/>
                <w:b/>
                <w:bCs/>
                <w:sz w:val="24"/>
                <w:szCs w:val="24"/>
              </w:rPr>
              <w:t>三、持久性</w:t>
            </w:r>
            <w:r>
              <w:rPr>
                <w:rFonts w:ascii="Times New Roman" w:hAnsi="Times New Roman" w:eastAsia="仿宋_GB2312"/>
                <w:b/>
                <w:bCs/>
                <w:sz w:val="24"/>
                <w:szCs w:val="24"/>
                <w:u w:color="000000"/>
                <w:lang w:val="zh-TW" w:eastAsia="zh-TW"/>
              </w:rPr>
              <w:t>（</w:t>
            </w:r>
            <w:r>
              <w:rPr>
                <w:rFonts w:ascii="Times New Roman" w:hAnsi="Times New Roman" w:eastAsia="仿宋_GB2312"/>
                <w:b/>
                <w:bCs/>
                <w:sz w:val="24"/>
                <w:szCs w:val="24"/>
                <w:u w:color="000000"/>
              </w:rPr>
              <w:t>10分</w:t>
            </w:r>
            <w:r>
              <w:rPr>
                <w:rFonts w:ascii="Times New Roman" w:hAnsi="Times New Roman" w:eastAsia="仿宋_GB2312"/>
                <w:b/>
                <w:bCs/>
                <w:sz w:val="24"/>
                <w:szCs w:val="24"/>
                <w:u w:color="000000"/>
                <w:lang w:val="zh-TW" w:eastAsia="zh-TW"/>
              </w:rPr>
              <w:t>）</w:t>
            </w: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11.具有长期性，设计了后续护理保健</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709" w:type="dxa"/>
            <w:vAlign w:val="center"/>
          </w:tcPr>
          <w:p>
            <w:pPr>
              <w:jc w:val="center"/>
              <w:rPr>
                <w:rFonts w:ascii="Times New Roman" w:hAnsi="Times New Roman" w:eastAsia="仿宋_GB2312"/>
                <w:sz w:val="24"/>
                <w:szCs w:val="24"/>
              </w:rPr>
            </w:pPr>
            <w:r>
              <w:rPr>
                <w:rFonts w:ascii="Times New Roman" w:hAnsi="Times New Roman" w:eastAsia="仿宋_GB2312"/>
                <w:sz w:val="24"/>
                <w:szCs w:val="24"/>
              </w:rPr>
              <w:t>1.5</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12.考虑了老年护理与保健人员与被服务者双方在长期护理保健中需求变化与任务扩展的可能性</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709" w:type="dxa"/>
            <w:vAlign w:val="center"/>
          </w:tcPr>
          <w:p>
            <w:pPr>
              <w:jc w:val="center"/>
              <w:rPr>
                <w:rFonts w:ascii="Times New Roman" w:hAnsi="Times New Roman" w:eastAsia="仿宋_GB2312"/>
                <w:sz w:val="24"/>
                <w:szCs w:val="24"/>
              </w:rPr>
            </w:pPr>
            <w:r>
              <w:rPr>
                <w:rFonts w:ascii="Times New Roman" w:hAnsi="Times New Roman" w:eastAsia="仿宋_GB2312"/>
                <w:sz w:val="24"/>
                <w:szCs w:val="24"/>
              </w:rPr>
              <w:t>1.5</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13.说明了长久护理保健中可能出现的问题</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709" w:type="dxa"/>
            <w:vAlign w:val="center"/>
          </w:tcPr>
          <w:p>
            <w:pPr>
              <w:jc w:val="center"/>
              <w:rPr>
                <w:rFonts w:ascii="Times New Roman" w:hAnsi="Times New Roman" w:eastAsia="仿宋_GB2312"/>
                <w:sz w:val="24"/>
                <w:szCs w:val="24"/>
              </w:rPr>
            </w:pPr>
            <w:r>
              <w:rPr>
                <w:rFonts w:ascii="Times New Roman" w:hAnsi="Times New Roman" w:eastAsia="仿宋_GB2312"/>
                <w:sz w:val="24"/>
                <w:szCs w:val="24"/>
              </w:rPr>
              <w:t>1.5</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14.考虑了服务实施的便利性</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709" w:type="dxa"/>
            <w:vAlign w:val="center"/>
          </w:tcPr>
          <w:p>
            <w:pPr>
              <w:jc w:val="center"/>
              <w:rPr>
                <w:rFonts w:ascii="Times New Roman" w:hAnsi="Times New Roman" w:eastAsia="仿宋_GB2312"/>
                <w:sz w:val="24"/>
                <w:szCs w:val="24"/>
              </w:rPr>
            </w:pPr>
            <w:r>
              <w:rPr>
                <w:rFonts w:ascii="Times New Roman" w:hAnsi="Times New Roman" w:eastAsia="仿宋_GB2312"/>
                <w:sz w:val="24"/>
                <w:szCs w:val="24"/>
              </w:rPr>
              <w:t>1.5</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15.分析了方案对本案例老人的合理性与适宜性价值</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709" w:type="dxa"/>
            <w:vAlign w:val="center"/>
          </w:tcPr>
          <w:p>
            <w:pPr>
              <w:jc w:val="center"/>
              <w:rPr>
                <w:rFonts w:ascii="Times New Roman" w:hAnsi="Times New Roman" w:eastAsia="仿宋_GB2312"/>
                <w:sz w:val="24"/>
                <w:szCs w:val="24"/>
              </w:rPr>
            </w:pPr>
            <w:r>
              <w:rPr>
                <w:rFonts w:ascii="Times New Roman" w:hAnsi="Times New Roman" w:eastAsia="仿宋_GB2312"/>
                <w:sz w:val="24"/>
                <w:szCs w:val="24"/>
              </w:rPr>
              <w:t>1.5</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restart"/>
            <w:vAlign w:val="center"/>
          </w:tcPr>
          <w:p>
            <w:pPr>
              <w:jc w:val="center"/>
              <w:rPr>
                <w:rFonts w:ascii="Times New Roman" w:hAnsi="Times New Roman" w:eastAsia="仿宋_GB2312"/>
                <w:sz w:val="24"/>
                <w:szCs w:val="24"/>
              </w:rPr>
            </w:pPr>
            <w:r>
              <w:rPr>
                <w:rFonts w:ascii="Times New Roman" w:hAnsi="Times New Roman" w:eastAsia="仿宋_GB2312"/>
                <w:b/>
                <w:bCs/>
                <w:sz w:val="24"/>
                <w:szCs w:val="24"/>
              </w:rPr>
              <w:t>四、经济性</w:t>
            </w:r>
            <w:r>
              <w:rPr>
                <w:rFonts w:ascii="Times New Roman" w:hAnsi="Times New Roman" w:eastAsia="仿宋_GB2312"/>
                <w:b/>
                <w:bCs/>
                <w:sz w:val="24"/>
                <w:szCs w:val="24"/>
                <w:u w:color="000000"/>
                <w:lang w:val="zh-TW" w:eastAsia="zh-TW"/>
              </w:rPr>
              <w:t>（</w:t>
            </w:r>
            <w:r>
              <w:rPr>
                <w:rFonts w:ascii="Times New Roman" w:hAnsi="Times New Roman" w:eastAsia="仿宋_GB2312"/>
                <w:b/>
                <w:bCs/>
                <w:sz w:val="24"/>
                <w:szCs w:val="24"/>
                <w:u w:color="000000"/>
              </w:rPr>
              <w:t>10分</w:t>
            </w:r>
            <w:r>
              <w:rPr>
                <w:rFonts w:ascii="Times New Roman" w:hAnsi="Times New Roman" w:eastAsia="仿宋_GB2312"/>
                <w:b/>
                <w:bCs/>
                <w:sz w:val="24"/>
                <w:szCs w:val="24"/>
                <w:u w:color="000000"/>
                <w:lang w:val="zh-TW" w:eastAsia="zh-TW"/>
              </w:rPr>
              <w:t>）</w:t>
            </w: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16.在效率与经济上合适，被护理保健对象认可</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709" w:type="dxa"/>
            <w:vAlign w:val="center"/>
          </w:tcPr>
          <w:p>
            <w:pPr>
              <w:jc w:val="center"/>
              <w:rPr>
                <w:rFonts w:ascii="Times New Roman" w:hAnsi="Times New Roman" w:eastAsia="仿宋_GB2312"/>
                <w:sz w:val="24"/>
                <w:szCs w:val="24"/>
              </w:rPr>
            </w:pPr>
            <w:r>
              <w:rPr>
                <w:rFonts w:ascii="Times New Roman" w:hAnsi="Times New Roman" w:eastAsia="仿宋_GB2312"/>
                <w:sz w:val="24"/>
                <w:szCs w:val="24"/>
              </w:rPr>
              <w:t>1.5</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17.在时间与人员安排上妥当</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709" w:type="dxa"/>
            <w:vAlign w:val="center"/>
          </w:tcPr>
          <w:p>
            <w:pPr>
              <w:jc w:val="center"/>
              <w:rPr>
                <w:rFonts w:ascii="Times New Roman" w:hAnsi="Times New Roman" w:eastAsia="仿宋_GB2312"/>
                <w:sz w:val="24"/>
                <w:szCs w:val="24"/>
              </w:rPr>
            </w:pPr>
            <w:r>
              <w:rPr>
                <w:rFonts w:ascii="Times New Roman" w:hAnsi="Times New Roman" w:eastAsia="仿宋_GB2312"/>
                <w:sz w:val="24"/>
                <w:szCs w:val="24"/>
              </w:rPr>
              <w:t>1.5</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18.提供服务的成本与服务机构基本收益关系合理可行性</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709" w:type="dxa"/>
            <w:vAlign w:val="center"/>
          </w:tcPr>
          <w:p>
            <w:pPr>
              <w:jc w:val="center"/>
              <w:rPr>
                <w:rFonts w:ascii="Times New Roman" w:hAnsi="Times New Roman" w:eastAsia="仿宋_GB2312"/>
                <w:sz w:val="24"/>
                <w:szCs w:val="24"/>
              </w:rPr>
            </w:pPr>
            <w:r>
              <w:rPr>
                <w:rFonts w:ascii="Times New Roman" w:hAnsi="Times New Roman" w:eastAsia="仿宋_GB2312"/>
                <w:sz w:val="24"/>
                <w:szCs w:val="24"/>
              </w:rPr>
              <w:t>1.5</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19.考虑了为工作完成的后续支出</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709" w:type="dxa"/>
            <w:vAlign w:val="center"/>
          </w:tcPr>
          <w:p>
            <w:pPr>
              <w:jc w:val="center"/>
              <w:rPr>
                <w:rFonts w:ascii="Times New Roman" w:hAnsi="Times New Roman" w:eastAsia="仿宋_GB2312"/>
                <w:sz w:val="24"/>
                <w:szCs w:val="24"/>
              </w:rPr>
            </w:pPr>
            <w:r>
              <w:rPr>
                <w:rFonts w:ascii="Times New Roman" w:hAnsi="Times New Roman" w:eastAsia="仿宋_GB2312"/>
                <w:sz w:val="24"/>
                <w:szCs w:val="24"/>
              </w:rPr>
              <w:t>1.5</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20.考虑了职业服务过程的效率</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709" w:type="dxa"/>
            <w:vAlign w:val="center"/>
          </w:tcPr>
          <w:p>
            <w:pPr>
              <w:jc w:val="center"/>
              <w:rPr>
                <w:rFonts w:ascii="Times New Roman" w:hAnsi="Times New Roman" w:eastAsia="仿宋_GB2312"/>
                <w:sz w:val="24"/>
                <w:szCs w:val="24"/>
              </w:rPr>
            </w:pPr>
            <w:r>
              <w:rPr>
                <w:rFonts w:ascii="Times New Roman" w:hAnsi="Times New Roman" w:eastAsia="仿宋_GB2312"/>
                <w:sz w:val="24"/>
                <w:szCs w:val="24"/>
              </w:rPr>
              <w:t>1.5</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restart"/>
            <w:vAlign w:val="center"/>
          </w:tcPr>
          <w:p>
            <w:pPr>
              <w:jc w:val="center"/>
              <w:rPr>
                <w:rFonts w:ascii="Times New Roman" w:hAnsi="Times New Roman" w:eastAsia="仿宋_GB2312"/>
                <w:b/>
                <w:bCs/>
                <w:sz w:val="24"/>
                <w:szCs w:val="24"/>
              </w:rPr>
            </w:pPr>
            <w:r>
              <w:rPr>
                <w:rFonts w:ascii="Times New Roman" w:hAnsi="Times New Roman" w:eastAsia="仿宋_GB2312"/>
                <w:b/>
                <w:bCs/>
                <w:sz w:val="24"/>
                <w:szCs w:val="24"/>
              </w:rPr>
              <w:t>五、服务流程和工作过程导向</w:t>
            </w:r>
          </w:p>
          <w:p>
            <w:pPr>
              <w:jc w:val="center"/>
              <w:rPr>
                <w:rFonts w:ascii="Times New Roman" w:hAnsi="Times New Roman" w:eastAsia="仿宋_GB2312"/>
                <w:sz w:val="24"/>
                <w:szCs w:val="24"/>
              </w:rPr>
            </w:pPr>
            <w:r>
              <w:rPr>
                <w:rFonts w:ascii="Times New Roman" w:hAnsi="Times New Roman" w:eastAsia="仿宋_GB2312"/>
                <w:b/>
                <w:bCs/>
                <w:sz w:val="24"/>
                <w:szCs w:val="24"/>
                <w:u w:color="000000"/>
                <w:lang w:val="zh-TW" w:eastAsia="zh-TW"/>
              </w:rPr>
              <w:t>（</w:t>
            </w:r>
            <w:r>
              <w:rPr>
                <w:rFonts w:ascii="Times New Roman" w:hAnsi="Times New Roman" w:eastAsia="仿宋_GB2312"/>
                <w:b/>
                <w:bCs/>
                <w:sz w:val="24"/>
                <w:szCs w:val="24"/>
                <w:u w:color="000000"/>
              </w:rPr>
              <w:t>20分</w:t>
            </w:r>
            <w:r>
              <w:rPr>
                <w:rFonts w:ascii="Times New Roman" w:hAnsi="Times New Roman" w:eastAsia="仿宋_GB2312"/>
                <w:b/>
                <w:bCs/>
                <w:sz w:val="24"/>
                <w:szCs w:val="24"/>
                <w:u w:color="000000"/>
                <w:lang w:val="zh-TW" w:eastAsia="zh-TW"/>
              </w:rPr>
              <w:t>）</w:t>
            </w: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21.工作流程和管理适合护理保健人员及其机构、护理保健对象等双方</w:t>
            </w:r>
          </w:p>
        </w:tc>
        <w:tc>
          <w:tcPr>
            <w:tcW w:w="797" w:type="dxa"/>
            <w:vAlign w:val="center"/>
          </w:tcPr>
          <w:p>
            <w:pPr>
              <w:rPr>
                <w:rFonts w:ascii="Times New Roman" w:hAnsi="Times New Roman" w:eastAsia="仿宋_GB2312"/>
                <w:sz w:val="24"/>
                <w:szCs w:val="24"/>
              </w:rPr>
            </w:pPr>
            <w:r>
              <w:rPr>
                <w:rFonts w:ascii="Times New Roman" w:hAnsi="Times New Roman" w:eastAsia="仿宋_GB2312"/>
                <w:sz w:val="24"/>
                <w:szCs w:val="24"/>
              </w:rPr>
              <w:t>　</w:t>
            </w:r>
            <w:r>
              <w:rPr>
                <w:rFonts w:hint="eastAsia" w:ascii="Times New Roman" w:hAnsi="Times New Roman" w:eastAsia="仿宋_GB2312"/>
                <w:sz w:val="24"/>
                <w:szCs w:val="24"/>
              </w:rPr>
              <w:t>4</w:t>
            </w:r>
          </w:p>
        </w:tc>
        <w:tc>
          <w:tcPr>
            <w:tcW w:w="709" w:type="dxa"/>
            <w:vAlign w:val="center"/>
          </w:tcPr>
          <w:p>
            <w:pPr>
              <w:rPr>
                <w:rFonts w:ascii="Times New Roman" w:hAnsi="Times New Roman" w:eastAsia="仿宋_GB2312"/>
                <w:sz w:val="24"/>
                <w:szCs w:val="24"/>
              </w:rPr>
            </w:pPr>
            <w:r>
              <w:rPr>
                <w:rFonts w:ascii="Times New Roman" w:hAnsi="Times New Roman" w:eastAsia="仿宋_GB2312"/>
                <w:sz w:val="24"/>
                <w:szCs w:val="24"/>
              </w:rPr>
              <w:t>　</w:t>
            </w:r>
            <w:r>
              <w:rPr>
                <w:rFonts w:hint="eastAsia" w:ascii="Times New Roman" w:hAnsi="Times New Roman" w:eastAsia="仿宋_GB2312"/>
                <w:sz w:val="24"/>
                <w:szCs w:val="24"/>
              </w:rPr>
              <w:t>3</w:t>
            </w:r>
          </w:p>
        </w:tc>
        <w:tc>
          <w:tcPr>
            <w:tcW w:w="912" w:type="dxa"/>
            <w:vAlign w:val="center"/>
          </w:tcPr>
          <w:p>
            <w:pPr>
              <w:rPr>
                <w:rFonts w:ascii="Times New Roman" w:hAnsi="Times New Roman" w:eastAsia="仿宋_GB2312"/>
                <w:sz w:val="24"/>
                <w:szCs w:val="24"/>
              </w:rPr>
            </w:pPr>
            <w:r>
              <w:rPr>
                <w:rFonts w:ascii="Times New Roman" w:hAnsi="Times New Roman" w:eastAsia="仿宋_GB2312"/>
                <w:sz w:val="24"/>
                <w:szCs w:val="24"/>
              </w:rPr>
              <w:t>　</w:t>
            </w:r>
            <w:r>
              <w:rPr>
                <w:rFonts w:hint="eastAsia" w:ascii="Times New Roman" w:hAnsi="Times New Roman" w:eastAsia="仿宋_GB2312"/>
                <w:sz w:val="24"/>
                <w:szCs w:val="24"/>
              </w:rPr>
              <w:t>1</w:t>
            </w:r>
          </w:p>
        </w:tc>
        <w:tc>
          <w:tcPr>
            <w:tcW w:w="709" w:type="dxa"/>
            <w:vAlign w:val="center"/>
          </w:tcPr>
          <w:p>
            <w:pPr>
              <w:rPr>
                <w:rFonts w:ascii="Times New Roman" w:hAnsi="Times New Roman" w:eastAsia="仿宋_GB2312"/>
                <w:sz w:val="24"/>
                <w:szCs w:val="24"/>
              </w:rPr>
            </w:pPr>
            <w:r>
              <w:rPr>
                <w:rFonts w:ascii="Times New Roman" w:hAnsi="Times New Roman" w:eastAsia="仿宋_GB2312"/>
                <w:sz w:val="24"/>
                <w:szCs w:val="24"/>
              </w:rPr>
              <w:t>　</w:t>
            </w: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22.按照工作过程设计</w:t>
            </w:r>
          </w:p>
        </w:tc>
        <w:tc>
          <w:tcPr>
            <w:tcW w:w="797" w:type="dxa"/>
            <w:vAlign w:val="center"/>
          </w:tcPr>
          <w:p>
            <w:pPr>
              <w:rPr>
                <w:rFonts w:ascii="Times New Roman" w:hAnsi="Times New Roman" w:eastAsia="仿宋_GB2312"/>
                <w:sz w:val="24"/>
                <w:szCs w:val="24"/>
              </w:rPr>
            </w:pPr>
            <w:r>
              <w:rPr>
                <w:rFonts w:ascii="Times New Roman" w:hAnsi="Times New Roman" w:eastAsia="仿宋_GB2312"/>
                <w:sz w:val="24"/>
                <w:szCs w:val="24"/>
              </w:rPr>
              <w:t>　</w:t>
            </w:r>
            <w:r>
              <w:rPr>
                <w:rFonts w:hint="eastAsia" w:ascii="Times New Roman" w:hAnsi="Times New Roman" w:eastAsia="仿宋_GB2312"/>
                <w:sz w:val="24"/>
                <w:szCs w:val="24"/>
              </w:rPr>
              <w:t>4</w:t>
            </w:r>
          </w:p>
        </w:tc>
        <w:tc>
          <w:tcPr>
            <w:tcW w:w="709" w:type="dxa"/>
            <w:vAlign w:val="center"/>
          </w:tcPr>
          <w:p>
            <w:pPr>
              <w:rPr>
                <w:rFonts w:ascii="Times New Roman" w:hAnsi="Times New Roman" w:eastAsia="仿宋_GB2312"/>
                <w:sz w:val="24"/>
                <w:szCs w:val="24"/>
              </w:rPr>
            </w:pPr>
            <w:r>
              <w:rPr>
                <w:rFonts w:ascii="Times New Roman" w:hAnsi="Times New Roman" w:eastAsia="仿宋_GB2312"/>
                <w:sz w:val="24"/>
                <w:szCs w:val="24"/>
              </w:rPr>
              <w:t>　</w:t>
            </w:r>
            <w:r>
              <w:rPr>
                <w:rFonts w:hint="eastAsia" w:ascii="Times New Roman" w:hAnsi="Times New Roman" w:eastAsia="仿宋_GB2312"/>
                <w:sz w:val="24"/>
                <w:szCs w:val="24"/>
              </w:rPr>
              <w:t>3</w:t>
            </w:r>
          </w:p>
        </w:tc>
        <w:tc>
          <w:tcPr>
            <w:tcW w:w="912" w:type="dxa"/>
            <w:vAlign w:val="center"/>
          </w:tcPr>
          <w:p>
            <w:pPr>
              <w:rPr>
                <w:rFonts w:ascii="Times New Roman" w:hAnsi="Times New Roman" w:eastAsia="仿宋_GB2312"/>
                <w:sz w:val="24"/>
                <w:szCs w:val="24"/>
              </w:rPr>
            </w:pPr>
            <w:r>
              <w:rPr>
                <w:rFonts w:ascii="Times New Roman" w:hAnsi="Times New Roman" w:eastAsia="仿宋_GB2312"/>
                <w:sz w:val="24"/>
                <w:szCs w:val="24"/>
              </w:rPr>
              <w:t>　</w:t>
            </w:r>
            <w:r>
              <w:rPr>
                <w:rFonts w:hint="eastAsia" w:ascii="Times New Roman" w:hAnsi="Times New Roman" w:eastAsia="仿宋_GB2312"/>
                <w:sz w:val="24"/>
                <w:szCs w:val="24"/>
              </w:rPr>
              <w:t>1</w:t>
            </w:r>
          </w:p>
        </w:tc>
        <w:tc>
          <w:tcPr>
            <w:tcW w:w="709" w:type="dxa"/>
            <w:vAlign w:val="center"/>
          </w:tcPr>
          <w:p>
            <w:pPr>
              <w:rPr>
                <w:rFonts w:ascii="Times New Roman" w:hAnsi="Times New Roman" w:eastAsia="仿宋_GB2312"/>
                <w:sz w:val="24"/>
                <w:szCs w:val="24"/>
              </w:rPr>
            </w:pPr>
            <w:r>
              <w:rPr>
                <w:rFonts w:ascii="Times New Roman" w:hAnsi="Times New Roman" w:eastAsia="仿宋_GB2312"/>
                <w:sz w:val="24"/>
                <w:szCs w:val="24"/>
              </w:rPr>
              <w:t>　</w:t>
            </w: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23.考虑了本任务前后及平行任务之间的相关关系，说明理由</w:t>
            </w:r>
          </w:p>
        </w:tc>
        <w:tc>
          <w:tcPr>
            <w:tcW w:w="797" w:type="dxa"/>
            <w:vAlign w:val="center"/>
          </w:tcPr>
          <w:p>
            <w:pPr>
              <w:rPr>
                <w:rFonts w:ascii="Times New Roman" w:hAnsi="Times New Roman" w:eastAsia="仿宋_GB2312"/>
                <w:sz w:val="24"/>
                <w:szCs w:val="24"/>
              </w:rPr>
            </w:pPr>
            <w:r>
              <w:rPr>
                <w:rFonts w:ascii="Times New Roman" w:hAnsi="Times New Roman" w:eastAsia="仿宋_GB2312"/>
                <w:sz w:val="24"/>
                <w:szCs w:val="24"/>
              </w:rPr>
              <w:t>　</w:t>
            </w:r>
            <w:r>
              <w:rPr>
                <w:rFonts w:hint="eastAsia" w:ascii="Times New Roman" w:hAnsi="Times New Roman" w:eastAsia="仿宋_GB2312"/>
                <w:sz w:val="24"/>
                <w:szCs w:val="24"/>
              </w:rPr>
              <w:t>4</w:t>
            </w:r>
          </w:p>
        </w:tc>
        <w:tc>
          <w:tcPr>
            <w:tcW w:w="709" w:type="dxa"/>
            <w:vAlign w:val="center"/>
          </w:tcPr>
          <w:p>
            <w:pPr>
              <w:rPr>
                <w:rFonts w:ascii="Times New Roman" w:hAnsi="Times New Roman" w:eastAsia="仿宋_GB2312"/>
                <w:sz w:val="24"/>
                <w:szCs w:val="24"/>
              </w:rPr>
            </w:pPr>
            <w:r>
              <w:rPr>
                <w:rFonts w:ascii="Times New Roman" w:hAnsi="Times New Roman" w:eastAsia="仿宋_GB2312"/>
                <w:sz w:val="24"/>
                <w:szCs w:val="24"/>
              </w:rPr>
              <w:t>　</w:t>
            </w:r>
            <w:r>
              <w:rPr>
                <w:rFonts w:hint="eastAsia" w:ascii="Times New Roman" w:hAnsi="Times New Roman" w:eastAsia="仿宋_GB2312"/>
                <w:sz w:val="24"/>
                <w:szCs w:val="24"/>
              </w:rPr>
              <w:t>3</w:t>
            </w:r>
          </w:p>
        </w:tc>
        <w:tc>
          <w:tcPr>
            <w:tcW w:w="912" w:type="dxa"/>
            <w:vAlign w:val="center"/>
          </w:tcPr>
          <w:p>
            <w:pPr>
              <w:rPr>
                <w:rFonts w:ascii="Times New Roman" w:hAnsi="Times New Roman" w:eastAsia="仿宋_GB2312"/>
                <w:sz w:val="24"/>
                <w:szCs w:val="24"/>
              </w:rPr>
            </w:pPr>
            <w:r>
              <w:rPr>
                <w:rFonts w:ascii="Times New Roman" w:hAnsi="Times New Roman" w:eastAsia="仿宋_GB2312"/>
                <w:sz w:val="24"/>
                <w:szCs w:val="24"/>
              </w:rPr>
              <w:t>　</w:t>
            </w:r>
            <w:r>
              <w:rPr>
                <w:rFonts w:hint="eastAsia" w:ascii="Times New Roman" w:hAnsi="Times New Roman" w:eastAsia="仿宋_GB2312"/>
                <w:sz w:val="24"/>
                <w:szCs w:val="24"/>
              </w:rPr>
              <w:t>1</w:t>
            </w:r>
          </w:p>
        </w:tc>
        <w:tc>
          <w:tcPr>
            <w:tcW w:w="709" w:type="dxa"/>
            <w:vAlign w:val="center"/>
          </w:tcPr>
          <w:p>
            <w:pPr>
              <w:rPr>
                <w:rFonts w:ascii="Times New Roman" w:hAnsi="Times New Roman" w:eastAsia="仿宋_GB2312"/>
                <w:sz w:val="24"/>
                <w:szCs w:val="24"/>
              </w:rPr>
            </w:pPr>
            <w:r>
              <w:rPr>
                <w:rFonts w:ascii="Times New Roman" w:hAnsi="Times New Roman" w:eastAsia="仿宋_GB2312"/>
                <w:sz w:val="24"/>
                <w:szCs w:val="24"/>
              </w:rPr>
              <w:t>　</w:t>
            </w: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24.反映出专业核心能力，以及自主决策与行动的能力</w:t>
            </w:r>
          </w:p>
        </w:tc>
        <w:tc>
          <w:tcPr>
            <w:tcW w:w="797" w:type="dxa"/>
            <w:vAlign w:val="center"/>
          </w:tcPr>
          <w:p>
            <w:pPr>
              <w:rPr>
                <w:rFonts w:ascii="Times New Roman" w:hAnsi="Times New Roman" w:eastAsia="仿宋_GB2312"/>
                <w:sz w:val="24"/>
                <w:szCs w:val="24"/>
              </w:rPr>
            </w:pPr>
            <w:r>
              <w:rPr>
                <w:rFonts w:ascii="Times New Roman" w:hAnsi="Times New Roman" w:eastAsia="仿宋_GB2312"/>
                <w:sz w:val="24"/>
                <w:szCs w:val="24"/>
              </w:rPr>
              <w:t>　</w:t>
            </w:r>
            <w:r>
              <w:rPr>
                <w:rFonts w:hint="eastAsia" w:ascii="Times New Roman" w:hAnsi="Times New Roman" w:eastAsia="仿宋_GB2312"/>
                <w:sz w:val="24"/>
                <w:szCs w:val="24"/>
              </w:rPr>
              <w:t>4</w:t>
            </w:r>
          </w:p>
        </w:tc>
        <w:tc>
          <w:tcPr>
            <w:tcW w:w="709" w:type="dxa"/>
            <w:vAlign w:val="center"/>
          </w:tcPr>
          <w:p>
            <w:pPr>
              <w:rPr>
                <w:rFonts w:ascii="Times New Roman" w:hAnsi="Times New Roman" w:eastAsia="仿宋_GB2312"/>
                <w:sz w:val="24"/>
                <w:szCs w:val="24"/>
              </w:rPr>
            </w:pPr>
            <w:r>
              <w:rPr>
                <w:rFonts w:ascii="Times New Roman" w:hAnsi="Times New Roman" w:eastAsia="仿宋_GB2312"/>
                <w:sz w:val="24"/>
                <w:szCs w:val="24"/>
              </w:rPr>
              <w:t>　</w:t>
            </w:r>
            <w:r>
              <w:rPr>
                <w:rFonts w:hint="eastAsia" w:ascii="Times New Roman" w:hAnsi="Times New Roman" w:eastAsia="仿宋_GB2312"/>
                <w:sz w:val="24"/>
                <w:szCs w:val="24"/>
              </w:rPr>
              <w:t>3</w:t>
            </w:r>
          </w:p>
        </w:tc>
        <w:tc>
          <w:tcPr>
            <w:tcW w:w="912" w:type="dxa"/>
            <w:vAlign w:val="center"/>
          </w:tcPr>
          <w:p>
            <w:pPr>
              <w:rPr>
                <w:rFonts w:ascii="Times New Roman" w:hAnsi="Times New Roman" w:eastAsia="仿宋_GB2312"/>
                <w:sz w:val="24"/>
                <w:szCs w:val="24"/>
              </w:rPr>
            </w:pPr>
            <w:r>
              <w:rPr>
                <w:rFonts w:ascii="Times New Roman" w:hAnsi="Times New Roman" w:eastAsia="仿宋_GB2312"/>
                <w:sz w:val="24"/>
                <w:szCs w:val="24"/>
              </w:rPr>
              <w:t>　</w:t>
            </w:r>
            <w:r>
              <w:rPr>
                <w:rFonts w:hint="eastAsia" w:ascii="Times New Roman" w:hAnsi="Times New Roman" w:eastAsia="仿宋_GB2312"/>
                <w:sz w:val="24"/>
                <w:szCs w:val="24"/>
              </w:rPr>
              <w:t>1</w:t>
            </w:r>
          </w:p>
        </w:tc>
        <w:tc>
          <w:tcPr>
            <w:tcW w:w="709" w:type="dxa"/>
            <w:vAlign w:val="center"/>
          </w:tcPr>
          <w:p>
            <w:pPr>
              <w:rPr>
                <w:rFonts w:ascii="Times New Roman" w:hAnsi="Times New Roman" w:eastAsia="仿宋_GB2312"/>
                <w:sz w:val="24"/>
                <w:szCs w:val="24"/>
              </w:rPr>
            </w:pPr>
            <w:r>
              <w:rPr>
                <w:rFonts w:ascii="Times New Roman" w:hAnsi="Times New Roman" w:eastAsia="仿宋_GB2312"/>
                <w:sz w:val="24"/>
                <w:szCs w:val="24"/>
              </w:rPr>
              <w:t>　</w:t>
            </w: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25.考虑了与本专业工作范围相关人员、机构的合作</w:t>
            </w:r>
          </w:p>
        </w:tc>
        <w:tc>
          <w:tcPr>
            <w:tcW w:w="797" w:type="dxa"/>
            <w:vAlign w:val="center"/>
          </w:tcPr>
          <w:p>
            <w:pPr>
              <w:rPr>
                <w:rFonts w:ascii="Times New Roman" w:hAnsi="Times New Roman" w:eastAsia="仿宋_GB2312"/>
                <w:sz w:val="24"/>
                <w:szCs w:val="24"/>
              </w:rPr>
            </w:pPr>
            <w:r>
              <w:rPr>
                <w:rFonts w:ascii="Times New Roman" w:hAnsi="Times New Roman" w:eastAsia="仿宋_GB2312"/>
                <w:sz w:val="24"/>
                <w:szCs w:val="24"/>
              </w:rPr>
              <w:t>　</w:t>
            </w:r>
            <w:r>
              <w:rPr>
                <w:rFonts w:hint="eastAsia" w:ascii="Times New Roman" w:hAnsi="Times New Roman" w:eastAsia="仿宋_GB2312"/>
                <w:sz w:val="24"/>
                <w:szCs w:val="24"/>
              </w:rPr>
              <w:t>4</w:t>
            </w:r>
          </w:p>
        </w:tc>
        <w:tc>
          <w:tcPr>
            <w:tcW w:w="709" w:type="dxa"/>
            <w:vAlign w:val="center"/>
          </w:tcPr>
          <w:p>
            <w:pPr>
              <w:rPr>
                <w:rFonts w:ascii="Times New Roman" w:hAnsi="Times New Roman" w:eastAsia="仿宋_GB2312"/>
                <w:sz w:val="24"/>
                <w:szCs w:val="24"/>
              </w:rPr>
            </w:pPr>
            <w:r>
              <w:rPr>
                <w:rFonts w:ascii="Times New Roman" w:hAnsi="Times New Roman" w:eastAsia="仿宋_GB2312"/>
                <w:sz w:val="24"/>
                <w:szCs w:val="24"/>
              </w:rPr>
              <w:t>　</w:t>
            </w:r>
            <w:r>
              <w:rPr>
                <w:rFonts w:hint="eastAsia" w:ascii="Times New Roman" w:hAnsi="Times New Roman" w:eastAsia="仿宋_GB2312"/>
                <w:sz w:val="24"/>
                <w:szCs w:val="24"/>
              </w:rPr>
              <w:t>3</w:t>
            </w:r>
          </w:p>
        </w:tc>
        <w:tc>
          <w:tcPr>
            <w:tcW w:w="912" w:type="dxa"/>
            <w:vAlign w:val="center"/>
          </w:tcPr>
          <w:p>
            <w:pPr>
              <w:rPr>
                <w:rFonts w:ascii="Times New Roman" w:hAnsi="Times New Roman" w:eastAsia="仿宋_GB2312"/>
                <w:sz w:val="24"/>
                <w:szCs w:val="24"/>
              </w:rPr>
            </w:pPr>
            <w:r>
              <w:rPr>
                <w:rFonts w:ascii="Times New Roman" w:hAnsi="Times New Roman" w:eastAsia="仿宋_GB2312"/>
                <w:sz w:val="24"/>
                <w:szCs w:val="24"/>
              </w:rPr>
              <w:t>　</w:t>
            </w:r>
            <w:r>
              <w:rPr>
                <w:rFonts w:hint="eastAsia" w:ascii="Times New Roman" w:hAnsi="Times New Roman" w:eastAsia="仿宋_GB2312"/>
                <w:sz w:val="24"/>
                <w:szCs w:val="24"/>
              </w:rPr>
              <w:t>1</w:t>
            </w:r>
          </w:p>
        </w:tc>
        <w:tc>
          <w:tcPr>
            <w:tcW w:w="709" w:type="dxa"/>
            <w:vAlign w:val="center"/>
          </w:tcPr>
          <w:p>
            <w:pPr>
              <w:rPr>
                <w:rFonts w:ascii="Times New Roman" w:hAnsi="Times New Roman" w:eastAsia="仿宋_GB2312"/>
                <w:sz w:val="24"/>
                <w:szCs w:val="24"/>
              </w:rPr>
            </w:pPr>
            <w:r>
              <w:rPr>
                <w:rFonts w:ascii="Times New Roman" w:hAnsi="Times New Roman" w:eastAsia="仿宋_GB2312"/>
                <w:sz w:val="24"/>
                <w:szCs w:val="24"/>
              </w:rPr>
              <w:t>　</w:t>
            </w: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restart"/>
            <w:vAlign w:val="center"/>
          </w:tcPr>
          <w:p>
            <w:pPr>
              <w:jc w:val="center"/>
              <w:rPr>
                <w:rFonts w:ascii="Times New Roman" w:hAnsi="Times New Roman" w:eastAsia="仿宋_GB2312"/>
                <w:sz w:val="24"/>
                <w:szCs w:val="24"/>
              </w:rPr>
            </w:pPr>
            <w:r>
              <w:rPr>
                <w:rFonts w:ascii="Times New Roman" w:hAnsi="Times New Roman" w:eastAsia="仿宋_GB2312"/>
                <w:b/>
                <w:bCs/>
                <w:sz w:val="24"/>
                <w:szCs w:val="24"/>
              </w:rPr>
              <w:t>六、社会接受度</w:t>
            </w:r>
            <w:r>
              <w:rPr>
                <w:rFonts w:ascii="Times New Roman" w:hAnsi="Times New Roman" w:eastAsia="仿宋_GB2312"/>
                <w:b/>
                <w:bCs/>
                <w:sz w:val="24"/>
                <w:szCs w:val="24"/>
                <w:u w:color="000000"/>
                <w:lang w:val="zh-TW" w:eastAsia="zh-TW"/>
              </w:rPr>
              <w:t>（</w:t>
            </w:r>
            <w:r>
              <w:rPr>
                <w:rFonts w:ascii="Times New Roman" w:hAnsi="Times New Roman" w:eastAsia="仿宋_GB2312"/>
                <w:b/>
                <w:bCs/>
                <w:sz w:val="24"/>
                <w:szCs w:val="24"/>
                <w:u w:color="000000"/>
              </w:rPr>
              <w:t>15分</w:t>
            </w:r>
            <w:r>
              <w:rPr>
                <w:rFonts w:ascii="Times New Roman" w:hAnsi="Times New Roman" w:eastAsia="仿宋_GB2312"/>
                <w:b/>
                <w:bCs/>
                <w:sz w:val="24"/>
                <w:szCs w:val="24"/>
                <w:u w:color="000000"/>
                <w:lang w:val="zh-TW" w:eastAsia="zh-TW"/>
              </w:rPr>
              <w:t>）</w:t>
            </w: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26.运用了相关法规（如服务对象权益保障法、医疗保险、长期护理险、相关卫生法规等）</w:t>
            </w:r>
          </w:p>
        </w:tc>
        <w:tc>
          <w:tcPr>
            <w:tcW w:w="797" w:type="dxa"/>
            <w:vAlign w:val="center"/>
          </w:tcPr>
          <w:p>
            <w:pPr>
              <w:rPr>
                <w:rFonts w:ascii="Times New Roman" w:hAnsi="Times New Roman" w:eastAsia="仿宋_GB2312"/>
                <w:sz w:val="24"/>
                <w:szCs w:val="24"/>
              </w:rPr>
            </w:pPr>
            <w:r>
              <w:rPr>
                <w:rFonts w:ascii="Times New Roman" w:hAnsi="Times New Roman" w:eastAsia="仿宋_GB2312"/>
                <w:sz w:val="24"/>
                <w:szCs w:val="24"/>
              </w:rPr>
              <w:t>　</w:t>
            </w:r>
            <w:r>
              <w:rPr>
                <w:rFonts w:hint="eastAsia" w:ascii="Times New Roman" w:hAnsi="Times New Roman" w:eastAsia="仿宋_GB2312"/>
                <w:sz w:val="24"/>
                <w:szCs w:val="24"/>
              </w:rPr>
              <w:t>3</w:t>
            </w:r>
          </w:p>
        </w:tc>
        <w:tc>
          <w:tcPr>
            <w:tcW w:w="709" w:type="dxa"/>
            <w:vAlign w:val="center"/>
          </w:tcPr>
          <w:p>
            <w:pPr>
              <w:rPr>
                <w:rFonts w:ascii="Times New Roman" w:hAnsi="Times New Roman" w:eastAsia="仿宋_GB2312"/>
                <w:sz w:val="24"/>
                <w:szCs w:val="24"/>
              </w:rPr>
            </w:pPr>
            <w:r>
              <w:rPr>
                <w:rFonts w:ascii="Times New Roman" w:hAnsi="Times New Roman" w:eastAsia="仿宋_GB2312"/>
                <w:sz w:val="24"/>
                <w:szCs w:val="24"/>
              </w:rPr>
              <w:t>　</w:t>
            </w:r>
            <w:r>
              <w:rPr>
                <w:rFonts w:hint="eastAsia" w:ascii="Times New Roman" w:hAnsi="Times New Roman" w:eastAsia="仿宋_GB2312"/>
                <w:sz w:val="24"/>
                <w:szCs w:val="24"/>
              </w:rPr>
              <w:t>2</w:t>
            </w:r>
          </w:p>
        </w:tc>
        <w:tc>
          <w:tcPr>
            <w:tcW w:w="912" w:type="dxa"/>
            <w:vAlign w:val="center"/>
          </w:tcPr>
          <w:p>
            <w:pPr>
              <w:rPr>
                <w:rFonts w:ascii="Times New Roman" w:hAnsi="Times New Roman" w:eastAsia="仿宋_GB2312"/>
                <w:sz w:val="24"/>
                <w:szCs w:val="24"/>
              </w:rPr>
            </w:pPr>
            <w:r>
              <w:rPr>
                <w:rFonts w:ascii="Times New Roman" w:hAnsi="Times New Roman" w:eastAsia="仿宋_GB2312"/>
                <w:sz w:val="24"/>
                <w:szCs w:val="24"/>
              </w:rPr>
              <w:t>　</w:t>
            </w: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27.运用了劳动保护和事故防范相关规定</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3</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28.体现了人性化的工作与组织</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3</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29.提出符合人体工程学的建议</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3</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30.分析了文化、习惯、职业等与科学养老护理保健的相互影响</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3</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restart"/>
            <w:vAlign w:val="center"/>
          </w:tcPr>
          <w:p>
            <w:pPr>
              <w:jc w:val="center"/>
              <w:rPr>
                <w:rFonts w:ascii="Times New Roman" w:hAnsi="Times New Roman" w:eastAsia="仿宋_GB2312"/>
                <w:sz w:val="24"/>
                <w:szCs w:val="24"/>
              </w:rPr>
            </w:pPr>
            <w:r>
              <w:rPr>
                <w:rFonts w:ascii="Times New Roman" w:hAnsi="Times New Roman" w:eastAsia="仿宋_GB2312"/>
                <w:b/>
                <w:bCs/>
                <w:sz w:val="24"/>
                <w:szCs w:val="24"/>
              </w:rPr>
              <w:t>七、环境保护与环境适宜性改进</w:t>
            </w:r>
            <w:r>
              <w:rPr>
                <w:rFonts w:ascii="Times New Roman" w:hAnsi="Times New Roman" w:eastAsia="仿宋_GB2312"/>
                <w:b/>
                <w:bCs/>
                <w:sz w:val="24"/>
                <w:szCs w:val="24"/>
                <w:u w:color="000000"/>
                <w:lang w:val="zh-TW" w:eastAsia="zh-TW"/>
              </w:rPr>
              <w:t>（</w:t>
            </w:r>
            <w:r>
              <w:rPr>
                <w:rFonts w:ascii="Times New Roman" w:hAnsi="Times New Roman" w:eastAsia="仿宋_GB2312"/>
                <w:b/>
                <w:bCs/>
                <w:sz w:val="24"/>
                <w:szCs w:val="24"/>
                <w:u w:color="000000"/>
              </w:rPr>
              <w:t>10分</w:t>
            </w:r>
            <w:r>
              <w:rPr>
                <w:rFonts w:ascii="Times New Roman" w:hAnsi="Times New Roman" w:eastAsia="仿宋_GB2312"/>
                <w:b/>
                <w:bCs/>
                <w:sz w:val="24"/>
                <w:szCs w:val="24"/>
                <w:u w:color="000000"/>
                <w:lang w:val="zh-TW" w:eastAsia="zh-TW"/>
              </w:rPr>
              <w:t>）</w:t>
            </w: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31.考虑了废弃物的回收处理与再利用</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709" w:type="dxa"/>
            <w:vAlign w:val="center"/>
          </w:tcPr>
          <w:p>
            <w:pPr>
              <w:jc w:val="center"/>
              <w:rPr>
                <w:rFonts w:ascii="Times New Roman" w:hAnsi="Times New Roman" w:eastAsia="仿宋_GB2312"/>
                <w:sz w:val="24"/>
                <w:szCs w:val="24"/>
              </w:rPr>
            </w:pPr>
            <w:r>
              <w:rPr>
                <w:rFonts w:ascii="Times New Roman" w:hAnsi="Times New Roman" w:eastAsia="仿宋_GB2312"/>
                <w:sz w:val="24"/>
                <w:szCs w:val="24"/>
              </w:rPr>
              <w:t>1.5</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32.考虑了降低环境引起感染或污染的可能性</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709" w:type="dxa"/>
            <w:vAlign w:val="center"/>
          </w:tcPr>
          <w:p>
            <w:pPr>
              <w:jc w:val="center"/>
              <w:rPr>
                <w:rFonts w:ascii="Times New Roman" w:hAnsi="Times New Roman" w:eastAsia="仿宋_GB2312"/>
                <w:sz w:val="24"/>
                <w:szCs w:val="24"/>
              </w:rPr>
            </w:pPr>
            <w:r>
              <w:rPr>
                <w:rFonts w:ascii="Times New Roman" w:hAnsi="Times New Roman" w:eastAsia="仿宋_GB2312"/>
                <w:sz w:val="24"/>
                <w:szCs w:val="24"/>
              </w:rPr>
              <w:t>1.5</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33.考虑了用品的环保性、适宜性</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709" w:type="dxa"/>
            <w:vAlign w:val="center"/>
          </w:tcPr>
          <w:p>
            <w:pPr>
              <w:jc w:val="center"/>
              <w:rPr>
                <w:rFonts w:ascii="Times New Roman" w:hAnsi="Times New Roman" w:eastAsia="仿宋_GB2312"/>
                <w:sz w:val="24"/>
                <w:szCs w:val="24"/>
              </w:rPr>
            </w:pPr>
            <w:r>
              <w:rPr>
                <w:rFonts w:ascii="Times New Roman" w:hAnsi="Times New Roman" w:eastAsia="仿宋_GB2312"/>
                <w:sz w:val="24"/>
                <w:szCs w:val="24"/>
              </w:rPr>
              <w:t>1.5</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34.考虑了环境保护、节能与提高能源利用率</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709" w:type="dxa"/>
            <w:vAlign w:val="center"/>
          </w:tcPr>
          <w:p>
            <w:pPr>
              <w:jc w:val="center"/>
              <w:rPr>
                <w:rFonts w:ascii="Times New Roman" w:hAnsi="Times New Roman" w:eastAsia="仿宋_GB2312"/>
                <w:sz w:val="24"/>
                <w:szCs w:val="24"/>
              </w:rPr>
            </w:pPr>
            <w:r>
              <w:rPr>
                <w:rFonts w:ascii="Times New Roman" w:hAnsi="Times New Roman" w:eastAsia="仿宋_GB2312"/>
                <w:sz w:val="24"/>
                <w:szCs w:val="24"/>
              </w:rPr>
              <w:t>1.5</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spacing w:line="276" w:lineRule="auto"/>
              <w:rPr>
                <w:rFonts w:ascii="Times New Roman" w:hAnsi="Times New Roman" w:eastAsia="仿宋_GB2312"/>
                <w:sz w:val="24"/>
                <w:szCs w:val="24"/>
              </w:rPr>
            </w:pPr>
            <w:r>
              <w:rPr>
                <w:rFonts w:ascii="Times New Roman" w:hAnsi="Times New Roman" w:eastAsia="仿宋_GB2312"/>
                <w:sz w:val="24"/>
                <w:szCs w:val="24"/>
              </w:rPr>
              <w:t>35.考虑了环境舒适、适宜与美的协调</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709" w:type="dxa"/>
            <w:vAlign w:val="center"/>
          </w:tcPr>
          <w:p>
            <w:pPr>
              <w:jc w:val="center"/>
              <w:rPr>
                <w:rFonts w:ascii="Times New Roman" w:hAnsi="Times New Roman" w:eastAsia="仿宋_GB2312"/>
                <w:sz w:val="24"/>
                <w:szCs w:val="24"/>
              </w:rPr>
            </w:pPr>
            <w:r>
              <w:rPr>
                <w:rFonts w:ascii="Times New Roman" w:hAnsi="Times New Roman" w:eastAsia="仿宋_GB2312"/>
                <w:sz w:val="24"/>
                <w:szCs w:val="24"/>
              </w:rPr>
              <w:t>1.5</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restart"/>
            <w:vAlign w:val="center"/>
          </w:tcPr>
          <w:p>
            <w:pPr>
              <w:jc w:val="center"/>
              <w:rPr>
                <w:rFonts w:ascii="Times New Roman" w:hAnsi="Times New Roman" w:eastAsia="仿宋_GB2312"/>
                <w:sz w:val="24"/>
                <w:szCs w:val="24"/>
              </w:rPr>
            </w:pPr>
            <w:r>
              <w:rPr>
                <w:rFonts w:ascii="Times New Roman" w:hAnsi="Times New Roman" w:eastAsia="仿宋_GB2312"/>
                <w:b/>
                <w:bCs/>
                <w:sz w:val="24"/>
                <w:szCs w:val="24"/>
              </w:rPr>
              <w:t>八、创造性</w:t>
            </w:r>
            <w:r>
              <w:rPr>
                <w:rFonts w:ascii="Times New Roman" w:hAnsi="Times New Roman" w:eastAsia="仿宋_GB2312"/>
                <w:b/>
                <w:bCs/>
                <w:sz w:val="24"/>
                <w:szCs w:val="24"/>
                <w:u w:color="000000"/>
                <w:lang w:val="zh-TW" w:eastAsia="zh-TW"/>
              </w:rPr>
              <w:t>（</w:t>
            </w:r>
            <w:r>
              <w:rPr>
                <w:rFonts w:ascii="Times New Roman" w:hAnsi="Times New Roman" w:eastAsia="仿宋_GB2312"/>
                <w:b/>
                <w:bCs/>
                <w:sz w:val="24"/>
                <w:szCs w:val="24"/>
                <w:u w:color="000000"/>
              </w:rPr>
              <w:t>15分</w:t>
            </w:r>
            <w:r>
              <w:rPr>
                <w:rFonts w:ascii="Times New Roman" w:hAnsi="Times New Roman" w:eastAsia="仿宋_GB2312"/>
                <w:b/>
                <w:bCs/>
                <w:sz w:val="24"/>
                <w:szCs w:val="24"/>
                <w:u w:color="000000"/>
                <w:lang w:val="zh-TW" w:eastAsia="zh-TW"/>
              </w:rPr>
              <w:t>）</w:t>
            </w: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36.包含超出问题解决常规范畴的内容</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3</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37.提出了不同寻常的内涵，并很有意义</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3</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38.方案的设计思路与质量具有明显创新性</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3</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39.表现出对本个案问题的职业敏感性</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3</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71" w:type="dxa"/>
            <w:vMerge w:val="continue"/>
            <w:vAlign w:val="center"/>
          </w:tcPr>
          <w:p>
            <w:pPr>
              <w:jc w:val="center"/>
              <w:rPr>
                <w:rFonts w:ascii="Times New Roman" w:hAnsi="Times New Roman" w:eastAsia="仿宋_GB2312"/>
                <w:sz w:val="24"/>
                <w:szCs w:val="24"/>
              </w:rPr>
            </w:pPr>
          </w:p>
        </w:tc>
        <w:tc>
          <w:tcPr>
            <w:tcW w:w="4386" w:type="dxa"/>
            <w:vAlign w:val="center"/>
          </w:tcPr>
          <w:p>
            <w:pPr>
              <w:rPr>
                <w:rFonts w:ascii="Times New Roman" w:hAnsi="Times New Roman" w:eastAsia="仿宋_GB2312"/>
                <w:sz w:val="24"/>
                <w:szCs w:val="24"/>
              </w:rPr>
            </w:pPr>
            <w:r>
              <w:rPr>
                <w:rFonts w:ascii="Times New Roman" w:hAnsi="Times New Roman" w:eastAsia="仿宋_GB2312"/>
                <w:sz w:val="24"/>
                <w:szCs w:val="24"/>
              </w:rPr>
              <w:t>40.充分使用了题目所提供的设计空间</w:t>
            </w:r>
          </w:p>
        </w:tc>
        <w:tc>
          <w:tcPr>
            <w:tcW w:w="797"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3</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912"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r>
              <w:rPr>
                <w:rFonts w:ascii="Times New Roman" w:hAnsi="Times New Roman" w:eastAsia="仿宋_GB2312"/>
                <w:sz w:val="24"/>
                <w:szCs w:val="24"/>
              </w:rPr>
              <w:t>.5</w:t>
            </w:r>
          </w:p>
        </w:tc>
        <w:tc>
          <w:tcPr>
            <w:tcW w:w="709" w:type="dxa"/>
            <w:vAlign w:val="center"/>
          </w:tcPr>
          <w:p>
            <w:pPr>
              <w:jc w:val="center"/>
              <w:rPr>
                <w:rFonts w:ascii="Times New Roman" w:hAnsi="Times New Roman" w:eastAsia="仿宋_GB2312"/>
                <w:sz w:val="24"/>
                <w:szCs w:val="24"/>
              </w:rPr>
            </w:pPr>
            <w:r>
              <w:rPr>
                <w:rFonts w:hint="eastAsia" w:ascii="Times New Roman" w:hAnsi="Times New Roman" w:eastAsia="仿宋_GB2312"/>
                <w:sz w:val="24"/>
                <w:szCs w:val="24"/>
              </w:rPr>
              <w:t>0</w:t>
            </w:r>
          </w:p>
        </w:tc>
      </w:tr>
    </w:tbl>
    <w:p>
      <w:pPr>
        <w:pStyle w:val="2"/>
        <w:ind w:firstLine="0" w:firstLineChars="0"/>
        <w:rPr>
          <w:rFonts w:ascii="宋体" w:hAnsi="宋体" w:cs="宋体"/>
          <w:b/>
          <w:bCs/>
          <w:color w:val="000000"/>
          <w:spacing w:val="-2"/>
          <w:w w:val="101"/>
          <w:kern w:val="0"/>
          <w:sz w:val="3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ljYzUzMWQ4OWI0YzBkYjYzMDRhZTY5ZjZkYmFmYTgifQ=="/>
  </w:docVars>
  <w:rsids>
    <w:rsidRoot w:val="0EE87A66"/>
    <w:rsid w:val="0EE87A66"/>
    <w:rsid w:val="2D677EDC"/>
    <w:rsid w:val="40385BCB"/>
    <w:rsid w:val="723B43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w:basedOn w:val="3"/>
    <w:semiHidden/>
    <w:unhideWhenUsed/>
    <w:qFormat/>
    <w:uiPriority w:val="99"/>
    <w:pPr>
      <w:ind w:firstLine="420" w:firstLineChars="100"/>
    </w:pPr>
  </w:style>
  <w:style w:type="paragraph" w:styleId="3">
    <w:name w:val="Body Text"/>
    <w:basedOn w:val="1"/>
    <w:next w:val="1"/>
    <w:semiHidden/>
    <w:unhideWhenUsed/>
    <w:qFormat/>
    <w:uiPriority w:val="99"/>
    <w:pPr>
      <w:spacing w:after="120"/>
    </w:pPr>
  </w:style>
  <w:style w:type="paragraph" w:styleId="4">
    <w:name w:val="header"/>
    <w:basedOn w:val="1"/>
    <w:qFormat/>
    <w:uiPriority w:val="0"/>
    <w:pPr>
      <w:tabs>
        <w:tab w:val="center" w:pos="4153"/>
        <w:tab w:val="right" w:pos="8306"/>
      </w:tabs>
      <w:jc w:val="center"/>
    </w:pPr>
    <w:rPr>
      <w:sz w:val="18"/>
      <w:szCs w:val="18"/>
    </w:rPr>
  </w:style>
  <w:style w:type="character" w:styleId="7">
    <w:name w:val="annotation reference"/>
    <w:qFormat/>
    <w:uiPriority w:val="0"/>
    <w:rPr>
      <w:sz w:val="21"/>
      <w:szCs w:val="21"/>
    </w:rPr>
  </w:style>
  <w:style w:type="paragraph" w:customStyle="1" w:styleId="8">
    <w:name w:val="正文 A"/>
    <w:qFormat/>
    <w:uiPriority w:val="0"/>
    <w:pPr>
      <w:framePr w:wrap="around" w:vAnchor="margin" w:hAnchor="text" w:y="1"/>
      <w:widowControl w:val="0"/>
      <w:jc w:val="both"/>
    </w:pPr>
    <w:rPr>
      <w:rFonts w:ascii="Calibri" w:hAnsi="Calibri" w:eastAsia="Calibri" w:cs="Calibri"/>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2023-10-05T07:15:00Z</dcterms:created>
  <dc:creator>陈红</dc:creator>
  <cp:lastModifiedBy>陈红</cp:lastModifiedBy>
  <dcterms:modified xsi:type="dcterms:W3CDTF">2023-10-10T14:33:22Z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E875FEF2BCA34DD79FBB6C81FC6C188E_11</vt:lpwstr>
  </property>
</Properties>
</file>