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z w:val="36"/>
          <w:szCs w:val="36"/>
        </w:rPr>
        <w:t>2023年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全国</w:t>
      </w:r>
      <w:r>
        <w:rPr>
          <w:rFonts w:ascii="宋体" w:hAnsi="宋体" w:eastAsia="宋体" w:cs="宋体"/>
          <w:b/>
          <w:bCs/>
          <w:sz w:val="36"/>
          <w:szCs w:val="36"/>
        </w:rPr>
        <w:t>职业院校技能大赛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（高职组）</w:t>
      </w:r>
    </w:p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地理空间信息采集与处理赛项</w:t>
      </w:r>
    </w:p>
    <w:p>
      <w:pPr>
        <w:spacing w:before="120" w:beforeLines="50" w:after="120" w:afterLines="50"/>
        <w:jc w:val="center"/>
        <w:rPr>
          <w:rFonts w:cs="楷体" w:asciiTheme="majorEastAsia" w:hAnsiTheme="majorEastAsia" w:eastAsiaTheme="majorEastAsia"/>
          <w:b/>
          <w:sz w:val="32"/>
          <w:szCs w:val="36"/>
        </w:rPr>
      </w:pPr>
      <w:r>
        <w:rPr>
          <w:rFonts w:hint="eastAsia" w:cs="楷体" w:asciiTheme="majorEastAsia" w:hAnsiTheme="majorEastAsia" w:eastAsiaTheme="majorEastAsia"/>
          <w:b/>
          <w:sz w:val="32"/>
          <w:szCs w:val="36"/>
        </w:rPr>
        <w:t>一级</w:t>
      </w:r>
      <w:r>
        <w:rPr>
          <w:rFonts w:cs="楷体" w:asciiTheme="majorEastAsia" w:hAnsiTheme="majorEastAsia" w:eastAsiaTheme="majorEastAsia"/>
          <w:b/>
          <w:sz w:val="32"/>
          <w:szCs w:val="36"/>
        </w:rPr>
        <w:t>导线测量成果评分表</w:t>
      </w:r>
    </w:p>
    <w:p>
      <w:pPr>
        <w:pStyle w:val="2"/>
        <w:spacing w:before="1" w:after="120"/>
        <w:rPr>
          <w:rFonts w:ascii="黑体" w:eastAsia="KaiTi_GB2312"/>
          <w:sz w:val="12"/>
        </w:rPr>
      </w:pPr>
      <w:r>
        <w:rPr>
          <w:rFonts w:hint="eastAsia" w:ascii="楷体" w:hAnsi="楷体" w:eastAsia="楷体" w:cs="楷体"/>
          <w:b/>
        </w:rPr>
        <w:t>参赛队编号</w:t>
      </w:r>
      <w:r>
        <w:rPr>
          <w:rFonts w:hint="eastAsia" w:ascii="楷体" w:hAnsi="楷体" w:eastAsia="楷体" w:cs="楷体"/>
          <w:b/>
          <w:sz w:val="24"/>
        </w:rPr>
        <w:t xml:space="preserve">：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eastAsia" w:ascii="楷体" w:hAnsi="楷体" w:eastAsia="楷体" w:cs="楷体"/>
          <w:b/>
          <w:szCs w:val="21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24"/>
          <w:u w:val="single"/>
        </w:rPr>
        <w:t xml:space="preserve">      </w:t>
      </w:r>
      <w:r>
        <w:rPr>
          <w:rFonts w:hint="eastAsia" w:ascii="KaiTi_GB2312" w:eastAsia="KaiTi_GB2312"/>
        </w:rPr>
        <w:t xml:space="preserve">                    </w:t>
      </w:r>
    </w:p>
    <w:tbl>
      <w:tblPr>
        <w:tblStyle w:val="9"/>
        <w:tblW w:w="935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33"/>
        <w:gridCol w:w="3012"/>
        <w:gridCol w:w="3881"/>
        <w:gridCol w:w="938"/>
        <w:gridCol w:w="9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8" w:hRule="atLeast"/>
          <w:jc w:val="center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评测内容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分标准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处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92" w:hRule="atLeast"/>
          <w:jc w:val="center"/>
        </w:trPr>
        <w:tc>
          <w:tcPr>
            <w:tcW w:w="533" w:type="dxa"/>
            <w:vMerge w:val="restart"/>
            <w:textDirection w:val="tbRlV"/>
          </w:tcPr>
          <w:p>
            <w:pPr>
              <w:spacing w:before="145" w:line="217" w:lineRule="auto"/>
              <w:ind w:left="20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Cs w:val="20"/>
              </w:rPr>
              <w:t>观</w:t>
            </w:r>
            <w:r>
              <w:rPr>
                <w:rFonts w:hint="eastAsia" w:ascii="宋体" w:hAnsi="宋体" w:eastAsia="宋体" w:cs="宋体"/>
                <w:spacing w:val="9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测</w:t>
            </w:r>
            <w:r>
              <w:rPr>
                <w:rFonts w:hint="eastAsia" w:ascii="宋体" w:hAnsi="宋体" w:eastAsia="宋体" w:cs="宋体"/>
                <w:spacing w:val="5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与</w:t>
            </w:r>
            <w:r>
              <w:rPr>
                <w:rFonts w:hint="eastAsia" w:ascii="宋体" w:hAnsi="宋体" w:eastAsia="宋体" w:cs="宋体"/>
                <w:spacing w:val="5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记</w:t>
            </w:r>
            <w:r>
              <w:rPr>
                <w:rFonts w:hint="eastAsia" w:ascii="宋体" w:hAnsi="宋体" w:eastAsia="宋体" w:cs="宋体"/>
                <w:spacing w:val="5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录</w:t>
            </w:r>
          </w:p>
        </w:tc>
        <w:tc>
          <w:tcPr>
            <w:tcW w:w="3012" w:type="dxa"/>
            <w:vAlign w:val="center"/>
          </w:tcPr>
          <w:p>
            <w:pPr>
              <w:spacing w:before="65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测站限差</w:t>
            </w:r>
          </w:p>
        </w:tc>
        <w:tc>
          <w:tcPr>
            <w:tcW w:w="3881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00" w:lineRule="auto"/>
              <w:ind w:left="23" w:right="18" w:firstLineChars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pacing w:val="8"/>
              </w:rPr>
              <w:t>1.</w:t>
            </w:r>
            <w:r>
              <w:rPr>
                <w:rFonts w:ascii="Times New Roman" w:hAnsi="Times New Roman" w:cs="Times New Roman"/>
                <w:spacing w:val="8"/>
              </w:rPr>
              <w:t>一级导线：同一方向各测回较</w:t>
            </w:r>
            <w:r>
              <w:rPr>
                <w:rFonts w:ascii="Times New Roman" w:hAnsi="Times New Roman" w:cs="Times New Roman"/>
                <w:spacing w:val="-14"/>
              </w:rPr>
              <w:t>差</w:t>
            </w:r>
            <w:r>
              <w:rPr>
                <w:rFonts w:ascii="Times New Roman" w:hAnsi="Times New Roman" w:cs="Times New Roman"/>
                <w:spacing w:val="-7"/>
              </w:rPr>
              <w:t>或者2C互差超限、距离测量</w:t>
            </w:r>
            <w:r>
              <w:rPr>
                <w:rFonts w:ascii="Times New Roman" w:hAnsi="Times New Roman" w:cs="Times New Roman"/>
                <w:spacing w:val="27"/>
              </w:rPr>
              <w:t>读</w:t>
            </w:r>
            <w:r>
              <w:rPr>
                <w:rFonts w:ascii="Times New Roman" w:hAnsi="Times New Roman" w:cs="Times New Roman"/>
                <w:spacing w:val="24"/>
              </w:rPr>
              <w:t>数误差超限。</w:t>
            </w:r>
          </w:p>
          <w:p>
            <w:pPr>
              <w:spacing w:line="300" w:lineRule="auto"/>
              <w:ind w:right="11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pacing w:val="14"/>
              </w:rPr>
              <w:t>2.</w:t>
            </w:r>
            <w:r>
              <w:rPr>
                <w:rFonts w:ascii="Times New Roman" w:hAnsi="Times New Roman" w:cs="Times New Roman"/>
                <w:spacing w:val="14"/>
              </w:rPr>
              <w:t>二级导线：2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spacing w:val="14"/>
              </w:rPr>
              <w:t>互差超限或距离</w:t>
            </w:r>
            <w:r>
              <w:rPr>
                <w:rFonts w:ascii="Times New Roman" w:hAnsi="Times New Roman" w:cs="Times New Roman"/>
                <w:spacing w:val="17"/>
              </w:rPr>
              <w:t>测量读数误差超限</w:t>
            </w:r>
            <w:r>
              <w:rPr>
                <w:rFonts w:ascii="Times New Roman" w:hAnsi="Times New Roman" w:cs="Times New Roman"/>
                <w:spacing w:val="16"/>
              </w:rPr>
              <w:t>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3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>角</w:t>
            </w:r>
            <w:r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度观测记录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0"/>
              </w:rPr>
              <w:t>角度改动秒值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34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连环涂</w:t>
            </w:r>
            <w:r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>改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1"/>
              </w:rPr>
              <w:t>违</w:t>
            </w:r>
            <w:r>
              <w:rPr>
                <w:rFonts w:ascii="Times New Roman" w:hAnsi="Times New Roman" w:cs="Times New Roman"/>
                <w:spacing w:val="10"/>
              </w:rPr>
              <w:t>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21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>距离观测记录改动厘米、毫</w:t>
            </w:r>
            <w:r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>米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8"/>
              </w:rPr>
              <w:t>违规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2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>手</w:t>
            </w:r>
            <w:r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>簿内部写与测量数据无关内容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8"/>
              </w:rPr>
              <w:t>违规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29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记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录规范性</w:t>
            </w:r>
          </w:p>
        </w:tc>
        <w:tc>
          <w:tcPr>
            <w:tcW w:w="3881" w:type="dxa"/>
            <w:vAlign w:val="center"/>
          </w:tcPr>
          <w:p>
            <w:pPr>
              <w:spacing w:line="300" w:lineRule="auto"/>
              <w:ind w:right="11"/>
              <w:rPr>
                <w:rFonts w:ascii="Times New Roman" w:hAnsi="Times New Roman" w:cs="Times New Roman"/>
                <w:spacing w:val="14"/>
              </w:rPr>
            </w:pPr>
            <w:r>
              <w:rPr>
                <w:rFonts w:ascii="Times New Roman" w:hAnsi="Times New Roman" w:cs="Times New Roman"/>
                <w:spacing w:val="14"/>
              </w:rPr>
              <w:t>就字改字、字迹模糊影响识读</w:t>
            </w:r>
            <w:r>
              <w:rPr>
                <w:rFonts w:hint="eastAsia" w:ascii="Times New Roman" w:hAnsi="Times New Roman" w:cs="Times New Roman"/>
                <w:spacing w:val="14"/>
              </w:rPr>
              <w:t>。</w:t>
            </w:r>
          </w:p>
          <w:p>
            <w:pPr>
              <w:spacing w:line="300" w:lineRule="auto"/>
              <w:ind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4"/>
              </w:rPr>
              <w:t>1处扣2分，最多扣4分。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>手</w:t>
            </w:r>
            <w:r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簿缺项或计算错误</w:t>
            </w:r>
          </w:p>
        </w:tc>
        <w:tc>
          <w:tcPr>
            <w:tcW w:w="3881" w:type="dxa"/>
            <w:vAlign w:val="center"/>
          </w:tcPr>
          <w:p>
            <w:pPr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</w:rPr>
              <w:t>每</w:t>
            </w:r>
            <w:r>
              <w:rPr>
                <w:rFonts w:ascii="Times New Roman" w:hAnsi="Times New Roman" w:cs="Times New Roman"/>
                <w:spacing w:val="-6"/>
              </w:rPr>
              <w:t>出现1次扣1分，最多扣10分。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手</w:t>
            </w:r>
            <w:r>
              <w:rPr>
                <w:rFonts w:ascii="Times New Roman" w:hAnsi="Times New Roman" w:cs="Times New Roman"/>
                <w:spacing w:val="-4"/>
              </w:rPr>
              <w:t>簿</w:t>
            </w:r>
            <w:r>
              <w:rPr>
                <w:rFonts w:ascii="Times New Roman" w:hAnsi="Times New Roman" w:cs="Times New Roman"/>
                <w:spacing w:val="-3"/>
              </w:rPr>
              <w:t>划改</w:t>
            </w:r>
          </w:p>
        </w:tc>
        <w:tc>
          <w:tcPr>
            <w:tcW w:w="3881" w:type="dxa"/>
          </w:tcPr>
          <w:p>
            <w:pPr>
              <w:ind w:left="22" w:right="374" w:hanging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4"/>
              </w:rPr>
              <w:t>非单线或者不用尺子的划线，1处扣1分，最多扣4分。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8"/>
              </w:rPr>
              <w:t>同</w:t>
            </w:r>
            <w:r>
              <w:rPr>
                <w:rFonts w:ascii="Times New Roman" w:hAnsi="Times New Roman" w:cs="Times New Roman"/>
                <w:spacing w:val="-5"/>
              </w:rPr>
              <w:t>一位置划改超过1次</w:t>
            </w:r>
          </w:p>
        </w:tc>
        <w:tc>
          <w:tcPr>
            <w:tcW w:w="3881" w:type="dxa"/>
          </w:tcPr>
          <w:p>
            <w:pPr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>违规1处扣</w:t>
            </w:r>
            <w:r>
              <w:rPr>
                <w:rFonts w:ascii="Times New Roman" w:hAnsi="Times New Roman" w:cs="Times New Roman"/>
              </w:rPr>
              <w:t>1分，最多扣4分。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cBorders>
              <w:bottom w:val="single" w:color="auto" w:sz="4" w:space="0"/>
            </w:tcBorders>
            <w:textDirection w:val="tbRlV"/>
          </w:tcPr>
          <w:p/>
        </w:tc>
        <w:tc>
          <w:tcPr>
            <w:tcW w:w="30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9"/>
              </w:rPr>
              <w:t>划改后不注原因或不规范</w:t>
            </w:r>
          </w:p>
        </w:tc>
        <w:tc>
          <w:tcPr>
            <w:tcW w:w="3881" w:type="dxa"/>
          </w:tcPr>
          <w:p>
            <w:pPr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违规1处</w:t>
            </w:r>
            <w:r>
              <w:rPr>
                <w:rFonts w:ascii="Times New Roman" w:hAnsi="Times New Roman" w:cs="Times New Roman"/>
                <w:spacing w:val="1"/>
              </w:rPr>
              <w:t>扣1分，最多扣2分。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9" w:hRule="atLeast"/>
          <w:jc w:val="center"/>
        </w:trPr>
        <w:tc>
          <w:tcPr>
            <w:tcW w:w="53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ascii="宋体" w:hAnsi="宋体" w:eastAsia="宋体" w:cs="宋体"/>
                <w:spacing w:val="-22"/>
                <w:szCs w:val="20"/>
              </w:rPr>
              <w:t>内</w:t>
            </w:r>
            <w:r>
              <w:rPr>
                <w:rFonts w:hint="eastAsia" w:ascii="宋体" w:hAnsi="宋体" w:eastAsia="宋体" w:cs="宋体"/>
                <w:spacing w:val="-22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1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spacing w:val="-21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Cs w:val="20"/>
              </w:rPr>
              <w:t>计</w:t>
            </w:r>
            <w:r>
              <w:rPr>
                <w:rFonts w:hint="eastAsia" w:ascii="宋体" w:hAnsi="宋体" w:eastAsia="宋体" w:cs="宋体"/>
                <w:spacing w:val="6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Cs w:val="20"/>
              </w:rPr>
              <w:t>算</w:t>
            </w:r>
          </w:p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4"/>
              </w:rPr>
              <w:t>方位角闭合差或</w:t>
            </w:r>
            <w:r>
              <w:rPr>
                <w:rFonts w:hint="eastAsia" w:ascii="Times New Roman" w:hAnsi="Times New Roman" w:cs="Times New Roman"/>
                <w:spacing w:val="24"/>
              </w:rPr>
              <w:t>导线全长</w:t>
            </w:r>
            <w:r>
              <w:rPr>
                <w:rFonts w:ascii="Times New Roman" w:hAnsi="Times New Roman" w:cs="Times New Roman"/>
                <w:spacing w:val="24"/>
              </w:rPr>
              <w:t>相对闭合差</w:t>
            </w:r>
          </w:p>
        </w:tc>
        <w:tc>
          <w:tcPr>
            <w:tcW w:w="3881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4"/>
              </w:rPr>
              <w:t>超</w:t>
            </w:r>
            <w:r>
              <w:rPr>
                <w:rFonts w:ascii="Times New Roman" w:hAnsi="Times New Roman" w:cs="Times New Roman"/>
                <w:spacing w:val="13"/>
              </w:rPr>
              <w:t>限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Merge w:val="restart"/>
            <w:vAlign w:val="center"/>
          </w:tcPr>
          <w:p>
            <w:pPr>
              <w:jc w:val="both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8"/>
                <w:position w:val="2"/>
              </w:rPr>
              <w:t>平</w:t>
            </w:r>
            <w:r>
              <w:rPr>
                <w:rFonts w:ascii="Times New Roman" w:hAnsi="Times New Roman" w:cs="Times New Roman"/>
                <w:spacing w:val="-5"/>
                <w:position w:val="2"/>
              </w:rPr>
              <w:t>差计算(20分)</w:t>
            </w:r>
          </w:p>
        </w:tc>
        <w:tc>
          <w:tcPr>
            <w:tcW w:w="3881" w:type="dxa"/>
          </w:tcPr>
          <w:p>
            <w:pPr>
              <w:ind w:left="12" w:right="34" w:hanging="6"/>
              <w:rPr>
                <w:rFonts w:ascii="Times New Roman" w:hAnsi="Times New Roman" w:cs="Times New Roman"/>
                <w:spacing w:val="24"/>
              </w:rPr>
            </w:pPr>
            <w:r>
              <w:rPr>
                <w:rFonts w:ascii="Times New Roman" w:hAnsi="Times New Roman" w:cs="Times New Roman"/>
                <w:spacing w:val="1"/>
              </w:rPr>
              <w:t>1处计算错误扣0.5n分，n为影响后续计算的项目数。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Merge w:val="continue"/>
            <w:vAlign w:val="center"/>
          </w:tcPr>
          <w:p>
            <w:pPr>
              <w:jc w:val="both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</w:p>
        </w:tc>
        <w:tc>
          <w:tcPr>
            <w:tcW w:w="3881" w:type="dxa"/>
          </w:tcPr>
          <w:p>
            <w:pPr>
              <w:ind w:left="12" w:right="34" w:hanging="6"/>
              <w:rPr>
                <w:rFonts w:ascii="Times New Roman" w:hAnsi="Times New Roman" w:cs="Times New Roman"/>
                <w:spacing w:val="24"/>
              </w:rPr>
            </w:pPr>
            <w:r>
              <w:rPr>
                <w:rFonts w:ascii="Times New Roman" w:hAnsi="Times New Roman" w:cs="Times New Roman"/>
                <w:spacing w:val="1"/>
              </w:rPr>
              <w:t>全部未计算扣20分；只计算方位角闭合差扣15分；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  <w:position w:val="2"/>
              </w:rPr>
              <w:t>坐</w:t>
            </w:r>
            <w:r>
              <w:rPr>
                <w:rFonts w:ascii="Times New Roman" w:hAnsi="Times New Roman" w:cs="Times New Roman"/>
                <w:spacing w:val="-4"/>
                <w:position w:val="2"/>
              </w:rPr>
              <w:t>标</w:t>
            </w:r>
            <w:r>
              <w:rPr>
                <w:rFonts w:ascii="Times New Roman" w:hAnsi="Times New Roman" w:cs="Times New Roman"/>
                <w:spacing w:val="-3"/>
                <w:position w:val="2"/>
              </w:rPr>
              <w:t>检查(6分)</w:t>
            </w:r>
          </w:p>
        </w:tc>
        <w:tc>
          <w:tcPr>
            <w:tcW w:w="3881" w:type="dxa"/>
          </w:tcPr>
          <w:p>
            <w:pPr>
              <w:ind w:left="12" w:right="34" w:hanging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>与标准值比较超过±5cm为超限，每超限1个点扣3分。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cBorders>
              <w:bottom w:val="single" w:color="auto" w:sz="4" w:space="0"/>
            </w:tcBorders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spacing w:before="65" w:line="22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计</w:t>
            </w:r>
            <w:r>
              <w:rPr>
                <w:rFonts w:ascii="Times New Roman" w:hAnsi="Times New Roman" w:cs="Times New Roman"/>
                <w:spacing w:val="-2"/>
              </w:rPr>
              <w:t>算表整洁</w:t>
            </w:r>
          </w:p>
        </w:tc>
        <w:tc>
          <w:tcPr>
            <w:tcW w:w="3881" w:type="dxa"/>
            <w:tcBorders>
              <w:right w:val="single" w:color="auto" w:sz="4" w:space="0"/>
            </w:tcBorders>
            <w:vAlign w:val="center"/>
          </w:tcPr>
          <w:p>
            <w:pPr>
              <w:ind w:left="10" w:right="35" w:hanging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>每1处非正常污迹扣0.5分</w:t>
            </w:r>
            <w:r>
              <w:rPr>
                <w:rFonts w:ascii="Times New Roman" w:hAnsi="Times New Roman" w:cs="Times New Roman"/>
              </w:rPr>
              <w:t>，最多</w:t>
            </w:r>
            <w:r>
              <w:rPr>
                <w:rFonts w:ascii="Times New Roman" w:hAnsi="Times New Roman" w:cs="Times New Roman"/>
                <w:spacing w:val="-2"/>
              </w:rPr>
              <w:t>扣2分</w:t>
            </w:r>
            <w:r>
              <w:rPr>
                <w:rFonts w:ascii="Times New Roman" w:hAnsi="Times New Roman" w:cs="Times New Roman"/>
                <w:spacing w:val="-1"/>
              </w:rPr>
              <w:t>。</w:t>
            </w:r>
          </w:p>
        </w:tc>
        <w:tc>
          <w:tcPr>
            <w:tcW w:w="938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742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16"/>
              </w:rPr>
              <w:t>合计扣分</w:t>
            </w:r>
          </w:p>
        </w:tc>
        <w:tc>
          <w:tcPr>
            <w:tcW w:w="938" w:type="dxa"/>
            <w:tcBorders>
              <w:lef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tabs>
          <w:tab w:val="left" w:pos="0"/>
        </w:tabs>
        <w:spacing w:before="360" w:beforeLines="150" w:after="240" w:afterLines="100"/>
        <w:ind w:firstLine="141" w:firstLineChars="50"/>
        <w:rPr>
          <w:rFonts w:ascii="楷体" w:hAnsi="楷体" w:eastAsia="楷体" w:cs="楷体"/>
          <w:b/>
          <w:u w:val="single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裁判签名：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     日期：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</w:p>
    <w:sectPr>
      <w:pgSz w:w="11906" w:h="16839"/>
      <w:pgMar w:top="1418" w:right="1418" w:bottom="1418" w:left="1418" w:header="0" w:footer="1196" w:gutter="0"/>
      <w:cols w:equalWidth="0" w:num="1">
        <w:col w:w="87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806DE3"/>
    <w:multiLevelType w:val="multilevel"/>
    <w:tmpl w:val="21806DE3"/>
    <w:lvl w:ilvl="0" w:tentative="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63" w:hanging="420"/>
      </w:pPr>
    </w:lvl>
    <w:lvl w:ilvl="2" w:tentative="0">
      <w:start w:val="1"/>
      <w:numFmt w:val="lowerRoman"/>
      <w:lvlText w:val="%3."/>
      <w:lvlJc w:val="right"/>
      <w:pPr>
        <w:ind w:left="1283" w:hanging="420"/>
      </w:pPr>
    </w:lvl>
    <w:lvl w:ilvl="3" w:tentative="0">
      <w:start w:val="1"/>
      <w:numFmt w:val="decimal"/>
      <w:lvlText w:val="%4."/>
      <w:lvlJc w:val="left"/>
      <w:pPr>
        <w:ind w:left="1703" w:hanging="420"/>
      </w:pPr>
    </w:lvl>
    <w:lvl w:ilvl="4" w:tentative="0">
      <w:start w:val="1"/>
      <w:numFmt w:val="lowerLetter"/>
      <w:lvlText w:val="%5)"/>
      <w:lvlJc w:val="left"/>
      <w:pPr>
        <w:ind w:left="2123" w:hanging="420"/>
      </w:pPr>
    </w:lvl>
    <w:lvl w:ilvl="5" w:tentative="0">
      <w:start w:val="1"/>
      <w:numFmt w:val="lowerRoman"/>
      <w:lvlText w:val="%6."/>
      <w:lvlJc w:val="right"/>
      <w:pPr>
        <w:ind w:left="2543" w:hanging="420"/>
      </w:pPr>
    </w:lvl>
    <w:lvl w:ilvl="6" w:tentative="0">
      <w:start w:val="1"/>
      <w:numFmt w:val="decimal"/>
      <w:lvlText w:val="%7."/>
      <w:lvlJc w:val="left"/>
      <w:pPr>
        <w:ind w:left="2963" w:hanging="420"/>
      </w:pPr>
    </w:lvl>
    <w:lvl w:ilvl="7" w:tentative="0">
      <w:start w:val="1"/>
      <w:numFmt w:val="lowerLetter"/>
      <w:lvlText w:val="%8)"/>
      <w:lvlJc w:val="left"/>
      <w:pPr>
        <w:ind w:left="3383" w:hanging="420"/>
      </w:pPr>
    </w:lvl>
    <w:lvl w:ilvl="8" w:tentative="0">
      <w:start w:val="1"/>
      <w:numFmt w:val="lowerRoman"/>
      <w:lvlText w:val="%9."/>
      <w:lvlJc w:val="right"/>
      <w:pPr>
        <w:ind w:left="380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WI4YTMxYTU1OTJjMjE0Y2IyNGExMTI0YjQwNGRlZTEifQ=="/>
  </w:docVars>
  <w:rsids>
    <w:rsidRoot w:val="0073660D"/>
    <w:rsid w:val="000426A5"/>
    <w:rsid w:val="002020D2"/>
    <w:rsid w:val="0023041C"/>
    <w:rsid w:val="00246EA6"/>
    <w:rsid w:val="002E615D"/>
    <w:rsid w:val="003D5CED"/>
    <w:rsid w:val="00483119"/>
    <w:rsid w:val="0053061C"/>
    <w:rsid w:val="00551C65"/>
    <w:rsid w:val="005C081C"/>
    <w:rsid w:val="005D71A6"/>
    <w:rsid w:val="006D2E0B"/>
    <w:rsid w:val="0073660D"/>
    <w:rsid w:val="007E50E7"/>
    <w:rsid w:val="00884F09"/>
    <w:rsid w:val="008A7226"/>
    <w:rsid w:val="008F4906"/>
    <w:rsid w:val="00900F0A"/>
    <w:rsid w:val="009172FF"/>
    <w:rsid w:val="009C1AA5"/>
    <w:rsid w:val="00A1442F"/>
    <w:rsid w:val="00A6728E"/>
    <w:rsid w:val="00A96C23"/>
    <w:rsid w:val="00AA4981"/>
    <w:rsid w:val="00B02B46"/>
    <w:rsid w:val="00C66D4F"/>
    <w:rsid w:val="00C67846"/>
    <w:rsid w:val="00CA79A0"/>
    <w:rsid w:val="00CC1DA7"/>
    <w:rsid w:val="00D92B17"/>
    <w:rsid w:val="00DB20B6"/>
    <w:rsid w:val="00DB4600"/>
    <w:rsid w:val="00E07EA9"/>
    <w:rsid w:val="00E1065C"/>
    <w:rsid w:val="00E64FF3"/>
    <w:rsid w:val="00EF6F61"/>
    <w:rsid w:val="00EF7A24"/>
    <w:rsid w:val="02A642FD"/>
    <w:rsid w:val="089124FA"/>
    <w:rsid w:val="215C7B3A"/>
    <w:rsid w:val="2E9C4B29"/>
    <w:rsid w:val="3B032CD5"/>
    <w:rsid w:val="3F0E703D"/>
    <w:rsid w:val="4A271BA8"/>
    <w:rsid w:val="4ACE58B6"/>
    <w:rsid w:val="5EF75D99"/>
    <w:rsid w:val="6396108A"/>
    <w:rsid w:val="64B25B39"/>
    <w:rsid w:val="FE3FF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qFormat/>
    <w:uiPriority w:val="99"/>
    <w:rPr>
      <w:snapToGrid w:val="0"/>
      <w:color w:val="000000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292</Words>
  <Characters>296</Characters>
  <Lines>7</Lines>
  <Paragraphs>2</Paragraphs>
  <TotalTime>4</TotalTime>
  <ScaleCrop>false</ScaleCrop>
  <LinksUpToDate>false</LinksUpToDate>
  <CharactersWithSpaces>372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2023-07-17T13:41:00Z</dcterms:created>
  <dc:creator>admin</dc:creator>
  <cp:lastModifiedBy>bgs</cp:lastModifiedBy>
  <dcterms:modified xsi:type="dcterms:W3CDTF">2023-08-27T07:09:07Z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2023-05-16T09:56:23Z</vt:filetime>
  </property>
  <property fmtid="{D5CDD505-2E9C-101B-9397-08002B2CF9AE}" pid="4" name="KSOProductBuildVer">
    <vt:lpwstr>2052-11.1.0.14309</vt:lpwstr>
  </property>
  <property fmtid="{D5CDD505-2E9C-101B-9397-08002B2CF9AE}" pid="5" name="ICV">
    <vt:lpwstr>AB515C9ADE9343FEA583EFC154B64DCC_13</vt:lpwstr>
  </property>
</Properties>
</file>