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End w:id="1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2588826.896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444522.271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40.035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2589029.071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444449.565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42.627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2588882.813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444373.919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42.651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1338580</wp:posOffset>
            </wp:positionH>
            <wp:positionV relativeFrom="paragraph">
              <wp:posOffset>8255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E2F75DE"/>
    <w:rsid w:val="1F2C1918"/>
    <w:rsid w:val="1FC47373"/>
    <w:rsid w:val="2FB43990"/>
    <w:rsid w:val="354D3C02"/>
    <w:rsid w:val="3D000214"/>
    <w:rsid w:val="597A37CA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3528CA8A7C3D46359AB30FBE5AA5B1A6_13</vt:lpwstr>
  </property>
</Properties>
</file>