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所示导线，其中A</w:t>
      </w:r>
      <w:r>
        <w:rPr>
          <w:rFonts w:hint="eastAsia"/>
          <w:szCs w:val="28"/>
          <w:lang w:val="en-US" w:eastAsia="zh-CN"/>
        </w:rPr>
        <w:t>6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D6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已知A6D6方向的坐标方位角：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A6D6 </w:t>
      </w:r>
      <w:r>
        <w:rPr>
          <w:rFonts w:hint="eastAsia" w:eastAsia="楷体_GB2312"/>
          <w:sz w:val="28"/>
          <w:szCs w:val="28"/>
          <w:lang w:val="en-US" w:eastAsia="zh-CN"/>
        </w:rPr>
        <w:t>= 292°00′44″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A6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2589094.818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A6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444556.276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689225" cy="2335530"/>
            <wp:effectExtent l="0" t="0" r="8255" b="11430"/>
            <wp:docPr id="957851397" name="图片 5" descr="G:\比赛资料\一级导线示意图.jpg一级导线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G:\比赛资料\一级导线示意图.jpg一级导线示意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55" t="29368" r="14412" b="26284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E29229C"/>
    <w:rsid w:val="2C11434A"/>
    <w:rsid w:val="39244EA3"/>
    <w:rsid w:val="3A513FEF"/>
    <w:rsid w:val="40784565"/>
    <w:rsid w:val="442E5667"/>
    <w:rsid w:val="4754531C"/>
    <w:rsid w:val="48094919"/>
    <w:rsid w:val="55E824EE"/>
    <w:rsid w:val="5C1318BA"/>
    <w:rsid w:val="6B7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7D3B19BE16FB45A4A5C2989E155A0B95_13</vt:lpwstr>
  </property>
</Properties>
</file>