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  <w:sz w:val="26"/>
          <w:szCs w:val="26"/>
          <w:lang w:eastAsia="zh-CN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z w:val="26"/>
          <w:szCs w:val="26"/>
        </w:rPr>
        <w:t>2023年</w:t>
      </w:r>
      <w:r>
        <w:rPr>
          <w:rFonts w:hint="eastAsia" w:ascii="宋体" w:hAnsi="宋体" w:eastAsia="宋体" w:cs="宋体"/>
          <w:b/>
          <w:bCs/>
          <w:sz w:val="26"/>
          <w:szCs w:val="26"/>
          <w:lang w:val="en-US" w:eastAsia="zh-CN"/>
        </w:rPr>
        <w:t>全国</w:t>
      </w:r>
      <w:r>
        <w:rPr>
          <w:rFonts w:ascii="宋体" w:hAnsi="宋体" w:eastAsia="宋体" w:cs="宋体"/>
          <w:b/>
          <w:bCs/>
          <w:sz w:val="26"/>
          <w:szCs w:val="26"/>
        </w:rPr>
        <w:t>职业院校技能大赛</w:t>
      </w:r>
      <w:r>
        <w:rPr>
          <w:rFonts w:hint="eastAsia" w:ascii="宋体" w:hAnsi="宋体" w:eastAsia="宋体" w:cs="宋体"/>
          <w:b/>
          <w:bCs/>
          <w:sz w:val="26"/>
          <w:szCs w:val="26"/>
          <w:lang w:eastAsia="zh-CN"/>
        </w:rPr>
        <w:t>（高职组）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  <w:sz w:val="26"/>
          <w:szCs w:val="26"/>
        </w:rPr>
      </w:pPr>
      <w:r>
        <w:rPr>
          <w:rFonts w:hint="eastAsia" w:ascii="宋体" w:hAnsi="宋体" w:eastAsia="宋体" w:cs="宋体"/>
          <w:b/>
          <w:bCs/>
          <w:sz w:val="26"/>
          <w:szCs w:val="26"/>
        </w:rPr>
        <w:t>地理空间信息采集与处理赛项</w:t>
      </w:r>
    </w:p>
    <w:p>
      <w:pPr>
        <w:keepNext w:val="0"/>
        <w:keepLines w:val="0"/>
        <w:pageBreakBefore w:val="0"/>
        <w:widowControl w:val="0"/>
        <w:tabs>
          <w:tab w:val="center" w:pos="4156"/>
          <w:tab w:val="right" w:pos="831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_GB2312" w:hAnsi="Times New Roman" w:eastAsia="楷体_GB2312" w:cs="Times New Roman"/>
          <w:b/>
          <w:kern w:val="2"/>
          <w:sz w:val="36"/>
          <w:szCs w:val="36"/>
          <w:lang w:eastAsia="zh-CN"/>
        </w:rPr>
      </w:pPr>
      <w:r>
        <w:rPr>
          <w:rFonts w:hint="eastAsia" w:ascii="楷体_GB2312" w:hAnsi="Times New Roman" w:eastAsia="楷体_GB2312" w:cs="Times New Roman"/>
          <w:b/>
          <w:kern w:val="2"/>
          <w:sz w:val="36"/>
          <w:szCs w:val="36"/>
          <w:lang w:val="en-US" w:eastAsia="zh-CN"/>
        </w:rPr>
        <w:t>二等</w:t>
      </w:r>
      <w:r>
        <w:rPr>
          <w:rFonts w:hint="eastAsia" w:ascii="楷体_GB2312" w:hAnsi="Times New Roman" w:eastAsia="楷体_GB2312" w:cs="Times New Roman"/>
          <w:b/>
          <w:kern w:val="2"/>
          <w:sz w:val="36"/>
          <w:szCs w:val="36"/>
          <w:lang w:eastAsia="zh-CN"/>
        </w:rPr>
        <w:t>水准测量</w:t>
      </w:r>
      <w:r>
        <w:rPr>
          <w:rFonts w:hint="eastAsia" w:ascii="楷体_GB2312" w:hAnsi="Times New Roman" w:eastAsia="楷体_GB2312" w:cs="Times New Roman"/>
          <w:b/>
          <w:kern w:val="2"/>
          <w:sz w:val="36"/>
          <w:szCs w:val="36"/>
          <w:lang w:val="en-US" w:eastAsia="zh-CN"/>
        </w:rPr>
        <w:t>成果</w:t>
      </w:r>
      <w:r>
        <w:rPr>
          <w:rFonts w:hint="eastAsia" w:ascii="楷体_GB2312" w:hAnsi="Times New Roman" w:eastAsia="楷体_GB2312" w:cs="Times New Roman"/>
          <w:b/>
          <w:kern w:val="2"/>
          <w:sz w:val="36"/>
          <w:szCs w:val="36"/>
          <w:lang w:eastAsia="zh-CN"/>
        </w:rPr>
        <w:t>评分表</w:t>
      </w:r>
    </w:p>
    <w:p>
      <w:pPr>
        <w:pStyle w:val="2"/>
        <w:spacing w:before="1" w:after="1"/>
        <w:rPr>
          <w:rFonts w:hint="default" w:ascii="黑体" w:eastAsia="楷体_GB2312"/>
          <w:sz w:val="12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参赛队</w:t>
      </w:r>
      <w:r>
        <w:rPr>
          <w:rFonts w:hint="eastAsia" w:ascii="楷体_GB2312" w:eastAsia="楷体_GB2312"/>
          <w:sz w:val="28"/>
          <w:szCs w:val="28"/>
        </w:rPr>
        <w:t>编号</w:t>
      </w:r>
      <w:r>
        <w:rPr>
          <w:rFonts w:hint="eastAsia" w:ascii="楷体_GB2312" w:eastAsia="楷体_GB2312"/>
          <w:sz w:val="28"/>
          <w:szCs w:val="28"/>
          <w:lang w:eastAsia="zh-CN"/>
        </w:rPr>
        <w:t>：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 xml:space="preserve">                    </w:t>
      </w:r>
    </w:p>
    <w:tbl>
      <w:tblPr>
        <w:tblStyle w:val="6"/>
        <w:tblW w:w="8315" w:type="dxa"/>
        <w:tblInd w:w="-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"/>
        <w:gridCol w:w="2661"/>
        <w:gridCol w:w="3646"/>
        <w:gridCol w:w="803"/>
        <w:gridCol w:w="8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3057" w:type="dxa"/>
            <w:gridSpan w:val="2"/>
            <w:tcBorders>
              <w:tl2br w:val="nil"/>
              <w:tr2bl w:val="nil"/>
            </w:tcBorders>
          </w:tcPr>
          <w:p>
            <w:pPr>
              <w:pStyle w:val="5"/>
              <w:spacing w:before="111"/>
              <w:ind w:left="1010" w:right="1015"/>
              <w:jc w:val="center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/>
                <w:b/>
                <w:spacing w:val="12"/>
                <w:sz w:val="21"/>
              </w:rPr>
              <w:t>评测内容</w:t>
            </w:r>
          </w:p>
        </w:tc>
        <w:tc>
          <w:tcPr>
            <w:tcW w:w="3646" w:type="dxa"/>
            <w:tcBorders>
              <w:tl2br w:val="nil"/>
              <w:tr2bl w:val="nil"/>
            </w:tcBorders>
          </w:tcPr>
          <w:p>
            <w:pPr>
              <w:pStyle w:val="5"/>
              <w:spacing w:before="111"/>
              <w:ind w:left="1353" w:right="1360"/>
              <w:jc w:val="center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/>
                <w:b/>
                <w:spacing w:val="12"/>
                <w:sz w:val="21"/>
              </w:rPr>
              <w:t>评分标准</w:t>
            </w:r>
          </w:p>
        </w:tc>
        <w:tc>
          <w:tcPr>
            <w:tcW w:w="803" w:type="dxa"/>
            <w:tcBorders>
              <w:tl2br w:val="nil"/>
              <w:tr2bl w:val="nil"/>
            </w:tcBorders>
          </w:tcPr>
          <w:p>
            <w:pPr>
              <w:pStyle w:val="5"/>
              <w:spacing w:before="111"/>
              <w:ind w:left="178"/>
              <w:rPr>
                <w:rFonts w:ascii="微软雅黑" w:eastAsia="微软雅黑"/>
                <w:b/>
                <w:sz w:val="21"/>
              </w:rPr>
            </w:pPr>
            <w:r>
              <w:rPr>
                <w:rFonts w:hint="eastAsia" w:ascii="微软雅黑"/>
                <w:b/>
                <w:spacing w:val="8"/>
                <w:sz w:val="21"/>
              </w:rPr>
              <w:t>扣分</w:t>
            </w:r>
          </w:p>
        </w:tc>
        <w:tc>
          <w:tcPr>
            <w:tcW w:w="809" w:type="dxa"/>
            <w:tcBorders>
              <w:tl2br w:val="nil"/>
              <w:tr2bl w:val="nil"/>
            </w:tcBorders>
          </w:tcPr>
          <w:p>
            <w:pPr>
              <w:pStyle w:val="5"/>
              <w:spacing w:before="111"/>
              <w:ind w:right="188"/>
              <w:jc w:val="right"/>
              <w:rPr>
                <w:rFonts w:ascii="微软雅黑"/>
                <w:b/>
                <w:sz w:val="21"/>
              </w:rPr>
            </w:pPr>
            <w:r>
              <w:rPr>
                <w:rFonts w:hint="eastAsia" w:ascii="微软雅黑"/>
                <w:b/>
                <w:spacing w:val="8"/>
                <w:sz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9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before="137" w:line="300" w:lineRule="auto"/>
              <w:ind w:left="106" w:right="66" w:hanging="5"/>
              <w:jc w:val="center"/>
              <w:rPr>
                <w:sz w:val="21"/>
              </w:rPr>
            </w:pPr>
            <w:r>
              <w:rPr>
                <w:sz w:val="21"/>
              </w:rPr>
              <w:t>观测与记录</w:t>
            </w: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z w:val="21"/>
              </w:rPr>
            </w:pPr>
            <w:r>
              <w:rPr>
                <w:spacing w:val="14"/>
                <w:w w:val="95"/>
                <w:sz w:val="21"/>
              </w:rPr>
              <w:t>每测段测站数为偶数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3"/>
              <w:jc w:val="center"/>
              <w:rPr>
                <w:sz w:val="21"/>
              </w:rPr>
            </w:pPr>
            <w:r>
              <w:rPr>
                <w:spacing w:val="5"/>
                <w:sz w:val="21"/>
              </w:rPr>
              <w:t>奇数测站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测站限差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视线长度、视线高度、前后视距差前后视距累计差、高差较差等超限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观测记录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连环涂改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记录手簿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出现与测量数据无关的文字、符号等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手簿记录空栏或空页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空1栏扣2分，空1页扣5分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手簿计算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每缺少一项或错误一处扣1分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记录规范性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就字改字、字迹模糊影响识读，一处扣2分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手簿划改不用尺子或不是单横线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违规一处扣1分，最多扣4分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同一数据划改超过1次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违规一处扣1分，最多扣4分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划改后不注原因或原因不规范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一处扣0.5分，最多扣2分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手簿划改太多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超过有效成果记录的1/3扣5分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39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5"/>
              <w:spacing w:line="300" w:lineRule="auto"/>
              <w:ind w:left="144" w:right="16" w:firstLine="14"/>
              <w:jc w:val="center"/>
              <w:rPr>
                <w:sz w:val="21"/>
              </w:rPr>
            </w:pPr>
            <w:r>
              <w:rPr>
                <w:sz w:val="21"/>
              </w:rPr>
              <w:t>内业计算</w:t>
            </w:r>
          </w:p>
        </w:tc>
        <w:tc>
          <w:tcPr>
            <w:tcW w:w="2661" w:type="dxa"/>
            <w:tcBorders>
              <w:tl2br w:val="nil"/>
              <w:tr2bl w:val="nil"/>
            </w:tcBorders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水准路线闭合差</w:t>
            </w:r>
          </w:p>
        </w:tc>
        <w:tc>
          <w:tcPr>
            <w:tcW w:w="3646" w:type="dxa"/>
            <w:tcBorders>
              <w:tl2br w:val="nil"/>
              <w:tr2bl w:val="nil"/>
            </w:tcBorders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超限</w:t>
            </w:r>
          </w:p>
        </w:tc>
        <w:tc>
          <w:tcPr>
            <w:tcW w:w="803" w:type="dxa"/>
            <w:tcBorders>
              <w:tl2br w:val="nil"/>
              <w:tr2bl w:val="nil"/>
            </w:tcBorders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9" w:leftChars="0" w:hanging="9" w:firstLineChars="0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6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平差计算(20分)</w:t>
            </w:r>
          </w:p>
        </w:tc>
        <w:tc>
          <w:tcPr>
            <w:tcW w:w="3646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—处计算错误或计算缺项扣0.5n分，n 为影响后续计算的项目数，扣完为止。</w:t>
            </w:r>
          </w:p>
        </w:tc>
        <w:tc>
          <w:tcPr>
            <w:tcW w:w="803" w:type="dxa"/>
            <w:tcBorders>
              <w:tl2br w:val="nil"/>
              <w:tr2bl w:val="nil"/>
            </w:tcBorders>
          </w:tcPr>
          <w:p>
            <w:pPr>
              <w:pStyle w:val="5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</w:tcPr>
          <w:p>
            <w:pPr>
              <w:pStyle w:val="5"/>
              <w:rPr>
                <w:rFonts w:ascii="Times New Roman"/>
                <w:sz w:val="20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6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3646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全部未计算扣20分；只计算路线闭合</w:t>
            </w:r>
          </w:p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差扣15分；未计算闭合差限差扣3分；</w:t>
            </w:r>
          </w:p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其它未完成的酌情扣分，最多扣3分。</w:t>
            </w:r>
          </w:p>
        </w:tc>
        <w:tc>
          <w:tcPr>
            <w:tcW w:w="803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val="en-US" w:eastAsia="zh-CN"/>
              </w:rPr>
            </w:pPr>
            <w:r>
              <w:rPr>
                <w:spacing w:val="14"/>
                <w:w w:val="95"/>
                <w:sz w:val="21"/>
              </w:rPr>
              <w:t>待定点高程检查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val="en-US"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与标准值比较不超过±5mm不超限，超限1点扣2分</w:t>
            </w:r>
          </w:p>
        </w:tc>
        <w:tc>
          <w:tcPr>
            <w:tcW w:w="803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val="en-US" w:eastAsia="en-US"/>
              </w:rPr>
            </w:pPr>
            <w:r>
              <w:rPr>
                <w:spacing w:val="14"/>
                <w:w w:val="95"/>
                <w:sz w:val="21"/>
              </w:rPr>
              <w:t>成果表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val="en-US"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不填写成果表扣2分；填写错误每点扣1分。</w:t>
            </w:r>
          </w:p>
        </w:tc>
        <w:tc>
          <w:tcPr>
            <w:tcW w:w="803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96" w:type="dxa"/>
            <w:vMerge w:val="continue"/>
            <w:tcBorders>
              <w:tl2br w:val="nil"/>
              <w:tr2bl w:val="nil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6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  <w:lang w:val="en-US" w:eastAsia="en-US"/>
              </w:rPr>
            </w:pPr>
            <w:r>
              <w:rPr>
                <w:spacing w:val="14"/>
                <w:w w:val="95"/>
                <w:sz w:val="21"/>
              </w:rPr>
              <w:t>计算表整洁</w:t>
            </w:r>
          </w:p>
        </w:tc>
        <w:tc>
          <w:tcPr>
            <w:tcW w:w="364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val="en-US" w:eastAsia="zh-CN"/>
              </w:rPr>
            </w:pPr>
            <w:r>
              <w:rPr>
                <w:spacing w:val="14"/>
                <w:w w:val="95"/>
                <w:sz w:val="21"/>
                <w:lang w:eastAsia="zh-CN"/>
              </w:rPr>
              <w:t>每一处非正常污迹扣0.5分</w:t>
            </w:r>
          </w:p>
        </w:tc>
        <w:tc>
          <w:tcPr>
            <w:tcW w:w="803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  <w:tc>
          <w:tcPr>
            <w:tcW w:w="809" w:type="dxa"/>
            <w:tcBorders>
              <w:tl2br w:val="nil"/>
              <w:tr2bl w:val="nil"/>
            </w:tcBorders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05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left="209"/>
              <w:jc w:val="center"/>
              <w:rPr>
                <w:spacing w:val="14"/>
                <w:w w:val="95"/>
                <w:sz w:val="21"/>
              </w:rPr>
            </w:pPr>
            <w:r>
              <w:rPr>
                <w:spacing w:val="14"/>
                <w:w w:val="95"/>
                <w:sz w:val="21"/>
              </w:rPr>
              <w:t>合计扣分</w:t>
            </w:r>
          </w:p>
        </w:tc>
        <w:tc>
          <w:tcPr>
            <w:tcW w:w="5258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pStyle w:val="5"/>
              <w:ind w:left="0" w:leftChars="0" w:firstLine="0" w:firstLineChars="0"/>
              <w:jc w:val="center"/>
              <w:rPr>
                <w:spacing w:val="14"/>
                <w:w w:val="95"/>
                <w:sz w:val="21"/>
                <w:lang w:eastAsia="zh-CN"/>
              </w:rPr>
            </w:pPr>
          </w:p>
        </w:tc>
      </w:tr>
    </w:tbl>
    <w:p>
      <w:pPr>
        <w:tabs>
          <w:tab w:val="left" w:pos="0"/>
        </w:tabs>
        <w:spacing w:before="156" w:beforeLines="50" w:after="156" w:afterLines="50"/>
        <w:rPr>
          <w:rFonts w:hint="default" w:eastAsia="楷体_GB2312"/>
          <w:lang w:val="en-US" w:eastAsia="zh-CN"/>
        </w:rPr>
      </w:pPr>
      <w:r>
        <w:rPr>
          <w:rFonts w:hint="eastAsia" w:ascii="楷体_GB2312" w:eastAsia="楷体_GB2312"/>
          <w:b/>
          <w:sz w:val="28"/>
          <w:szCs w:val="28"/>
        </w:rPr>
        <w:t xml:space="preserve">裁判签名：  </w:t>
      </w:r>
      <w:r>
        <w:rPr>
          <w:rFonts w:hint="eastAsia" w:ascii="楷体_GB2312" w:eastAsia="楷体_GB2312"/>
          <w:b/>
          <w:sz w:val="28"/>
          <w:szCs w:val="28"/>
          <w:u w:val="single"/>
        </w:rPr>
        <w:t xml:space="preserve">              </w:t>
      </w:r>
      <w:r>
        <w:rPr>
          <w:rFonts w:hint="eastAsia" w:ascii="楷体_GB2312" w:eastAsia="楷体_GB2312"/>
          <w:b/>
          <w:sz w:val="28"/>
          <w:szCs w:val="28"/>
        </w:rPr>
        <w:t xml:space="preserve">     日期：  </w:t>
      </w:r>
      <w:r>
        <w:rPr>
          <w:rFonts w:hint="eastAsia" w:ascii="楷体_GB2312" w:eastAsia="楷体_GB2312"/>
          <w:b/>
          <w:sz w:val="28"/>
          <w:szCs w:val="28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4YTMxYTU1OTJjMjE0Y2IyNGExMTI0YjQwNGRlZTEifQ=="/>
  </w:docVars>
  <w:rsids>
    <w:rsidRoot w:val="7C4C5D80"/>
    <w:rsid w:val="00846363"/>
    <w:rsid w:val="20D212A0"/>
    <w:rsid w:val="30B56A2B"/>
    <w:rsid w:val="5924294C"/>
    <w:rsid w:val="654B60A7"/>
    <w:rsid w:val="6842721E"/>
    <w:rsid w:val="69B15007"/>
    <w:rsid w:val="7C4C5D80"/>
    <w:rsid w:val="7E9C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paragraph" w:customStyle="1" w:styleId="5">
    <w:name w:val="Table Paragraph"/>
    <w:basedOn w:val="1"/>
    <w:qFormat/>
    <w:uiPriority w:val="1"/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325</Words>
  <Characters>329</Characters>
  <Lines>0</Lines>
  <Paragraphs>0</Paragraphs>
  <TotalTime>3</TotalTime>
  <ScaleCrop>false</ScaleCrop>
  <LinksUpToDate>false</LinksUpToDate>
  <CharactersWithSpaces>418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2023-08-18T07:14:00Z</dcterms:created>
  <dc:creator>WPS_121609024</dc:creator>
  <cp:lastModifiedBy>bgs</cp:lastModifiedBy>
  <dcterms:modified xsi:type="dcterms:W3CDTF">2023-08-27T07:13:57Z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F11AEEAB4EB6430D97AE1933A262F99F_13</vt:lpwstr>
  </property>
</Properties>
</file>