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sz w:val="72"/>
          <w:szCs w:val="72"/>
        </w:rPr>
      </w:pPr>
    </w:p>
    <w:p>
      <w:pPr>
        <w:rPr>
          <w:rFonts w:ascii="Times New Roman" w:hAnsi="Times New Roman" w:eastAsia="方正小标宋简体"/>
          <w:sz w:val="72"/>
          <w:szCs w:val="72"/>
        </w:rPr>
      </w:pPr>
    </w:p>
    <w:p>
      <w:pPr>
        <w:jc w:val="center"/>
        <w:rPr>
          <w:rFonts w:ascii="Times New Roman" w:hAnsi="Times New Roman" w:eastAsia="方正小标宋简体"/>
          <w:w w:val="90"/>
          <w:sz w:val="72"/>
          <w:szCs w:val="72"/>
        </w:rPr>
      </w:pPr>
      <w:r>
        <w:rPr>
          <w:rFonts w:ascii="Times New Roman" w:hAnsi="Times New Roman" w:eastAsia="方正小标宋简体"/>
          <w:sz w:val="72"/>
          <w:szCs w:val="72"/>
        </w:rPr>
        <w:t>全国职业院校技能大赛</w:t>
      </w:r>
    </w:p>
    <w:p>
      <w:pPr>
        <w:snapToGrid w:val="0"/>
        <w:spacing w:line="510" w:lineRule="atLeast"/>
        <w:jc w:val="center"/>
        <w:rPr>
          <w:rFonts w:ascii="Times New Roman" w:hAnsi="Times New Roman" w:eastAsia="方正小标宋简体"/>
          <w:sz w:val="72"/>
          <w:szCs w:val="72"/>
        </w:rPr>
      </w:pPr>
      <w:r>
        <w:rPr>
          <w:rFonts w:ascii="Times New Roman" w:hAnsi="Times New Roman" w:eastAsia="方正小标宋简体"/>
          <w:sz w:val="72"/>
          <w:szCs w:val="72"/>
        </w:rPr>
        <w:t>赛项规程</w:t>
      </w:r>
    </w:p>
    <w:p>
      <w:pPr>
        <w:snapToGrid w:val="0"/>
        <w:spacing w:line="532" w:lineRule="atLeast"/>
        <w:jc w:val="center"/>
        <w:rPr>
          <w:rFonts w:ascii="Times New Roman" w:hAnsi="Times New Roman"/>
        </w:rPr>
      </w:pPr>
    </w:p>
    <w:p>
      <w:pPr>
        <w:snapToGrid w:val="0"/>
        <w:spacing w:line="532"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napToGrid w:val="0"/>
        <w:spacing w:line="243" w:lineRule="atLeast"/>
        <w:jc w:val="center"/>
        <w:rPr>
          <w:rFonts w:ascii="Times New Roman" w:hAnsi="Times New Roman"/>
        </w:rPr>
      </w:pPr>
    </w:p>
    <w:p>
      <w:pPr>
        <w:spacing w:line="800" w:lineRule="exact"/>
        <w:ind w:left="839"/>
        <w:rPr>
          <w:rFonts w:ascii="Times New Roman" w:hAnsi="Times New Roman" w:eastAsia="黑体"/>
          <w:sz w:val="32"/>
          <w:u w:val="single"/>
        </w:rPr>
      </w:pPr>
      <w:r>
        <w:rPr>
          <w:rFonts w:ascii="Times New Roman" w:hAnsi="Times New Roman" w:eastAsia="黑体"/>
          <w:sz w:val="32"/>
        </w:rPr>
        <w:t>赛项名称：</w:t>
      </w:r>
      <w:r>
        <w:rPr>
          <w:rFonts w:ascii="Times New Roman" w:hAnsi="Times New Roman" w:eastAsia="黑体"/>
          <w:sz w:val="32"/>
          <w:u w:val="single"/>
        </w:rPr>
        <w:t xml:space="preserve">      植物病虫害防治          </w:t>
      </w:r>
    </w:p>
    <w:p>
      <w:pPr>
        <w:spacing w:line="800" w:lineRule="exact"/>
        <w:ind w:left="839"/>
        <w:rPr>
          <w:rFonts w:ascii="Times New Roman" w:hAnsi="Times New Roman" w:eastAsia="黑体"/>
          <w:sz w:val="32"/>
        </w:rPr>
      </w:pPr>
      <w:r>
        <w:rPr>
          <w:rFonts w:ascii="Times New Roman" w:hAnsi="Times New Roman" w:eastAsia="黑体"/>
          <w:sz w:val="32"/>
        </w:rPr>
        <w:t>英文名称：</w:t>
      </w:r>
      <w:r>
        <w:rPr>
          <w:rFonts w:ascii="Times New Roman" w:hAnsi="Times New Roman" w:eastAsia="黑体"/>
          <w:sz w:val="32"/>
          <w:u w:val="single"/>
        </w:rPr>
        <w:t xml:space="preserve">  </w:t>
      </w:r>
      <w:r>
        <w:rPr>
          <w:rFonts w:hint="eastAsia" w:ascii="Times New Roman" w:hAnsi="Times New Roman" w:eastAsia="黑体"/>
          <w:sz w:val="32"/>
          <w:u w:val="single"/>
        </w:rPr>
        <w:t>P</w:t>
      </w:r>
      <w:r>
        <w:rPr>
          <w:rFonts w:ascii="Times New Roman" w:hAnsi="Times New Roman" w:eastAsia="黑体"/>
          <w:sz w:val="32"/>
          <w:u w:val="single"/>
        </w:rPr>
        <w:t xml:space="preserve">lant </w:t>
      </w:r>
      <w:r>
        <w:rPr>
          <w:rFonts w:hint="eastAsia" w:ascii="Times New Roman" w:hAnsi="Times New Roman" w:eastAsia="黑体"/>
          <w:sz w:val="32"/>
          <w:u w:val="single"/>
        </w:rPr>
        <w:t>D</w:t>
      </w:r>
      <w:r>
        <w:rPr>
          <w:rFonts w:ascii="Times New Roman" w:hAnsi="Times New Roman" w:eastAsia="黑体"/>
          <w:sz w:val="32"/>
          <w:u w:val="single"/>
        </w:rPr>
        <w:t xml:space="preserve">iseases and </w:t>
      </w:r>
      <w:r>
        <w:rPr>
          <w:rFonts w:hint="eastAsia" w:ascii="Times New Roman" w:hAnsi="Times New Roman" w:eastAsia="黑体"/>
          <w:sz w:val="32"/>
          <w:u w:val="single"/>
        </w:rPr>
        <w:t>I</w:t>
      </w:r>
      <w:r>
        <w:rPr>
          <w:rFonts w:ascii="Times New Roman" w:hAnsi="Times New Roman" w:eastAsia="黑体"/>
          <w:sz w:val="32"/>
          <w:u w:val="single"/>
        </w:rPr>
        <w:t xml:space="preserve">nsect </w:t>
      </w:r>
      <w:r>
        <w:rPr>
          <w:rFonts w:hint="eastAsia" w:ascii="Times New Roman" w:hAnsi="Times New Roman" w:eastAsia="黑体"/>
          <w:sz w:val="32"/>
          <w:u w:val="single"/>
        </w:rPr>
        <w:t>P</w:t>
      </w:r>
      <w:r>
        <w:rPr>
          <w:rFonts w:ascii="Times New Roman" w:hAnsi="Times New Roman" w:eastAsia="黑体"/>
          <w:sz w:val="32"/>
          <w:u w:val="single"/>
        </w:rPr>
        <w:t xml:space="preserve">ests </w:t>
      </w:r>
      <w:r>
        <w:rPr>
          <w:rFonts w:hint="eastAsia" w:ascii="Times New Roman" w:hAnsi="Times New Roman" w:eastAsia="黑体"/>
          <w:sz w:val="32"/>
          <w:u w:val="single"/>
        </w:rPr>
        <w:t>C</w:t>
      </w:r>
      <w:r>
        <w:rPr>
          <w:rFonts w:ascii="Times New Roman" w:hAnsi="Times New Roman" w:eastAsia="黑体"/>
          <w:sz w:val="32"/>
          <w:u w:val="single"/>
        </w:rPr>
        <w:t xml:space="preserve">ontro    </w:t>
      </w:r>
    </w:p>
    <w:p>
      <w:pPr>
        <w:spacing w:line="800" w:lineRule="exact"/>
        <w:ind w:left="839"/>
        <w:rPr>
          <w:rFonts w:ascii="Times New Roman" w:hAnsi="Times New Roman" w:eastAsia="黑体"/>
          <w:sz w:val="32"/>
        </w:rPr>
      </w:pPr>
      <w:r>
        <w:rPr>
          <w:rFonts w:ascii="Times New Roman" w:hAnsi="Times New Roman" w:eastAsia="黑体"/>
          <w:sz w:val="32"/>
        </w:rPr>
        <w:t>赛项组别：</w:t>
      </w:r>
      <w:r>
        <w:rPr>
          <w:rFonts w:ascii="Times New Roman" w:hAnsi="Times New Roman" w:eastAsia="黑体"/>
          <w:sz w:val="32"/>
          <w:u w:val="single"/>
        </w:rPr>
        <w:t xml:space="preserve">       中等职业教育           </w:t>
      </w:r>
    </w:p>
    <w:p>
      <w:pPr>
        <w:spacing w:line="800" w:lineRule="exact"/>
        <w:ind w:left="839"/>
        <w:rPr>
          <w:rFonts w:ascii="Times New Roman" w:hAnsi="Times New Roman" w:eastAsia="黑体"/>
          <w:sz w:val="32"/>
        </w:rPr>
      </w:pPr>
      <w:r>
        <w:rPr>
          <w:rFonts w:ascii="Times New Roman" w:hAnsi="Times New Roman" w:eastAsia="黑体"/>
          <w:sz w:val="32"/>
        </w:rPr>
        <w:t>赛项编号：</w:t>
      </w:r>
      <w:r>
        <w:rPr>
          <w:rFonts w:ascii="Times New Roman" w:hAnsi="Times New Roman" w:eastAsia="黑体"/>
          <w:sz w:val="32"/>
          <w:u w:val="single"/>
        </w:rPr>
        <w:t xml:space="preserve">          ZZ030               </w:t>
      </w:r>
    </w:p>
    <w:p>
      <w:pPr>
        <w:jc w:val="center"/>
        <w:rPr>
          <w:rFonts w:ascii="Times New Roman" w:hAnsi="Times New Roman"/>
          <w:sz w:val="30"/>
        </w:rPr>
      </w:pPr>
    </w:p>
    <w:p>
      <w:pPr>
        <w:jc w:val="center"/>
        <w:rPr>
          <w:rFonts w:ascii="Times New Roman" w:hAnsi="Times New Roman"/>
          <w:sz w:val="30"/>
        </w:rPr>
      </w:pPr>
    </w:p>
    <w:p>
      <w:pPr>
        <w:widowControl/>
        <w:jc w:val="left"/>
        <w:rPr>
          <w:rFonts w:ascii="Times New Roman" w:hAnsi="Times New Roman" w:eastAsia="黑体"/>
          <w:sz w:val="24"/>
        </w:rPr>
      </w:pPr>
    </w:p>
    <w:p>
      <w:pPr>
        <w:widowControl/>
        <w:jc w:val="left"/>
        <w:rPr>
          <w:rFonts w:ascii="Times New Roman" w:hAnsi="Times New Roman" w:eastAsia="黑体"/>
          <w:sz w:val="32"/>
        </w:rPr>
        <w:sectPr>
          <w:headerReference r:id="rId3" w:type="default"/>
          <w:footerReference r:id="rId4" w:type="default"/>
          <w:pgSz w:w="11906" w:h="16838"/>
          <w:pgMar w:top="1240" w:right="1800" w:bottom="1318" w:left="1800" w:header="851" w:footer="992" w:gutter="0"/>
          <w:cols w:space="720" w:num="1"/>
          <w:docGrid w:type="lines" w:linePitch="312" w:charSpace="0"/>
        </w:sectPr>
      </w:pPr>
    </w:p>
    <w:p>
      <w:pPr>
        <w:pStyle w:val="3"/>
        <w:spacing w:before="156" w:after="156"/>
      </w:pPr>
      <w:r>
        <w:t>一、赛项信息</w:t>
      </w:r>
    </w:p>
    <w:tbl>
      <w:tblPr>
        <w:tblStyle w:val="13"/>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9"/>
        <w:gridCol w:w="993"/>
        <w:gridCol w:w="808"/>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方正仿宋_GB2312"/>
                <w:sz w:val="24"/>
              </w:rPr>
            </w:pPr>
            <w:r>
              <w:rPr>
                <w:rFonts w:ascii="Times New Roman" w:hAnsi="Times New Roman" w:eastAsia="方正仿宋_GB2312"/>
                <w:b/>
                <w:sz w:val="28"/>
                <w:szCs w:val="28"/>
              </w:rPr>
              <w:t>赛项类别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方正仿宋_GB2312"/>
                <w:sz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每年赛    </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隔年赛（</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单数年/</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双数年）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方正仿宋_GB2312"/>
                <w:sz w:val="24"/>
              </w:rPr>
            </w:pPr>
            <w:r>
              <w:rPr>
                <w:rFonts w:ascii="Times New Roman" w:hAnsi="Times New Roman" w:eastAsia="方正仿宋_GB2312"/>
                <w:b/>
                <w:sz w:val="28"/>
                <w:szCs w:val="28"/>
              </w:rPr>
              <w:t>赛项组别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仿宋_GB2312" w:hAnsi="仿宋_GB2312" w:eastAsia="仿宋_GB2312" w:cs="仿宋_GB2312"/>
                <w:b/>
                <w:sz w:val="28"/>
                <w:szCs w:val="28"/>
              </w:rPr>
            </w:pP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 xml:space="preserve">中等职业教育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高等职业教育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ind w:firstLine="480" w:firstLineChars="200"/>
              <w:jc w:val="center"/>
              <w:rPr>
                <w:rFonts w:ascii="仿宋_GB2312" w:hAnsi="仿宋_GB2312" w:eastAsia="仿宋_GB2312" w:cs="仿宋_GB2312"/>
                <w:sz w:val="24"/>
              </w:rPr>
            </w:pP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学生赛（</w:t>
            </w:r>
            <w:r>
              <w:rPr>
                <w:rFonts w:hint="eastAsia" w:ascii="仿宋_GB2312" w:hAnsi="仿宋_GB2312" w:eastAsia="仿宋_GB2312" w:cs="仿宋_GB2312"/>
                <w:sz w:val="24"/>
              </w:rPr>
              <w:sym w:font="Wingdings 2" w:char="F052"/>
            </w:r>
            <w:r>
              <w:rPr>
                <w:rFonts w:hint="eastAsia" w:ascii="仿宋_GB2312" w:hAnsi="仿宋_GB2312" w:eastAsia="仿宋_GB2312" w:cs="仿宋_GB2312"/>
                <w:sz w:val="24"/>
              </w:rPr>
              <w:t>个人/</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团体）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 xml:space="preserve">教师赛（试点）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师生同赛（试点）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方正仿宋_GB2312"/>
                <w:sz w:val="24"/>
              </w:rPr>
            </w:pPr>
            <w:r>
              <w:rPr>
                <w:rFonts w:ascii="Times New Roman" w:hAnsi="Times New Roman" w:eastAsia="方正仿宋_GB2312"/>
                <w:b/>
                <w:sz w:val="28"/>
                <w:szCs w:val="28"/>
              </w:rPr>
              <w:t>涉及专业大类、专业类、专业及核心课程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sz w:val="24"/>
              </w:rPr>
              <w:t>专业大类</w:t>
            </w:r>
          </w:p>
        </w:tc>
        <w:tc>
          <w:tcPr>
            <w:tcW w:w="1559" w:type="dxa"/>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sz w:val="24"/>
              </w:rPr>
              <w:t>专业类</w:t>
            </w:r>
          </w:p>
        </w:tc>
        <w:tc>
          <w:tcPr>
            <w:tcW w:w="1801" w:type="dxa"/>
            <w:gridSpan w:val="2"/>
            <w:vAlign w:val="center"/>
          </w:tcPr>
          <w:p>
            <w:pPr>
              <w:adjustRightInd w:val="0"/>
              <w:snapToGrid w:val="0"/>
              <w:jc w:val="center"/>
              <w:rPr>
                <w:rFonts w:ascii="仿宋_GB2312" w:hAnsi="仿宋_GB2312" w:eastAsia="仿宋_GB2312" w:cs="仿宋_GB2312"/>
                <w:b/>
                <w:sz w:val="24"/>
              </w:rPr>
            </w:pPr>
            <w:r>
              <w:rPr>
                <w:rFonts w:hint="eastAsia" w:ascii="仿宋_GB2312" w:hAnsi="仿宋_GB2312" w:eastAsia="仿宋_GB2312" w:cs="仿宋_GB2312"/>
                <w:sz w:val="24"/>
              </w:rPr>
              <w:t>专业名称</w:t>
            </w:r>
          </w:p>
        </w:tc>
        <w:tc>
          <w:tcPr>
            <w:tcW w:w="4334" w:type="dxa"/>
            <w:vAlign w:val="center"/>
          </w:tcPr>
          <w:p>
            <w:pPr>
              <w:adjustRightInd w:val="0"/>
              <w:snapToGrid w:val="0"/>
              <w:ind w:firstLine="480" w:firstLineChars="200"/>
              <w:jc w:val="center"/>
              <w:rPr>
                <w:rFonts w:ascii="仿宋_GB2312" w:hAnsi="仿宋_GB2312" w:eastAsia="仿宋_GB2312" w:cs="仿宋_GB2312"/>
                <w:b/>
                <w:sz w:val="24"/>
              </w:rPr>
            </w:pPr>
            <w:r>
              <w:rPr>
                <w:rFonts w:hint="eastAsia" w:ascii="仿宋_GB2312" w:hAnsi="仿宋_GB2312" w:eastAsia="仿宋_GB2312" w:cs="仿宋_GB2312"/>
                <w:sz w:val="24"/>
              </w:rPr>
              <w:t>核心课程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1384" w:type="dxa"/>
            <w:vMerge w:val="restart"/>
            <w:vAlign w:val="center"/>
          </w:tcPr>
          <w:p>
            <w:pPr>
              <w:jc w:val="left"/>
              <w:rPr>
                <w:rFonts w:ascii="Times New Roman" w:hAnsi="Times New Roman" w:eastAsia="仿宋_GB2312"/>
                <w:bCs/>
              </w:rPr>
            </w:pPr>
            <w:r>
              <w:rPr>
                <w:rFonts w:ascii="Times New Roman" w:hAnsi="Times New Roman" w:eastAsia="仿宋_GB2312"/>
                <w:bCs/>
                <w:sz w:val="24"/>
              </w:rPr>
              <w:t>61农林牧渔大类</w:t>
            </w:r>
          </w:p>
        </w:tc>
        <w:tc>
          <w:tcPr>
            <w:tcW w:w="1559" w:type="dxa"/>
            <w:vMerge w:val="restart"/>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6101农业类</w:t>
            </w: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610101</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t>种子生产技术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大田作物种子生产技术、园艺作物种子生产技术、作物病虫害绿色防治技术、种子加工与贮藏技术、种子检验技术、种子市场营销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3" w:hRule="atLeast"/>
        </w:trPr>
        <w:tc>
          <w:tcPr>
            <w:tcW w:w="1384" w:type="dxa"/>
            <w:vMerge w:val="continue"/>
            <w:vAlign w:val="center"/>
          </w:tcPr>
          <w:p>
            <w:pPr>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610102</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t>作物生产技术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大田作物生产技术、园艺植物生产技术、种子种苗生产技术、作物病虫草害防治、农业机械操作与保养、农产品贮藏与物流、农产品质量检测、农产品及农资营销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1384" w:type="dxa"/>
            <w:vMerge w:val="continue"/>
            <w:vAlign w:val="center"/>
          </w:tcPr>
          <w:p>
            <w:pPr>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610104</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家庭农场生产经营</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家庭农场创建与管理、农业物资管理、作物生产与病虫害绿色防治、畜禽养殖与疾病防治、农业物联网技术应用、农产品与农资营销、农场财务核算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610105</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园艺技术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园艺作物育苗、果树生产技术、蔬菜生产技术、花卉生产技术、园艺作物病虫草害防治、园艺机械使用与维护、园艺产品及农资营销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610106</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植物保护</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农作物病害诊断与防治、农作物害虫识别与防治、农田杂草识别与防除、农药科学施用技术、植保机械装备使用与保养、植物检验检疫、农药与农资营销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610112</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设施农业生产技术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设施农作物生产技术、设施园艺作物生产技术、设施作物病虫害防治技术、农产品贮运与营销、设施建造与维护、农业设备设施使用与维护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610107</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茶叶生产与加工</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茶树种植与茶园管护、茶树病虫害绿色防治、茶叶加工、茶叶电子商务、茶叶审评、茶艺与茶事服务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610108</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中草药栽培</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中草药种子生产、中草药种苗生产、中草药栽培、中草药病虫害防治、中草药采收与贮藏、现代农业设施设备应用、中草药营销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610109</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烟草栽培与加工</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烟草栽培技术、烟叶调制技术、烟叶分级与收购、烟草病虫草害防治技术、烟草栽培与加工机械设备应用、烟草营销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610110</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饲草栽培与加工</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饲草栽培技术、饲草病虫害绿色防治技术、草地经营与管理、饲草加工与贮藏技术、饲草产品营销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384" w:type="dxa"/>
            <w:vMerge w:val="restart"/>
            <w:vAlign w:val="center"/>
          </w:tcPr>
          <w:p>
            <w:pPr>
              <w:adjustRightInd w:val="0"/>
              <w:snapToGrid w:val="0"/>
              <w:jc w:val="left"/>
              <w:rPr>
                <w:rFonts w:ascii="Times New Roman" w:hAnsi="Times New Roman" w:eastAsia="仿宋_GB2312"/>
                <w:bCs/>
                <w:sz w:val="24"/>
              </w:rPr>
            </w:pPr>
          </w:p>
        </w:tc>
        <w:tc>
          <w:tcPr>
            <w:tcW w:w="1559" w:type="dxa"/>
            <w:vMerge w:val="restart"/>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6102 林业类</w:t>
            </w: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610201</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林业生产技术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林木种苗生产技术、林木栽培与经营技术、林业有害生物控制技术、森林调查技术、林业3S技术、森林资源管理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610202</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园林技术</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园林植物生产、园林植物栽培与养护、园林植物有害生物防治、园林工程施工图识读、园林机械设备使用与维护、家庭园艺、庭园工程施工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610203</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园林绿化</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园林测量、园林植物种植施工、园林植物室内外应用、园林植物养护管理、园林植物有害生物防治、园林机械使用与维护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1384" w:type="dxa"/>
            <w:vMerge w:val="continue"/>
            <w:vAlign w:val="center"/>
          </w:tcPr>
          <w:p>
            <w:pPr>
              <w:adjustRightInd w:val="0"/>
              <w:snapToGrid w:val="0"/>
              <w:jc w:val="left"/>
              <w:rPr>
                <w:rFonts w:ascii="Times New Roman" w:hAnsi="Times New Roman" w:eastAsia="仿宋_GB2312"/>
                <w:bCs/>
                <w:sz w:val="24"/>
              </w:rPr>
            </w:pPr>
          </w:p>
        </w:tc>
        <w:tc>
          <w:tcPr>
            <w:tcW w:w="1559" w:type="dxa"/>
            <w:vMerge w:val="continue"/>
            <w:vAlign w:val="center"/>
          </w:tcPr>
          <w:p>
            <w:pPr>
              <w:adjustRightInd w:val="0"/>
              <w:snapToGrid w:val="0"/>
              <w:jc w:val="left"/>
              <w:rPr>
                <w:rFonts w:ascii="Times New Roman" w:hAnsi="Times New Roman" w:eastAsia="仿宋_GB2312"/>
                <w:bCs/>
                <w:sz w:val="24"/>
              </w:rPr>
            </w:pPr>
          </w:p>
        </w:tc>
        <w:tc>
          <w:tcPr>
            <w:tcW w:w="1801" w:type="dxa"/>
            <w:gridSpan w:val="2"/>
            <w:vAlign w:val="center"/>
          </w:tcPr>
          <w:p>
            <w:pPr>
              <w:adjustRightInd w:val="0"/>
              <w:snapToGrid w:val="0"/>
              <w:ind w:firstLine="480" w:firstLineChars="200"/>
              <w:jc w:val="left"/>
              <w:rPr>
                <w:rFonts w:ascii="Times New Roman" w:hAnsi="Times New Roman" w:eastAsia="仿宋_GB2312"/>
                <w:bCs/>
                <w:sz w:val="24"/>
              </w:rPr>
            </w:pPr>
            <w:r>
              <w:rPr>
                <w:rFonts w:ascii="Times New Roman" w:hAnsi="Times New Roman" w:eastAsia="仿宋_GB2312"/>
                <w:bCs/>
                <w:sz w:val="24"/>
              </w:rPr>
              <w:t>610204</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森林资源保护与管理</w:t>
            </w:r>
          </w:p>
        </w:tc>
        <w:tc>
          <w:tcPr>
            <w:tcW w:w="4334"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林业害虫监测与防治、林木病害监测与防治、林业有害植物与有害动物监测防治、野生动植物资源保护、森林防火、林业法规与行政执法、森林巡护工作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078" w:type="dxa"/>
            <w:gridSpan w:val="5"/>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8"/>
                <w:szCs w:val="28"/>
              </w:rPr>
              <w:t>对接产业行业、对应岗位（群）及核心能力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384"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产业行业</w:t>
            </w:r>
          </w:p>
        </w:tc>
        <w:tc>
          <w:tcPr>
            <w:tcW w:w="2552"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sz w:val="24"/>
              </w:rPr>
              <w:t>岗位（群）</w:t>
            </w:r>
          </w:p>
        </w:tc>
        <w:tc>
          <w:tcPr>
            <w:tcW w:w="5142" w:type="dxa"/>
            <w:gridSpan w:val="2"/>
            <w:vAlign w:val="center"/>
          </w:tcPr>
          <w:p>
            <w:pPr>
              <w:adjustRightInd w:val="0"/>
              <w:snapToGrid w:val="0"/>
              <w:ind w:firstLine="480" w:firstLineChars="200"/>
              <w:jc w:val="center"/>
              <w:rPr>
                <w:rFonts w:ascii="Times New Roman" w:hAnsi="Times New Roman" w:eastAsia="仿宋_GB2312"/>
                <w:b/>
                <w:sz w:val="24"/>
              </w:rPr>
            </w:pPr>
            <w:r>
              <w:rPr>
                <w:rFonts w:ascii="Times New Roman" w:hAnsi="Times New Roman" w:eastAsia="仿宋_GB2312"/>
                <w:sz w:val="24"/>
              </w:rPr>
              <w:t>核心能力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384"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农业</w:t>
            </w:r>
          </w:p>
        </w:tc>
        <w:tc>
          <w:tcPr>
            <w:tcW w:w="2552" w:type="dxa"/>
            <w:gridSpan w:val="2"/>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农业生产</w:t>
            </w: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1.具有</w:t>
            </w:r>
            <w:r>
              <w:rPr>
                <w:rFonts w:hint="eastAsia" w:ascii="Times New Roman" w:hAnsi="Times New Roman" w:eastAsia="仿宋_GB2312"/>
                <w:bCs/>
                <w:sz w:val="24"/>
              </w:rPr>
              <w:t>熟悉</w:t>
            </w:r>
            <w:r>
              <w:rPr>
                <w:rFonts w:ascii="Times New Roman" w:hAnsi="Times New Roman" w:eastAsia="仿宋_GB2312"/>
                <w:bCs/>
                <w:sz w:val="24"/>
              </w:rPr>
              <w:t>主要农作物当地常见品种</w:t>
            </w:r>
            <w:r>
              <w:rPr>
                <w:rFonts w:hint="eastAsia" w:ascii="Times New Roman" w:hAnsi="Times New Roman" w:eastAsia="仿宋_GB2312"/>
                <w:bCs/>
                <w:sz w:val="24"/>
              </w:rPr>
              <w:t>生长特性</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t>，并利用农业机械等技术手段进行环境调控的能力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1384" w:type="dxa"/>
            <w:vMerge w:val="continue"/>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w:t>
            </w:r>
            <w:r>
              <w:rPr>
                <w:rFonts w:hint="eastAsia" w:ascii="Times New Roman" w:hAnsi="Times New Roman" w:eastAsia="仿宋_GB2312"/>
                <w:bCs/>
                <w:sz w:val="24"/>
              </w:rPr>
              <w:t>识别主要农作物常见病虫草害，掌握其发生规律，</w:t>
            </w:r>
            <w:r>
              <w:rPr>
                <w:rFonts w:hint="eastAsia"/>
              </w:rPr>
              <w:t>并使用正确方法进行综合防治的能力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384" w:type="dxa"/>
            <w:vMerge w:val="continue"/>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3.具有运用现代农业科技知识，进行主要农作物、经济作物生产与管理的能力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1384" w:type="dxa"/>
            <w:vMerge w:val="continue"/>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w:t>
            </w:r>
            <w:r>
              <w:rPr>
                <w:rFonts w:hint="eastAsia" w:ascii="Times New Roman" w:hAnsi="Times New Roman" w:eastAsia="仿宋_GB2312"/>
                <w:bCs/>
                <w:sz w:val="24"/>
              </w:rPr>
              <w:t>使用正确方法进行</w:t>
            </w:r>
            <w:r>
              <w:rPr>
                <w:rFonts w:ascii="Times New Roman" w:hAnsi="Times New Roman" w:eastAsia="仿宋_GB2312"/>
                <w:bCs/>
                <w:sz w:val="24"/>
              </w:rPr>
              <w:t>农产品</w:t>
            </w:r>
            <w:r>
              <w:rPr>
                <w:rFonts w:hint="eastAsia" w:ascii="Times New Roman" w:hAnsi="Times New Roman" w:eastAsia="仿宋_GB2312"/>
                <w:bCs/>
                <w:sz w:val="24"/>
              </w:rPr>
              <w:t>采收、</w:t>
            </w:r>
            <w:r>
              <w:rPr>
                <w:rFonts w:ascii="Times New Roman" w:hAnsi="Times New Roman" w:eastAsia="仿宋_GB2312"/>
                <w:bCs/>
                <w:sz w:val="24"/>
              </w:rPr>
              <w:t>保鲜</w:t>
            </w:r>
            <w:r>
              <w:rPr>
                <w:rFonts w:hint="eastAsia" w:ascii="Times New Roman" w:hAnsi="Times New Roman" w:eastAsia="仿宋_GB2312"/>
                <w:bCs/>
                <w:sz w:val="24"/>
              </w:rPr>
              <w:t>、</w:t>
            </w:r>
            <w:r>
              <w:rPr>
                <w:rFonts w:ascii="Times New Roman" w:hAnsi="Times New Roman" w:eastAsia="仿宋_GB2312"/>
                <w:bCs/>
                <w:sz w:val="24"/>
              </w:rPr>
              <w:t>贮运的能力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5.具有对农业生产资料与农产品进行市场信息分析、判断及市场营销的能力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6.具有无公害农产品生产、贮运的能力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7.具有适应农业数字化发展需求的基本数字技能和信息技术能力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农业技术指导</w:t>
            </w:r>
          </w:p>
        </w:tc>
        <w:tc>
          <w:tcPr>
            <w:tcW w:w="5142" w:type="dxa"/>
            <w:gridSpan w:val="2"/>
            <w:vAlign w:val="center"/>
          </w:tcPr>
          <w:p>
            <w:pPr>
              <w:pStyle w:val="6"/>
              <w:jc w:val="both"/>
              <w:rPr>
                <w:rFonts w:ascii="Times New Roman" w:hAnsi="Times New Roman" w:eastAsia="仿宋_GB2312"/>
                <w:bCs/>
                <w:sz w:val="24"/>
              </w:rPr>
            </w:pPr>
            <w:r>
              <w:rPr>
                <w:rFonts w:ascii="Times New Roman" w:hAnsi="Times New Roman" w:eastAsia="仿宋_GB2312"/>
                <w:bCs/>
                <w:sz w:val="24"/>
              </w:rPr>
              <w:t>1.具有大田作物和园艺作物高效优质生产能力生产</w:t>
            </w:r>
            <w:r>
              <w:rPr>
                <w:rFonts w:hint="eastAsia" w:ascii="Times New Roman" w:hAnsi="Times New Roman" w:eastAsia="仿宋_GB2312"/>
                <w:bCs/>
                <w:sz w:val="24"/>
              </w:rPr>
              <w:t>的</w:t>
            </w:r>
            <w:r>
              <w:rPr>
                <w:rFonts w:ascii="Times New Roman" w:hAnsi="Times New Roman" w:eastAsia="仿宋_GB2312"/>
                <w:bCs/>
                <w:sz w:val="24"/>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2.具有识别田间主要病虫草害并进行综合防治的能力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3.具有现代化农业机械装备使用与维护</w:t>
            </w:r>
            <w:r>
              <w:rPr>
                <w:rStyle w:val="16"/>
                <w:rFonts w:hint="eastAsia"/>
                <w:lang w:val="en-US" w:eastAsia="zh-CN"/>
              </w:rPr>
              <w:t>的</w:t>
            </w:r>
            <w:r>
              <w:rPr>
                <w:rFonts w:ascii="Times New Roman" w:hAnsi="Times New Roman" w:eastAsia="仿宋_GB2312"/>
                <w:bCs/>
                <w:sz w:val="24"/>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4.具有运用农业物联网技术进行农业生产管理、农产品生产质量控制的能力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pStyle w:val="6"/>
              <w:rPr>
                <w:rFonts w:ascii="Times New Roman" w:hAnsi="Times New Roman" w:eastAsia="仿宋_GB2312"/>
                <w:bCs/>
                <w:sz w:val="24"/>
              </w:rPr>
            </w:pPr>
            <w:r>
              <w:rPr>
                <w:rFonts w:ascii="Times New Roman" w:hAnsi="Times New Roman" w:eastAsia="仿宋_GB2312"/>
                <w:bCs/>
                <w:sz w:val="24"/>
              </w:rPr>
              <w:t>5.具有现代农业企业经营管理，</w:t>
            </w:r>
            <w:r>
              <w:rPr>
                <w:rFonts w:hint="eastAsia" w:ascii="Times New Roman" w:hAnsi="Times New Roman" w:eastAsia="仿宋_GB2312"/>
                <w:bCs/>
                <w:sz w:val="24"/>
              </w:rPr>
              <w:t>使</w:t>
            </w:r>
            <w:r>
              <w:rPr>
                <w:rFonts w:ascii="Times New Roman" w:hAnsi="Times New Roman" w:eastAsia="仿宋_GB2312"/>
                <w:bCs/>
                <w:sz w:val="24"/>
              </w:rPr>
              <w:t>用网络技术销售农产品</w:t>
            </w:r>
            <w:r>
              <w:rPr>
                <w:rFonts w:hint="eastAsia" w:ascii="Times New Roman" w:hAnsi="Times New Roman" w:eastAsia="仿宋_GB2312"/>
                <w:bCs/>
                <w:sz w:val="24"/>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6.具有推广农业绿色生产、节能减排和农业废弃物资源化利用的能力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7.具有农业安全生产与自我防护的能力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8.具有探究</w:t>
            </w:r>
            <w:r>
              <w:rPr>
                <w:rFonts w:ascii="Calibri" w:hAnsi="Calibri" w:eastAsia="宋体"/>
                <w:bCs w:val="0"/>
                <w:sz w:val="21"/>
              </w:rPr>
              <w:fldChar w:fldCharType="begin"/>
            </w:r>
            <w:r>
              <w:rPr>
                <w:rFonts w:ascii="Calibri" w:hAnsi="Calibri"/>
              </w:rPr>
              <w:instrText xml:space="preserve"> HYPERLINK "https://www.dxsbb.com/news/list_82.html" \t "_blank" </w:instrText>
            </w:r>
            <w:r>
              <w:rPr>
                <w:rFonts w:ascii="Calibri" w:hAnsi="Calibri" w:eastAsia="宋体"/>
                <w:bCs w:val="0"/>
                <w:sz w:val="21"/>
              </w:rPr>
              <w:fldChar w:fldCharType="separate"/>
            </w:r>
            <w:r>
              <w:rPr>
                <w:rFonts w:ascii="Times New Roman" w:hAnsi="Times New Roman" w:eastAsia="仿宋_GB2312"/>
                <w:bCs/>
                <w:sz w:val="24"/>
              </w:rPr>
              <w:t>学习</w:t>
            </w:r>
            <w:r>
              <w:rPr>
                <w:rFonts w:ascii="Times New Roman" w:hAnsi="Times New Roman" w:eastAsia="仿宋_GB2312"/>
                <w:bCs/>
                <w:sz w:val="24"/>
              </w:rPr>
              <w:fldChar w:fldCharType="end"/>
            </w:r>
            <w:r>
              <w:rPr>
                <w:rFonts w:ascii="Times New Roman" w:hAnsi="Times New Roman" w:eastAsia="仿宋_GB2312"/>
                <w:bCs/>
                <w:sz w:val="24"/>
              </w:rPr>
              <w:t>、终身学习和可持续发展的能力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林业生产</w:t>
            </w: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1.具有森林植物识别、植物生态环境因子调查的能力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2.具有基础的种实生产、苗木生产的能力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color w:val="000000"/>
                <w:sz w:val="24"/>
              </w:rPr>
            </w:pPr>
            <w:r>
              <w:rPr>
                <w:rFonts w:ascii="Times New Roman" w:hAnsi="Times New Roman" w:eastAsia="仿宋_GB2312"/>
                <w:bCs/>
                <w:color w:val="000000"/>
                <w:sz w:val="24"/>
              </w:rPr>
              <w:t>3.具有林业病虫害识别、监测以及基本的林业病虫害防治的能力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4.具有一定的营造林施工、抚育等林木栽培与经营的能力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5.具有地形图识别、标准地调查、抽样调查等初步森林调查的能力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6.具有适应产业数字化发展需求的基本数字技能，具备初步森林资源调查、管理的能力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7.具有绿色生产、环境保护、安全生产的基本能力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植物保护技术和种苗繁育</w:t>
            </w: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1.具有主要农作物常见病虫害的识别和防治能力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2.具有主要园艺植物常见病虫害的识别和防治能力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3.具有农药的配制与施用能力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4.具有农田杂草识别与防除能力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5.具有常见植保机械装备的使用与保养能力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6.具有植保无人机飞防技术服务能力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7.具有植物检验检疫能力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8.具有运用现代信息技术、数字技术等解决植物保护问题的能力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9.具有植物种子安全生产的操作能力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10.具有识别农作物种子生产中常见病虫草害及</w:t>
            </w:r>
            <w:r>
              <w:rPr>
                <w:rFonts w:ascii="Times New Roman" w:hAnsi="Times New Roman" w:eastAsia="仿宋_GB2312"/>
                <w:bCs/>
                <w:color w:val="000000"/>
                <w:sz w:val="24"/>
              </w:rPr>
              <w:t>绿色防控</w:t>
            </w:r>
            <w:r>
              <w:rPr>
                <w:rFonts w:ascii="Times New Roman" w:hAnsi="Times New Roman" w:eastAsia="仿宋_GB2312"/>
                <w:bCs/>
                <w:sz w:val="24"/>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11.具有对农作物种子加工机械规范操作和种子安全贮藏的能力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12.具有依据农作物种子检验规程对种子田间检验项目规范检查、记载和统计的能力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13.具有适应农业数字化发展需求的基本数字技能和信息技术能力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14.具有终身学习和可持续发展的能力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植物栽培</w:t>
            </w: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1.具有常见植物、病虫害识别的能力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2.具有常见植物种子种苗生产的能力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3.具有常见植物采收与贮藏的能力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4.具有对常见植物栽培种植、加工的机械、设施设备应用与维护的能力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5.具有常见植物种植园管理的能力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6.具有应用信息化手段解决常见植物栽培问题的能力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7.具有适应植物栽培产业数字化发展需求的能力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1384" w:type="dxa"/>
            <w:vAlign w:val="center"/>
          </w:tcPr>
          <w:p>
            <w:pPr>
              <w:adjustRightInd w:val="0"/>
              <w:snapToGrid w:val="0"/>
              <w:jc w:val="center"/>
              <w:rPr>
                <w:rFonts w:ascii="Times New Roman" w:hAnsi="Times New Roman" w:eastAsia="仿宋_GB2312"/>
                <w:bCs/>
                <w:sz w:val="24"/>
              </w:rPr>
            </w:pPr>
          </w:p>
        </w:tc>
        <w:tc>
          <w:tcPr>
            <w:tcW w:w="2552" w:type="dxa"/>
            <w:gridSpan w:val="2"/>
            <w:vMerge w:val="continue"/>
            <w:vAlign w:val="center"/>
          </w:tcPr>
          <w:p>
            <w:pPr>
              <w:adjustRightInd w:val="0"/>
              <w:snapToGrid w:val="0"/>
              <w:jc w:val="center"/>
              <w:rPr>
                <w:rFonts w:ascii="Times New Roman" w:hAnsi="Times New Roman" w:eastAsia="仿宋_GB2312"/>
                <w:bCs/>
                <w:sz w:val="24"/>
              </w:rPr>
            </w:pPr>
          </w:p>
        </w:tc>
        <w:tc>
          <w:tcPr>
            <w:tcW w:w="514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8.具有终身学习和可持续发展的能力</w:t>
            </w:r>
          </w:p>
        </w:tc>
      </w:tr>
    </w:tbl>
    <w:p>
      <w:pPr>
        <w:rPr>
          <w:rFonts w:ascii="Times New Roman" w:hAnsi="Times New Roman" w:eastAsia="黑体"/>
          <w:sz w:val="32"/>
          <w:szCs w:val="32"/>
        </w:rPr>
      </w:pPr>
      <w:r>
        <w:rPr>
          <w:rFonts w:ascii="Times New Roman" w:hAnsi="Times New Roman"/>
        </w:rPr>
        <w:br w:type="page"/>
      </w:r>
      <w:r>
        <w:rPr>
          <w:rFonts w:ascii="Times New Roman" w:hAnsi="Times New Roman" w:eastAsia="黑体"/>
          <w:bCs/>
          <w:kern w:val="44"/>
          <w:sz w:val="32"/>
          <w:szCs w:val="44"/>
        </w:rPr>
        <w:t>二、竞赛目标</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贯彻落实</w:t>
      </w:r>
      <w:r>
        <w:rPr>
          <w:rFonts w:hint="eastAsia" w:ascii="Times New Roman" w:hAnsi="Times New Roman" w:eastAsia="仿宋_GB2312"/>
          <w:bCs/>
          <w:sz w:val="28"/>
          <w:szCs w:val="28"/>
        </w:rPr>
        <w:t>《中华人民共和国职业教育法》</w:t>
      </w:r>
      <w:r>
        <w:rPr>
          <w:rFonts w:ascii="Times New Roman" w:hAnsi="Times New Roman" w:eastAsia="仿宋_GB2312"/>
          <w:bCs/>
          <w:sz w:val="28"/>
          <w:szCs w:val="28"/>
        </w:rPr>
        <w:t>《国家职业教育改革实施方案》《关于推动现代职业教育高质量发展的意见》和全国职业教育大会精神，进一步强化职业院校涉农专业学生职业技能训练和职业能力综合培养，引领农业中职学校适应农业产业发展，培育工匠精神，大力培养适应美丽乡村建设、现代农业产业、农村经济发展需要的复合型技术技能人才，推进职普融通、产教融合、科教融汇，优化职业教育类型定位</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推动中职</w:t>
      </w:r>
      <w:r>
        <w:rPr>
          <w:rFonts w:hint="eastAsia" w:ascii="Times New Roman" w:hAnsi="Times New Roman" w:eastAsia="仿宋_GB2312"/>
          <w:bCs/>
          <w:sz w:val="28"/>
          <w:szCs w:val="28"/>
          <w:lang w:val="en-US" w:eastAsia="zh-CN"/>
        </w:rPr>
        <w:t>学校</w:t>
      </w:r>
      <w:r>
        <w:rPr>
          <w:rFonts w:ascii="Times New Roman" w:hAnsi="Times New Roman" w:eastAsia="仿宋_GB2312"/>
          <w:bCs/>
          <w:sz w:val="28"/>
          <w:szCs w:val="28"/>
        </w:rPr>
        <w:t>“双师型”师资队伍培养，为乡村振兴和建设技能型社会提供人才和技能支撑。</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通过本赛项，考核与展示学生对常见植物病虫害基础知识</w:t>
      </w:r>
      <w:r>
        <w:rPr>
          <w:rFonts w:hint="eastAsia" w:ascii="Times New Roman" w:hAnsi="Times New Roman" w:eastAsia="仿宋_GB2312"/>
          <w:bCs/>
          <w:sz w:val="28"/>
          <w:szCs w:val="28"/>
          <w:lang w:val="en-US" w:eastAsia="zh-CN"/>
        </w:rPr>
        <w:t>掌握运用</w:t>
      </w:r>
      <w:r>
        <w:rPr>
          <w:rFonts w:ascii="Times New Roman" w:hAnsi="Times New Roman" w:eastAsia="仿宋_GB2312"/>
          <w:bCs/>
          <w:sz w:val="28"/>
          <w:szCs w:val="28"/>
        </w:rPr>
        <w:t>、常见病虫害识别、标本制作展示、农药选择与配制的能力，从而培养学生的实践操作、技术推广普及和生产管理能力，提升学生的职业</w:t>
      </w:r>
      <w:r>
        <w:rPr>
          <w:rFonts w:hint="eastAsia" w:ascii="Times New Roman" w:hAnsi="Times New Roman" w:eastAsia="仿宋_GB2312"/>
          <w:bCs/>
          <w:sz w:val="28"/>
          <w:szCs w:val="28"/>
          <w:lang w:val="en-US" w:eastAsia="zh-CN"/>
        </w:rPr>
        <w:t>素养</w:t>
      </w:r>
      <w:r>
        <w:rPr>
          <w:rFonts w:ascii="Times New Roman" w:hAnsi="Times New Roman" w:eastAsia="仿宋_GB2312"/>
          <w:bCs/>
          <w:sz w:val="28"/>
          <w:szCs w:val="28"/>
        </w:rPr>
        <w:t>；推进作物生产技术及相关专业建设与教学改革，实现专业与产业对接、课程内容与职业标准对接、教学过程与生产过程对</w:t>
      </w:r>
      <w:r>
        <w:rPr>
          <w:rFonts w:ascii="Times New Roman" w:hAnsi="Times New Roman" w:eastAsia="仿宋_GB2312" w:cs="Times New Roman"/>
          <w:bCs/>
          <w:kern w:val="2"/>
          <w:sz w:val="28"/>
          <w:szCs w:val="28"/>
          <w:lang w:val="en-US" w:eastAsia="zh-CN" w:bidi="ar-SA"/>
        </w:rPr>
        <w:t>接，</w:t>
      </w:r>
      <w:r>
        <w:rPr>
          <w:rFonts w:hint="eastAsia" w:ascii="Times New Roman" w:hAnsi="Times New Roman" w:eastAsia="仿宋_GB2312" w:cs="Times New Roman"/>
          <w:bCs/>
          <w:kern w:val="2"/>
          <w:sz w:val="28"/>
          <w:szCs w:val="28"/>
          <w:lang w:val="en-US" w:eastAsia="zh-CN" w:bidi="ar-SA"/>
        </w:rPr>
        <w:t>能够</w:t>
      </w:r>
      <w:r>
        <w:rPr>
          <w:rFonts w:ascii="Times New Roman" w:hAnsi="Times New Roman" w:eastAsia="仿宋_GB2312" w:cs="Times New Roman"/>
          <w:bCs/>
          <w:kern w:val="2"/>
          <w:sz w:val="28"/>
          <w:szCs w:val="28"/>
          <w:lang w:val="en-US" w:eastAsia="zh-CN" w:bidi="ar-SA"/>
        </w:rPr>
        <w:t>适应现代农业产业发展趋势，促进农业类专业建设与教学改</w:t>
      </w:r>
      <w:r>
        <w:rPr>
          <w:rFonts w:ascii="Times New Roman" w:hAnsi="Times New Roman" w:eastAsia="仿宋_GB2312"/>
          <w:bCs/>
          <w:sz w:val="28"/>
          <w:szCs w:val="28"/>
        </w:rPr>
        <w:t>革，推进学校与农业企业深度合作，更好地满足产教协同育人的人才培养模式，为农业行业培养高素质</w:t>
      </w:r>
      <w:r>
        <w:rPr>
          <w:rFonts w:hint="eastAsia" w:ascii="Times New Roman" w:hAnsi="Times New Roman" w:eastAsia="仿宋_GB2312"/>
          <w:bCs/>
          <w:sz w:val="28"/>
          <w:szCs w:val="28"/>
          <w:lang w:val="en-US" w:eastAsia="zh-CN"/>
        </w:rPr>
        <w:t>技术</w:t>
      </w:r>
      <w:r>
        <w:rPr>
          <w:rFonts w:ascii="Times New Roman" w:hAnsi="Times New Roman" w:eastAsia="仿宋_GB2312"/>
          <w:bCs/>
          <w:sz w:val="28"/>
          <w:szCs w:val="28"/>
        </w:rPr>
        <w:t>技能型人才。</w:t>
      </w:r>
    </w:p>
    <w:p>
      <w:pPr>
        <w:pStyle w:val="3"/>
        <w:spacing w:before="156" w:after="156"/>
      </w:pPr>
      <w:r>
        <w:t>三、竞赛内容</w:t>
      </w:r>
    </w:p>
    <w:p>
      <w:pPr>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lang w:val="en-US" w:eastAsia="zh-CN"/>
        </w:rPr>
        <w:t>本</w:t>
      </w:r>
      <w:r>
        <w:rPr>
          <w:rFonts w:ascii="Times New Roman" w:hAnsi="Times New Roman" w:eastAsia="仿宋_GB2312"/>
          <w:bCs/>
          <w:sz w:val="28"/>
          <w:szCs w:val="28"/>
        </w:rPr>
        <w:t>项赛事以教育部颁布的中等职业学校农业类专业教学标准、《农作物植保员》（中级）国家职业标准为依据，结合</w:t>
      </w:r>
      <w:r>
        <w:rPr>
          <w:rFonts w:hint="eastAsia" w:ascii="Times New Roman" w:hAnsi="Times New Roman" w:eastAsia="仿宋_GB2312"/>
          <w:bCs/>
          <w:sz w:val="28"/>
          <w:szCs w:val="28"/>
          <w:lang w:val="en-US" w:eastAsia="zh-CN"/>
        </w:rPr>
        <w:t>技术</w:t>
      </w:r>
      <w:r>
        <w:rPr>
          <w:rFonts w:ascii="Times New Roman" w:hAnsi="Times New Roman" w:eastAsia="仿宋_GB2312"/>
          <w:bCs/>
          <w:sz w:val="28"/>
          <w:szCs w:val="28"/>
        </w:rPr>
        <w:t>技能型人才培养要求和农业生产岗位需要，通过基础理论与实</w:t>
      </w:r>
      <w:r>
        <w:rPr>
          <w:rFonts w:hint="eastAsia" w:ascii="Times New Roman" w:hAnsi="Times New Roman" w:eastAsia="仿宋_GB2312"/>
          <w:bCs/>
          <w:sz w:val="28"/>
          <w:szCs w:val="28"/>
          <w:lang w:val="en-US" w:eastAsia="zh-CN"/>
        </w:rPr>
        <w:t>践</w:t>
      </w:r>
      <w:r>
        <w:rPr>
          <w:rFonts w:ascii="Times New Roman" w:hAnsi="Times New Roman" w:eastAsia="仿宋_GB2312"/>
          <w:bCs/>
          <w:sz w:val="28"/>
          <w:szCs w:val="28"/>
        </w:rPr>
        <w:t>操作相结合的形式，考核选手对植物病虫害基础理论知识的掌握</w:t>
      </w:r>
      <w:r>
        <w:rPr>
          <w:rFonts w:hint="eastAsia" w:ascii="Times New Roman" w:hAnsi="Times New Roman" w:eastAsia="仿宋_GB2312"/>
          <w:bCs/>
          <w:sz w:val="28"/>
          <w:szCs w:val="28"/>
          <w:lang w:val="en-US" w:eastAsia="zh-CN"/>
        </w:rPr>
        <w:t>运用能力</w:t>
      </w:r>
      <w:r>
        <w:rPr>
          <w:rFonts w:ascii="Times New Roman" w:hAnsi="Times New Roman" w:eastAsia="仿宋_GB2312"/>
          <w:bCs/>
          <w:sz w:val="28"/>
          <w:szCs w:val="28"/>
        </w:rPr>
        <w:t>，对植物常见病虫害的识别能力，以及根据</w:t>
      </w:r>
      <w:r>
        <w:rPr>
          <w:rFonts w:hint="eastAsia" w:ascii="Times New Roman" w:hAnsi="Times New Roman" w:eastAsia="仿宋_GB2312"/>
          <w:bCs/>
          <w:sz w:val="28"/>
          <w:szCs w:val="28"/>
          <w:lang w:val="en-US" w:eastAsia="zh-CN"/>
        </w:rPr>
        <w:t>植物</w:t>
      </w:r>
      <w:r>
        <w:rPr>
          <w:rFonts w:ascii="Times New Roman" w:hAnsi="Times New Roman" w:eastAsia="仿宋_GB2312"/>
          <w:bCs/>
          <w:sz w:val="28"/>
          <w:szCs w:val="28"/>
        </w:rPr>
        <w:t>病虫害的为害特点正确选择</w:t>
      </w:r>
      <w:r>
        <w:rPr>
          <w:rFonts w:hint="eastAsia" w:ascii="Times New Roman" w:hAnsi="Times New Roman" w:eastAsia="仿宋_GB2312"/>
          <w:bCs/>
          <w:sz w:val="28"/>
          <w:szCs w:val="28"/>
          <w:lang w:val="en-US" w:eastAsia="zh-CN"/>
        </w:rPr>
        <w:t>防治农药并</w:t>
      </w:r>
      <w:r>
        <w:rPr>
          <w:rFonts w:ascii="Times New Roman" w:hAnsi="Times New Roman" w:eastAsia="仿宋_GB2312"/>
          <w:bCs/>
          <w:sz w:val="28"/>
          <w:szCs w:val="28"/>
        </w:rPr>
        <w:t>按要求配制</w:t>
      </w:r>
      <w:r>
        <w:rPr>
          <w:rFonts w:hint="eastAsia" w:ascii="Times New Roman" w:hAnsi="Times New Roman" w:eastAsia="仿宋_GB2312"/>
          <w:bCs/>
          <w:sz w:val="28"/>
          <w:szCs w:val="28"/>
          <w:lang w:val="en-US" w:eastAsia="zh-CN"/>
        </w:rPr>
        <w:t>农药</w:t>
      </w:r>
      <w:r>
        <w:rPr>
          <w:rFonts w:ascii="Times New Roman" w:hAnsi="Times New Roman" w:eastAsia="仿宋_GB2312"/>
          <w:bCs/>
          <w:sz w:val="28"/>
          <w:szCs w:val="28"/>
        </w:rPr>
        <w:t>的能力。</w:t>
      </w:r>
    </w:p>
    <w:p>
      <w:pPr>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lang w:val="en-US" w:eastAsia="zh-CN"/>
        </w:rPr>
        <w:t>比赛</w:t>
      </w:r>
      <w:r>
        <w:rPr>
          <w:rFonts w:ascii="Times New Roman" w:hAnsi="Times New Roman" w:eastAsia="仿宋_GB2312"/>
          <w:bCs/>
          <w:sz w:val="28"/>
          <w:szCs w:val="28"/>
        </w:rPr>
        <w:t>总时长为110分钟，总分为100分，其中</w:t>
      </w:r>
      <w:r>
        <w:rPr>
          <w:rFonts w:hint="eastAsia" w:ascii="Times New Roman" w:hAnsi="Times New Roman" w:eastAsia="仿宋_GB2312"/>
          <w:bCs/>
          <w:sz w:val="28"/>
          <w:szCs w:val="28"/>
          <w:lang w:val="en-US" w:eastAsia="zh-CN"/>
        </w:rPr>
        <w:t>模块一</w:t>
      </w:r>
      <w:r>
        <w:rPr>
          <w:rFonts w:ascii="Times New Roman" w:hAnsi="Times New Roman" w:eastAsia="仿宋_GB2312"/>
          <w:bCs/>
          <w:sz w:val="28"/>
          <w:szCs w:val="28"/>
        </w:rPr>
        <w:t>基础理论考核占比20%，</w:t>
      </w:r>
      <w:r>
        <w:rPr>
          <w:rFonts w:hint="eastAsia" w:ascii="Times New Roman" w:hAnsi="Times New Roman" w:eastAsia="仿宋_GB2312"/>
          <w:bCs/>
          <w:sz w:val="28"/>
          <w:szCs w:val="28"/>
          <w:lang w:val="en-US" w:eastAsia="zh-CN"/>
        </w:rPr>
        <w:t>模块二</w:t>
      </w:r>
      <w:r>
        <w:rPr>
          <w:rFonts w:ascii="Times New Roman" w:hAnsi="Times New Roman" w:eastAsia="仿宋_GB2312"/>
          <w:bCs/>
          <w:sz w:val="28"/>
          <w:szCs w:val="28"/>
        </w:rPr>
        <w:t>植物病虫害识别与标本制作、</w:t>
      </w:r>
      <w:r>
        <w:rPr>
          <w:rFonts w:hint="eastAsia" w:ascii="Times New Roman" w:hAnsi="Times New Roman" w:eastAsia="仿宋_GB2312"/>
          <w:bCs/>
          <w:sz w:val="28"/>
          <w:szCs w:val="28"/>
          <w:lang w:val="en-US" w:eastAsia="zh-CN"/>
        </w:rPr>
        <w:t>模块三</w:t>
      </w:r>
      <w:r>
        <w:rPr>
          <w:rFonts w:ascii="Times New Roman" w:hAnsi="Times New Roman" w:eastAsia="仿宋_GB2312"/>
          <w:bCs/>
          <w:sz w:val="28"/>
          <w:szCs w:val="28"/>
        </w:rPr>
        <w:t>农药的配制各占40%。模块一植物病虫害基础理论考核，</w:t>
      </w:r>
      <w:r>
        <w:rPr>
          <w:rFonts w:hint="eastAsia"/>
        </w:rPr>
        <w:t>考核时长</w:t>
      </w:r>
      <w:r>
        <w:rPr>
          <w:rFonts w:ascii="Times New Roman" w:hAnsi="Times New Roman" w:eastAsia="仿宋_GB2312"/>
          <w:bCs/>
          <w:sz w:val="28"/>
          <w:szCs w:val="28"/>
        </w:rPr>
        <w:t>30分钟，分值100分，试题由单选题（20题）、多选题（10题）、是非题（10题）组成。模块二植物病虫害识别与标本制作，考核时间40分钟，分值100分，其中任务一图片识别5种常见的病虫害，并选择用于防治其中1种病虫害的2种农</w:t>
      </w:r>
      <w:r>
        <w:rPr>
          <w:rFonts w:ascii="Times New Roman" w:hAnsi="Times New Roman" w:eastAsia="仿宋_GB2312" w:cs="Times New Roman"/>
          <w:bCs/>
          <w:kern w:val="2"/>
          <w:sz w:val="28"/>
          <w:szCs w:val="28"/>
          <w:lang w:val="en-US" w:eastAsia="zh-CN" w:bidi="ar-SA"/>
        </w:rPr>
        <w:t>药，</w:t>
      </w:r>
      <w:r>
        <w:rPr>
          <w:rFonts w:hint="eastAsia" w:ascii="Times New Roman" w:hAnsi="Times New Roman" w:eastAsia="仿宋_GB2312" w:cs="Times New Roman"/>
          <w:bCs/>
          <w:kern w:val="2"/>
          <w:sz w:val="28"/>
          <w:szCs w:val="28"/>
          <w:lang w:val="en-US" w:eastAsia="zh-CN" w:bidi="ar-SA"/>
        </w:rPr>
        <w:t>考核时长</w:t>
      </w:r>
      <w:r>
        <w:rPr>
          <w:rFonts w:ascii="Times New Roman" w:hAnsi="Times New Roman" w:eastAsia="仿宋_GB2312" w:cs="Times New Roman"/>
          <w:bCs/>
          <w:kern w:val="2"/>
          <w:sz w:val="28"/>
          <w:szCs w:val="28"/>
          <w:lang w:val="en-US" w:eastAsia="zh-CN" w:bidi="ar-SA"/>
        </w:rPr>
        <w:t>10分钟，分值50分；任务二昆虫标本整姿及展翅各1个，</w:t>
      </w:r>
      <w:r>
        <w:rPr>
          <w:rFonts w:hint="eastAsia" w:ascii="Times New Roman" w:hAnsi="Times New Roman" w:eastAsia="仿宋_GB2312" w:cs="Times New Roman"/>
          <w:bCs/>
          <w:kern w:val="2"/>
          <w:sz w:val="28"/>
          <w:szCs w:val="28"/>
          <w:lang w:val="en-US" w:eastAsia="zh-CN" w:bidi="ar-SA"/>
        </w:rPr>
        <w:t>考核时长</w:t>
      </w:r>
      <w:r>
        <w:rPr>
          <w:rFonts w:ascii="Times New Roman" w:hAnsi="Times New Roman" w:eastAsia="仿宋_GB2312" w:cs="Times New Roman"/>
          <w:bCs/>
          <w:kern w:val="2"/>
          <w:sz w:val="28"/>
          <w:szCs w:val="28"/>
          <w:lang w:val="en-US" w:eastAsia="zh-CN" w:bidi="ar-SA"/>
        </w:rPr>
        <w:t>30分钟，</w:t>
      </w:r>
      <w:r>
        <w:rPr>
          <w:rFonts w:ascii="Times New Roman" w:hAnsi="Times New Roman" w:eastAsia="仿宋_GB2312"/>
          <w:bCs/>
          <w:sz w:val="28"/>
          <w:szCs w:val="28"/>
        </w:rPr>
        <w:t>分值50分。模块三农药的配制，</w:t>
      </w:r>
      <w:r>
        <w:rPr>
          <w:rFonts w:hint="eastAsia" w:ascii="Times New Roman" w:hAnsi="Times New Roman" w:eastAsia="仿宋_GB2312"/>
          <w:bCs/>
          <w:sz w:val="28"/>
          <w:szCs w:val="28"/>
          <w:lang w:val="en-US" w:eastAsia="zh-CN"/>
        </w:rPr>
        <w:t>比赛时长</w:t>
      </w:r>
      <w:r>
        <w:rPr>
          <w:rFonts w:ascii="Times New Roman" w:hAnsi="Times New Roman" w:eastAsia="仿宋_GB2312"/>
          <w:bCs/>
          <w:sz w:val="28"/>
          <w:szCs w:val="28"/>
        </w:rPr>
        <w:t>40分钟，分值100分，要求按照规范步骤将三种农药进行正确混配。</w:t>
      </w:r>
    </w:p>
    <w:p>
      <w:pPr>
        <w:pStyle w:val="2"/>
        <w:rPr>
          <w:rFonts w:ascii="Times New Roman" w:hAnsi="Times New Roman"/>
        </w:rPr>
      </w:pPr>
    </w:p>
    <w:p>
      <w:pPr>
        <w:spacing w:line="360" w:lineRule="auto"/>
        <w:ind w:right="210" w:rightChars="100"/>
        <w:jc w:val="center"/>
        <w:rPr>
          <w:rFonts w:ascii="Times New Roman" w:hAnsi="Times New Roman" w:eastAsia="黑体"/>
          <w:sz w:val="24"/>
        </w:rPr>
      </w:pPr>
      <w:r>
        <w:rPr>
          <w:rFonts w:ascii="Times New Roman" w:hAnsi="Times New Roman" w:eastAsia="黑体"/>
          <w:sz w:val="24"/>
        </w:rPr>
        <w:t>赛项模块分布</w:t>
      </w:r>
    </w:p>
    <w:tbl>
      <w:tblPr>
        <w:tblStyle w:val="13"/>
        <w:tblW w:w="8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1494"/>
        <w:gridCol w:w="3118"/>
        <w:gridCol w:w="1275"/>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2889"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模块</w:t>
            </w:r>
          </w:p>
        </w:tc>
        <w:tc>
          <w:tcPr>
            <w:tcW w:w="3118"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主要内容</w:t>
            </w:r>
          </w:p>
        </w:tc>
        <w:tc>
          <w:tcPr>
            <w:tcW w:w="1275"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比赛时长</w:t>
            </w:r>
          </w:p>
        </w:tc>
        <w:tc>
          <w:tcPr>
            <w:tcW w:w="1276"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1395"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模块一</w:t>
            </w:r>
          </w:p>
        </w:tc>
        <w:tc>
          <w:tcPr>
            <w:tcW w:w="149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基础理论</w:t>
            </w:r>
          </w:p>
        </w:tc>
        <w:tc>
          <w:tcPr>
            <w:tcW w:w="3118"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植物病虫害防治基础知识</w:t>
            </w:r>
          </w:p>
        </w:tc>
        <w:tc>
          <w:tcPr>
            <w:tcW w:w="1275"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30分钟</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jc w:val="center"/>
        </w:trPr>
        <w:tc>
          <w:tcPr>
            <w:tcW w:w="1395"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模块二</w:t>
            </w:r>
          </w:p>
        </w:tc>
        <w:tc>
          <w:tcPr>
            <w:tcW w:w="1494"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病虫害识别与标本制作</w:t>
            </w:r>
          </w:p>
        </w:tc>
        <w:tc>
          <w:tcPr>
            <w:tcW w:w="3118" w:type="dxa"/>
            <w:tcBorders>
              <w:bottom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植物常见病虫害识别及药剂选择</w:t>
            </w:r>
          </w:p>
        </w:tc>
        <w:tc>
          <w:tcPr>
            <w:tcW w:w="1275" w:type="dxa"/>
            <w:tcBorders>
              <w:bottom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10分钟</w:t>
            </w:r>
          </w:p>
        </w:tc>
        <w:tc>
          <w:tcPr>
            <w:tcW w:w="1276" w:type="dxa"/>
            <w:tcBorders>
              <w:bottom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1395" w:type="dxa"/>
            <w:vMerge w:val="continue"/>
            <w:vAlign w:val="center"/>
          </w:tcPr>
          <w:p>
            <w:pPr>
              <w:adjustRightInd w:val="0"/>
              <w:snapToGrid w:val="0"/>
              <w:jc w:val="center"/>
              <w:rPr>
                <w:rFonts w:ascii="Times New Roman" w:hAnsi="Times New Roman" w:eastAsia="仿宋_GB2312"/>
                <w:bCs/>
                <w:sz w:val="24"/>
              </w:rPr>
            </w:pPr>
          </w:p>
        </w:tc>
        <w:tc>
          <w:tcPr>
            <w:tcW w:w="1494" w:type="dxa"/>
            <w:vMerge w:val="continue"/>
            <w:vAlign w:val="center"/>
          </w:tcPr>
          <w:p>
            <w:pPr>
              <w:adjustRightInd w:val="0"/>
              <w:snapToGrid w:val="0"/>
              <w:jc w:val="center"/>
              <w:rPr>
                <w:rFonts w:ascii="Times New Roman" w:hAnsi="Times New Roman" w:eastAsia="仿宋_GB2312"/>
                <w:bCs/>
                <w:sz w:val="24"/>
              </w:rPr>
            </w:pPr>
          </w:p>
        </w:tc>
        <w:tc>
          <w:tcPr>
            <w:tcW w:w="3118" w:type="dxa"/>
            <w:tcBorders>
              <w:top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昆虫标本制作</w:t>
            </w:r>
          </w:p>
        </w:tc>
        <w:tc>
          <w:tcPr>
            <w:tcW w:w="1275" w:type="dxa"/>
            <w:tcBorders>
              <w:top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30分钟</w:t>
            </w:r>
          </w:p>
        </w:tc>
        <w:tc>
          <w:tcPr>
            <w:tcW w:w="1276" w:type="dxa"/>
            <w:tcBorders>
              <w:top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1395"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模块三</w:t>
            </w:r>
          </w:p>
        </w:tc>
        <w:tc>
          <w:tcPr>
            <w:tcW w:w="149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农药的配制</w:t>
            </w:r>
          </w:p>
        </w:tc>
        <w:tc>
          <w:tcPr>
            <w:tcW w:w="3118"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农药的混合使用</w:t>
            </w:r>
          </w:p>
        </w:tc>
        <w:tc>
          <w:tcPr>
            <w:tcW w:w="1275"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40分钟</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100</w:t>
            </w:r>
          </w:p>
        </w:tc>
      </w:tr>
    </w:tbl>
    <w:p>
      <w:pPr>
        <w:rPr>
          <w:rFonts w:ascii="Times New Roman" w:hAnsi="Times New Roman" w:eastAsia="微软雅黑"/>
          <w:sz w:val="24"/>
        </w:rPr>
      </w:pPr>
    </w:p>
    <w:p>
      <w:pPr>
        <w:pStyle w:val="3"/>
        <w:spacing w:before="156" w:after="156"/>
      </w:pPr>
      <w:r>
        <w:t>四、竞赛方式</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竞赛形式为线下竞赛，理论部分机考。</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组队方式为个人赛。参赛队伍数量以正式比赛报名通知为准。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参赛选手为中职学校在校在籍学生，原则上应从事本专业学习一年以上且具备扎实的理论基础和较高的技能水平。</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参赛选手同时参加模块一竞赛，分3组参加模块二竞赛，分3组参加模块三竞赛。</w:t>
      </w:r>
    </w:p>
    <w:p>
      <w:pPr>
        <w:pStyle w:val="3"/>
        <w:numPr>
          <w:ilvl w:val="0"/>
          <w:numId w:val="1"/>
        </w:numPr>
        <w:spacing w:before="156" w:after="156"/>
      </w:pPr>
      <w:r>
        <w:t>竞赛流程</w:t>
      </w:r>
    </w:p>
    <w:tbl>
      <w:tblPr>
        <w:tblStyle w:val="13"/>
        <w:tblpPr w:leftFromText="180" w:rightFromText="180" w:vertAnchor="text" w:tblpX="-101" w:tblpY="232"/>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39"/>
        <w:gridCol w:w="1758"/>
        <w:gridCol w:w="3345"/>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日期</w:t>
            </w:r>
          </w:p>
        </w:tc>
        <w:tc>
          <w:tcPr>
            <w:tcW w:w="1758"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时间</w:t>
            </w:r>
          </w:p>
        </w:tc>
        <w:tc>
          <w:tcPr>
            <w:tcW w:w="3345"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项目</w:t>
            </w:r>
          </w:p>
        </w:tc>
        <w:tc>
          <w:tcPr>
            <w:tcW w:w="2410"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第一天</w:t>
            </w:r>
          </w:p>
        </w:tc>
        <w:tc>
          <w:tcPr>
            <w:tcW w:w="1758"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全天</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参赛队报到，领取竞赛资料</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报到处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tcPr>
          <w:p>
            <w:pPr>
              <w:adjustRightInd w:val="0"/>
              <w:snapToGrid w:val="0"/>
              <w:jc w:val="center"/>
              <w:rPr>
                <w:rFonts w:ascii="Times New Roman" w:hAnsi="Times New Roman" w:eastAsia="仿宋_GB2312"/>
                <w:bCs/>
                <w:sz w:val="24"/>
              </w:rPr>
            </w:pPr>
          </w:p>
        </w:tc>
        <w:tc>
          <w:tcPr>
            <w:tcW w:w="1758" w:type="dxa"/>
            <w:vMerge w:val="continue"/>
          </w:tcPr>
          <w:p>
            <w:pPr>
              <w:adjustRightInd w:val="0"/>
              <w:snapToGrid w:val="0"/>
              <w:jc w:val="center"/>
              <w:rPr>
                <w:rFonts w:ascii="Times New Roman" w:hAnsi="Times New Roman" w:eastAsia="仿宋_GB2312"/>
                <w:bCs/>
                <w:sz w:val="24"/>
              </w:rPr>
            </w:pP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裁判员报到、培训</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第二天</w:t>
            </w: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9:00～10:00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裁判员会议</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9:00～10:00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领队会议</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9:00～10:00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参赛选手熟悉竞赛场地</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10:00～11:00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大赛开幕式</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11:00～11:30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领队抽签确定组别、序号</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14:30～15:00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参赛选手检录</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模块一竞赛场地检录处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15:00～15:30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植物病虫害基础理论考核</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模块一竞赛场地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第三天</w:t>
            </w: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8:00～8:30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A、B、C组检录</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模块二竞赛场地检录处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8:30～9:00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抽签确定操作工位号</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模块二竞赛场地抽签处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9:00～9:40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A组进行病虫害识别及标本制作</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模块二竞赛场地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10:00～10:40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B组进行病虫害识别及标本制作</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模块二竞赛场地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11:00～11:40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C组进行病虫害识别及标本制作</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模块二竞赛场地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11:40～13：30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休息</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参赛选手休息室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13:30～14:00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A、B、C组检录</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模块三竞赛场地检录处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14:00～14:30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抽签确定农药的配制工位</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模块三竞赛场地抽签处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14:30～15:10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A组进行农药的配制赛项</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模块三竞赛场地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15:30～16:10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B组进行农药的配制赛项</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模块三竞赛场地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Merge w:val="continue"/>
            <w:vAlign w:val="center"/>
          </w:tcPr>
          <w:p>
            <w:pPr>
              <w:adjustRightInd w:val="0"/>
              <w:snapToGrid w:val="0"/>
              <w:jc w:val="center"/>
              <w:rPr>
                <w:rFonts w:ascii="Times New Roman" w:hAnsi="Times New Roman" w:eastAsia="仿宋_GB2312"/>
                <w:bCs/>
                <w:sz w:val="24"/>
              </w:rPr>
            </w:pP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16:30～17:10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C组进行农药的配制赛项</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模块三竞赛场地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第四天</w:t>
            </w:r>
          </w:p>
        </w:tc>
        <w:tc>
          <w:tcPr>
            <w:tcW w:w="1758"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9:00～10:30</w:t>
            </w:r>
          </w:p>
        </w:tc>
        <w:tc>
          <w:tcPr>
            <w:tcW w:w="3345"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竞赛点评及闭幕式</w:t>
            </w:r>
          </w:p>
        </w:tc>
        <w:tc>
          <w:tcPr>
            <w:tcW w:w="2410" w:type="dxa"/>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会议室</w:t>
            </w:r>
          </w:p>
        </w:tc>
      </w:tr>
    </w:tbl>
    <w:p>
      <w:pPr>
        <w:widowControl/>
        <w:jc w:val="left"/>
        <w:rPr>
          <w:rFonts w:hint="eastAsia" w:ascii="Times New Roman" w:hAnsi="Times New Roman" w:eastAsia="黑体"/>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widowControl/>
        <w:numPr>
          <w:ilvl w:val="0"/>
          <w:numId w:val="1"/>
        </w:numPr>
        <w:jc w:val="left"/>
        <w:rPr>
          <w:rFonts w:ascii="Times New Roman" w:hAnsi="Times New Roman" w:eastAsia="黑体"/>
          <w:sz w:val="32"/>
          <w:szCs w:val="32"/>
        </w:rPr>
      </w:pPr>
      <w:r>
        <w:rPr>
          <w:rFonts w:ascii="Times New Roman" w:hAnsi="Times New Roman" w:eastAsia="黑体"/>
          <w:bCs/>
          <w:kern w:val="44"/>
          <w:sz w:val="32"/>
          <w:szCs w:val="44"/>
        </w:rPr>
        <w:t>竞赛规则</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（一）报名资格及参赛队伍要求</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1.参赛选手均为中等职业学校在校在籍学生。在资格审查中一旦发现问题，取消其报名资格；在竞赛过程中发现问题，取消其竞赛资格；在竞赛后发现问题，取消其竞赛成绩，收回获奖证书以及奖品等。</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2.参赛选手和指导教师报名获得确认后不得随意更换。如备赛过程中参赛选手和指导教师因故无法参赛，须由省级教育行政部门于本赛项开赛10个工作日之前出具书面说明，经大赛执委会办公室核实后予以更换。</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3.参赛选手应遵守赛场纪律，服从赛项执委会的指挥和安排，爱护竞赛场地的设备和器材。</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4.凡在往届全国职业院校技能大赛植物病虫害防治赛项中获一等奖的选手，不再参加同一项目同一组别的竞赛。</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5.各省教育行政部门负责本地区参赛学生的资格审查工作。</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（二）熟悉场地与抽签</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1.竞赛前安排参赛队熟悉竞赛场地，召开领队会议，宣布竞赛纪律和有关事宜，抽签确定各参赛队的组别。</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2.所有竞赛项目每场竞赛前半小时组织各参赛队检录抽签，参赛选手的参赛组别、竞赛工位号、竞赛所用材料及工具等采用抽签方式确定。</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（三）赛场要求</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1.参赛选手应在引</w:t>
      </w:r>
      <w:r>
        <w:rPr>
          <w:rFonts w:hint="eastAsia" w:ascii="Times New Roman" w:hAnsi="Times New Roman" w:eastAsia="仿宋_GB2312"/>
          <w:bCs/>
          <w:sz w:val="28"/>
          <w:szCs w:val="28"/>
          <w:lang w:val="en-US" w:eastAsia="zh-CN"/>
        </w:rPr>
        <w:t>导</w:t>
      </w:r>
      <w:r>
        <w:rPr>
          <w:rFonts w:ascii="Times New Roman" w:hAnsi="Times New Roman" w:eastAsia="仿宋_GB2312"/>
          <w:bCs/>
          <w:sz w:val="28"/>
          <w:szCs w:val="28"/>
        </w:rPr>
        <w:t>员指引下提前5分钟进入竞赛场地，迟到者不予参加竞赛</w:t>
      </w:r>
      <w:r>
        <w:rPr>
          <w:rFonts w:hint="eastAsia"/>
          <w:lang w:eastAsia="zh-CN"/>
        </w:rPr>
        <w:t>。</w:t>
      </w:r>
      <w:r>
        <w:rPr>
          <w:rFonts w:ascii="Times New Roman" w:hAnsi="Times New Roman" w:eastAsia="仿宋_GB2312"/>
          <w:bCs/>
          <w:sz w:val="28"/>
          <w:szCs w:val="28"/>
        </w:rPr>
        <w:t>依照项目裁判长统一指令开始竞赛。</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2.参赛选手进入赛场必须听从现场裁判人员的统一布置和安排，竞赛期间必须严格遵守安全操作规程，确保人身和设备安全。</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3.赛场提供竞赛指定的专用材料与工具。</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4.参赛选手应认真阅读竞赛须知，自觉遵守赛场纪律，按竞赛规则、项目与赛场要求进行竞赛，不得携带任何通讯及存储设备、纸质材料等物品进入赛场，赛场内提供必需用品。</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5.任何人不得以任何方式公开参赛队及个人信息。</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竞赛过程中如因材料、设备等原因发生故障，应由项目裁判长进行评判；若因选手个人原因造成设备故障而无法继续竞赛，裁判长有权决定终止该选手或该队竞赛，若非选手原因造成设备故障的，由裁判长视具体情况做出裁决（暂停竞赛计时或调整至最后一批次参加竞赛），如果裁判长确定为设备故障问题，将给参赛选手补足技术支持人员排除设备故障所耽误的竞赛时间。</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7.竞赛结束前3分钟</w:t>
      </w:r>
      <w:r>
        <w:rPr>
          <w:rFonts w:hint="eastAsia" w:ascii="Times New Roman" w:hAnsi="Times New Roman" w:eastAsia="仿宋_GB2312"/>
          <w:bCs/>
          <w:sz w:val="28"/>
          <w:szCs w:val="28"/>
          <w:lang w:val="en-US" w:eastAsia="zh-CN"/>
        </w:rPr>
        <w:t>5</w:t>
      </w:r>
      <w:r>
        <w:rPr>
          <w:rFonts w:ascii="Times New Roman" w:hAnsi="Times New Roman" w:eastAsia="仿宋_GB2312"/>
          <w:bCs/>
          <w:sz w:val="28"/>
          <w:szCs w:val="28"/>
        </w:rPr>
        <w:t>分钟，由裁判长提醒考生竞赛时间。当裁判长宣布竞赛结束后，参赛选手必须马上停止一切操作，按要求位置站立等候撤离竞赛指令。</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8.参赛选手若提前结束竞赛，应由选手向裁判员举手示意，竞赛终止时间由裁判员记录，选手结束竞赛后不得再进行任何操作，并按要求撤离竞赛现场。</w:t>
      </w:r>
    </w:p>
    <w:p>
      <w:pPr>
        <w:pStyle w:val="3"/>
        <w:numPr>
          <w:ilvl w:val="0"/>
          <w:numId w:val="1"/>
        </w:numPr>
        <w:spacing w:before="156" w:after="156"/>
      </w:pPr>
      <w:r>
        <w:t>技术规范</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以《农作物植保员国家职业技能标准》（职业编码: 5-05-02-01）的中级工（国家职业资格四级）以上的知识和技能要求为基础。</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（一）适用产业</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粮油作物、蔬菜、花卉、果树、药用植物、烟草、茶、园林、森林、饲草等多种产业。</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（二）引用职业标准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《农作物植保员国家职业技能标准》（职业编码</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5-05-02-01）（四级/中级工）：能识别植物主要病虫害20种以上，能制作用于普及推广农业技术的</w:t>
      </w:r>
      <w:r>
        <w:rPr>
          <w:rFonts w:hint="eastAsia" w:ascii="Times New Roman" w:hAnsi="Times New Roman" w:eastAsia="仿宋_GB2312"/>
          <w:bCs/>
          <w:sz w:val="28"/>
          <w:szCs w:val="28"/>
          <w:lang w:val="en-US" w:eastAsia="zh-CN"/>
        </w:rPr>
        <w:t>病虫害</w:t>
      </w:r>
      <w:r>
        <w:rPr>
          <w:rFonts w:ascii="Times New Roman" w:hAnsi="Times New Roman" w:eastAsia="仿宋_GB2312"/>
          <w:bCs/>
          <w:sz w:val="28"/>
          <w:szCs w:val="28"/>
        </w:rPr>
        <w:t>标本，能对一种主要病虫</w:t>
      </w:r>
      <w:r>
        <w:rPr>
          <w:rFonts w:hint="eastAsia" w:ascii="Times New Roman" w:hAnsi="Times New Roman" w:eastAsia="仿宋_GB2312"/>
          <w:bCs/>
          <w:sz w:val="28"/>
          <w:szCs w:val="28"/>
          <w:lang w:val="en-US" w:eastAsia="zh-CN"/>
        </w:rPr>
        <w:t>害</w:t>
      </w:r>
      <w:r>
        <w:rPr>
          <w:rFonts w:ascii="Times New Roman" w:hAnsi="Times New Roman" w:eastAsia="仿宋_GB2312"/>
          <w:bCs/>
          <w:sz w:val="28"/>
          <w:szCs w:val="28"/>
        </w:rPr>
        <w:t>综合防治方案，能正确配制</w:t>
      </w:r>
      <w:r>
        <w:rPr>
          <w:rFonts w:hint="eastAsia" w:ascii="Times New Roman" w:hAnsi="Times New Roman" w:eastAsia="仿宋_GB2312"/>
          <w:bCs/>
          <w:sz w:val="28"/>
          <w:szCs w:val="28"/>
          <w:lang w:val="en-US" w:eastAsia="zh-CN"/>
        </w:rPr>
        <w:t>和选择</w:t>
      </w:r>
      <w:r>
        <w:rPr>
          <w:rFonts w:ascii="Times New Roman" w:hAnsi="Times New Roman" w:eastAsia="仿宋_GB2312"/>
          <w:bCs/>
          <w:sz w:val="28"/>
          <w:szCs w:val="28"/>
        </w:rPr>
        <w:t>农药。</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（三）引用技术标准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《中华人民共和国农产品质量安全法》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《中华人民共和国生物安全法》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《农药中文通用名称》（GB 4839-2009）</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《农药使用人员个体防护指南》（NY/T 4183-2022）</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《农药安全使用规范总则》（NY/T 1276-2007）</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《农药贮运、销售和使用的防毒规程》（GB 12475-2006）</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《植物检疫条例》</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《农药管理条例》</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《农作物病虫害防治条例》</w:t>
      </w:r>
    </w:p>
    <w:p>
      <w:pPr>
        <w:pStyle w:val="3"/>
        <w:numPr>
          <w:ilvl w:val="0"/>
          <w:numId w:val="1"/>
        </w:numPr>
        <w:spacing w:before="156" w:after="156"/>
      </w:pPr>
      <w:r>
        <w:t>技术环境</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（一）场地及周边布局</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1.场地环境应按照植物病虫</w:t>
      </w:r>
      <w:r>
        <w:rPr>
          <w:rFonts w:ascii="Times New Roman" w:hAnsi="Times New Roman" w:eastAsia="仿宋_GB2312" w:cs="Times New Roman"/>
          <w:bCs/>
          <w:kern w:val="2"/>
          <w:sz w:val="28"/>
          <w:szCs w:val="28"/>
          <w:lang w:val="en-US" w:eastAsia="zh-CN" w:bidi="ar-SA"/>
        </w:rPr>
        <w:t>害识别</w:t>
      </w:r>
      <w:r>
        <w:rPr>
          <w:rFonts w:hint="eastAsia" w:ascii="Times New Roman" w:hAnsi="Times New Roman" w:eastAsia="仿宋_GB2312" w:cs="Times New Roman"/>
          <w:bCs/>
          <w:kern w:val="2"/>
          <w:sz w:val="28"/>
          <w:szCs w:val="28"/>
          <w:lang w:val="en-US" w:eastAsia="zh-CN" w:bidi="ar-SA"/>
        </w:rPr>
        <w:t>与</w:t>
      </w:r>
      <w:r>
        <w:rPr>
          <w:rFonts w:ascii="Times New Roman" w:hAnsi="Times New Roman" w:eastAsia="仿宋_GB2312" w:cs="Times New Roman"/>
          <w:bCs/>
          <w:kern w:val="2"/>
          <w:sz w:val="28"/>
          <w:szCs w:val="28"/>
          <w:lang w:val="en-US" w:eastAsia="zh-CN" w:bidi="ar-SA"/>
        </w:rPr>
        <w:t>标本</w:t>
      </w:r>
      <w:r>
        <w:rPr>
          <w:rFonts w:ascii="Times New Roman" w:hAnsi="Times New Roman" w:eastAsia="仿宋_GB2312"/>
          <w:bCs/>
          <w:sz w:val="28"/>
          <w:szCs w:val="28"/>
        </w:rPr>
        <w:t>制作、农药配制的要求进行布置，整个竞赛场地应保持通畅和开放，并配备防火防爆及其他安全设施。</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2.赛场周边设有卫生间、维修服务、医疗、生活补给站等公共服务区和紧急疏散通道，并在赛场周围设置隔离带。</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3.设立赛场开放区和安全通道，赛场安装监控摄像，适合观摩。便于大赛观摩和采访，保证大赛安全有序进行。</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4.场地配套提供稳定的水、电源和供电应急设备，并有保安、公安、消防、设备维修和电力抢险人员待命，以防突发事件。</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5.为保障竞赛有序进行，要求各模块考场设置距离不宜过远。</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6.另准备裁判办公室、会议室、竞赛准备室、选手准备和休息场所。</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（二）场内设施及布局</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1.模块一植物病虫害基础理论知识考核机房电脑不少于80台，答题卡不少于70套。</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2.模块二植物病虫害识别及标本制作场地工位不少于30个，标本制作工具不少于30套。</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3.模块三农药配制场地工位不少于30个，配制工具不少于30套。</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3.竞赛准备室与赛场相距较近，前一组竞赛完成后，能够迅速补齐下一组所需物品。</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4.竞赛工位相对独立，确保选手独立开展竞赛，不受外界影响。</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5.每个竞赛操作台上配有相应的物料、器具、相应数量的清洁工具。</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（三）竞赛用药及用具</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1.农药种类：杀菌剂、杀虫剂。</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2.农药剂型：可湿性粉剂、水分散粒剂、乳油、悬浮剂等。</w:t>
      </w:r>
    </w:p>
    <w:p>
      <w:pPr>
        <w:spacing w:line="600" w:lineRule="exact"/>
        <w:ind w:firstLine="560" w:firstLineChars="200"/>
        <w:rPr>
          <w:rFonts w:ascii="Times New Roman" w:hAnsi="Times New Roman" w:eastAsia="仿宋"/>
          <w:bCs/>
          <w:sz w:val="28"/>
          <w:szCs w:val="28"/>
        </w:rPr>
      </w:pPr>
      <w:r>
        <w:rPr>
          <w:rFonts w:ascii="Times New Roman" w:hAnsi="Times New Roman" w:eastAsia="仿宋_GB2312"/>
          <w:bCs/>
          <w:sz w:val="28"/>
          <w:szCs w:val="28"/>
        </w:rPr>
        <w:t>3.用具</w:t>
      </w:r>
      <w:r>
        <w:rPr>
          <w:rFonts w:hint="eastAsia" w:ascii="Times New Roman" w:hAnsi="Times New Roman" w:eastAsia="仿宋_GB2312"/>
          <w:bCs/>
          <w:sz w:val="28"/>
          <w:szCs w:val="28"/>
        </w:rPr>
        <w:t>（按一组计）</w:t>
      </w:r>
      <w:r>
        <w:rPr>
          <w:rFonts w:ascii="Times New Roman" w:hAnsi="Times New Roman" w:eastAsia="仿宋_GB2312"/>
          <w:bCs/>
          <w:sz w:val="28"/>
          <w:szCs w:val="28"/>
        </w:rPr>
        <w:t>：电子天平（千分之一）30台，称量纸若干，称量勺60个，移液管（5mL、</w:t>
      </w:r>
      <w:r>
        <w:rPr>
          <w:rFonts w:hint="eastAsia" w:ascii="Times New Roman" w:hAnsi="Times New Roman" w:eastAsia="仿宋_GB2312"/>
          <w:bCs/>
          <w:sz w:val="28"/>
          <w:szCs w:val="28"/>
          <w:lang w:val="en-US" w:eastAsia="zh-CN"/>
        </w:rPr>
        <w:t>25</w:t>
      </w:r>
      <w:r>
        <w:rPr>
          <w:rFonts w:ascii="Times New Roman" w:hAnsi="Times New Roman" w:eastAsia="仿宋_GB2312"/>
          <w:bCs/>
          <w:sz w:val="28"/>
          <w:szCs w:val="28"/>
        </w:rPr>
        <w:t>mL）各60个，洗耳球60个，玻璃烧杯（500mL）90个，玻璃量筒100mL、200mL、1000mL各30个，玻璃棒90根，配药桶（5L）30个，清水桶（10L）30个，废液桶（20L）30个，防护用品30套、计算器30个、文件夹30个、白纸若干、签字笔若干、记号笔若干、擦拭纸若干、洗手液若干等。</w:t>
      </w:r>
    </w:p>
    <w:p>
      <w:pPr>
        <w:pStyle w:val="3"/>
        <w:numPr>
          <w:ilvl w:val="0"/>
          <w:numId w:val="1"/>
        </w:numPr>
        <w:spacing w:before="156" w:after="156"/>
      </w:pPr>
      <w:r>
        <w:t>竞赛样题</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本赛项赛题共3个模块，模块一为植物病虫害基础理论题，模块二为植物病虫害识别及标本制作，模块三为农药的配制。（见</w:t>
      </w:r>
      <w:r>
        <w:rPr>
          <w:rFonts w:hint="eastAsia" w:ascii="Times New Roman" w:hAnsi="Times New Roman" w:eastAsia="仿宋_GB2312"/>
          <w:bCs/>
          <w:sz w:val="28"/>
          <w:szCs w:val="28"/>
        </w:rPr>
        <w:t>ZZ030 植物病虫害防治赛项赛题</w:t>
      </w:r>
      <w:r>
        <w:rPr>
          <w:rFonts w:ascii="Times New Roman" w:hAnsi="Times New Roman" w:eastAsia="仿宋_GB2312"/>
          <w:bCs/>
          <w:sz w:val="28"/>
          <w:szCs w:val="28"/>
        </w:rPr>
        <w:t>）</w:t>
      </w:r>
    </w:p>
    <w:p>
      <w:pPr>
        <w:pStyle w:val="3"/>
        <w:numPr>
          <w:ilvl w:val="0"/>
          <w:numId w:val="1"/>
        </w:numPr>
        <w:spacing w:before="156" w:after="156"/>
      </w:pPr>
      <w:r>
        <w:t>赛项安全</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（一）人员安全、健康要求</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1．执委会和各参赛代表队要为全体参赛人员提供安全、健康服务保障，全体参赛人员须遵守竞赛安全、健康有关规定。</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2．竞赛现场设置急救站，配备专业医务人员和设备，做好医疗应急准备。</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3．进入竞赛区域的人员，应严格按照各项目安全、健康规定，做好安全防护。</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4．各代表报到前需按规定自行购买个人人身意外保险，并将购买保险的凭证复印件交到选手报名点。</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（二）场地安全</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1．按规定预留赛场安全疏散通道，配备消防器械等应急处理设施设备和人员，张贴各项目安全健康规定、图示等，并事先制定应急处理预案，安排专人负责赛场紧急疏导等工作。</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2．对涉及易燃易爆、化学腐蚀和有毒有害物品的项目，要按照国家有关规定，在各项目安全、健康规定中予以明确，制定管理措施，并随各项目竞赛细则一并公布。</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（三）信息安全</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1.参赛选手、裁判员手机统一管理。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2.竞赛场地实行封闭式管理。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3.所有相关人员签订安全保密协议，除大赛组织方外，禁止个人和组织以任何形式发布竞赛消息。</w:t>
      </w:r>
    </w:p>
    <w:p>
      <w:pPr>
        <w:pStyle w:val="3"/>
        <w:numPr>
          <w:ilvl w:val="0"/>
          <w:numId w:val="1"/>
        </w:numPr>
        <w:spacing w:before="156" w:after="156"/>
      </w:pPr>
      <w:r>
        <w:t>成绩评定</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（一）评分方法</w:t>
      </w:r>
    </w:p>
    <w:p>
      <w:pPr>
        <w:pStyle w:val="5"/>
        <w:ind w:firstLine="561"/>
      </w:pPr>
      <w:r>
        <w:t>1.裁判员组成</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裁判员由裁判长、评分裁判员、现场裁判员和加密裁判员组成。其中评分裁判员12人，由相关专业职业技能鉴定高级考评员、行业企业专家、高等院校具有高级职称的专业教师组成，现场裁判员1人，加密裁判2人。</w:t>
      </w:r>
    </w:p>
    <w:p>
      <w:pPr>
        <w:adjustRightInd w:val="0"/>
        <w:snapToGrid w:val="0"/>
        <w:spacing w:line="360" w:lineRule="auto"/>
        <w:jc w:val="center"/>
        <w:rPr>
          <w:rFonts w:ascii="黑体" w:hAnsi="黑体" w:eastAsia="黑体" w:cs="黑体"/>
          <w:bCs/>
          <w:sz w:val="24"/>
        </w:rPr>
      </w:pPr>
      <w:r>
        <w:rPr>
          <w:rFonts w:hint="eastAsia" w:ascii="黑体" w:hAnsi="黑体" w:eastAsia="黑体" w:cs="黑体"/>
          <w:bCs/>
          <w:sz w:val="24"/>
        </w:rPr>
        <w:t>表11-1 裁判员执裁资格要求</w:t>
      </w:r>
    </w:p>
    <w:tbl>
      <w:tblPr>
        <w:tblStyle w:val="13"/>
        <w:tblW w:w="8647"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843"/>
        <w:gridCol w:w="1417"/>
        <w:gridCol w:w="2410"/>
        <w:gridCol w:w="141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trPr>
        <w:tc>
          <w:tcPr>
            <w:tcW w:w="851"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裁判员类型</w:t>
            </w:r>
          </w:p>
        </w:tc>
        <w:tc>
          <w:tcPr>
            <w:tcW w:w="1843"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专业技术方向</w:t>
            </w:r>
          </w:p>
        </w:tc>
        <w:tc>
          <w:tcPr>
            <w:tcW w:w="1417"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知识能力要求</w:t>
            </w:r>
          </w:p>
        </w:tc>
        <w:tc>
          <w:tcPr>
            <w:tcW w:w="2410"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执裁、教学、工作经历</w:t>
            </w:r>
          </w:p>
        </w:tc>
        <w:tc>
          <w:tcPr>
            <w:tcW w:w="1418"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专业技术职称（职业资格等级）</w:t>
            </w:r>
          </w:p>
        </w:tc>
        <w:tc>
          <w:tcPr>
            <w:tcW w:w="708"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裁判长</w:t>
            </w: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植物保护、作物生产技术、种子生产技术、家庭农场生产经营、园艺技术、林业生产技术、园林技术、园林绿化等专业病虫害防治方向</w:t>
            </w:r>
          </w:p>
        </w:tc>
        <w:tc>
          <w:tcPr>
            <w:tcW w:w="1417"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具备丰富的植物病虫害防治相关专业知识、熟悉操作技能，较强的协调能力</w:t>
            </w:r>
          </w:p>
        </w:tc>
        <w:tc>
          <w:tcPr>
            <w:tcW w:w="2410"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作为裁判长执裁省级以上本赛项2次或以上，从事植物保护、作物栽培与管理、园林植物栽培养护等相关教学管理、研究工作10年以上</w:t>
            </w:r>
          </w:p>
        </w:tc>
        <w:tc>
          <w:tcPr>
            <w:tcW w:w="1418"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副高或以上职称，或与本赛项相关的职业技能鉴定高级考评员</w:t>
            </w:r>
          </w:p>
        </w:tc>
        <w:tc>
          <w:tcPr>
            <w:tcW w:w="708"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vAlign w:val="center"/>
          </w:tcPr>
          <w:p>
            <w:pPr>
              <w:adjustRightInd w:val="0"/>
              <w:snapToGrid w:val="0"/>
              <w:jc w:val="center"/>
              <w:rPr>
                <w:rFonts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评分</w:t>
            </w:r>
            <w:r>
              <w:rPr>
                <w:rFonts w:ascii="Times New Roman" w:hAnsi="Times New Roman" w:eastAsia="仿宋_GB2312" w:cs="Times New Roman"/>
                <w:bCs/>
                <w:kern w:val="2"/>
                <w:sz w:val="24"/>
                <w:szCs w:val="24"/>
                <w:lang w:val="en-US" w:eastAsia="zh-CN" w:bidi="ar-SA"/>
              </w:rPr>
              <w:t>裁判员（评分裁判和现场裁判）</w:t>
            </w: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植物保护、作物生产技术、种子生产技术、家庭农场生产经营、园艺技术、林业生产技术、园林技术、园林绿化等专业病虫害防治方向</w:t>
            </w:r>
          </w:p>
        </w:tc>
        <w:tc>
          <w:tcPr>
            <w:tcW w:w="1417"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具备植物病虫害防治相关专业知识、熟悉操作技能</w:t>
            </w:r>
          </w:p>
        </w:tc>
        <w:tc>
          <w:tcPr>
            <w:tcW w:w="2410"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作为裁判员执裁省级以上本赛项1次以上，从事植物保护、作物栽培与管理、园林植物栽培养护等相关教学与研究工作5年以上</w:t>
            </w:r>
          </w:p>
        </w:tc>
        <w:tc>
          <w:tcPr>
            <w:tcW w:w="1418"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副高或以上职称，或与本赛项相关的职业技能鉴定</w:t>
            </w:r>
            <w:r>
              <w:rPr>
                <w:rFonts w:hint="eastAsia"/>
                <w:lang w:val="en-US" w:eastAsia="zh-CN"/>
              </w:rPr>
              <w:t>高级</w:t>
            </w:r>
            <w:r>
              <w:rPr>
                <w:rFonts w:ascii="Times New Roman" w:hAnsi="Times New Roman" w:eastAsia="仿宋_GB2312"/>
                <w:bCs/>
                <w:sz w:val="24"/>
              </w:rPr>
              <w:t>考评员</w:t>
            </w:r>
          </w:p>
        </w:tc>
        <w:tc>
          <w:tcPr>
            <w:tcW w:w="708" w:type="dxa"/>
            <w:vAlign w:val="center"/>
          </w:tcPr>
          <w:p>
            <w:pPr>
              <w:adjustRightInd w:val="0"/>
              <w:snapToGrid w:val="0"/>
              <w:jc w:val="center"/>
              <w:rPr>
                <w:rFonts w:hint="default" w:ascii="Times New Roman" w:hAnsi="Times New Roman" w:eastAsia="仿宋_GB2312"/>
                <w:bCs/>
                <w:sz w:val="24"/>
                <w:lang w:val="en-US" w:eastAsia="zh-CN"/>
              </w:rPr>
            </w:pPr>
            <w:r>
              <w:rPr>
                <w:rFonts w:hint="eastAsia" w:ascii="Times New Roman" w:hAnsi="Times New Roman" w:eastAsia="仿宋_GB2312"/>
                <w:bCs/>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1" w:type="dxa"/>
            <w:vAlign w:val="center"/>
          </w:tcPr>
          <w:p>
            <w:pPr>
              <w:adjustRightInd w:val="0"/>
              <w:snapToGrid w:val="0"/>
              <w:jc w:val="center"/>
              <w:rPr>
                <w:rFonts w:hint="eastAsia" w:ascii="Times New Roman" w:hAnsi="Times New Roman" w:eastAsia="仿宋_GB2312" w:cs="Times New Roman"/>
                <w:bCs/>
                <w:kern w:val="2"/>
                <w:sz w:val="24"/>
                <w:szCs w:val="24"/>
                <w:lang w:val="en-US" w:eastAsia="zh-CN" w:bidi="ar-SA"/>
              </w:rPr>
            </w:pPr>
            <w:r>
              <w:rPr>
                <w:rFonts w:hint="eastAsia" w:ascii="Times New Roman" w:hAnsi="Times New Roman" w:eastAsia="仿宋_GB2312" w:cs="Times New Roman"/>
                <w:bCs/>
                <w:kern w:val="2"/>
                <w:sz w:val="24"/>
                <w:szCs w:val="24"/>
                <w:lang w:val="en-US" w:eastAsia="zh-CN" w:bidi="ar-SA"/>
              </w:rPr>
              <w:t>现场裁判员、</w:t>
            </w:r>
            <w:r>
              <w:rPr>
                <w:rFonts w:ascii="Times New Roman" w:hAnsi="Times New Roman" w:eastAsia="仿宋_GB2312" w:cs="Times New Roman"/>
                <w:bCs/>
                <w:kern w:val="2"/>
                <w:sz w:val="24"/>
                <w:szCs w:val="24"/>
                <w:lang w:val="en-US" w:eastAsia="zh-CN" w:bidi="ar-SA"/>
              </w:rPr>
              <w:t>加密裁判</w:t>
            </w:r>
            <w:r>
              <w:rPr>
                <w:rFonts w:hint="eastAsia" w:ascii="Times New Roman" w:hAnsi="Times New Roman" w:eastAsia="仿宋_GB2312" w:cs="Times New Roman"/>
                <w:bCs/>
                <w:kern w:val="2"/>
                <w:sz w:val="24"/>
                <w:szCs w:val="24"/>
                <w:lang w:val="en-US" w:eastAsia="zh-CN" w:bidi="ar-SA"/>
              </w:rPr>
              <w:t>员</w:t>
            </w: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专业不限</w:t>
            </w:r>
          </w:p>
        </w:tc>
        <w:tc>
          <w:tcPr>
            <w:tcW w:w="1417"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具有较强的组织、协调能力</w:t>
            </w:r>
          </w:p>
        </w:tc>
        <w:tc>
          <w:tcPr>
            <w:tcW w:w="2410"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作为加密裁判执裁省级以上本赛项1次以上</w:t>
            </w:r>
          </w:p>
        </w:tc>
        <w:tc>
          <w:tcPr>
            <w:tcW w:w="1418"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t>具有中级以上职称或相应职业资格</w:t>
            </w:r>
          </w:p>
        </w:tc>
        <w:tc>
          <w:tcPr>
            <w:tcW w:w="708" w:type="dxa"/>
            <w:vAlign w:val="center"/>
          </w:tcPr>
          <w:p>
            <w:pPr>
              <w:adjustRightInd w:val="0"/>
              <w:snapToGrid w:val="0"/>
              <w:jc w:val="center"/>
              <w:rPr>
                <w:rFonts w:hint="eastAsia" w:ascii="Times New Roman" w:hAnsi="Times New Roman" w:eastAsia="仿宋_GB2312"/>
                <w:bCs/>
                <w:sz w:val="24"/>
                <w:lang w:eastAsia="zh-CN"/>
              </w:rPr>
            </w:pPr>
            <w:r>
              <w:rPr>
                <w:rFonts w:hint="eastAsia" w:ascii="Times New Roman" w:hAnsi="Times New Roman" w:eastAsia="仿宋_GB2312"/>
                <w:bCs/>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851" w:type="dxa"/>
            <w:vAlign w:val="center"/>
          </w:tcPr>
          <w:p>
            <w:pPr>
              <w:adjustRightInd w:val="0"/>
              <w:snapToGrid w:val="0"/>
              <w:jc w:val="center"/>
              <w:rPr>
                <w:rFonts w:ascii="Times New Roman" w:hAnsi="Times New Roman" w:eastAsia="仿宋_GB2312" w:cs="Times New Roman"/>
                <w:bCs/>
                <w:kern w:val="2"/>
                <w:sz w:val="24"/>
                <w:szCs w:val="24"/>
                <w:lang w:val="en-US" w:eastAsia="zh-CN" w:bidi="ar-SA"/>
              </w:rPr>
            </w:pPr>
            <w:r>
              <w:rPr>
                <w:rFonts w:ascii="Times New Roman" w:hAnsi="Times New Roman" w:eastAsia="仿宋_GB2312" w:cs="Times New Roman"/>
                <w:bCs/>
                <w:kern w:val="2"/>
                <w:sz w:val="24"/>
                <w:szCs w:val="24"/>
                <w:lang w:val="en-US" w:eastAsia="zh-CN" w:bidi="ar-SA"/>
              </w:rPr>
              <w:t>裁判总人数</w:t>
            </w:r>
          </w:p>
        </w:tc>
        <w:tc>
          <w:tcPr>
            <w:tcW w:w="7796" w:type="dxa"/>
            <w:gridSpan w:val="5"/>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16</w:t>
            </w:r>
          </w:p>
        </w:tc>
      </w:tr>
    </w:tbl>
    <w:p>
      <w:pPr>
        <w:adjustRightInd w:val="0"/>
        <w:snapToGrid w:val="0"/>
        <w:spacing w:line="360" w:lineRule="auto"/>
        <w:jc w:val="left"/>
        <w:rPr>
          <w:rFonts w:ascii="Times New Roman" w:hAnsi="Times New Roman" w:eastAsia="仿宋_GB2312"/>
          <w:bCs/>
          <w:sz w:val="28"/>
          <w:szCs w:val="28"/>
        </w:rPr>
      </w:pPr>
    </w:p>
    <w:p>
      <w:pPr>
        <w:pStyle w:val="5"/>
        <w:ind w:firstLine="561"/>
      </w:pPr>
      <w:r>
        <w:t>2.裁判评分方法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根据评分标准，采取过程评分和操作结</w:t>
      </w:r>
      <w:r>
        <w:rPr>
          <w:rFonts w:ascii="Times New Roman" w:hAnsi="Times New Roman" w:eastAsia="仿宋_GB2312" w:cs="Times New Roman"/>
          <w:bCs/>
          <w:kern w:val="2"/>
          <w:sz w:val="28"/>
          <w:szCs w:val="28"/>
          <w:lang w:val="en-US" w:eastAsia="zh-CN" w:bidi="ar-SA"/>
        </w:rPr>
        <w:t>果</w:t>
      </w:r>
      <w:r>
        <w:rPr>
          <w:rFonts w:hint="eastAsia" w:ascii="Times New Roman" w:hAnsi="Times New Roman" w:eastAsia="仿宋_GB2312" w:cs="Times New Roman"/>
          <w:bCs/>
          <w:kern w:val="2"/>
          <w:sz w:val="28"/>
          <w:szCs w:val="28"/>
          <w:lang w:val="en-US" w:eastAsia="zh-CN" w:bidi="ar-SA"/>
        </w:rPr>
        <w:t>评分</w:t>
      </w:r>
      <w:r>
        <w:rPr>
          <w:rFonts w:ascii="Times New Roman" w:hAnsi="Times New Roman" w:eastAsia="仿宋_GB2312" w:cs="Times New Roman"/>
          <w:bCs/>
          <w:kern w:val="2"/>
          <w:sz w:val="28"/>
          <w:szCs w:val="28"/>
          <w:lang w:val="en-US" w:eastAsia="zh-CN" w:bidi="ar-SA"/>
        </w:rPr>
        <w:t>相</w:t>
      </w:r>
      <w:r>
        <w:rPr>
          <w:rFonts w:ascii="Times New Roman" w:hAnsi="Times New Roman" w:eastAsia="仿宋_GB2312"/>
          <w:bCs/>
          <w:sz w:val="28"/>
          <w:szCs w:val="28"/>
        </w:rPr>
        <w:t xml:space="preserve">结合的方式。评分裁判员分组由裁判长赛前半个小时抽签进行，每组评分裁判员4人。每组评分裁判员只需对本组选手8人的操作及结果打分。 </w:t>
      </w:r>
    </w:p>
    <w:p>
      <w:pPr>
        <w:pStyle w:val="5"/>
        <w:ind w:firstLine="561"/>
      </w:pPr>
      <w:r>
        <w:t>3.成绩评定</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为保证公开、公平、公正、透明地进行成绩评定，选手的</w:t>
      </w:r>
      <w:r>
        <w:rPr>
          <w:rFonts w:hint="eastAsia" w:ascii="Times New Roman" w:hAnsi="Times New Roman" w:eastAsia="仿宋_GB2312"/>
          <w:bCs/>
          <w:sz w:val="28"/>
          <w:szCs w:val="28"/>
        </w:rPr>
        <w:t>最终成绩为4位评分裁判员的现场评分的平均值。</w:t>
      </w:r>
    </w:p>
    <w:p>
      <w:pPr>
        <w:pStyle w:val="5"/>
        <w:ind w:firstLine="561"/>
      </w:pPr>
      <w:r>
        <w:t>4.成绩审核方法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首先各裁判员审核自身对选手的原始打分成绩，并签名；裁判长对所有裁判员的打分成绩进行审核，并签名。</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（二）成绩复核</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（三）成绩公布</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记分员将解密后的各参赛队竞赛成绩进行汇总制表，经裁判长</w:t>
      </w:r>
      <w:r>
        <w:rPr>
          <w:rFonts w:hint="eastAsia" w:ascii="Times New Roman" w:hAnsi="Times New Roman" w:eastAsia="仿宋_GB2312"/>
          <w:bCs/>
          <w:sz w:val="28"/>
          <w:szCs w:val="28"/>
          <w:lang w:val="en-US" w:eastAsia="zh-CN"/>
        </w:rPr>
        <w:t>和</w:t>
      </w:r>
      <w:r>
        <w:rPr>
          <w:rFonts w:hint="eastAsia" w:ascii="Times New Roman" w:hAnsi="Times New Roman" w:eastAsia="仿宋_GB2312" w:cs="Times New Roman"/>
          <w:bCs/>
          <w:kern w:val="2"/>
          <w:sz w:val="28"/>
          <w:szCs w:val="28"/>
          <w:lang w:val="en-US" w:eastAsia="zh-CN" w:bidi="ar-SA"/>
        </w:rPr>
        <w:t>和</w:t>
      </w:r>
      <w:r>
        <w:rPr>
          <w:rFonts w:ascii="Times New Roman" w:hAnsi="Times New Roman" w:eastAsia="仿宋_GB2312" w:cs="Times New Roman"/>
          <w:bCs/>
          <w:kern w:val="2"/>
          <w:sz w:val="28"/>
          <w:szCs w:val="28"/>
          <w:lang w:val="en-US" w:eastAsia="zh-CN" w:bidi="ar-SA"/>
        </w:rPr>
        <w:t>监</w:t>
      </w:r>
      <w:r>
        <w:rPr>
          <w:rFonts w:ascii="Times New Roman" w:hAnsi="Times New Roman" w:eastAsia="仿宋_GB2312"/>
          <w:bCs/>
          <w:sz w:val="28"/>
          <w:szCs w:val="28"/>
        </w:rPr>
        <w:t>督仲裁组签字后在指定地点</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以纸质形式向全体参赛队进行公布。公布2小时无异议后，将赛项总成绩的最终结果录入赛务管理系统，经裁判长、监督仲裁组长在导出成绩单上审核签字后，在闭赛式上宣布。</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（四）评分标准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竞赛评分由该项目裁判员统一评分，评分细则见表11-2至表11-4。</w:t>
      </w:r>
    </w:p>
    <w:p>
      <w:pPr>
        <w:adjustRightInd w:val="0"/>
        <w:snapToGrid w:val="0"/>
        <w:spacing w:line="360" w:lineRule="auto"/>
        <w:jc w:val="center"/>
        <w:rPr>
          <w:rFonts w:ascii="Times New Roman" w:hAnsi="Times New Roman" w:eastAsia="黑体"/>
          <w:bCs/>
          <w:sz w:val="24"/>
        </w:rPr>
      </w:pPr>
    </w:p>
    <w:p>
      <w:pPr>
        <w:adjustRightInd w:val="0"/>
        <w:snapToGrid w:val="0"/>
        <w:spacing w:line="360" w:lineRule="auto"/>
        <w:jc w:val="center"/>
        <w:rPr>
          <w:rFonts w:ascii="Times New Roman" w:hAnsi="Times New Roman" w:eastAsia="黑体"/>
          <w:bCs/>
          <w:sz w:val="24"/>
        </w:rPr>
      </w:pPr>
      <w:r>
        <w:rPr>
          <w:rFonts w:ascii="Times New Roman" w:hAnsi="Times New Roman" w:eastAsia="黑体"/>
          <w:bCs/>
          <w:sz w:val="24"/>
        </w:rPr>
        <w:t>表11-2 农作物病虫害识别评分标准</w:t>
      </w:r>
    </w:p>
    <w:tbl>
      <w:tblPr>
        <w:tblStyle w:val="13"/>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6"/>
        <w:gridCol w:w="1193"/>
        <w:gridCol w:w="2591"/>
        <w:gridCol w:w="719"/>
        <w:gridCol w:w="237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6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w:t>
            </w:r>
          </w:p>
          <w:p>
            <w:pPr>
              <w:adjustRightInd w:val="0"/>
              <w:snapToGrid w:val="0"/>
              <w:jc w:val="center"/>
              <w:rPr>
                <w:rFonts w:ascii="Times New Roman" w:hAnsi="Times New Roman" w:eastAsia="仿宋_GB2312"/>
                <w:b/>
                <w:sz w:val="24"/>
              </w:rPr>
            </w:pPr>
            <w:r>
              <w:rPr>
                <w:rFonts w:ascii="Times New Roman" w:hAnsi="Times New Roman" w:eastAsia="仿宋_GB2312"/>
                <w:b/>
                <w:sz w:val="24"/>
              </w:rPr>
              <w:t>内容</w:t>
            </w:r>
          </w:p>
        </w:tc>
        <w:tc>
          <w:tcPr>
            <w:tcW w:w="1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考核标准</w:t>
            </w: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c>
          <w:tcPr>
            <w:tcW w:w="13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评分要求</w:t>
            </w: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6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病虫害</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图片识别</w:t>
            </w:r>
          </w:p>
        </w:tc>
        <w:tc>
          <w:tcPr>
            <w:tcW w:w="1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正确写出病虫害名称</w:t>
            </w: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40</w:t>
            </w:r>
          </w:p>
        </w:tc>
        <w:tc>
          <w:tcPr>
            <w:tcW w:w="13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识别错误一项扣8分</w:t>
            </w: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69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农药选择</w:t>
            </w:r>
          </w:p>
        </w:tc>
        <w:tc>
          <w:tcPr>
            <w:tcW w:w="150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正确写出农药名称</w:t>
            </w:r>
          </w:p>
        </w:tc>
        <w:tc>
          <w:tcPr>
            <w:tcW w:w="41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w:t>
            </w:r>
          </w:p>
        </w:tc>
        <w:tc>
          <w:tcPr>
            <w:tcW w:w="13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错误一项扣5分</w:t>
            </w: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3"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总分</w:t>
            </w:r>
          </w:p>
        </w:tc>
        <w:tc>
          <w:tcPr>
            <w:tcW w:w="41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Cs/>
                <w:sz w:val="24"/>
              </w:rPr>
            </w:pPr>
          </w:p>
        </w:tc>
      </w:tr>
    </w:tbl>
    <w:p>
      <w:pPr>
        <w:adjustRightInd w:val="0"/>
        <w:snapToGrid w:val="0"/>
        <w:spacing w:line="360" w:lineRule="auto"/>
        <w:rPr>
          <w:rFonts w:ascii="Times New Roman" w:hAnsi="Times New Roman" w:eastAsia="黑体"/>
          <w:bCs/>
          <w:sz w:val="24"/>
        </w:rPr>
      </w:pPr>
    </w:p>
    <w:p>
      <w:pPr>
        <w:adjustRightInd w:val="0"/>
        <w:snapToGrid w:val="0"/>
        <w:spacing w:line="360" w:lineRule="auto"/>
        <w:jc w:val="center"/>
        <w:rPr>
          <w:rFonts w:ascii="黑体" w:hAnsi="黑体" w:eastAsia="黑体" w:cs="黑体"/>
          <w:bCs/>
          <w:sz w:val="24"/>
        </w:rPr>
      </w:pPr>
      <w:r>
        <w:rPr>
          <w:rFonts w:hint="eastAsia" w:ascii="黑体" w:hAnsi="黑体" w:eastAsia="黑体" w:cs="黑体"/>
          <w:bCs/>
          <w:sz w:val="24"/>
        </w:rPr>
        <w:t>表11-3 标本制作</w:t>
      </w:r>
    </w:p>
    <w:tbl>
      <w:tblPr>
        <w:tblStyle w:val="13"/>
        <w:tblW w:w="8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
        <w:gridCol w:w="682"/>
        <w:gridCol w:w="10"/>
        <w:gridCol w:w="790"/>
        <w:gridCol w:w="10"/>
        <w:gridCol w:w="2539"/>
        <w:gridCol w:w="10"/>
        <w:gridCol w:w="697"/>
        <w:gridCol w:w="10"/>
        <w:gridCol w:w="3105"/>
        <w:gridCol w:w="10"/>
        <w:gridCol w:w="698"/>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801"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w:t>
            </w:r>
          </w:p>
          <w:p>
            <w:pPr>
              <w:adjustRightInd w:val="0"/>
              <w:snapToGrid w:val="0"/>
              <w:jc w:val="center"/>
              <w:rPr>
                <w:rFonts w:ascii="Times New Roman" w:hAnsi="Times New Roman" w:eastAsia="仿宋_GB2312"/>
                <w:b/>
                <w:sz w:val="24"/>
              </w:rPr>
            </w:pPr>
            <w:r>
              <w:rPr>
                <w:rFonts w:ascii="Times New Roman" w:hAnsi="Times New Roman" w:eastAsia="仿宋_GB2312"/>
                <w:b/>
                <w:sz w:val="24"/>
              </w:rPr>
              <w:t>内容</w:t>
            </w:r>
          </w:p>
        </w:tc>
        <w:tc>
          <w:tcPr>
            <w:tcW w:w="2552"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考核标准</w:t>
            </w:r>
          </w:p>
        </w:tc>
        <w:tc>
          <w:tcPr>
            <w:tcW w:w="708"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c>
          <w:tcPr>
            <w:tcW w:w="3119"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评分要求</w:t>
            </w:r>
          </w:p>
        </w:tc>
        <w:tc>
          <w:tcPr>
            <w:tcW w:w="709" w:type="dxa"/>
            <w:gridSpan w:val="2"/>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选针</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依据昆虫大小选择合适的昆虫针</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天牛选针错误，扣2分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凤蝶选针错误，扣2分</w:t>
            </w:r>
          </w:p>
        </w:tc>
        <w:tc>
          <w:tcPr>
            <w:tcW w:w="709" w:type="dxa"/>
            <w:gridSpan w:val="2"/>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插针</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依据昆虫类型确定插针位置</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天牛插针位置错误，扣2分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凤蝶插针位置错误，扣2分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3</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定高</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使用三级台定高</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天牛定高错误，扣2分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凤蝶定高错误，扣2分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整姿</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天牛触角向身体两侧伸展</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天牛前足向前</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天牛中足向两侧</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天牛后足向后</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119" w:type="dxa"/>
            <w:gridSpan w:val="2"/>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天牛触角伸展方向错误，扣3分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天牛前足伸展方向错误，扣3分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天牛中足伸展方向错误，扣3分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天牛后足伸展方向错误，扣3分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展翅</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hint="eastAsia" w:ascii="Times New Roman" w:hAnsi="Times New Roman" w:eastAsia="仿宋_GB2312"/>
                <w:bCs/>
                <w:sz w:val="24"/>
              </w:rPr>
              <w:t>插针后的凤蝶标本插放在</w:t>
            </w:r>
            <w:r>
              <w:rPr>
                <w:rFonts w:ascii="Times New Roman" w:hAnsi="Times New Roman" w:eastAsia="仿宋_GB2312"/>
                <w:bCs/>
                <w:sz w:val="24"/>
              </w:rPr>
              <w:t>展翅板凹槽内，虫体身体背面与展翅板两侧相平</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凤蝶前翅后缘与体躯纵轴垂直</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凤蝶前翅后缘压住后翅前缘</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w:t>
            </w:r>
            <w:r>
              <w:rPr>
                <w:rFonts w:hint="eastAsia" w:ascii="Times New Roman" w:hAnsi="Times New Roman" w:eastAsia="仿宋_GB2312"/>
                <w:bCs/>
                <w:sz w:val="24"/>
                <w:lang w:val="en-US" w:eastAsia="zh-CN"/>
              </w:rPr>
              <w:t>前</w:t>
            </w:r>
            <w:r>
              <w:rPr>
                <w:rFonts w:ascii="Times New Roman" w:hAnsi="Times New Roman" w:eastAsia="仿宋_GB2312"/>
                <w:bCs/>
                <w:sz w:val="24"/>
              </w:rPr>
              <w:t>后翅自然展平左右对称</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16</w:t>
            </w:r>
          </w:p>
        </w:tc>
        <w:tc>
          <w:tcPr>
            <w:tcW w:w="3119"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凤蝶虫体身体背面与展翅板两侧不平，扣2分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凤蝶前翅后缘未与体躯垂直，扣6分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凤蝶后翅基部未被前翅压住或压住过多，扣4分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凤蝶</w:t>
            </w:r>
            <w:r>
              <w:rPr>
                <w:rFonts w:hint="eastAsia" w:ascii="Times New Roman" w:hAnsi="Times New Roman" w:eastAsia="仿宋_GB2312"/>
                <w:bCs/>
                <w:sz w:val="24"/>
                <w:lang w:val="en-US" w:eastAsia="zh-CN"/>
              </w:rPr>
              <w:t>前</w:t>
            </w:r>
            <w:r>
              <w:rPr>
                <w:rFonts w:ascii="Times New Roman" w:hAnsi="Times New Roman" w:eastAsia="仿宋_GB2312"/>
                <w:bCs/>
                <w:sz w:val="24"/>
              </w:rPr>
              <w:t>后翅未充分展平，左右不对称，扣4分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trHeight w:val="550" w:hRule="atLeast"/>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6</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标本</w:t>
            </w:r>
          </w:p>
          <w:p>
            <w:pPr>
              <w:adjustRightInd w:val="0"/>
              <w:snapToGrid w:val="0"/>
              <w:jc w:val="center"/>
              <w:rPr>
                <w:rFonts w:ascii="Times New Roman" w:hAnsi="Times New Roman" w:eastAsia="仿宋_GB2312"/>
                <w:bCs/>
                <w:sz w:val="24"/>
              </w:rPr>
            </w:pPr>
            <w:r>
              <w:rPr>
                <w:rFonts w:ascii="Times New Roman" w:hAnsi="Times New Roman" w:eastAsia="仿宋_GB2312"/>
                <w:bCs/>
                <w:sz w:val="24"/>
              </w:rPr>
              <w:t>完成度</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规定时间内完成制作</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昆虫标本成品无破损</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6</w:t>
            </w:r>
          </w:p>
        </w:tc>
        <w:tc>
          <w:tcPr>
            <w:tcW w:w="3119" w:type="dxa"/>
            <w:gridSpan w:val="2"/>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标本成品不完整，扣3分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昆虫标本成品破损，扣3分</w:t>
            </w:r>
          </w:p>
        </w:tc>
        <w:tc>
          <w:tcPr>
            <w:tcW w:w="709" w:type="dxa"/>
            <w:gridSpan w:val="2"/>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0" w:type="dxa"/>
          <w:jc w:val="center"/>
        </w:trPr>
        <w:tc>
          <w:tcPr>
            <w:tcW w:w="693"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7</w:t>
            </w:r>
          </w:p>
        </w:tc>
        <w:tc>
          <w:tcPr>
            <w:tcW w:w="801"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整理台面</w:t>
            </w:r>
          </w:p>
        </w:tc>
        <w:tc>
          <w:tcPr>
            <w:tcW w:w="2552" w:type="dxa"/>
            <w:gridSpan w:val="2"/>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台面整洁</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制作工具归位</w:t>
            </w:r>
          </w:p>
        </w:tc>
        <w:tc>
          <w:tcPr>
            <w:tcW w:w="708"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3119" w:type="dxa"/>
            <w:gridSpan w:val="2"/>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台面不整洁，扣2分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制作工具凌乱，扣2分</w:t>
            </w:r>
          </w:p>
        </w:tc>
        <w:tc>
          <w:tcPr>
            <w:tcW w:w="709" w:type="dxa"/>
            <w:gridSpan w:val="2"/>
          </w:tcPr>
          <w:p>
            <w:pPr>
              <w:adjustRightInd w:val="0"/>
              <w:snapToGrid w:val="0"/>
              <w:jc w:val="center"/>
              <w:rPr>
                <w:rFonts w:ascii="Times New Roman" w:hAnsi="Times New Roman" w:eastAsia="仿宋_GB2312"/>
                <w:bCs/>
                <w:sz w:val="24"/>
              </w:rPr>
            </w:pPr>
          </w:p>
        </w:tc>
      </w:tr>
    </w:tbl>
    <w:p>
      <w:pPr>
        <w:adjustRightInd w:val="0"/>
        <w:snapToGrid w:val="0"/>
        <w:spacing w:line="360" w:lineRule="exact"/>
        <w:rPr>
          <w:rFonts w:ascii="Times New Roman" w:hAnsi="Times New Roman" w:eastAsia="仿宋"/>
          <w:b/>
          <w:sz w:val="22"/>
          <w:szCs w:val="22"/>
        </w:rPr>
      </w:pPr>
    </w:p>
    <w:p>
      <w:pPr>
        <w:adjustRightInd w:val="0"/>
        <w:snapToGrid w:val="0"/>
        <w:spacing w:line="360" w:lineRule="auto"/>
        <w:jc w:val="center"/>
        <w:rPr>
          <w:rFonts w:ascii="黑体" w:hAnsi="黑体" w:eastAsia="黑体" w:cs="黑体"/>
          <w:bCs/>
          <w:sz w:val="24"/>
        </w:rPr>
      </w:pPr>
      <w:r>
        <w:rPr>
          <w:rFonts w:hint="eastAsia" w:ascii="黑体" w:hAnsi="黑体" w:eastAsia="黑体" w:cs="黑体"/>
          <w:bCs/>
          <w:sz w:val="24"/>
        </w:rPr>
        <w:t>表11-4 农药的配制</w:t>
      </w:r>
    </w:p>
    <w:tbl>
      <w:tblPr>
        <w:tblStyle w:val="13"/>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3"/>
        <w:gridCol w:w="1021"/>
        <w:gridCol w:w="2409"/>
        <w:gridCol w:w="709"/>
        <w:gridCol w:w="3069"/>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序号</w:t>
            </w:r>
          </w:p>
        </w:tc>
        <w:tc>
          <w:tcPr>
            <w:tcW w:w="1021"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考核内容</w:t>
            </w:r>
          </w:p>
        </w:tc>
        <w:tc>
          <w:tcPr>
            <w:tcW w:w="2409"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考核标准</w:t>
            </w:r>
          </w:p>
        </w:tc>
        <w:tc>
          <w:tcPr>
            <w:tcW w:w="709"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分值</w:t>
            </w:r>
          </w:p>
        </w:tc>
        <w:tc>
          <w:tcPr>
            <w:tcW w:w="3069"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评分要求</w:t>
            </w:r>
          </w:p>
        </w:tc>
        <w:tc>
          <w:tcPr>
            <w:tcW w:w="712" w:type="dxa"/>
          </w:tcPr>
          <w:p>
            <w:pPr>
              <w:adjustRightInd w:val="0"/>
              <w:snapToGrid w:val="0"/>
              <w:jc w:val="center"/>
              <w:rPr>
                <w:rFonts w:ascii="Times New Roman" w:hAnsi="Times New Roman" w:eastAsia="仿宋_GB2312"/>
                <w:b/>
                <w:sz w:val="24"/>
              </w:rPr>
            </w:pPr>
            <w:r>
              <w:rPr>
                <w:rFonts w:ascii="Times New Roman" w:hAnsi="Times New Roman" w:eastAsia="仿宋_GB2312"/>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021"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配药计算</w:t>
            </w: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00A3"/>
            </w:r>
            <w:r>
              <w:rPr>
                <w:rFonts w:ascii="Times New Roman" w:hAnsi="Times New Roman" w:eastAsia="仿宋_GB2312"/>
                <w:bCs/>
                <w:sz w:val="24"/>
              </w:rPr>
              <w:t>正确计算农药制剂量（3个）</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计算错误1个制剂扣4分，合计12分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69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1021"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配制方法</w:t>
            </w:r>
          </w:p>
        </w:tc>
        <w:tc>
          <w:tcPr>
            <w:tcW w:w="240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按照要求进行二次稀释配制一级稀释液（3个）</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未按要求进行二次稀释，错误1个制剂扣4分，合计12分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3</w:t>
            </w:r>
          </w:p>
        </w:tc>
        <w:tc>
          <w:tcPr>
            <w:tcW w:w="1021"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混配顺序</w:t>
            </w:r>
          </w:p>
        </w:tc>
        <w:tc>
          <w:tcPr>
            <w:tcW w:w="240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按照可湿性粉剂、水分散粒剂、悬浮剂、乳油顺序混配至配药桶中</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未按顺序要求混配，1个顺序错误扣4分，合计12分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4</w:t>
            </w:r>
          </w:p>
        </w:tc>
        <w:tc>
          <w:tcPr>
            <w:tcW w:w="1021"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细节严谨</w:t>
            </w: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配药过程中称量正确，包括天平开机、称量、关机等</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12</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开机前未清扫称量盘，扣2分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开机后未自检，直接称量，扣2分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称量纸未放置在天平盘中央，扣2分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未使用去皮键，除皮清零，扣2分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加入样品时，操作不规范有撒落，扣2分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未清零关闭天平，扣2分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tcPr>
          <w:p>
            <w:pPr>
              <w:adjustRightInd w:val="0"/>
              <w:snapToGrid w:val="0"/>
              <w:jc w:val="center"/>
              <w:rPr>
                <w:rFonts w:ascii="Times New Roman" w:hAnsi="Times New Roman" w:eastAsia="仿宋_GB2312"/>
                <w:bCs/>
                <w:sz w:val="24"/>
              </w:rPr>
            </w:pPr>
          </w:p>
        </w:tc>
        <w:tc>
          <w:tcPr>
            <w:tcW w:w="1021" w:type="dxa"/>
            <w:vMerge w:val="continue"/>
          </w:tcPr>
          <w:p>
            <w:pPr>
              <w:adjustRightInd w:val="0"/>
              <w:snapToGrid w:val="0"/>
              <w:jc w:val="center"/>
              <w:rPr>
                <w:rFonts w:ascii="Times New Roman" w:hAnsi="Times New Roman" w:eastAsia="仿宋_GB2312"/>
                <w:bCs/>
                <w:sz w:val="24"/>
              </w:rPr>
            </w:pP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配药过程中量取正确，包括移液管的选择、检查等，移液管使用手法、清洗、润洗、取液；吸、擦、调等，放液。</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24</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根据所移溶液的体积，选择合适的移液管，选错扣4分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润洗2-3次，操作方法错误扣4分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吸取溶液，手法不正确，触底，有气泡，扣4分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没有擦去移液管外壁溶液，扣2分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移液时视线没有与液面平视，扣4分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放液，烧杯倾斜不呈45度，移液管不与地面垂直，停留不足15S，各扣2分，合计6分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Merge w:val="continue"/>
          </w:tcPr>
          <w:p>
            <w:pPr>
              <w:adjustRightInd w:val="0"/>
              <w:snapToGrid w:val="0"/>
              <w:jc w:val="center"/>
              <w:rPr>
                <w:rFonts w:ascii="Times New Roman" w:hAnsi="Times New Roman" w:eastAsia="仿宋_GB2312"/>
                <w:bCs/>
                <w:sz w:val="24"/>
              </w:rPr>
            </w:pPr>
          </w:p>
        </w:tc>
        <w:tc>
          <w:tcPr>
            <w:tcW w:w="1021" w:type="dxa"/>
            <w:vMerge w:val="continue"/>
          </w:tcPr>
          <w:p>
            <w:pPr>
              <w:adjustRightInd w:val="0"/>
              <w:snapToGrid w:val="0"/>
              <w:jc w:val="center"/>
              <w:rPr>
                <w:rFonts w:ascii="Times New Roman" w:hAnsi="Times New Roman" w:eastAsia="仿宋_GB2312"/>
                <w:bCs/>
                <w:sz w:val="24"/>
              </w:rPr>
            </w:pP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器具清洗到位</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残液处理正确</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加水加药流程合理</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18</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未在配药桶中先行加入清水，扣2分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未按要求在烧杯中先行加入清水，每次扣2分，合计6分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烧杯未进行清洗，每次扣2分，合计6分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废液处理不得当，未倒在指定位置，扣2分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操作过程中物品摆放无序，台面不整洁、仪器没有清洗归位，扣2分</w:t>
            </w:r>
          </w:p>
        </w:tc>
        <w:tc>
          <w:tcPr>
            <w:tcW w:w="712" w:type="dxa"/>
            <w:vAlign w:val="center"/>
          </w:tcPr>
          <w:p>
            <w:pPr>
              <w:adjustRightInd w:val="0"/>
              <w:snapToGrid w:val="0"/>
              <w:jc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w:t>
            </w:r>
          </w:p>
        </w:tc>
        <w:tc>
          <w:tcPr>
            <w:tcW w:w="1021"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安全防护</w:t>
            </w:r>
          </w:p>
        </w:tc>
        <w:tc>
          <w:tcPr>
            <w:tcW w:w="2409" w:type="dxa"/>
            <w:vAlign w:val="center"/>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配药过程中做好个人防护</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配制结束后洗手</w:t>
            </w:r>
          </w:p>
        </w:tc>
        <w:tc>
          <w:tcPr>
            <w:tcW w:w="709"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w:t>
            </w:r>
          </w:p>
        </w:tc>
        <w:tc>
          <w:tcPr>
            <w:tcW w:w="3069" w:type="dxa"/>
          </w:tcPr>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未穿防护服，扣5分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未戴一次性手套，扣2分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未戴一次性口罩，扣2分</w:t>
            </w:r>
          </w:p>
          <w:p>
            <w:pPr>
              <w:adjustRightInd w:val="0"/>
              <w:snapToGrid w:val="0"/>
              <w:jc w:val="left"/>
              <w:rPr>
                <w:rFonts w:ascii="Times New Roman" w:hAnsi="Times New Roman" w:eastAsia="仿宋_GB2312"/>
                <w:bCs/>
                <w:sz w:val="24"/>
              </w:rPr>
            </w:pPr>
            <w:r>
              <w:rPr>
                <w:rFonts w:ascii="Times New Roman" w:hAnsi="Times New Roman" w:eastAsia="仿宋_GB2312"/>
                <w:bCs/>
                <w:sz w:val="24"/>
              </w:rPr>
              <w:sym w:font="Wingdings 2" w:char="F0A3"/>
            </w:r>
            <w:r>
              <w:rPr>
                <w:rFonts w:ascii="Times New Roman" w:hAnsi="Times New Roman" w:eastAsia="仿宋_GB2312"/>
                <w:bCs/>
                <w:sz w:val="24"/>
              </w:rPr>
              <w:t>配制结束后未洗手，扣1分</w:t>
            </w:r>
          </w:p>
        </w:tc>
        <w:tc>
          <w:tcPr>
            <w:tcW w:w="712" w:type="dxa"/>
            <w:vAlign w:val="center"/>
          </w:tcPr>
          <w:p>
            <w:pPr>
              <w:adjustRightInd w:val="0"/>
              <w:snapToGrid w:val="0"/>
              <w:jc w:val="center"/>
              <w:rPr>
                <w:rFonts w:ascii="Times New Roman" w:hAnsi="Times New Roman" w:eastAsia="仿宋_GB2312"/>
                <w:bCs/>
                <w:sz w:val="24"/>
              </w:rPr>
            </w:pPr>
          </w:p>
        </w:tc>
      </w:tr>
    </w:tbl>
    <w:p>
      <w:pPr>
        <w:pStyle w:val="3"/>
        <w:numPr>
          <w:ilvl w:val="0"/>
          <w:numId w:val="1"/>
        </w:numPr>
        <w:spacing w:before="156" w:after="156"/>
      </w:pPr>
      <w:r>
        <w:t>奖项设置</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本赛项设一、二、三等奖。以实际参赛选手总数为基数，一、二、三等奖获奖比例分别为10%、20%、30%（小数点后四舍五入）。</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如出现总成绩并列情况，以农药得配制成绩高者优先；若依然并列，以病虫害识别与标本制作高者优先。</w:t>
      </w:r>
    </w:p>
    <w:p>
      <w:pPr>
        <w:pStyle w:val="3"/>
        <w:numPr>
          <w:ilvl w:val="0"/>
          <w:numId w:val="1"/>
        </w:numPr>
        <w:spacing w:before="156" w:after="156"/>
      </w:pPr>
      <w:r>
        <w:t>赛项预案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为防范竞赛时安全事故、材料准备等事故发生，维护正常的竞赛秩序，保证大赛按时、安全、有序完成，制定以下赛场应急预案。</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（一）仪器设备毁坏事件应急预案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每场竞赛现场准备2套完整的天平、量筒等仪器设备的备用工位，应对</w:t>
      </w:r>
      <w:r>
        <w:rPr>
          <w:rFonts w:hint="eastAsia" w:ascii="Times New Roman" w:hAnsi="Times New Roman" w:eastAsia="仿宋_GB2312"/>
          <w:bCs/>
          <w:sz w:val="28"/>
          <w:szCs w:val="28"/>
          <w:lang w:val="en-US" w:eastAsia="zh-CN"/>
        </w:rPr>
        <w:t>比赛</w:t>
      </w:r>
      <w:r>
        <w:rPr>
          <w:rFonts w:ascii="Times New Roman" w:hAnsi="Times New Roman" w:eastAsia="仿宋_GB2312"/>
          <w:bCs/>
          <w:sz w:val="28"/>
          <w:szCs w:val="28"/>
        </w:rPr>
        <w:t>工位设备出现意外，同时，在专家室备用一套完整仪器设备。</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（二）突发中毒、受伤等医疗服务应急预案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由于植物病虫害防治竞赛需要使用农药等，加上竞赛紧张，竞赛中可能出现农药中毒、头晕、恶心、呕吐、出血等各种意外，配备现场医疗服务队，轻者在现场进行处理，重者转移至裁判工作室进行处理，严重者送往医院救治。</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（三）突发临时水电事件应急预案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如竞赛时突发停水、停电，安全工作组维持秩序的同时，积极调配专业电工，查明停电原因，采取相应措施。同时，现场配有水桶、备用动力电，以备停水停电时使用。</w:t>
      </w:r>
    </w:p>
    <w:p>
      <w:pPr>
        <w:spacing w:line="600" w:lineRule="exact"/>
        <w:ind w:firstLine="562" w:firstLineChars="200"/>
        <w:rPr>
          <w:rFonts w:ascii="Times New Roman" w:hAnsi="Times New Roman" w:eastAsia="楷体"/>
          <w:b/>
          <w:bCs/>
          <w:sz w:val="28"/>
          <w:szCs w:val="32"/>
        </w:rPr>
      </w:pPr>
      <w:r>
        <w:rPr>
          <w:rFonts w:ascii="Times New Roman" w:hAnsi="Times New Roman" w:eastAsia="楷体"/>
          <w:b/>
          <w:bCs/>
          <w:sz w:val="28"/>
          <w:szCs w:val="32"/>
        </w:rPr>
        <w:t>（四）突发火灾事件应急预案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如发生火灾，及时通知现场负责人，组织人员疏散、切断电源，将易燃易爆物品及时转移到安全地段，同时组织人员使用适宜的灭火器材灭火。对轻伤人员</w:t>
      </w:r>
      <w:r>
        <w:rPr>
          <w:rFonts w:hint="eastAsia" w:ascii="Times New Roman" w:hAnsi="Times New Roman" w:eastAsia="仿宋_GB2312"/>
          <w:bCs/>
          <w:sz w:val="28"/>
          <w:szCs w:val="28"/>
          <w:lang w:val="en-US" w:eastAsia="zh-CN"/>
        </w:rPr>
        <w:t>由</w:t>
      </w:r>
      <w:r>
        <w:rPr>
          <w:rFonts w:ascii="Times New Roman" w:hAnsi="Times New Roman" w:eastAsia="仿宋_GB2312"/>
          <w:bCs/>
          <w:sz w:val="28"/>
          <w:szCs w:val="28"/>
        </w:rPr>
        <w:t>医疗人员进行处置，对重伤人员及时送往医院进行救治。</w:t>
      </w:r>
    </w:p>
    <w:p>
      <w:pPr>
        <w:pStyle w:val="4"/>
        <w:ind w:firstLine="562"/>
        <w:rPr>
          <w:rFonts w:cs="Times New Roman"/>
        </w:rPr>
      </w:pPr>
      <w:r>
        <w:rPr>
          <w:rFonts w:cs="Times New Roman"/>
        </w:rPr>
        <w:t>（五）现场突发骚乱事件应急预案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竞赛中如出现争吵、打架等突发事件，赛项安保组应及时制止，将滋事扰乱人员带出场地。维持现场竞赛秩序，同时拨打110电话报警。</w:t>
      </w:r>
    </w:p>
    <w:p>
      <w:pPr>
        <w:pStyle w:val="3"/>
        <w:numPr>
          <w:ilvl w:val="0"/>
          <w:numId w:val="1"/>
        </w:numPr>
        <w:spacing w:before="156" w:after="156"/>
      </w:pPr>
      <w:r>
        <w:t>竞赛须知</w:t>
      </w:r>
    </w:p>
    <w:p>
      <w:pPr>
        <w:pStyle w:val="4"/>
        <w:ind w:firstLine="562"/>
        <w:rPr>
          <w:rFonts w:cs="Times New Roman"/>
        </w:rPr>
      </w:pPr>
      <w:r>
        <w:rPr>
          <w:rFonts w:cs="Times New Roman"/>
        </w:rPr>
        <w:t>（一）参赛队须知</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1.参赛队名称统一使用规定的地区代表队名称，不使用学校或其他组织、团体名称。每个省（直辖市、自治区或新疆生产建设兵团）可选派两个参赛队，参赛队名称用数字序号区分，例如**省一队，**省二队。</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2.参赛队员在报名获得审核确认后，原则上不再更换，如筹备过程中，队员因故不能参赛，按竞赛规则处理。允许队员缺席竞赛。</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3.参赛队按照大赛赛程安排，凭大赛组委会颁发的参赛证和有效身份证件参加竞赛及相关活动。</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w:t>
      </w:r>
      <w:r>
        <w:rPr>
          <w:rFonts w:hint="eastAsia" w:ascii="Times New Roman" w:hAnsi="Times New Roman" w:eastAsia="仿宋_GB2312"/>
          <w:bCs/>
          <w:sz w:val="28"/>
          <w:szCs w:val="28"/>
          <w:lang w:val="en-US" w:eastAsia="zh-CN"/>
        </w:rPr>
        <w:t>学</w:t>
      </w:r>
      <w:r>
        <w:rPr>
          <w:rFonts w:ascii="Times New Roman" w:hAnsi="Times New Roman" w:eastAsia="仿宋_GB2312"/>
          <w:bCs/>
          <w:sz w:val="28"/>
          <w:szCs w:val="28"/>
        </w:rPr>
        <w:t>院校须为参赛队员购买保险。</w:t>
      </w:r>
    </w:p>
    <w:p>
      <w:pPr>
        <w:pStyle w:val="4"/>
        <w:ind w:firstLine="562"/>
        <w:rPr>
          <w:rFonts w:cs="Times New Roman"/>
        </w:rPr>
      </w:pPr>
      <w:r>
        <w:rPr>
          <w:rFonts w:cs="Times New Roman"/>
        </w:rPr>
        <w:t>（二）指导教师须知</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1.各参赛代表队要发扬良好道德风尚，听从指挥，服从裁判，不弄虚作假。如发现弄虚作假者，取消参赛资格，名次无效。</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2.各代表队领队要坚决执行竞赛的各项规定，加强对参赛人员的管理，做好赛前准备工作，督促选手带好证件等竞赛相关材料。</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3.竞赛过程中，除参加当场次竞赛的选手、执行裁判员、现场工作人员和经批准的人员外，领队、指导教师及其他人员一律不得进入竞赛区域。</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4.参赛代表队若对竞赛过程有异议，在规定的时间内由领队向赛项仲裁工作组提出书面报告。</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5.对申诉的仲裁结果，领队要带头服从和执行，并做好选手工作。参赛选手不得因申诉或对处理意见不服而停止竞赛，否则以弃权处理。</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6.指导老师应及时查看大赛官方网页有关赛项的通知和事项，认真研究和掌握本赛项竞赛的规程、技术规范和赛场要求，指导选手做好赛前的一切技术准备和竞赛准备。</w:t>
      </w:r>
    </w:p>
    <w:p>
      <w:pPr>
        <w:pStyle w:val="4"/>
        <w:ind w:firstLine="562"/>
        <w:rPr>
          <w:rFonts w:cs="Times New Roman"/>
        </w:rPr>
      </w:pPr>
      <w:r>
        <w:rPr>
          <w:rFonts w:cs="Times New Roman"/>
        </w:rPr>
        <w:t>（三）参赛选手须知</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1.参赛选手应按有关要求如实填报个人信息，否则取消竞赛资格。</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2.参赛选手凭统一印制的参赛证和有效身份证件参加竞赛。</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3.参赛选手应认真学习领会本次竞赛相关文件，自觉遵守大赛纪律，服从指挥，听从安排，文明参赛。</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4.参赛选手请勿携带与竞赛无关的电子设备、通讯设备及其他资料与用品。</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5.参赛选手应在抽签前30</w:t>
      </w:r>
      <w:r>
        <w:rPr>
          <w:rFonts w:hint="eastAsia" w:ascii="Times New Roman" w:hAnsi="Times New Roman" w:eastAsia="仿宋_GB2312"/>
          <w:bCs/>
          <w:sz w:val="28"/>
          <w:szCs w:val="28"/>
          <w:lang w:val="en-US" w:eastAsia="zh-CN"/>
        </w:rPr>
        <w:t>分钟</w:t>
      </w:r>
      <w:r>
        <w:rPr>
          <w:rFonts w:ascii="Times New Roman" w:hAnsi="Times New Roman" w:eastAsia="仿宋_GB2312"/>
          <w:bCs/>
          <w:sz w:val="28"/>
          <w:szCs w:val="28"/>
        </w:rPr>
        <w:t>抵达赛场，凭参赛证、身份证件检录，按要求入场，不得迟到早退。</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6.参赛选手应按抽签结果在指定位置就坐。</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参赛选手须在确认竞赛内容和现场设备等无误后开始竞赛。在竞赛过程中，如有疑问，参赛选手应持“咨询”示意牌示意，项目裁判长应按照有关要求及时予以答疑。如遇设备或软件等故障，参赛选手应持“故障”示意牌示意，项目裁判长、技术人员等应及时予以解决。如遇身体不适，参赛选手应持“医务”示意牌示意，现场医务人员按应急预案救治。</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8.各参赛选手必须按规范要求操作竞赛设备。一旦出现较严重的安全事故，经裁判长批准后将立即取消其参赛资格。</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9.竞赛时间终了，选手应全体起立，结束操作。经现场指挥人员发出指令后，方可离开赛场。</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10.在竞赛期间，未经批准，参赛选手不得接受其他单位和个人进行的与竞赛内容相关的采访。参赛选手不得将竞赛的相关信息私自公布。</w:t>
      </w:r>
    </w:p>
    <w:p>
      <w:pPr>
        <w:pStyle w:val="4"/>
        <w:ind w:firstLine="562"/>
        <w:rPr>
          <w:rFonts w:cs="Times New Roman"/>
        </w:rPr>
      </w:pPr>
      <w:r>
        <w:rPr>
          <w:rFonts w:cs="Times New Roman"/>
        </w:rPr>
        <w:t>（四）工作人员须知</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1.大赛全体工作人员必须服从组委会统一指挥，认真履行职责，做好竞赛服务工作。</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2.全体工作人员要按分工准时到岗，尽职尽责做好份内各项工作，保证竞赛顺利进行。</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3.认真检查、核准证件，非参赛选手不准进入赛场。同时，要安排好领队、指导教师休息。</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4.竞赛出现技术问题（包括设备、器材等）时，应及时联系各项技术负责人，妥善处理；如需重新竞赛，须得到组委会同意后方可进行。</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5.如遇突发事件，要及时向组委会报告，同时做好疏导工作，避免重大事故发生，确保大赛圆满成功。</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6.要认真组织好参赛选手的赛前准备工作，遇有重大问题及时与组委会联系协商解决办法。</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7.各项竞赛的技术负责人，一定要坚守岗位，要对竞赛技术操作的全过程负责。</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8.工作人员不要在赛场内接听或拨打电话，负责现场的人员在竞赛期间一律关闭手机。</w:t>
      </w:r>
    </w:p>
    <w:p>
      <w:pPr>
        <w:pStyle w:val="3"/>
        <w:numPr>
          <w:ilvl w:val="0"/>
          <w:numId w:val="1"/>
        </w:numPr>
        <w:spacing w:before="156" w:after="156"/>
      </w:pPr>
      <w:r>
        <w:t>申诉与仲裁</w:t>
      </w:r>
    </w:p>
    <w:p>
      <w:pPr>
        <w:adjustRightInd w:val="0"/>
        <w:snapToGrid w:val="0"/>
        <w:spacing w:line="360" w:lineRule="auto"/>
        <w:ind w:firstLine="560" w:firstLineChars="200"/>
        <w:jc w:val="left"/>
        <w:rPr>
          <w:rFonts w:ascii="Times New Roman" w:hAnsi="Times New Roman" w:eastAsia="仿宋"/>
          <w:bCs/>
          <w:sz w:val="28"/>
          <w:szCs w:val="28"/>
        </w:rPr>
      </w:pPr>
      <w:r>
        <w:rPr>
          <w:rFonts w:ascii="Times New Roman" w:hAnsi="Times New Roman" w:eastAsia="仿宋_GB2312"/>
          <w:bCs/>
          <w:sz w:val="28"/>
          <w:szCs w:val="28"/>
        </w:rPr>
        <w:t>本赛项在竞赛过程中若出现有失公正或有关人员违规等现象，代表队领队可在竞赛结束后2小时之内向监督仲裁组提出书面申诉。书面申诉应对申诉事件的现象、发生时间、涉及人员、申诉依据等进行充分、实事求是的叙述，并由领队亲笔签名。非书面申诉不予受理。赛项监督仲裁组在接到申诉后的2小时内组织复议，并及时反馈复议结果。申诉方对复议结果仍有异议，可由省（市）领队向赛区仲裁委员会提出申诉。赛区仲裁委员会的仲裁结果为最终结果。</w:t>
      </w:r>
    </w:p>
    <w:p>
      <w:pPr>
        <w:pStyle w:val="3"/>
        <w:numPr>
          <w:ilvl w:val="0"/>
          <w:numId w:val="1"/>
        </w:numPr>
        <w:spacing w:before="156" w:after="156"/>
      </w:pPr>
      <w:r>
        <w:t>竞赛观摩</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赛场内设定观摩区域和参观路线，向媒体、企业代表、院校师生及家长等社会公众开放，不允许有大声喧哗等影响参赛选手竞赛的行为发生。指导教师不能进入赛场内指导，可以观摩。赛场外设立展览展示区域，设专人接待讲解。</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为保证大赛顺利进行，在观摩期间应遵循以下规则：</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1.除与竞赛直接有关的工作人员、裁判员、参赛选手外，其余人员均为观摩观众。</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2.请勿在选手准备或竞赛中交谈或欢呼；请勿对选手打手势，包括哑语沟通等明示、暗示行为，禁止鼓掌喝彩等发出声音的行为。</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3.请勿在观摩赛场地内使用相机、摄影机等一切对竞赛正常进行造成干扰的带有闪光灯及快门音的设备。</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4.不得违反全国职业院校技能大赛规定的各项纪律。请站在规划的观摩席或者安全线以外观看竞赛，并遵循赛场内工作人员和竞赛裁判人员的指挥，不得有围攻裁判员、选手或者其他工作人员的行为。</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5.请务必保持赛场清洁，</w:t>
      </w:r>
      <w:r>
        <w:rPr>
          <w:rFonts w:hint="eastAsia" w:ascii="Times New Roman" w:hAnsi="Times New Roman" w:eastAsia="仿宋_GB2312" w:cs="Times New Roman"/>
          <w:bCs/>
          <w:kern w:val="2"/>
          <w:sz w:val="28"/>
          <w:szCs w:val="28"/>
          <w:lang w:val="en-US" w:eastAsia="zh-CN" w:bidi="ar-SA"/>
        </w:rPr>
        <w:t>禁止吸烟，</w:t>
      </w:r>
      <w:r>
        <w:rPr>
          <w:rFonts w:ascii="Times New Roman" w:hAnsi="Times New Roman" w:eastAsia="仿宋_GB2312"/>
          <w:bCs/>
          <w:sz w:val="28"/>
          <w:szCs w:val="28"/>
        </w:rPr>
        <w:t>将饮料食品包装、烟头及其他杂物扔进垃圾箱。</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6.观摩期间，严重违纪者除本人被逐出观摩赛场地外，还将视情</w:t>
      </w:r>
      <w:r>
        <w:rPr>
          <w:rFonts w:hint="eastAsia" w:ascii="Times New Roman" w:hAnsi="Times New Roman" w:eastAsia="仿宋_GB2312"/>
          <w:bCs/>
          <w:sz w:val="28"/>
          <w:szCs w:val="28"/>
          <w:lang w:val="en-US" w:eastAsia="zh-CN"/>
        </w:rPr>
        <w:t>节</w:t>
      </w:r>
      <w:r>
        <w:rPr>
          <w:rFonts w:ascii="Times New Roman" w:hAnsi="Times New Roman" w:eastAsia="仿宋_GB2312"/>
          <w:bCs/>
          <w:sz w:val="28"/>
          <w:szCs w:val="28"/>
        </w:rPr>
        <w:t>严重程度对所在代表队的选手的成绩进行扣分直至取消竞赛资格。</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7.如果对裁判裁决产生质疑，通过各参赛队领队向赛项仲裁组提出，不得在竞赛现场发言。</w:t>
      </w:r>
    </w:p>
    <w:p>
      <w:pPr>
        <w:pStyle w:val="3"/>
        <w:numPr>
          <w:ilvl w:val="0"/>
          <w:numId w:val="1"/>
        </w:numPr>
        <w:spacing w:before="156" w:after="156"/>
      </w:pPr>
      <w:r>
        <w:t>竞赛直播</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1.赛场内部署无盲点录像设备，能实时录制并播送赛场情况；</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2.赛场外有大屏幕或投影，同步显示赛场内竞赛状况；</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3.条件允许时，可以进行网上直播。</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4.多机位拍摄开闭幕式，制作优秀选手采访、优秀指导教师采访、裁判专家点评和企业人士采访视频资料，突出赛项的技能重点与优势特色。为宣传、仲裁、资源转化提供全面的信息资料。</w:t>
      </w:r>
    </w:p>
    <w:p>
      <w:pPr>
        <w:pStyle w:val="3"/>
        <w:numPr>
          <w:ilvl w:val="0"/>
          <w:numId w:val="1"/>
        </w:numPr>
        <w:spacing w:before="156" w:after="156"/>
      </w:pPr>
      <w:r>
        <w:t>赛项成果</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根据赛项有关精神，按照大赛执委会的要求，完成“植物病虫害防治”赛项的相关资源转化。</w:t>
      </w:r>
    </w:p>
    <w:p>
      <w:pPr>
        <w:pStyle w:val="4"/>
        <w:ind w:firstLine="562"/>
        <w:rPr>
          <w:rFonts w:cs="Times New Roman"/>
        </w:rPr>
      </w:pPr>
      <w:r>
        <w:rPr>
          <w:rFonts w:cs="Times New Roman"/>
        </w:rPr>
        <w:t>（一）基本资源</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完成植物病虫害防治基本理论题库建设，完成技能介绍、技能要点、评价指标等技能概要材料，完成赛项宣传片、风采展示片等风采展示的制作。介绍在农业病虫害防治工作中正确的植物病虫害防治技术方法及应用效果，</w:t>
      </w:r>
      <w:r>
        <w:rPr>
          <w:rFonts w:hint="eastAsia" w:ascii="Times New Roman" w:hAnsi="Times New Roman" w:eastAsia="仿宋_GB2312"/>
          <w:bCs/>
          <w:sz w:val="28"/>
          <w:szCs w:val="28"/>
          <w:lang w:val="en-US" w:eastAsia="zh-CN"/>
        </w:rPr>
        <w:t>介绍</w:t>
      </w:r>
      <w:r>
        <w:rPr>
          <w:rFonts w:ascii="Times New Roman" w:hAnsi="Times New Roman" w:eastAsia="仿宋_GB2312"/>
          <w:bCs/>
          <w:sz w:val="28"/>
          <w:szCs w:val="28"/>
        </w:rPr>
        <w:t>常见植物病虫害识别</w:t>
      </w:r>
      <w:r>
        <w:rPr>
          <w:rFonts w:hint="eastAsia" w:ascii="Times New Roman" w:hAnsi="Times New Roman" w:eastAsia="仿宋_GB2312"/>
          <w:bCs/>
          <w:sz w:val="28"/>
          <w:szCs w:val="28"/>
          <w:lang w:eastAsia="zh-CN"/>
        </w:rPr>
        <w:t>、</w:t>
      </w:r>
      <w:r>
        <w:rPr>
          <w:rFonts w:ascii="Times New Roman" w:hAnsi="Times New Roman" w:eastAsia="仿宋_GB2312"/>
          <w:bCs/>
          <w:sz w:val="28"/>
          <w:szCs w:val="28"/>
        </w:rPr>
        <w:t>防治方案的制定，采用正确的方法进行防治作业以及防治效果检验等。完成植物病虫害防治技术的演示文稿、操作流程演示视频的制作。包括防治效果检验、操作技术要点等。完成植物病虫害防治教学方案制定，包括理论与实践教学方案。</w:t>
      </w:r>
    </w:p>
    <w:p>
      <w:pPr>
        <w:pStyle w:val="4"/>
        <w:ind w:firstLine="562"/>
        <w:rPr>
          <w:rFonts w:cs="Times New Roman"/>
        </w:rPr>
      </w:pPr>
      <w:r>
        <w:rPr>
          <w:rFonts w:cs="Times New Roman"/>
        </w:rPr>
        <w:t>（二）拓展资源</w:t>
      </w:r>
    </w:p>
    <w:p>
      <w:pPr>
        <w:spacing w:line="600" w:lineRule="exact"/>
        <w:ind w:firstLine="560" w:firstLineChars="200"/>
        <w:rPr>
          <w:rFonts w:ascii="Times New Roman" w:hAnsi="Times New Roman" w:eastAsia="仿宋_GB2312"/>
          <w:bCs/>
          <w:sz w:val="28"/>
          <w:szCs w:val="28"/>
        </w:rPr>
      </w:pPr>
      <w:r>
        <w:rPr>
          <w:rFonts w:ascii="Times New Roman" w:hAnsi="Times New Roman" w:eastAsia="仿宋_GB2312"/>
          <w:bCs/>
          <w:sz w:val="28"/>
          <w:szCs w:val="28"/>
        </w:rPr>
        <w:t>制定大赛设施与设备利用方案。邀请评委、裁判参与植物病虫害防治技术规程制定，完成案例库、素材资源和试题库的制作。对优秀选手和优秀指导教师进行采访，让他们谈谈对竞赛的总体认识情况、实训过程中的任务分工、具体措施、协调安排情况等内容，完成优秀选手、指导教师访谈，具体计划见表18-1。</w:t>
      </w:r>
    </w:p>
    <w:p>
      <w:pPr>
        <w:adjustRightInd w:val="0"/>
        <w:snapToGrid w:val="0"/>
        <w:spacing w:line="360" w:lineRule="auto"/>
        <w:jc w:val="left"/>
        <w:rPr>
          <w:rFonts w:ascii="Times New Roman" w:hAnsi="Times New Roman" w:eastAsia="仿宋"/>
          <w:bCs/>
          <w:sz w:val="28"/>
          <w:szCs w:val="28"/>
        </w:rPr>
      </w:pPr>
    </w:p>
    <w:p>
      <w:pPr>
        <w:adjustRightInd w:val="0"/>
        <w:snapToGrid w:val="0"/>
        <w:spacing w:line="360" w:lineRule="auto"/>
        <w:jc w:val="center"/>
        <w:rPr>
          <w:rFonts w:ascii="黑体" w:hAnsi="黑体" w:eastAsia="黑体" w:cs="黑体"/>
          <w:bCs/>
          <w:sz w:val="28"/>
          <w:szCs w:val="28"/>
        </w:rPr>
      </w:pPr>
      <w:r>
        <w:rPr>
          <w:rFonts w:hint="eastAsia" w:ascii="黑体" w:hAnsi="黑体" w:eastAsia="黑体" w:cs="黑体"/>
          <w:bCs/>
          <w:sz w:val="24"/>
        </w:rPr>
        <w:t>表18-1</w:t>
      </w:r>
      <w:r>
        <w:rPr>
          <w:rFonts w:hint="eastAsia" w:ascii="黑体" w:hAnsi="黑体" w:eastAsia="黑体" w:cs="黑体"/>
          <w:bCs/>
          <w:sz w:val="28"/>
          <w:szCs w:val="28"/>
        </w:rPr>
        <w:t xml:space="preserve"> </w:t>
      </w:r>
      <w:r>
        <w:rPr>
          <w:rFonts w:hint="eastAsia" w:ascii="黑体" w:hAnsi="黑体" w:eastAsia="黑体" w:cs="黑体"/>
          <w:b/>
          <w:sz w:val="24"/>
        </w:rPr>
        <w:t>赛项资源</w:t>
      </w:r>
    </w:p>
    <w:tbl>
      <w:tblPr>
        <w:tblStyle w:val="13"/>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134"/>
        <w:gridCol w:w="1843"/>
        <w:gridCol w:w="1276"/>
        <w:gridCol w:w="113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49" w:type="dxa"/>
            <w:gridSpan w:val="3"/>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主要内容</w:t>
            </w:r>
          </w:p>
        </w:tc>
        <w:tc>
          <w:tcPr>
            <w:tcW w:w="1276"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成果形式</w:t>
            </w:r>
          </w:p>
        </w:tc>
        <w:tc>
          <w:tcPr>
            <w:tcW w:w="1134"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目标数量</w:t>
            </w:r>
          </w:p>
        </w:tc>
        <w:tc>
          <w:tcPr>
            <w:tcW w:w="1276"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方法途径</w:t>
            </w:r>
          </w:p>
        </w:tc>
        <w:tc>
          <w:tcPr>
            <w:tcW w:w="1134" w:type="dxa"/>
            <w:vAlign w:val="center"/>
          </w:tcPr>
          <w:p>
            <w:pPr>
              <w:adjustRightInd w:val="0"/>
              <w:snapToGrid w:val="0"/>
              <w:jc w:val="center"/>
              <w:rPr>
                <w:rFonts w:ascii="Times New Roman" w:hAnsi="Times New Roman" w:eastAsia="仿宋_GB2312"/>
                <w:b/>
                <w:sz w:val="24"/>
              </w:rPr>
            </w:pPr>
            <w:r>
              <w:rPr>
                <w:rFonts w:ascii="Times New Roman" w:hAnsi="Times New Roman" w:eastAsia="仿宋_GB2312"/>
                <w:b/>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基本资源</w:t>
            </w:r>
          </w:p>
        </w:tc>
        <w:tc>
          <w:tcPr>
            <w:tcW w:w="1134"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风采展示</w:t>
            </w: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赛项宣传片</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视频</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15分钟</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1134" w:type="dxa"/>
            <w:vMerge w:val="continue"/>
            <w:vAlign w:val="center"/>
          </w:tcPr>
          <w:p>
            <w:pPr>
              <w:adjustRightInd w:val="0"/>
              <w:snapToGrid w:val="0"/>
              <w:jc w:val="center"/>
              <w:rPr>
                <w:rFonts w:ascii="Times New Roman" w:hAnsi="Times New Roman" w:eastAsia="仿宋_GB2312"/>
                <w:bCs/>
                <w:sz w:val="24"/>
              </w:rPr>
            </w:pP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风采展示片</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视频</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3</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10分钟</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1134"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技能概要</w:t>
            </w: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技能介绍</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演示文稿</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276" w:type="dxa"/>
            <w:vAlign w:val="center"/>
          </w:tcPr>
          <w:p>
            <w:pPr>
              <w:adjustRightInd w:val="0"/>
              <w:snapToGrid w:val="0"/>
              <w:jc w:val="center"/>
              <w:rPr>
                <w:rFonts w:ascii="Times New Roman" w:hAnsi="Times New Roman" w:eastAsia="仿宋_GB2312"/>
                <w:bCs/>
                <w:sz w:val="24"/>
              </w:rPr>
            </w:pP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1134" w:type="dxa"/>
            <w:vMerge w:val="continue"/>
            <w:vAlign w:val="center"/>
          </w:tcPr>
          <w:p>
            <w:pPr>
              <w:adjustRightInd w:val="0"/>
              <w:snapToGrid w:val="0"/>
              <w:jc w:val="center"/>
              <w:rPr>
                <w:rFonts w:ascii="Times New Roman" w:hAnsi="Times New Roman" w:eastAsia="仿宋_GB2312"/>
                <w:bCs/>
                <w:sz w:val="24"/>
              </w:rPr>
            </w:pP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技能要点</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Flash文件</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5分钟</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1134" w:type="dxa"/>
            <w:vMerge w:val="continue"/>
            <w:vAlign w:val="center"/>
          </w:tcPr>
          <w:p>
            <w:pPr>
              <w:adjustRightInd w:val="0"/>
              <w:snapToGrid w:val="0"/>
              <w:jc w:val="center"/>
              <w:rPr>
                <w:rFonts w:ascii="Times New Roman" w:hAnsi="Times New Roman" w:eastAsia="仿宋_GB2312"/>
                <w:bCs/>
                <w:sz w:val="24"/>
              </w:rPr>
            </w:pP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评价指标</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演示文稿</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276" w:type="dxa"/>
            <w:vAlign w:val="center"/>
          </w:tcPr>
          <w:p>
            <w:pPr>
              <w:adjustRightInd w:val="0"/>
              <w:snapToGrid w:val="0"/>
              <w:jc w:val="center"/>
              <w:rPr>
                <w:rFonts w:ascii="Times New Roman" w:hAnsi="Times New Roman" w:eastAsia="仿宋_GB2312"/>
                <w:bCs/>
                <w:sz w:val="24"/>
              </w:rPr>
            </w:pP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1134"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教学资源</w:t>
            </w: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技能训练指导书</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文档</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电子教材</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1134" w:type="dxa"/>
            <w:vMerge w:val="continue"/>
            <w:vAlign w:val="center"/>
          </w:tcPr>
          <w:p>
            <w:pPr>
              <w:adjustRightInd w:val="0"/>
              <w:snapToGrid w:val="0"/>
              <w:jc w:val="center"/>
              <w:rPr>
                <w:rFonts w:ascii="Times New Roman" w:hAnsi="Times New Roman" w:eastAsia="仿宋_GB2312"/>
                <w:bCs/>
                <w:sz w:val="24"/>
              </w:rPr>
            </w:pPr>
          </w:p>
        </w:tc>
        <w:tc>
          <w:tcPr>
            <w:tcW w:w="1843"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大赛作品集</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图形/图像</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电子教材</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restart"/>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拓展资源</w:t>
            </w:r>
          </w:p>
        </w:tc>
        <w:tc>
          <w:tcPr>
            <w:tcW w:w="2977"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案例库</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文档</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电子教材</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2977"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素材资源库</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图形/图像</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电子教材</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2977"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试题库</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文本</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电子教材</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2977"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专家点评</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视频</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2分钟</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2977"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优秀选手访谈</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视频</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10分钟</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Merge w:val="continue"/>
            <w:vAlign w:val="center"/>
          </w:tcPr>
          <w:p>
            <w:pPr>
              <w:adjustRightInd w:val="0"/>
              <w:snapToGrid w:val="0"/>
              <w:jc w:val="center"/>
              <w:rPr>
                <w:rFonts w:ascii="Times New Roman" w:hAnsi="Times New Roman" w:eastAsia="仿宋_GB2312"/>
                <w:bCs/>
                <w:sz w:val="24"/>
              </w:rPr>
            </w:pPr>
          </w:p>
        </w:tc>
        <w:tc>
          <w:tcPr>
            <w:tcW w:w="2977" w:type="dxa"/>
            <w:gridSpan w:val="2"/>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优秀指导教师访谈</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视频</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1</w:t>
            </w:r>
          </w:p>
        </w:tc>
        <w:tc>
          <w:tcPr>
            <w:tcW w:w="1276"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5分钟</w:t>
            </w:r>
          </w:p>
        </w:tc>
        <w:tc>
          <w:tcPr>
            <w:tcW w:w="1134" w:type="dxa"/>
            <w:vAlign w:val="center"/>
          </w:tcPr>
          <w:p>
            <w:pPr>
              <w:adjustRightInd w:val="0"/>
              <w:snapToGrid w:val="0"/>
              <w:jc w:val="center"/>
              <w:rPr>
                <w:rFonts w:ascii="Times New Roman" w:hAnsi="Times New Roman" w:eastAsia="仿宋_GB2312"/>
                <w:bCs/>
                <w:sz w:val="24"/>
              </w:rPr>
            </w:pPr>
            <w:r>
              <w:rPr>
                <w:rFonts w:ascii="Times New Roman" w:hAnsi="Times New Roman" w:eastAsia="仿宋_GB2312"/>
                <w:bCs/>
                <w:sz w:val="24"/>
              </w:rPr>
              <w:t>2023.8</w:t>
            </w:r>
          </w:p>
        </w:tc>
      </w:tr>
    </w:tbl>
    <w:p>
      <w:pPr>
        <w:adjustRightInd w:val="0"/>
        <w:snapToGrid w:val="0"/>
        <w:spacing w:line="360" w:lineRule="exact"/>
        <w:ind w:firstLine="480" w:firstLineChars="200"/>
        <w:jc w:val="left"/>
        <w:rPr>
          <w:rFonts w:ascii="Times New Roman" w:hAnsi="Times New Roman" w:eastAsia="仿宋"/>
          <w:bCs/>
          <w:sz w:val="24"/>
        </w:rPr>
      </w:pPr>
    </w:p>
    <w:p>
      <w:pPr>
        <w:adjustRightInd w:val="0"/>
        <w:snapToGrid w:val="0"/>
        <w:spacing w:line="360" w:lineRule="exact"/>
        <w:ind w:firstLine="480" w:firstLineChars="200"/>
        <w:jc w:val="left"/>
        <w:rPr>
          <w:rFonts w:ascii="Times New Roman" w:hAnsi="Times New Roman" w:eastAsia="仿宋"/>
          <w:bCs/>
          <w:sz w:val="24"/>
        </w:rPr>
      </w:pPr>
    </w:p>
    <w:p>
      <w:pPr>
        <w:rPr>
          <w:rFonts w:hint="default"/>
        </w:rPr>
      </w:pPr>
      <w:bookmarkStart w:id="0" w:name="_GoBack"/>
      <w:bookmarkEnd w:id="0"/>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56DDDE-DDD4-4311-8DA2-0349A56DB6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9C22156-8E66-48EB-8ED5-A2E85069A990}"/>
  </w:font>
  <w:font w:name="仿宋_GB2312">
    <w:panose1 w:val="02010609030101010101"/>
    <w:charset w:val="86"/>
    <w:family w:val="auto"/>
    <w:pitch w:val="default"/>
    <w:sig w:usb0="00000001" w:usb1="080E0000" w:usb2="00000000" w:usb3="00000000" w:csb0="00040000" w:csb1="00000000"/>
    <w:embedRegular r:id="rId3" w:fontKey="{69F7AD07-E93F-488A-AD3A-027D6E217BFD}"/>
  </w:font>
  <w:font w:name="楷体">
    <w:panose1 w:val="02010609060101010101"/>
    <w:charset w:val="86"/>
    <w:family w:val="auto"/>
    <w:pitch w:val="default"/>
    <w:sig w:usb0="800002BF" w:usb1="38CF7CFA" w:usb2="00000016" w:usb3="00000000" w:csb0="00040001" w:csb1="00000000"/>
    <w:embedRegular r:id="rId4" w:fontKey="{D4EFB25B-D195-469F-9E15-A6252111B8CD}"/>
  </w:font>
  <w:font w:name="方正小标宋简体">
    <w:panose1 w:val="02000000000000000000"/>
    <w:charset w:val="86"/>
    <w:family w:val="script"/>
    <w:pitch w:val="default"/>
    <w:sig w:usb0="A00002BF" w:usb1="184F6CFA" w:usb2="00000012" w:usb3="00000000" w:csb0="00040001" w:csb1="00000000"/>
    <w:embedRegular r:id="rId5" w:fontKey="{8B65946C-9A31-4290-8A31-92A3BDF1B992}"/>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5073A02E-890B-4489-B5F7-CC8ADB06CBF8}"/>
  </w:font>
  <w:font w:name="方正仿宋_GB2312">
    <w:altName w:val="仿宋"/>
    <w:panose1 w:val="02000000000000000000"/>
    <w:charset w:val="86"/>
    <w:family w:val="auto"/>
    <w:pitch w:val="default"/>
    <w:sig w:usb0="00000000" w:usb1="00000000" w:usb2="00000000" w:usb3="00000000" w:csb0="00000000" w:csb1="00000000"/>
    <w:embedRegular r:id="rId7" w:fontKey="{3627B61A-B37D-4C90-99F3-25123ED16630}"/>
  </w:font>
  <w:font w:name="Wingdings 2">
    <w:panose1 w:val="05020102010507070707"/>
    <w:charset w:val="02"/>
    <w:family w:val="roman"/>
    <w:pitch w:val="default"/>
    <w:sig w:usb0="00000000" w:usb1="00000000" w:usb2="00000000" w:usb3="00000000" w:csb0="80000000" w:csb1="00000000"/>
    <w:embedRegular r:id="rId8" w:fontKey="{A2197BE0-9C64-4D89-AD6E-DAEE9F4E60DF}"/>
  </w:font>
  <w:font w:name="微软雅黑">
    <w:panose1 w:val="020B0503020204020204"/>
    <w:charset w:val="86"/>
    <w:family w:val="swiss"/>
    <w:pitch w:val="default"/>
    <w:sig w:usb0="80000287" w:usb1="2ACF3C50" w:usb2="00000016" w:usb3="00000000" w:csb0="0004001F" w:csb1="00000000"/>
    <w:embedRegular r:id="rId9" w:fontKey="{EC1CE8F4-86C1-48FA-9FE2-1808C38E47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center"/>
                            <w:rPr>
                              <w:sz w:val="18"/>
                              <w:szCs w:val="18"/>
                            </w:rPr>
                          </w:pP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tabs>
                        <w:tab w:val="center" w:pos="4153"/>
                        <w:tab w:val="right" w:pos="8306"/>
                      </w:tabs>
                      <w:snapToGrid w:val="0"/>
                      <w:jc w:val="center"/>
                      <w:rPr>
                        <w:sz w:val="18"/>
                        <w:szCs w:val="18"/>
                      </w:rPr>
                    </w:pPr>
                    <w:r>
                      <w:rPr>
                        <w:rFonts w:ascii="Times New Roman" w:hAnsi="Times New Roman"/>
                        <w:sz w:val="28"/>
                        <w:szCs w:val="28"/>
                      </w:rPr>
                      <w:fldChar w:fldCharType="begin"/>
                    </w:r>
                    <w:r>
                      <w:rPr>
                        <w:rFonts w:ascii="Times New Roman" w:hAnsi="Times New Roman"/>
                        <w:sz w:val="28"/>
                        <w:szCs w:val="28"/>
                      </w:rPr>
                      <w:instrText xml:space="preserve">PAGE</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sz w:val="18"/>
                        <w:szCs w:val="18"/>
                        <w:lang w:val="zh-CN"/>
                      </w:rPr>
                      <w:t xml:space="preserve"> </w:t>
                    </w:r>
                  </w:p>
                  <w:p>
                    <w:pPr>
                      <w:rPr>
                        <w:rFonts w:ascii="微软雅黑" w:hAnsi="微软雅黑" w:eastAsia="微软雅黑" w:cs="微软雅黑"/>
                        <w:sz w:val="24"/>
                      </w:rPr>
                    </w:pPr>
                  </w:p>
                </w:txbxContent>
              </v:textbox>
            </v:shape>
          </w:pict>
        </mc:Fallback>
      </mc:AlternateContent>
    </w:r>
  </w:p>
  <w:p>
    <w:pPr>
      <w:tabs>
        <w:tab w:val="center" w:pos="4153"/>
        <w:tab w:val="right" w:pos="8306"/>
      </w:tabs>
      <w:snapToGrid w:val="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695FD"/>
    <w:multiLevelType w:val="singleLevel"/>
    <w:tmpl w:val="35E695FD"/>
    <w:lvl w:ilvl="0" w:tentative="0">
      <w:start w:val="5"/>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776610"/>
    <w:rsid w:val="00091BCA"/>
    <w:rsid w:val="00095952"/>
    <w:rsid w:val="000B4385"/>
    <w:rsid w:val="00112C95"/>
    <w:rsid w:val="00124B5F"/>
    <w:rsid w:val="00126C72"/>
    <w:rsid w:val="00141226"/>
    <w:rsid w:val="001A234A"/>
    <w:rsid w:val="001F74BB"/>
    <w:rsid w:val="002030AC"/>
    <w:rsid w:val="00210578"/>
    <w:rsid w:val="00237460"/>
    <w:rsid w:val="002474EB"/>
    <w:rsid w:val="0026352A"/>
    <w:rsid w:val="00274F6F"/>
    <w:rsid w:val="002A684B"/>
    <w:rsid w:val="002C099F"/>
    <w:rsid w:val="002D7A70"/>
    <w:rsid w:val="002F0FE1"/>
    <w:rsid w:val="00316BEB"/>
    <w:rsid w:val="00367648"/>
    <w:rsid w:val="0037687D"/>
    <w:rsid w:val="003C5575"/>
    <w:rsid w:val="003F7174"/>
    <w:rsid w:val="004A527B"/>
    <w:rsid w:val="004A6370"/>
    <w:rsid w:val="004D04C3"/>
    <w:rsid w:val="004D147B"/>
    <w:rsid w:val="004E4EC7"/>
    <w:rsid w:val="005075E5"/>
    <w:rsid w:val="00524585"/>
    <w:rsid w:val="00541D99"/>
    <w:rsid w:val="005C0EF1"/>
    <w:rsid w:val="005E37DE"/>
    <w:rsid w:val="00623FF6"/>
    <w:rsid w:val="00652C32"/>
    <w:rsid w:val="006B6D36"/>
    <w:rsid w:val="006F12B1"/>
    <w:rsid w:val="0073661D"/>
    <w:rsid w:val="007511DA"/>
    <w:rsid w:val="007614F4"/>
    <w:rsid w:val="00776610"/>
    <w:rsid w:val="0079392F"/>
    <w:rsid w:val="007D1A5D"/>
    <w:rsid w:val="007D653F"/>
    <w:rsid w:val="00821058"/>
    <w:rsid w:val="00901F4E"/>
    <w:rsid w:val="00943351"/>
    <w:rsid w:val="00976695"/>
    <w:rsid w:val="009A4E17"/>
    <w:rsid w:val="00A015A1"/>
    <w:rsid w:val="00A23627"/>
    <w:rsid w:val="00A719D9"/>
    <w:rsid w:val="00A8083C"/>
    <w:rsid w:val="00A81F3E"/>
    <w:rsid w:val="00AB32AA"/>
    <w:rsid w:val="00AF5D3E"/>
    <w:rsid w:val="00AF6027"/>
    <w:rsid w:val="00B1569F"/>
    <w:rsid w:val="00B3433A"/>
    <w:rsid w:val="00B4353E"/>
    <w:rsid w:val="00B47095"/>
    <w:rsid w:val="00BC24CF"/>
    <w:rsid w:val="00BF4FED"/>
    <w:rsid w:val="00C332AC"/>
    <w:rsid w:val="00C56186"/>
    <w:rsid w:val="00C61B39"/>
    <w:rsid w:val="00C72F19"/>
    <w:rsid w:val="00C975DC"/>
    <w:rsid w:val="00CC1757"/>
    <w:rsid w:val="00D11B35"/>
    <w:rsid w:val="00D90641"/>
    <w:rsid w:val="00DD06AA"/>
    <w:rsid w:val="00DD1676"/>
    <w:rsid w:val="00DD3B30"/>
    <w:rsid w:val="00DF0022"/>
    <w:rsid w:val="00E165E6"/>
    <w:rsid w:val="00E26CB9"/>
    <w:rsid w:val="00ED448C"/>
    <w:rsid w:val="00F35213"/>
    <w:rsid w:val="00F74923"/>
    <w:rsid w:val="00F82D42"/>
    <w:rsid w:val="00F85F8A"/>
    <w:rsid w:val="00F90B40"/>
    <w:rsid w:val="00F91836"/>
    <w:rsid w:val="00F96B9B"/>
    <w:rsid w:val="06F85F55"/>
    <w:rsid w:val="08B61D04"/>
    <w:rsid w:val="132906ED"/>
    <w:rsid w:val="135D2E40"/>
    <w:rsid w:val="135F7068"/>
    <w:rsid w:val="18206AC7"/>
    <w:rsid w:val="19121BF9"/>
    <w:rsid w:val="1F742EA4"/>
    <w:rsid w:val="20A41B57"/>
    <w:rsid w:val="22F340D5"/>
    <w:rsid w:val="2A23388A"/>
    <w:rsid w:val="303A4BE0"/>
    <w:rsid w:val="352651BA"/>
    <w:rsid w:val="3ACE3D24"/>
    <w:rsid w:val="3BAB68A3"/>
    <w:rsid w:val="41137875"/>
    <w:rsid w:val="42BB51EB"/>
    <w:rsid w:val="430D2CC1"/>
    <w:rsid w:val="44676B7D"/>
    <w:rsid w:val="48F13918"/>
    <w:rsid w:val="4C5E1247"/>
    <w:rsid w:val="52CF094C"/>
    <w:rsid w:val="554D5FF6"/>
    <w:rsid w:val="5E9521E9"/>
    <w:rsid w:val="5FB33816"/>
    <w:rsid w:val="61371BA7"/>
    <w:rsid w:val="62B75A5A"/>
    <w:rsid w:val="69CB51A1"/>
    <w:rsid w:val="6A1E6671"/>
    <w:rsid w:val="6A544CD5"/>
    <w:rsid w:val="6CE55CB0"/>
    <w:rsid w:val="70777E50"/>
    <w:rsid w:val="70F133F4"/>
    <w:rsid w:val="78F76886"/>
    <w:rsid w:val="7A614AAA"/>
    <w:rsid w:val="7C8B0BA1"/>
    <w:rsid w:val="7D5E27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spacing w:before="50" w:beforeLines="50" w:after="50" w:afterLines="50" w:line="600" w:lineRule="exact"/>
      <w:ind w:firstLine="0" w:firstLineChars="0"/>
      <w:jc w:val="both"/>
      <w:outlineLvl w:val="0"/>
    </w:pPr>
    <w:rPr>
      <w:rFonts w:ascii="Times New Roman" w:hAnsi="Times New Roman" w:eastAsia="黑体" w:cs="Times New Roman"/>
      <w:bCs/>
      <w:kern w:val="44"/>
      <w:sz w:val="32"/>
      <w:szCs w:val="44"/>
    </w:rPr>
  </w:style>
  <w:style w:type="paragraph" w:styleId="4">
    <w:name w:val="heading 2"/>
    <w:basedOn w:val="1"/>
    <w:next w:val="1"/>
    <w:unhideWhenUsed/>
    <w:qFormat/>
    <w:uiPriority w:val="0"/>
    <w:pPr>
      <w:keepNext w:val="0"/>
      <w:keepLines w:val="0"/>
      <w:spacing w:line="600" w:lineRule="exact"/>
      <w:ind w:firstLine="1440" w:firstLineChars="200"/>
      <w:outlineLvl w:val="1"/>
    </w:pPr>
    <w:rPr>
      <w:rFonts w:ascii="Times New Roman" w:hAnsi="Times New Roman" w:eastAsia="楷体" w:cstheme="majorBidi"/>
      <w:b/>
      <w:bCs/>
      <w:sz w:val="28"/>
      <w:szCs w:val="32"/>
    </w:rPr>
  </w:style>
  <w:style w:type="paragraph" w:styleId="5">
    <w:name w:val="heading 3"/>
    <w:basedOn w:val="1"/>
    <w:next w:val="1"/>
    <w:unhideWhenUsed/>
    <w:qFormat/>
    <w:uiPriority w:val="0"/>
    <w:pPr>
      <w:keepNext w:val="0"/>
      <w:keepLines w:val="0"/>
      <w:spacing w:line="600" w:lineRule="exact"/>
      <w:ind w:firstLine="1440" w:firstLineChars="200"/>
      <w:outlineLvl w:val="2"/>
    </w:pPr>
    <w:rPr>
      <w:rFonts w:ascii="Times New Roman" w:hAnsi="Times New Roman" w:eastAsia="仿宋_GB2312" w:cs="Times New Roman"/>
      <w:b/>
      <w:bCs/>
      <w:sz w:val="28"/>
      <w:szCs w:val="32"/>
    </w:rPr>
  </w:style>
  <w:style w:type="character" w:default="1" w:styleId="15">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annotation text"/>
    <w:basedOn w:val="1"/>
    <w:qFormat/>
    <w:uiPriority w:val="0"/>
    <w:pPr>
      <w:jc w:val="left"/>
    </w:pPr>
  </w:style>
  <w:style w:type="paragraph" w:styleId="7">
    <w:name w:val="Body Text Indent"/>
    <w:basedOn w:val="1"/>
    <w:link w:val="20"/>
    <w:uiPriority w:val="0"/>
    <w:pPr>
      <w:spacing w:after="120"/>
      <w:ind w:left="420" w:leftChars="200"/>
    </w:pPr>
  </w:style>
  <w:style w:type="paragraph" w:styleId="8">
    <w:name w:val="Balloon Text"/>
    <w:basedOn w:val="1"/>
    <w:link w:val="23"/>
    <w:unhideWhenUsed/>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sz w:val="24"/>
      <w:szCs w:val="22"/>
    </w:rPr>
  </w:style>
  <w:style w:type="paragraph" w:styleId="12">
    <w:name w:val="Body Text First Indent 2"/>
    <w:basedOn w:val="7"/>
    <w:link w:val="25"/>
    <w:unhideWhenUsed/>
    <w:qFormat/>
    <w:uiPriority w:val="99"/>
    <w:pPr>
      <w:autoSpaceDE w:val="0"/>
      <w:autoSpaceDN w:val="0"/>
      <w:ind w:firstLine="420" w:firstLineChars="200"/>
      <w:jc w:val="left"/>
    </w:pPr>
    <w:rPr>
      <w:rFonts w:ascii="仿宋" w:hAnsi="仿宋" w:eastAsia="仿宋" w:cs="仿宋"/>
      <w:kern w:val="0"/>
      <w:sz w:val="22"/>
      <w:szCs w:val="22"/>
      <w:lang w:val="zh-CN" w:bidi="zh-CN"/>
    </w:rPr>
  </w:style>
  <w:style w:type="table" w:styleId="14">
    <w:name w:val="Table Grid"/>
    <w:qFormat/>
    <w:uiPriority w:val="59"/>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Change w:id="0" w:author="钟光驰" w:date="2023-04-18T14:08:00Z">
        <w:rPr>
          <w:rFonts w:ascii="Times New Roman" w:hAnsi="Times New Roman" w:eastAsia="宋体" w:cs="Times New Roman"/>
          <w:sz w:val="21"/>
          <w:szCs w:val="21"/>
        </w:rPr>
      </w:rPrChange>
    </w:rPr>
  </w:style>
  <w:style w:type="paragraph" w:customStyle="1" w:styleId="17">
    <w:name w:val="_Style 14"/>
    <w:semiHidden/>
    <w:uiPriority w:val="99"/>
    <w:rPr>
      <w:rFonts w:ascii="Calibri" w:hAnsi="Calibri" w:eastAsia="宋体" w:cs="Times New Roman"/>
      <w:kern w:val="2"/>
      <w:sz w:val="21"/>
      <w:szCs w:val="22"/>
      <w:lang w:val="en-US" w:eastAsia="zh-CN" w:bidi="ar-SA"/>
    </w:rPr>
  </w:style>
  <w:style w:type="paragraph" w:customStyle="1" w:styleId="18">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szCs w:val="20"/>
      <w:u w:val="none" w:color="000000"/>
    </w:rPr>
  </w:style>
  <w:style w:type="character" w:customStyle="1" w:styleId="19">
    <w:name w:val="font21"/>
    <w:qFormat/>
    <w:uiPriority w:val="0"/>
    <w:rPr>
      <w:rFonts w:ascii="仿宋" w:hAnsi="仿宋" w:eastAsia="仿宋" w:cs="仿宋"/>
      <w:color w:val="000000"/>
      <w:sz w:val="22"/>
      <w:szCs w:val="22"/>
      <w:u w:val="none"/>
    </w:rPr>
  </w:style>
  <w:style w:type="character" w:customStyle="1" w:styleId="20">
    <w:name w:val="正文文本缩进 字符"/>
    <w:link w:val="7"/>
    <w:uiPriority w:val="0"/>
    <w:rPr>
      <w:kern w:val="2"/>
      <w:sz w:val="21"/>
      <w:szCs w:val="24"/>
    </w:rPr>
  </w:style>
  <w:style w:type="character" w:customStyle="1" w:styleId="21">
    <w:name w:val="页脚 Char"/>
    <w:link w:val="9"/>
    <w:qFormat/>
    <w:uiPriority w:val="99"/>
    <w:rPr>
      <w:kern w:val="2"/>
      <w:sz w:val="18"/>
      <w:szCs w:val="18"/>
    </w:rPr>
  </w:style>
  <w:style w:type="character" w:customStyle="1" w:styleId="22">
    <w:name w:val="font31"/>
    <w:qFormat/>
    <w:uiPriority w:val="0"/>
    <w:rPr>
      <w:rFonts w:ascii="仿宋" w:hAnsi="仿宋" w:eastAsia="仿宋" w:cs="仿宋"/>
      <w:color w:val="000000"/>
      <w:sz w:val="22"/>
      <w:szCs w:val="22"/>
      <w:u w:val="none"/>
    </w:rPr>
  </w:style>
  <w:style w:type="character" w:customStyle="1" w:styleId="23">
    <w:name w:val="批注框文本 Char"/>
    <w:link w:val="8"/>
    <w:uiPriority w:val="99"/>
    <w:rPr>
      <w:kern w:val="2"/>
      <w:sz w:val="18"/>
      <w:szCs w:val="18"/>
    </w:rPr>
  </w:style>
  <w:style w:type="character" w:customStyle="1" w:styleId="24">
    <w:name w:val="页眉 Char"/>
    <w:link w:val="10"/>
    <w:qFormat/>
    <w:uiPriority w:val="99"/>
    <w:rPr>
      <w:kern w:val="2"/>
      <w:sz w:val="18"/>
      <w:szCs w:val="18"/>
    </w:rPr>
  </w:style>
  <w:style w:type="character" w:customStyle="1" w:styleId="25">
    <w:name w:val="正文文本首行缩进 2 字符"/>
    <w:link w:val="12"/>
    <w:uiPriority w:val="99"/>
    <w:rPr>
      <w:rFonts w:ascii="仿宋" w:hAnsi="仿宋" w:eastAsia="仿宋" w:cs="仿宋"/>
      <w:kern w:val="2"/>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12347</Words>
  <Characters>13001</Characters>
  <Lines>99</Lines>
  <Paragraphs>28</Paragraphs>
  <TotalTime>0</TotalTime>
  <ScaleCrop>false</ScaleCrop>
  <LinksUpToDate>false</LinksUpToDate>
  <CharactersWithSpaces>13098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2023-04-07T14:27:00Z</dcterms:created>
  <dc:creator>HP</dc:creator>
  <cp:lastModifiedBy>周超玉</cp:lastModifiedBy>
  <dcterms:modified xsi:type="dcterms:W3CDTF">2023-04-18T08:13:38Z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152BC133B41045A0A0F9BBE8C62533A4_12</vt:lpwstr>
  </property>
</Properties>
</file>