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药品陈列与收货验收模块—药品陈列评分标准</w:t>
      </w:r>
    </w:p>
    <w:p>
      <w:pPr>
        <w:widowControl/>
        <w:snapToGrid w:val="0"/>
        <w:spacing w:line="360" w:lineRule="auto"/>
        <w:ind w:firstLine="480" w:firstLineChars="2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pPr w:leftFromText="180" w:rightFromText="180" w:vertAnchor="text" w:horzAnchor="margin" w:tblpX="-548" w:tblpY="7"/>
        <w:tblW w:w="98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3362"/>
        <w:gridCol w:w="3831"/>
        <w:gridCol w:w="1000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评价要素</w:t>
            </w:r>
          </w:p>
        </w:tc>
        <w:tc>
          <w:tcPr>
            <w:tcW w:w="3362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考核要求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评分标准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扣分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分区分类摆放</w:t>
            </w:r>
          </w:p>
        </w:tc>
        <w:tc>
          <w:tcPr>
            <w:tcW w:w="3362" w:type="dxa"/>
            <w:vMerge w:val="restart"/>
            <w:noWrap w:val="0"/>
            <w:vAlign w:val="center"/>
          </w:tcPr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分区域摆放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药品与与非药品；内服药与外用药；处方药与非处方药；需冷藏与非冷藏；拆零药品；含特殊药品复方制剂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按药品作用用途分类摆放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同作用剂型相对集中；包装易混淆药品应分隔；近效期在前；不要求中药与西药分开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药品与非药品混放每个扣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内服药与外用药混放每个扣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处方药与非处方药混放每个扣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含特殊成分药品混放每个扣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冷藏药品未放置冷藏专柜每个扣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不同作用机理的药品放混每个扣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5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拆零药品未单独区域摆放每个扣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atLeast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整齐摆放</w:t>
            </w:r>
          </w:p>
        </w:tc>
        <w:tc>
          <w:tcPr>
            <w:tcW w:w="3362" w:type="dxa"/>
            <w:vMerge w:val="restart"/>
            <w:noWrap w:val="0"/>
            <w:vAlign w:val="center"/>
          </w:tcPr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同一药品摆放在一起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前后摆放，但不得有间隙，且近效期在前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商品正面向前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可立放，也可平放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，不能倒置；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3.50ml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以上的液体剂型应立放，不能卧放；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易混淆药品应分隔摆放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同一药品未摆放在一起每个扣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或同一药品近效期未摆放在前每个扣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药品正面未向前每个扣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药品倒置每个扣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超过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50 mL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液体制剂未立放每个扣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5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包装类似或名称易混淆的药品未分隔每个扣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3362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6</w:t>
            </w:r>
            <w:r>
              <w:rPr>
                <w:rFonts w:ascii="仿宋" w:hAnsi="仿宋" w:eastAsia="仿宋" w:cs="仿宋"/>
                <w:color w:val="auto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种药品全部上货架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未放在货架上的药品每个扣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5" w:hRule="atLeast"/>
        </w:trPr>
        <w:tc>
          <w:tcPr>
            <w:tcW w:w="7878" w:type="dxa"/>
            <w:gridSpan w:val="3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 w:hRule="atLeast"/>
        </w:trPr>
        <w:tc>
          <w:tcPr>
            <w:tcW w:w="9847" w:type="dxa"/>
            <w:gridSpan w:val="5"/>
            <w:noWrap w:val="0"/>
            <w:vAlign w:val="center"/>
          </w:tcPr>
          <w:p>
            <w:pPr>
              <w:jc w:val="center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说明：药品陈列满分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分，采用扣分制，扣完为止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得分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计入成绩。</w:t>
            </w:r>
          </w:p>
        </w:tc>
      </w:tr>
    </w:tbl>
    <w:p>
      <w:pPr>
        <w:pStyle w:val="2"/>
        <w:ind w:firstLine="0" w:firstLineChars="0"/>
        <w:rPr>
          <w:rFonts w:hint="eastAsia" w:ascii="仿宋" w:hAnsi="仿宋" w:eastAsia="仿宋"/>
          <w:b/>
          <w:bCs/>
          <w:color w:val="000000"/>
          <w:sz w:val="24"/>
          <w:szCs w:val="24"/>
          <w:lang w:eastAsia="zh-CN"/>
        </w:rPr>
      </w:pPr>
    </w:p>
    <w:p>
      <w:pPr>
        <w:widowControl/>
        <w:spacing w:line="360" w:lineRule="auto"/>
        <w:jc w:val="center"/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药品陈列与收货验收模块—药品收货验收评分标准</w:t>
      </w:r>
    </w:p>
    <w:p>
      <w:pPr>
        <w:spacing w:line="360" w:lineRule="auto"/>
        <w:ind w:firstLine="1440" w:firstLineChars="600"/>
        <w:rPr>
          <w:rFonts w:hint="eastAsia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968"/>
        <w:gridCol w:w="709"/>
        <w:gridCol w:w="3267"/>
        <w:gridCol w:w="84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2968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考核要求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扣分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6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收货程序</w:t>
            </w:r>
          </w:p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货同行单据与采购记录核对；确认随货同行单合法性；随货同行单据与实物核对；将核对无误药品按照其特性放置相应待验区域内；与采购记录、药品实物不符的药品进行合理处置，写出处置措施，拒收的写明拒收原因；在随货同行单（客户联）上签字，拒收药品做出标注；填写收货记录。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59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在正确区域内操作（2分）</w:t>
            </w:r>
          </w:p>
        </w:tc>
        <w:tc>
          <w:tcPr>
            <w:tcW w:w="842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采购记录与随货同行单核对（1分）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随货同行单与实物核对（7分）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在随货同行单上标注不符之处（3分，每处1分），签名（2分）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收货记录填写，其中原因及处理方式错误扣1分，其他未填、错填每处扣0.5分，共32分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收货结束，货物放置正确位置（8分），错误每种药品扣1分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日期2分、签字2分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6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验收程序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核查合格证明文件；对到货的药品进行逐批逐盒检查；验收不合格药品，放入待处理区，写明不合格原因及处置措施；填写验收记录。 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41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核查文件（2分），每个药品翻看六面（5分）</w:t>
            </w:r>
          </w:p>
        </w:tc>
        <w:tc>
          <w:tcPr>
            <w:tcW w:w="842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验收记录填写：名称、合格数量每空0.5；不合格数量，验收结论、不合格原因、处理方式每空1分，共25分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将药品放置相应区域（5分），每错1个药品扣1分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日期2分、签字2分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得分合计</w:t>
            </w:r>
          </w:p>
        </w:tc>
        <w:tc>
          <w:tcPr>
            <w:tcW w:w="1551" w:type="dxa"/>
            <w:gridSpan w:val="2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76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说明</w:t>
            </w:r>
          </w:p>
        </w:tc>
        <w:tc>
          <w:tcPr>
            <w:tcW w:w="8495" w:type="dxa"/>
            <w:gridSpan w:val="5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10分钟内将7种药品按收货、验收要求进行操作，并分别填写收货记录、验收记录。满分100分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>得分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8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计入成绩。</w:t>
            </w:r>
          </w:p>
        </w:tc>
      </w:tr>
    </w:tbl>
    <w:p>
      <w:pPr>
        <w:rPr>
          <w:rFonts w:hint="eastAsia" w:ascii="仿宋" w:hAnsi="仿宋" w:eastAsia="仿宋"/>
          <w:b/>
          <w:bCs/>
          <w:color w:val="000000"/>
          <w:sz w:val="24"/>
          <w:szCs w:val="24"/>
        </w:rPr>
      </w:pPr>
    </w:p>
    <w:p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处方调剂与用药指导模块评分标准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3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3900"/>
        <w:gridCol w:w="914"/>
        <w:gridCol w:w="1077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90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考核要求</w:t>
            </w:r>
          </w:p>
        </w:tc>
        <w:tc>
          <w:tcPr>
            <w:tcW w:w="914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处方1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处方2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处方审核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1.能正确判断处方的合理性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6"/>
                <w:sz w:val="23"/>
                <w:szCs w:val="23"/>
              </w:rPr>
              <w:t>2.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16"/>
                <w:sz w:val="23"/>
                <w:szCs w:val="23"/>
              </w:rPr>
              <w:t>正确说明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、作用机制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正确说明</w:t>
            </w: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4.能正确进行用药交代，说明用法、用量、服用时间、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主要不良反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应及用药注意事项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等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5.能正确点评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该处方属于不规范处方或(和)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6.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正确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指出处方中的所有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477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小计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477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总计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</w:trPr>
        <w:tc>
          <w:tcPr>
            <w:tcW w:w="8632" w:type="dxa"/>
            <w:gridSpan w:val="5"/>
            <w:vAlign w:val="center"/>
          </w:tcPr>
          <w:p>
            <w:pPr>
              <w:spacing w:before="41" w:line="233" w:lineRule="auto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备注</w:t>
            </w:r>
            <w:r>
              <w:rPr>
                <w:rFonts w:ascii="仿宋" w:hAnsi="仿宋" w:eastAsia="仿宋" w:cs="仿宋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⑴若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选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手对处方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合理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性做出错误判断，则“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”中 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2</w:t>
            </w:r>
            <w:r>
              <w:rPr>
                <w:rFonts w:hint="eastAsia" w:ascii="华文仿宋" w:hAnsi="华文仿宋" w:eastAsia="华文仿宋" w:cs="华文仿宋"/>
                <w:spacing w:val="8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6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得分为零；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⑵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若选手对处方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合理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性做出正确判断，则合理处方的“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 xml:space="preserve">”为 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2</w:t>
            </w:r>
            <w:r>
              <w:rPr>
                <w:rFonts w:hint="eastAsia" w:ascii="华文仿宋" w:hAnsi="华文仿宋" w:eastAsia="华文仿宋" w:cs="华文仿宋"/>
                <w:spacing w:val="12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，不合理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处方的“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 xml:space="preserve">”为 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5</w:t>
            </w:r>
            <w:r>
              <w:rPr>
                <w:rFonts w:hint="eastAsia" w:ascii="华文仿宋" w:hAnsi="华文仿宋" w:eastAsia="华文仿宋" w:cs="华文仿宋"/>
                <w:spacing w:val="11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6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。</w:t>
            </w:r>
          </w:p>
        </w:tc>
      </w:tr>
    </w:tbl>
    <w:p>
      <w:pPr>
        <w:widowControl/>
        <w:spacing w:line="360" w:lineRule="auto"/>
        <w:rPr>
          <w:rFonts w:ascii="仿宋" w:hAnsi="仿宋" w:eastAsia="仿宋" w:cs="仿宋"/>
          <w:b/>
          <w:color w:val="000000"/>
          <w:kern w:val="0"/>
          <w:sz w:val="28"/>
          <w:szCs w:val="28"/>
          <w:lang w:bidi="ar"/>
        </w:rPr>
      </w:pPr>
    </w:p>
    <w:p>
      <w:pPr>
        <w:widowControl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用药咨询与慢病管理模块—问病荐药评分标准</w:t>
      </w:r>
    </w:p>
    <w:p>
      <w:pPr>
        <w:widowControl/>
        <w:snapToGrid w:val="0"/>
        <w:spacing w:line="360" w:lineRule="auto"/>
        <w:ind w:firstLine="2160" w:firstLineChars="9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3613"/>
        <w:gridCol w:w="1370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741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考核要求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职业素质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仪表、着装符合要求；语速适中，表达清晰；语言流畅，讲解科学，通俗易懂；氛围轻松，沟通顺畅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收集病情资料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疾病史、就医史、用药史、过敏史信息正确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疾病评估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疾病判断准确，理由描述准确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推荐药物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给出推介药物并写出名称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推荐理由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主治药物作用机制描述正确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主治药物适应症描述正确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联合用药作用机制描述正确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主治药物用药交待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用法、用量正确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常见不良反应描述正确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至少给出4条用药注意事项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贮藏方法描述正确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用药问题解答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针对患者提出的用药问题（至少3个）给出合理解答或正确示范， 能纠正患者的错误认知或做法，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为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>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者做必要的健康宣教，从生活方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式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运动、饮食等方面给出合理化建议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354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用药咨询与慢病管理模块—慢病管理评分标准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1920" w:firstLineChars="8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3613"/>
        <w:gridCol w:w="1370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741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考核要求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患者基本信息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准确填写体格基本信息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准确填写临床诊断指标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准确填写不良嗜好、过敏史、疾病史、合并症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用药指导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正确描述所用药物作用机制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正确描述所用药物常见不良反应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正确描述所用药物用药注意事项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健康教育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能从疾病病因、高危因素、治疗进展和预后等方面给出科学阐述，帮助患者正确认识和预防疾病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>能从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生活方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式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运动、饮食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val="en-US" w:eastAsia="zh-CN"/>
              </w:rPr>
              <w:t>管理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等方面给出合理化建议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6354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both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ind w:firstLine="843" w:firstLineChars="300"/>
        <w:jc w:val="both"/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D766D04"/>
    <w:rsid w:val="12C75762"/>
    <w:rsid w:val="55015743"/>
    <w:rsid w:val="58D23958"/>
    <w:rsid w:val="59F56E94"/>
    <w:rsid w:val="5A904658"/>
    <w:rsid w:val="68BD2115"/>
    <w:rsid w:val="69836FBE"/>
    <w:rsid w:val="6C8F3125"/>
    <w:rsid w:val="766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2023-04-16T01:42:00Z</dcterms:created>
  <dc:creator>HUAWEI</dc:creator>
  <cp:lastModifiedBy>HUAWEI</cp:lastModifiedBy>
  <dcterms:modified xsi:type="dcterms:W3CDTF">2023-04-16T04:01:40Z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D789EC5770904FCA9C9709D96CE4DB16_12</vt:lpwstr>
  </property>
</Properties>
</file>