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="Times New Roman" w:hAnsi="Times New Roman" w:eastAsia="宋体" w:cs="Times New Roman"/>
          <w:b/>
          <w:bCs/>
          <w:sz w:val="36"/>
          <w:szCs w:val="36"/>
        </w:rPr>
      </w:pPr>
      <w:r>
        <w:rPr>
          <w:rFonts w:hint="eastAsia" w:ascii="Times New Roman" w:hAnsi="Times New Roman" w:eastAsia="宋体" w:cs="Times New Roman"/>
          <w:b/>
          <w:bCs/>
          <w:sz w:val="36"/>
          <w:szCs w:val="36"/>
        </w:rPr>
        <w:t>2023年全国职业院校技能大赛药学技能</w:t>
      </w:r>
      <w:r>
        <w:rPr>
          <w:rFonts w:ascii="Times New Roman" w:hAnsi="Times New Roman" w:eastAsia="宋体" w:cs="Times New Roman"/>
          <w:b/>
          <w:bCs/>
          <w:sz w:val="36"/>
          <w:szCs w:val="36"/>
        </w:rPr>
        <w:t>赛项</w:t>
      </w:r>
    </w:p>
    <w:p>
      <w:pPr>
        <w:widowControl/>
        <w:spacing w:line="360" w:lineRule="auto"/>
        <w:jc w:val="center"/>
        <w:rPr>
          <w:rFonts w:hint="eastAsia" w:ascii="黑体" w:hAnsi="黑体" w:eastAsia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药品陈列与收货验收模块—药品陈列试题单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lang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lang w:bidi="ar"/>
        </w:rPr>
        <w:t>考核时间：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lang w:val="en-US" w:eastAsia="zh-CN" w:bidi="ar"/>
        </w:rPr>
        <w:t>10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lang w:bidi="ar"/>
        </w:rPr>
        <w:t>分钟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lang w:val="en-US" w:eastAsia="zh-CN" w:bidi="ar"/>
        </w:rPr>
        <w:t xml:space="preserve">             题目分值：8分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1124" w:firstLineChars="400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一、答题要求</w:t>
      </w:r>
    </w:p>
    <w:p>
      <w:pPr>
        <w:pStyle w:val="2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在规定时间内，按照GSP规定以及药品分类存放的原则将药品分区分类正确摆放在货架内。</w:t>
      </w:r>
    </w:p>
    <w:p>
      <w:pPr>
        <w:pStyle w:val="2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1.药品与非药品、内服药与外用药、处方药与非处方药分开；</w:t>
      </w:r>
    </w:p>
    <w:p>
      <w:pPr>
        <w:pStyle w:val="2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2.需冷藏储存药品放入冷藏货架（柜）；</w:t>
      </w:r>
    </w:p>
    <w:p>
      <w:pPr>
        <w:pStyle w:val="2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3.需阴凉贮存药品放入阴凉区（架）；</w:t>
      </w:r>
    </w:p>
    <w:p>
      <w:pPr>
        <w:pStyle w:val="2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4.拆零药品放入拆零专柜；</w:t>
      </w:r>
    </w:p>
    <w:p>
      <w:pPr>
        <w:pStyle w:val="2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5.含特殊药品复方制剂、含麻黄碱类复方制剂专柜（区）摆放；</w:t>
      </w:r>
    </w:p>
    <w:p>
      <w:pPr>
        <w:pStyle w:val="2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6.包装易混淆药品应分隔摆放；</w:t>
      </w:r>
    </w:p>
    <w:p>
      <w:pPr>
        <w:pStyle w:val="2"/>
        <w:rPr>
          <w:rFonts w:hint="default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7.药品不得倒置，多剂量液体制剂应直立放置。</w:t>
      </w:r>
    </w:p>
    <w:p/>
    <w:p/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jc w:val="center"/>
        <w:rPr>
          <w:rFonts w:ascii="Times New Roman" w:hAnsi="Times New Roman" w:eastAsia="宋体" w:cs="Times New Roman"/>
          <w:b/>
          <w:bCs/>
          <w:sz w:val="36"/>
          <w:szCs w:val="36"/>
        </w:rPr>
      </w:pPr>
      <w:r>
        <w:rPr>
          <w:rFonts w:hint="eastAsia" w:ascii="Times New Roman" w:hAnsi="Times New Roman" w:eastAsia="宋体" w:cs="Times New Roman"/>
          <w:b/>
          <w:bCs/>
          <w:sz w:val="36"/>
          <w:szCs w:val="36"/>
        </w:rPr>
        <w:t>2023年全国职业院校技能大赛药学技能</w:t>
      </w:r>
      <w:r>
        <w:rPr>
          <w:rFonts w:ascii="Times New Roman" w:hAnsi="Times New Roman" w:eastAsia="宋体" w:cs="Times New Roman"/>
          <w:b/>
          <w:bCs/>
          <w:sz w:val="36"/>
          <w:szCs w:val="36"/>
        </w:rPr>
        <w:t>赛项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default" w:ascii="黑体" w:hAnsi="黑体" w:eastAsia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药品陈列与收货验收模块—药品收货验收试题单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  <w:t>考核时间：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10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  <w:t>分钟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             题目分值：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lang w:val="en-US" w:eastAsia="zh-CN" w:bidi="ar"/>
        </w:rPr>
        <w:t>8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2" w:firstLineChars="200"/>
        <w:jc w:val="left"/>
        <w:textAlignment w:val="auto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一、试题背景</w:t>
      </w:r>
    </w:p>
    <w:p>
      <w:pPr>
        <w:spacing w:line="360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XXX国药馆欲采购一批药品，拟供货单位和采购的品种均已通过首营审核。现供货单位已将药品送达指定地点，请按照GSP相关要求对到货药品进行收货及验收，将药品放置到指定的区域，并填写收货验收记录。</w:t>
      </w:r>
    </w:p>
    <w:p>
      <w:pPr>
        <w:autoSpaceDE/>
        <w:autoSpaceDN/>
        <w:spacing w:line="360" w:lineRule="auto"/>
        <w:ind w:firstLine="602" w:firstLineChars="200"/>
        <w:jc w:val="both"/>
        <w:rPr>
          <w:rFonts w:hint="eastAsia" w:ascii="仿宋" w:hAnsi="仿宋" w:eastAsia="仿宋"/>
          <w:b/>
          <w:color w:val="000000"/>
          <w:kern w:val="2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/>
          <w:color w:val="000000"/>
          <w:kern w:val="2"/>
          <w:sz w:val="30"/>
          <w:szCs w:val="30"/>
          <w:lang w:val="en-US" w:eastAsia="zh-CN"/>
        </w:rPr>
        <w:t>二、答题要求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1.</w:t>
      </w:r>
      <w:r>
        <w:rPr>
          <w:rFonts w:ascii="仿宋" w:hAnsi="仿宋" w:eastAsia="仿宋"/>
          <w:sz w:val="28"/>
          <w:szCs w:val="28"/>
        </w:rPr>
        <w:t>请</w:t>
      </w:r>
      <w:r>
        <w:rPr>
          <w:rFonts w:hint="eastAsia" w:ascii="仿宋" w:hAnsi="仿宋" w:eastAsia="仿宋" w:cs="Times New Roman"/>
          <w:sz w:val="28"/>
          <w:szCs w:val="28"/>
        </w:rPr>
        <w:t>在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规定时间</w:t>
      </w:r>
      <w:r>
        <w:rPr>
          <w:rFonts w:hint="eastAsia" w:ascii="仿宋" w:hAnsi="仿宋" w:eastAsia="仿宋" w:cs="Times New Roman"/>
          <w:sz w:val="28"/>
          <w:szCs w:val="28"/>
        </w:rPr>
        <w:t>内</w:t>
      </w:r>
      <w:r>
        <w:rPr>
          <w:rFonts w:ascii="仿宋" w:hAnsi="仿宋" w:eastAsia="仿宋"/>
          <w:sz w:val="28"/>
          <w:szCs w:val="28"/>
        </w:rPr>
        <w:t>按照GSP要求及附录4《药品收货与验收》标准进行正确的收货与验收操作，根据检查结果将药品放置相应区域，并填写收货记录和验收记录。</w:t>
      </w:r>
    </w:p>
    <w:p>
      <w:pPr>
        <w:spacing w:line="360" w:lineRule="auto"/>
        <w:ind w:firstLine="560" w:firstLineChars="200"/>
        <w:rPr>
          <w:rFonts w:hint="default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2.</w:t>
      </w:r>
      <w:r>
        <w:rPr>
          <w:rFonts w:hint="default" w:ascii="仿宋" w:hAnsi="仿宋" w:eastAsia="仿宋"/>
          <w:sz w:val="28"/>
          <w:szCs w:val="28"/>
        </w:rPr>
        <w:t>收货记录和验收记录中已呈现的信息为正确信息。</w:t>
      </w:r>
    </w:p>
    <w:p>
      <w:pPr>
        <w:spacing w:line="360" w:lineRule="auto"/>
        <w:ind w:firstLine="560" w:firstLineChars="200"/>
        <w:rPr>
          <w:rFonts w:hint="default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3.</w:t>
      </w:r>
      <w:r>
        <w:rPr>
          <w:rFonts w:ascii="仿宋" w:hAnsi="仿宋" w:eastAsia="仿宋"/>
          <w:sz w:val="28"/>
          <w:szCs w:val="28"/>
        </w:rPr>
        <w:t>拒收或者不合格药品</w:t>
      </w:r>
      <w:r>
        <w:rPr>
          <w:rFonts w:ascii="仿宋" w:hAnsi="仿宋" w:eastAsia="仿宋"/>
          <w:b/>
          <w:bCs/>
          <w:sz w:val="28"/>
          <w:szCs w:val="28"/>
        </w:rPr>
        <w:t>不需要单独填写“药品拒收报告单”</w:t>
      </w:r>
      <w:r>
        <w:rPr>
          <w:rFonts w:ascii="仿宋" w:hAnsi="仿宋" w:eastAsia="仿宋"/>
          <w:sz w:val="28"/>
          <w:szCs w:val="28"/>
        </w:rPr>
        <w:t>，直接在收货记录和验收记录“处置措施”和“拒收原因”处填写。</w:t>
      </w:r>
    </w:p>
    <w:p>
      <w:pPr>
        <w:spacing w:line="360" w:lineRule="auto"/>
        <w:ind w:firstLine="560" w:firstLineChars="200"/>
        <w:rPr>
          <w:rFonts w:hint="default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4.</w:t>
      </w:r>
      <w:r>
        <w:rPr>
          <w:rFonts w:ascii="仿宋" w:hAnsi="仿宋" w:eastAsia="仿宋"/>
          <w:sz w:val="28"/>
          <w:szCs w:val="28"/>
        </w:rPr>
        <w:t>单据需要签字处，不要填写你的真实姓名，</w:t>
      </w:r>
      <w:r>
        <w:rPr>
          <w:rFonts w:ascii="仿宋" w:hAnsi="仿宋" w:eastAsia="仿宋"/>
          <w:b/>
          <w:bCs/>
          <w:sz w:val="28"/>
          <w:szCs w:val="28"/>
        </w:rPr>
        <w:t>填写考号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hint="default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5.</w:t>
      </w:r>
      <w:r>
        <w:rPr>
          <w:rFonts w:ascii="仿宋" w:hAnsi="仿宋" w:eastAsia="仿宋"/>
          <w:sz w:val="28"/>
          <w:szCs w:val="28"/>
        </w:rPr>
        <w:t>验收过程中</w:t>
      </w:r>
      <w:r>
        <w:rPr>
          <w:rFonts w:ascii="仿宋" w:hAnsi="仿宋" w:eastAsia="仿宋"/>
          <w:b/>
          <w:bCs/>
          <w:sz w:val="28"/>
          <w:szCs w:val="28"/>
        </w:rPr>
        <w:t>不要破坏药品最小包装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hint="default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6.</w:t>
      </w:r>
      <w:r>
        <w:rPr>
          <w:rFonts w:ascii="仿宋" w:hAnsi="仿宋" w:eastAsia="仿宋"/>
          <w:sz w:val="28"/>
          <w:szCs w:val="28"/>
        </w:rPr>
        <w:t>收货记录和验收记录中与上一行</w:t>
      </w:r>
      <w:r>
        <w:rPr>
          <w:rFonts w:ascii="仿宋" w:hAnsi="仿宋" w:eastAsia="仿宋"/>
          <w:b/>
          <w:bCs/>
          <w:sz w:val="28"/>
          <w:szCs w:val="28"/>
        </w:rPr>
        <w:t>相同信息可以用“—”表示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spacing w:line="360" w:lineRule="auto"/>
        <w:ind w:firstLine="562" w:firstLineChars="200"/>
        <w:rPr>
          <w:rFonts w:hint="default" w:ascii="仿宋" w:hAnsi="仿宋" w:eastAsia="仿宋"/>
          <w:color w:val="0070C0"/>
          <w:sz w:val="24"/>
          <w:szCs w:val="24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7.</w:t>
      </w:r>
      <w:r>
        <w:rPr>
          <w:rFonts w:ascii="仿宋" w:hAnsi="仿宋" w:eastAsia="仿宋"/>
          <w:b/>
          <w:bCs/>
          <w:sz w:val="28"/>
          <w:szCs w:val="28"/>
        </w:rPr>
        <w:t>划“/”处不用填写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ind w:firstLine="640" w:firstLineChars="200"/>
        <w:rPr>
          <w:rFonts w:hint="eastAsia" w:ascii="宋体" w:hAnsi="宋体"/>
          <w:sz w:val="32"/>
          <w:szCs w:val="32"/>
        </w:rPr>
      </w:pPr>
    </w:p>
    <w:p>
      <w:pPr>
        <w:pStyle w:val="2"/>
        <w:rPr>
          <w:rFonts w:hint="eastAsia" w:ascii="宋体" w:hAnsi="宋体"/>
          <w:sz w:val="32"/>
          <w:szCs w:val="32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36"/>
          <w:szCs w:val="36"/>
        </w:rPr>
      </w:pPr>
      <w:r>
        <w:rPr>
          <w:rFonts w:hint="eastAsia" w:ascii="Times New Roman" w:hAnsi="Times New Roman" w:eastAsia="宋体" w:cs="Times New Roman"/>
          <w:b/>
          <w:bCs/>
          <w:sz w:val="36"/>
          <w:szCs w:val="36"/>
        </w:rPr>
        <w:t>2023年全国职业院校技能大赛药学技能</w:t>
      </w:r>
      <w:r>
        <w:rPr>
          <w:rFonts w:ascii="Times New Roman" w:hAnsi="Times New Roman" w:eastAsia="宋体" w:cs="Times New Roman"/>
          <w:b/>
          <w:bCs/>
          <w:sz w:val="36"/>
          <w:szCs w:val="36"/>
        </w:rPr>
        <w:t>赛项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240" w:lineRule="auto"/>
        <w:jc w:val="center"/>
        <w:textAlignment w:val="auto"/>
        <w:rPr>
          <w:rFonts w:hint="default" w:ascii="仿宋" w:hAnsi="仿宋" w:eastAsia="仿宋" w:cs="仿宋"/>
          <w:b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药品陈列与收货验收模块—药品收货验收答题纸</w:t>
      </w:r>
    </w:p>
    <w:p>
      <w:pPr>
        <w:widowControl/>
        <w:snapToGrid w:val="0"/>
        <w:spacing w:line="360" w:lineRule="auto"/>
        <w:ind w:firstLine="2160" w:firstLineChars="900"/>
        <w:jc w:val="both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工位号：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比赛用时：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</w:t>
      </w:r>
    </w:p>
    <w:p>
      <w:pPr>
        <w:jc w:val="center"/>
        <w:rPr>
          <w:rFonts w:hint="default" w:ascii="仿宋_GB2312" w:hAnsi="仿宋_GB2312" w:eastAsia="仿宋_GB2312" w:cs="仿宋_GB2312"/>
          <w:sz w:val="28"/>
          <w:szCs w:val="28"/>
          <w:u w:val="single"/>
          <w:lang w:val="en-US" w:eastAsia="zh-CN"/>
        </w:rPr>
      </w:pPr>
      <w:r>
        <w:rPr>
          <w:rFonts w:hint="eastAsia" w:eastAsia="黑体"/>
          <w:sz w:val="32"/>
        </w:rPr>
        <w:t>药品收货记录</w:t>
      </w:r>
    </w:p>
    <w:tbl>
      <w:tblPr>
        <w:tblStyle w:val="5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248"/>
        <w:gridCol w:w="918"/>
        <w:gridCol w:w="919"/>
        <w:gridCol w:w="1805"/>
        <w:gridCol w:w="2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药品名称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(简写即可)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剂型、规格、生产企业、批准文号等</w:t>
            </w:r>
          </w:p>
        </w:tc>
        <w:tc>
          <w:tcPr>
            <w:tcW w:w="9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收货数量</w:t>
            </w:r>
          </w:p>
        </w:tc>
        <w:tc>
          <w:tcPr>
            <w:tcW w:w="91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拒收数量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拒收原因</w:t>
            </w: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处理方式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9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9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9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9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9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9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9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9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9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收货日期：    年   月    日    收货人：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（此处不得填写收货人真实姓名）</w:t>
      </w: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br w:type="page"/>
      </w:r>
    </w:p>
    <w:p>
      <w:pPr>
        <w:widowControl/>
        <w:spacing w:line="360" w:lineRule="auto"/>
        <w:jc w:val="center"/>
        <w:rPr>
          <w:rFonts w:hint="eastAsia" w:eastAsia="黑体"/>
          <w:sz w:val="32"/>
        </w:rPr>
      </w:pPr>
      <w:r>
        <w:rPr>
          <w:rFonts w:hint="eastAsia" w:eastAsia="黑体"/>
          <w:sz w:val="32"/>
        </w:rPr>
        <w:t>药品验收记录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8"/>
        <w:gridCol w:w="1080"/>
        <w:gridCol w:w="889"/>
        <w:gridCol w:w="889"/>
        <w:gridCol w:w="825"/>
        <w:gridCol w:w="1846"/>
        <w:gridCol w:w="1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药品名称</w:t>
            </w:r>
          </w:p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（简写即可）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剂型规格生产企业批准文号等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验收合格数量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验收不合格数量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验收结论</w:t>
            </w: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验收不合格原因</w:t>
            </w: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处理方式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</w:tbl>
    <w:p>
      <w:pPr>
        <w:widowControl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验收</w:t>
      </w:r>
      <w:r>
        <w:rPr>
          <w:rFonts w:hint="eastAsia" w:ascii="仿宋" w:hAnsi="仿宋" w:eastAsia="仿宋" w:cs="仿宋"/>
          <w:sz w:val="24"/>
          <w:szCs w:val="24"/>
        </w:rPr>
        <w:t xml:space="preserve">日期：    年   月    日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验收员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（此处不得填写收货人真实姓名）</w:t>
      </w:r>
    </w:p>
    <w:p>
      <w:pPr>
        <w:rPr>
          <w:rFonts w:hint="eastAsia" w:ascii="仿宋" w:hAnsi="仿宋" w:eastAsia="仿宋" w:cs="仿宋"/>
        </w:rPr>
      </w:pPr>
    </w:p>
    <w:p>
      <w:pPr>
        <w:pStyle w:val="2"/>
        <w:rPr>
          <w:rFonts w:hint="eastAsia" w:ascii="宋体" w:hAnsi="宋体"/>
          <w:sz w:val="32"/>
          <w:szCs w:val="32"/>
        </w:rPr>
      </w:pPr>
    </w:p>
    <w:p>
      <w:pPr>
        <w:pStyle w:val="2"/>
        <w:ind w:left="0" w:leftChars="0" w:firstLine="0" w:firstLineChars="0"/>
      </w:pPr>
    </w:p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bCs/>
          <w:sz w:val="36"/>
          <w:szCs w:val="36"/>
        </w:rPr>
        <w:t>2023年全国职业院校技能大赛药学技能</w:t>
      </w:r>
      <w:r>
        <w:rPr>
          <w:rFonts w:ascii="Times New Roman" w:hAnsi="Times New Roman" w:eastAsia="宋体" w:cs="Times New Roman"/>
          <w:b/>
          <w:bCs/>
          <w:sz w:val="36"/>
          <w:szCs w:val="36"/>
        </w:rPr>
        <w:t>赛项</w:t>
      </w:r>
    </w:p>
    <w:p>
      <w:pPr>
        <w:jc w:val="center"/>
        <w:rPr>
          <w:rFonts w:ascii="Times New Roman" w:hAnsi="Times New Roman" w:eastAsia="宋体" w:cs="Times New Roman"/>
          <w:sz w:val="36"/>
          <w:szCs w:val="36"/>
        </w:rPr>
      </w:pPr>
      <w:r>
        <w:rPr>
          <w:rFonts w:hint="eastAsia" w:ascii="黑体" w:hAnsi="黑体" w:eastAsia="黑体"/>
          <w:b/>
          <w:sz w:val="32"/>
          <w:szCs w:val="32"/>
        </w:rPr>
        <w:t>处方调剂与用药指导模块试题单</w:t>
      </w:r>
    </w:p>
    <w:p>
      <w:pPr>
        <w:jc w:val="center"/>
        <w:rPr>
          <w:rFonts w:ascii="Times New Roman" w:hAnsi="Times New Roman" w:eastAsia="宋体" w:cs="Times New Roman"/>
          <w:sz w:val="36"/>
          <w:szCs w:val="36"/>
        </w:rPr>
      </w:pPr>
    </w:p>
    <w:p>
      <w:pPr>
        <w:widowControl/>
        <w:adjustRightInd w:val="0"/>
        <w:snapToGrid w:val="0"/>
        <w:spacing w:line="360" w:lineRule="auto"/>
        <w:ind w:firstLine="1124" w:firstLineChars="400"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  <w:t>考核时间：20分钟             题目分值：24分</w:t>
      </w:r>
    </w:p>
    <w:p>
      <w:pPr>
        <w:widowControl/>
        <w:adjustRightInd w:val="0"/>
        <w:snapToGrid w:val="0"/>
        <w:spacing w:line="360" w:lineRule="auto"/>
        <w:ind w:firstLine="562" w:firstLineChars="200"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</w:pPr>
    </w:p>
    <w:p>
      <w:pPr>
        <w:widowControl/>
        <w:adjustRightInd w:val="0"/>
        <w:snapToGrid w:val="0"/>
        <w:spacing w:line="360" w:lineRule="auto"/>
        <w:ind w:firstLine="562" w:firstLineChars="200"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  <w:t>答题要求：</w:t>
      </w:r>
    </w:p>
    <w:p>
      <w:pPr>
        <w:widowControl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1．对随机抽取的2张处方笺做出合理性审核；</w:t>
      </w:r>
    </w:p>
    <w:p>
      <w:pPr>
        <w:widowControl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2．对于合理处方，要说明处方中各药的药理作用、作用机制、联合用药的理由，并进行用药交代；</w:t>
      </w:r>
    </w:p>
    <w:p>
      <w:pPr>
        <w:widowControl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3.对于不合理处方，要点评处方的规范性和适宜性，详尽指出处方中的所有不规范或（和）不适宜之处并说明理由，同时给出合理性建议。</w:t>
      </w:r>
    </w:p>
    <w:p>
      <w:pPr>
        <w:jc w:val="center"/>
        <w:rPr>
          <w:rFonts w:ascii="Times New Roman" w:hAnsi="Times New Roman" w:eastAsia="宋体" w:cs="Times New Roman"/>
          <w:b/>
          <w:bCs/>
          <w:sz w:val="36"/>
          <w:szCs w:val="36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36"/>
          <w:szCs w:val="36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36"/>
          <w:szCs w:val="36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36"/>
          <w:szCs w:val="36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36"/>
          <w:szCs w:val="36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36"/>
          <w:szCs w:val="36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36"/>
          <w:szCs w:val="36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36"/>
          <w:szCs w:val="36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36"/>
          <w:szCs w:val="36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36"/>
          <w:szCs w:val="36"/>
        </w:rPr>
      </w:pPr>
    </w:p>
    <w:p>
      <w:pPr>
        <w:rPr>
          <w:rFonts w:ascii="Times New Roman" w:hAnsi="Times New Roman" w:eastAsia="宋体" w:cs="Times New Roman"/>
          <w:b/>
          <w:bCs/>
          <w:sz w:val="36"/>
          <w:szCs w:val="36"/>
        </w:rPr>
      </w:pP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处方1</w:t>
      </w:r>
    </w:p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bCs/>
          <w:sz w:val="36"/>
          <w:szCs w:val="36"/>
        </w:rPr>
        <w:t>2023年全国职业院校技能大赛药学技能</w:t>
      </w:r>
      <w:r>
        <w:rPr>
          <w:rFonts w:ascii="Times New Roman" w:hAnsi="Times New Roman" w:eastAsia="宋体" w:cs="Times New Roman"/>
          <w:b/>
          <w:bCs/>
          <w:sz w:val="36"/>
          <w:szCs w:val="36"/>
        </w:rPr>
        <w:t>赛项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hint="eastAsia" w:ascii="黑体" w:hAnsi="黑体" w:eastAsia="黑体"/>
          <w:b/>
          <w:sz w:val="32"/>
          <w:szCs w:val="32"/>
        </w:rPr>
        <w:t>处方调剂与用药指导模块处方笺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4241165</wp:posOffset>
                </wp:positionH>
                <wp:positionV relativeFrom="paragraph">
                  <wp:posOffset>102235</wp:posOffset>
                </wp:positionV>
                <wp:extent cx="723900" cy="333375"/>
                <wp:effectExtent l="4445" t="4445" r="18415" b="1270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7239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right="240"/>
                              <w:rPr>
                                <w:rFonts w:ascii="仿宋" w:hAnsi="仿宋" w:eastAsia="仿宋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4"/>
                                <w:szCs w:val="32"/>
                              </w:rPr>
                              <w:t>普通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95pt;margin-top:8.05pt;height:26.25pt;width:57pt;z-index:251661312;mso-width-relative:page;mso-height-relative:page;" fillcolor="#FFFFFF" filled="t" stroked="t" coordsize="21600,21600" o:gfxdata="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QAf8+&#10;1AAAAAkBAAAPAAAAAAAAAAEAIAAAACIAAABkcnMvZG93bnJldi54bWxQSwECFAAUAAAACACHTuJA&#10;uLlIJCUCAABYBAAADgAAAAAAAAABACAAAAAjAQAAZHJzL2Uyb0RvYy54bWxQSwUGAAAAAAYABgBZ&#10;AQAAugUAAAAA&#10;">
                <v:fill on="t" focussize="0,0"/>
                <v:stroke weight="0.5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right="240"/>
                        <w:rPr>
                          <w:rFonts w:ascii="仿宋" w:hAnsi="仿宋" w:eastAsia="仿宋"/>
                          <w:sz w:val="24"/>
                          <w:szCs w:val="32"/>
                        </w:rPr>
                      </w:pPr>
                      <w:r>
                        <w:rPr>
                          <w:rFonts w:hint="eastAsia" w:ascii="仿宋" w:hAnsi="仿宋" w:eastAsia="仿宋"/>
                          <w:sz w:val="24"/>
                          <w:szCs w:val="32"/>
                        </w:rPr>
                        <w:t>普通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  <w:sz w:val="24"/>
          <w:szCs w:val="32"/>
        </w:rPr>
        <w:t xml:space="preserve">          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32"/>
        </w:rPr>
        <w:t xml:space="preserve">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>科室：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>五官科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    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门诊号：12345     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费别：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>XX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    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姓名：XXX         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性别：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>女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       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年龄：44 岁              </w:t>
      </w:r>
    </w:p>
    <w:p>
      <w:pPr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>临床诊断：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>变应性鼻炎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                开具日期：2023.01.05   </w:t>
      </w:r>
    </w:p>
    <w:p>
      <w:pPr>
        <w:spacing w:line="360" w:lineRule="auto"/>
        <w:ind w:firstLine="280" w:firstLineChars="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Rp：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左卡巴斯汀鼻喷雾剂    10ml：5mg</w:t>
      </w:r>
      <w:r>
        <w:rPr>
          <w:rFonts w:ascii="Times New Roman" w:hAnsi="Times New Roman" w:eastAsia="宋体" w:cs="Times New Roman"/>
          <w:sz w:val="28"/>
          <w:szCs w:val="28"/>
        </w:rPr>
        <w:t>×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100揿   1瓶      </w:t>
      </w:r>
    </w:p>
    <w:p>
      <w:pPr>
        <w:ind w:firstLine="3640" w:firstLineChars="1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用法：2喷/次/每鼻孔  bid   喷鼻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糠酸莫米松鼻喷雾剂    0.05%</w:t>
      </w:r>
      <w:r>
        <w:rPr>
          <w:rFonts w:ascii="Times New Roman" w:hAnsi="Times New Roman" w:eastAsia="宋体" w:cs="Times New Roman"/>
          <w:sz w:val="28"/>
          <w:szCs w:val="28"/>
        </w:rPr>
        <w:t>×</w:t>
      </w:r>
      <w:r>
        <w:rPr>
          <w:rFonts w:hint="eastAsia" w:ascii="Times New Roman" w:hAnsi="Times New Roman" w:eastAsia="宋体" w:cs="Times New Roman"/>
          <w:sz w:val="28"/>
          <w:szCs w:val="28"/>
        </w:rPr>
        <w:t>140揿        1瓶</w:t>
      </w:r>
    </w:p>
    <w:p>
      <w:pPr>
        <w:ind w:firstLine="3640" w:firstLineChars="1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用法：2喷/次/每鼻孔   sid   喷鼻</w:t>
      </w:r>
    </w:p>
    <w:p>
      <w:pPr>
        <w:ind w:firstLine="4200" w:firstLineChars="2000"/>
        <w:rPr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1860550</wp:posOffset>
                </wp:positionH>
                <wp:positionV relativeFrom="paragraph">
                  <wp:posOffset>351155</wp:posOffset>
                </wp:positionV>
                <wp:extent cx="1301750" cy="1149350"/>
                <wp:effectExtent l="3175" t="3810" r="5715" b="508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01750" cy="114935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46.5pt;margin-top:27.65pt;height:90.5pt;width:102.5pt;z-index:251662336;mso-width-relative:page;mso-height-relative:page;" filled="f" stroked="t" coordsize="21600,21600" o:gfxdata="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Dr0dztsAAAAKAQAADwAAAAAAAAABACAAAAAiAAAAZHJzL2Rvd25yZXYueG1sUEsBAhQA&#10;FAAAAAgAh07iQJ0X09zvAQAAwwMAAA4AAAAAAAAAAQAgAAAAKgEAAGRycy9lMm9Eb2MueG1sUEsF&#10;BgAAAAAGAAYAWQEAAIsFAAAAAA==&#10;">
                <v:fill on="f" focussize="0,0"/>
                <v:stroke weight="0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</w:p>
    <w:p>
      <w:pPr>
        <w:ind w:firstLine="3640" w:firstLineChars="1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医师：张晓明       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审核：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>李红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     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药价：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>XX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             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>调配：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>刘强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      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核对/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>发药药师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：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>陈杰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                  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处方2</w:t>
      </w:r>
    </w:p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bCs/>
          <w:sz w:val="36"/>
          <w:szCs w:val="36"/>
        </w:rPr>
        <w:t>2023年全国职业院校技能大赛药学技能</w:t>
      </w:r>
      <w:r>
        <w:rPr>
          <w:rFonts w:ascii="Times New Roman" w:hAnsi="Times New Roman" w:eastAsia="宋体" w:cs="Times New Roman"/>
          <w:b/>
          <w:bCs/>
          <w:sz w:val="36"/>
          <w:szCs w:val="36"/>
        </w:rPr>
        <w:t>赛项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hint="eastAsia" w:ascii="黑体" w:hAnsi="黑体" w:eastAsia="黑体"/>
          <w:b/>
          <w:sz w:val="32"/>
          <w:szCs w:val="32"/>
        </w:rPr>
        <w:t>处方调剂与用药指导模块处方笺</w:t>
      </w:r>
    </w:p>
    <w:p>
      <w:pPr>
        <w:rPr>
          <w:rFonts w:ascii="Times New Roman" w:hAnsi="Times New Roman" w:eastAsia="宋体" w:cs="Times New Roman"/>
          <w:b/>
          <w:bCs/>
          <w:sz w:val="32"/>
          <w:szCs w:val="40"/>
        </w:rPr>
      </w:pP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4160520</wp:posOffset>
                </wp:positionH>
                <wp:positionV relativeFrom="paragraph">
                  <wp:posOffset>46990</wp:posOffset>
                </wp:positionV>
                <wp:extent cx="723900" cy="333375"/>
                <wp:effectExtent l="4445" t="4445" r="18415" b="1270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7239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right="240"/>
                              <w:jc w:val="right"/>
                              <w:rPr>
                                <w:rFonts w:ascii="仿宋" w:hAnsi="仿宋" w:eastAsia="仿宋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4"/>
                                <w:szCs w:val="32"/>
                              </w:rPr>
                              <w:t>普通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7.6pt;margin-top:3.7pt;height:26.25pt;width:57pt;z-index:251659264;mso-width-relative:page;mso-height-relative:page;" fillcolor="#FFFFFF" filled="t" stroked="t" coordsize="21600,21600" o:gfxdata="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gOy+&#10;MtUAAAAIAQAADwAAAAAAAAABACAAAAAiAAAAZHJzL2Rvd25yZXYueG1sUEsBAhQAFAAAAAgAh07i&#10;QO8LIQglAgAAVgQAAA4AAAAAAAAAAQAgAAAAJAEAAGRycy9lMm9Eb2MueG1sUEsFBgAAAAAGAAYA&#10;WQEAALsFAAAAAA==&#10;">
                <v:fill on="t" focussize="0,0"/>
                <v:stroke weight="0.5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right="240"/>
                        <w:jc w:val="right"/>
                        <w:rPr>
                          <w:rFonts w:ascii="仿宋" w:hAnsi="仿宋" w:eastAsia="仿宋"/>
                          <w:sz w:val="24"/>
                          <w:szCs w:val="32"/>
                        </w:rPr>
                      </w:pPr>
                      <w:r>
                        <w:rPr>
                          <w:rFonts w:hint="eastAsia" w:ascii="仿宋" w:hAnsi="仿宋" w:eastAsia="仿宋"/>
                          <w:sz w:val="24"/>
                          <w:szCs w:val="32"/>
                        </w:rPr>
                        <w:t>普通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32"/>
        </w:rPr>
        <w:t xml:space="preserve">       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>科室：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>XX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         门诊号：123456       费别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>：XX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    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姓名：XX         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性别：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>女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        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年龄：35岁 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>临床诊断：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>哮喘、呼吸道感染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         开具日期：2023.01.02        </w:t>
      </w:r>
    </w:p>
    <w:p>
      <w:pPr>
        <w:spacing w:line="360" w:lineRule="auto"/>
        <w:ind w:firstLine="280" w:firstLineChars="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Rp：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sz w:val="28"/>
          <w:szCs w:val="28"/>
        </w:rPr>
        <w:t>氨茶碱缓释片</w:t>
      </w:r>
      <w:r>
        <w:rPr>
          <w:rFonts w:ascii="Times New Roman" w:hAnsi="Times New Roman" w:eastAsia="宋体" w:cs="Times New Roman"/>
          <w:sz w:val="28"/>
          <w:szCs w:val="28"/>
        </w:rPr>
        <w:t xml:space="preserve">          0.1g × 24</w:t>
      </w:r>
      <w:r>
        <w:rPr>
          <w:rFonts w:hint="eastAsia" w:ascii="Times New Roman" w:hAnsi="Times New Roman" w:eastAsia="宋体" w:cs="Times New Roman"/>
          <w:sz w:val="28"/>
          <w:szCs w:val="28"/>
        </w:rPr>
        <w:t>片</w:t>
      </w:r>
      <w:r>
        <w:rPr>
          <w:rFonts w:ascii="Times New Roman" w:hAnsi="Times New Roman" w:eastAsia="宋体" w:cs="Times New Roman"/>
          <w:sz w:val="28"/>
          <w:szCs w:val="28"/>
        </w:rPr>
        <w:t xml:space="preserve">  </w:t>
      </w:r>
    </w:p>
    <w:p>
      <w:pPr>
        <w:ind w:firstLine="3640" w:firstLineChars="1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用法：0.3g   bid   po</w:t>
      </w:r>
      <w:r>
        <w:rPr>
          <w:rFonts w:ascii="Times New Roman" w:hAnsi="Times New Roman" w:eastAsia="宋体" w:cs="Times New Roman"/>
          <w:sz w:val="28"/>
          <w:szCs w:val="28"/>
        </w:rPr>
        <w:t xml:space="preserve">      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克拉霉素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片            </w:t>
      </w:r>
      <w:r>
        <w:rPr>
          <w:rFonts w:ascii="Times New Roman" w:hAnsi="Times New Roman" w:eastAsia="宋体" w:cs="Times New Roman"/>
          <w:sz w:val="28"/>
          <w:szCs w:val="28"/>
        </w:rPr>
        <w:t>250mg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</w:rPr>
        <w:t>×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</w:rPr>
        <w:t>8</w:t>
      </w:r>
      <w:r>
        <w:rPr>
          <w:rFonts w:hint="eastAsia" w:ascii="Times New Roman" w:hAnsi="Times New Roman" w:eastAsia="宋体" w:cs="Times New Roman"/>
          <w:sz w:val="28"/>
          <w:szCs w:val="28"/>
        </w:rPr>
        <w:t>片</w:t>
      </w:r>
    </w:p>
    <w:p>
      <w:pPr>
        <w:ind w:firstLine="3640" w:firstLineChars="1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用法：0.25g  bid   po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1854200</wp:posOffset>
                </wp:positionH>
                <wp:positionV relativeFrom="paragraph">
                  <wp:posOffset>264160</wp:posOffset>
                </wp:positionV>
                <wp:extent cx="1301750" cy="1149350"/>
                <wp:effectExtent l="3175" t="3810" r="5715" b="508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01750" cy="114935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46pt;margin-top:20.8pt;height:90.5pt;width:102.5pt;z-index:251660288;mso-width-relative:page;mso-height-relative:page;" filled="f" stroked="t" coordsize="21600,21600" o:gfxdata="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9uEn52wAAAAoBAAAPAAAAAAAAAAEAIAAAACIAAABkcnMvZG93bnJldi54bWxQSwECFAAU&#10;AAAACACHTuJACht+de4BAADBAwAADgAAAAAAAAABACAAAAAqAQAAZHJzL2Uyb0RvYy54bWxQSwUG&#10;AAAAAAYABgBZAQAAigUAAAAA&#10;">
                <v:fill on="f" focussize="0,0"/>
                <v:stroke weight="0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>医师：              审核：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>李红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      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    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药价：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>X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X                </w:t>
      </w:r>
    </w:p>
    <w:p>
      <w:pPr>
        <w:pStyle w:val="2"/>
        <w:ind w:left="0" w:leftChars="0" w:firstLine="0" w:firstLineChars="0"/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>调配：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>李红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       核对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>/发药药师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：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>陈杰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                    </w:t>
      </w:r>
    </w:p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bCs/>
          <w:sz w:val="36"/>
          <w:szCs w:val="36"/>
        </w:rPr>
        <w:t>2023年全国职业院校技能大赛药学技能</w:t>
      </w:r>
      <w:r>
        <w:rPr>
          <w:rFonts w:ascii="Times New Roman" w:hAnsi="Times New Roman" w:eastAsia="宋体" w:cs="Times New Roman"/>
          <w:b/>
          <w:bCs/>
          <w:sz w:val="36"/>
          <w:szCs w:val="36"/>
        </w:rPr>
        <w:t>赛项</w:t>
      </w:r>
    </w:p>
    <w:p>
      <w:pPr>
        <w:adjustRightInd w:val="0"/>
        <w:snapToGrid w:val="0"/>
        <w:spacing w:after="156" w:afterLines="50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处方调剂与用药指导模块——处方1答题纸</w:t>
      </w:r>
    </w:p>
    <w:p>
      <w:pPr>
        <w:widowControl/>
        <w:snapToGrid w:val="0"/>
        <w:spacing w:line="360" w:lineRule="auto"/>
        <w:ind w:firstLine="1920" w:firstLineChars="8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工位号：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      比赛用时：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</w:rPr>
        <w:t xml:space="preserve">       </w:t>
      </w:r>
    </w:p>
    <w:tbl>
      <w:tblPr>
        <w:tblStyle w:val="5"/>
        <w:tblW w:w="86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3"/>
        <w:gridCol w:w="6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66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696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填写内容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66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  <w:t>审核结果</w:t>
            </w:r>
          </w:p>
        </w:tc>
        <w:tc>
          <w:tcPr>
            <w:tcW w:w="6969" w:type="dxa"/>
            <w:vAlign w:val="center"/>
          </w:tcPr>
          <w:p>
            <w:pPr>
              <w:widowControl/>
              <w:spacing w:line="360" w:lineRule="auto"/>
              <w:rPr>
                <w:rFonts w:ascii="仿宋" w:hAnsi="仿宋" w:eastAsia="仿宋" w:cs="仿宋"/>
                <w:spacing w:val="7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7"/>
                <w:sz w:val="23"/>
                <w:szCs w:val="23"/>
              </w:rPr>
              <w:t>处方1：合理处方（  ）   不合理处方（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atLeast"/>
        </w:trPr>
        <w:tc>
          <w:tcPr>
            <w:tcW w:w="1663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  <w:t>合理处方</w:t>
            </w:r>
          </w:p>
        </w:tc>
        <w:tc>
          <w:tcPr>
            <w:tcW w:w="6969" w:type="dxa"/>
          </w:tcPr>
          <w:p>
            <w:pPr>
              <w:widowControl/>
              <w:rPr>
                <w:rFonts w:ascii="仿宋" w:hAnsi="仿宋" w:eastAsia="仿宋" w:cs="仿宋"/>
                <w:spacing w:val="7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6"/>
                <w:sz w:val="23"/>
                <w:szCs w:val="23"/>
              </w:rPr>
              <w:t>处方中各药的药理作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用</w:t>
            </w:r>
            <w:r>
              <w:rPr>
                <w:rFonts w:hint="eastAsia" w:ascii="仿宋" w:hAnsi="仿宋" w:eastAsia="仿宋" w:cs="仿宋"/>
                <w:spacing w:val="7"/>
                <w:sz w:val="23"/>
                <w:szCs w:val="23"/>
              </w:rPr>
              <w:t>与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作用机制</w:t>
            </w:r>
            <w:r>
              <w:rPr>
                <w:rFonts w:hint="eastAsia" w:ascii="仿宋" w:hAnsi="仿宋" w:eastAsia="仿宋" w:cs="仿宋"/>
                <w:spacing w:val="7"/>
                <w:sz w:val="23"/>
                <w:szCs w:val="23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</w:trPr>
        <w:tc>
          <w:tcPr>
            <w:tcW w:w="166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6969" w:type="dxa"/>
          </w:tcPr>
          <w:p>
            <w:pPr>
              <w:widowControl/>
              <w:rPr>
                <w:rFonts w:ascii="仿宋_GB2312" w:hAnsi="仿宋_GB2312" w:eastAsia="仿宋" w:cs="仿宋_GB2312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8"/>
                <w:position w:val="2"/>
                <w:sz w:val="23"/>
                <w:szCs w:val="23"/>
              </w:rPr>
              <w:t>联合用药的理由</w:t>
            </w:r>
            <w:r>
              <w:rPr>
                <w:rFonts w:hint="eastAsia" w:ascii="仿宋" w:hAnsi="仿宋" w:eastAsia="仿宋" w:cs="仿宋"/>
                <w:spacing w:val="8"/>
                <w:position w:val="2"/>
                <w:sz w:val="23"/>
                <w:szCs w:val="23"/>
              </w:rPr>
              <w:t>：</w:t>
            </w:r>
          </w:p>
          <w:p>
            <w:pPr>
              <w:widowControl/>
              <w:snapToGrid w:val="0"/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9" w:hRule="atLeast"/>
        </w:trPr>
        <w:tc>
          <w:tcPr>
            <w:tcW w:w="166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6969" w:type="dxa"/>
          </w:tcPr>
          <w:p>
            <w:pPr>
              <w:widowControl/>
              <w:rPr>
                <w:rFonts w:ascii="仿宋" w:hAnsi="仿宋" w:eastAsia="仿宋" w:cs="仿宋"/>
                <w:spacing w:val="9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</w:rPr>
              <w:t>用药交代：</w:t>
            </w:r>
          </w:p>
          <w:p>
            <w:pPr>
              <w:widowControl/>
              <w:rPr>
                <w:rFonts w:ascii="仿宋" w:hAnsi="仿宋" w:eastAsia="仿宋" w:cs="仿宋"/>
                <w:spacing w:val="9"/>
                <w:sz w:val="23"/>
                <w:szCs w:val="23"/>
              </w:rPr>
            </w:pPr>
          </w:p>
          <w:p>
            <w:pPr>
              <w:widowControl/>
              <w:rPr>
                <w:rFonts w:ascii="仿宋" w:hAnsi="仿宋" w:eastAsia="仿宋" w:cs="仿宋"/>
                <w:spacing w:val="9"/>
                <w:sz w:val="23"/>
                <w:szCs w:val="23"/>
              </w:rPr>
            </w:pPr>
          </w:p>
          <w:p>
            <w:pPr>
              <w:widowControl/>
              <w:rPr>
                <w:rFonts w:ascii="仿宋" w:hAnsi="仿宋" w:eastAsia="仿宋" w:cs="仿宋"/>
                <w:spacing w:val="9"/>
                <w:sz w:val="23"/>
                <w:szCs w:val="23"/>
              </w:rPr>
            </w:pPr>
          </w:p>
          <w:p>
            <w:pPr>
              <w:widowControl/>
              <w:snapToGrid w:val="0"/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663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  <w:t>不合理处方</w:t>
            </w:r>
          </w:p>
        </w:tc>
        <w:tc>
          <w:tcPr>
            <w:tcW w:w="6969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 w:cs="仿宋"/>
                <w:spacing w:val="7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8"/>
                <w:sz w:val="23"/>
                <w:szCs w:val="23"/>
              </w:rPr>
              <w:t>处方1：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不规范处方</w:t>
            </w:r>
            <w:r>
              <w:rPr>
                <w:rFonts w:hint="eastAsia" w:ascii="仿宋" w:hAnsi="仿宋" w:eastAsia="仿宋" w:cs="仿宋"/>
                <w:spacing w:val="8"/>
                <w:sz w:val="23"/>
                <w:szCs w:val="23"/>
              </w:rPr>
              <w:t xml:space="preserve">（  ） 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不适宜处方</w:t>
            </w:r>
            <w:r>
              <w:rPr>
                <w:rFonts w:hint="eastAsia" w:ascii="仿宋" w:hAnsi="仿宋" w:eastAsia="仿宋" w:cs="仿宋"/>
                <w:spacing w:val="7"/>
                <w:sz w:val="23"/>
                <w:szCs w:val="23"/>
              </w:rPr>
              <w:t>（ ） 二者兼是（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0" w:hRule="atLeast"/>
        </w:trPr>
        <w:tc>
          <w:tcPr>
            <w:tcW w:w="166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6969" w:type="dxa"/>
          </w:tcPr>
          <w:p>
            <w:pPr>
              <w:widowControl/>
              <w:rPr>
                <w:rFonts w:ascii="仿宋" w:hAnsi="仿宋" w:eastAsia="仿宋" w:cs="仿宋"/>
                <w:spacing w:val="15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15"/>
                <w:sz w:val="23"/>
                <w:szCs w:val="23"/>
              </w:rPr>
              <w:t>写出</w:t>
            </w:r>
            <w:r>
              <w:rPr>
                <w:rFonts w:ascii="仿宋" w:hAnsi="仿宋" w:eastAsia="仿宋" w:cs="仿宋"/>
                <w:spacing w:val="15"/>
                <w:sz w:val="23"/>
                <w:szCs w:val="23"/>
              </w:rPr>
              <w:t>处方中的所有</w:t>
            </w:r>
            <w:r>
              <w:rPr>
                <w:rFonts w:hint="eastAsia" w:ascii="仿宋" w:hAnsi="仿宋" w:eastAsia="仿宋" w:cs="仿宋"/>
                <w:spacing w:val="15"/>
                <w:sz w:val="23"/>
                <w:szCs w:val="23"/>
              </w:rPr>
              <w:t>不规范或（和）</w:t>
            </w:r>
            <w:r>
              <w:rPr>
                <w:rFonts w:ascii="仿宋" w:hAnsi="仿宋" w:eastAsia="仿宋" w:cs="仿宋"/>
                <w:spacing w:val="15"/>
                <w:sz w:val="23"/>
                <w:szCs w:val="23"/>
              </w:rPr>
              <w:t>不适宜</w:t>
            </w: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之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处并说明理由</w:t>
            </w:r>
            <w:r>
              <w:rPr>
                <w:rFonts w:hint="eastAsia" w:ascii="仿宋" w:hAnsi="仿宋" w:eastAsia="仿宋" w:cs="仿宋"/>
                <w:spacing w:val="7"/>
                <w:sz w:val="23"/>
                <w:szCs w:val="23"/>
              </w:rPr>
              <w:t>，同时给出合理性建议：</w:t>
            </w:r>
          </w:p>
          <w:p>
            <w:pPr>
              <w:widowControl/>
              <w:rPr>
                <w:rFonts w:ascii="仿宋" w:hAnsi="仿宋" w:eastAsia="仿宋" w:cs="仿宋"/>
                <w:spacing w:val="15"/>
                <w:sz w:val="23"/>
                <w:szCs w:val="23"/>
              </w:rPr>
            </w:pPr>
          </w:p>
          <w:p>
            <w:pPr>
              <w:widowControl/>
              <w:rPr>
                <w:rFonts w:ascii="仿宋" w:hAnsi="仿宋" w:eastAsia="仿宋" w:cs="仿宋"/>
                <w:spacing w:val="15"/>
                <w:sz w:val="23"/>
                <w:szCs w:val="23"/>
              </w:rPr>
            </w:pPr>
          </w:p>
          <w:p>
            <w:pPr>
              <w:widowControl/>
              <w:rPr>
                <w:rFonts w:ascii="仿宋" w:hAnsi="仿宋" w:eastAsia="仿宋" w:cs="仿宋"/>
                <w:spacing w:val="15"/>
                <w:sz w:val="23"/>
                <w:szCs w:val="23"/>
              </w:rPr>
            </w:pPr>
          </w:p>
          <w:p>
            <w:pPr>
              <w:widowControl/>
              <w:rPr>
                <w:rFonts w:ascii="仿宋" w:hAnsi="仿宋" w:eastAsia="仿宋" w:cs="仿宋"/>
                <w:spacing w:val="2"/>
                <w:sz w:val="23"/>
                <w:szCs w:val="23"/>
              </w:rPr>
            </w:pPr>
          </w:p>
          <w:p>
            <w:pPr>
              <w:widowControl/>
              <w:rPr>
                <w:rFonts w:ascii="仿宋" w:hAnsi="仿宋" w:eastAsia="仿宋" w:cs="仿宋"/>
                <w:spacing w:val="2"/>
                <w:sz w:val="23"/>
                <w:szCs w:val="23"/>
              </w:rPr>
            </w:pPr>
          </w:p>
        </w:tc>
      </w:tr>
    </w:tbl>
    <w:p>
      <w:pPr>
        <w:widowControl/>
        <w:ind w:firstLine="562" w:firstLineChars="200"/>
        <w:jc w:val="left"/>
        <w:rPr>
          <w:rFonts w:ascii="仿宋" w:hAnsi="仿宋" w:eastAsia="仿宋" w:cs="仿宋"/>
          <w:b/>
          <w:color w:val="000000"/>
          <w:kern w:val="0"/>
          <w:sz w:val="28"/>
          <w:szCs w:val="28"/>
          <w:u w:val="single"/>
          <w:lang w:bidi="ar"/>
        </w:rPr>
      </w:pP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bidi="ar"/>
        </w:rPr>
        <w:t>裁判员签字：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bidi="ar"/>
        </w:rPr>
        <w:t xml:space="preserve">             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bidi="ar"/>
        </w:rPr>
        <w:t xml:space="preserve">            日期：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bidi="ar"/>
        </w:rPr>
        <w:t xml:space="preserve">           </w:t>
      </w:r>
    </w:p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bCs/>
          <w:sz w:val="36"/>
          <w:szCs w:val="36"/>
        </w:rPr>
        <w:t>2023年全国职业院校技能大赛药学技能</w:t>
      </w:r>
      <w:r>
        <w:rPr>
          <w:rFonts w:ascii="Times New Roman" w:hAnsi="Times New Roman" w:eastAsia="宋体" w:cs="Times New Roman"/>
          <w:b/>
          <w:bCs/>
          <w:sz w:val="36"/>
          <w:szCs w:val="36"/>
        </w:rPr>
        <w:t>赛项</w:t>
      </w:r>
    </w:p>
    <w:p>
      <w:pPr>
        <w:adjustRightInd w:val="0"/>
        <w:snapToGrid w:val="0"/>
        <w:spacing w:after="156" w:afterLines="50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 xml:space="preserve">处方调剂与用药指导模块——处方2答题纸 </w:t>
      </w:r>
    </w:p>
    <w:p>
      <w:pPr>
        <w:widowControl/>
        <w:snapToGrid w:val="0"/>
        <w:spacing w:line="360" w:lineRule="auto"/>
        <w:ind w:firstLine="1920" w:firstLineChars="8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工位号：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      比赛用时：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</w:rPr>
        <w:t xml:space="preserve">       </w:t>
      </w:r>
    </w:p>
    <w:tbl>
      <w:tblPr>
        <w:tblStyle w:val="5"/>
        <w:tblW w:w="86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3"/>
        <w:gridCol w:w="6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66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696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填写内容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66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  <w:t>审核结果</w:t>
            </w:r>
          </w:p>
        </w:tc>
        <w:tc>
          <w:tcPr>
            <w:tcW w:w="6969" w:type="dxa"/>
            <w:vAlign w:val="center"/>
          </w:tcPr>
          <w:p>
            <w:pPr>
              <w:widowControl/>
              <w:spacing w:line="360" w:lineRule="auto"/>
              <w:rPr>
                <w:rFonts w:ascii="仿宋" w:hAnsi="仿宋" w:eastAsia="仿宋" w:cs="仿宋"/>
                <w:spacing w:val="7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7"/>
                <w:sz w:val="23"/>
                <w:szCs w:val="23"/>
              </w:rPr>
              <w:t>处方2：合理处方（  ）   不合理处方（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atLeast"/>
        </w:trPr>
        <w:tc>
          <w:tcPr>
            <w:tcW w:w="1663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  <w:t>合理处方</w:t>
            </w:r>
          </w:p>
        </w:tc>
        <w:tc>
          <w:tcPr>
            <w:tcW w:w="6969" w:type="dxa"/>
          </w:tcPr>
          <w:p>
            <w:pPr>
              <w:widowControl/>
              <w:rPr>
                <w:rFonts w:ascii="仿宋" w:hAnsi="仿宋" w:eastAsia="仿宋" w:cs="仿宋"/>
                <w:spacing w:val="7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6"/>
                <w:sz w:val="23"/>
                <w:szCs w:val="23"/>
              </w:rPr>
              <w:t>处方中各药的药理作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用</w:t>
            </w:r>
            <w:r>
              <w:rPr>
                <w:rFonts w:hint="eastAsia" w:ascii="仿宋" w:hAnsi="仿宋" w:eastAsia="仿宋" w:cs="仿宋"/>
                <w:spacing w:val="7"/>
                <w:sz w:val="23"/>
                <w:szCs w:val="23"/>
              </w:rPr>
              <w:t>与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作用机制</w:t>
            </w:r>
            <w:r>
              <w:rPr>
                <w:rFonts w:hint="eastAsia" w:ascii="仿宋" w:hAnsi="仿宋" w:eastAsia="仿宋" w:cs="仿宋"/>
                <w:spacing w:val="7"/>
                <w:sz w:val="23"/>
                <w:szCs w:val="23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</w:trPr>
        <w:tc>
          <w:tcPr>
            <w:tcW w:w="166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6969" w:type="dxa"/>
          </w:tcPr>
          <w:p>
            <w:pPr>
              <w:widowControl/>
              <w:rPr>
                <w:rFonts w:ascii="仿宋_GB2312" w:hAnsi="仿宋_GB2312" w:eastAsia="仿宋" w:cs="仿宋_GB2312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8"/>
                <w:position w:val="2"/>
                <w:sz w:val="23"/>
                <w:szCs w:val="23"/>
              </w:rPr>
              <w:t>联合用药的理由</w:t>
            </w:r>
            <w:r>
              <w:rPr>
                <w:rFonts w:hint="eastAsia" w:ascii="仿宋" w:hAnsi="仿宋" w:eastAsia="仿宋" w:cs="仿宋"/>
                <w:spacing w:val="8"/>
                <w:position w:val="2"/>
                <w:sz w:val="23"/>
                <w:szCs w:val="23"/>
              </w:rPr>
              <w:t>：</w:t>
            </w:r>
          </w:p>
          <w:p>
            <w:pPr>
              <w:widowControl/>
              <w:snapToGrid w:val="0"/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9" w:hRule="atLeast"/>
        </w:trPr>
        <w:tc>
          <w:tcPr>
            <w:tcW w:w="166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6969" w:type="dxa"/>
          </w:tcPr>
          <w:p>
            <w:pPr>
              <w:widowControl/>
              <w:rPr>
                <w:rFonts w:ascii="仿宋" w:hAnsi="仿宋" w:eastAsia="仿宋" w:cs="仿宋"/>
                <w:spacing w:val="9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</w:rPr>
              <w:t>用药交代：</w:t>
            </w:r>
          </w:p>
          <w:p>
            <w:pPr>
              <w:widowControl/>
              <w:rPr>
                <w:rFonts w:ascii="仿宋" w:hAnsi="仿宋" w:eastAsia="仿宋" w:cs="仿宋"/>
                <w:spacing w:val="9"/>
                <w:sz w:val="23"/>
                <w:szCs w:val="23"/>
              </w:rPr>
            </w:pPr>
          </w:p>
          <w:p>
            <w:pPr>
              <w:widowControl/>
              <w:rPr>
                <w:rFonts w:ascii="仿宋" w:hAnsi="仿宋" w:eastAsia="仿宋" w:cs="仿宋"/>
                <w:spacing w:val="9"/>
                <w:sz w:val="23"/>
                <w:szCs w:val="23"/>
              </w:rPr>
            </w:pPr>
          </w:p>
          <w:p>
            <w:pPr>
              <w:widowControl/>
              <w:rPr>
                <w:rFonts w:ascii="仿宋" w:hAnsi="仿宋" w:eastAsia="仿宋" w:cs="仿宋"/>
                <w:spacing w:val="9"/>
                <w:sz w:val="23"/>
                <w:szCs w:val="23"/>
              </w:rPr>
            </w:pPr>
          </w:p>
          <w:p>
            <w:pPr>
              <w:widowControl/>
              <w:snapToGrid w:val="0"/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663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  <w:t>不合理处方</w:t>
            </w:r>
          </w:p>
        </w:tc>
        <w:tc>
          <w:tcPr>
            <w:tcW w:w="6969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 w:cs="仿宋"/>
                <w:spacing w:val="7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8"/>
                <w:sz w:val="23"/>
                <w:szCs w:val="23"/>
              </w:rPr>
              <w:t>处方2：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不规范处方</w:t>
            </w:r>
            <w:r>
              <w:rPr>
                <w:rFonts w:hint="eastAsia" w:ascii="仿宋" w:hAnsi="仿宋" w:eastAsia="仿宋" w:cs="仿宋"/>
                <w:spacing w:val="8"/>
                <w:sz w:val="23"/>
                <w:szCs w:val="23"/>
              </w:rPr>
              <w:t xml:space="preserve">（  ） 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不适宜处方</w:t>
            </w:r>
            <w:r>
              <w:rPr>
                <w:rFonts w:hint="eastAsia" w:ascii="仿宋" w:hAnsi="仿宋" w:eastAsia="仿宋" w:cs="仿宋"/>
                <w:spacing w:val="7"/>
                <w:sz w:val="23"/>
                <w:szCs w:val="23"/>
              </w:rPr>
              <w:t>（ ） 二者兼是（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2" w:hRule="atLeast"/>
        </w:trPr>
        <w:tc>
          <w:tcPr>
            <w:tcW w:w="166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6969" w:type="dxa"/>
          </w:tcPr>
          <w:p>
            <w:pPr>
              <w:widowControl/>
              <w:rPr>
                <w:rFonts w:ascii="仿宋" w:hAnsi="仿宋" w:eastAsia="仿宋" w:cs="仿宋"/>
                <w:spacing w:val="15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15"/>
                <w:sz w:val="23"/>
                <w:szCs w:val="23"/>
              </w:rPr>
              <w:t>写出</w:t>
            </w:r>
            <w:r>
              <w:rPr>
                <w:rFonts w:ascii="仿宋" w:hAnsi="仿宋" w:eastAsia="仿宋" w:cs="仿宋"/>
                <w:spacing w:val="15"/>
                <w:sz w:val="23"/>
                <w:szCs w:val="23"/>
              </w:rPr>
              <w:t>处方中的所有</w:t>
            </w:r>
            <w:r>
              <w:rPr>
                <w:rFonts w:hint="eastAsia" w:ascii="仿宋" w:hAnsi="仿宋" w:eastAsia="仿宋" w:cs="仿宋"/>
                <w:spacing w:val="15"/>
                <w:sz w:val="23"/>
                <w:szCs w:val="23"/>
              </w:rPr>
              <w:t>不规范或（和）</w:t>
            </w:r>
            <w:r>
              <w:rPr>
                <w:rFonts w:ascii="仿宋" w:hAnsi="仿宋" w:eastAsia="仿宋" w:cs="仿宋"/>
                <w:spacing w:val="15"/>
                <w:sz w:val="23"/>
                <w:szCs w:val="23"/>
              </w:rPr>
              <w:t>不适宜</w:t>
            </w: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之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处并说明理由</w:t>
            </w:r>
            <w:r>
              <w:rPr>
                <w:rFonts w:hint="eastAsia" w:ascii="仿宋" w:hAnsi="仿宋" w:eastAsia="仿宋" w:cs="仿宋"/>
                <w:spacing w:val="7"/>
                <w:sz w:val="23"/>
                <w:szCs w:val="23"/>
              </w:rPr>
              <w:t>，同时给出合理性建议：</w:t>
            </w:r>
          </w:p>
          <w:p>
            <w:pPr>
              <w:widowControl/>
              <w:rPr>
                <w:rFonts w:ascii="仿宋" w:hAnsi="仿宋" w:eastAsia="仿宋" w:cs="仿宋"/>
                <w:spacing w:val="15"/>
                <w:sz w:val="23"/>
                <w:szCs w:val="23"/>
              </w:rPr>
            </w:pPr>
          </w:p>
          <w:p>
            <w:pPr>
              <w:widowControl/>
              <w:rPr>
                <w:rFonts w:ascii="仿宋" w:hAnsi="仿宋" w:eastAsia="仿宋" w:cs="仿宋"/>
                <w:spacing w:val="15"/>
                <w:sz w:val="23"/>
                <w:szCs w:val="23"/>
              </w:rPr>
            </w:pPr>
          </w:p>
          <w:p>
            <w:pPr>
              <w:widowControl/>
              <w:rPr>
                <w:rFonts w:ascii="仿宋" w:hAnsi="仿宋" w:eastAsia="仿宋" w:cs="仿宋"/>
                <w:spacing w:val="15"/>
                <w:sz w:val="23"/>
                <w:szCs w:val="23"/>
              </w:rPr>
            </w:pPr>
          </w:p>
          <w:p>
            <w:pPr>
              <w:widowControl/>
              <w:rPr>
                <w:rFonts w:ascii="仿宋" w:hAnsi="仿宋" w:eastAsia="仿宋" w:cs="仿宋"/>
                <w:spacing w:val="2"/>
                <w:sz w:val="23"/>
                <w:szCs w:val="23"/>
              </w:rPr>
            </w:pPr>
          </w:p>
          <w:p>
            <w:pPr>
              <w:widowControl/>
              <w:rPr>
                <w:rFonts w:ascii="仿宋" w:hAnsi="仿宋" w:eastAsia="仿宋" w:cs="仿宋"/>
                <w:spacing w:val="2"/>
                <w:sz w:val="23"/>
                <w:szCs w:val="23"/>
              </w:rPr>
            </w:pPr>
          </w:p>
        </w:tc>
      </w:tr>
    </w:tbl>
    <w:p>
      <w:pPr>
        <w:widowControl/>
        <w:ind w:firstLine="562" w:firstLineChars="200"/>
        <w:rPr>
          <w:rFonts w:ascii="仿宋" w:hAnsi="仿宋" w:eastAsia="仿宋" w:cs="仿宋"/>
          <w:b/>
          <w:color w:val="000000"/>
          <w:kern w:val="0"/>
          <w:sz w:val="28"/>
          <w:szCs w:val="28"/>
          <w:u w:val="single"/>
          <w:lang w:bidi="ar"/>
        </w:rPr>
      </w:pP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bidi="ar"/>
        </w:rPr>
        <w:t>裁判员签字：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bidi="ar"/>
        </w:rPr>
        <w:t xml:space="preserve">             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bidi="ar"/>
        </w:rPr>
        <w:t xml:space="preserve">            日期：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bidi="ar"/>
        </w:rPr>
        <w:t xml:space="preserve">           </w:t>
      </w:r>
    </w:p>
    <w:p>
      <w:pPr>
        <w:ind w:firstLine="723" w:firstLineChars="200"/>
        <w:jc w:val="both"/>
        <w:rPr>
          <w:rFonts w:ascii="Times New Roman" w:hAnsi="Times New Roman" w:eastAsia="宋体" w:cs="Times New Roman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36"/>
          <w:szCs w:val="36"/>
        </w:rPr>
        <w:t>2023年全国职业院校技能大赛药学技能</w:t>
      </w:r>
      <w:r>
        <w:rPr>
          <w:rFonts w:ascii="Times New Roman" w:hAnsi="Times New Roman" w:eastAsia="宋体" w:cs="Times New Roman"/>
          <w:b/>
          <w:bCs/>
          <w:sz w:val="36"/>
          <w:szCs w:val="36"/>
        </w:rPr>
        <w:t>赛项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default" w:ascii="黑体" w:hAnsi="黑体" w:eastAsia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用药咨询与慢病管理模块—问病荐药试题单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  <w:t>考核时间：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30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  <w:t>分钟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             题目分值：25分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2" w:firstLineChars="200"/>
        <w:jc w:val="left"/>
        <w:textAlignment w:val="auto"/>
        <w:rPr>
          <w:rFonts w:hint="default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一、试题背景</w:t>
      </w:r>
    </w:p>
    <w:p>
      <w:pPr>
        <w:widowControl/>
        <w:snapToGrid w:val="0"/>
        <w:spacing w:line="360" w:lineRule="auto"/>
        <w:ind w:firstLine="56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男性患者，50岁，公司职员。因近日天气变化受凉，出现头痛、流清涕、鼻塞、打喷嚏、畏寒低热、轻微咳嗽等症状2天，其他无明显不适。经检查：T 38.1℃。顾客每天开车上下班，有3年的高血压病史，睡眠饮食不规律，运动较少。因症状轻微未曾就医，否认有药物过敏史。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二、答题要求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1.根据试题背景和患者陈述，收集病情信息，如疾病史、就医史、用药史、过敏史；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2.根据病情信息，进行疾病评估，判断患者可能患有的疾病，给出判断依据；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3.结合疾病症状推荐主治药物和联用药物，说明推荐理由；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4.自选1个推荐的主治药物进行用药交代，说明药物用法用量、常见不良反应、用药注意事项和贮藏方法等；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5.现场解答患者随机提出的用药问题（至少3个）。</w:t>
      </w:r>
    </w:p>
    <w:p>
      <w:pPr>
        <w:spacing w:line="360" w:lineRule="auto"/>
        <w:rPr>
          <w:rFonts w:hint="eastAsia" w:ascii="仿宋" w:hAnsi="仿宋" w:eastAsia="仿宋"/>
          <w:sz w:val="24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36"/>
          <w:szCs w:val="36"/>
        </w:rPr>
      </w:pPr>
      <w:r>
        <w:rPr>
          <w:rFonts w:hint="default"/>
          <w:sz w:val="36"/>
          <w:szCs w:val="36"/>
          <w:vertAlign w:val="baseline"/>
          <w:lang w:val="en-US" w:eastAsia="zh-CN"/>
        </w:rPr>
        <w:br w:type="page"/>
      </w:r>
      <w:r>
        <w:rPr>
          <w:rFonts w:hint="eastAsia" w:ascii="Times New Roman" w:hAnsi="Times New Roman" w:eastAsia="宋体" w:cs="Times New Roman"/>
          <w:b/>
          <w:bCs/>
          <w:sz w:val="36"/>
          <w:szCs w:val="36"/>
        </w:rPr>
        <w:t>2023年全国职业院校技能大赛药学技能</w:t>
      </w:r>
      <w:r>
        <w:rPr>
          <w:rFonts w:ascii="Times New Roman" w:hAnsi="Times New Roman" w:eastAsia="宋体" w:cs="Times New Roman"/>
          <w:b/>
          <w:bCs/>
          <w:sz w:val="36"/>
          <w:szCs w:val="36"/>
        </w:rPr>
        <w:t>赛项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240" w:lineRule="auto"/>
        <w:jc w:val="center"/>
        <w:textAlignment w:val="auto"/>
        <w:rPr>
          <w:rFonts w:hint="default" w:ascii="仿宋" w:hAnsi="仿宋" w:eastAsia="仿宋" w:cs="仿宋"/>
          <w:b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用药咨询与慢病管理模块—问病荐药答题纸</w:t>
      </w:r>
    </w:p>
    <w:p>
      <w:pPr>
        <w:widowControl/>
        <w:snapToGrid w:val="0"/>
        <w:spacing w:line="360" w:lineRule="auto"/>
        <w:ind w:firstLine="1680" w:firstLineChars="700"/>
        <w:jc w:val="both"/>
        <w:rPr>
          <w:rFonts w:hint="default" w:ascii="仿宋" w:hAnsi="仿宋" w:eastAsia="仿宋" w:cs="仿宋"/>
          <w:b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工位号：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比赛用时：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</w:t>
      </w:r>
    </w:p>
    <w:tbl>
      <w:tblPr>
        <w:tblStyle w:val="5"/>
        <w:tblW w:w="89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528"/>
        <w:gridCol w:w="57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24" w:type="dxa"/>
            <w:gridSpan w:val="2"/>
            <w:noWrap w:val="0"/>
            <w:vAlign w:val="top"/>
          </w:tcPr>
          <w:p>
            <w:pPr>
              <w:widowControl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val="en-US" w:eastAsia="zh-CN"/>
              </w:rPr>
              <w:t>项目</w:t>
            </w:r>
          </w:p>
        </w:tc>
        <w:tc>
          <w:tcPr>
            <w:tcW w:w="5746" w:type="dxa"/>
            <w:noWrap w:val="0"/>
            <w:vAlign w:val="top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val="en-US" w:eastAsia="zh-CN"/>
              </w:rPr>
              <w:t>填写内容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9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  <w:t>收集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  <w:t>病情信息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疾病史</w:t>
            </w:r>
          </w:p>
        </w:tc>
        <w:tc>
          <w:tcPr>
            <w:tcW w:w="57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6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就医史</w:t>
            </w:r>
          </w:p>
        </w:tc>
        <w:tc>
          <w:tcPr>
            <w:tcW w:w="57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6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用药史</w:t>
            </w:r>
          </w:p>
        </w:tc>
        <w:tc>
          <w:tcPr>
            <w:tcW w:w="57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6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过敏史</w:t>
            </w:r>
          </w:p>
        </w:tc>
        <w:tc>
          <w:tcPr>
            <w:tcW w:w="57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9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  <w:t>疾病评估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疾病评估</w:t>
            </w:r>
          </w:p>
        </w:tc>
        <w:tc>
          <w:tcPr>
            <w:tcW w:w="57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" w:hRule="atLeast"/>
          <w:jc w:val="center"/>
        </w:trPr>
        <w:tc>
          <w:tcPr>
            <w:tcW w:w="16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判断理由</w:t>
            </w:r>
          </w:p>
        </w:tc>
        <w:tc>
          <w:tcPr>
            <w:tcW w:w="57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9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  <w:t>推荐药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  <w:t>物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主治药物</w:t>
            </w:r>
          </w:p>
        </w:tc>
        <w:tc>
          <w:tcPr>
            <w:tcW w:w="57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6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联用药物</w:t>
            </w:r>
          </w:p>
        </w:tc>
        <w:tc>
          <w:tcPr>
            <w:tcW w:w="57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169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  <w:t>推荐理由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主治药物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作用机制</w:t>
            </w:r>
          </w:p>
        </w:tc>
        <w:tc>
          <w:tcPr>
            <w:tcW w:w="57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Times New Roman"/>
                <w:color w:val="000000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Times New Roman"/>
                <w:color w:val="000000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Times New Roman"/>
                <w:color w:val="000000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Times New Roman"/>
                <w:color w:val="000000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Times New Roman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主治药物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适应症</w:t>
            </w:r>
          </w:p>
        </w:tc>
        <w:tc>
          <w:tcPr>
            <w:tcW w:w="57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6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联合用药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作用机制</w:t>
            </w:r>
          </w:p>
        </w:tc>
        <w:tc>
          <w:tcPr>
            <w:tcW w:w="57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69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  <w:t>主治药物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  <w:t>用药交待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用法</w:t>
            </w:r>
          </w:p>
        </w:tc>
        <w:tc>
          <w:tcPr>
            <w:tcW w:w="57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6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用量</w:t>
            </w:r>
          </w:p>
        </w:tc>
        <w:tc>
          <w:tcPr>
            <w:tcW w:w="57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5" w:hRule="atLeast"/>
          <w:jc w:val="center"/>
        </w:trPr>
        <w:tc>
          <w:tcPr>
            <w:tcW w:w="16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常见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不良反应</w:t>
            </w:r>
          </w:p>
        </w:tc>
        <w:tc>
          <w:tcPr>
            <w:tcW w:w="57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  <w:jc w:val="center"/>
        </w:trPr>
        <w:tc>
          <w:tcPr>
            <w:tcW w:w="16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52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用药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注意事项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（至少4项）</w:t>
            </w:r>
          </w:p>
        </w:tc>
        <w:tc>
          <w:tcPr>
            <w:tcW w:w="57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（1）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  <w:jc w:val="center"/>
        </w:trPr>
        <w:tc>
          <w:tcPr>
            <w:tcW w:w="16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5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57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（2）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  <w:jc w:val="center"/>
        </w:trPr>
        <w:tc>
          <w:tcPr>
            <w:tcW w:w="16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5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57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（3）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  <w:jc w:val="center"/>
        </w:trPr>
        <w:tc>
          <w:tcPr>
            <w:tcW w:w="16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5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57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（4）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16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贮藏方法</w:t>
            </w:r>
          </w:p>
        </w:tc>
        <w:tc>
          <w:tcPr>
            <w:tcW w:w="57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2" w:hRule="atLeast"/>
          <w:jc w:val="center"/>
        </w:trPr>
        <w:tc>
          <w:tcPr>
            <w:tcW w:w="16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  <w:t>用药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  <w:t>问题解答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随机提问（至少3个）</w:t>
            </w:r>
          </w:p>
        </w:tc>
        <w:tc>
          <w:tcPr>
            <w:tcW w:w="57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注：本项目内容只需做口头陈述或现场示范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</w:tbl>
    <w:p>
      <w:pPr>
        <w:spacing w:line="360" w:lineRule="auto"/>
        <w:ind w:firstLine="703" w:firstLineChars="250"/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val="en-US" w:eastAsia="zh-CN" w:bidi="ar"/>
        </w:rPr>
      </w:pPr>
    </w:p>
    <w:p>
      <w:pPr>
        <w:spacing w:line="360" w:lineRule="auto"/>
        <w:ind w:firstLine="703" w:firstLineChars="250"/>
        <w:rPr>
          <w:rFonts w:hint="eastAsia" w:ascii="仿宋" w:hAnsi="仿宋" w:eastAsia="仿宋"/>
          <w:sz w:val="8"/>
          <w:szCs w:val="8"/>
        </w:rPr>
      </w:pP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val="en-US" w:eastAsia="zh-CN" w:bidi="ar"/>
        </w:rPr>
        <w:t>裁判员签字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bidi="ar"/>
        </w:rPr>
        <w:t xml:space="preserve">      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none"/>
          <w:lang w:val="en-US" w:eastAsia="zh-CN" w:bidi="ar"/>
        </w:rPr>
        <w:t xml:space="preserve">            日期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</w:t>
      </w:r>
    </w:p>
    <w:p>
      <w:pPr>
        <w:pStyle w:val="2"/>
        <w:ind w:left="0" w:leftChars="0" w:firstLine="0" w:firstLineChars="0"/>
      </w:pPr>
    </w:p>
    <w:p>
      <w:pPr>
        <w:pStyle w:val="2"/>
        <w:ind w:left="0" w:leftChars="0" w:firstLine="0" w:firstLineChars="0"/>
      </w:pPr>
    </w:p>
    <w:p>
      <w:pPr>
        <w:pStyle w:val="2"/>
        <w:ind w:left="0" w:leftChars="0" w:firstLine="0" w:firstLineChars="0"/>
      </w:pPr>
    </w:p>
    <w:p>
      <w:pPr>
        <w:jc w:val="center"/>
        <w:rPr>
          <w:rFonts w:ascii="Times New Roman" w:hAnsi="Times New Roman" w:eastAsia="宋体" w:cs="Times New Roman"/>
          <w:b/>
          <w:bCs/>
          <w:sz w:val="36"/>
          <w:szCs w:val="36"/>
        </w:rPr>
      </w:pPr>
      <w:r>
        <w:rPr>
          <w:rFonts w:hint="eastAsia" w:ascii="Times New Roman" w:hAnsi="Times New Roman" w:eastAsia="宋体" w:cs="Times New Roman"/>
          <w:b/>
          <w:bCs/>
          <w:sz w:val="36"/>
          <w:szCs w:val="36"/>
        </w:rPr>
        <w:t>2023年全国职业院校技能大赛药学技能</w:t>
      </w:r>
      <w:r>
        <w:rPr>
          <w:rFonts w:ascii="Times New Roman" w:hAnsi="Times New Roman" w:eastAsia="宋体" w:cs="Times New Roman"/>
          <w:b/>
          <w:bCs/>
          <w:sz w:val="36"/>
          <w:szCs w:val="36"/>
        </w:rPr>
        <w:t>赛项</w:t>
      </w:r>
    </w:p>
    <w:p>
      <w:pPr>
        <w:jc w:val="center"/>
        <w:rPr>
          <w:rFonts w:hint="eastAsia" w:ascii="黑体" w:hAnsi="黑体" w:eastAsia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用药咨询与慢病管理模块—慢病管理试题单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  <w:t>考核时间：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20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  <w:t>分钟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             题目分值：15分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一、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  <w:t>试题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背景 </w:t>
      </w:r>
    </w:p>
    <w:p>
      <w:pPr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患者张某，女，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2岁，三年前出现不明原因头晕、乏力、失眠的情况，近期单位组织体检，报告显示血液中总胆固醇及甘油三酯值偏高，建议其进行进一步检查，隧到医院就医，检测结果TC 6.25 mmol/L，TG 2.65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mmol/L，并伴有眼部黄色瘤、角膜环。医生诊断其为原发性混合型高血脂症，开具药物为：阿托伐他汀钙片 10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mg q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d. 口服，非诺贝特片 100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mg t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i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d. 口服。请做用药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指导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与健康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教育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。</w:t>
      </w:r>
    </w:p>
    <w:p>
      <w:pPr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患者基本情况：患者160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cm，73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Kg，为某企业销售人员，由于工作性质，平日应酬较多，饮食较油腻，存在被动吸烟的情况，平日无其他体育锻炼。自述其母亲于两年前死于心肌梗死。患有高血压5年，服药后血压值130/85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mmHg，无其他疾病史，无过敏史。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二、答题要求 </w:t>
      </w:r>
    </w:p>
    <w:p>
      <w:pPr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根据试题背景资料，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填写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患者基本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信息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；</w:t>
      </w:r>
    </w:p>
    <w:p>
      <w:pPr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2.根据患者病情和用药信息，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对患者正在服用的药物进行用药指导，准确答出治疗药物的作用机制、常见不良反应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和用药注意事项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；</w:t>
      </w:r>
    </w:p>
    <w:p>
      <w:pPr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针对患者情况进行疾病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相关知识和日常生活管理的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健康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教育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。</w:t>
      </w:r>
    </w:p>
    <w:p>
      <w:pPr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</w:p>
    <w:p>
      <w:pPr>
        <w:rPr>
          <w:rFonts w:hint="default"/>
          <w:sz w:val="36"/>
          <w:szCs w:val="36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360" w:lineRule="auto"/>
        <w:jc w:val="center"/>
        <w:textAlignment w:val="auto"/>
        <w:rPr>
          <w:rFonts w:hint="eastAsia" w:ascii="黑体" w:hAnsi="黑体" w:eastAsia="黑体"/>
          <w:b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240" w:lineRule="auto"/>
        <w:jc w:val="center"/>
        <w:textAlignment w:val="auto"/>
        <w:rPr>
          <w:rFonts w:hint="eastAsia" w:ascii="黑体" w:hAnsi="黑体" w:eastAsia="黑体"/>
          <w:b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36"/>
          <w:szCs w:val="36"/>
        </w:rPr>
        <w:t>2023年全国职业院校技能大赛药学技能</w:t>
      </w:r>
      <w:r>
        <w:rPr>
          <w:rFonts w:ascii="Times New Roman" w:hAnsi="Times New Roman" w:eastAsia="宋体" w:cs="Times New Roman"/>
          <w:b/>
          <w:bCs/>
          <w:sz w:val="36"/>
          <w:szCs w:val="36"/>
        </w:rPr>
        <w:t>赛项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240" w:lineRule="auto"/>
        <w:jc w:val="center"/>
        <w:textAlignment w:val="auto"/>
        <w:rPr>
          <w:rFonts w:hint="eastAsia" w:ascii="黑体" w:hAnsi="黑体" w:eastAsia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用药咨询与慢病管理模块—慢病管理答题纸</w:t>
      </w:r>
    </w:p>
    <w:p>
      <w:pPr>
        <w:widowControl/>
        <w:snapToGrid w:val="0"/>
        <w:spacing w:line="360" w:lineRule="auto"/>
        <w:ind w:firstLine="1680" w:firstLineChars="700"/>
        <w:jc w:val="both"/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工位号：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 比赛用时：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</w:t>
      </w:r>
    </w:p>
    <w:tbl>
      <w:tblPr>
        <w:tblStyle w:val="5"/>
        <w:tblW w:w="499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1951"/>
        <w:gridCol w:w="54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80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  <w:t>患者基本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val="en-US" w:eastAsia="zh-CN"/>
              </w:rPr>
              <w:t>信息</w:t>
            </w:r>
          </w:p>
        </w:tc>
        <w:tc>
          <w:tcPr>
            <w:tcW w:w="4319" w:type="pct"/>
            <w:gridSpan w:val="2"/>
            <w:noWrap w:val="0"/>
            <w:vAlign w:val="center"/>
          </w:tcPr>
          <w:p>
            <w:pPr>
              <w:spacing w:line="360" w:lineRule="auto"/>
              <w:jc w:val="both"/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 xml:space="preserve">性别：      年龄：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身高：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体重：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 xml:space="preserve">      BMI：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80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  <w:tc>
          <w:tcPr>
            <w:tcW w:w="114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lang w:val="en-US" w:eastAsia="zh-CN"/>
              </w:rPr>
              <w:t>临床诊断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依据</w:t>
            </w:r>
          </w:p>
        </w:tc>
        <w:tc>
          <w:tcPr>
            <w:tcW w:w="3173" w:type="pct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80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  <w:tc>
          <w:tcPr>
            <w:tcW w:w="114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不良嗜好</w:t>
            </w:r>
          </w:p>
        </w:tc>
        <w:tc>
          <w:tcPr>
            <w:tcW w:w="3173" w:type="pct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80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  <w:tc>
          <w:tcPr>
            <w:tcW w:w="114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过敏史</w:t>
            </w:r>
          </w:p>
        </w:tc>
        <w:tc>
          <w:tcPr>
            <w:tcW w:w="3173" w:type="pct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80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  <w:tc>
          <w:tcPr>
            <w:tcW w:w="114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疾病史</w:t>
            </w:r>
          </w:p>
        </w:tc>
        <w:tc>
          <w:tcPr>
            <w:tcW w:w="317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80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  <w:tc>
          <w:tcPr>
            <w:tcW w:w="114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  <w:t>合并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lang w:val="en-US" w:eastAsia="zh-CN"/>
              </w:rPr>
              <w:t>症</w:t>
            </w:r>
          </w:p>
        </w:tc>
        <w:tc>
          <w:tcPr>
            <w:tcW w:w="3173" w:type="pct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</w:trPr>
        <w:tc>
          <w:tcPr>
            <w:tcW w:w="680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  <w:t>用药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  <w:t>指导</w:t>
            </w:r>
          </w:p>
        </w:tc>
        <w:tc>
          <w:tcPr>
            <w:tcW w:w="1146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药物作用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机制</w:t>
            </w:r>
          </w:p>
        </w:tc>
        <w:tc>
          <w:tcPr>
            <w:tcW w:w="3173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2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治疗药物1：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</w:trPr>
        <w:tc>
          <w:tcPr>
            <w:tcW w:w="680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  <w:tc>
          <w:tcPr>
            <w:tcW w:w="1146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2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</w:pPr>
          </w:p>
        </w:tc>
        <w:tc>
          <w:tcPr>
            <w:tcW w:w="3173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2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治疗药物2：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</w:trPr>
        <w:tc>
          <w:tcPr>
            <w:tcW w:w="680" w:type="pct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  <w:tc>
          <w:tcPr>
            <w:tcW w:w="1146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常见不良反应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</w:pPr>
          </w:p>
        </w:tc>
        <w:tc>
          <w:tcPr>
            <w:tcW w:w="3173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治疗药物1：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3" w:hRule="atLeast"/>
        </w:trPr>
        <w:tc>
          <w:tcPr>
            <w:tcW w:w="680" w:type="pct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  <w:tc>
          <w:tcPr>
            <w:tcW w:w="1146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</w:pPr>
          </w:p>
        </w:tc>
        <w:tc>
          <w:tcPr>
            <w:tcW w:w="3173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治疗药物2：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1" w:hRule="atLeast"/>
        </w:trPr>
        <w:tc>
          <w:tcPr>
            <w:tcW w:w="680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4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用药注意事项</w:t>
            </w:r>
          </w:p>
        </w:tc>
        <w:tc>
          <w:tcPr>
            <w:tcW w:w="3173" w:type="pct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both"/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0" w:hRule="atLeast"/>
        </w:trPr>
        <w:tc>
          <w:tcPr>
            <w:tcW w:w="680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  <w:t>健康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val="en-US" w:eastAsia="zh-CN"/>
              </w:rPr>
              <w:t>教育</w:t>
            </w:r>
          </w:p>
        </w:tc>
        <w:tc>
          <w:tcPr>
            <w:tcW w:w="1146" w:type="pct"/>
            <w:vMerge w:val="restart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疾病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相关知识</w:t>
            </w:r>
          </w:p>
        </w:tc>
        <w:tc>
          <w:tcPr>
            <w:tcW w:w="3173" w:type="pct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6" w:lineRule="auto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7" w:hRule="atLeast"/>
        </w:trPr>
        <w:tc>
          <w:tcPr>
            <w:tcW w:w="680" w:type="pct"/>
            <w:vMerge w:val="continue"/>
            <w:noWrap w:val="0"/>
            <w:vAlign w:val="center"/>
          </w:tcPr>
          <w:p>
            <w:pPr>
              <w:pStyle w:val="8"/>
              <w:ind w:firstLine="0" w:firstLineChars="0"/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46" w:type="pct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日常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生活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管理</w:t>
            </w:r>
          </w:p>
        </w:tc>
        <w:tc>
          <w:tcPr>
            <w:tcW w:w="3173" w:type="pct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6" w:lineRule="auto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</w:pPr>
          </w:p>
        </w:tc>
      </w:tr>
    </w:tbl>
    <w:p>
      <w:pPr>
        <w:widowControl/>
        <w:spacing w:line="360" w:lineRule="auto"/>
        <w:jc w:val="center"/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val="en-US" w:eastAsia="zh-CN" w:bidi="ar"/>
        </w:rPr>
      </w:pPr>
    </w:p>
    <w:p>
      <w:pPr>
        <w:widowControl/>
        <w:spacing w:line="360" w:lineRule="auto"/>
        <w:ind w:firstLine="281" w:firstLineChars="100"/>
        <w:jc w:val="both"/>
        <w:rPr>
          <w:rFonts w:hint="eastAsia" w:ascii="黑体" w:hAnsi="黑体" w:eastAsia="黑体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val="en-US" w:eastAsia="zh-CN" w:bidi="ar"/>
        </w:rPr>
        <w:t>裁判员签字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bidi="ar"/>
        </w:rPr>
        <w:t xml:space="preserve">      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none"/>
          <w:lang w:val="en-US" w:eastAsia="zh-CN" w:bidi="ar"/>
        </w:rPr>
        <w:t xml:space="preserve">            日期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240" w:lineRule="auto"/>
        <w:jc w:val="center"/>
        <w:textAlignment w:val="auto"/>
        <w:rPr>
          <w:rFonts w:hint="eastAsia" w:ascii="黑体" w:hAnsi="黑体" w:eastAsia="黑体"/>
          <w:b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000000"/>
    <w:rsid w:val="054C0424"/>
    <w:rsid w:val="08662073"/>
    <w:rsid w:val="0C943AA2"/>
    <w:rsid w:val="12855147"/>
    <w:rsid w:val="1F0C1276"/>
    <w:rsid w:val="1F3F164B"/>
    <w:rsid w:val="20E604A7"/>
    <w:rsid w:val="25CD122E"/>
    <w:rsid w:val="2D6B5402"/>
    <w:rsid w:val="33265955"/>
    <w:rsid w:val="40317AFA"/>
    <w:rsid w:val="4AB03607"/>
    <w:rsid w:val="593860F8"/>
    <w:rsid w:val="5AF71D35"/>
    <w:rsid w:val="5AFF6EAD"/>
    <w:rsid w:val="5F5C7322"/>
    <w:rsid w:val="64A3261A"/>
    <w:rsid w:val="7F1B7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0"/>
    <w:pPr>
      <w:adjustRightInd w:val="0"/>
      <w:snapToGrid w:val="0"/>
      <w:spacing w:line="360" w:lineRule="auto"/>
      <w:ind w:firstLine="420" w:firstLineChars="200"/>
      <w:jc w:val="left"/>
    </w:pPr>
    <w:rPr>
      <w:sz w:val="24"/>
      <w:szCs w:val="22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6">
    <w:name w:val="Table Grid"/>
    <w:basedOn w:val="5"/>
    <w:qFormat/>
    <w:uiPriority w:val="39"/>
    <w:rPr>
      <w:kern w:val="0"/>
      <w:sz w:val="20"/>
      <w:szCs w:val="2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2023-04-16T01:04:00Z</dcterms:created>
  <dc:creator>HUAWEI</dc:creator>
  <cp:lastModifiedBy>HUAWEI</cp:lastModifiedBy>
  <dcterms:modified xsi:type="dcterms:W3CDTF">2023-04-16T01:54:57Z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13F1E981FCAD40828FE24E9DBF748028_12</vt:lpwstr>
  </property>
</Properties>
</file>