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widowControl/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药品陈列与收货验收模块—药品陈列试题单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bidi="ar"/>
        </w:rPr>
        <w:t>考核时间：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bidi="ar"/>
        </w:rPr>
        <w:t>分钟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             题目分值：8分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1124" w:firstLineChars="4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一、答题要求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在规定时间内，按照GSP规定以及药品分类存放的原则将药品分区分类正确摆放在货架内。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1.药品与非药品、内服药与外用药、处方药与非处方药分开；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2.需冷藏储存药品放入冷藏货架（柜）；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3.需阴凉贮存药品放入阴凉区（架）；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4.拆零药品放入拆零专柜；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5.含特殊药品复方制剂、含麻黄碱类复方制剂专柜（区）摆放；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6.包装易混淆药品应分隔摆放；</w:t>
      </w:r>
    </w:p>
    <w:p>
      <w:pPr>
        <w:pStyle w:val="2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7.药品不得倒置，多剂量液体制剂应直立放置。</w:t>
      </w:r>
    </w:p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药品陈列与收货验收模块—药品收货验收试题单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考核时间：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分钟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            题目分值：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一、试题背景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XXX国药馆欲采购一批药品，拟供货单位和采购的品种均已通过首营审核。现供货单位已将药品送达指定地点，请按照GSP相关要求对到货药品进行收货及验收，将药品放置到指定的区域，并填写收货验收记录。</w:t>
      </w:r>
    </w:p>
    <w:p>
      <w:pPr>
        <w:autoSpaceDE/>
        <w:autoSpaceDN/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color w:val="000000"/>
          <w:kern w:val="2"/>
          <w:sz w:val="30"/>
          <w:szCs w:val="30"/>
          <w:lang w:val="en-US" w:eastAsia="zh-CN"/>
        </w:rPr>
        <w:t>二、答题要求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ascii="仿宋" w:hAnsi="仿宋" w:eastAsia="仿宋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</w:rPr>
        <w:t>在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规定时间</w:t>
      </w:r>
      <w:r>
        <w:rPr>
          <w:rFonts w:hint="eastAsia" w:ascii="仿宋" w:hAnsi="仿宋" w:eastAsia="仿宋" w:cs="Times New Roman"/>
          <w:sz w:val="28"/>
          <w:szCs w:val="28"/>
        </w:rPr>
        <w:t>内</w:t>
      </w:r>
      <w:r>
        <w:rPr>
          <w:rFonts w:ascii="仿宋" w:hAnsi="仿宋" w:eastAsia="仿宋"/>
          <w:sz w:val="28"/>
          <w:szCs w:val="28"/>
        </w:rPr>
        <w:t>按照GSP要求及附录4《药品收货与验收》标准进行正确的收货与验收操作，根据检查结果将药品放置相应区域，并填写收货记录和验收记录。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/>
          <w:sz w:val="28"/>
          <w:szCs w:val="28"/>
        </w:rPr>
        <w:t>收货记录和验收记录中已呈现的信息为正确信息。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ascii="仿宋" w:hAnsi="仿宋" w:eastAsia="仿宋"/>
          <w:sz w:val="28"/>
          <w:szCs w:val="28"/>
        </w:rPr>
        <w:t>拒收或者不合格药品</w:t>
      </w:r>
      <w:r>
        <w:rPr>
          <w:rFonts w:ascii="仿宋" w:hAnsi="仿宋" w:eastAsia="仿宋"/>
          <w:b/>
          <w:bCs/>
          <w:sz w:val="28"/>
          <w:szCs w:val="28"/>
        </w:rPr>
        <w:t>不需要单独填写“药品拒收报告单”</w:t>
      </w:r>
      <w:r>
        <w:rPr>
          <w:rFonts w:ascii="仿宋" w:hAnsi="仿宋" w:eastAsia="仿宋"/>
          <w:sz w:val="28"/>
          <w:szCs w:val="28"/>
        </w:rPr>
        <w:t>，直接在收货记录和验收记录“处置措施”和“拒收原因”处填写。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ascii="仿宋" w:hAnsi="仿宋" w:eastAsia="仿宋"/>
          <w:sz w:val="28"/>
          <w:szCs w:val="28"/>
        </w:rPr>
        <w:t>单据需要签字处，不要填写你的真实姓名，</w:t>
      </w:r>
      <w:r>
        <w:rPr>
          <w:rFonts w:ascii="仿宋" w:hAnsi="仿宋" w:eastAsia="仿宋"/>
          <w:b/>
          <w:bCs/>
          <w:sz w:val="28"/>
          <w:szCs w:val="28"/>
        </w:rPr>
        <w:t>填写考号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</w:t>
      </w:r>
      <w:r>
        <w:rPr>
          <w:rFonts w:ascii="仿宋" w:hAnsi="仿宋" w:eastAsia="仿宋"/>
          <w:sz w:val="28"/>
          <w:szCs w:val="28"/>
        </w:rPr>
        <w:t>验收过程中</w:t>
      </w:r>
      <w:r>
        <w:rPr>
          <w:rFonts w:ascii="仿宋" w:hAnsi="仿宋" w:eastAsia="仿宋"/>
          <w:b/>
          <w:bCs/>
          <w:sz w:val="28"/>
          <w:szCs w:val="28"/>
        </w:rPr>
        <w:t>不要破坏药品最小包装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</w:t>
      </w:r>
      <w:r>
        <w:rPr>
          <w:rFonts w:ascii="仿宋" w:hAnsi="仿宋" w:eastAsia="仿宋"/>
          <w:sz w:val="28"/>
          <w:szCs w:val="28"/>
        </w:rPr>
        <w:t>收货记录和验收记录中与上一行</w:t>
      </w:r>
      <w:r>
        <w:rPr>
          <w:rFonts w:ascii="仿宋" w:hAnsi="仿宋" w:eastAsia="仿宋"/>
          <w:b/>
          <w:bCs/>
          <w:sz w:val="28"/>
          <w:szCs w:val="28"/>
        </w:rPr>
        <w:t>相同信息可以用“—”表示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hint="default" w:ascii="仿宋" w:hAnsi="仿宋" w:eastAsia="仿宋"/>
          <w:color w:val="0070C0"/>
          <w:sz w:val="24"/>
          <w:szCs w:val="24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7.</w:t>
      </w:r>
      <w:r>
        <w:rPr>
          <w:rFonts w:ascii="仿宋" w:hAnsi="仿宋" w:eastAsia="仿宋"/>
          <w:b/>
          <w:bCs/>
          <w:sz w:val="28"/>
          <w:szCs w:val="28"/>
        </w:rPr>
        <w:t>划“/”处不用填写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pStyle w:val="2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药品陈列与收货验收模块—药品收货验收答题纸</w:t>
      </w:r>
    </w:p>
    <w:p>
      <w:pPr>
        <w:widowControl/>
        <w:snapToGrid w:val="0"/>
        <w:spacing w:line="360" w:lineRule="auto"/>
        <w:ind w:firstLine="2160" w:firstLineChars="900"/>
        <w:jc w:val="both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p>
      <w:pPr>
        <w:jc w:val="center"/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eastAsia="黑体"/>
          <w:sz w:val="32"/>
        </w:rPr>
        <w:t>药品收货记录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248"/>
        <w:gridCol w:w="918"/>
        <w:gridCol w:w="919"/>
        <w:gridCol w:w="1805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药品名称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(简写即可)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剂型、规格、生产企业、批准文号等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收货数量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拒收数量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拒收原因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收货日期：    年   月    日    收货人：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（此处不得填写收货人真实姓名）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widowControl/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药品验收记录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080"/>
        <w:gridCol w:w="889"/>
        <w:gridCol w:w="889"/>
        <w:gridCol w:w="825"/>
        <w:gridCol w:w="1846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药品名称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（简写即可）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剂型规格生产企业批准文号等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验收合格数量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验收不合格数量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验收结论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验收不合格原因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  <w:t>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14:ligatures w14:val="none"/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验收</w:t>
      </w:r>
      <w:r>
        <w:rPr>
          <w:rFonts w:hint="eastAsia" w:ascii="仿宋" w:hAnsi="仿宋" w:eastAsia="仿宋" w:cs="仿宋"/>
          <w:sz w:val="24"/>
          <w:szCs w:val="24"/>
        </w:rPr>
        <w:t xml:space="preserve">日期：    年   月    日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验收员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（此处不得填写收货人真实姓名）</w:t>
      </w: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宋体" w:hAnsi="宋体"/>
          <w:sz w:val="32"/>
          <w:szCs w:val="32"/>
        </w:rPr>
      </w:pPr>
    </w:p>
    <w:p>
      <w:pPr>
        <w:pStyle w:val="2"/>
        <w:ind w:left="0" w:leftChars="0" w:firstLine="0" w:firstLineChars="0"/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处方调剂与用药指导模块试题单</w:t>
      </w:r>
    </w:p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ind w:firstLine="1124" w:firstLineChars="4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考核时间：20分钟             题目分值：24分</w:t>
      </w: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答题要求：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1．对随机抽取的2张处方笺做出合理性审核；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2．对于合理处方，要说明处方中各药的药理作用、作用机制、联合用药的理由，并进行用药交代；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3.对于不合理处方，要点评处方的规范性和适宜性，详尽指出处方中的所有不规范或（和）不适宜之处并说明理由，同时给出合理性建议。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adjustRightInd w:val="0"/>
        <w:snapToGrid w:val="0"/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处方调剂与用药指导模块——处方1答题纸</w:t>
      </w:r>
    </w:p>
    <w:p>
      <w:pPr>
        <w:widowControl/>
        <w:snapToGrid w:val="0"/>
        <w:spacing w:line="360" w:lineRule="auto"/>
        <w:ind w:firstLine="192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</w:p>
    <w:tbl>
      <w:tblPr>
        <w:tblStyle w:val="4"/>
        <w:tblW w:w="8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6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6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审核结果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处方1：合理处方（  ）   不合理处方（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合理处方</w:t>
            </w: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处方中各药的药理作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用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作用机制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_GB2312" w:hAnsi="仿宋_GB2312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联合用药的理由</w:t>
            </w: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用药交代：</w:t>
            </w: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不合理处方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处方1：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不规范处方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 xml:space="preserve">（  ）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不适宜处方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（ ） 二者兼是（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写出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处方中的所有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不规范或（和）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不适宜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之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处并说明理由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，同时给出合理性建议：</w:t>
            </w: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</w:tc>
      </w:tr>
    </w:tbl>
    <w:p>
      <w:pPr>
        <w:widowControl/>
        <w:ind w:firstLine="562" w:firstLineChars="200"/>
        <w:jc w:val="left"/>
        <w:rPr>
          <w:rFonts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裁判员签字：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 xml:space="preserve">            日期：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adjustRightInd w:val="0"/>
        <w:snapToGrid w:val="0"/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处方调剂与用药指导模块——处方2答题纸 </w:t>
      </w:r>
    </w:p>
    <w:p>
      <w:pPr>
        <w:widowControl/>
        <w:snapToGrid w:val="0"/>
        <w:spacing w:line="360" w:lineRule="auto"/>
        <w:ind w:firstLine="192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</w:p>
    <w:tbl>
      <w:tblPr>
        <w:tblStyle w:val="4"/>
        <w:tblW w:w="8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6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6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审核结果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处方2：合理处方（  ）   不合理处方（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合理处方</w:t>
            </w: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处方中各药的药理作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用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作用机制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_GB2312" w:hAnsi="仿宋_GB2312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联合用药的理由</w:t>
            </w: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用药交代：</w:t>
            </w: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不合理处方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处方2：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不规范处方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 xml:space="preserve">（  ）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不适宜处方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（ ） 二者兼是（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写出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处方中的所有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不规范或（和）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不适宜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之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处并说明理由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，同时给出合理性建议：</w:t>
            </w: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</w:tc>
      </w:tr>
    </w:tbl>
    <w:p>
      <w:pPr>
        <w:widowControl/>
        <w:ind w:firstLine="562" w:firstLineChars="200"/>
        <w:rPr>
          <w:rFonts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裁判员签字：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 xml:space="preserve">            日期：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用药咨询与慢病管理模块—问病荐药答题纸</w:t>
      </w:r>
    </w:p>
    <w:p>
      <w:pPr>
        <w:widowControl/>
        <w:snapToGrid w:val="0"/>
        <w:spacing w:line="360" w:lineRule="auto"/>
        <w:ind w:firstLine="1680" w:firstLineChars="700"/>
        <w:jc w:val="both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4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28"/>
        <w:gridCol w:w="5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4" w:type="dxa"/>
            <w:gridSpan w:val="2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5746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收集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病情信息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就医史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用药史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过敏史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疾病评估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疾病评估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判断理由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推荐药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物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联用药物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推荐理由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作用机制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适应症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联合用药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作用机制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主治药物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用药交待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用法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用量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常见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不良反应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注意事项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（至少4项）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（1）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（2）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（3）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（4）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贮藏方法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问题解答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随机提问（至少3个）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注：本项目内容只需做口头陈述或现场示范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703" w:firstLineChars="250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spacing w:line="360" w:lineRule="auto"/>
        <w:ind w:firstLine="703" w:firstLineChars="250"/>
        <w:rPr>
          <w:rFonts w:hint="eastAsia" w:ascii="仿宋" w:hAnsi="仿宋" w:eastAsia="仿宋"/>
          <w:sz w:val="8"/>
          <w:szCs w:val="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</w:p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用药咨询与慢病管理模块—慢病管理答题纸</w:t>
      </w:r>
    </w:p>
    <w:p>
      <w:pPr>
        <w:widowControl/>
        <w:snapToGrid w:val="0"/>
        <w:spacing w:line="360" w:lineRule="auto"/>
        <w:ind w:firstLine="1680" w:firstLineChars="700"/>
        <w:jc w:val="both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951"/>
        <w:gridCol w:w="5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患者基本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信息</w:t>
            </w:r>
          </w:p>
        </w:tc>
        <w:tc>
          <w:tcPr>
            <w:tcW w:w="4319" w:type="pct"/>
            <w:gridSpan w:val="2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性别：      年龄：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身高：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体重：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  BMI：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临床诊断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依据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不良嗜好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过敏史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疾病史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合并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症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6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用药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指导</w:t>
            </w:r>
          </w:p>
        </w:tc>
        <w:tc>
          <w:tcPr>
            <w:tcW w:w="114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药物作用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机制</w:t>
            </w: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常见不良反应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用药注意事项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</w:trPr>
        <w:tc>
          <w:tcPr>
            <w:tcW w:w="6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健康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教育</w:t>
            </w:r>
          </w:p>
        </w:tc>
        <w:tc>
          <w:tcPr>
            <w:tcW w:w="1146" w:type="pct"/>
            <w:vMerge w:val="restart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疾病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相关知识</w:t>
            </w:r>
          </w:p>
        </w:tc>
        <w:tc>
          <w:tcPr>
            <w:tcW w:w="3173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7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pStyle w:val="7"/>
              <w:ind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日常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生活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管理</w:t>
            </w:r>
          </w:p>
        </w:tc>
        <w:tc>
          <w:tcPr>
            <w:tcW w:w="3173" w:type="pct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spacing w:line="360" w:lineRule="auto"/>
        <w:ind w:firstLine="281" w:firstLineChars="100"/>
        <w:jc w:val="both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636A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adjustRightInd w:val="0"/>
      <w:snapToGrid w:val="0"/>
      <w:spacing w:line="360" w:lineRule="auto"/>
      <w:ind w:firstLine="420" w:firstLineChars="200"/>
      <w:jc w:val="left"/>
    </w:pPr>
    <w:rPr>
      <w:sz w:val="24"/>
      <w:szCs w:val="2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table" w:styleId="5">
    <w:name w:val="Table Grid"/>
    <w:basedOn w:val="4"/>
    <w:qFormat/>
    <w:uiPriority w:val="39"/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2023-04-16T01:59:41Z</dcterms:created>
  <dc:creator>HUAWEI</dc:creator>
  <cp:lastModifiedBy>HUAWEI</cp:lastModifiedBy>
  <dcterms:modified xsi:type="dcterms:W3CDTF">2023-04-16T02:01:09Z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8400C0E702364F759914FD2E2F793CE0_12</vt:lpwstr>
  </property>
</Properties>
</file>