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试题10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一.单选题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1.药物在体内的半衰期依赖于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血药浓度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分布容积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消除速率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给药途径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给药剂量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2.药物的生物利用度是指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药物通过胃肠道进入肝门脉循环的量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药物被吸收进入体循环的量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药物被吸收进入体内靶部位的量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药物能吸收进入体内的相对速度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药物被吸收进入体循环的程度和速度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3.在体内药量相等时，Vd小的药物比Vd大的药物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血浆浓度较低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血浆蛋白结合较少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血浆浓度较高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生物利用度较小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能达到的治疗效果较强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4.某药的半衰期为12h，如果每天用药两次，达到稳态血药浓度的时间为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0.5d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1d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2d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4d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instrText xml:space="preserve"> HYPERLINK "javascript:void(0)" </w:instrTex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5d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5.药物与血浆蛋白结合后，不具有的特点是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A.暂时失去药理活性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B.结合是可逆的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C.不易进入组织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D.结合率越高，作用越快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E.药物之间具有竞争性抑制现象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6.肝药酶诱导剂对药物作用的影响是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A.代谢加快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B.代谢减慢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C.毒性加大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D.血药浓度升高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E.药物消除减慢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7.药物排泄的主要器官是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C.胃肠道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E.呼吸道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8.患者，男，45岁。右下肢跛行5年，诊断为雷诺综合征。应选择的的治疗药物为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A.间羟胺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B.阿拉明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C.酚妥拉明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D.普萘洛尔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E.多巴胺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9.普萘洛尔可用于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A.心绞痛伴有心动能不全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B.心绞痛伴有窦性心动过缓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C.心绞痛伴有支气管哮喘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D.心绞痛伴有高血压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E.心绞痛伴有重度房窒传导阻滞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10.可用于诊治嗜铬细胞瘤的药物是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A.阿托品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B.肾上腺素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C.去甲肾上腺素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D.哌唑嗪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E.酚妥拉明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11.碱化尿液可使弱酸性药物经肾排泄时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A.解离增加，重吸收增加，排泄减少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B.解离减少，重吸收增加，排泄减少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C.解离减少，重吸收减少，排泄增加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D.解离增加，重吸收减少，排泄增加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E.解离增加，重吸收减少，排泄减少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12.应用地西泮催眠，次晨出现的乏力，困倦等反应属于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A.特异质反应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B.超敏反应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C.毒性反应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D.副作用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E.后遗效应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13.男，62岁，因房颤入院，用地高辛后心室率得到控制，并以0.5mg/d地高辛维持。因病人有心绞痛病史，为预防心绞痛而用一种抗心绞痛的药物，用药期间病人出现传导阻滞，你认为最可能是合并应用了哪种药物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A.硝酸甘油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B.硝苯地平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C.维拉帕米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D.硝酸异山梨酯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E.美托洛尔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14男，58岁，因2天前突然严重头痛，恶心，呕吐，伴有颈项强直而入院，穿刺检查证明脑压增高，除一般治疗外，为防治脑血管痉挛，宜选用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A.硝苯地平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B.维拉帕米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C.地尔硫卓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D.尼卡地平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E.氟桂嗪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15.选择性舒张脑血管的药物是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A.氟桂嗪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B.硝苯地平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C.地尔硫卓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D.维拉帕米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E.氨氯地平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16.高血压合并肾功能不全者不宜选用的降压药为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A.肼屈嗪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B.甲基多巴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C.螺内酯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D.氯丙嗪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E.可乐定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17.最常用的硝酸酯及亚硝酸酯类抗心绞痛药为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A.硝酸异山梨酯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B.戊四硝酯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C.硝酸甘油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D.单硝酸异山梨酯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E.亚硝酸异戊酯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18.硝酸甘油抗心绞痛的作用机制不包括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A.扩张全身小动脉及小静脉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B.抑制血小板聚集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C.与其产生NO无关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D.使冠状动脉血流重新分配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E.使心肌耗氧降低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19.不可以抗心绞痛的药物为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A.双嘧达莫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B.肾上腺素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C.小剂量阿莫司匹林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D.低分子肝素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E.卡波孟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20.与中枢乙酰胆碱能有关的疾病是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A.老年性痴呆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B.躁狂症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C.抑郁症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D.精神分裂症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E.核黄疸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21.对胃肠刺激小，在体内可分解为两种解热镇痛药,作用时间长的是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A.20%安乃近溶液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B.布洛芬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C.贝诺酯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D.阿司匹林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E.对乙酰氨基酚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22.以下对几种处方特征的描述中，正确的是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A.中药处方印刷用纸为白色，右上角标注“中”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B.儿科处方印刷用纸为淡黄色.右上角标注“儿科”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C.二类精神药品处方印刷用纸为白色，右上角标注“精二”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D.麻醉药品处方印刷用纸为淡红色.右上角标注“麻醉”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E.一类精神药品处方印刷用纸为淡橙色.右上角标注“精一”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23.皮内注射的剂量应在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A.1ml以内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B.0.5ml以内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C.1.5ml以内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D.2ml以内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E.1～3ml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24.下列哪种药物不会干扰儿童骨骼发育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A.四环素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B.氨茶碱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C.喹诺酮类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D.糖皮质激素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E.以上都不是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25.下列药源性疾病中，其诱因主要是“病理因素”的是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A.灰婴综合征是氯霉素在新生儿体内蓄积所致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B.假胆碱酯酶遗传性缺陷者应用琥珀胆碱产生呼吸暂停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C.肝硬化患者应用利多卡因，可引起严重中枢神经系统疾病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D.月经期服用常规剂量的避孕药和地西泮，药理效应增强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E.慢乙酰化者服异烟肼半衰期由45～110分钟延长至2～4.5小时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26.按货架上、中、下陈列时，上端应陈列哪种药品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A.销售量稳定的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B.希望顾客注意的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C.周转率高的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D.体积大的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E.价格贵的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27.口腔溃疡病预防措施不包括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A注意口腔卫生，避免损伤口腔黏膜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B.避免辛辣性食物和局部刺激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C.保持心情舒畅，避免过度疲劳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D多进食各种新鲜蔬菜和水果，防止便秘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E.服用抗生素预防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28.以下粪便细胞显微镜检出物中，能提示患者大量或长期应用广谱抗生素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A.真菌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B.红细胞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C.上皮细胞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D.白细胞增多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E.吞噬细胞增多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29.下面哪个属于三医联动的内容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A.医生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B.医保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C.医护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D.医改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E.以上均不是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30.下列关于药物对孕妇的影响哪一项是错误的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A.孕妇不应过量服用含咖啡因的饮料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B.孕妇患有结核、</w:t>
      </w:r>
      <w:bookmarkStart w:id="2" w:name="_GoBack"/>
      <w:bookmarkEnd w:id="2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糖尿病应绝对避免药物治疗以防胎儿畸形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C.受精后半个月内，几乎见不到药物的致畸作用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D.受精后3周至3个月接触药物，最易发生先天畸形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E.妊娠3个月至足月除神经系统或生殖系统外，其他器官一般不致畸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31.某溶液的浓度为1:100，其含义是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A.100ml溶液中含有10g溶质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B.100ml溶液中含有1g溶质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C.10ml溶液中含有1g溶质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D.1000ml溶液中含有1g溶质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E.100l溶液中含有1g溶质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32.应对患者投诉的人员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A.能使患者换位思考，在共同基础上达到谅解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B.一般可由当事人的主管或同事接待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C.微笑、示坐、倒水等，以取得患者的信任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D.尽快将患者带离现场，到办公室或会议室等场所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E.存留处方、清单、病历、药历、微机储存信息等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33.药学服务的最基本要素是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A.药学知识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B.调配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C.用药指导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D.与药物有关的服务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E.药物信息的提供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34.长期应用能抑制胰高血糖素分泌的是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A.吡格列酮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B.格列本脲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C.艾塞那肽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D.阿卡波糖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E.罗格列酮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35.应用氨茶碱治疗支气管哮喘，既能使其发挥最好疗效，又不致产生毒性反应的最有效的方法是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A.缓慢静脉注射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B.缓慢静脉滴注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C.与舒喘灵合用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D.与异丙托溴铵合用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E.血液药物浓度监测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36.下列哪种毒物急性中毒皮肤、黏膜颜色表现为发绀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A.抗胆碱药、抗组胺药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B.一氧化碳、氰化物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C.蛇毒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D.亚硝酸盐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E.氯丙嗪、喹诺酮类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37.下述使用阿托品解救有机磷中毒中错误的是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A.阿托品中毒可用毛果芸香碱拮抗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B.轻度与中度有机磷中毒可单用阿托品解救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C.应用阿托品宜“早期足量重复用药”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D.重度有机磷中毒必须同时应用阿托品与解磷定等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E.中毒者病情缓解或达到阿托品化后改为维持量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38.男性，55岁，有轻度高血压，伴有心动过速，轻度充血性心衰症状有气喘和痛风史，治疗药物首选为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A.α受体阻滞剂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B.β受体阻滞剂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C.血管紧张素转换酶抑制剂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D.氢氯噻嗪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E.血管收缩剂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39.对癫痫失神性小发作疗效最好的药物是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A.丙戊酸钠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B.扑米酮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C.苯巴比妥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D.苯妥英钠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E.乙琥胺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40.下列哪种药物与HMG-CoA还原酶抑制药合用可增加降胆固醇的作用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A.烟酸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B.考来烯胺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C.氯贝丁酯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D.非诺贝特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E.吉非贝齐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41.普通片剂的崩解时限是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A.3min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B.5min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C.15min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D.30min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E.60min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42.属于阴离子型表面活性剂的是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A.聚山梨酯80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B.司盘80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C.卵磷脂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D.新洁尔灭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E.月桂醇硫酸钠（十二烷基硫酸钠）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43.片剂硬度不够，稍加触动即散碎的现象称为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A.裂片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B.松片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C.黏冲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D.崩解迟缓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E.片重差异超限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44.适用于呼吸道给药的速效剂型是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A.注射剂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B.滴丸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C.气雾剂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D.舌下片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E.栓剂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45.对于易溶于水，在水溶液中不稳定的药物，可制成注射剂的类型是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A.注射用无菌粉末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B.溶液型注射剂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C.混悬型注射剂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D.乳剂型注射剂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E.溶胶型注射剂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46.灭菌与无菌制剂不包括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A.注射剂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B.植入剂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C.冲洗剂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D.喷雾剂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E.用于外伤、烧伤用的软膏剂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47.一般注射液的pH应为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A.3～8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B.3～10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C.4～9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D.5～10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E.4～11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48.注射剂附加剂聚山梨酯类的作用是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A.抑菌剂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B.等渗调节剂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C.抗氧剂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D.润湿剂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E.助悬剂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49.以下有关制药用水说法错误的是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A.纯化水是原水经蒸馏等方法制得的供药用的水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B.纯化水可作配制普通药物制剂的溶剂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C.注射用水是纯化水经蒸馏所得的水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D.注射用水可用于注射用灭菌粉末的溶剂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E.灭菌注射用水可用于注射剂的稀释剂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50.制备易氧化药物注射剂应加入的抗氧剂是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A.碳酸氢钠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B.焦亚硫酸钠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C.氯化钠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D.依地酸钠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E.枸橼酸钠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51.制备易氧化药物注射剂应加入的金属离子络合剂是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A.碳酸氢钠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B.氯化钠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C.焦亚硫酸钠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D.枸橼酸钠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E.依地酸钠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52.热原的除去方法不包括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A.高温法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B.酸碱法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C.吸附法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D.微孔滤膜过滤法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E.离子交换法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53.在乳膏剂中的辅料起油相作用的是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A.单硬脂酸甘油酯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B.甘油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C.凡士林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D.十二烷基硫酸钠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E.对羟基苯甲酸乙酯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54.下列关于气雾剂的特点说法错误的是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A.能使药物直接到达作用部位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B.药物密闭于不透明的容器中，不易被污染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C.可避免胃肠道的破坏作用和肝脏的首关效应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D.简洁、便携、耐用、方便、多剂量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E.使用时借助手动泵的压力将药物以雾状喷出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55.淀粉浆用作黏合剂的常用浓度是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A、5～10%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B、6～12%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C、7～14%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D、8～15%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E、9～20%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bookmarkStart w:id="0" w:name="_Hlk71631500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56.药物的剂型对药物的吸收有很大影响，下列剂型中，药物吸收最慢的是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A.溶液型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B.散剂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C.胶囊剂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D.包衣片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E.混悬液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57.关于输液的叙述，错误的是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A.输液是指由静脉滴注输入体内的大剂量注射液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B.除无菌外还必须无热原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C.渗透压应为等渗或偏高渗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D.为保证无菌，需添加抑菌剂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E.澄明度应符合要求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58.有关滴眼剂的正确表述是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A.滴眼剂不得含有铜绿假单胞菌和金黄色葡萄球菌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B.滴眼剂通常要求进行热原检查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C.滴眼剂不得加尼泊金、三氯叔丁醇之类的抑菌剂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D.黏度可适当减小，使药物在眼内停留时间延长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E.滴眼剂每个容器装量不得超过20ml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59.固体分散体中，药物与载体形成低共熔混合物药物的分散状态是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A.分子状态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C.分子复合物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D.微晶态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E.无定形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60.关于缓释和控释制剂特点说法错误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A.减少给药次数，尤其是需要长期用药的慢病患者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B.血药浓度平稳，可降低药物毒副作用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C.可提高治疗效果减少用药总量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D.临床用药，剂量方便调整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E.肝脏首过效应大的药物，生物利用度不如普通制剂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61.属于控释制剂的是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A.阿奇霉素分散片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B.硫酸沙丁胺醇口崩片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C.硫酸特布他林气雾剂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D.复方丹参滴丸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E.硝苯地平片渗透泵片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62.药物透皮吸收是指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A.药物通过表皮到达深层组织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B.药物主要通过毛囊和皮脂腺到达体内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C.药物通过表皮在用药部位发挥作用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D.药物通过表皮，被毛细血管和淋巴吸收进入体循环的过程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E.药物通过破损的皮肤，进入体内的过程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63.利用扩散原理达到缓（控）释作用的方法不包括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A.制成包衣小丸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B.制成微囊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C.制成植入剂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D.制成不溶性骨架片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E.制成渗透泵片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64.可以作消毒剂的表面活性剂是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A.苄泽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B.卖泽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C.司盘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D.吐温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E.苯扎溴铵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65.适宜作润湿剂的表面活性剂的HLB值范围为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A.3～8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B.7～9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C.8～16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D.13～18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E.16～20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66.银量法测定巴比妥类药物的含量，现版中国药典采用的指示终点方法是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A.吸附指示剂法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B.过量银与巴比妥类药物形成二银盐沉淀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C.K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CrO</w:t>
      </w:r>
      <w:r>
        <w:rPr>
          <w:rFonts w:hint="eastAsia" w:ascii="宋体" w:hAnsi="宋体" w:eastAsia="宋体" w:cs="宋体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指示剂法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D.永停法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E.电位滴定法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67.银量法测定巴比妥类药物须在适当的碱性溶液中进行，该碱性溶液为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A.碳酸钠溶液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B.碳酸氢钠溶液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C.新配制的碳酸钠溶液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D.新配制的碳酸氢钠溶液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E.新配制的3%无水碳酸钠溶液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68.用银量法测定巴比妥类药物的含量时，指示终点的原理是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A.过量的滴定剂使巴比妥类药物形成银盐沉淀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B.过量的滴定剂使一银盐浑浊恰好溶解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C.过量的滴定剂与巴比妥类药物的一银盐作用形成二银盐浑浊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D.滴定至所有的巴比妥类药物全部成为二银盐沉淀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E.过量的滴定剂使荧光黄指示剂变色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69.苯巴比妥在碱性溶液中与硝酸汞作用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A.产生白色升华物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B.产生紫色沉淀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C.产生绿色沉淀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D.产生白色沉淀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E.以上结果全不是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70.下列哪个能使溴试液褪色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A.异戊巴比妥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B.司可巴比妥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C.苯巴比妥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D.巴比妥酸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E.环己巴比妥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71.两步滴定法测定阿司匹林片是因为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A.片剂中有其他酸性物质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B.片剂中有其他碱性物质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C.需用碱定量水解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D.阿司匹林具有酸碱两性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E.使滴定终点明显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72.某药与碳酸钠共热，酸化后有白色沉淀产生，加乙醇和硫酸，共热，有香气产生，此药可能是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A.对氨基水杨酸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B.对氨基苯甲酸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C.苯甲酸钠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D.乙酰水杨酸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E.普鲁卡因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73.两步滴定法测定阿司匹林的含量时，每1ml氢氧化钠滴定液（0.1mol/L）相当于阿司匹林（分子量是180.16）的质量是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A.18.02mg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B.180.2mg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C.90.08mg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D.45.04mg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E.450.0mg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74.甲省乙医院经过招标，从丙医药公司采购顶药品生产企业生产的某注射液，在临床使用过程中，发生死亡病例。应制定召回计划并组织实施的主体是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A.甲省药品监督管理部门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B.乙医院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C.丙医药公司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D.丁零售药房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E.戊药品生产企业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75.药品生产企业在作出药品召回决定后，应当制定召回计划并组织实施，一级召回应在( )小时内。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76.根据《药品说明书和标签管理规定》，尺寸过小的药品内包装，其标签至少应当注明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A.药品通用名称、规格、批号、有效期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B.药品商品名称、规格、批号、批准文号、有效期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C.药品商品名称、贮藏、规格、批号、有效期、生产日期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D.药品通用名称、规格、批号、有效期、执行标准、生产企业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E.药品商品名称、规格、批号、有效期、执行标准、生产企业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77.某零售药店加强了对新列入兴奋剂目录的药品管理，在购销、调剂含兴奋剂药品时，采取的管理措施，正确的是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A.加强处方审核，如果患者为运动员时，应该拒绝调剂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B.对包装标签标示“运动员慎用”的药品一律不得上架陈列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C.对调剂的处方保存2年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D.对调剂的处方保存3年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E.对含兴奋剂的药品必须采用专柜双人双锁，专用账册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78.根据《中华人民共和国药品管理法实施条例》，《药品生产许可证》的有效期为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A.一年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B.两年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C.三年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D.五年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E.七年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79.根据《中华人民共和国药品管理法实施条例》，《药品经营许可证》的有效期为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A.一年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B.两年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C.三年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D.五年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E.七年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80.某日，药品零售企业A中唯一一位具有审方资格的执业药师张某不在岗时，应采取的措施是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A.不必挂牌告知，但应停止销售处方药和甲类非处方药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B.应挂牌告知，但无须停止销售处方药和甲类非处方药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C.不必挂牌告知，并停止销售处方药和甲类非处方药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D.应挂牌告知，并停止销售处方药和甲类非处方药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E.应挂牌告知，并停止销售处方药和乙类非处方药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81.根据《药品不良反应报告和监测管理办法》，应报告所发现药品不良反应的主体是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A.中药生产基地、药品研发机构、疾控中心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B.中药生产企业、药品经营企业、医疗机构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C.药品生产企业、药品经营企业、药物临床前研宄机构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D.药品批发企业、医疗机构、新药研发机构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E.药品批发企业、新药研发机构、疾控中心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二.多选题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1.联合应用抗肿瘤药应考虑的问题是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A.细胞增殖动力学规律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B.药物的作用机制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C.药物的毒性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D.抗瘤谱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E.恢复和提高机体免疫力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2.几乎无骨髓抑制作用的抗肿瘤药有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A.泼尼松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B.环磷酰胺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C.甲氨蝶呤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D.地塞米松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E.他莫昔芬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3.帕金森病的一级预防措施包括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A.避免接触杀虫剂、锰、一氧化碳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B.防止脑动脉硬化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C.避免或减少应用奋乃静、利血平、氯丙嗪等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D.保持卧床休息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E.及早进行药物治疗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4.由于产生结晶沉积而引起肾损害的药物为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A.阿米卡星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B.去甲肾上腺素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C.磺胺甲基异噁唑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D.顺铂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E.阿昔洛韦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5.药学服务对象中的重要人群包括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A.肝功能不全者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B.应用特殊剂型、特殊给药途径患者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C.用药后易出现明显的药品不良反应者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D.老年人、小儿、妊娠及哺乳期妇女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E.用药周期长的慢性病患者，或需长期甚至终身用药者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bookmarkStart w:id="1" w:name="_Hlk71632003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6.下列剂型给药可以避免首过效应的有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A.注射剂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B.气雾剂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C.口服溶液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D.舌下片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E.肠溶片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7.下述制剂中可快速起效的是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A.气雾剂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B.舌下片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C.经皮吸收制剂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D.鼻黏膜给药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E.静脉滴注给药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8.以下属于高分子表面活性剂的是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A.羧甲基纤维素钠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B.聚乙烯醇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C.海藻酸钠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D.月桂醇硫酸钠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E.甲基纤维素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9.异戊巴比妥可采用哪些方法测定含量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A.非水滴定法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B.溴量法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C.银量法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D.水-醇溶液中的酸量法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E.紫外分光光度法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10.根据《处方管理办法》，药师对处方用药适宜性审核的内容包括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A.处方用药与临床诊断的相符性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B.剂型、用法的正确性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C.选用剂型与给药途径的合理性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D.是否有重复给药现象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E.是否有执业医师签名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4255F8"/>
    <w:rsid w:val="00116868"/>
    <w:rsid w:val="004255F8"/>
    <w:rsid w:val="004D0611"/>
    <w:rsid w:val="00695A9D"/>
    <w:rsid w:val="00C82E4A"/>
    <w:rsid w:val="03515D18"/>
    <w:rsid w:val="05FD0ACB"/>
    <w:rsid w:val="06ED6FA7"/>
    <w:rsid w:val="0A475B95"/>
    <w:rsid w:val="0C0B5860"/>
    <w:rsid w:val="0D586637"/>
    <w:rsid w:val="0F3730F5"/>
    <w:rsid w:val="13F449B6"/>
    <w:rsid w:val="17170EC0"/>
    <w:rsid w:val="1AC14862"/>
    <w:rsid w:val="2A9270B0"/>
    <w:rsid w:val="2B182C79"/>
    <w:rsid w:val="326B7E18"/>
    <w:rsid w:val="38BA3506"/>
    <w:rsid w:val="3BD61CE1"/>
    <w:rsid w:val="48205C0E"/>
    <w:rsid w:val="485D3509"/>
    <w:rsid w:val="48D4607F"/>
    <w:rsid w:val="4AA92397"/>
    <w:rsid w:val="4B806E73"/>
    <w:rsid w:val="61037C0C"/>
    <w:rsid w:val="712B4299"/>
    <w:rsid w:val="75AD40B1"/>
    <w:rsid w:val="77DE46D3"/>
    <w:rsid w:val="78340796"/>
    <w:rsid w:val="786E6A7F"/>
    <w:rsid w:val="7900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2">
    <w:name w:val="15"/>
    <w:basedOn w:val="7"/>
    <w:qFormat/>
    <w:uiPriority w:val="0"/>
    <w:rPr>
      <w:rFonts w:hint="default" w:ascii="Times New Roman" w:hAnsi="Times New Roman" w:cs="Times New Roman"/>
      <w:b/>
    </w:rPr>
  </w:style>
  <w:style w:type="paragraph" w:customStyle="1" w:styleId="13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6052</Words>
  <Characters>6908</Characters>
  <Lines>18</Lines>
  <Paragraphs>5</Paragraphs>
  <TotalTime>72</TotalTime>
  <ScaleCrop>false</ScaleCrop>
  <LinksUpToDate>false</LinksUpToDate>
  <CharactersWithSpaces>6970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2023-04-13T09:05:00Z</dcterms:created>
  <dc:creator>Windows 用户</dc:creator>
  <cp:lastModifiedBy>HUAWEI</cp:lastModifiedBy>
  <dcterms:modified xsi:type="dcterms:W3CDTF">2023-04-15T11:59:00Z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20BC4AB3FF424B12A312830C55F0E994_13</vt:lpwstr>
  </property>
</Properties>
</file>