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360" w:lineRule="auto"/>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napToGrid/>
        <w:spacing w:before="0" w:after="0" w:line="360" w:lineRule="auto"/>
        <w:jc w:val="center"/>
        <w:rPr>
          <w:rFonts w:ascii="Times New Roman" w:hAnsi="Times New Roman" w:eastAsia="方正小标宋简体" w:cs="方正小标宋简体"/>
          <w:color w:val="auto"/>
          <w:w w:val="90"/>
          <w:sz w:val="72"/>
          <w:szCs w:val="72"/>
        </w:rPr>
      </w:pPr>
      <w:r>
        <w:rPr>
          <w:rFonts w:hint="eastAsia" w:ascii="Times New Roman" w:hAnsi="Times New Roman" w:eastAsia="方正小标宋简体" w:cs="方正小标宋简体"/>
          <w:color w:val="auto"/>
          <w:sz w:val="72"/>
          <w:szCs w:val="72"/>
        </w:rPr>
        <w:t>全国职业院校技能大赛</w:t>
      </w:r>
    </w:p>
    <w:p>
      <w:pPr>
        <w:spacing w:before="0" w:after="0" w:line="360" w:lineRule="auto"/>
        <w:jc w:val="center"/>
        <w:rPr>
          <w:rFonts w:ascii="Times New Roman" w:hAnsi="Times New Roman" w:eastAsia="方正小标宋简体" w:cs="方正小标宋简体"/>
          <w:color w:val="auto"/>
          <w:sz w:val="52"/>
          <w:szCs w:val="52"/>
        </w:rPr>
      </w:pPr>
      <w:r>
        <w:rPr>
          <w:rFonts w:hint="eastAsia" w:ascii="Times New Roman" w:hAnsi="Times New Roman" w:eastAsia="方正小标宋简体" w:cs="方正小标宋简体"/>
          <w:color w:val="auto"/>
          <w:sz w:val="72"/>
          <w:szCs w:val="72"/>
        </w:rPr>
        <w:t>赛题素材</w:t>
      </w:r>
      <w:bookmarkStart w:id="0" w:name="_Hlk132292355"/>
      <w:r>
        <w:rPr>
          <w:rFonts w:hint="eastAsia" w:ascii="微软雅黑" w:hAnsi="微软雅黑" w:eastAsia="微软雅黑" w:cs="微软雅黑"/>
          <w:color w:val="auto"/>
          <w:sz w:val="72"/>
          <w:szCs w:val="72"/>
        </w:rPr>
        <w:t>（题目）</w:t>
      </w:r>
      <w:bookmarkEnd w:id="0"/>
    </w:p>
    <w:p>
      <w:pPr>
        <w:spacing w:before="0" w:after="0" w:line="360" w:lineRule="auto"/>
        <w:jc w:val="center"/>
        <w:rPr>
          <w:rFonts w:ascii="Times New Roman" w:hAnsi="Times New Roman" w:eastAsia="方正小标宋简体" w:cs="方正小标宋简体"/>
          <w:color w:val="auto"/>
          <w:sz w:val="36"/>
          <w:szCs w:val="36"/>
        </w:rPr>
      </w:pPr>
    </w:p>
    <w:p>
      <w:pPr>
        <w:spacing w:before="0" w:after="0" w:line="360" w:lineRule="auto"/>
        <w:jc w:val="center"/>
        <w:rPr>
          <w:rFonts w:ascii="Times New Roman" w:hAnsi="Times New Roman" w:eastAsia="方正小标宋简体" w:cs="方正小标宋简体"/>
          <w:color w:val="auto"/>
          <w:sz w:val="36"/>
          <w:szCs w:val="36"/>
        </w:rPr>
      </w:pPr>
      <w:r>
        <w:rPr>
          <w:rFonts w:hint="eastAsia" w:ascii="Times New Roman" w:hAnsi="Times New Roman" w:eastAsia="方正小标宋简体" w:cs="方正小标宋简体"/>
          <w:color w:val="auto"/>
          <w:sz w:val="36"/>
          <w:szCs w:val="36"/>
        </w:rPr>
        <w:t>（第九套共十套）</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赛项名称：</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电子商务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u w:val="single"/>
        </w:rPr>
      </w:pPr>
      <w:r>
        <w:rPr>
          <w:rFonts w:hint="eastAsia" w:ascii="仿宋" w:hAnsi="仿宋" w:eastAsia="仿宋" w:cs="Times New Roman"/>
          <w:color w:val="auto"/>
          <w:sz w:val="32"/>
          <w:szCs w:val="32"/>
        </w:rPr>
        <w:t>赛项编号：</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GZ04</w:t>
      </w:r>
      <w:r>
        <w:rPr>
          <w:rFonts w:hint="eastAsia" w:ascii="仿宋" w:hAnsi="仿宋" w:eastAsia="仿宋" w:cs="Times New Roman"/>
          <w:color w:val="auto"/>
          <w:sz w:val="32"/>
          <w:szCs w:val="32"/>
          <w:u w:val="single"/>
        </w:rPr>
        <w:t xml:space="preserve">7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赛项组别：</w:t>
      </w:r>
      <w:r>
        <w:rPr>
          <w:rFonts w:hint="eastAsia" w:ascii="仿宋" w:hAnsi="仿宋" w:eastAsia="仿宋" w:cs="Times New Roman"/>
          <w:color w:val="auto"/>
          <w:sz w:val="32"/>
          <w:szCs w:val="32"/>
        </w:rPr>
        <w:t>□中等职业教育</w:t>
      </w:r>
      <w:r>
        <w:rPr>
          <w:rFonts w:ascii="仿宋" w:hAnsi="仿宋" w:eastAsia="仿宋" w:cs="Times New Roman"/>
          <w:color w:val="auto"/>
          <w:sz w:val="32"/>
          <w:szCs w:val="32"/>
        </w:rPr>
        <w:t xml:space="preserve">   </w:t>
      </w:r>
      <w:r>
        <w:rPr>
          <w:rFonts w:ascii="Segoe UI Symbol" w:hAnsi="Segoe UI Symbol" w:eastAsia="仿宋" w:cs="Segoe UI Symbol"/>
          <w:color w:val="auto"/>
          <w:sz w:val="32"/>
          <w:szCs w:val="32"/>
        </w:rPr>
        <w:t>☑</w:t>
      </w:r>
      <w:r>
        <w:rPr>
          <w:rFonts w:hint="eastAsia" w:ascii="仿宋" w:hAnsi="仿宋" w:eastAsia="仿宋" w:cs="Times New Roman"/>
          <w:color w:val="auto"/>
          <w:sz w:val="32"/>
          <w:szCs w:val="32"/>
        </w:rPr>
        <w:t>高等职业教育</w:t>
      </w:r>
    </w:p>
    <w:p>
      <w:pPr>
        <w:spacing w:before="0" w:after="0" w:line="360" w:lineRule="auto"/>
        <w:jc w:val="center"/>
        <w:rPr>
          <w:rFonts w:ascii="Times New Roman" w:hAnsi="Times New Roman" w:eastAsia="仿宋" w:cs="Times New Roman"/>
          <w:color w:val="auto"/>
          <w:sz w:val="32"/>
          <w:szCs w:val="32"/>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r>
        <w:rPr>
          <w:rFonts w:hint="eastAsia" w:ascii="Times New Roman" w:hAnsi="Times New Roman" w:eastAsia="仿宋" w:cs="Times New Roman"/>
          <w:color w:val="auto"/>
          <w:sz w:val="32"/>
          <w:szCs w:val="32"/>
        </w:rPr>
        <w:t>编制日期：</w:t>
      </w:r>
      <w:r>
        <w:rPr>
          <w:rFonts w:ascii="Times New Roman" w:hAnsi="Times New Roman" w:eastAsia="仿宋" w:cs="Times New Roman"/>
          <w:color w:val="auto"/>
          <w:sz w:val="32"/>
          <w:szCs w:val="32"/>
        </w:rPr>
        <w:t>2023</w:t>
      </w:r>
      <w:r>
        <w:rPr>
          <w:rFonts w:hint="eastAsia" w:ascii="Times New Roman" w:hAnsi="Times New Roman" w:eastAsia="仿宋" w:cs="Times New Roman"/>
          <w:color w:val="auto"/>
          <w:sz w:val="32"/>
          <w:szCs w:val="32"/>
        </w:rPr>
        <w:t>年</w:t>
      </w:r>
      <w:r>
        <w:rPr>
          <w:rFonts w:ascii="Times New Roman" w:hAnsi="Times New Roman" w:eastAsia="仿宋" w:cs="Times New Roman"/>
          <w:color w:val="auto"/>
          <w:sz w:val="32"/>
          <w:szCs w:val="32"/>
        </w:rPr>
        <w:t>4</w:t>
      </w:r>
      <w:r>
        <w:rPr>
          <w:rFonts w:hint="eastAsia" w:ascii="Times New Roman" w:hAnsi="Times New Roman" w:eastAsia="仿宋" w:cs="Times New Roman"/>
          <w:color w:val="auto"/>
          <w:sz w:val="32"/>
          <w:szCs w:val="32"/>
        </w:rPr>
        <w:t>月</w:t>
      </w:r>
    </w:p>
    <w:p>
      <w:pPr>
        <w:spacing w:before="0" w:after="0" w:line="360" w:lineRule="auto"/>
        <w:jc w:val="center"/>
        <w:rPr>
          <w:rFonts w:ascii="Times New Roman" w:hAnsi="Times New Roman" w:cs="Times New Roman"/>
          <w:color w:val="auto"/>
          <w:sz w:val="21"/>
        </w:rPr>
      </w:pPr>
    </w:p>
    <w:p>
      <w:pPr>
        <w:spacing w:before="0" w:after="0" w:line="360" w:lineRule="auto"/>
        <w:jc w:val="center"/>
        <w:rPr>
          <w:rFonts w:ascii="Times New Roman" w:hAnsi="Times New Roman" w:cs="Times New Roman"/>
          <w:color w:val="auto"/>
          <w:sz w:val="21"/>
        </w:rPr>
      </w:pPr>
    </w:p>
    <w:p>
      <w:pPr>
        <w:snapToGrid/>
        <w:spacing w:before="0" w:after="0" w:line="360" w:lineRule="auto"/>
        <w:jc w:val="center"/>
        <w:rPr>
          <w:rFonts w:ascii="Times New Roman" w:hAnsi="Times New Roman" w:eastAsia="仿宋" w:cs="Times New Roman"/>
          <w:color w:val="auto"/>
          <w:sz w:val="32"/>
          <w:szCs w:val="32"/>
        </w:rPr>
      </w:pPr>
    </w:p>
    <w:p>
      <w:pPr>
        <w:widowControl/>
        <w:snapToGrid/>
        <w:spacing w:before="0" w:after="0" w:line="360" w:lineRule="auto"/>
        <w:rPr>
          <w:rFonts w:ascii="Times New Roman" w:hAnsi="Times New Roman"/>
          <w:b/>
          <w:bCs/>
          <w:color w:val="auto"/>
          <w:sz w:val="48"/>
          <w:szCs w:val="48"/>
        </w:rPr>
      </w:pPr>
      <w:r>
        <w:rPr>
          <w:rFonts w:ascii="Times New Roman" w:hAnsi="Times New Roman"/>
          <w:b/>
          <w:bCs/>
          <w:color w:val="auto"/>
          <w:sz w:val="48"/>
          <w:szCs w:val="48"/>
        </w:rPr>
        <w:br w:type="page"/>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2023年全国职业院校技能大赛高职组</w:t>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“GZ047电子商务”赛项</w:t>
      </w:r>
    </w:p>
    <w:p>
      <w:pPr>
        <w:jc w:val="center"/>
        <w:rPr>
          <w:rFonts w:ascii="仿宋_GB2312" w:hAnsi="仿宋" w:eastAsia="仿宋_GB2312" w:cs="仿宋"/>
          <w:b/>
          <w:bCs/>
          <w:sz w:val="48"/>
          <w:szCs w:val="48"/>
        </w:rPr>
      </w:pPr>
      <w:r>
        <w:rPr>
          <w:rFonts w:hint="eastAsia" w:ascii="仿宋_GB2312" w:hAnsi="仿宋" w:eastAsia="仿宋_GB2312" w:cs="仿宋"/>
          <w:b/>
          <w:bCs/>
          <w:sz w:val="48"/>
          <w:szCs w:val="48"/>
        </w:rPr>
        <w:t>赛卷九</w:t>
      </w:r>
    </w:p>
    <w:p>
      <w:pPr>
        <w:snapToGrid/>
        <w:spacing w:before="0" w:after="0" w:line="360" w:lineRule="auto"/>
        <w:jc w:val="both"/>
        <w:rPr>
          <w:rFonts w:ascii="仿宋_GB2312" w:hAnsi="宋体" w:eastAsia="仿宋_GB2312"/>
          <w:color w:val="000000" w:themeColor="text1"/>
          <w:szCs w:val="24"/>
          <w14:textFill>
            <w14:solidFill>
              <w14:schemeClr w14:val="tx1"/>
            </w14:solidFill>
          </w14:textFill>
        </w:rPr>
      </w:pPr>
    </w:p>
    <w:p>
      <w:pPr>
        <w:pStyle w:val="3"/>
        <w:spacing w:before="120" w:after="120" w:line="360" w:lineRule="auto"/>
        <w:jc w:val="both"/>
        <w:rPr>
          <w:rFonts w:ascii="黑体" w:hAnsi="黑体"/>
          <w:szCs w:val="32"/>
        </w:rPr>
      </w:pPr>
      <w:r>
        <w:rPr>
          <w:rFonts w:hint="eastAsia" w:ascii="黑体" w:hAnsi="黑体"/>
          <w:szCs w:val="32"/>
        </w:rPr>
        <w:t>模块1：互联网产品开发</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慕菲饰品创始于2007年，是一家集饰品研发、设计、生产、销售、</w:t>
      </w:r>
      <w:r>
        <w:rPr>
          <w:rFonts w:ascii="仿宋_GB2312" w:hAnsi="仿宋" w:eastAsia="仿宋_GB2312" w:cs="仿宋"/>
          <w:sz w:val="28"/>
          <w:szCs w:val="28"/>
        </w:rPr>
        <w:t>品牌运营</w:t>
      </w:r>
      <w:r>
        <w:rPr>
          <w:rFonts w:hint="eastAsia" w:ascii="仿宋_GB2312" w:hAnsi="仿宋" w:eastAsia="仿宋_GB2312" w:cs="仿宋"/>
          <w:sz w:val="28"/>
          <w:szCs w:val="28"/>
        </w:rPr>
        <w:t>于</w:t>
      </w:r>
      <w:r>
        <w:rPr>
          <w:rFonts w:ascii="仿宋_GB2312" w:hAnsi="仿宋" w:eastAsia="仿宋_GB2312" w:cs="仿宋"/>
          <w:sz w:val="28"/>
          <w:szCs w:val="28"/>
        </w:rPr>
        <w:t>一体的</w:t>
      </w:r>
      <w:r>
        <w:rPr>
          <w:rFonts w:hint="eastAsia" w:ascii="仿宋_GB2312" w:hAnsi="仿宋" w:eastAsia="仿宋_GB2312" w:cs="仿宋"/>
          <w:sz w:val="28"/>
          <w:szCs w:val="28"/>
        </w:rPr>
        <w:t>大型民营企业，主营领带、发箍、帽子、防晒袖等多种系列产品，依托线下商超进行销售。随着电子商务行业的兴起，线下商超人流锐减，为此，慕菲饰品计划开设一家网店，主要销售各类时尚饰品。请根据对市场数据的分析，挖掘市场需求，明确目标客户画像及市场定位，制定互联网产品规划和开发方案，完成数据化选品，并对产品渠道进行评估测试，合理选择产品供应及发布渠道，提高产品竞争优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w:t>
      </w:r>
      <w:r>
        <w:rPr>
          <w:rFonts w:ascii="仿宋" w:hAnsi="仿宋" w:eastAsia="仿宋" w:cs="仿宋"/>
          <w:b/>
          <w:bCs/>
          <w:sz w:val="28"/>
          <w:szCs w:val="28"/>
        </w:rPr>
        <w:t xml:space="preserve">1  </w:t>
      </w:r>
      <w:r>
        <w:rPr>
          <w:rFonts w:hint="eastAsia" w:ascii="仿宋" w:hAnsi="仿宋" w:eastAsia="仿宋" w:cs="仿宋"/>
          <w:b/>
          <w:bCs/>
          <w:sz w:val="28"/>
          <w:szCs w:val="28"/>
        </w:rPr>
        <w:t>市场需求挖掘</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确定了开展线上业务的目标后，慕菲饰品准备近期完成网店的开设。在网店开设前，通过对企业历史销售数据进行分析，产品部发现帽子品类的产品销量较高，利润较大。因此，产品部决定开发一款鸭舌帽，扩充帽子类产品的品类，提高网店的市场占有率和竞争力。在产品开发前，需要对鸭舌帽的市场数据进行分析，明确鸭舌帽目标客户画像及客户需求痛点，结合市场现状及竞争对手分析，明确鸭舌帽的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1.根据目标客户数据，进行目标客户分析，明确客户画像；</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2.根据市场数据，进行竞争对手分析，明确产品竞争优劣势；</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3.根据客户画像及竞争对手分析结果，明确市场需求及产品定位。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1.分析目标客户数据，明确目标客户画像及客户需求；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2.分析市场数据，明确产品的优势、劣势、机会以及威胁；</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3.根据分析结果，确定市场需求及产品定位。</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由于不同客户对鸭舌帽的材质、颜色、元素、闭合方式等需求不同。为了降低产品开发风险，增加产品投资收益。需要对不同类型鸭舌帽的产品生命周期与投资回报率等数据进行分析，评估不同类型鸭舌帽开发的可行性，从中选择最适合的产品进行开发。部分背景数据如下所示：</w:t>
      </w:r>
    </w:p>
    <w:tbl>
      <w:tblPr>
        <w:tblStyle w:val="9"/>
        <w:tblW w:w="80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49"/>
        <w:gridCol w:w="1356"/>
        <w:gridCol w:w="1134"/>
        <w:gridCol w:w="1559"/>
        <w:gridCol w:w="1418"/>
        <w:gridCol w:w="14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产品</w:t>
            </w:r>
          </w:p>
        </w:tc>
        <w:tc>
          <w:tcPr>
            <w:tcW w:w="1356"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材质</w:t>
            </w:r>
          </w:p>
        </w:tc>
        <w:tc>
          <w:tcPr>
            <w:tcW w:w="1134"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颜色</w:t>
            </w:r>
          </w:p>
        </w:tc>
        <w:tc>
          <w:tcPr>
            <w:tcW w:w="1559"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闭合方式</w:t>
            </w:r>
          </w:p>
        </w:tc>
        <w:tc>
          <w:tcPr>
            <w:tcW w:w="1418"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元素</w:t>
            </w:r>
          </w:p>
        </w:tc>
        <w:tc>
          <w:tcPr>
            <w:tcW w:w="1417" w:type="dxa"/>
            <w:vAlign w:val="center"/>
          </w:tcPr>
          <w:p>
            <w:pPr>
              <w:spacing w:before="0" w:after="0" w:line="240" w:lineRule="auto"/>
              <w:jc w:val="center"/>
              <w:rPr>
                <w:rFonts w:ascii="Times New Roman" w:hAnsi="Times New Roman" w:eastAsia="仿宋" w:cs="仿宋"/>
                <w:b/>
                <w:bCs/>
                <w:color w:val="auto"/>
                <w:sz w:val="22"/>
              </w:rPr>
            </w:pPr>
            <w:r>
              <w:rPr>
                <w:rFonts w:hint="eastAsia" w:ascii="Times New Roman" w:hAnsi="Times New Roman" w:eastAsia="仿宋" w:cs="仿宋"/>
                <w:b/>
                <w:bCs/>
                <w:color w:val="auto"/>
                <w:sz w:val="22"/>
              </w:rPr>
              <w:t>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产品1</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棉布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黑色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扣带</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刺绣</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39.9元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产品2</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涤纶</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粉色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扣带</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金属</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36.9元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产品3</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蓝色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魔术贴</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流苏</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25.8元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产品4</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棉布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粉色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魔术贴</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刺绣</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30.9元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产品5</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涤纶</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棕色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扣带</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金属</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19.0元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产品6</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棉布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白色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魔术贴</w:t>
            </w:r>
          </w:p>
        </w:tc>
        <w:tc>
          <w:tcPr>
            <w:tcW w:w="1418"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金属</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20.8元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产品7</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米色</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扣带</w:t>
            </w:r>
          </w:p>
        </w:tc>
        <w:tc>
          <w:tcPr>
            <w:tcW w:w="1418" w:type="dxa"/>
            <w:vAlign w:val="center"/>
          </w:tcPr>
          <w:p>
            <w:pPr>
              <w:spacing w:before="0" w:after="0" w:line="240" w:lineRule="auto"/>
              <w:jc w:val="center"/>
              <w:rPr>
                <w:rFonts w:ascii="Times New Roman" w:hAnsi="Times New Roman" w:eastAsia="仿宋" w:cs="仿宋"/>
                <w:color w:val="auto"/>
                <w:sz w:val="22"/>
                <w:highlight w:val="green"/>
              </w:rPr>
            </w:pPr>
            <w:r>
              <w:rPr>
                <w:rFonts w:hint="eastAsia" w:ascii="Times New Roman" w:hAnsi="Times New Roman" w:eastAsia="仿宋" w:cs="仿宋"/>
                <w:color w:val="auto"/>
                <w:sz w:val="22"/>
              </w:rPr>
              <w:t>刺绣</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36.9元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jc w:val="center"/>
        </w:trPr>
        <w:tc>
          <w:tcPr>
            <w:tcW w:w="114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产品8</w:t>
            </w:r>
          </w:p>
        </w:tc>
        <w:tc>
          <w:tcPr>
            <w:tcW w:w="1356"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帆布</w:t>
            </w:r>
          </w:p>
        </w:tc>
        <w:tc>
          <w:tcPr>
            <w:tcW w:w="1134"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迷彩</w:t>
            </w:r>
          </w:p>
        </w:tc>
        <w:tc>
          <w:tcPr>
            <w:tcW w:w="1559"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扣带</w:t>
            </w:r>
          </w:p>
        </w:tc>
        <w:tc>
          <w:tcPr>
            <w:tcW w:w="1418" w:type="dxa"/>
            <w:vAlign w:val="center"/>
          </w:tcPr>
          <w:p>
            <w:pPr>
              <w:spacing w:before="0" w:after="0" w:line="240" w:lineRule="auto"/>
              <w:jc w:val="center"/>
              <w:rPr>
                <w:rFonts w:ascii="Times New Roman" w:hAnsi="Times New Roman" w:eastAsia="仿宋" w:cs="仿宋"/>
                <w:color w:val="auto"/>
                <w:sz w:val="22"/>
                <w:highlight w:val="green"/>
              </w:rPr>
            </w:pPr>
            <w:r>
              <w:rPr>
                <w:rFonts w:hint="eastAsia" w:ascii="Times New Roman" w:hAnsi="Times New Roman" w:eastAsia="仿宋" w:cs="仿宋"/>
                <w:color w:val="auto"/>
                <w:sz w:val="22"/>
              </w:rPr>
              <w:t>刺绣</w:t>
            </w:r>
          </w:p>
        </w:tc>
        <w:tc>
          <w:tcPr>
            <w:tcW w:w="1417" w:type="dxa"/>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19.9元</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1.根据产品数据，分析目标产品的生命周期，明确产品所处阶段；</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2.根据产品数据，分析产品的投资回报率，评估目标产品开发的可行性；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3.根据产品生命周期及投资回报率分析结果，完成数据化选品。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1.根据市场需求及产品定位，明确产品规划和开发需求；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2.分析产品生命周期，明确产品所处阶段；</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3.分析产品投资回报率，评估产品开发的可行性；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4.根据分析结果，合理选择产品。</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产品供应渠道评估</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鸭舌帽产品选择完成后，需要为其选择供应渠道，由于不同产品供应渠道的供货能力、产品质量、产品价格、财务水平、地理位置、历史信誉等方面均存在差异，因此，需要对产品供应渠道进行分析，评估不同产品供应渠道的综合实力并进行分级，从中选择最优的产品供应渠道。部分背景数据如下所示：</w:t>
      </w:r>
    </w:p>
    <w:tbl>
      <w:tblPr>
        <w:tblStyle w:val="9"/>
        <w:tblW w:w="495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13"/>
        <w:gridCol w:w="1085"/>
        <w:gridCol w:w="1083"/>
        <w:gridCol w:w="1083"/>
        <w:gridCol w:w="1083"/>
        <w:gridCol w:w="1083"/>
        <w:gridCol w:w="1083"/>
        <w:gridCol w:w="108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5" w:hRule="atLeast"/>
        </w:trPr>
        <w:tc>
          <w:tcPr>
            <w:tcW w:w="877"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标准</w:t>
            </w:r>
          </w:p>
        </w:tc>
        <w:tc>
          <w:tcPr>
            <w:tcW w:w="590"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权重</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渠道1</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渠道2</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渠道3</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渠道4</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渠道5</w:t>
            </w:r>
          </w:p>
        </w:tc>
        <w:tc>
          <w:tcPr>
            <w:tcW w:w="589" w:type="pct"/>
            <w:vAlign w:val="center"/>
          </w:tcPr>
          <w:p>
            <w:pPr>
              <w:spacing w:before="0" w:after="0" w:line="24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供货能力</w:t>
            </w:r>
          </w:p>
        </w:tc>
        <w:tc>
          <w:tcPr>
            <w:tcW w:w="590"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15</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14</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10</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w:t>
            </w:r>
            <w:r>
              <w:rPr>
                <w:rFonts w:hint="eastAsia" w:ascii="Times New Roman" w:hAnsi="Times New Roman" w:cs="Times New Roman"/>
                <w:color w:val="auto"/>
                <w:kern w:val="0"/>
                <w:sz w:val="22"/>
                <w:lang w:bidi="ar"/>
              </w:rPr>
              <w:t>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产品价格</w:t>
            </w:r>
          </w:p>
        </w:tc>
        <w:tc>
          <w:tcPr>
            <w:tcW w:w="590"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25</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18</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23</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16</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13</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产品质量</w:t>
            </w:r>
          </w:p>
        </w:tc>
        <w:tc>
          <w:tcPr>
            <w:tcW w:w="590"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25</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18</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24</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18</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14</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财务水平</w:t>
            </w:r>
          </w:p>
        </w:tc>
        <w:tc>
          <w:tcPr>
            <w:tcW w:w="590"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15</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10</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14</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12</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6</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10</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地理位置</w:t>
            </w:r>
          </w:p>
        </w:tc>
        <w:tc>
          <w:tcPr>
            <w:tcW w:w="590"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10</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6</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8</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7</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7</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8</w:t>
            </w:r>
          </w:p>
        </w:tc>
        <w:tc>
          <w:tcPr>
            <w:tcW w:w="589" w:type="pct"/>
            <w:vAlign w:val="center"/>
          </w:tcPr>
          <w:p>
            <w:pPr>
              <w:widowControl/>
              <w:spacing w:before="0" w:after="0" w:line="240" w:lineRule="auto"/>
              <w:jc w:val="center"/>
              <w:rPr>
                <w:rFonts w:ascii="Times New Roman" w:hAnsi="Times New Roman" w:eastAsia="仿宋" w:cs="仿宋"/>
                <w:color w:val="auto"/>
                <w:sz w:val="22"/>
              </w:rPr>
            </w:pPr>
            <w:r>
              <w:rPr>
                <w:rFonts w:ascii="Times New Roman" w:hAnsi="Times New Roman" w:cs="Times New Roman"/>
                <w:color w:val="auto"/>
                <w:kern w:val="0"/>
                <w:sz w:val="22"/>
                <w:lang w:bidi="ar"/>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5" w:hRule="atLeast"/>
        </w:trPr>
        <w:tc>
          <w:tcPr>
            <w:tcW w:w="877" w:type="pct"/>
            <w:vAlign w:val="center"/>
          </w:tcPr>
          <w:p>
            <w:pPr>
              <w:spacing w:before="0" w:after="0" w:line="24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历史信誉</w:t>
            </w:r>
          </w:p>
        </w:tc>
        <w:tc>
          <w:tcPr>
            <w:tcW w:w="590"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10</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8</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9</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8</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6</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ascii="Times New Roman" w:hAnsi="Times New Roman" w:cs="Times New Roman"/>
                <w:color w:val="auto"/>
                <w:kern w:val="0"/>
                <w:sz w:val="22"/>
                <w:lang w:bidi="ar"/>
              </w:rPr>
              <w:t>6</w:t>
            </w:r>
          </w:p>
        </w:tc>
        <w:tc>
          <w:tcPr>
            <w:tcW w:w="589" w:type="pct"/>
            <w:vAlign w:val="center"/>
          </w:tcPr>
          <w:p>
            <w:pPr>
              <w:widowControl/>
              <w:spacing w:before="0" w:after="0" w:line="240" w:lineRule="auto"/>
              <w:jc w:val="center"/>
              <w:rPr>
                <w:rFonts w:ascii="Times New Roman" w:hAnsi="Times New Roman" w:cs="Times New Roman"/>
                <w:color w:val="auto"/>
                <w:kern w:val="0"/>
                <w:sz w:val="22"/>
                <w:lang w:bidi="ar"/>
              </w:rPr>
            </w:pPr>
            <w:r>
              <w:rPr>
                <w:rFonts w:hint="eastAsia" w:ascii="Times New Roman" w:hAnsi="Times New Roman" w:cs="宋体"/>
                <w:color w:val="auto"/>
                <w:kern w:val="0"/>
                <w:sz w:val="22"/>
                <w:lang w:bidi="ar"/>
              </w:rPr>
              <w:t>9</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1.根据产品供应渠道评估标准，进行产品供应渠道评估；</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2.根据产品供应渠道评估结果，进行产品供应渠道分级；</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3.根据产品供应渠道选择标准，进行产品供应渠道选择。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1.依据产品供应渠道评估标准，对产品供应渠道进行评估；</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2.依据产品供应渠道分级标准，对产品供应渠道进行分级管理；</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3.依据产品供应渠道选择标准，完成产品供应渠道选择。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任务4</w:t>
      </w:r>
      <w:r>
        <w:rPr>
          <w:rFonts w:ascii="仿宋" w:hAnsi="仿宋" w:eastAsia="仿宋" w:cs="仿宋"/>
          <w:b/>
          <w:bCs/>
          <w:sz w:val="28"/>
          <w:szCs w:val="28"/>
        </w:rPr>
        <w:t xml:space="preserve">  </w:t>
      </w:r>
      <w:r>
        <w:rPr>
          <w:rFonts w:hint="eastAsia" w:ascii="仿宋" w:hAnsi="仿宋" w:eastAsia="仿宋" w:cs="仿宋"/>
          <w:b/>
          <w:bCs/>
          <w:sz w:val="28"/>
          <w:szCs w:val="28"/>
        </w:rPr>
        <w:t>产品发布渠道测试</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鸭舌帽产品供应渠道选择完成后，慕菲饰品需要对产品发布渠道进行测试，并选择一个合适的产品发布渠道，完成产品发布。由于不同产品发布渠道的用户规模、盈利情况、订单数量等方面存在较大差距，在产品发布前，需要对不同产品发布渠道的流量数据、销售数据等进行分析，同时，结合不同产品发布渠道内鸭舌帽的销售情况，选择多个产品发布渠道进行测试，根据测试结果从中选择合适的产品发布渠道并完成产品发布。</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1.根据产品发布渠道测试需求，进行产品发布渠道测试；</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2.根据产品发布渠道测试结果，完成产品发布渠道选择。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1.产品发布渠道的测试；</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2.产品发布渠道选择；</w:t>
      </w:r>
    </w:p>
    <w:p>
      <w:pPr>
        <w:spacing w:before="0" w:after="0"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 根据发布要求，完成产品发布。</w:t>
      </w:r>
    </w:p>
    <w:p>
      <w:pPr>
        <w:rPr>
          <w:rFonts w:ascii="Times New Roman" w:hAnsi="Times New Roman" w:eastAsia="仿宋" w:cs="Times New Roman"/>
          <w:color w:val="auto"/>
          <w:sz w:val="28"/>
          <w:szCs w:val="21"/>
        </w:rPr>
      </w:pPr>
    </w:p>
    <w:p>
      <w:pPr>
        <w:pStyle w:val="3"/>
        <w:spacing w:before="120" w:after="120" w:line="360" w:lineRule="auto"/>
        <w:jc w:val="both"/>
        <w:rPr>
          <w:rFonts w:ascii="黑体" w:hAnsi="黑体"/>
          <w:szCs w:val="32"/>
        </w:rPr>
      </w:pPr>
      <w:r>
        <w:rPr>
          <w:rFonts w:ascii="黑体" w:hAnsi="黑体"/>
          <w:szCs w:val="32"/>
        </w:rPr>
        <w:t>模块2：视觉营销</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慕菲饰品是一家在某主流电商平台经营时尚饰品类目的网店，主营产品为帽子、领带、手镯等服装配饰，主要面向</w:t>
      </w:r>
      <w:r>
        <w:rPr>
          <w:rFonts w:hint="eastAsia" w:ascii="仿宋_GB2312" w:hAnsi="仿宋" w:eastAsia="仿宋_GB2312" w:cs="仿宋"/>
          <w:sz w:val="28"/>
          <w:szCs w:val="28"/>
        </w:rPr>
        <w:t>年轻</w:t>
      </w:r>
      <w:r>
        <w:rPr>
          <w:rFonts w:ascii="仿宋_GB2312" w:hAnsi="仿宋" w:eastAsia="仿宋_GB2312" w:cs="仿宋"/>
          <w:sz w:val="28"/>
          <w:szCs w:val="28"/>
        </w:rPr>
        <w:t>潮流人士。请根据网店营销需求及产品定位，结合目标客户特征，分析标志、色彩、字体等视觉传达元素，对网店首页、产品主图视频、产品详情页进行视觉营销设计，增加网店页面访问深度，提高产品转化率。</w:t>
      </w:r>
    </w:p>
    <w:p>
      <w:pPr>
        <w:spacing w:line="360" w:lineRule="auto"/>
        <w:ind w:firstLine="602" w:firstLineChars="200"/>
        <w:jc w:val="both"/>
        <w:rPr>
          <w:rFonts w:ascii="黑体" w:hAnsi="黑体" w:eastAsia="黑体" w:cs="仿宋"/>
          <w:b/>
          <w:bCs/>
          <w:sz w:val="30"/>
          <w:szCs w:val="30"/>
        </w:rPr>
      </w:pPr>
      <w:r>
        <w:rPr>
          <w:rFonts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  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 xml:space="preserve">任务1-1  </w:t>
      </w:r>
      <w:r>
        <w:rPr>
          <w:rFonts w:hint="eastAsia" w:ascii="仿宋" w:hAnsi="仿宋" w:eastAsia="仿宋" w:cs="仿宋"/>
          <w:b/>
          <w:bCs/>
          <w:sz w:val="28"/>
          <w:szCs w:val="28"/>
        </w:rPr>
        <w:t xml:space="preserve"> </w:t>
      </w:r>
      <w:r>
        <w:rPr>
          <w:rFonts w:ascii="仿宋" w:hAnsi="仿宋" w:eastAsia="仿宋" w:cs="仿宋"/>
          <w:b/>
          <w:bCs/>
          <w:sz w:val="28"/>
          <w:szCs w:val="28"/>
        </w:rPr>
        <w:t>PC端网店首页视觉营销设计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为了吸引客户进店浏览、消费，慕菲饰品网店计划在劳动节期间开展换季促销活动。为了配合活动的宣传与推广，准备对PC端网店首页进行视觉营销设计。对此，需要为网店设计1张店招图片，同时以防晒袖、领带、手镯、鸭舌帽等产品为基础，分别为每款产品设计1张轮播图片。图片设计完成后，需要对PC端网店首页进行布局及整体设计，达到增加页面浏览深度、提高网店曝光量的效果。产品素材如下所示：</w:t>
      </w:r>
    </w:p>
    <w:tbl>
      <w:tblPr>
        <w:tblStyle w:val="9"/>
        <w:tblW w:w="8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04"/>
        <w:gridCol w:w="78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400" w:type="dxa"/>
            <w:gridSpan w:val="2"/>
            <w:vAlign w:val="center"/>
          </w:tcPr>
          <w:p>
            <w:pPr>
              <w:spacing w:before="0" w:after="0" w:line="240" w:lineRule="auto"/>
              <w:jc w:val="center"/>
              <w:rPr>
                <w:rFonts w:ascii="Times New Roman" w:hAnsi="Times New Roman" w:cs="Times New Roman"/>
                <w:b/>
                <w:bCs/>
                <w:color w:val="auto"/>
              </w:rPr>
            </w:pPr>
            <w:r>
              <w:rPr>
                <w:rFonts w:ascii="Times New Roman" w:hAnsi="Times New Roman" w:eastAsia="仿宋" w:cs="Times New Roman"/>
                <w:b/>
                <w:bCs/>
                <w:color w:val="auto"/>
                <w:sz w:val="22"/>
              </w:rPr>
              <w:t>网店首页视觉营销设计素材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autoSpaceDE/>
              <w:autoSpaceDN/>
              <w:spacing w:before="0" w:after="0" w:line="24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防晒袖</w:t>
            </w:r>
          </w:p>
        </w:tc>
        <w:tc>
          <w:tcPr>
            <w:tcW w:w="7896" w:type="dxa"/>
            <w:vAlign w:val="center"/>
          </w:tcPr>
          <w:p>
            <w:pPr>
              <w:spacing w:before="0" w:after="0" w:line="24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58360" cy="654685"/>
                  <wp:effectExtent l="0" t="0" r="5080" b="635"/>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7"/>
                          <a:stretch>
                            <a:fillRect/>
                          </a:stretch>
                        </pic:blipFill>
                        <pic:spPr>
                          <a:xfrm>
                            <a:off x="0" y="0"/>
                            <a:ext cx="4658360" cy="65468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504" w:type="dxa"/>
            <w:vAlign w:val="center"/>
          </w:tcPr>
          <w:p>
            <w:pPr>
              <w:pStyle w:val="2"/>
              <w:autoSpaceDE/>
              <w:autoSpaceDN/>
              <w:spacing w:before="0" w:after="0" w:line="24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领带</w:t>
            </w:r>
          </w:p>
        </w:tc>
        <w:tc>
          <w:tcPr>
            <w:tcW w:w="7896" w:type="dxa"/>
            <w:vAlign w:val="center"/>
          </w:tcPr>
          <w:p>
            <w:pPr>
              <w:spacing w:before="0" w:after="0" w:line="24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72330" cy="643890"/>
                  <wp:effectExtent l="0" t="0" r="6350" b="11430"/>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8"/>
                          <a:stretch>
                            <a:fillRect/>
                          </a:stretch>
                        </pic:blipFill>
                        <pic:spPr>
                          <a:xfrm>
                            <a:off x="0" y="0"/>
                            <a:ext cx="4672330" cy="64389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pStyle w:val="2"/>
              <w:autoSpaceDE/>
              <w:autoSpaceDN/>
              <w:spacing w:before="0" w:after="0" w:line="240" w:lineRule="auto"/>
              <w:jc w:val="center"/>
              <w:rPr>
                <w:rFonts w:ascii="Times New Roman" w:hAnsi="Times New Roman" w:eastAsia="仿宋" w:cs="Times New Roman"/>
                <w:color w:val="auto"/>
                <w:sz w:val="21"/>
                <w:szCs w:val="21"/>
                <w:lang w:eastAsia="zh-CN"/>
              </w:rPr>
            </w:pPr>
            <w:r>
              <w:rPr>
                <w:rFonts w:ascii="Times New Roman" w:hAnsi="Times New Roman" w:eastAsia="仿宋" w:cs="Times New Roman"/>
                <w:color w:val="auto"/>
                <w:sz w:val="21"/>
                <w:szCs w:val="21"/>
                <w:lang w:eastAsia="zh-CN"/>
              </w:rPr>
              <w:t>手镯</w:t>
            </w:r>
          </w:p>
        </w:tc>
        <w:tc>
          <w:tcPr>
            <w:tcW w:w="7896" w:type="dxa"/>
            <w:vAlign w:val="center"/>
          </w:tcPr>
          <w:p>
            <w:pPr>
              <w:spacing w:before="0" w:after="0" w:line="24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62805" cy="652145"/>
                  <wp:effectExtent l="0" t="0" r="635" b="317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9"/>
                          <a:stretch>
                            <a:fillRect/>
                          </a:stretch>
                        </pic:blipFill>
                        <pic:spPr>
                          <a:xfrm>
                            <a:off x="0" y="0"/>
                            <a:ext cx="4662805" cy="65214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jc w:val="center"/>
        </w:trPr>
        <w:tc>
          <w:tcPr>
            <w:tcW w:w="504" w:type="dxa"/>
            <w:vAlign w:val="center"/>
          </w:tcPr>
          <w:p>
            <w:pPr>
              <w:spacing w:before="0" w:after="0" w:line="240" w:lineRule="auto"/>
              <w:jc w:val="center"/>
              <w:rPr>
                <w:rFonts w:ascii="Times New Roman" w:hAnsi="Times New Roman" w:cs="Times New Roman"/>
                <w:color w:val="auto"/>
                <w:szCs w:val="21"/>
              </w:rPr>
            </w:pPr>
            <w:r>
              <w:rPr>
                <w:rFonts w:ascii="Times New Roman" w:hAnsi="Times New Roman" w:eastAsia="仿宋" w:cs="Times New Roman"/>
                <w:color w:val="auto"/>
                <w:sz w:val="21"/>
                <w:szCs w:val="21"/>
              </w:rPr>
              <w:t>鸭舌帽</w:t>
            </w:r>
          </w:p>
        </w:tc>
        <w:tc>
          <w:tcPr>
            <w:tcW w:w="7896" w:type="dxa"/>
            <w:vAlign w:val="center"/>
          </w:tcPr>
          <w:p>
            <w:pPr>
              <w:spacing w:before="0" w:after="0" w:line="240" w:lineRule="auto"/>
              <w:jc w:val="center"/>
              <w:rPr>
                <w:rFonts w:ascii="Times New Roman" w:hAnsi="Times New Roman" w:cs="Times New Roman"/>
                <w:color w:val="auto"/>
                <w:szCs w:val="21"/>
              </w:rPr>
            </w:pPr>
            <w:r>
              <w:rPr>
                <w:rFonts w:ascii="Times New Roman" w:hAnsi="Times New Roman" w:cs="Times New Roman"/>
                <w:color w:val="auto"/>
              </w:rPr>
              <w:drawing>
                <wp:inline distT="0" distB="0" distL="114300" distR="114300">
                  <wp:extent cx="4665345" cy="650240"/>
                  <wp:effectExtent l="0" t="0" r="13335" b="5080"/>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0"/>
                          <a:stretch>
                            <a:fillRect/>
                          </a:stretch>
                        </pic:blipFill>
                        <pic:spPr>
                          <a:xfrm>
                            <a:off x="0" y="0"/>
                            <a:ext cx="4665345" cy="650240"/>
                          </a:xfrm>
                          <a:prstGeom prst="rect">
                            <a:avLst/>
                          </a:prstGeom>
                          <a:noFill/>
                          <a:ln>
                            <a:noFill/>
                          </a:ln>
                        </pic:spPr>
                      </pic:pic>
                    </a:graphicData>
                  </a:graphic>
                </wp:inline>
              </w:drawing>
            </w:r>
          </w:p>
        </w:tc>
      </w:tr>
    </w:tbl>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PC端网店首页图片设计规范：店招图片建议尺寸950*120像素；轮播图片建议尺寸950*250像素；图片大小3MB以内，支持jpg、jpeg、png格式。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1.根据网店营销需求及产品定位，结合给定的设计素材，遵照店招图片的设计规范及平台规则，完成店招图片设计；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2.根据网店营销需求及产品定位，规划轮播图片展示内容，并结合给定的设计素材，遵照轮播图片设计规范及平台规则完成轮播图片设计；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3.根据网店首页布局原则，结合消费者购物心理逻辑及PC端消费者浏览习惯，选择首页布局模块并进行合理编辑，完成PC端网店首页布局及整体设计。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1.设计1张店招图片；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3.通过页面编辑功能，完成PC端网店首页布局及整体设计，包括设计模块的选择编辑、页面的布局管理等；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4.PC端网店首页发布。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任务1-2  移动端网店首页视觉营销设计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为了营造浓厚的活动氛围，提高活动参与度，在完成PC端网店首页的视觉营销设计之后，需要对移动端网店首页进行视觉营销设计，满足移动端网店客户的视觉需求。对此，需要将PC端网店已经设计好的防晒袖、领带、手镯、鸭舌帽等四款产品的轮播图片，按照移动端轮播图片尺寸和大小等设计要求进行调整后应用到移动端网店首页。轮播图片应用完成后，需要对移动端网店首页进行布局及整体设计，增加网店首页的吸引力，提高活动的营销效果。</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移动端网店首页图片设计规范：轮播图建议尺寸1200*600像素，图片大小3MB以内，支持jpg、jpeg、png格式。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1.根据移动端网店设计要求，将PC端网店设计好的轮播图片应用到移动端网店；</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w:t>
      </w:r>
      <w:r>
        <w:rPr>
          <w:rFonts w:ascii="仿宋_GB2312" w:hAnsi="仿宋" w:eastAsia="仿宋_GB2312" w:cs="仿宋"/>
          <w:sz w:val="28"/>
          <w:szCs w:val="28"/>
        </w:rPr>
        <w:t>根据网店首页布局原则，结合消费者购物心理逻辑及移动端消费者浏览习惯，选择首页布局模块并进行合理编辑，完成移动端网店首页布局及整体设计。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1.上传4张轮播图片；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2.通过页面编辑功能，完成移动端网店首页布局及整体设计，包括设计模块的选择编辑、页面的布局管理等；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3.移动端网店首页发布。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任务2  产品主图视频编辑与制作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换季促销活动期间，网店计划上架一款发箍，在对网店同类型产品进行对比分析后发现，带有产品主图视频的产品销量较高。为了提高发箍的销量，需要为发箍添加产品主图视频。对此，需要规划产品主图视频的展示内容，并进行编辑与制作。产品素材如下所示：</w:t>
      </w:r>
    </w:p>
    <w:p>
      <w:pPr>
        <w:pStyle w:val="2"/>
        <w:jc w:val="center"/>
        <w:rPr>
          <w:rFonts w:ascii="Times New Roman" w:hAnsi="Times New Roman" w:eastAsia="宋体" w:cs="Times New Roman"/>
          <w:color w:val="auto"/>
          <w:sz w:val="24"/>
          <w:szCs w:val="24"/>
        </w:rPr>
      </w:pPr>
      <w:r>
        <w:rPr>
          <w:rFonts w:ascii="Times New Roman" w:hAnsi="Times New Roman" w:eastAsia="宋体" w:cs="Times New Roman"/>
          <w:color w:val="auto"/>
          <w:sz w:val="24"/>
          <w:szCs w:val="24"/>
          <w:lang w:eastAsia="zh-CN"/>
        </w:rPr>
        <w:drawing>
          <wp:inline distT="0" distB="0" distL="114300" distR="114300">
            <wp:extent cx="3926840" cy="1414145"/>
            <wp:effectExtent l="0" t="0" r="5080" b="3175"/>
            <wp:docPr id="4"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IMG_256"/>
                    <pic:cNvPicPr>
                      <a:picLocks noChangeAspect="1"/>
                    </pic:cNvPicPr>
                  </pic:nvPicPr>
                  <pic:blipFill>
                    <a:blip r:embed="rId11"/>
                    <a:stretch>
                      <a:fillRect/>
                    </a:stretch>
                  </pic:blipFill>
                  <pic:spPr>
                    <a:xfrm>
                      <a:off x="0" y="0"/>
                      <a:ext cx="3926840" cy="1414145"/>
                    </a:xfrm>
                    <a:prstGeom prst="rect">
                      <a:avLst/>
                    </a:prstGeom>
                    <a:noFill/>
                    <a:ln w="9525">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产品主图视频制作规范：建议视频尺寸比例为1:1或16:9；视频格式为MP4；视频时长≤60秒，建议9</w:t>
      </w:r>
      <w:r>
        <w:rPr>
          <w:rFonts w:hint="eastAsia" w:ascii="仿宋_GB2312" w:hAnsi="仿宋" w:eastAsia="仿宋_GB2312" w:cs="仿宋"/>
          <w:sz w:val="28"/>
          <w:szCs w:val="28"/>
        </w:rPr>
        <w:t>—</w:t>
      </w:r>
      <w:r>
        <w:rPr>
          <w:rFonts w:ascii="仿宋_GB2312" w:hAnsi="仿宋" w:eastAsia="仿宋_GB2312" w:cs="仿宋"/>
          <w:sz w:val="28"/>
          <w:szCs w:val="28"/>
        </w:rPr>
        <w:t>30秒；清晰度≥720p。</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1.根据网店营销需求及产品定位，结合目标消费群体的购买心理特征，规划产品主图视频的展示内容，完成主图视频的内容策划；</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2.根据给定的设计素材，利用视频剪辑模板，遵照产品主图视频的设计规范及平台规则，完成主图视频的编辑与制作。</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1.策划产品主图视频的展示内容；</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2.完成产品主图视频编辑与制作。</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任务3  产品详情页视觉营销设计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在完成发箍的主图视频编辑与制作之后，网店准备继续完成发箍产品详情页的视觉设计。对此，需要根据产品信息与素材图片，结合活动期间的产品详情页展现需求，为发箍设计主图图片与详情描述图片。设计完成后，需要设置发箍的基本信息，并完成产品详情页的布局规划。产品素材如下所示：</w:t>
      </w:r>
    </w:p>
    <w:p>
      <w:pPr>
        <w:widowControl/>
        <w:spacing w:before="0" w:after="0" w:line="360" w:lineRule="auto"/>
        <w:jc w:val="center"/>
        <w:rPr>
          <w:rFonts w:ascii="Times New Roman" w:hAnsi="Times New Roman" w:eastAsia="仿宋" w:cs="Times New Roman"/>
          <w:color w:val="auto"/>
          <w:szCs w:val="24"/>
        </w:rPr>
      </w:pPr>
      <w:r>
        <w:rPr>
          <w:rFonts w:ascii="Times New Roman" w:hAnsi="Times New Roman" w:cs="Times New Roman"/>
          <w:color w:val="auto"/>
        </w:rPr>
        <w:drawing>
          <wp:inline distT="0" distB="0" distL="114300" distR="114300">
            <wp:extent cx="5539740" cy="1315085"/>
            <wp:effectExtent l="0" t="0" r="7620" b="1079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2"/>
                    <a:stretch>
                      <a:fillRect/>
                    </a:stretch>
                  </pic:blipFill>
                  <pic:spPr>
                    <a:xfrm>
                      <a:off x="0" y="0"/>
                      <a:ext cx="5539740" cy="1315085"/>
                    </a:xfrm>
                    <a:prstGeom prst="rect">
                      <a:avLst/>
                    </a:prstGeom>
                    <a:noFill/>
                    <a:ln>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产品详情页图片设计规范：产品主图图片尺寸800*800像素；产品详情描述图片宽度为750像素；详情描述总高度不超过35000像素；图片大小3MB以内，支持jpg、jpeg、png格式。</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1.根据网店营销需求及产品定位，规划产品主图的展示内容，遵照产品主图的设计规范与要求，结合给定的设计素材，完成产品主图设计；</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2.根据网店营销需求及产品定位，明确产品详情描述的构成要素，结合目标群体的消费心理，明确产品详情描述的展示要点，完成详情描述设计。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1.设计5张产品主图图片；</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2.设计产品详情描述</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3.发布产品详情页。</w:t>
      </w:r>
    </w:p>
    <w:p>
      <w:pPr>
        <w:rPr>
          <w:color w:val="auto"/>
        </w:rPr>
      </w:pPr>
    </w:p>
    <w:p>
      <w:pPr>
        <w:pStyle w:val="3"/>
        <w:spacing w:before="120" w:after="120" w:line="360" w:lineRule="auto"/>
        <w:jc w:val="both"/>
        <w:rPr>
          <w:rFonts w:ascii="黑体" w:hAnsi="黑体"/>
          <w:szCs w:val="32"/>
        </w:rPr>
      </w:pPr>
      <w:r>
        <w:rPr>
          <w:rFonts w:hint="eastAsia" w:ascii="黑体" w:hAnsi="黑体"/>
          <w:szCs w:val="32"/>
        </w:rPr>
        <w:t>模块3：网店营销与运营推广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亿华百货有限公司是一家综合性线下零售企业，旗下拥有500余家实体门店，产品涵盖服装服饰、珠宝饰品、家具家电等诸多品类，可以满足客户日常的消费需求。亿华百货成立于1998年，拥有20余年的发展历史，在亿华百货成立之初，就明确了“品质过硬，服务至上”的企业经营理念，力求为客户提供高品质、高性价比的产品。经过多年的发展，亿华百货已成长为中国零售行业的知名企业。随着电子商务的发展，单纯发展线下门店的模式已不符合当前社会的趋势，线上线下同步发展的模式已成为零售企业打破经营瓶颈的重要方式。在此背景下，亿华百货准备入驻多家电商平台发展线上业务。为此，专门组建了运营团队，全面负责网店在不同经营周期的营销与运营推广工作，持续提高网店竞争力及盈利能力。</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运营团队在筹备期间，对即将经营的空调、油烟机等主要产品进行了市场调研，得到了相关的市场分析数据。市场分析数据预测了未来五个经营周期内，主营产品的市场需求量、价格趋势等相关信息，并分析了目前北京、天津、上海、南昌、济南等十五个城市，品牌人群、综合人群等四类主要消费人群的市场需求情况、市场平均价格等基本数据，收集了电商平台相关品类主流关键词的展现量、转化量、转化率、点击花费等相关数据。</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网店营销方案制定</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网店运营初期，首先需要了解目标市场的现状及需求情况，分析当前经营周期下空调、油烟机等产品的市场基本数据，包括热销产品、目标消费人群、主要营销方式等，明确当前市场的消费趋势及行业竞争情况，围绕产品运营、流量获取、营销转化等运营过程中的主要环节，制定网店当前经营周期的营销方案，用以保证下一经营周期的网店营销与运营推广工作的顺利进行，并在经营过程中不断对网店营销方案进行优化，不断提高各个经营周期的引流转化能力，持续提高网店竞争力及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1.根据网店运营目标，对当前经营周期下的目标市场数据进行分析，明确消费趋势及行业竞争情况；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2.根据目标市场数据分析结果，从</w:t>
      </w:r>
      <w:r>
        <w:rPr>
          <w:rFonts w:ascii="仿宋_GB2312" w:hAnsi="仿宋" w:eastAsia="仿宋_GB2312" w:cs="仿宋"/>
          <w:sz w:val="28"/>
          <w:szCs w:val="28"/>
        </w:rPr>
        <w:t>产品运营、流量获取、营销转化等角度</w:t>
      </w:r>
      <w:r>
        <w:rPr>
          <w:rFonts w:hint="eastAsia" w:ascii="仿宋_GB2312" w:hAnsi="仿宋" w:eastAsia="仿宋_GB2312" w:cs="仿宋"/>
          <w:sz w:val="28"/>
          <w:szCs w:val="28"/>
        </w:rPr>
        <w:t>制定当前经营周期的网店营销方案；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3.根据当前经营周期的营销数据，不断优化网店营销方案，持续提高网店在不同经营周期的盈利能力。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1.基于行业热销产品、消费人群、营销方式等数据对目标市场进行分析；</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2.基于产品运营、流量获取、营销转化等角度制定网店营销方案；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3.根据经营数据不断优化网店营销方案，持续提高网店盈利能力。</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网店运营推广</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任务2-1</w:t>
      </w:r>
      <w:r>
        <w:rPr>
          <w:rFonts w:ascii="仿宋" w:hAnsi="仿宋" w:eastAsia="仿宋" w:cs="仿宋"/>
          <w:b/>
          <w:bCs/>
          <w:sz w:val="28"/>
          <w:szCs w:val="28"/>
        </w:rPr>
        <w:t xml:space="preserve">  </w:t>
      </w:r>
      <w:r>
        <w:rPr>
          <w:rFonts w:hint="eastAsia" w:ascii="仿宋" w:hAnsi="仿宋" w:eastAsia="仿宋" w:cs="仿宋"/>
          <w:b/>
          <w:bCs/>
          <w:sz w:val="28"/>
          <w:szCs w:val="28"/>
        </w:rPr>
        <w:t>产品品类管理</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前期已经完成了市场调研及消费者行为分析，目前购买该类产品的主要消费人群为低价人群、综合人群等。通过对上述人群进行分析，明确了不同目标人群的消费特点之后，运营团队需要据此对当前经营周期下的桌子、沙发等产品的生命周期、各类人群对产品的需求等数据进行分析，明确不同经营周期下的产品品类，确定目标产品，确定并优化不同经营周期下的产品价格。</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1.根据产品的市场占有率情况，结合目标消费人群特点，明确不同经营周期下的产品定位；</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2.根据产品的销售情况及市场需求变化，分析影响产品定价的因素，确定并优化不同经营周期下的产品定价。</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1.分析市场需求数据，明确产品定位，确定经营品类；</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2.分析产品数据，确定并优化产品价格。</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任务2-2</w:t>
      </w:r>
      <w:r>
        <w:rPr>
          <w:rFonts w:ascii="仿宋" w:hAnsi="仿宋" w:eastAsia="仿宋" w:cs="仿宋"/>
          <w:b/>
          <w:bCs/>
          <w:sz w:val="28"/>
          <w:szCs w:val="28"/>
        </w:rPr>
        <w:t xml:space="preserve">  </w:t>
      </w:r>
      <w:r>
        <w:rPr>
          <w:rFonts w:hint="eastAsia" w:ascii="仿宋" w:hAnsi="仿宋" w:eastAsia="仿宋" w:cs="仿宋"/>
          <w:b/>
          <w:bCs/>
          <w:sz w:val="28"/>
          <w:szCs w:val="28"/>
        </w:rPr>
        <w:t>流量获取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品类相关信息明确之后，需要分析当前经营周期下市场桌子、沙发等品类主流关键词的展现量、转化量、点击量、点击率、转化率等数据。根据流量获取策略，合理分配资金预算，针对选定的目标产品进行搜索引擎营销，并在推广过程中不断优化流量获取策略，提高下一运营周期网店及产品的曝光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1.根据流量获取策略，完成站内免费推广，并根据推广结果，对下一经营周期的站内推广策略进行优化调整；</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2.根据流量获取策略，完成站外付费推广，并根据推广结果，对下一经营周期的站外推广策略进行优化调整。</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1.挖掘关键词，优化产品信息，完成站内免费推广；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2.搭建推广账户，设置推广关键词，合理分配预算，完成站内付费推广；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3.选择站外推广方式，合理分配预算，完成站外付费推广。</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 xml:space="preserve">任务 </w:t>
      </w:r>
      <w:r>
        <w:rPr>
          <w:rFonts w:ascii="仿宋" w:hAnsi="仿宋" w:eastAsia="仿宋" w:cs="仿宋"/>
          <w:b/>
          <w:bCs/>
          <w:sz w:val="28"/>
          <w:szCs w:val="28"/>
        </w:rPr>
        <w:t xml:space="preserve"> </w:t>
      </w:r>
      <w:r>
        <w:rPr>
          <w:rFonts w:hint="eastAsia" w:ascii="仿宋" w:hAnsi="仿宋" w:eastAsia="仿宋" w:cs="仿宋"/>
          <w:b/>
          <w:bCs/>
          <w:sz w:val="28"/>
          <w:szCs w:val="28"/>
        </w:rPr>
        <w:t>2-3营销转化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 w:hAnsi="仿宋" w:eastAsia="仿宋" w:cs="仿宋"/>
          <w:sz w:val="28"/>
          <w:szCs w:val="28"/>
        </w:rPr>
      </w:pPr>
      <w:r>
        <w:rPr>
          <w:rFonts w:hint="eastAsia" w:ascii="仿宋_GB2312" w:hAnsi="仿宋" w:eastAsia="仿宋_GB2312" w:cs="仿宋"/>
          <w:sz w:val="28"/>
          <w:szCs w:val="28"/>
        </w:rPr>
        <w:t>流量是网店运营的基础，转化是网店运营的核心，通过站内站外推广获取流量之后需要根据营销需求，分析不同营销方式的特点，选择合适的营销活动类型并完成营销活动的策划。根据不同经营周期的运营状况，合</w:t>
      </w:r>
      <w:r>
        <w:rPr>
          <w:rFonts w:hint="eastAsia" w:ascii="仿宋" w:hAnsi="仿宋" w:eastAsia="仿宋" w:cs="仿宋"/>
          <w:sz w:val="28"/>
          <w:szCs w:val="28"/>
        </w:rPr>
        <w:t>理调整营销活动策略，提高下一经营周期空调、油烟机等产品的转化率。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1.根据营销转化策略，结合当前经营周期下的产品销售数据及运营现状，策划营销活动，设置营销活动基本信息；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2.根据营销转化结果，优化营销转化策略，提高下一经营周期的产品转化率。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1.策划营销活动并设置营销活动基本信息；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2.分析活动数据，优化营销转化策略。</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网店运营数据分析与应用</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经过三个周期的运营，亿华百货线上网店多款产品销量与日俱增。为了进一步提高网店竞争力，提升未来两个经营周期的盈利能力。运营团队需要对现阶段网店的销售数据、财务数据、竞争数据等进行分析。根据分析结果，优化网店营销方案，降低资金浪费，提高下一周期网店的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1.根据网店及产品的流量获取、营销转化结果，对销售数据进行分析诊断，并据此优化网店营销方案。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2.根据网店的现金流、运营成本、财务报表等数据，对财务数据进行分析，并据此优化资金分配，降低资金浪费。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3.根据网店及产品的市场占有率，对竞争网店及竞争产品进行分析，并据此优化产品运营策略，提高网店竞争力。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1.对网店的销售数据、财务数据、竞争数据等进行分析；</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2.根据数据分析结果，优化网店营销方案。</w:t>
      </w:r>
    </w:p>
    <w:p>
      <w:pPr>
        <w:pStyle w:val="2"/>
        <w:rPr>
          <w:lang w:eastAsia="zh-CN"/>
        </w:rPr>
      </w:pPr>
    </w:p>
    <w:p>
      <w:pPr>
        <w:rPr>
          <w:rFonts w:hint="eastAsia"/>
        </w:rPr>
      </w:pPr>
      <w:bookmarkStart w:id="1" w:name="_GoBack"/>
      <w:bookmarkEnd w:id="1"/>
    </w:p>
    <w:sectPr>
      <w:footerReference r:id="rId5" w:type="default"/>
      <w:pgSz w:w="11905" w:h="16838"/>
      <w:pgMar w:top="1361" w:right="1417" w:bottom="1361" w:left="1417" w:header="720" w:footer="720" w:gutter="0"/>
      <w:pgNumType w:start="0"/>
      <w:cols w:space="720" w:num="1"/>
      <w:titlePg/>
      <w:docGrid w:linePitch="326"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F8DBAB61-3278-4BBF-A431-5D4DBEF78383}"/>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4063B170-4610-44F3-9B70-F314AD7BB51D}"/>
  </w:font>
  <w:font w:name="Arial">
    <w:panose1 w:val="020B0604020202020204"/>
    <w:charset w:val="00"/>
    <w:family w:val="swiss"/>
    <w:pitch w:val="default"/>
    <w:sig w:usb0="E0002EFF" w:usb1="C000785B" w:usb2="00000009" w:usb3="00000000" w:csb0="400001FF" w:csb1="FFFF0000"/>
  </w:font>
  <w:font w:name="方正仿宋_GB2312">
    <w:panose1 w:val="02000000000000000000"/>
    <w:charset w:val="86"/>
    <w:family w:val="auto"/>
    <w:pitch w:val="default"/>
    <w:sig w:usb0="A00002BF" w:usb1="184F6CFA" w:usb2="00000012" w:usb3="00000000" w:csb0="00040001" w:csb1="00000000"/>
  </w:font>
  <w:font w:name="方正小标宋简体">
    <w:panose1 w:val="02000000000000000000"/>
    <w:charset w:val="86"/>
    <w:family w:val="auto"/>
    <w:pitch w:val="default"/>
    <w:sig w:usb0="00000001" w:usb1="08000000" w:usb2="00000000" w:usb3="00000000" w:csb0="00040000" w:csb1="00000000"/>
    <w:embedRegular r:id="rId3" w:fontKey="{B42205E7-80AE-4C3E-973D-B9E4DAF29DBA}"/>
  </w:font>
  <w:font w:name="微软雅黑">
    <w:panose1 w:val="020B0503020204020204"/>
    <w:charset w:val="86"/>
    <w:family w:val="swiss"/>
    <w:pitch w:val="default"/>
    <w:sig w:usb0="80000287" w:usb1="2ACF3C50" w:usb2="00000016" w:usb3="00000000" w:csb0="0004001F" w:csb1="00000000"/>
    <w:embedRegular r:id="rId4" w:fontKey="{A5CAEB9F-C97B-49B9-8C42-D262F370D1D8}"/>
  </w:font>
  <w:font w:name="仿宋">
    <w:panose1 w:val="02010609060101010101"/>
    <w:charset w:val="86"/>
    <w:family w:val="modern"/>
    <w:pitch w:val="default"/>
    <w:sig w:usb0="800002BF" w:usb1="38CF7CFA" w:usb2="00000016" w:usb3="00000000" w:csb0="00040001" w:csb1="00000000"/>
    <w:embedRegular r:id="rId5" w:fontKey="{3DF26388-08CA-4328-81BE-CA239813A12A}"/>
  </w:font>
  <w:font w:name="Segoe UI Symbol">
    <w:panose1 w:val="020B0502040204020203"/>
    <w:charset w:val="00"/>
    <w:family w:val="swiss"/>
    <w:pitch w:val="default"/>
    <w:sig w:usb0="800001E3" w:usb1="1200FFEF" w:usb2="00040000" w:usb3="04000000" w:csb0="00000001" w:csb1="40000000"/>
    <w:embedRegular r:id="rId6" w:fontKey="{1E23670D-490E-43A8-BF50-ECF63C4C9029}"/>
  </w:font>
  <w:font w:name="仿宋_GB2312">
    <w:panose1 w:val="02010609030101010101"/>
    <w:charset w:val="86"/>
    <w:family w:val="modern"/>
    <w:pitch w:val="default"/>
    <w:sig w:usb0="00000001" w:usb1="080E0000" w:usb2="00000000" w:usb3="00000000" w:csb0="00040000" w:csb1="00000000"/>
    <w:embedRegular r:id="rId7" w:fontKey="{D452D24F-0DCF-4EE1-8E01-A4F7D860725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Pr>
    <w:r>
      <mc:AlternateContent>
        <mc:Choice Requires="wps">
          <w:drawing>
            <wp:anchor distT="0" distB="0" distL="114300" distR="114300" simplePos="0" relativeHeight="251659264" behindDoc="0" locked="0" layoutInCell="1" allowOverlap="1">
              <wp:simplePos x="0" y="0"/>
              <wp:positionH relativeFrom="margin">
                <wp:posOffset>2814955</wp:posOffset>
              </wp:positionH>
              <wp:positionV relativeFrom="paragraph">
                <wp:posOffset>-2540</wp:posOffset>
              </wp:positionV>
              <wp:extent cx="23495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23495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5"/>
                          </w:pPr>
                          <w:r>
                            <w:fldChar w:fldCharType="begin"/>
                          </w:r>
                          <w:r>
                            <w:instrText xml:space="preserve"> PAGE  \* MERGEFORMAT </w:instrText>
                          </w:r>
                          <w:r>
                            <w:fldChar w:fldCharType="separate"/>
                          </w:r>
                          <w:r>
                            <w:t>14</w:t>
                          </w:r>
                          <w: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21.65pt;margin-top:-0.2pt;height:144pt;width:18.5pt;mso-position-horizontal-relative:margin;z-index:251659264;mso-width-relative:page;mso-height-relative:page;" filled="f" stroked="f" coordsize="21600,21600" o:gfxdata="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9WUXW2AAAAAkBAAAPAAAAAAAAAAEAIAAAACIAAABkcnMvZG93bnJldi54bWxQ&#10;SwECFAAUAAAACACHTuJANDBVIDACAABWBAAADgAAAAAAAAABACAAAAAnAQAAZHJzL2Uyb0RvYy54&#10;bWxQSwUGAAAAAAYABgBZAQAAyQUAAAAA&#10;">
              <v:fill on="f" focussize="0,0"/>
              <v:stroke on="f" weight="0.5pt"/>
              <v:imagedata o:title=""/>
              <o:lock v:ext="edit" aspectratio="f"/>
              <v:textbox inset="0mm,0mm,0mm,0mm" style="mso-fit-shape-to-text:t;">
                <w:txbxContent>
                  <w:p>
                    <w:pPr>
                      <w:pStyle w:val="5"/>
                    </w:pPr>
                    <w:r>
                      <w:fldChar w:fldCharType="begin"/>
                    </w:r>
                    <w:r>
                      <w:instrText xml:space="preserve"> PAGE  \* MERGEFORMAT </w:instrText>
                    </w:r>
                    <w:r>
                      <w:fldChar w:fldCharType="separate"/>
                    </w:r>
                    <w:r>
                      <w:t>14</w:t>
                    </w:r>
                    <w: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12" w:lineRule="auto"/>
      </w:pPr>
      <w:r>
        <w:separator/>
      </w:r>
    </w:p>
  </w:footnote>
  <w:footnote w:type="continuationSeparator" w:id="1">
    <w:p>
      <w:pPr>
        <w:spacing w:before="0" w:after="0" w:line="312"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NlOWE4N2I1Y2IwYzY2YjM1MDZhYTBjMjk5YmQ0OGYifQ=="/>
  </w:docVars>
  <w:rsids>
    <w:rsidRoot w:val="388F4E2E"/>
    <w:rsid w:val="0009365F"/>
    <w:rsid w:val="000A4BF2"/>
    <w:rsid w:val="000E0A09"/>
    <w:rsid w:val="00372C08"/>
    <w:rsid w:val="007F102D"/>
    <w:rsid w:val="007F745D"/>
    <w:rsid w:val="00ED3187"/>
    <w:rsid w:val="00F0489D"/>
    <w:rsid w:val="0A7B3808"/>
    <w:rsid w:val="19E219A9"/>
    <w:rsid w:val="1DF855C4"/>
    <w:rsid w:val="388F4E2E"/>
    <w:rsid w:val="3E6D4214"/>
    <w:rsid w:val="4C9F5819"/>
    <w:rsid w:val="53B66F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napToGrid w:val="0"/>
      <w:spacing w:before="60" w:after="60" w:line="312" w:lineRule="auto"/>
    </w:pPr>
    <w:rPr>
      <w:rFonts w:eastAsia="宋体" w:asciiTheme="minorHAnsi" w:hAnsiTheme="minorHAnsi" w:cstheme="minorBidi"/>
      <w:color w:val="333333"/>
      <w:kern w:val="2"/>
      <w:sz w:val="24"/>
      <w:szCs w:val="22"/>
      <w:lang w:val="en-US" w:eastAsia="zh-CN" w:bidi="ar-SA"/>
    </w:rPr>
  </w:style>
  <w:style w:type="paragraph" w:styleId="3">
    <w:name w:val="heading 2"/>
    <w:basedOn w:val="1"/>
    <w:next w:val="1"/>
    <w:qFormat/>
    <w:uiPriority w:val="9"/>
    <w:pPr>
      <w:keepNext/>
      <w:keepLines/>
      <w:spacing w:before="260" w:after="260" w:line="413" w:lineRule="auto"/>
      <w:outlineLvl w:val="1"/>
    </w:pPr>
    <w:rPr>
      <w:rFonts w:ascii="Arial" w:hAnsi="Arial" w:eastAsia="黑体"/>
      <w:b/>
      <w:sz w:val="32"/>
    </w:rPr>
  </w:style>
  <w:style w:type="character" w:default="1" w:styleId="10">
    <w:name w:val="Default Paragraph Font"/>
    <w:semiHidden/>
    <w:unhideWhenUsed/>
    <w:uiPriority w:val="1"/>
  </w:style>
  <w:style w:type="table" w:default="1" w:styleId="8">
    <w:name w:val="Normal Table"/>
    <w:semiHidden/>
    <w:unhideWhenUsed/>
    <w:uiPriority w:val="99"/>
    <w:tblPr>
      <w:tblCellMar>
        <w:top w:w="0" w:type="dxa"/>
        <w:left w:w="108" w:type="dxa"/>
        <w:bottom w:w="0" w:type="dxa"/>
        <w:right w:w="108" w:type="dxa"/>
      </w:tblCellMar>
    </w:tblPr>
  </w:style>
  <w:style w:type="paragraph" w:styleId="2">
    <w:name w:val="Body Text"/>
    <w:basedOn w:val="1"/>
    <w:next w:val="1"/>
    <w:qFormat/>
    <w:uiPriority w:val="1"/>
    <w:pPr>
      <w:autoSpaceDE w:val="0"/>
      <w:autoSpaceDN w:val="0"/>
    </w:pPr>
    <w:rPr>
      <w:rFonts w:ascii="方正仿宋_GB2312" w:hAnsi="方正仿宋_GB2312" w:eastAsia="方正仿宋_GB2312" w:cs="方正仿宋_GB2312"/>
      <w:sz w:val="32"/>
      <w:szCs w:val="32"/>
      <w:lang w:eastAsia="en-US"/>
    </w:rPr>
  </w:style>
  <w:style w:type="paragraph" w:styleId="4">
    <w:name w:val="Body Text Indent"/>
    <w:basedOn w:val="1"/>
    <w:unhideWhenUsed/>
    <w:qFormat/>
    <w:uiPriority w:val="99"/>
    <w:pPr>
      <w:spacing w:after="120"/>
      <w:ind w:left="420" w:leftChars="200"/>
    </w:pPr>
    <w:rPr>
      <w:sz w:val="21"/>
    </w:rPr>
  </w:style>
  <w:style w:type="paragraph" w:styleId="5">
    <w:name w:val="footer"/>
    <w:basedOn w:val="1"/>
    <w:unhideWhenUsed/>
    <w:qFormat/>
    <w:uiPriority w:val="99"/>
    <w:pPr>
      <w:tabs>
        <w:tab w:val="center" w:pos="4153"/>
        <w:tab w:val="right" w:pos="8306"/>
      </w:tabs>
      <w:spacing w:line="240" w:lineRule="auto"/>
    </w:pPr>
    <w:rPr>
      <w:sz w:val="18"/>
      <w:szCs w:val="18"/>
    </w:rPr>
  </w:style>
  <w:style w:type="paragraph" w:styleId="6">
    <w:name w:val="header"/>
    <w:basedOn w:val="1"/>
    <w:link w:val="11"/>
    <w:uiPriority w:val="0"/>
    <w:pPr>
      <w:tabs>
        <w:tab w:val="center" w:pos="4153"/>
        <w:tab w:val="right" w:pos="8306"/>
      </w:tabs>
      <w:spacing w:line="240" w:lineRule="auto"/>
      <w:jc w:val="center"/>
    </w:pPr>
    <w:rPr>
      <w:sz w:val="18"/>
      <w:szCs w:val="18"/>
    </w:rPr>
  </w:style>
  <w:style w:type="paragraph" w:styleId="7">
    <w:name w:val="Body Text First Indent 2"/>
    <w:basedOn w:val="4"/>
    <w:unhideWhenUsed/>
    <w:qFormat/>
    <w:uiPriority w:val="99"/>
    <w:pPr>
      <w:ind w:firstLine="420" w:firstLineChars="200"/>
      <w:jc w:val="both"/>
    </w:pPr>
    <w:rPr>
      <w:rFonts w:ascii="Times New Roman" w:hAnsi="Times New Roman" w:cs="Times New Roman"/>
      <w:szCs w:val="24"/>
    </w:rPr>
  </w:style>
  <w:style w:type="table" w:styleId="9">
    <w:name w:val="Table Grid"/>
    <w:basedOn w:val="8"/>
    <w:qFormat/>
    <w:uiPriority w:val="39"/>
    <w:tblPr>
      <w:tblBorders>
        <w:top w:val="single" w:color="CBCDD1" w:sz="6" w:space="0"/>
        <w:left w:val="single" w:color="CBCDD1" w:sz="6" w:space="0"/>
        <w:bottom w:val="single" w:color="CBCDD1" w:sz="6" w:space="0"/>
        <w:right w:val="single" w:color="CBCDD1" w:sz="6" w:space="0"/>
        <w:insideH w:val="single" w:color="CBCDD1" w:sz="6" w:space="0"/>
        <w:insideV w:val="single" w:color="CBCDD1" w:sz="6" w:space="0"/>
      </w:tblBorders>
    </w:tblPr>
    <w:tcPr>
      <w:vAlign w:val="center"/>
    </w:tcPr>
  </w:style>
  <w:style w:type="character" w:customStyle="1" w:styleId="11">
    <w:name w:val="页眉 Char"/>
    <w:basedOn w:val="10"/>
    <w:link w:val="6"/>
    <w:uiPriority w:val="0"/>
    <w:rPr>
      <w:rFonts w:eastAsia="宋体"/>
      <w:color w:val="333333"/>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Pages>
  <Words>6003</Words>
  <Characters>6240</Characters>
  <Lines>47</Lines>
  <Paragraphs>13</Paragraphs>
  <TotalTime>46</TotalTime>
  <ScaleCrop>false</ScaleCrop>
  <LinksUpToDate>false</LinksUpToDate>
  <CharactersWithSpaces>6346</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2023-04-13T13:24:00Z</dcterms:created>
  <dc:creator>HP</dc:creator>
  <cp:lastModifiedBy>刘晓辉</cp:lastModifiedBy>
  <dcterms:modified xsi:type="dcterms:W3CDTF">2023-04-17T13:47:25Z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CBC6BC8F4A81466DA0921FA5FEE95ADB_11</vt:lpwstr>
  </property>
</Properties>
</file>