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napToGrid/>
        <w:spacing w:before="0" w:after="0" w:line="240" w:lineRule="auto"/>
        <w:jc w:val="center"/>
        <w:rPr>
          <w:rFonts w:ascii="微软雅黑" w:hAnsi="微软雅黑" w:eastAsia="微软雅黑" w:cs="微软雅黑"/>
          <w:color w:val="auto"/>
          <w:w w:val="90"/>
          <w:sz w:val="72"/>
          <w:szCs w:val="72"/>
        </w:rPr>
      </w:pPr>
      <w:bookmarkStart w:id="0" w:name="_Hlk132295126"/>
      <w:r>
        <w:rPr>
          <w:rFonts w:hint="eastAsia" w:ascii="微软雅黑" w:hAnsi="微软雅黑" w:eastAsia="微软雅黑" w:cs="微软雅黑"/>
          <w:color w:val="auto"/>
          <w:sz w:val="72"/>
          <w:szCs w:val="72"/>
        </w:rPr>
        <w:t>全国职业院校技能大赛</w:t>
      </w:r>
    </w:p>
    <w:p>
      <w:pPr>
        <w:spacing w:before="0" w:after="0" w:line="510" w:lineRule="atLeast"/>
        <w:jc w:val="center"/>
        <w:rPr>
          <w:rFonts w:ascii="微软雅黑" w:hAnsi="微软雅黑" w:eastAsia="微软雅黑" w:cs="微软雅黑"/>
          <w:color w:val="auto"/>
          <w:sz w:val="52"/>
          <w:szCs w:val="52"/>
        </w:rPr>
      </w:pPr>
      <w:r>
        <w:rPr>
          <w:rFonts w:hint="eastAsia" w:ascii="微软雅黑" w:hAnsi="微软雅黑" w:eastAsia="微软雅黑" w:cs="微软雅黑"/>
          <w:color w:val="auto"/>
          <w:sz w:val="72"/>
          <w:szCs w:val="72"/>
        </w:rPr>
        <w:t>赛题素材</w:t>
      </w:r>
      <w:bookmarkStart w:id="1" w:name="_Hlk132292355"/>
      <w:r>
        <w:rPr>
          <w:rFonts w:hint="eastAsia" w:ascii="微软雅黑" w:hAnsi="微软雅黑" w:eastAsia="微软雅黑" w:cs="微软雅黑"/>
          <w:color w:val="auto"/>
          <w:sz w:val="72"/>
          <w:szCs w:val="72"/>
        </w:rPr>
        <w:t>（题目）</w:t>
      </w:r>
      <w:bookmarkEnd w:id="1"/>
    </w:p>
    <w:bookmarkEnd w:id="0"/>
    <w:p>
      <w:pPr>
        <w:spacing w:before="0" w:after="0" w:line="510" w:lineRule="atLeast"/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</w:p>
    <w:p>
      <w:pPr>
        <w:spacing w:before="0" w:after="0" w:line="510" w:lineRule="atLeast"/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（第一套共十套）</w:t>
      </w:r>
    </w:p>
    <w:p>
      <w:pPr>
        <w:spacing w:before="0" w:after="0" w:line="243" w:lineRule="atLeast"/>
        <w:jc w:val="center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center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Times New Roman"/>
          <w:color w:val="auto"/>
          <w:sz w:val="32"/>
          <w:szCs w:val="32"/>
        </w:rPr>
        <w:t>赛项名称：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 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电子商务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</w:t>
      </w: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赛项编号：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    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>GZ04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7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</w:t>
      </w:r>
      <w:r>
        <w:rPr>
          <w:rFonts w:ascii="仿宋" w:hAnsi="仿宋" w:eastAsia="仿宋" w:cs="Times New Roman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Times New Roman"/>
          <w:color w:val="auto"/>
          <w:sz w:val="32"/>
          <w:szCs w:val="32"/>
          <w:u w:val="single"/>
        </w:rPr>
        <w:t xml:space="preserve">   </w:t>
      </w:r>
    </w:p>
    <w:p>
      <w:pPr>
        <w:spacing w:before="0" w:after="0" w:line="360" w:lineRule="auto"/>
        <w:jc w:val="both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ascii="仿宋" w:hAnsi="仿宋" w:eastAsia="仿宋" w:cs="Times New Roman"/>
          <w:color w:val="auto"/>
          <w:sz w:val="32"/>
          <w:szCs w:val="32"/>
        </w:rPr>
        <w:t>赛项组别：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□中等职业教育</w:t>
      </w:r>
      <w:r>
        <w:rPr>
          <w:rFonts w:ascii="仿宋" w:hAnsi="仿宋" w:eastAsia="仿宋" w:cs="Times New Roman"/>
          <w:color w:val="auto"/>
          <w:sz w:val="32"/>
          <w:szCs w:val="32"/>
        </w:rPr>
        <w:t xml:space="preserve">   </w:t>
      </w:r>
      <w:r>
        <w:rPr>
          <w:rFonts w:ascii="Segoe UI Symbol" w:hAnsi="Segoe UI Symbol" w:eastAsia="仿宋" w:cs="Segoe UI Symbol"/>
          <w:color w:val="auto"/>
          <w:sz w:val="32"/>
          <w:szCs w:val="32"/>
        </w:rPr>
        <w:t>☑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高等职业教育</w:t>
      </w: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243" w:lineRule="atLeast"/>
        <w:jc w:val="both"/>
        <w:rPr>
          <w:rFonts w:ascii="Calibri" w:hAnsi="Calibri" w:cs="Times New Roman"/>
          <w:color w:val="auto"/>
          <w:sz w:val="21"/>
        </w:rPr>
      </w:pPr>
    </w:p>
    <w:p>
      <w:pPr>
        <w:snapToGrid/>
        <w:spacing w:before="0" w:after="0" w:line="240" w:lineRule="auto"/>
        <w:jc w:val="center"/>
        <w:rPr>
          <w:rFonts w:ascii="仿宋" w:hAnsi="仿宋" w:eastAsia="仿宋" w:cs="Times New Roman"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color w:val="auto"/>
          <w:sz w:val="32"/>
          <w:szCs w:val="32"/>
        </w:rPr>
        <w:t>编制日期：</w:t>
      </w:r>
      <w:r>
        <w:rPr>
          <w:rFonts w:ascii="仿宋" w:hAnsi="仿宋" w:eastAsia="仿宋" w:cs="Times New Roman"/>
          <w:color w:val="auto"/>
          <w:sz w:val="32"/>
          <w:szCs w:val="32"/>
        </w:rPr>
        <w:t>2023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年</w:t>
      </w:r>
      <w:r>
        <w:rPr>
          <w:rFonts w:ascii="仿宋" w:hAnsi="仿宋" w:eastAsia="仿宋" w:cs="Times New Roman"/>
          <w:color w:val="auto"/>
          <w:sz w:val="32"/>
          <w:szCs w:val="32"/>
        </w:rPr>
        <w:t>4</w:t>
      </w:r>
      <w:r>
        <w:rPr>
          <w:rFonts w:hint="eastAsia" w:ascii="仿宋" w:hAnsi="仿宋" w:eastAsia="仿宋" w:cs="Times New Roman"/>
          <w:color w:val="auto"/>
          <w:sz w:val="32"/>
          <w:szCs w:val="32"/>
        </w:rPr>
        <w:t>月</w:t>
      </w: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spacing w:before="0" w:after="0" w:line="360" w:lineRule="auto"/>
        <w:jc w:val="both"/>
        <w:rPr>
          <w:rFonts w:ascii="Calibri" w:hAnsi="Calibri" w:cs="Times New Roman"/>
          <w:color w:val="auto"/>
          <w:sz w:val="21"/>
        </w:rPr>
      </w:pPr>
    </w:p>
    <w:p>
      <w:pPr>
        <w:widowControl/>
        <w:snapToGrid/>
        <w:spacing w:before="0" w:after="0" w:line="240" w:lineRule="auto"/>
        <w:jc w:val="both"/>
        <w:rPr>
          <w:rFonts w:ascii="宋体" w:hAnsi="宋体"/>
          <w:b/>
          <w:bCs/>
          <w:sz w:val="48"/>
          <w:szCs w:val="48"/>
        </w:rPr>
      </w:pPr>
    </w:p>
    <w:p>
      <w:pPr>
        <w:widowControl/>
        <w:snapToGrid/>
        <w:spacing w:before="0" w:after="0" w:line="240" w:lineRule="auto"/>
        <w:jc w:val="both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/>
          <w:b/>
          <w:bCs/>
          <w:sz w:val="48"/>
          <w:szCs w:val="48"/>
        </w:rPr>
        <w:br w:type="page"/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2023年全国职业院校技能大赛高职组</w:t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“GZ047电子商务”赛项</w:t>
      </w:r>
    </w:p>
    <w:p>
      <w:pPr>
        <w:jc w:val="center"/>
        <w:rPr>
          <w:rFonts w:ascii="仿宋_GB2312" w:hAnsi="仿宋" w:eastAsia="仿宋_GB2312" w:cs="仿宋"/>
          <w:b/>
          <w:bCs/>
          <w:sz w:val="48"/>
          <w:szCs w:val="48"/>
        </w:rPr>
      </w:pPr>
      <w:r>
        <w:rPr>
          <w:rFonts w:hint="eastAsia" w:ascii="仿宋_GB2312" w:hAnsi="仿宋" w:eastAsia="仿宋_GB2312" w:cs="仿宋"/>
          <w:b/>
          <w:bCs/>
          <w:sz w:val="48"/>
          <w:szCs w:val="48"/>
        </w:rPr>
        <w:t>赛卷一</w:t>
      </w:r>
    </w:p>
    <w:p>
      <w:pPr>
        <w:snapToGrid/>
        <w:spacing w:before="0" w:after="0" w:line="360" w:lineRule="auto"/>
        <w:jc w:val="both"/>
        <w:rPr>
          <w:rFonts w:ascii="仿宋_GB2312" w:hAnsi="宋体" w:eastAsia="仿宋_GB2312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4"/>
        <w:spacing w:before="120" w:after="120" w:line="360" w:lineRule="auto"/>
        <w:jc w:val="both"/>
        <w:rPr>
          <w:rFonts w:ascii="黑体" w:hAnsi="黑体"/>
          <w:szCs w:val="32"/>
        </w:rPr>
      </w:pPr>
      <w:r>
        <w:rPr>
          <w:rFonts w:hint="eastAsia" w:ascii="黑体" w:hAnsi="黑体"/>
          <w:szCs w:val="32"/>
        </w:rPr>
        <w:t>模块1：互联网产品开发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骏达汽车装饰是一家经营汽车饰品的企业，主营汽车挂件、车载摆件、车载香薰等产品，拥有多家实体门店。近期，骏达汽车装饰计划开设一家网店，主营汽车装饰用品。请根据对市场数据的分析，挖掘市场需求，明确目标客户画像及市场定位，制定互联网产品规划和开发方案，完成数据化选品，并对产品渠道进行评估测试，合理选择产品供应及发布渠道，提高产品竞争优势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hint="eastAsia"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</w:t>
      </w:r>
      <w:r>
        <w:rPr>
          <w:rFonts w:ascii="仿宋" w:hAnsi="仿宋" w:eastAsia="仿宋" w:cs="仿宋"/>
          <w:b/>
          <w:bCs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市场需求挖掘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网店开设之前，骏达汽车装饰对现有的产品线进行了梳理，发现车载香薰品类较少，无法较好地满足目标市场需求。为了提高在车载香薰市场的竞争力，需要对该品类进行扩充。对此，产品部决定开发一款车载香薰。产品开发之前，需要对车载香薰的市场数据进行分析，明确目标客户对车载香薰的需求，分析不同产品的优劣势并完成产品定位，为后期车载香薰的开发提供依据。部分背景数据如下所示：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134"/>
        <w:gridCol w:w="993"/>
        <w:gridCol w:w="1275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地址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教育水平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丁智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25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广西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公务员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林梅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女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24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北京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专科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谢文月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女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33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山东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专科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技术员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崔志和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25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北京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医生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周鹤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27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河北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硕士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苏强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22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山西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高中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外卖员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李世明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28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安徽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技术员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王志文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29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浙江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硕士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肖敏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女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34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湖南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专科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护士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袁和志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35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北京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专科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药剂师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钱多多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32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江苏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孙明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39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上海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博士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医生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赵啸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男</w:t>
            </w:r>
          </w:p>
        </w:tc>
        <w:tc>
          <w:tcPr>
            <w:tcW w:w="993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29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四川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硕士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会计师</w:t>
            </w:r>
          </w:p>
        </w:tc>
      </w:tr>
    </w:tbl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1.根据目标客户数据，进行目标客户分析，明确客户画像；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2.根据市场数据，进行竞争对手分析，明确产品竞争优劣势；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3.根据客户画像及竞争对手分析结果，明确市场需求及产品定位。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1.分析目标客户数据，明确目标客户画像及客户需求；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2.分析市场数据，明确产品的优势、劣势、机会以及威胁；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3.根据分析结果，确定市场需求及产品定位。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任务2数据化选品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明确了车载香薰的市场需求后，产品部初步选择了几款车载香薰，因企业资金有限，无法同时进行开发。所以，需要对几款车载香薰的生命周期及投资回报率进行分析，从中选择最合适的产品进行开发，降低产品开发的风险，提高企业投资的收益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1.根据产品数据，分析目标产品的生命周期，明确产品所处阶段；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2.根据产品数据，分析产品的投资回报率，评估目标产品开发的可行性；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3.根据产品生命周期及投资回报率分析结果，完成数据化选品。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1.根据市场需求及产品定位，明确产品规划和开发需求；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2.分析产品生命周期，明确产品所处阶段；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3.分析产品投资回报率，评估产品开发的可行性；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4.根据分析结果，合理选择产品。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任务3产品供应渠道评估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车载香薰选择完成后，需要为其选择产品供应渠道。不同产品供应渠道在产品质量、产品价格、地理位置、交付能力、历史业绩等方面均存在差异，因此，产品部需要对车载香薰的产品供应渠道进行分析，评估不同产品供应渠道的综合实力并进行分级，从中选择最优的产品供应渠道。部分背景数据如下所示：</w:t>
      </w:r>
    </w:p>
    <w:tbl>
      <w:tblPr>
        <w:tblStyle w:val="15"/>
        <w:tblW w:w="49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1083"/>
        <w:gridCol w:w="1083"/>
        <w:gridCol w:w="1083"/>
        <w:gridCol w:w="1083"/>
        <w:gridCol w:w="1083"/>
        <w:gridCol w:w="1084"/>
        <w:gridCol w:w="1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76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标准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权重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渠道1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渠道2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渠道3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渠道4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渠道5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</w:rPr>
              <w:t>渠道6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76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产品质量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25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23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20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18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23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28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76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产品价格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25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20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17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15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23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21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76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地理位置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10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7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6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6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8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4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76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交付能力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20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19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14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15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19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12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76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历史业绩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20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15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16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17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18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15</w:t>
            </w:r>
          </w:p>
        </w:tc>
        <w:tc>
          <w:tcPr>
            <w:tcW w:w="589" w:type="pct"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 w:val="22"/>
              </w:rPr>
            </w:pPr>
            <w:r>
              <w:rPr>
                <w:rFonts w:hint="eastAsia" w:ascii="Times New Roman" w:hAnsi="Times New Roman" w:eastAsia="仿宋" w:cs="仿宋"/>
                <w:color w:val="auto"/>
                <w:sz w:val="22"/>
              </w:rPr>
              <w:t>13</w:t>
            </w:r>
          </w:p>
        </w:tc>
      </w:tr>
    </w:tbl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1.根据产品供应渠道评估标准，进行产品供应渠道评估；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2.根据产品供应渠道评估结果，进行产品供应渠道分级；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3.根据产品供应渠道选择标准，进行产品供应渠道选择。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1.评估产品供应渠道；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2.对产品供应渠道进行分级管理；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3.完成产品供应渠道选择。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任务4产品发布渠道测试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车载香薰供应渠道选择完成后，骏达汽车装饰需要对产品发布渠道进行测试，并选择一个合适的产品发布渠道，完成产品发布。由于不同产品发布渠道在用户规模、盈利情况、订单数量等方面均存在较大差距，产品发布之前，需要对不同产品发布渠道的流量数据、销售数据等进行分析，同时，结合不同产品发布渠道内车载香薰的销售情况，选择多个产品发布渠道进行测试，根据测试结果从中选择最合适的产品发布渠道并完成产品发布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任务要求：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1.根据产品发布渠道测试需求，进行产品发布渠道测试；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2.根据产品发布渠道测试结果，完成产品发布渠道选择。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操作过程：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1.产品发布渠道测试；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2.产品发布渠道选择；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3.根据发布要求，产品发布。</w:t>
      </w:r>
    </w:p>
    <w:p>
      <w:r>
        <w:rPr>
          <w:color w:val="auto"/>
        </w:rPr>
        <w:br w:type="page"/>
      </w:r>
    </w:p>
    <w:p>
      <w:pPr>
        <w:pStyle w:val="4"/>
        <w:spacing w:before="120" w:after="120" w:line="360" w:lineRule="auto"/>
        <w:jc w:val="both"/>
        <w:rPr>
          <w:rFonts w:ascii="黑体" w:hAnsi="黑体"/>
          <w:szCs w:val="32"/>
        </w:rPr>
      </w:pPr>
      <w:r>
        <w:rPr>
          <w:rFonts w:ascii="黑体" w:hAnsi="黑体"/>
          <w:szCs w:val="32"/>
        </w:rPr>
        <w:t>模块2：视觉营销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骏达汽车装饰是一家在某主流电商平台经营汽车装饰类目的网店，</w:t>
      </w:r>
      <w:r>
        <w:rPr>
          <w:rFonts w:hint="eastAsia" w:ascii="仿宋_GB2312" w:hAnsi="仿宋" w:eastAsia="仿宋_GB2312" w:cs="仿宋"/>
          <w:sz w:val="28"/>
          <w:szCs w:val="28"/>
        </w:rPr>
        <w:t>主要面向有车一族、汽车爱好者。</w:t>
      </w:r>
      <w:r>
        <w:rPr>
          <w:rFonts w:ascii="仿宋_GB2312" w:hAnsi="仿宋" w:eastAsia="仿宋_GB2312" w:cs="仿宋"/>
          <w:sz w:val="28"/>
          <w:szCs w:val="28"/>
        </w:rPr>
        <w:t>请根据网店营销需求及产品定位，结合目标客户特征，分析标志、色彩、字体等视觉传达元素，对网店首页、产品主图视频、产品详情页进行视觉营销设计，增加网店页面访问深度，提高产品转化率。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任务1  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任务1-1  PC端网店首页视觉营销设计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为了吸引新客户进店浏览、消费，激励老客户复购，骏达汽车装饰网店计划推出周年庆促销活动，希望通过较大优惠提高网店销量。为了配合活动的宣传与推广，准备对PC端网店首页进行视觉</w:t>
      </w:r>
      <w:r>
        <w:rPr>
          <w:rFonts w:hint="eastAsia" w:ascii="仿宋_GB2312" w:hAnsi="仿宋" w:eastAsia="仿宋_GB2312" w:cs="仿宋"/>
          <w:sz w:val="28"/>
          <w:szCs w:val="28"/>
        </w:rPr>
        <w:t>营销</w:t>
      </w:r>
      <w:r>
        <w:rPr>
          <w:rFonts w:ascii="仿宋_GB2312" w:hAnsi="仿宋" w:eastAsia="仿宋_GB2312" w:cs="仿宋"/>
          <w:sz w:val="28"/>
          <w:szCs w:val="28"/>
        </w:rPr>
        <w:t>设计。对此，需要为网店设计1张店招图片，同时以车载香薰、挪车号码牌、汽车摆件、汽车挂件等</w:t>
      </w:r>
      <w:r>
        <w:rPr>
          <w:rFonts w:hint="eastAsia" w:ascii="仿宋_GB2312" w:hAnsi="仿宋" w:eastAsia="仿宋_GB2312" w:cs="仿宋"/>
          <w:sz w:val="28"/>
          <w:szCs w:val="28"/>
        </w:rPr>
        <w:t>4款</w:t>
      </w:r>
      <w:r>
        <w:rPr>
          <w:rFonts w:ascii="仿宋_GB2312" w:hAnsi="仿宋" w:eastAsia="仿宋_GB2312" w:cs="仿宋"/>
          <w:sz w:val="28"/>
          <w:szCs w:val="28"/>
        </w:rPr>
        <w:t>产品为基础，分别为每款产品设计1张轮播图片。图片设计完成后，需要对PC端网店首页进行布局及整体设计，达到增加页面浏览深度、提高网店曝光量的效果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PC端网店首页视觉营销设计相关素材：4款产品图片素材、4款产品介绍文档各1份。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PC端网店首页图片设计规范：店招图片建议尺寸950*120像素；轮播图片建议尺寸950*250像素；图片大小3MB以内，支持jpg、jpeg、png格式。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1.根据网店营销需求及产品定位，结合给定的设计素材，遵照店招图片的设计规范及平台规则，完成店招图片设计；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2.根据网店营销需求及产品定位，规划轮播图片展示内容，并结合给定的设计素材，遵照轮播图片设计规范及平台规则完成轮播图片设计；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3.根据网店首页布局原则，结合消费者购物心理逻辑及PC端消费者浏览习惯，选择首页布局模块并进行合理编辑，完成PC端网店首页布局及整体设计。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1.设计1张店招图片；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2.设计4张轮播图片；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3.通过页面编辑功能，完成PC端网店首页布局及整体设计，包括设计模块的选择编辑、页面的布局管理等；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4.发布PC端网店首页。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任务1-2  移动端网店首页视觉营销设计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为了提升网店整体视觉效果，提高活动参与度，在完成PC端网店首页的视觉营销设计后，需要对移动端网店首页进行视觉营销设计，进一步营造活动氛围，满足移动端网店客户的视觉需求。对此，需要将PC端网店已经设计好的车载香薰、挪车号码牌、汽车摆件、汽车挂件等</w:t>
      </w:r>
      <w:r>
        <w:rPr>
          <w:rFonts w:hint="eastAsia" w:ascii="仿宋_GB2312" w:hAnsi="仿宋" w:eastAsia="仿宋_GB2312" w:cs="仿宋"/>
          <w:sz w:val="28"/>
          <w:szCs w:val="28"/>
        </w:rPr>
        <w:t>4</w:t>
      </w:r>
      <w:r>
        <w:rPr>
          <w:rFonts w:ascii="仿宋_GB2312" w:hAnsi="仿宋" w:eastAsia="仿宋_GB2312" w:cs="仿宋"/>
          <w:sz w:val="28"/>
          <w:szCs w:val="28"/>
        </w:rPr>
        <w:t>款产品的轮播图片，按照移动端轮播图片尺寸和大小等设计要求进行调整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ascii="仿宋_GB2312" w:hAnsi="仿宋" w:eastAsia="仿宋_GB2312" w:cs="仿宋"/>
          <w:sz w:val="28"/>
          <w:szCs w:val="28"/>
        </w:rPr>
        <w:t>应用到移动端网店首页，并对移动端网店首页进行布局及整体设计，达到快速吸引消费者的目的</w:t>
      </w:r>
      <w:r>
        <w:rPr>
          <w:rFonts w:hint="eastAsia" w:ascii="仿宋_GB2312" w:hAnsi="仿宋" w:eastAsia="仿宋_GB2312" w:cs="仿宋"/>
          <w:sz w:val="28"/>
          <w:szCs w:val="28"/>
        </w:rPr>
        <w:t>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移动端网店首页图片设计规范：轮播图建议尺寸1200*600像素，图片大小3MB以内，支持jpg、jpeg、png格式。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1.根据移动端网店设计要求，将PC端网店设计好的轮播图片应用到移动端网店；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2根据网店首页布局原则，结合消费者购物心理逻辑及移动端消费者浏览习惯，选择首页布局模块并进行合理编辑，完成移动端网店首页布局及整体设计。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1.上传4张轮播图片；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2.通过页面编辑功能，完成移动端网店首页布局及整体设计，包括设计模块的选择编辑、页面的布局管理等；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3.发布移动端网店首页。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任务2  产品主图视频编辑与制作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周年庆促销活动期间，网店计划上架一款汽车钥匙扣，在对网店同类型产品进行对比分析后发现，带有产品主图视频的产品销量较高。为了提高汽车钥匙扣的销量，需要为汽车钥匙扣添加产品主图视频。对此，需要规划产品主图视频的展示内容，并进行编辑与制作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产品主图视频编辑与制作相关素材：产品视频素材、产品图片素材、产品介绍文档1份。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产品主图视频制作规范：建议视频尺寸比例为1:1或16:9；视频格式为MP4；视频时长≤60秒，建议9-30秒；清晰度≥720p。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1.根据网店营销需求及产品定位，结合目标消费群体的购买心理特征，规划产品主图视频的展示内容，完成主图视频的内容策划；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2.根据给定的设计素材，利用视频剪辑模板，遵照产品主图视频的设计规范及平台规则，完成主图视频的编辑与制作。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1.策划产品主图视频的展示内容；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2.完成产品主图视频编辑与制作。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任务3  产品详情页视觉营销设计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完成汽车钥匙扣的主图视频编辑与制作之后，网店准备继续完成汽车钥匙扣产品详情页的视觉</w:t>
      </w:r>
      <w:r>
        <w:rPr>
          <w:rFonts w:hint="eastAsia" w:ascii="仿宋_GB2312" w:hAnsi="仿宋" w:eastAsia="仿宋_GB2312" w:cs="仿宋"/>
          <w:sz w:val="28"/>
          <w:szCs w:val="28"/>
        </w:rPr>
        <w:t>营销</w:t>
      </w:r>
      <w:r>
        <w:rPr>
          <w:rFonts w:ascii="仿宋_GB2312" w:hAnsi="仿宋" w:eastAsia="仿宋_GB2312" w:cs="仿宋"/>
          <w:sz w:val="28"/>
          <w:szCs w:val="28"/>
        </w:rPr>
        <w:t>设计。对此，需要根据目标群体的消费心理，结合产品信息与素材图片，为汽车钥匙扣设计</w:t>
      </w:r>
      <w:r>
        <w:rPr>
          <w:rFonts w:hint="eastAsia" w:ascii="仿宋_GB2312" w:hAnsi="仿宋" w:eastAsia="仿宋_GB2312" w:cs="仿宋"/>
          <w:sz w:val="28"/>
          <w:szCs w:val="28"/>
        </w:rPr>
        <w:t>5张</w:t>
      </w:r>
      <w:r>
        <w:rPr>
          <w:rFonts w:ascii="仿宋_GB2312" w:hAnsi="仿宋" w:eastAsia="仿宋_GB2312" w:cs="仿宋"/>
          <w:sz w:val="28"/>
          <w:szCs w:val="28"/>
        </w:rPr>
        <w:t>主图图片与详情描述。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产品详情页视觉营销设计相关素材：产品整体图若干、产品细节图若干、产品评价图1张、产品介绍文档1份。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产品详情页设计规范：产品主图图片尺寸800*800像素；产品详情描述图片宽度为750像素；详情描述总高度不超过35000像素；图片大小3MB以内，支持jpg、jpeg、png格式。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1.根据网店营销需求及产品定位，规划产品主图的展示内容，遵照产品主图的设计规范与要求，结合给定的设计素材，完成产品主图设计；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2.根据网店营销需求及产品定位，明确产品详情描述的构成要素，结合目标群体的消费心理，明确产品详情描述的展示要点，完成详情描述设计。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1.设计5张产品主图图片；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2.设计产品详情描述；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3.发布产品详情页。</w:t>
      </w:r>
    </w:p>
    <w:p>
      <w:pPr>
        <w:pStyle w:val="4"/>
        <w:spacing w:before="120" w:after="120" w:line="360" w:lineRule="auto"/>
        <w:jc w:val="both"/>
        <w:rPr>
          <w:rFonts w:ascii="仿宋" w:hAnsi="仿宋" w:eastAsia="仿宋" w:cs="Times New Roman"/>
          <w:b w:val="0"/>
          <w:sz w:val="28"/>
          <w:szCs w:val="21"/>
        </w:rPr>
      </w:pPr>
      <w:r>
        <w:rPr>
          <w:color w:val="auto"/>
        </w:rPr>
        <w:br w:type="page"/>
      </w:r>
      <w:r>
        <w:rPr>
          <w:rFonts w:ascii="黑体" w:hAnsi="黑体"/>
          <w:szCs w:val="32"/>
        </w:rPr>
        <w:t>模块3：网店营销与运营推广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ascii="黑体" w:hAnsi="黑体" w:eastAsia="黑体" w:cs="仿宋"/>
          <w:b/>
          <w:bCs/>
          <w:sz w:val="30"/>
          <w:szCs w:val="30"/>
        </w:rPr>
        <w:t>一、情境创设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泰嘉购物有限公司成立于2010年，总部位于杭州，拥有100多家线下门店，</w:t>
      </w:r>
      <w:r>
        <w:rPr>
          <w:rFonts w:hint="eastAsia" w:ascii="仿宋_GB2312" w:hAnsi="仿宋" w:eastAsia="仿宋_GB2312" w:cs="仿宋"/>
          <w:sz w:val="28"/>
          <w:szCs w:val="28"/>
        </w:rPr>
        <w:t>主营</w:t>
      </w:r>
      <w:r>
        <w:rPr>
          <w:rFonts w:ascii="仿宋_GB2312" w:hAnsi="仿宋" w:eastAsia="仿宋_GB2312" w:cs="仿宋"/>
          <w:sz w:val="28"/>
          <w:szCs w:val="28"/>
        </w:rPr>
        <w:t>产品涵盖家具家电、服装服饰、时尚珠宝等品类，秉持</w:t>
      </w:r>
      <w:r>
        <w:rPr>
          <w:rFonts w:hint="eastAsia" w:ascii="仿宋_GB2312" w:hAnsi="仿宋" w:eastAsia="仿宋_GB2312" w:cs="仿宋"/>
          <w:sz w:val="28"/>
          <w:szCs w:val="28"/>
        </w:rPr>
        <w:t>“</w:t>
      </w:r>
      <w:r>
        <w:rPr>
          <w:rFonts w:ascii="仿宋_GB2312" w:hAnsi="仿宋" w:eastAsia="仿宋_GB2312" w:cs="仿宋"/>
          <w:sz w:val="28"/>
          <w:szCs w:val="28"/>
        </w:rPr>
        <w:t>顾客至上</w:t>
      </w:r>
      <w:r>
        <w:rPr>
          <w:rFonts w:hint="eastAsia" w:ascii="仿宋_GB2312" w:hAnsi="仿宋" w:eastAsia="仿宋_GB2312" w:cs="仿宋"/>
          <w:sz w:val="28"/>
          <w:szCs w:val="28"/>
        </w:rPr>
        <w:t>”</w:t>
      </w:r>
      <w:r>
        <w:rPr>
          <w:rFonts w:ascii="仿宋_GB2312" w:hAnsi="仿宋" w:eastAsia="仿宋_GB2312" w:cs="仿宋"/>
          <w:sz w:val="28"/>
          <w:szCs w:val="28"/>
        </w:rPr>
        <w:t>的理念，</w:t>
      </w:r>
      <w:r>
        <w:rPr>
          <w:rFonts w:hint="eastAsia" w:ascii="仿宋_GB2312" w:hAnsi="仿宋" w:eastAsia="仿宋_GB2312" w:cs="仿宋"/>
          <w:sz w:val="28"/>
          <w:szCs w:val="28"/>
        </w:rPr>
        <w:t>为</w:t>
      </w:r>
      <w:r>
        <w:rPr>
          <w:rFonts w:ascii="仿宋_GB2312" w:hAnsi="仿宋" w:eastAsia="仿宋_GB2312" w:cs="仿宋"/>
          <w:sz w:val="28"/>
          <w:szCs w:val="28"/>
        </w:rPr>
        <w:t>客户提供舒心、满意的服务。</w:t>
      </w:r>
      <w:r>
        <w:rPr>
          <w:rFonts w:hint="eastAsia" w:ascii="仿宋_GB2312" w:hAnsi="仿宋" w:eastAsia="仿宋_GB2312" w:cs="仿宋"/>
          <w:sz w:val="28"/>
          <w:szCs w:val="28"/>
        </w:rPr>
        <w:t>随着</w:t>
      </w:r>
      <w:r>
        <w:rPr>
          <w:rFonts w:ascii="仿宋_GB2312" w:hAnsi="仿宋" w:eastAsia="仿宋_GB2312" w:cs="仿宋"/>
          <w:sz w:val="28"/>
          <w:szCs w:val="28"/>
        </w:rPr>
        <w:t>线上购物的</w:t>
      </w:r>
      <w:r>
        <w:rPr>
          <w:rFonts w:hint="eastAsia" w:ascii="仿宋_GB2312" w:hAnsi="仿宋" w:eastAsia="仿宋_GB2312" w:cs="仿宋"/>
          <w:sz w:val="28"/>
          <w:szCs w:val="28"/>
        </w:rPr>
        <w:t>普及</w:t>
      </w:r>
      <w:r>
        <w:rPr>
          <w:rFonts w:ascii="仿宋_GB2312" w:hAnsi="仿宋" w:eastAsia="仿宋_GB2312" w:cs="仿宋"/>
          <w:sz w:val="28"/>
          <w:szCs w:val="28"/>
        </w:rPr>
        <w:t>，泰嘉购物线下门店的客流量与销量</w:t>
      </w:r>
      <w:r>
        <w:rPr>
          <w:rFonts w:hint="eastAsia" w:ascii="仿宋_GB2312" w:hAnsi="仿宋" w:eastAsia="仿宋_GB2312" w:cs="仿宋"/>
          <w:sz w:val="28"/>
          <w:szCs w:val="28"/>
        </w:rPr>
        <w:t>逐渐</w:t>
      </w:r>
      <w:r>
        <w:rPr>
          <w:rFonts w:ascii="仿宋_GB2312" w:hAnsi="仿宋" w:eastAsia="仿宋_GB2312" w:cs="仿宋"/>
          <w:sz w:val="28"/>
          <w:szCs w:val="28"/>
        </w:rPr>
        <w:t>呈现下降趋势。为了改变现状，泰嘉购物决定发展线上业务，通过线上线下</w:t>
      </w:r>
      <w:r>
        <w:rPr>
          <w:rFonts w:hint="eastAsia" w:ascii="仿宋_GB2312" w:hAnsi="仿宋" w:eastAsia="仿宋_GB2312" w:cs="仿宋"/>
          <w:sz w:val="28"/>
          <w:szCs w:val="28"/>
        </w:rPr>
        <w:t>相结合</w:t>
      </w:r>
      <w:r>
        <w:rPr>
          <w:rFonts w:ascii="仿宋_GB2312" w:hAnsi="仿宋" w:eastAsia="仿宋_GB2312" w:cs="仿宋"/>
          <w:sz w:val="28"/>
          <w:szCs w:val="28"/>
        </w:rPr>
        <w:t>的经营模式，发挥线下门店的体验优势，整合线上优质资源，提高企业的盈利水平。为此，专门组建了电商运营团队，搭建</w:t>
      </w:r>
      <w:r>
        <w:rPr>
          <w:rFonts w:hint="eastAsia" w:ascii="仿宋_GB2312" w:hAnsi="仿宋" w:eastAsia="仿宋_GB2312" w:cs="仿宋"/>
          <w:sz w:val="28"/>
          <w:szCs w:val="28"/>
        </w:rPr>
        <w:t>了专属</w:t>
      </w:r>
      <w:r>
        <w:rPr>
          <w:rFonts w:ascii="仿宋_GB2312" w:hAnsi="仿宋" w:eastAsia="仿宋_GB2312" w:cs="仿宋"/>
          <w:sz w:val="28"/>
          <w:szCs w:val="28"/>
        </w:rPr>
        <w:t>线上商城——泰嘉购物网店（以下简称</w:t>
      </w:r>
      <w:r>
        <w:rPr>
          <w:rFonts w:hint="eastAsia" w:ascii="仿宋_GB2312" w:hAnsi="仿宋" w:eastAsia="仿宋_GB2312" w:cs="仿宋"/>
          <w:sz w:val="28"/>
          <w:szCs w:val="28"/>
        </w:rPr>
        <w:t>“</w:t>
      </w:r>
      <w:r>
        <w:rPr>
          <w:rFonts w:ascii="仿宋_GB2312" w:hAnsi="仿宋" w:eastAsia="仿宋_GB2312" w:cs="仿宋"/>
          <w:sz w:val="28"/>
          <w:szCs w:val="28"/>
        </w:rPr>
        <w:t>网店</w:t>
      </w:r>
      <w:r>
        <w:rPr>
          <w:rFonts w:hint="eastAsia" w:ascii="仿宋_GB2312" w:hAnsi="仿宋" w:eastAsia="仿宋_GB2312" w:cs="仿宋"/>
          <w:sz w:val="28"/>
          <w:szCs w:val="28"/>
        </w:rPr>
        <w:t>”</w:t>
      </w:r>
      <w:r>
        <w:rPr>
          <w:rFonts w:ascii="仿宋_GB2312" w:hAnsi="仿宋" w:eastAsia="仿宋_GB2312" w:cs="仿宋"/>
          <w:sz w:val="28"/>
          <w:szCs w:val="28"/>
        </w:rPr>
        <w:t>）</w:t>
      </w:r>
      <w:r>
        <w:rPr>
          <w:rFonts w:hint="eastAsia" w:ascii="仿宋_GB2312" w:hAnsi="仿宋" w:eastAsia="仿宋_GB2312" w:cs="仿宋"/>
          <w:sz w:val="28"/>
          <w:szCs w:val="28"/>
        </w:rPr>
        <w:t>，全面负责网店在不同经营周期的营销与运营推广工作，持续提高网店竞争力及盈利能力。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电商运营团队在筹备期间，对即将经营的床、柜子等主要产品进行了市场调研，得到了相关的市场分析数据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ascii="仿宋_GB2312" w:hAnsi="仿宋" w:eastAsia="仿宋_GB2312" w:cs="仿宋"/>
          <w:sz w:val="28"/>
          <w:szCs w:val="28"/>
        </w:rPr>
        <w:t>预测了未来五个经营周期内，主营产品的市场平均价格、市场需求趋势等相关信息，并分析了目前贵阳、重庆、济南、上海等十五个城市，品牌人群、低价人群等四类主要消费人群的价格偏好、功能偏好等基本数据，收集了电商平台相关品类主流关键词的展现量、转化率、平均点击单价等相关数据。</w:t>
      </w:r>
    </w:p>
    <w:p>
      <w:pPr>
        <w:spacing w:line="360" w:lineRule="auto"/>
        <w:ind w:firstLine="602" w:firstLineChars="200"/>
        <w:jc w:val="both"/>
        <w:rPr>
          <w:rFonts w:ascii="黑体" w:hAnsi="黑体" w:eastAsia="黑体" w:cs="仿宋"/>
          <w:b/>
          <w:bCs/>
          <w:sz w:val="30"/>
          <w:szCs w:val="30"/>
        </w:rPr>
      </w:pPr>
      <w:r>
        <w:rPr>
          <w:rFonts w:ascii="黑体" w:hAnsi="黑体" w:eastAsia="黑体" w:cs="仿宋"/>
          <w:b/>
          <w:bCs/>
          <w:sz w:val="30"/>
          <w:szCs w:val="30"/>
        </w:rPr>
        <w:t>二、任务设计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任务1  网店营销方案制定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网店运营初期，首先需要了解目标市场的现状及需求情况，分析当前经营周期下床、柜子等产品的市场基本数据，包括热销产品、目标消费人群、主要营销方式等，明确当前市场的消费趋势及行业竞争情况，围绕产品运营、流量获取、营销转化等运营过程中的主要环节，制定网店当前经营周期的营销方案，用以保证下一经营周期网店营销与运营推广工作的顺利进行</w:t>
      </w:r>
      <w:r>
        <w:rPr>
          <w:rFonts w:hint="eastAsia" w:ascii="仿宋_GB2312" w:hAnsi="仿宋" w:eastAsia="仿宋_GB2312" w:cs="仿宋"/>
          <w:sz w:val="28"/>
          <w:szCs w:val="28"/>
        </w:rPr>
        <w:t>，</w:t>
      </w:r>
      <w:r>
        <w:rPr>
          <w:rFonts w:ascii="仿宋_GB2312" w:hAnsi="仿宋" w:eastAsia="仿宋_GB2312" w:cs="仿宋"/>
          <w:sz w:val="28"/>
          <w:szCs w:val="28"/>
        </w:rPr>
        <w:t>并在经营过程中不断对网店营销方案进行优化，提高各个经营周期的引流转化能力，持续提</w:t>
      </w:r>
      <w:r>
        <w:rPr>
          <w:rFonts w:hint="eastAsia" w:ascii="仿宋_GB2312" w:hAnsi="仿宋" w:eastAsia="仿宋_GB2312" w:cs="仿宋"/>
          <w:sz w:val="28"/>
          <w:szCs w:val="28"/>
        </w:rPr>
        <w:t>升</w:t>
      </w:r>
      <w:r>
        <w:rPr>
          <w:rFonts w:ascii="仿宋_GB2312" w:hAnsi="仿宋" w:eastAsia="仿宋_GB2312" w:cs="仿宋"/>
          <w:sz w:val="28"/>
          <w:szCs w:val="28"/>
        </w:rPr>
        <w:t>网店竞争力及盈利能力。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1.根据网店运营目标，对当前经营周期下的目标市场数据进行分析，明确消费趋势及行业竞争情况；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2.根据目标市场数据分析结果，从产品运营、流量获取、营销转化等角度制定当前经营周期的网店营销方案；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3.根据当前经营周期的营销数据，不断优化网店营销方案，持续提高网店在不同经营周期的盈利能力。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1.基于行业热销产品、消费人群、营销方式等数据对目标市场进行分析；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2.基于产品运营、流量获取、营销转化等角度制定网店营销方案；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3.根据经营数据不断优化网店营销方案，持续提高网店盈利能力。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任务2  网店运营推广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任务2-1  产品品类管理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前期已经完成了市场调研及消费者行为分析，</w:t>
      </w:r>
      <w:r>
        <w:rPr>
          <w:rFonts w:hint="eastAsia" w:ascii="仿宋_GB2312" w:hAnsi="仿宋" w:eastAsia="仿宋_GB2312" w:cs="仿宋"/>
          <w:sz w:val="28"/>
          <w:szCs w:val="28"/>
        </w:rPr>
        <w:t>明确了</w:t>
      </w:r>
      <w:r>
        <w:rPr>
          <w:rFonts w:ascii="仿宋_GB2312" w:hAnsi="仿宋" w:eastAsia="仿宋_GB2312" w:cs="仿宋"/>
          <w:sz w:val="28"/>
          <w:szCs w:val="28"/>
        </w:rPr>
        <w:t>目前购买该类产品的主要消费人群为</w:t>
      </w:r>
      <w:r>
        <w:rPr>
          <w:rFonts w:hint="eastAsia" w:ascii="仿宋_GB2312" w:hAnsi="仿宋" w:eastAsia="仿宋_GB2312" w:cs="仿宋"/>
          <w:sz w:val="28"/>
          <w:szCs w:val="28"/>
        </w:rPr>
        <w:t>品牌</w:t>
      </w:r>
      <w:r>
        <w:rPr>
          <w:rFonts w:ascii="仿宋_GB2312" w:hAnsi="仿宋" w:eastAsia="仿宋_GB2312" w:cs="仿宋"/>
          <w:sz w:val="28"/>
          <w:szCs w:val="28"/>
        </w:rPr>
        <w:t>人群、</w:t>
      </w:r>
      <w:r>
        <w:rPr>
          <w:rFonts w:hint="eastAsia" w:ascii="仿宋_GB2312" w:hAnsi="仿宋" w:eastAsia="仿宋_GB2312" w:cs="仿宋"/>
          <w:sz w:val="28"/>
          <w:szCs w:val="28"/>
        </w:rPr>
        <w:t>低价</w:t>
      </w:r>
      <w:r>
        <w:rPr>
          <w:rFonts w:ascii="仿宋_GB2312" w:hAnsi="仿宋" w:eastAsia="仿宋_GB2312" w:cs="仿宋"/>
          <w:sz w:val="28"/>
          <w:szCs w:val="28"/>
        </w:rPr>
        <w:t>人群等。通过对上述人群的分析，</w:t>
      </w:r>
      <w:r>
        <w:rPr>
          <w:rFonts w:hint="eastAsia" w:ascii="仿宋_GB2312" w:hAnsi="仿宋" w:eastAsia="仿宋_GB2312" w:cs="仿宋"/>
          <w:sz w:val="28"/>
          <w:szCs w:val="28"/>
        </w:rPr>
        <w:t>了解</w:t>
      </w:r>
      <w:r>
        <w:rPr>
          <w:rFonts w:ascii="仿宋_GB2312" w:hAnsi="仿宋" w:eastAsia="仿宋_GB2312" w:cs="仿宋"/>
          <w:sz w:val="28"/>
          <w:szCs w:val="28"/>
        </w:rPr>
        <w:t>了不同目标人群的消费特点之后，运营团队需要据此对当前经营周期下的床、柜子等市场平均价格、需求城市等数据进行分析，明确当前经营周期下的目标产品定位与定价，并结合销售数据，优化下一经营周期的产品定位与定价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1.根据产品的市场占有率情况，结合目标消费人群特点，明确不同经营周期下的产品定位；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2.根据产品的销售情况及市场需求变化，分析影响产品定价的因素，确定并优化不同经营周期下的产品定价。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1.分析市场需求数据，明确产品定位，完成产品定价；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2.分析网店销售数据，优化产品定位与定价。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2-2流量获取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产品品类相关信息明确之后，需要分析当前经营周期下床、柜子等品类主流关键词的展现量、转化量、点击量、点击率、转化率等数据。根据流量获取策略，合理分配资金预算，针对选定的目标产品进行站内站外推广，并在推广过程中不断优化流量获取策略，提高下一经营周期网店及产品的曝光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1.根据流量获取策略，完成站内免费推广，并根据推广结果，对下一经营周期的站内推广策略进行优化调整；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2.根据流量获取策略，完成站外付费推广，并根据推广结果，对下一经营周期的站外推广策略进行优化调整。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1.挖掘关键词，优化产品信息，完成站内免费推广；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2.搭建推广账户，设置推广关键词，合理分配预算，完成站内付费推广；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3.选择站外推广方式，合理分配预算，完成站外付费推广。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任务2-3  营销转化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流量是网店运营的基础，转化是网店运营的核心，通过</w:t>
      </w:r>
      <w:r>
        <w:rPr>
          <w:rFonts w:hint="eastAsia" w:ascii="仿宋_GB2312" w:hAnsi="仿宋" w:eastAsia="仿宋_GB2312" w:cs="仿宋"/>
          <w:sz w:val="28"/>
          <w:szCs w:val="28"/>
        </w:rPr>
        <w:t>站内站外推广</w:t>
      </w:r>
      <w:r>
        <w:rPr>
          <w:rFonts w:ascii="仿宋_GB2312" w:hAnsi="仿宋" w:eastAsia="仿宋_GB2312" w:cs="仿宋"/>
          <w:sz w:val="28"/>
          <w:szCs w:val="28"/>
        </w:rPr>
        <w:t>获取流量之后需要根据营销需求，分析不同营销方式的特点，选择合适的营销活动类型并完成营销活动的策划。根据不同经营周期的运营状况，合理调整营销活动策略，提高下一经营周期床、柜子等产品的转化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1.根据营销转化策略，结合当前经营周期下的产品销售数据及运营现状，策划营销活动，设置营销活动基本信息；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2.根据营销转化结果，优化营销转化策略，提高下一经营周期的产品转化率。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1.策划营销活动并设置营销活动基本信息；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2.分析活动数据，优化营销转化策略。</w:t>
      </w:r>
    </w:p>
    <w:p>
      <w:pPr>
        <w:pStyle w:val="2"/>
        <w:ind w:left="480"/>
      </w:pP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任务3  网店运营数据分析与应用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任务背景：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为了进一步提高网店竞争力，提升下一经营周期的盈利能力。运营团队需要对当前经营周期网店的销售数据、财务数据、竞争数据等进行分析，并根据分析结果，优化网店营销方案，降低资金浪费，提高下一经营周期网店的竞争力及盈利能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任务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要求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1.根据网店及产品的流量获取、营销转化结果，对销售数据进行分析诊断，并据此优化网店营销方案；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2.根据网店的现金流、运营成本、财务报表等数据，对财务数据进行分析，并据此优化资金分配，降低资金浪费；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3.根据网店及产品的市场占有率，对竞争网店及竞争产品进行分析，并据此优化产品运营策略，提高网店竞争力。</w:t>
      </w:r>
    </w:p>
    <w:p>
      <w:pPr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操作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过程</w:t>
      </w:r>
      <w:r>
        <w:rPr>
          <w:rFonts w:ascii="仿宋" w:hAnsi="仿宋" w:eastAsia="仿宋" w:cs="仿宋"/>
          <w:b/>
          <w:bCs/>
          <w:sz w:val="28"/>
          <w:szCs w:val="28"/>
        </w:rPr>
        <w:t>：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1.对网店的销售数据、财务数据、竞争数据等进行分析；</w:t>
      </w:r>
    </w:p>
    <w:p>
      <w:pPr>
        <w:spacing w:line="360" w:lineRule="auto"/>
        <w:ind w:firstLine="560" w:firstLineChars="200"/>
        <w:jc w:val="both"/>
        <w:rPr>
          <w:rFonts w:ascii="仿宋_GB2312" w:hAnsi="仿宋" w:eastAsia="仿宋_GB2312" w:cs="仿宋"/>
          <w:sz w:val="28"/>
          <w:szCs w:val="28"/>
        </w:rPr>
      </w:pPr>
      <w:r>
        <w:rPr>
          <w:rFonts w:ascii="仿宋_GB2312" w:hAnsi="仿宋" w:eastAsia="仿宋_GB2312" w:cs="仿宋"/>
          <w:sz w:val="28"/>
          <w:szCs w:val="28"/>
        </w:rPr>
        <w:t>2.根据数据分析结果，优化网店营销方案。</w:t>
      </w:r>
    </w:p>
    <w:p>
      <w:pPr>
        <w:pStyle w:val="2"/>
        <w:ind w:left="480"/>
      </w:pPr>
    </w:p>
    <w:p>
      <w:pPr>
        <w:pStyle w:val="2"/>
        <w:ind w:left="480"/>
        <w:rPr>
          <w:rFonts w:hint="eastAsia"/>
        </w:rPr>
      </w:pPr>
      <w:bookmarkStart w:id="2" w:name="_GoBack"/>
      <w:bookmarkEnd w:id="2"/>
    </w:p>
    <w:sectPr>
      <w:footerReference r:id="rId5" w:type="default"/>
      <w:pgSz w:w="11905" w:h="16838"/>
      <w:pgMar w:top="1361" w:right="1417" w:bottom="1361" w:left="1417" w:header="720" w:footer="720" w:gutter="0"/>
      <w:pgNumType w:start="0"/>
      <w:cols w:space="720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naco">
    <w:altName w:val="Courier Ne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2814955</wp:posOffset>
              </wp:positionH>
              <wp:positionV relativeFrom="paragraph">
                <wp:posOffset>-2540</wp:posOffset>
              </wp:positionV>
              <wp:extent cx="234950" cy="1828800"/>
              <wp:effectExtent l="0" t="0" r="12700" b="1016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49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1.65pt;margin-top:-0.2pt;height:144pt;width:18.5pt;mso-position-horizontal-relative:margin;z-index:251659264;mso-width-relative:page;mso-height-relative:page;" filled="f" stroked="f" coordsize="21600,21600" o:gfxdata="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9WUXW2AAAAAkBAAAPAAAAAAAAAAEAIAAAACIAAABkcnMvZG93bnJldi54bWxQ&#10;SwECFAAUAAAACACHTuJANDBVIDACAABWBAAADgAAAAAAAAABACAAAAAn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</w:p>
  </w:footnote>
  <w:footnote w:type="continuationSeparator" w:id="1">
    <w:p>
      <w:pPr>
        <w:spacing w:before="0" w:after="0" w:line="312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lOWE4N2I1Y2IwYzY2YjM1MDZhYTBjMjk5YmQ0OGYifQ=="/>
  </w:docVars>
  <w:rsids>
    <w:rsidRoot w:val="00122AF4"/>
    <w:rsid w:val="000B35DD"/>
    <w:rsid w:val="000D61E9"/>
    <w:rsid w:val="000E7EEA"/>
    <w:rsid w:val="000F0A7B"/>
    <w:rsid w:val="001057E0"/>
    <w:rsid w:val="00122AF4"/>
    <w:rsid w:val="001E41DD"/>
    <w:rsid w:val="00201C5C"/>
    <w:rsid w:val="00201EEF"/>
    <w:rsid w:val="00235861"/>
    <w:rsid w:val="0029259F"/>
    <w:rsid w:val="00321FE0"/>
    <w:rsid w:val="00343877"/>
    <w:rsid w:val="00344A68"/>
    <w:rsid w:val="0034528F"/>
    <w:rsid w:val="00385C9E"/>
    <w:rsid w:val="003D6AA4"/>
    <w:rsid w:val="003E596D"/>
    <w:rsid w:val="004221FF"/>
    <w:rsid w:val="004244E6"/>
    <w:rsid w:val="00503361"/>
    <w:rsid w:val="00514094"/>
    <w:rsid w:val="005410BD"/>
    <w:rsid w:val="005C040E"/>
    <w:rsid w:val="00600F6B"/>
    <w:rsid w:val="006039C5"/>
    <w:rsid w:val="006A6C9F"/>
    <w:rsid w:val="00710873"/>
    <w:rsid w:val="00715682"/>
    <w:rsid w:val="0072002F"/>
    <w:rsid w:val="00724012"/>
    <w:rsid w:val="00727B3E"/>
    <w:rsid w:val="007426D8"/>
    <w:rsid w:val="00766CC8"/>
    <w:rsid w:val="007A5000"/>
    <w:rsid w:val="007D0173"/>
    <w:rsid w:val="008356A0"/>
    <w:rsid w:val="0091455D"/>
    <w:rsid w:val="00916F35"/>
    <w:rsid w:val="00947D66"/>
    <w:rsid w:val="00964EDD"/>
    <w:rsid w:val="009857FF"/>
    <w:rsid w:val="009A4AF9"/>
    <w:rsid w:val="00A44487"/>
    <w:rsid w:val="00A75870"/>
    <w:rsid w:val="00AC5BF9"/>
    <w:rsid w:val="00AE3646"/>
    <w:rsid w:val="00B55017"/>
    <w:rsid w:val="00B731B7"/>
    <w:rsid w:val="00B8040D"/>
    <w:rsid w:val="00B812CE"/>
    <w:rsid w:val="00B83A26"/>
    <w:rsid w:val="00BE3F13"/>
    <w:rsid w:val="00C92EB1"/>
    <w:rsid w:val="00CA0985"/>
    <w:rsid w:val="00D33047"/>
    <w:rsid w:val="00DB0778"/>
    <w:rsid w:val="00DB7954"/>
    <w:rsid w:val="00DC597B"/>
    <w:rsid w:val="00E03255"/>
    <w:rsid w:val="00E113FF"/>
    <w:rsid w:val="00E1372A"/>
    <w:rsid w:val="00E72371"/>
    <w:rsid w:val="00F4675D"/>
    <w:rsid w:val="00F47A71"/>
    <w:rsid w:val="00F612A7"/>
    <w:rsid w:val="00F94D37"/>
    <w:rsid w:val="0236335D"/>
    <w:rsid w:val="0316119C"/>
    <w:rsid w:val="03C62463"/>
    <w:rsid w:val="05033BE0"/>
    <w:rsid w:val="08392967"/>
    <w:rsid w:val="09BF0626"/>
    <w:rsid w:val="09DE4971"/>
    <w:rsid w:val="0A0E765C"/>
    <w:rsid w:val="0A371FFD"/>
    <w:rsid w:val="0AFB3396"/>
    <w:rsid w:val="0B4A1363"/>
    <w:rsid w:val="0B505490"/>
    <w:rsid w:val="0B5A00BC"/>
    <w:rsid w:val="0B5C1160"/>
    <w:rsid w:val="0D676AC1"/>
    <w:rsid w:val="0EA9606C"/>
    <w:rsid w:val="10D17073"/>
    <w:rsid w:val="111F24E8"/>
    <w:rsid w:val="128851A1"/>
    <w:rsid w:val="13FD3CDB"/>
    <w:rsid w:val="163B4CD3"/>
    <w:rsid w:val="17CC0594"/>
    <w:rsid w:val="17F61CAD"/>
    <w:rsid w:val="1800023D"/>
    <w:rsid w:val="1C6E7520"/>
    <w:rsid w:val="204C1FD2"/>
    <w:rsid w:val="219E1B45"/>
    <w:rsid w:val="224B0307"/>
    <w:rsid w:val="255706D9"/>
    <w:rsid w:val="25951FC5"/>
    <w:rsid w:val="282B09BF"/>
    <w:rsid w:val="2883618E"/>
    <w:rsid w:val="289B55AE"/>
    <w:rsid w:val="28D256F6"/>
    <w:rsid w:val="2BC227FF"/>
    <w:rsid w:val="2CB00693"/>
    <w:rsid w:val="2DA01E4F"/>
    <w:rsid w:val="2E37201C"/>
    <w:rsid w:val="36D72244"/>
    <w:rsid w:val="36E46AA3"/>
    <w:rsid w:val="391246DC"/>
    <w:rsid w:val="396445F3"/>
    <w:rsid w:val="3972560D"/>
    <w:rsid w:val="39900FC9"/>
    <w:rsid w:val="39D52E80"/>
    <w:rsid w:val="3ABA7ACC"/>
    <w:rsid w:val="3AF33BF2"/>
    <w:rsid w:val="3C9568F7"/>
    <w:rsid w:val="3D5F48B1"/>
    <w:rsid w:val="3E49665D"/>
    <w:rsid w:val="3FB44C01"/>
    <w:rsid w:val="41282020"/>
    <w:rsid w:val="451E56DB"/>
    <w:rsid w:val="45F75F2C"/>
    <w:rsid w:val="46446466"/>
    <w:rsid w:val="47CA40B0"/>
    <w:rsid w:val="48076A89"/>
    <w:rsid w:val="492734DB"/>
    <w:rsid w:val="4B114D8C"/>
    <w:rsid w:val="4B763D8E"/>
    <w:rsid w:val="4B8A07D9"/>
    <w:rsid w:val="4BA674F8"/>
    <w:rsid w:val="533E37CE"/>
    <w:rsid w:val="535D0132"/>
    <w:rsid w:val="563F3980"/>
    <w:rsid w:val="570E5ED6"/>
    <w:rsid w:val="577473DD"/>
    <w:rsid w:val="58267675"/>
    <w:rsid w:val="59701E26"/>
    <w:rsid w:val="5A393967"/>
    <w:rsid w:val="5C2F7D76"/>
    <w:rsid w:val="5D1B794C"/>
    <w:rsid w:val="5E6E34CA"/>
    <w:rsid w:val="5EB34C8F"/>
    <w:rsid w:val="5EEE5CC7"/>
    <w:rsid w:val="617D2984"/>
    <w:rsid w:val="62685D90"/>
    <w:rsid w:val="62C90F25"/>
    <w:rsid w:val="6356208C"/>
    <w:rsid w:val="64943638"/>
    <w:rsid w:val="64C24A28"/>
    <w:rsid w:val="65D54CF1"/>
    <w:rsid w:val="66A26A94"/>
    <w:rsid w:val="66C537B1"/>
    <w:rsid w:val="66D02156"/>
    <w:rsid w:val="67386679"/>
    <w:rsid w:val="6751773B"/>
    <w:rsid w:val="6BA73DCD"/>
    <w:rsid w:val="6C9F6852"/>
    <w:rsid w:val="6D627B71"/>
    <w:rsid w:val="6E1E6C74"/>
    <w:rsid w:val="6EF2535F"/>
    <w:rsid w:val="708C17AC"/>
    <w:rsid w:val="70B278F0"/>
    <w:rsid w:val="7172157D"/>
    <w:rsid w:val="717E112C"/>
    <w:rsid w:val="71B15BA8"/>
    <w:rsid w:val="71C01745"/>
    <w:rsid w:val="741D5653"/>
    <w:rsid w:val="74221778"/>
    <w:rsid w:val="75C01D97"/>
    <w:rsid w:val="764F753B"/>
    <w:rsid w:val="7FE3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napToGrid w:val="0"/>
      <w:spacing w:before="60" w:after="60" w:line="312" w:lineRule="auto"/>
    </w:pPr>
    <w:rPr>
      <w:rFonts w:eastAsia="宋体" w:asciiTheme="minorHAnsi" w:hAnsiTheme="minorHAnsi" w:cstheme="minorBidi"/>
      <w:color w:val="333333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9"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6">
    <w:name w:val="heading 4"/>
    <w:basedOn w:val="1"/>
    <w:next w:val="1"/>
    <w:qFormat/>
    <w:uiPriority w:val="9"/>
    <w:pPr>
      <w:keepNext/>
      <w:keepLines/>
      <w:spacing w:before="0" w:after="0" w:line="408" w:lineRule="auto"/>
      <w:outlineLvl w:val="3"/>
    </w:pPr>
    <w:rPr>
      <w:b/>
      <w:bCs/>
      <w:color w:val="1A1A1A"/>
      <w:szCs w:val="24"/>
    </w:rPr>
  </w:style>
  <w:style w:type="paragraph" w:styleId="7">
    <w:name w:val="heading 5"/>
    <w:basedOn w:val="1"/>
    <w:next w:val="1"/>
    <w:qFormat/>
    <w:uiPriority w:val="9"/>
    <w:pPr>
      <w:keepNext/>
      <w:keepLines/>
      <w:spacing w:before="0" w:after="0" w:line="408" w:lineRule="auto"/>
      <w:outlineLvl w:val="4"/>
    </w:pPr>
    <w:rPr>
      <w:b/>
      <w:bCs/>
      <w:color w:val="1A1A1A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annotation text"/>
    <w:basedOn w:val="1"/>
    <w:semiHidden/>
    <w:unhideWhenUsed/>
    <w:qFormat/>
    <w:uiPriority w:val="99"/>
  </w:style>
  <w:style w:type="paragraph" w:styleId="9">
    <w:name w:val="Body Text"/>
    <w:next w:val="1"/>
    <w:qFormat/>
    <w:uiPriority w:val="1"/>
    <w:pPr>
      <w:widowControl w:val="0"/>
      <w:autoSpaceDE w:val="0"/>
      <w:autoSpaceDN w:val="0"/>
    </w:pPr>
    <w:rPr>
      <w:rFonts w:ascii="方正仿宋_GB2312" w:hAnsi="方正仿宋_GB2312" w:eastAsia="方正仿宋_GB2312" w:cs="方正仿宋_GB2312"/>
      <w:sz w:val="32"/>
      <w:szCs w:val="32"/>
      <w:lang w:val="en-US" w:eastAsia="en-US" w:bidi="ar-SA"/>
    </w:rPr>
  </w:style>
  <w:style w:type="paragraph" w:styleId="10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pacing w:line="240" w:lineRule="auto"/>
    </w:pPr>
    <w:rPr>
      <w:sz w:val="18"/>
      <w:szCs w:val="18"/>
    </w:rPr>
  </w:style>
  <w:style w:type="paragraph" w:styleId="11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12">
    <w:name w:val="Normal (Web)"/>
    <w:next w:val="1"/>
    <w:qFormat/>
    <w:uiPriority w:val="9"/>
    <w:pPr>
      <w:keepNext/>
      <w:keepLines/>
      <w:widowControl w:val="0"/>
      <w:autoSpaceDE w:val="0"/>
      <w:autoSpaceDN w:val="0"/>
      <w:spacing w:line="408" w:lineRule="auto"/>
      <w:outlineLvl w:val="1"/>
    </w:pPr>
    <w:rPr>
      <w:rFonts w:ascii="仿宋" w:hAnsi="仿宋" w:eastAsia="仿宋" w:cs="仿宋"/>
      <w:b/>
      <w:bCs/>
      <w:color w:val="1A1A1A"/>
      <w:kern w:val="2"/>
      <w:sz w:val="24"/>
      <w:szCs w:val="22"/>
      <w:lang w:val="zh-CN" w:eastAsia="zh-CN" w:bidi="zh-CN"/>
    </w:rPr>
  </w:style>
  <w:style w:type="paragraph" w:styleId="13">
    <w:name w:val="Title"/>
    <w:basedOn w:val="1"/>
    <w:next w:val="1"/>
    <w:qFormat/>
    <w:uiPriority w:val="9"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table" w:styleId="15">
    <w:name w:val="Table Grid"/>
    <w:basedOn w:val="14"/>
    <w:qFormat/>
    <w:uiPriority w:val="39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styleId="17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8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customStyle="1" w:styleId="19">
    <w:name w:val="页脚 Char"/>
    <w:basedOn w:val="16"/>
    <w:link w:val="10"/>
    <w:qFormat/>
    <w:uiPriority w:val="99"/>
    <w:rPr>
      <w:sz w:val="18"/>
      <w:szCs w:val="18"/>
    </w:rPr>
  </w:style>
  <w:style w:type="paragraph" w:customStyle="1" w:styleId="20">
    <w:name w:val="melo-codeblock-Base-theme-para"/>
    <w:basedOn w:val="1"/>
    <w:qFormat/>
    <w:uiPriority w:val="0"/>
    <w:pPr>
      <w:spacing w:before="0" w:after="0" w:line="360" w:lineRule="auto"/>
    </w:pPr>
    <w:rPr>
      <w:rFonts w:ascii="Monaco" w:hAnsi="Monaco" w:eastAsia="Monaco" w:cs="Monaco"/>
      <w:color w:val="000000"/>
      <w:sz w:val="21"/>
    </w:rPr>
  </w:style>
  <w:style w:type="paragraph" w:customStyle="1" w:styleId="21">
    <w:name w:val="paragraph"/>
    <w:basedOn w:val="1"/>
    <w:semiHidden/>
    <w:qFormat/>
    <w:uiPriority w:val="0"/>
    <w:pPr>
      <w:widowControl/>
      <w:snapToGrid/>
      <w:spacing w:before="100" w:beforeAutospacing="1" w:after="100" w:afterAutospacing="1" w:line="240" w:lineRule="auto"/>
    </w:pPr>
    <w:rPr>
      <w:rFonts w:ascii="等线" w:hAnsi="等线" w:eastAsia="等线" w:cs="Times New Roman"/>
      <w:color w:val="auto"/>
      <w:kern w:val="0"/>
      <w:szCs w:val="24"/>
    </w:rPr>
  </w:style>
  <w:style w:type="character" w:customStyle="1" w:styleId="22">
    <w:name w:val="页眉 Char"/>
    <w:basedOn w:val="16"/>
    <w:link w:val="11"/>
    <w:qFormat/>
    <w:uiPriority w:val="99"/>
    <w:rPr>
      <w:sz w:val="18"/>
      <w:szCs w:val="18"/>
    </w:rPr>
  </w:style>
  <w:style w:type="character" w:customStyle="1" w:styleId="23">
    <w:name w:val="melo-codeblock-Base-theme-char"/>
    <w:qFormat/>
    <w:uiPriority w:val="0"/>
    <w:rPr>
      <w:rFonts w:ascii="Monaco" w:hAnsi="Monaco" w:eastAsia="Monaco" w:cs="Monaco"/>
      <w:color w:val="000000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5898</Words>
  <Characters>6121</Characters>
  <Lines>46</Lines>
  <Paragraphs>13</Paragraphs>
  <TotalTime>85</TotalTime>
  <ScaleCrop>false</ScaleCrop>
  <LinksUpToDate>false</LinksUpToDate>
  <CharactersWithSpaces>6217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2023-04-06T16:14:00Z</dcterms:created>
  <dc:creator>HP</dc:creator>
  <cp:lastModifiedBy>刘晓辉</cp:lastModifiedBy>
  <dcterms:modified xsi:type="dcterms:W3CDTF">2023-04-17T13:45:52Z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453E788D801749BDB3F2FCE8B2886E98_13</vt:lpwstr>
  </property>
</Properties>
</file>