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val="0"/>
        <w:spacing w:line="243" w:lineRule="atLeast"/>
        <w:jc w:val="both"/>
        <w:textAlignment w:val="auto"/>
        <w:rPr>
          <w:rFonts w:ascii="Calibri" w:hAnsi="Calibri" w:eastAsia="宋体" w:cs="Times New Roman"/>
          <w:i w:val="0"/>
          <w:iCs w:val="0"/>
          <w:snapToGrid/>
          <w:color w:val="auto"/>
          <w:kern w:val="2"/>
          <w:szCs w:val="22"/>
          <w:highlight w:val="none"/>
        </w:rPr>
      </w:pPr>
      <w:bookmarkStart w:id="0" w:name="_Toc379539623"/>
    </w:p>
    <w:p>
      <w:pPr>
        <w:pStyle w:val="2"/>
      </w:pPr>
    </w:p>
    <w:p>
      <w:pPr>
        <w:pStyle w:val="2"/>
      </w:pPr>
    </w:p>
    <w:p>
      <w:pPr>
        <w:pStyle w:val="2"/>
      </w:pPr>
    </w:p>
    <w:p>
      <w:pPr>
        <w:pStyle w:val="2"/>
      </w:pPr>
    </w:p>
    <w:p>
      <w:pPr>
        <w:pStyle w:val="2"/>
      </w:pPr>
    </w:p>
    <w:p>
      <w:pPr>
        <w:pStyle w:val="2"/>
      </w:pPr>
    </w:p>
    <w:p>
      <w:pPr>
        <w:widowControl w:val="0"/>
        <w:kinsoku/>
        <w:autoSpaceDE/>
        <w:autoSpaceDN/>
        <w:adjustRightInd/>
        <w:snapToGrid/>
        <w:jc w:val="center"/>
        <w:textAlignment w:val="auto"/>
        <w:rPr>
          <w:rFonts w:ascii="方正小标宋简体" w:hAnsi="方正小标宋简体" w:eastAsia="方正小标宋简体" w:cs="方正小标宋简体"/>
          <w:snapToGrid/>
          <w:color w:val="auto"/>
          <w:w w:val="90"/>
          <w:kern w:val="2"/>
          <w:sz w:val="72"/>
          <w:szCs w:val="72"/>
        </w:rPr>
      </w:pPr>
      <w:r>
        <w:rPr>
          <w:rFonts w:hint="eastAsia" w:ascii="方正小标宋简体" w:hAnsi="方正小标宋简体" w:eastAsia="方正小标宋简体" w:cs="方正小标宋简体"/>
          <w:snapToGrid/>
          <w:color w:val="auto"/>
          <w:kern w:val="2"/>
          <w:sz w:val="72"/>
          <w:szCs w:val="72"/>
        </w:rPr>
        <w:t>全国职业院校技能大赛</w:t>
      </w:r>
    </w:p>
    <w:p>
      <w:pPr>
        <w:widowControl w:val="0"/>
        <w:kinsoku/>
        <w:autoSpaceDE/>
        <w:autoSpaceDN/>
        <w:adjustRightInd/>
        <w:spacing w:line="510" w:lineRule="atLeast"/>
        <w:jc w:val="center"/>
        <w:textAlignment w:val="auto"/>
        <w:rPr>
          <w:rFonts w:hint="eastAsia" w:ascii="方正小标宋简体" w:hAnsi="方正小标宋简体" w:eastAsia="方正小标宋简体" w:cs="方正小标宋简体"/>
          <w:snapToGrid/>
          <w:color w:val="auto"/>
          <w:kern w:val="2"/>
          <w:sz w:val="72"/>
          <w:szCs w:val="72"/>
        </w:rPr>
      </w:pPr>
      <w:r>
        <w:rPr>
          <w:rFonts w:hint="eastAsia" w:ascii="方正小标宋简体" w:hAnsi="方正小标宋简体" w:eastAsia="方正小标宋简体" w:cs="方正小标宋简体"/>
          <w:snapToGrid/>
          <w:color w:val="auto"/>
          <w:kern w:val="2"/>
          <w:sz w:val="72"/>
          <w:szCs w:val="72"/>
        </w:rPr>
        <w:t xml:space="preserve">竞赛任务书 </w:t>
      </w:r>
    </w:p>
    <w:p>
      <w:pPr>
        <w:widowControl w:val="0"/>
        <w:kinsoku/>
        <w:autoSpaceDE/>
        <w:autoSpaceDN/>
        <w:adjustRightInd/>
        <w:spacing w:line="510" w:lineRule="atLeast"/>
        <w:jc w:val="center"/>
        <w:textAlignment w:val="auto"/>
        <w:rPr>
          <w:rFonts w:hint="eastAsia" w:ascii="方正小标宋简体" w:hAnsi="方正小标宋简体" w:eastAsia="方正小标宋简体" w:cs="方正小标宋简体"/>
          <w:snapToGrid/>
          <w:color w:val="auto"/>
          <w:kern w:val="2"/>
          <w:sz w:val="72"/>
          <w:szCs w:val="72"/>
          <w:lang w:eastAsia="zh-CN"/>
        </w:rPr>
      </w:pPr>
      <w:r>
        <w:rPr>
          <w:rFonts w:hint="eastAsia" w:ascii="方正小标宋简体" w:hAnsi="方正小标宋简体" w:eastAsia="方正小标宋简体" w:cs="方正小标宋简体"/>
          <w:snapToGrid/>
          <w:color w:val="auto"/>
          <w:kern w:val="2"/>
          <w:sz w:val="72"/>
          <w:szCs w:val="72"/>
        </w:rPr>
        <w:t>样</w:t>
      </w:r>
      <w:r>
        <w:rPr>
          <w:rFonts w:hint="eastAsia" w:ascii="方正小标宋简体" w:hAnsi="方正小标宋简体" w:eastAsia="方正小标宋简体" w:cs="方正小标宋简体"/>
          <w:snapToGrid/>
          <w:color w:val="auto"/>
          <w:kern w:val="2"/>
          <w:sz w:val="72"/>
          <w:szCs w:val="72"/>
          <w:lang w:val="en-US" w:eastAsia="zh-CN"/>
        </w:rPr>
        <w:t>题十</w:t>
      </w:r>
    </w:p>
    <w:p>
      <w:pPr>
        <w:widowControl w:val="0"/>
        <w:kinsoku/>
        <w:autoSpaceDE/>
        <w:autoSpaceDN/>
        <w:adjustRightInd/>
        <w:snapToGrid w:val="0"/>
        <w:spacing w:line="510" w:lineRule="atLeast"/>
        <w:jc w:val="center"/>
        <w:textAlignment w:val="auto"/>
        <w:rPr>
          <w:rFonts w:hint="eastAsia" w:ascii="方正小标宋简体" w:hAnsi="方正小标宋简体" w:eastAsia="方正小标宋简体" w:cs="方正小标宋简体"/>
          <w:i w:val="0"/>
          <w:iCs w:val="0"/>
          <w:snapToGrid/>
          <w:color w:val="auto"/>
          <w:kern w:val="2"/>
          <w:sz w:val="52"/>
          <w:szCs w:val="52"/>
          <w:highlight w:val="none"/>
          <w:lang w:eastAsia="zh-CN"/>
        </w:rPr>
      </w:pPr>
    </w:p>
    <w:p>
      <w:pPr>
        <w:widowControl w:val="0"/>
        <w:kinsoku/>
        <w:autoSpaceDE/>
        <w:autoSpaceDN/>
        <w:adjustRightInd/>
        <w:snapToGrid w:val="0"/>
        <w:spacing w:line="532"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spacing w:line="800" w:lineRule="exact"/>
        <w:ind w:left="839"/>
        <w:jc w:val="both"/>
        <w:textAlignment w:val="auto"/>
        <w:rPr>
          <w:rFonts w:hint="default" w:ascii="黑体" w:hAnsi="黑体" w:eastAsia="黑体" w:cs="黑体"/>
          <w:i w:val="0"/>
          <w:iCs w:val="0"/>
          <w:snapToGrid/>
          <w:color w:val="auto"/>
          <w:kern w:val="2"/>
          <w:sz w:val="32"/>
          <w:szCs w:val="24"/>
          <w:highlight w:val="none"/>
          <w:u w:val="single"/>
          <w:lang w:val="en-US" w:eastAsia="zh-CN"/>
        </w:rPr>
      </w:pPr>
      <w:r>
        <w:rPr>
          <w:rFonts w:hint="eastAsia" w:ascii="黑体" w:hAnsi="黑体" w:eastAsia="黑体" w:cs="黑体"/>
          <w:i w:val="0"/>
          <w:iCs w:val="0"/>
          <w:snapToGrid/>
          <w:color w:val="auto"/>
          <w:kern w:val="2"/>
          <w:sz w:val="32"/>
          <w:szCs w:val="24"/>
          <w:highlight w:val="none"/>
        </w:rPr>
        <w:t>赛项名称：</w:t>
      </w:r>
      <w:r>
        <w:rPr>
          <w:rFonts w:hint="eastAsia" w:ascii="黑体" w:hAnsi="黑体" w:eastAsia="黑体" w:cs="黑体"/>
          <w:i w:val="0"/>
          <w:iCs w:val="0"/>
          <w:snapToGrid/>
          <w:color w:val="auto"/>
          <w:kern w:val="2"/>
          <w:sz w:val="32"/>
          <w:szCs w:val="24"/>
          <w:highlight w:val="none"/>
          <w:u w:val="single"/>
          <w:lang w:val="en-US" w:eastAsia="zh-CN"/>
        </w:rPr>
        <w:t xml:space="preserve">生产单元数字化改造                  </w:t>
      </w:r>
    </w:p>
    <w:p>
      <w:pPr>
        <w:widowControl w:val="0"/>
        <w:kinsoku/>
        <w:autoSpaceDE/>
        <w:autoSpaceDN/>
        <w:adjustRightInd/>
        <w:snapToGrid/>
        <w:spacing w:line="800" w:lineRule="exact"/>
        <w:ind w:left="2438" w:leftChars="399" w:hanging="1600" w:hangingChars="500"/>
        <w:jc w:val="left"/>
        <w:textAlignment w:val="auto"/>
        <w:rPr>
          <w:rFonts w:hint="default" w:ascii="Arial" w:hAnsi="Arial" w:eastAsia="黑体" w:cs="Arial"/>
          <w:b w:val="0"/>
          <w:bCs w:val="0"/>
          <w:i w:val="0"/>
          <w:iCs w:val="0"/>
          <w:snapToGrid/>
          <w:color w:val="auto"/>
          <w:kern w:val="2"/>
          <w:sz w:val="32"/>
          <w:szCs w:val="24"/>
          <w:highlight w:val="none"/>
          <w:u w:val="single"/>
          <w:lang w:val="en-US" w:eastAsia="zh-CN"/>
        </w:rPr>
      </w:pPr>
      <w:r>
        <w:rPr>
          <w:rFonts w:hint="eastAsia" w:ascii="黑体" w:hAnsi="黑体" w:eastAsia="黑体" w:cs="黑体"/>
          <w:i w:val="0"/>
          <w:iCs w:val="0"/>
          <w:snapToGrid/>
          <w:color w:val="auto"/>
          <w:kern w:val="2"/>
          <w:sz w:val="32"/>
          <w:szCs w:val="24"/>
          <w:highlight w:val="none"/>
        </w:rPr>
        <w:t>英文名称：</w:t>
      </w:r>
      <w:r>
        <w:rPr>
          <w:rFonts w:hint="eastAsia" w:ascii="Arial" w:hAnsi="Arial" w:eastAsia="黑体" w:cs="Arial"/>
          <w:b w:val="0"/>
          <w:bCs w:val="0"/>
          <w:i w:val="0"/>
          <w:iCs w:val="0"/>
          <w:snapToGrid/>
          <w:color w:val="auto"/>
          <w:kern w:val="2"/>
          <w:sz w:val="32"/>
          <w:szCs w:val="24"/>
          <w:highlight w:val="none"/>
          <w:u w:val="single"/>
          <w:lang w:eastAsia="zh-CN"/>
        </w:rPr>
        <w:t>Digital transformation of production unit</w:t>
      </w:r>
      <w:r>
        <w:rPr>
          <w:rFonts w:hint="eastAsia" w:ascii="Arial" w:hAnsi="Arial" w:eastAsia="黑体" w:cs="Arial"/>
          <w:b w:val="0"/>
          <w:bCs w:val="0"/>
          <w:i w:val="0"/>
          <w:iCs w:val="0"/>
          <w:snapToGrid/>
          <w:color w:val="auto"/>
          <w:kern w:val="2"/>
          <w:sz w:val="32"/>
          <w:szCs w:val="24"/>
          <w:highlight w:val="none"/>
          <w:u w:val="single"/>
          <w:lang w:val="en-US" w:eastAsia="zh-CN"/>
        </w:rPr>
        <w:t xml:space="preserve"> </w:t>
      </w:r>
    </w:p>
    <w:p>
      <w:pPr>
        <w:widowControl w:val="0"/>
        <w:kinsoku/>
        <w:autoSpaceDE/>
        <w:autoSpaceDN/>
        <w:adjustRightInd/>
        <w:snapToGrid/>
        <w:spacing w:line="800" w:lineRule="exact"/>
        <w:ind w:left="839"/>
        <w:jc w:val="both"/>
        <w:textAlignment w:val="auto"/>
        <w:rPr>
          <w:rFonts w:hint="default" w:ascii="黑体" w:hAnsi="黑体" w:eastAsia="黑体" w:cs="黑体"/>
          <w:i w:val="0"/>
          <w:iCs w:val="0"/>
          <w:snapToGrid/>
          <w:color w:val="auto"/>
          <w:kern w:val="2"/>
          <w:sz w:val="32"/>
          <w:szCs w:val="24"/>
          <w:highlight w:val="none"/>
          <w:lang w:val="en-US" w:eastAsia="zh-CN"/>
        </w:rPr>
      </w:pPr>
      <w:r>
        <w:rPr>
          <w:rFonts w:hint="eastAsia" w:ascii="黑体" w:hAnsi="黑体" w:eastAsia="黑体" w:cs="黑体"/>
          <w:i w:val="0"/>
          <w:iCs w:val="0"/>
          <w:snapToGrid/>
          <w:color w:val="auto"/>
          <w:kern w:val="2"/>
          <w:sz w:val="32"/>
          <w:szCs w:val="24"/>
          <w:highlight w:val="none"/>
          <w:lang w:val="en-US" w:eastAsia="zh-CN"/>
        </w:rPr>
        <w:t>赛项组别</w:t>
      </w:r>
      <w:r>
        <w:rPr>
          <w:rFonts w:hint="eastAsia" w:ascii="黑体" w:hAnsi="黑体" w:eastAsia="黑体" w:cs="黑体"/>
          <w:i w:val="0"/>
          <w:iCs w:val="0"/>
          <w:snapToGrid/>
          <w:color w:val="auto"/>
          <w:kern w:val="2"/>
          <w:sz w:val="32"/>
          <w:szCs w:val="24"/>
          <w:highlight w:val="none"/>
        </w:rPr>
        <w:t>：</w:t>
      </w:r>
      <w:r>
        <w:rPr>
          <w:rFonts w:hint="eastAsia" w:ascii="黑体" w:hAnsi="黑体" w:eastAsia="黑体" w:cs="黑体"/>
          <w:color w:val="auto"/>
          <w:sz w:val="32"/>
          <w:u w:val="single"/>
          <w:lang w:eastAsia="zh-CN"/>
        </w:rPr>
        <w:t>高等职业教育</w:t>
      </w:r>
      <w:r>
        <w:rPr>
          <w:rFonts w:hint="eastAsia" w:ascii="黑体" w:hAnsi="黑体" w:eastAsia="黑体" w:cs="黑体"/>
          <w:color w:val="auto"/>
          <w:sz w:val="32"/>
          <w:u w:val="single"/>
          <w:lang w:val="en-US" w:eastAsia="zh-CN"/>
        </w:rPr>
        <w:t>(师生同赛)</w:t>
      </w:r>
      <w:r>
        <w:rPr>
          <w:rFonts w:hint="eastAsia" w:ascii="黑体" w:hAnsi="黑体" w:eastAsia="黑体" w:cs="黑体"/>
          <w:color w:val="auto"/>
          <w:sz w:val="32"/>
          <w:szCs w:val="24"/>
          <w:u w:val="single"/>
          <w:lang w:val="en-US" w:eastAsia="zh-CN"/>
        </w:rPr>
        <w:t xml:space="preserve">              </w:t>
      </w:r>
    </w:p>
    <w:p>
      <w:pPr>
        <w:widowControl w:val="0"/>
        <w:kinsoku/>
        <w:autoSpaceDE/>
        <w:autoSpaceDN/>
        <w:adjustRightInd/>
        <w:snapToGrid/>
        <w:spacing w:line="800" w:lineRule="exact"/>
        <w:ind w:left="839"/>
        <w:jc w:val="both"/>
        <w:textAlignment w:val="auto"/>
        <w:rPr>
          <w:rFonts w:hint="default" w:ascii="黑体" w:hAnsi="黑体" w:eastAsia="黑体" w:cs="黑体"/>
          <w:i w:val="0"/>
          <w:iCs w:val="0"/>
          <w:snapToGrid/>
          <w:color w:val="auto"/>
          <w:kern w:val="2"/>
          <w:sz w:val="32"/>
          <w:szCs w:val="24"/>
          <w:highlight w:val="none"/>
          <w:u w:val="single"/>
          <w:lang w:val="en-US" w:eastAsia="zh-CN"/>
        </w:rPr>
      </w:pPr>
      <w:r>
        <w:rPr>
          <w:rFonts w:hint="eastAsia" w:ascii="黑体" w:hAnsi="黑体" w:eastAsia="黑体" w:cs="黑体"/>
          <w:i w:val="0"/>
          <w:iCs w:val="0"/>
          <w:snapToGrid/>
          <w:color w:val="auto"/>
          <w:kern w:val="2"/>
          <w:sz w:val="32"/>
          <w:szCs w:val="24"/>
          <w:highlight w:val="none"/>
        </w:rPr>
        <w:t>赛项编号：</w:t>
      </w:r>
      <w:r>
        <w:rPr>
          <w:rFonts w:hint="eastAsia" w:ascii="黑体" w:hAnsi="黑体" w:eastAsia="黑体" w:cs="黑体"/>
          <w:i w:val="0"/>
          <w:iCs w:val="0"/>
          <w:snapToGrid/>
          <w:color w:val="auto"/>
          <w:kern w:val="2"/>
          <w:sz w:val="32"/>
          <w:szCs w:val="24"/>
          <w:highlight w:val="none"/>
          <w:u w:val="single"/>
          <w:lang w:val="en-US" w:eastAsia="zh-CN"/>
        </w:rPr>
        <w:t xml:space="preserve">GZ020                               </w:t>
      </w:r>
    </w:p>
    <w:p>
      <w:pPr>
        <w:widowControl w:val="0"/>
        <w:kinsoku/>
        <w:autoSpaceDE/>
        <w:autoSpaceDN/>
        <w:adjustRightInd/>
        <w:snapToGrid/>
        <w:jc w:val="both"/>
        <w:textAlignment w:val="auto"/>
        <w:rPr>
          <w:rFonts w:ascii="Calibri" w:hAnsi="Calibri" w:eastAsia="宋体" w:cs="Times New Roman"/>
          <w:i w:val="0"/>
          <w:iCs w:val="0"/>
          <w:snapToGrid/>
          <w:color w:val="auto"/>
          <w:kern w:val="2"/>
          <w:szCs w:val="22"/>
          <w:highlight w:val="none"/>
        </w:rPr>
      </w:pPr>
    </w:p>
    <w:p>
      <w:pPr>
        <w:keepNext w:val="0"/>
        <w:keepLines w:val="0"/>
        <w:pageBreakBefore w:val="0"/>
        <w:widowControl/>
        <w:kinsoku/>
        <w:wordWrap/>
        <w:overflowPunct/>
        <w:topLinePunct w:val="0"/>
        <w:autoSpaceDE/>
        <w:autoSpaceDN/>
        <w:bidi w:val="0"/>
        <w:adjustRightInd/>
        <w:snapToGrid/>
        <w:spacing w:after="200" w:line="520" w:lineRule="exact"/>
        <w:jc w:val="center"/>
        <w:textAlignment w:val="auto"/>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sectPr>
          <w:footerReference r:id="rId3" w:type="default"/>
          <w:pgSz w:w="11907" w:h="16839"/>
          <w:pgMar w:top="1440" w:right="1800" w:bottom="1440" w:left="1800" w:header="0" w:footer="996" w:gutter="0"/>
          <w:pgNumType w:fmt="decimal"/>
          <w:cols w:space="720" w:num="1"/>
        </w:sectPr>
      </w:pPr>
    </w:p>
    <w:bookmarkEnd w:id="0"/>
    <w:p>
      <w:pPr>
        <w:keepNext w:val="0"/>
        <w:keepLines w:val="0"/>
        <w:pageBreakBefore w:val="0"/>
        <w:widowControl/>
        <w:kinsoku/>
        <w:wordWrap/>
        <w:overflowPunct/>
        <w:topLinePunct w:val="0"/>
        <w:autoSpaceDE/>
        <w:autoSpaceDN/>
        <w:bidi w:val="0"/>
        <w:adjustRightInd/>
        <w:snapToGrid/>
        <w:spacing w:after="200" w:line="520" w:lineRule="exact"/>
        <w:jc w:val="center"/>
        <w:textAlignment w:val="auto"/>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pP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202</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3</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年全国职业院校技能大赛</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高</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职组</w:t>
      </w:r>
    </w:p>
    <w:p>
      <w:pPr>
        <w:keepNext w:val="0"/>
        <w:keepLines w:val="0"/>
        <w:pageBreakBefore w:val="0"/>
        <w:widowControl/>
        <w:kinsoku/>
        <w:wordWrap/>
        <w:overflowPunct/>
        <w:topLinePunct w:val="0"/>
        <w:autoSpaceDE/>
        <w:autoSpaceDN/>
        <w:bidi w:val="0"/>
        <w:adjustRightInd/>
        <w:snapToGrid/>
        <w:spacing w:after="200" w:line="520" w:lineRule="exact"/>
        <w:jc w:val="center"/>
        <w:textAlignment w:val="auto"/>
        <w:outlineLvl w:val="0"/>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pP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生产单元数字化改造</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”赛项</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zh-CN" w:bidi="ar-SA"/>
        </w:rPr>
        <w:t>（</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样题十</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zh-CN" w:bidi="ar-SA"/>
        </w:rPr>
        <w:t>）</w:t>
      </w:r>
    </w:p>
    <w:p>
      <w:pPr>
        <w:rPr>
          <w:rStyle w:val="12"/>
          <w:rFonts w:hint="eastAsia" w:ascii="仿宋_GB2312" w:hAnsi="仿宋_GB2312" w:eastAsia="仿宋_GB2312" w:cs="仿宋_GB2312"/>
          <w:b/>
          <w:bCs/>
          <w:i w:val="0"/>
          <w:iCs w:val="0"/>
          <w:color w:val="auto"/>
          <w:spacing w:val="4"/>
          <w:sz w:val="28"/>
          <w:szCs w:val="28"/>
          <w:highlight w:val="none"/>
          <w:shd w:val="clear" w:color="auto" w:fill="auto"/>
          <w:lang w:val="en-US" w:eastAsia="zh-CN"/>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0"/>
        <w:textAlignment w:val="baseline"/>
        <w:rPr>
          <w:rFonts w:hint="eastAsia" w:ascii="仿宋_GB2312" w:hAnsi="仿宋_GB2312" w:eastAsia="仿宋_GB2312" w:cs="仿宋_GB2312"/>
          <w:b/>
          <w:i w:val="0"/>
          <w:iCs w:val="0"/>
          <w:color w:val="auto"/>
          <w:sz w:val="28"/>
          <w:szCs w:val="28"/>
          <w:highlight w:val="none"/>
          <w:lang w:val="en-US" w:eastAsia="zh-CN"/>
        </w:rPr>
      </w:pPr>
      <w:r>
        <w:rPr>
          <w:rFonts w:hint="eastAsia" w:ascii="仿宋_GB2312" w:hAnsi="仿宋_GB2312" w:eastAsia="仿宋_GB2312" w:cs="仿宋_GB2312"/>
          <w:b/>
          <w:i w:val="0"/>
          <w:iCs w:val="0"/>
          <w:color w:val="auto"/>
          <w:sz w:val="28"/>
          <w:szCs w:val="28"/>
          <w:highlight w:val="none"/>
          <w:lang w:val="en-US" w:eastAsia="zh-CN"/>
        </w:rPr>
        <w:t>选手须知：</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1.任务书共</w:t>
      </w:r>
      <w:r>
        <w:rPr>
          <w:rStyle w:val="12"/>
          <w:rFonts w:hint="eastAsia" w:ascii="仿宋_GB2312" w:hAnsi="仿宋_GB2312" w:eastAsia="仿宋_GB2312" w:cs="仿宋_GB2312"/>
          <w:i w:val="0"/>
          <w:iCs w:val="0"/>
          <w:color w:val="auto"/>
          <w:spacing w:val="4"/>
          <w:sz w:val="28"/>
          <w:szCs w:val="28"/>
          <w:highlight w:val="none"/>
          <w:u w:val="single"/>
          <w:shd w:val="clear" w:color="auto" w:fill="auto"/>
          <w:lang w:val="en-US" w:eastAsia="zh-CN"/>
        </w:rPr>
        <w:t xml:space="preserve"> 11 </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页，如出现任务书缺页、字迹不清等问题，请及时向裁判示意，并进行任务书的更换。</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2.参赛队应在6小时内完成任务书规定内容。</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3.任务书中只能填写竞赛相关信息，不得出现学校、姓名等与身份有关的信息或与竞赛过程无关的内容，否则成绩无效。</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4.在完成任务过程中，请及时保存程序及数据。</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5.本赛程结束前，请选手自行备份项目程序及文件至</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6.由于参赛选手人为原因导致竞赛设备损坏，以致无法正常继续比赛，将取消参赛队竞赛资格。</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7.大赛提供的部分3D模型、器件手册及相关资料已存储到“E:\资料”</w:t>
      </w:r>
      <w:r>
        <w:rPr>
          <w:rStyle w:val="12"/>
          <w:rFonts w:hint="eastAsia" w:ascii="仿宋_GB2312" w:hAnsi="仿宋_GB2312" w:eastAsia="仿宋_GB2312" w:cs="仿宋_GB2312"/>
          <w:b w:val="0"/>
          <w:bCs w:val="0"/>
          <w:i w:val="0"/>
          <w:iCs w:val="0"/>
          <w:color w:val="auto"/>
          <w:spacing w:val="4"/>
          <w:sz w:val="28"/>
          <w:szCs w:val="28"/>
          <w:highlight w:val="none"/>
          <w:shd w:val="clear" w:color="auto" w:fill="auto"/>
          <w:lang w:val="en-US" w:eastAsia="zh-CN"/>
        </w:rPr>
        <w:t>文件</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夹下。</w:t>
      </w:r>
    </w:p>
    <w:p>
      <w:pPr>
        <w:spacing w:line="340" w:lineRule="auto"/>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zh-Han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竞赛场次：第</w:t>
      </w:r>
      <w:r>
        <w:rPr>
          <w:rStyle w:val="12"/>
          <w:rFonts w:hint="eastAsia" w:ascii="仿宋_GB2312" w:hAnsi="仿宋_GB2312" w:eastAsia="仿宋_GB2312" w:cs="仿宋_GB2312"/>
          <w:i w:val="0"/>
          <w:iCs w:val="0"/>
          <w:color w:val="auto"/>
          <w:spacing w:val="4"/>
          <w:sz w:val="28"/>
          <w:szCs w:val="28"/>
          <w:highlight w:val="none"/>
          <w:u w:val="single"/>
          <w:shd w:val="clear" w:color="auto" w:fill="auto"/>
          <w:lang w:val="en-US" w:eastAsia="zh-CN"/>
        </w:rPr>
        <w:t xml:space="preserve">   </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场                          赛位号：第</w:t>
      </w:r>
      <w:r>
        <w:rPr>
          <w:rStyle w:val="12"/>
          <w:rFonts w:hint="eastAsia" w:ascii="仿宋_GB2312" w:hAnsi="仿宋_GB2312" w:eastAsia="仿宋_GB2312" w:cs="仿宋_GB2312"/>
          <w:i w:val="0"/>
          <w:iCs w:val="0"/>
          <w:color w:val="auto"/>
          <w:spacing w:val="4"/>
          <w:sz w:val="28"/>
          <w:szCs w:val="28"/>
          <w:highlight w:val="none"/>
          <w:u w:val="single"/>
          <w:shd w:val="clear" w:color="auto" w:fill="auto"/>
          <w:lang w:val="en-US" w:eastAsia="zh-CN"/>
        </w:rPr>
        <w:t xml:space="preserve">   </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号</w:t>
      </w:r>
    </w:p>
    <w:p>
      <w:pPr>
        <w:pStyle w:val="2"/>
        <w:ind w:left="0" w:leftChars="0" w:firstLine="0" w:firstLineChars="0"/>
        <w:rPr>
          <w:rFonts w:hint="eastAsia"/>
          <w:i w:val="0"/>
          <w:iCs w:val="0"/>
          <w:color w:val="auto"/>
          <w:highlight w:val="none"/>
        </w:rPr>
      </w:pPr>
    </w:p>
    <w:p>
      <w:pPr>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br w:type="page"/>
      </w:r>
    </w:p>
    <w:p>
      <w:pPr>
        <w:pStyle w:val="5"/>
        <w:keepNext w:val="0"/>
        <w:keepLines w:val="0"/>
        <w:pageBreakBefore w:val="0"/>
        <w:widowControl/>
        <w:shd w:val="clear"/>
        <w:kinsoku/>
        <w:wordWrap/>
        <w:overflowPunct/>
        <w:topLinePunct w:val="0"/>
        <w:autoSpaceDE/>
        <w:autoSpaceDN/>
        <w:bidi w:val="0"/>
        <w:adjustRightInd/>
        <w:snapToGrid/>
        <w:spacing w:before="0" w:after="0" w:line="240" w:lineRule="auto"/>
        <w:ind w:left="0" w:leftChars="0" w:firstLine="0" w:firstLineChars="0"/>
        <w:textAlignment w:val="auto"/>
        <w:rPr>
          <w:rFonts w:hint="default"/>
          <w:color w:val="auto"/>
          <w:lang w:val="en-US" w:eastAsia="zh-CN"/>
        </w:rPr>
      </w:pPr>
      <w:r>
        <w:rPr>
          <w:rFonts w:hint="eastAsia"/>
          <w:color w:val="auto"/>
          <w:lang w:val="en-US" w:eastAsia="zh-CN"/>
        </w:rPr>
        <w:t>竞赛平台描述：</w:t>
      </w:r>
    </w:p>
    <w:p>
      <w:pPr>
        <w:pStyle w:val="14"/>
        <w:shd w:val="clear" w:color="auto" w:fill="auto"/>
        <w:spacing w:before="0" w:after="0" w:line="520" w:lineRule="exact"/>
        <w:ind w:firstLine="576" w:firstLineChars="200"/>
        <w:rPr>
          <w:rStyle w:val="12"/>
          <w:rFonts w:hint="eastAsia" w:ascii="仿宋_GB2312" w:hAnsi="仿宋_GB2312" w:eastAsia="仿宋_GB2312" w:cs="仿宋_GB2312"/>
          <w:color w:val="auto"/>
          <w:spacing w:val="4"/>
          <w:sz w:val="28"/>
          <w:szCs w:val="28"/>
          <w:highlight w:val="none"/>
          <w:shd w:val="clear" w:color="auto" w:fill="auto"/>
          <w:lang w:val="en-US" w:eastAsia="zh-CN"/>
        </w:rPr>
      </w:pPr>
      <w:r>
        <w:rPr>
          <w:rStyle w:val="12"/>
          <w:rFonts w:hint="eastAsia" w:ascii="仿宋_GB2312" w:hAnsi="仿宋_GB2312" w:eastAsia="仿宋_GB2312" w:cs="仿宋_GB2312"/>
          <w:color w:val="auto"/>
          <w:spacing w:val="4"/>
          <w:sz w:val="28"/>
          <w:szCs w:val="28"/>
          <w:highlight w:val="none"/>
          <w:shd w:val="clear" w:color="auto" w:fill="auto"/>
          <w:lang w:val="en-US"/>
        </w:rPr>
        <w:t>生产单元数字</w:t>
      </w:r>
      <w:r>
        <w:rPr>
          <w:rStyle w:val="12"/>
          <w:rFonts w:ascii="仿宋_GB2312" w:hAnsi="仿宋_GB2312" w:eastAsia="仿宋_GB2312" w:cs="仿宋_GB2312"/>
          <w:color w:val="auto"/>
          <w:spacing w:val="4"/>
          <w:sz w:val="28"/>
          <w:szCs w:val="28"/>
          <w:highlight w:val="none"/>
          <w:shd w:val="clear" w:color="auto" w:fill="auto"/>
          <w:lang w:val="en-US"/>
        </w:rPr>
        <w:t>化改造</w:t>
      </w:r>
      <w:r>
        <w:rPr>
          <w:rStyle w:val="12"/>
          <w:rFonts w:hint="eastAsia" w:ascii="仿宋_GB2312" w:hAnsi="仿宋_GB2312" w:eastAsia="仿宋_GB2312" w:cs="仿宋_GB2312"/>
          <w:color w:val="auto"/>
          <w:spacing w:val="4"/>
          <w:sz w:val="28"/>
          <w:szCs w:val="28"/>
          <w:highlight w:val="none"/>
          <w:shd w:val="clear" w:color="auto" w:fill="auto"/>
          <w:lang w:val="en-US"/>
        </w:rPr>
        <w:t>竞赛平台是以数字化关键技术为核心，集成智能仓储、智能机器人、</w:t>
      </w:r>
      <w:r>
        <w:rPr>
          <w:rFonts w:ascii="Times New Roman" w:hAnsi="Times New Roman" w:eastAsia="仿宋_GB2312"/>
          <w:color w:val="auto"/>
          <w:sz w:val="28"/>
          <w:szCs w:val="28"/>
          <w:highlight w:val="none"/>
          <w:lang w:bidi="ar"/>
        </w:rPr>
        <w:t>AMR</w:t>
      </w:r>
      <w:r>
        <w:rPr>
          <w:rStyle w:val="12"/>
          <w:rFonts w:hint="eastAsia" w:ascii="仿宋_GB2312" w:hAnsi="仿宋_GB2312" w:eastAsia="仿宋_GB2312" w:cs="仿宋_GB2312"/>
          <w:color w:val="auto"/>
          <w:spacing w:val="4"/>
          <w:sz w:val="28"/>
          <w:szCs w:val="28"/>
          <w:highlight w:val="none"/>
          <w:shd w:val="clear" w:color="auto" w:fill="auto"/>
          <w:lang w:val="en-US"/>
        </w:rPr>
        <w:t>自主移动机器人、智能视觉、</w:t>
      </w:r>
      <w:r>
        <w:rPr>
          <w:rFonts w:ascii="Times New Roman" w:hAnsi="Times New Roman" w:eastAsia="仿宋_GB2312"/>
          <w:color w:val="auto"/>
          <w:sz w:val="28"/>
          <w:szCs w:val="28"/>
          <w:highlight w:val="none"/>
          <w:lang w:bidi="ar"/>
        </w:rPr>
        <w:t>SCADA系统监控</w:t>
      </w:r>
      <w:r>
        <w:rPr>
          <w:rStyle w:val="12"/>
          <w:rFonts w:hint="eastAsia" w:ascii="仿宋_GB2312" w:hAnsi="仿宋_GB2312" w:eastAsia="仿宋_GB2312" w:cs="仿宋_GB2312"/>
          <w:color w:val="auto"/>
          <w:spacing w:val="4"/>
          <w:sz w:val="28"/>
          <w:szCs w:val="28"/>
          <w:highlight w:val="none"/>
          <w:shd w:val="clear" w:color="auto" w:fill="auto"/>
          <w:lang w:val="en-US"/>
        </w:rPr>
        <w:t>、</w:t>
      </w:r>
      <w:r>
        <w:rPr>
          <w:rFonts w:ascii="Times New Roman" w:hAnsi="Times New Roman" w:eastAsia="仿宋_GB2312"/>
          <w:color w:val="auto"/>
          <w:sz w:val="28"/>
          <w:szCs w:val="28"/>
          <w:highlight w:val="none"/>
          <w:lang w:bidi="ar"/>
        </w:rPr>
        <w:t>WMS</w:t>
      </w:r>
      <w:r>
        <w:rPr>
          <w:rStyle w:val="12"/>
          <w:rFonts w:hint="eastAsia" w:ascii="仿宋_GB2312" w:hAnsi="仿宋_GB2312" w:eastAsia="仿宋_GB2312" w:cs="仿宋_GB2312"/>
          <w:color w:val="auto"/>
          <w:spacing w:val="4"/>
          <w:sz w:val="28"/>
          <w:szCs w:val="28"/>
          <w:highlight w:val="none"/>
          <w:shd w:val="clear" w:color="auto" w:fill="auto"/>
          <w:lang w:val="en-US"/>
        </w:rPr>
        <w:t>系统、</w:t>
      </w:r>
      <w:r>
        <w:rPr>
          <w:rFonts w:ascii="Times New Roman" w:hAnsi="Times New Roman" w:eastAsia="仿宋_GB2312"/>
          <w:color w:val="auto"/>
          <w:sz w:val="28"/>
          <w:szCs w:val="28"/>
          <w:highlight w:val="none"/>
          <w:lang w:bidi="ar"/>
        </w:rPr>
        <w:t>MES</w:t>
      </w:r>
      <w:r>
        <w:rPr>
          <w:rStyle w:val="12"/>
          <w:rFonts w:hint="eastAsia" w:ascii="仿宋_GB2312" w:hAnsi="仿宋_GB2312" w:eastAsia="仿宋_GB2312" w:cs="仿宋_GB2312"/>
          <w:color w:val="auto"/>
          <w:spacing w:val="4"/>
          <w:sz w:val="28"/>
          <w:szCs w:val="28"/>
          <w:highlight w:val="none"/>
          <w:shd w:val="clear" w:color="auto" w:fill="auto"/>
          <w:lang w:val="en-US"/>
        </w:rPr>
        <w:t>系统、</w:t>
      </w:r>
      <w:r>
        <w:rPr>
          <w:rFonts w:ascii="Times New Roman" w:hAnsi="Times New Roman" w:eastAsia="仿宋_GB2312"/>
          <w:color w:val="auto"/>
          <w:sz w:val="28"/>
          <w:szCs w:val="28"/>
          <w:highlight w:val="none"/>
          <w:lang w:bidi="ar"/>
        </w:rPr>
        <w:t>数字孪生</w:t>
      </w:r>
      <w:r>
        <w:rPr>
          <w:rStyle w:val="12"/>
          <w:rFonts w:hint="eastAsia" w:ascii="仿宋_GB2312" w:hAnsi="仿宋_GB2312" w:eastAsia="仿宋_GB2312" w:cs="仿宋_GB2312"/>
          <w:color w:val="auto"/>
          <w:spacing w:val="4"/>
          <w:sz w:val="28"/>
          <w:szCs w:val="28"/>
          <w:highlight w:val="none"/>
          <w:shd w:val="clear" w:color="auto" w:fill="auto"/>
          <w:lang w:val="en-US"/>
        </w:rPr>
        <w:t>的综合应用单元。竞赛平台参考示意图如图1所示</w:t>
      </w:r>
      <w:r>
        <w:rPr>
          <w:rStyle w:val="12"/>
          <w:rFonts w:hint="eastAsia" w:ascii="仿宋_GB2312" w:hAnsi="仿宋_GB2312" w:eastAsia="仿宋_GB2312" w:cs="仿宋_GB2312"/>
          <w:color w:val="auto"/>
          <w:spacing w:val="4"/>
          <w:sz w:val="28"/>
          <w:szCs w:val="28"/>
          <w:highlight w:val="none"/>
          <w:shd w:val="clear" w:color="auto" w:fill="auto"/>
          <w:lang w:val="en-US" w:eastAsia="zh-CN"/>
        </w:rPr>
        <w:t>。</w:t>
      </w:r>
    </w:p>
    <w:p>
      <w:pPr>
        <w:pStyle w:val="14"/>
        <w:shd w:val="clear" w:color="auto" w:fill="auto"/>
        <w:spacing w:before="0" w:after="0" w:line="520" w:lineRule="exact"/>
        <w:ind w:firstLine="576" w:firstLineChars="200"/>
        <w:rPr>
          <w:rStyle w:val="12"/>
          <w:rFonts w:hint="eastAsia" w:ascii="仿宋_GB2312" w:hAnsi="仿宋_GB2312" w:eastAsia="仿宋_GB2312" w:cs="仿宋_GB2312"/>
          <w:color w:val="auto"/>
          <w:spacing w:val="4"/>
          <w:sz w:val="28"/>
          <w:szCs w:val="28"/>
          <w:highlight w:val="none"/>
          <w:shd w:val="clear" w:color="auto" w:fill="auto"/>
          <w:lang w:val="en-US" w:eastAsia="zh-CN"/>
        </w:rPr>
      </w:pPr>
    </w:p>
    <w:p>
      <w:pPr>
        <w:keepNext w:val="0"/>
        <w:keepLines w:val="0"/>
        <w:widowControl/>
        <w:suppressLineNumbers w:val="0"/>
        <w:jc w:val="center"/>
        <w:rPr>
          <w:color w:val="auto"/>
        </w:rPr>
      </w:pPr>
      <w:r>
        <w:rPr>
          <w:rFonts w:ascii="宋体" w:hAnsi="宋体" w:eastAsia="宋体" w:cs="宋体"/>
          <w:snapToGrid w:val="0"/>
          <w:color w:val="auto"/>
          <w:kern w:val="0"/>
          <w:sz w:val="24"/>
          <w:szCs w:val="24"/>
          <w:lang w:val="en-US" w:eastAsia="zh-CN" w:bidi="ar"/>
        </w:rPr>
        <w:drawing>
          <wp:inline distT="0" distB="0" distL="114300" distR="114300">
            <wp:extent cx="3451860" cy="1527175"/>
            <wp:effectExtent l="0" t="0" r="2540" b="9525"/>
            <wp:docPr id="17"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descr="IMG_256"/>
                    <pic:cNvPicPr>
                      <a:picLocks noChangeAspect="1"/>
                    </pic:cNvPicPr>
                  </pic:nvPicPr>
                  <pic:blipFill>
                    <a:blip r:embed="rId6"/>
                    <a:stretch>
                      <a:fillRect/>
                    </a:stretch>
                  </pic:blipFill>
                  <pic:spPr>
                    <a:xfrm>
                      <a:off x="0" y="0"/>
                      <a:ext cx="3451860" cy="1527175"/>
                    </a:xfrm>
                    <a:prstGeom prst="rect">
                      <a:avLst/>
                    </a:prstGeom>
                    <a:noFill/>
                    <a:ln w="9525">
                      <a:noFill/>
                    </a:ln>
                  </pic:spPr>
                </pic:pic>
              </a:graphicData>
            </a:graphic>
          </wp:inline>
        </w:drawing>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leftChars="0" w:firstLine="0" w:firstLineChars="0"/>
        <w:jc w:val="both"/>
        <w:textAlignment w:val="baseline"/>
        <w:rPr>
          <w:i w:val="0"/>
          <w:iCs w:val="0"/>
          <w:color w:val="auto"/>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图1 竞赛平台布局参考示意图</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leftChars="0" w:firstLine="0" w:firstLineChars="0"/>
        <w:textAlignment w:val="baseline"/>
        <w:rPr>
          <w:rFonts w:hint="default"/>
          <w:i w:val="0"/>
          <w:iCs w:val="0"/>
          <w:color w:val="auto"/>
          <w:lang w:val="en-US" w:eastAsia="zh-CN"/>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60" w:lineRule="auto"/>
        <w:ind w:left="0" w:leftChars="0" w:firstLine="576" w:firstLineChars="200"/>
        <w:jc w:val="left"/>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rPr>
        <w:t>其生产工艺参考流程为：根据客户联接器生产任务定制需求，在MES系统中下发任务订单，由机器人完成订单指定物料的取料，AMR自主移动机器人将物料运送至智能装配区，智能机器人与智能视觉配合完成物料的检测与抓取，按照任务订单要求，完成定制产品的组装与检测，根据检测结果，放置到指定仓位。生产任务执行过程中，实时采集仓位、智能机器人、AMR自主移动机器人、智能视觉、RFID等相关数据，</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通过</w:t>
      </w:r>
      <w:r>
        <w:rPr>
          <w:rStyle w:val="12"/>
          <w:rFonts w:hint="eastAsia" w:ascii="仿宋_GB2312" w:hAnsi="仿宋_GB2312" w:eastAsia="仿宋_GB2312" w:cs="仿宋_GB2312"/>
          <w:i w:val="0"/>
          <w:iCs w:val="0"/>
          <w:color w:val="auto"/>
          <w:spacing w:val="4"/>
          <w:sz w:val="28"/>
          <w:szCs w:val="28"/>
          <w:highlight w:val="none"/>
          <w:shd w:val="clear" w:color="auto" w:fill="auto"/>
          <w:lang w:val="en-US"/>
        </w:rPr>
        <w:t>数字孪生实现虚实结合，完成联接器装配。联接器</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装配</w:t>
      </w:r>
      <w:r>
        <w:rPr>
          <w:rStyle w:val="12"/>
          <w:rFonts w:hint="eastAsia" w:ascii="仿宋_GB2312" w:hAnsi="仿宋_GB2312" w:eastAsia="仿宋_GB2312" w:cs="仿宋_GB2312"/>
          <w:i w:val="0"/>
          <w:iCs w:val="0"/>
          <w:color w:val="auto"/>
          <w:spacing w:val="4"/>
          <w:sz w:val="28"/>
          <w:szCs w:val="28"/>
          <w:highlight w:val="none"/>
          <w:shd w:val="clear" w:color="auto" w:fill="auto"/>
          <w:lang w:val="en-US"/>
        </w:rPr>
        <w:t>示意图如图2所示。</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60" w:lineRule="auto"/>
        <w:ind w:left="0" w:leftChars="0" w:firstLine="0" w:firstLineChars="0"/>
        <w:jc w:val="center"/>
        <w:textAlignment w:val="baseline"/>
        <w:rPr>
          <w:i w:val="0"/>
          <w:iCs w:val="0"/>
          <w:color w:val="auto"/>
        </w:rPr>
      </w:pPr>
      <w:r>
        <w:rPr>
          <w:i w:val="0"/>
          <w:iCs w:val="0"/>
          <w:color w:val="auto"/>
        </w:rPr>
        <w:drawing>
          <wp:inline distT="0" distB="0" distL="114300" distR="114300">
            <wp:extent cx="2403475" cy="1591945"/>
            <wp:effectExtent l="0" t="0" r="9525" b="825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7"/>
                    <a:stretch>
                      <a:fillRect/>
                    </a:stretch>
                  </pic:blipFill>
                  <pic:spPr>
                    <a:xfrm>
                      <a:off x="0" y="0"/>
                      <a:ext cx="2403475" cy="1591945"/>
                    </a:xfrm>
                    <a:prstGeom prst="rect">
                      <a:avLst/>
                    </a:prstGeom>
                    <a:noFill/>
                    <a:ln>
                      <a:noFill/>
                    </a:ln>
                  </pic:spPr>
                </pic:pic>
              </a:graphicData>
            </a:graphic>
          </wp:inline>
        </w:drawing>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图2 联接器装配示意图</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leftChars="0" w:firstLine="0" w:firstLineChars="0"/>
        <w:textAlignment w:val="baseline"/>
        <w:rPr>
          <w:rFonts w:hint="eastAsia" w:ascii="黑体" w:hAnsi="黑体" w:eastAsia="黑体" w:cs="黑体"/>
          <w:b w:val="0"/>
          <w:bCs w:val="0"/>
          <w:i w:val="0"/>
          <w:iCs w:val="0"/>
          <w:snapToGrid w:val="0"/>
          <w:color w:val="auto"/>
          <w:spacing w:val="0"/>
          <w:sz w:val="32"/>
          <w:szCs w:val="32"/>
          <w:highlight w:val="none"/>
          <w:lang w:val="en-US" w:eastAsia="zh-CN" w:bidi="ar-SA"/>
        </w:rPr>
      </w:pPr>
    </w:p>
    <w:p>
      <w:pPr>
        <w:pStyle w:val="5"/>
        <w:rPr>
          <w:rFonts w:hint="default"/>
          <w:color w:val="auto"/>
          <w:lang w:val="en-US" w:eastAsia="zh-CN"/>
        </w:rPr>
      </w:pPr>
      <w:r>
        <w:rPr>
          <w:rFonts w:hint="eastAsia"/>
          <w:color w:val="auto"/>
          <w:lang w:val="en-US" w:eastAsia="zh-CN"/>
        </w:rPr>
        <w:t>任务一：生产单元数字化改造方案设计（15%）</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任务1.1 生产单元功能规划及仿真验证</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1.1.1 根据生产工艺流程，绘制生产单元的工艺流程图，并生成PDF版本，以“赛位号+生产单元工艺流程图”为文件名，保存在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1.1.2 智能仓储仿真设计</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（1）在已构建的数字孪生模型基础上标定模型位置，实现实物与数字孪生模型位置的1:1布局，同时生成平面布局图，以“赛位号+智能仓储布局图”为文件名，并以PDF版本保存在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（2）根据竞赛平台中提供的模型设置物理属性，创建运动属性，添加信号表。</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（3）在仿真系统中控制智能仓储机器人的X轴、Y轴、Z轴位置运动。</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1.1.3 生产单元系统仿真测试</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在数字孪生软件中配置通信和信号，将配置的通信信号与模型驱动接口建立映射。编写PLC和触摸屏程序，通过PLC控制生产单元数字孪生模型，实现生产单元模型在软件中仿真测试。</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（1）生产单元数字孪生模型的驱动接口与外部通信信号建立映射，实现数字孪生系统和PLC的数据交换。</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（2）自行设计智能仓储虚拟仿真方案并实施测试，测试内容包括但不限于，通过触摸屏控制智能仓储机器人的X\Y\Z轴的移动，实现指定仓位取放料操作。</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任务1.2 生产数据采集方案规划设计</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1.2.1 根据生产工艺流程中对数据采集的要求，编制数据采集方案，需明确采集数据内容、智能硬件、通信协议、数据格式和通信链路，以“赛位号+数据采集方案”为文件名，并生成PDF版本保存在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1.2.2 根据采集方案，绘制生产单元网络拓扑图，并规划各硬件网络地址，以“赛位号+网络拓扑图（采集）”为文件名，并生成PDF版本保存在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1.2.3 数据库环境搭建及测试</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（1）自行设计数据表格式。</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（2）建立仓位、智能视觉、各机器人状态、RFID以及能耗数据变量，通过调试助手工具完成数据库的通信测试。</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任务1.3 网络部署方案设计</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1.3.1 基于网络安全和工业云平台数据应用，绘制基于防火墙和工业网关的网络拓扑图，以“赛位号+网络拓扑图（安全）”为文件名，并生成PDF版本保存在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1.3.2 能够对赛项设置的网络“攻击”行为实施数据分析、防护处置和网络管控，并填写《网络信息安全分析报告》，以“赛位号+网络信息安全分析报告”为文件名，并生成PDF版本保存在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（1）编制、使用网络安全工具软件检查并分析工业网络，找到可能的危险数据。</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使用两台计算机，计算机1向计算机2发送三次数据，获取对应数据，以.pcapng格式进行保存，查看获取的数据信息，分析发送信息的时间和数据长度。</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（2）基于网络监控与分析，追溯危险数据来源。</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使用两台计算机，使用telnet明文传送方式，计算机1通过TCP协议向计算机2发送三条信息（信息内容裁判指定），计算机2获取对应数据，以.pcapng格式进行保存，查看获取的数据信息，分析计算机1的IP地址及计算机1发送的数据内容。</w:t>
      </w:r>
    </w:p>
    <w:p>
      <w:pPr>
        <w:pStyle w:val="5"/>
        <w:rPr>
          <w:rFonts w:hint="eastAsia"/>
          <w:color w:val="auto"/>
          <w:lang w:val="en-US" w:eastAsia="zh-CN"/>
        </w:rPr>
      </w:pPr>
    </w:p>
    <w:p>
      <w:pPr>
        <w:pStyle w:val="5"/>
        <w:rPr>
          <w:rFonts w:hint="eastAsia"/>
          <w:color w:val="auto"/>
          <w:lang w:val="en-US" w:eastAsia="zh-CN"/>
        </w:rPr>
      </w:pPr>
      <w:r>
        <w:rPr>
          <w:rFonts w:hint="eastAsia"/>
          <w:color w:val="auto"/>
          <w:lang w:val="en-US" w:eastAsia="zh-CN"/>
        </w:rPr>
        <w:t>任务二：生产单元智能化集成（10%）</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任务2.1 生产单元网络搭建</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根据生产单元数字化改造方案设计的网络拓扑图，完成交换机、数据采集设备、生产单元设备软、硬件的网络连接及IP地址配置。</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任务2.2 生产单元网络通讯测试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根据生产单元设备软、硬件的网络连接及IP地址配置，测试网络通讯状态，显示同一局域网下所有网络设备IP地址。</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任务2.3 智能网关参数配置与数据采集</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2.3.1</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根据系统网络结构的规划，完成智能网关的参数配置，使其与</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SCADA系统</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建立数据连接。</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kern w:val="0"/>
          <w:sz w:val="28"/>
          <w:szCs w:val="28"/>
          <w:highlight w:val="none"/>
          <w:shd w:val="clear" w:color="auto" w:fill="auto"/>
          <w:lang w:val="zh-Han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2.3.2</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通过智能网关能够采集</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生产单元电能</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的实时数据</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，并在</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智能网关的组态界面中能实时显示。</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任务2.4 智能仓储数据采集</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2.4.1根据生产单元数字化改造计划，按照工艺流程，对智能仓储、SCADA系统进行程序的编写和调试。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2.4.2编写SCADA系统界面与PLC通讯，通过SCADA系统，远程监控设备相关数据，包括机器人各个轴的运行状态、仓库传感器状态等，实现数据可视化。</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 xml:space="preserve">任务2.5 </w:t>
      </w:r>
      <w:r>
        <w:rPr>
          <w:rFonts w:hint="default"/>
          <w:b/>
          <w:bCs w:val="0"/>
          <w:i w:val="0"/>
          <w:iCs w:val="0"/>
          <w:color w:val="auto"/>
          <w:lang w:val="en-US" w:eastAsia="zh-CN"/>
        </w:rPr>
        <w:t>构建</w:t>
      </w:r>
      <w:r>
        <w:rPr>
          <w:rFonts w:hint="eastAsia"/>
          <w:b/>
          <w:bCs w:val="0"/>
          <w:i w:val="0"/>
          <w:iCs w:val="0"/>
          <w:color w:val="auto"/>
          <w:lang w:val="en-US" w:eastAsia="zh-CN"/>
        </w:rPr>
        <w:t>AMR自主移动机器人</w:t>
      </w:r>
      <w:r>
        <w:rPr>
          <w:rFonts w:hint="default"/>
          <w:b/>
          <w:bCs w:val="0"/>
          <w:i w:val="0"/>
          <w:iCs w:val="0"/>
          <w:color w:val="auto"/>
          <w:lang w:val="en-US" w:eastAsia="zh-CN"/>
        </w:rPr>
        <w:t>环境地图</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 xml:space="preserve">2.5.1 </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在</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AMR自主移动机器人</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建图工具中，</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根据参考工艺流程</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控制其在竞赛单元场地运动，构建环境地图</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2.5.2 智能仓储第一列处为1号接驳点，智能仓储第二列处为2号接驳点，智能仓储第三列处为3号接驳点，智能仓储第四列处为4号接驳点，智能仓储第五列处为5号接驳点，智能仓储入库信息读写位处为7号接驳点，起始点处为9号，智能视觉区为8号接驳点。</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在环境地图中设置导航点，设置合理的“起始点”(导航点</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8</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)；在“</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智能仓储</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”第</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3</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列出库点附近设置合理的导航点(导航点</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3</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)；在“</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智能视觉区</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”的上料区一侧，设置合理的导航点(导航点</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8</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 xml:space="preserve">2.5.3 </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测试</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AMR自主移动机器人</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的自主导航功能，在建图工具操作界面中，利用“坐标导航”功能，控制移动机器人自主地从导航点</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3</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移动至导航点</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7</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任务2.6 防火墙配置与安全策略设置</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2.6.1 通过防火墙管理界面，将其GE1端口配置为外网接口、GE2端口配置为内网接口、GE3端口配置为SCADA系统端口。</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2.6.2 配置防火墙安全策略，实现外网设备通过外网接口不能访问SCADA系统，SCADA系统通过内网接口能够访问外网设备。</w:t>
      </w:r>
    </w:p>
    <w:p>
      <w:pPr>
        <w:pStyle w:val="5"/>
        <w:rPr>
          <w:rFonts w:hint="eastAsia"/>
          <w:color w:val="auto"/>
          <w:lang w:val="en-US" w:eastAsia="zh-CN"/>
        </w:rPr>
      </w:pPr>
    </w:p>
    <w:p>
      <w:pPr>
        <w:pStyle w:val="5"/>
        <w:rPr>
          <w:rFonts w:hint="default"/>
          <w:color w:val="auto"/>
          <w:lang w:val="en-US" w:eastAsia="zh-CN"/>
        </w:rPr>
      </w:pPr>
      <w:r>
        <w:rPr>
          <w:rFonts w:hint="eastAsia"/>
          <w:color w:val="auto"/>
          <w:lang w:val="en-US" w:eastAsia="zh-CN"/>
        </w:rPr>
        <w:t>任务三：</w:t>
      </w:r>
      <w:r>
        <w:rPr>
          <w:rFonts w:hint="default"/>
          <w:color w:val="auto"/>
          <w:lang w:val="en-US" w:eastAsia="zh-CN"/>
        </w:rPr>
        <w:t>生产单元</w:t>
      </w:r>
      <w:r>
        <w:rPr>
          <w:rFonts w:hint="eastAsia"/>
          <w:color w:val="auto"/>
          <w:lang w:val="en-US" w:eastAsia="zh-CN"/>
        </w:rPr>
        <w:t>功能开发与测试（30%）</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任务3.1 智能仓储功能开发与测试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3.1.1 智能仓储区机器人各轴功能调试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（1）进行PLC程序编写与调试，通过触摸屏控制机器人各轴正反方向运动，并实时显示其位置信息。</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（2）通过触摸屏手动控制机器人X轴、Y轴和Z轴的正反向运动，到达各轴对应方向的限位时，该轴自动停止运动。</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9"/>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3</w:t>
      </w: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1.2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智能仓储移库功能调试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（1）手动在6号仓位(第一列，第二行) 放置一个空托盘；</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（2）在触摸屏上输入当前仓位（6号仓位）和目标仓位（13号仓位），点击“移库”按钮，机器人将6号仓位的空托盘取出，放置于13号仓位(第三列，第三行)。</w:t>
      </w:r>
    </w:p>
    <w:p>
      <w:pPr>
        <w:widowControl w:val="0"/>
        <w:spacing w:line="520" w:lineRule="exact"/>
        <w:ind w:firstLine="578" w:firstLineChars="200"/>
        <w:jc w:val="both"/>
        <w:rPr>
          <w:rFonts w:ascii="仿宋_GB2312" w:hAnsi="仿宋_GB2312" w:eastAsia="仿宋_GB2312" w:cs="仿宋_GB2312"/>
          <w:b/>
          <w:bCs/>
          <w:i w:val="0"/>
          <w:iCs w:val="0"/>
          <w:color w:val="auto"/>
          <w:spacing w:val="4"/>
          <w:sz w:val="28"/>
          <w:szCs w:val="28"/>
        </w:rPr>
      </w:pPr>
      <w:r>
        <w:rPr>
          <w:rFonts w:hint="eastAsia" w:ascii="仿宋_GB2312" w:hAnsi="仿宋_GB2312" w:eastAsia="仿宋_GB2312" w:cs="仿宋_GB2312"/>
          <w:b/>
          <w:bCs/>
          <w:i w:val="0"/>
          <w:iCs w:val="0"/>
          <w:color w:val="auto"/>
          <w:spacing w:val="4"/>
          <w:sz w:val="28"/>
          <w:szCs w:val="28"/>
          <w:highlight w:val="none"/>
          <w:shd w:val="clear" w:color="auto" w:fill="auto"/>
          <w:lang w:val="en-US" w:eastAsia="zh-CN"/>
        </w:rPr>
        <w:t>任务3.</w:t>
      </w:r>
      <w:r>
        <w:rPr>
          <w:rFonts w:hint="eastAsia" w:ascii="仿宋_GB2312" w:hAnsi="仿宋_GB2312" w:eastAsia="仿宋_GB2312" w:cs="仿宋_GB2312"/>
          <w:b/>
          <w:bCs/>
          <w:i w:val="0"/>
          <w:iCs w:val="0"/>
          <w:color w:val="auto"/>
          <w:spacing w:val="4"/>
          <w:sz w:val="28"/>
          <w:szCs w:val="28"/>
          <w:lang w:val="en-US" w:eastAsia="zh-CN"/>
        </w:rPr>
        <w:t>2 智能机器人</w:t>
      </w:r>
      <w:r>
        <w:rPr>
          <w:rFonts w:hint="eastAsia" w:ascii="仿宋_GB2312" w:hAnsi="仿宋_GB2312" w:eastAsia="仿宋_GB2312" w:cs="仿宋_GB2312"/>
          <w:b/>
          <w:bCs/>
          <w:i w:val="0"/>
          <w:iCs w:val="0"/>
          <w:color w:val="auto"/>
          <w:spacing w:val="4"/>
          <w:sz w:val="28"/>
          <w:szCs w:val="28"/>
        </w:rPr>
        <w:t>功能开发</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lang w:eastAsia="zh-CN"/>
        </w:rPr>
      </w:pPr>
      <w:r>
        <w:rPr>
          <w:rFonts w:hint="eastAsia" w:ascii="仿宋_GB2312" w:hAnsi="仿宋_GB2312" w:eastAsia="仿宋_GB2312" w:cs="仿宋_GB2312"/>
          <w:i w:val="0"/>
          <w:iCs w:val="0"/>
          <w:color w:val="auto"/>
          <w:spacing w:val="4"/>
          <w:sz w:val="28"/>
          <w:szCs w:val="28"/>
          <w:lang w:val="en-US" w:eastAsia="zh-CN"/>
        </w:rPr>
        <w:t xml:space="preserve">3.2.1 </w:t>
      </w:r>
      <w:r>
        <w:rPr>
          <w:rFonts w:hint="eastAsia" w:ascii="仿宋_GB2312" w:hAnsi="仿宋_GB2312" w:eastAsia="仿宋_GB2312" w:cs="仿宋_GB2312"/>
          <w:i w:val="0"/>
          <w:iCs w:val="0"/>
          <w:color w:val="auto"/>
          <w:spacing w:val="4"/>
          <w:sz w:val="28"/>
          <w:szCs w:val="28"/>
        </w:rPr>
        <w:t>在触摸屏上点击按钮，启动智能机器人，观察界面上机器人位置运行速度、坐标等数据变化状态</w:t>
      </w:r>
      <w:r>
        <w:rPr>
          <w:rFonts w:hint="eastAsia" w:ascii="仿宋_GB2312" w:hAnsi="仿宋_GB2312" w:eastAsia="仿宋_GB2312" w:cs="仿宋_GB2312"/>
          <w:i w:val="0"/>
          <w:iCs w:val="0"/>
          <w:color w:val="auto"/>
          <w:spacing w:val="4"/>
          <w:sz w:val="28"/>
          <w:szCs w:val="28"/>
          <w:lang w:eastAsia="zh-CN"/>
        </w:rPr>
        <w:t>。</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lang w:eastAsia="zh-CN"/>
        </w:rPr>
      </w:pPr>
      <w:r>
        <w:rPr>
          <w:rFonts w:hint="eastAsia" w:ascii="仿宋_GB2312" w:hAnsi="仿宋_GB2312" w:eastAsia="仿宋_GB2312" w:cs="仿宋_GB2312"/>
          <w:i w:val="0"/>
          <w:iCs w:val="0"/>
          <w:color w:val="auto"/>
          <w:spacing w:val="4"/>
          <w:sz w:val="28"/>
          <w:szCs w:val="28"/>
          <w:lang w:val="en-US" w:eastAsia="zh-CN"/>
        </w:rPr>
        <w:t xml:space="preserve">3.2.2 </w:t>
      </w:r>
      <w:r>
        <w:rPr>
          <w:rFonts w:hint="eastAsia" w:ascii="仿宋_GB2312" w:hAnsi="仿宋_GB2312" w:eastAsia="仿宋_GB2312" w:cs="仿宋_GB2312"/>
          <w:i w:val="0"/>
          <w:iCs w:val="0"/>
          <w:color w:val="auto"/>
          <w:spacing w:val="4"/>
          <w:sz w:val="28"/>
          <w:szCs w:val="28"/>
        </w:rPr>
        <w:t>启动传输检测模块，参赛选手依次手动放入托盘，托盘中分别放置</w:t>
      </w:r>
      <w:r>
        <w:rPr>
          <w:rFonts w:hint="eastAsia" w:ascii="仿宋_GB2312" w:hAnsi="仿宋_GB2312" w:eastAsia="仿宋_GB2312" w:cs="仿宋_GB2312"/>
          <w:i w:val="0"/>
          <w:iCs w:val="0"/>
          <w:color w:val="auto"/>
          <w:spacing w:val="4"/>
          <w:sz w:val="28"/>
          <w:szCs w:val="28"/>
          <w:lang w:val="en-US" w:eastAsia="zh-CN"/>
        </w:rPr>
        <w:t>件1</w:t>
      </w:r>
      <w:r>
        <w:rPr>
          <w:rFonts w:hint="eastAsia" w:ascii="仿宋_GB2312" w:hAnsi="仿宋_GB2312" w:eastAsia="仿宋_GB2312" w:cs="仿宋_GB2312"/>
          <w:i w:val="0"/>
          <w:iCs w:val="0"/>
          <w:color w:val="auto"/>
          <w:spacing w:val="4"/>
          <w:sz w:val="28"/>
          <w:szCs w:val="28"/>
        </w:rPr>
        <w:t>、</w:t>
      </w:r>
      <w:r>
        <w:rPr>
          <w:rFonts w:hint="eastAsia" w:ascii="仿宋_GB2312" w:hAnsi="仿宋_GB2312" w:eastAsia="仿宋_GB2312" w:cs="仿宋_GB2312"/>
          <w:i w:val="0"/>
          <w:iCs w:val="0"/>
          <w:color w:val="auto"/>
          <w:spacing w:val="4"/>
          <w:sz w:val="28"/>
          <w:szCs w:val="28"/>
          <w:lang w:val="en-US" w:eastAsia="zh-CN"/>
        </w:rPr>
        <w:t>件2</w:t>
      </w:r>
      <w:r>
        <w:rPr>
          <w:rFonts w:hint="eastAsia" w:ascii="仿宋_GB2312" w:hAnsi="仿宋_GB2312" w:eastAsia="仿宋_GB2312" w:cs="仿宋_GB2312"/>
          <w:i w:val="0"/>
          <w:iCs w:val="0"/>
          <w:color w:val="auto"/>
          <w:spacing w:val="4"/>
          <w:sz w:val="28"/>
          <w:szCs w:val="28"/>
        </w:rPr>
        <w:t>和</w:t>
      </w:r>
      <w:r>
        <w:rPr>
          <w:rFonts w:hint="eastAsia" w:ascii="仿宋_GB2312" w:hAnsi="仿宋_GB2312" w:eastAsia="仿宋_GB2312" w:cs="仿宋_GB2312"/>
          <w:i w:val="0"/>
          <w:iCs w:val="0"/>
          <w:color w:val="auto"/>
          <w:spacing w:val="4"/>
          <w:sz w:val="28"/>
          <w:szCs w:val="28"/>
          <w:lang w:val="en-US" w:eastAsia="zh-CN"/>
        </w:rPr>
        <w:t>件3各1个</w:t>
      </w:r>
      <w:r>
        <w:rPr>
          <w:rFonts w:hint="eastAsia" w:ascii="仿宋_GB2312" w:hAnsi="仿宋_GB2312" w:eastAsia="仿宋_GB2312" w:cs="仿宋_GB2312"/>
          <w:i w:val="0"/>
          <w:iCs w:val="0"/>
          <w:color w:val="auto"/>
          <w:spacing w:val="4"/>
          <w:sz w:val="28"/>
          <w:szCs w:val="28"/>
        </w:rPr>
        <w:t>工件</w:t>
      </w:r>
      <w:r>
        <w:rPr>
          <w:rFonts w:hint="eastAsia" w:ascii="仿宋_GB2312" w:hAnsi="仿宋_GB2312" w:eastAsia="仿宋_GB2312" w:cs="仿宋_GB2312"/>
          <w:i w:val="0"/>
          <w:iCs w:val="0"/>
          <w:color w:val="auto"/>
          <w:spacing w:val="4"/>
          <w:sz w:val="28"/>
          <w:szCs w:val="28"/>
          <w:lang w:eastAsia="zh-CN"/>
        </w:rPr>
        <w:t>，</w:t>
      </w:r>
      <w:r>
        <w:rPr>
          <w:rFonts w:hint="eastAsia" w:ascii="仿宋_GB2312" w:hAnsi="仿宋_GB2312" w:eastAsia="仿宋_GB2312" w:cs="仿宋_GB2312"/>
          <w:i w:val="0"/>
          <w:iCs w:val="0"/>
          <w:color w:val="auto"/>
          <w:spacing w:val="4"/>
          <w:sz w:val="28"/>
          <w:szCs w:val="28"/>
        </w:rPr>
        <w:t>位置随机放置</w:t>
      </w:r>
      <w:r>
        <w:rPr>
          <w:rFonts w:hint="eastAsia" w:ascii="仿宋_GB2312" w:hAnsi="仿宋_GB2312" w:eastAsia="仿宋_GB2312" w:cs="仿宋_GB2312"/>
          <w:i w:val="0"/>
          <w:iCs w:val="0"/>
          <w:color w:val="auto"/>
          <w:spacing w:val="4"/>
          <w:sz w:val="28"/>
          <w:szCs w:val="28"/>
          <w:lang w:eastAsia="zh-CN"/>
        </w:rPr>
        <w:t>。</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lang w:eastAsia="zh-CN"/>
        </w:rPr>
      </w:pPr>
      <w:r>
        <w:rPr>
          <w:rFonts w:hint="eastAsia" w:ascii="仿宋_GB2312" w:hAnsi="仿宋_GB2312" w:eastAsia="仿宋_GB2312" w:cs="仿宋_GB2312"/>
          <w:i w:val="0"/>
          <w:iCs w:val="0"/>
          <w:color w:val="auto"/>
          <w:spacing w:val="4"/>
          <w:sz w:val="28"/>
          <w:szCs w:val="28"/>
          <w:lang w:val="en-US" w:eastAsia="zh-CN"/>
        </w:rPr>
        <w:t>3.2.3 编写PLC与智能视觉程序，将智能视觉</w:t>
      </w:r>
      <w:r>
        <w:rPr>
          <w:rFonts w:hint="eastAsia" w:ascii="仿宋_GB2312" w:hAnsi="仿宋_GB2312" w:eastAsia="仿宋_GB2312" w:cs="仿宋_GB2312"/>
          <w:i w:val="0"/>
          <w:iCs w:val="0"/>
          <w:color w:val="auto"/>
          <w:spacing w:val="4"/>
          <w:sz w:val="28"/>
          <w:szCs w:val="28"/>
        </w:rPr>
        <w:t>坐标系转换</w:t>
      </w:r>
      <w:r>
        <w:rPr>
          <w:rFonts w:hint="eastAsia" w:ascii="仿宋_GB2312" w:hAnsi="仿宋_GB2312" w:eastAsia="仿宋_GB2312" w:cs="仿宋_GB2312"/>
          <w:i w:val="0"/>
          <w:iCs w:val="0"/>
          <w:color w:val="auto"/>
          <w:spacing w:val="4"/>
          <w:sz w:val="28"/>
          <w:szCs w:val="28"/>
          <w:lang w:val="en-US" w:eastAsia="zh-CN"/>
        </w:rPr>
        <w:t>成</w:t>
      </w:r>
      <w:r>
        <w:rPr>
          <w:rFonts w:hint="eastAsia" w:ascii="仿宋_GB2312" w:hAnsi="仿宋_GB2312" w:eastAsia="仿宋_GB2312" w:cs="仿宋_GB2312"/>
          <w:i w:val="0"/>
          <w:iCs w:val="0"/>
          <w:color w:val="auto"/>
          <w:spacing w:val="4"/>
          <w:sz w:val="28"/>
          <w:szCs w:val="28"/>
        </w:rPr>
        <w:t>机器人坐标系，</w:t>
      </w:r>
      <w:r>
        <w:rPr>
          <w:rFonts w:hint="eastAsia" w:ascii="仿宋_GB2312" w:hAnsi="仿宋_GB2312" w:eastAsia="仿宋_GB2312" w:cs="仿宋_GB2312"/>
          <w:i w:val="0"/>
          <w:iCs w:val="0"/>
          <w:color w:val="auto"/>
          <w:spacing w:val="4"/>
          <w:sz w:val="28"/>
          <w:szCs w:val="28"/>
          <w:lang w:val="en-US" w:eastAsia="zh-CN"/>
        </w:rPr>
        <w:t>通过</w:t>
      </w:r>
      <w:r>
        <w:rPr>
          <w:rFonts w:hint="eastAsia" w:ascii="仿宋_GB2312" w:hAnsi="仿宋_GB2312" w:eastAsia="仿宋_GB2312" w:cs="仿宋_GB2312"/>
          <w:i w:val="0"/>
          <w:iCs w:val="0"/>
          <w:color w:val="auto"/>
          <w:spacing w:val="4"/>
          <w:sz w:val="28"/>
          <w:szCs w:val="28"/>
        </w:rPr>
        <w:t>触摸屏显示机器人坐标系中抓取</w:t>
      </w:r>
      <w:r>
        <w:rPr>
          <w:rFonts w:hint="eastAsia" w:ascii="仿宋_GB2312" w:hAnsi="仿宋_GB2312" w:eastAsia="仿宋_GB2312" w:cs="仿宋_GB2312"/>
          <w:i w:val="0"/>
          <w:iCs w:val="0"/>
          <w:color w:val="auto"/>
          <w:spacing w:val="4"/>
          <w:sz w:val="28"/>
          <w:szCs w:val="28"/>
          <w:lang w:val="en-US" w:eastAsia="zh-CN"/>
        </w:rPr>
        <w:t>工件</w:t>
      </w:r>
      <w:r>
        <w:rPr>
          <w:rFonts w:hint="eastAsia" w:ascii="仿宋_GB2312" w:hAnsi="仿宋_GB2312" w:eastAsia="仿宋_GB2312" w:cs="仿宋_GB2312"/>
          <w:i w:val="0"/>
          <w:iCs w:val="0"/>
          <w:color w:val="auto"/>
          <w:spacing w:val="4"/>
          <w:sz w:val="28"/>
          <w:szCs w:val="28"/>
        </w:rPr>
        <w:t>坐标值，把识别结果传输给PLC</w:t>
      </w:r>
      <w:r>
        <w:rPr>
          <w:rFonts w:hint="eastAsia" w:ascii="仿宋_GB2312" w:hAnsi="仿宋_GB2312" w:eastAsia="仿宋_GB2312" w:cs="仿宋_GB2312"/>
          <w:i w:val="0"/>
          <w:iCs w:val="0"/>
          <w:color w:val="auto"/>
          <w:spacing w:val="4"/>
          <w:sz w:val="28"/>
          <w:szCs w:val="28"/>
          <w:lang w:eastAsia="zh-CN"/>
        </w:rPr>
        <w:t>。</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rPr>
      </w:pPr>
      <w:r>
        <w:rPr>
          <w:rFonts w:hint="eastAsia" w:ascii="仿宋_GB2312" w:hAnsi="仿宋_GB2312" w:eastAsia="仿宋_GB2312" w:cs="仿宋_GB2312"/>
          <w:i w:val="0"/>
          <w:iCs w:val="0"/>
          <w:color w:val="auto"/>
          <w:spacing w:val="4"/>
          <w:sz w:val="28"/>
          <w:szCs w:val="28"/>
          <w:lang w:val="en-US" w:eastAsia="zh-CN"/>
        </w:rPr>
        <w:t xml:space="preserve">3.2.4 </w:t>
      </w:r>
      <w:r>
        <w:rPr>
          <w:rFonts w:hint="eastAsia" w:ascii="仿宋_GB2312" w:hAnsi="仿宋_GB2312" w:eastAsia="仿宋_GB2312" w:cs="仿宋_GB2312"/>
          <w:i w:val="0"/>
          <w:iCs w:val="0"/>
          <w:color w:val="auto"/>
          <w:spacing w:val="4"/>
          <w:sz w:val="28"/>
          <w:szCs w:val="28"/>
        </w:rPr>
        <w:t>PLC经过处理，传输</w:t>
      </w:r>
      <w:r>
        <w:rPr>
          <w:rFonts w:hint="eastAsia" w:ascii="仿宋_GB2312" w:hAnsi="仿宋_GB2312" w:eastAsia="仿宋_GB2312" w:cs="仿宋_GB2312"/>
          <w:i w:val="0"/>
          <w:iCs w:val="0"/>
          <w:color w:val="auto"/>
          <w:spacing w:val="4"/>
          <w:sz w:val="28"/>
          <w:szCs w:val="28"/>
          <w:lang w:val="en-US" w:eastAsia="zh-CN"/>
        </w:rPr>
        <w:t>智能</w:t>
      </w:r>
      <w:r>
        <w:rPr>
          <w:rFonts w:hint="eastAsia" w:ascii="仿宋_GB2312" w:hAnsi="仿宋_GB2312" w:eastAsia="仿宋_GB2312" w:cs="仿宋_GB2312"/>
          <w:i w:val="0"/>
          <w:iCs w:val="0"/>
          <w:color w:val="auto"/>
          <w:spacing w:val="4"/>
          <w:sz w:val="28"/>
          <w:szCs w:val="28"/>
        </w:rPr>
        <w:t>视觉识别的数据给智能机器人（颜色、种类、工件坐标），智能机器人根据PLC传输的数据，抓取识别后的工件，</w:t>
      </w:r>
      <w:r>
        <w:rPr>
          <w:rFonts w:hint="eastAsia" w:ascii="仿宋_GB2312" w:hAnsi="仿宋_GB2312" w:eastAsia="仿宋_GB2312" w:cs="仿宋_GB2312"/>
          <w:i w:val="0"/>
          <w:iCs w:val="0"/>
          <w:color w:val="auto"/>
          <w:spacing w:val="4"/>
          <w:sz w:val="28"/>
          <w:szCs w:val="28"/>
          <w:lang w:val="en-US" w:eastAsia="zh-CN"/>
        </w:rPr>
        <w:t>智能</w:t>
      </w:r>
      <w:r>
        <w:rPr>
          <w:rFonts w:hint="eastAsia" w:ascii="仿宋_GB2312" w:hAnsi="仿宋_GB2312" w:eastAsia="仿宋_GB2312" w:cs="仿宋_GB2312"/>
          <w:i w:val="0"/>
          <w:iCs w:val="0"/>
          <w:color w:val="auto"/>
          <w:spacing w:val="4"/>
          <w:sz w:val="28"/>
          <w:szCs w:val="28"/>
        </w:rPr>
        <w:t>机器人</w:t>
      </w:r>
      <w:r>
        <w:rPr>
          <w:rFonts w:hint="eastAsia" w:ascii="仿宋_GB2312" w:hAnsi="仿宋_GB2312" w:eastAsia="仿宋_GB2312" w:cs="仿宋_GB2312"/>
          <w:i w:val="0"/>
          <w:iCs w:val="0"/>
          <w:color w:val="auto"/>
          <w:spacing w:val="4"/>
          <w:sz w:val="28"/>
          <w:szCs w:val="28"/>
          <w:lang w:val="en-US" w:eastAsia="zh-CN"/>
        </w:rPr>
        <w:t>将</w:t>
      </w:r>
      <w:r>
        <w:rPr>
          <w:rFonts w:hint="eastAsia" w:ascii="仿宋_GB2312" w:hAnsi="仿宋_GB2312" w:eastAsia="仿宋_GB2312" w:cs="仿宋_GB2312"/>
          <w:i w:val="0"/>
          <w:iCs w:val="0"/>
          <w:color w:val="auto"/>
          <w:spacing w:val="4"/>
          <w:sz w:val="28"/>
          <w:szCs w:val="28"/>
        </w:rPr>
        <w:t>抓取工件</w:t>
      </w:r>
      <w:r>
        <w:rPr>
          <w:rFonts w:hint="eastAsia" w:ascii="仿宋_GB2312" w:hAnsi="仿宋_GB2312" w:eastAsia="仿宋_GB2312" w:cs="仿宋_GB2312"/>
          <w:i w:val="0"/>
          <w:iCs w:val="0"/>
          <w:color w:val="auto"/>
          <w:spacing w:val="4"/>
          <w:sz w:val="28"/>
          <w:szCs w:val="28"/>
          <w:lang w:val="en-US" w:eastAsia="zh-CN"/>
        </w:rPr>
        <w:t>放置装配检测区然</w:t>
      </w:r>
      <w:r>
        <w:rPr>
          <w:rFonts w:hint="eastAsia" w:ascii="仿宋_GB2312" w:hAnsi="仿宋_GB2312" w:eastAsia="仿宋_GB2312" w:cs="仿宋_GB2312"/>
          <w:i w:val="0"/>
          <w:iCs w:val="0"/>
          <w:color w:val="auto"/>
          <w:spacing w:val="4"/>
          <w:sz w:val="28"/>
          <w:szCs w:val="28"/>
        </w:rPr>
        <w:t>后回到原位。</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76" w:firstLineChars="200"/>
        <w:jc w:val="left"/>
        <w:textAlignment w:val="auto"/>
        <w:rPr>
          <w:rFonts w:hint="eastAsia" w:ascii="仿宋_GB2312" w:hAnsi="仿宋_GB2312" w:cs="仿宋_GB2312"/>
          <w:b w:val="0"/>
          <w:bCs w:val="0"/>
          <w:i w:val="0"/>
          <w:iCs w:val="0"/>
          <w:color w:val="auto"/>
          <w:spacing w:val="4"/>
          <w:szCs w:val="28"/>
          <w:lang w:val="en-US" w:eastAsia="zh-CN"/>
        </w:rPr>
      </w:pPr>
      <w:r>
        <w:rPr>
          <w:rFonts w:hint="eastAsia" w:ascii="仿宋_GB2312" w:hAnsi="仿宋_GB2312" w:eastAsia="仿宋_GB2312" w:cs="仿宋_GB2312"/>
          <w:b w:val="0"/>
          <w:i w:val="0"/>
          <w:iCs w:val="0"/>
          <w:color w:val="auto"/>
          <w:spacing w:val="4"/>
          <w:sz w:val="28"/>
          <w:szCs w:val="28"/>
          <w:lang w:val="en-US" w:eastAsia="zh-CN"/>
        </w:rPr>
        <w:t xml:space="preserve">3.2.5 </w:t>
      </w:r>
      <w:r>
        <w:rPr>
          <w:rFonts w:hint="eastAsia" w:ascii="仿宋_GB2312" w:hAnsi="仿宋_GB2312" w:eastAsia="仿宋_GB2312" w:cs="仿宋_GB2312"/>
          <w:b w:val="0"/>
          <w:i w:val="0"/>
          <w:iCs w:val="0"/>
          <w:color w:val="auto"/>
          <w:spacing w:val="4"/>
          <w:sz w:val="28"/>
          <w:szCs w:val="28"/>
        </w:rPr>
        <w:t>在智能机器人运行过程中，</w:t>
      </w:r>
      <w:r>
        <w:rPr>
          <w:rFonts w:hint="eastAsia" w:ascii="仿宋_GB2312" w:hAnsi="仿宋_GB2312" w:eastAsia="仿宋_GB2312" w:cs="仿宋_GB2312"/>
          <w:b w:val="0"/>
          <w:i w:val="0"/>
          <w:iCs w:val="0"/>
          <w:color w:val="auto"/>
          <w:spacing w:val="4"/>
          <w:sz w:val="28"/>
          <w:szCs w:val="28"/>
          <w:lang w:val="en-US" w:eastAsia="zh-CN"/>
        </w:rPr>
        <w:t>通过触发</w:t>
      </w:r>
      <w:r>
        <w:rPr>
          <w:rFonts w:hint="eastAsia" w:ascii="仿宋_GB2312" w:hAnsi="仿宋_GB2312" w:eastAsia="仿宋_GB2312" w:cs="仿宋_GB2312"/>
          <w:b w:val="0"/>
          <w:i w:val="0"/>
          <w:iCs w:val="0"/>
          <w:color w:val="auto"/>
          <w:spacing w:val="4"/>
          <w:sz w:val="28"/>
          <w:szCs w:val="28"/>
        </w:rPr>
        <w:t>安全光栅，</w:t>
      </w:r>
      <w:r>
        <w:rPr>
          <w:rFonts w:hint="eastAsia" w:ascii="仿宋_GB2312" w:hAnsi="仿宋_GB2312" w:eastAsia="仿宋_GB2312" w:cs="仿宋_GB2312"/>
          <w:b w:val="0"/>
          <w:i w:val="0"/>
          <w:iCs w:val="0"/>
          <w:color w:val="auto"/>
          <w:spacing w:val="4"/>
          <w:sz w:val="28"/>
          <w:szCs w:val="28"/>
          <w:lang w:val="en-US" w:eastAsia="zh-CN"/>
        </w:rPr>
        <w:t>实现</w:t>
      </w:r>
      <w:r>
        <w:rPr>
          <w:rFonts w:hint="eastAsia" w:ascii="仿宋_GB2312" w:hAnsi="仿宋_GB2312" w:eastAsia="仿宋_GB2312" w:cs="仿宋_GB2312"/>
          <w:b w:val="0"/>
          <w:i w:val="0"/>
          <w:iCs w:val="0"/>
          <w:color w:val="auto"/>
          <w:spacing w:val="4"/>
          <w:sz w:val="28"/>
          <w:szCs w:val="28"/>
        </w:rPr>
        <w:t>智能机器人暂停功能</w:t>
      </w:r>
      <w:r>
        <w:rPr>
          <w:rFonts w:hint="eastAsia" w:ascii="仿宋_GB2312" w:hAnsi="仿宋_GB2312" w:eastAsia="仿宋_GB2312" w:cs="仿宋_GB2312"/>
          <w:b w:val="0"/>
          <w:i w:val="0"/>
          <w:iCs w:val="0"/>
          <w:color w:val="auto"/>
          <w:spacing w:val="4"/>
          <w:sz w:val="28"/>
          <w:szCs w:val="28"/>
          <w:lang w:eastAsia="zh-CN"/>
        </w:rPr>
        <w:t>。</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任务3.3 智能装配功能开发与测试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3.3.1 编写智能机器人和PLC程序，依次完成工件的装配。</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3.3.2 编写智能机器人和PLC程序，对装配完成的成品进行测量。</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420" w:firstLineChars="200"/>
        <w:jc w:val="both"/>
        <w:textAlignment w:val="baseline"/>
        <w:outlineLvl w:val="2"/>
        <w:rPr>
          <w:rFonts w:hint="eastAsia"/>
          <w:i w:val="0"/>
          <w:iCs w:val="0"/>
          <w:color w:val="auto"/>
          <w:lang w:val="en-US" w:eastAsia="zh-CN"/>
        </w:rPr>
      </w:pPr>
    </w:p>
    <w:p>
      <w:pPr>
        <w:keepLines w:val="0"/>
        <w:spacing w:before="0" w:after="0" w:line="520" w:lineRule="exact"/>
        <w:jc w:val="both"/>
        <w:rPr>
          <w:rFonts w:hint="eastAsia" w:eastAsia="黑体"/>
          <w:b/>
          <w:color w:val="auto"/>
          <w:kern w:val="44"/>
          <w:sz w:val="30"/>
          <w:lang w:val="en-US" w:eastAsia="zh-CN"/>
        </w:rPr>
      </w:pPr>
      <w:r>
        <w:rPr>
          <w:rFonts w:hint="eastAsia" w:eastAsia="黑体"/>
          <w:b/>
          <w:color w:val="auto"/>
          <w:kern w:val="44"/>
          <w:sz w:val="30"/>
          <w:lang w:val="en-US" w:eastAsia="zh-CN"/>
        </w:rPr>
        <w:t>任务四： 生产单元信息化技术集成(10%)</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任务4.1 WMS系统的信息化集成</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4.1.1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完成WMS系统的部署和配置，使其与智能仓储的PLC进行通讯，并实时显示通讯状态（在线或离线）。</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4.1.2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编写PLC和触摸屏等程序，通过WMS系统的查询界面，根据输入的查询条件自动生成查询结果（工件有无、编码信息、工件状态）。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4.1.3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编写PLC和触摸屏等程序，通过WMS系统的报警界面，实时显示智能仓储系统的报警状态（伺服过载、伺服通讯异常、RFID通讯异常、触摸屏通讯异常、超限位）。</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outlineLvl w:val="1"/>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Arial" w:hAnsi="Arial" w:eastAsia="仿宋_GB2312" w:cs="Arial"/>
          <w:b/>
          <w:bCs w:val="0"/>
          <w:i w:val="0"/>
          <w:iCs w:val="0"/>
          <w:snapToGrid w:val="0"/>
          <w:color w:val="auto"/>
          <w:sz w:val="28"/>
          <w:szCs w:val="21"/>
          <w:lang w:val="en-US" w:eastAsia="zh-CN" w:bidi="ar-SA"/>
        </w:rPr>
        <w:t>4.2 SCADA</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系统信息化集成</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4.2.1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SCADA系统配置和界面制作，使其与智能装配的PLC进行通讯，并实时显示通讯状态（在线或离线）。</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4.2.2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完成SCADA系统智能装配工作站的智能机器人监控界面，，并实时显示智能机器人的运行速度、运行模式和报警状态。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4.2.3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完成SCADA系统智能装配工作站的装配流程监控界面制作，并实时显示智能装配工作站的装配步骤、装配合格数量和装配不合格数量。</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任务4.3 MES系统的信息化集成</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4.3.1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完成MES系统配置和变量解析，使其与智能仓储的PLC进行通讯，并实时显示通讯状态（在线或离线）。</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4.3.2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完成MES系统的</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fldChar w:fldCharType="begin"/>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instrText xml:space="preserve"> HYPERLINK "https://baike.baidu.com/item/%E5%BA%93%E5%AD%98%E7%AE%A1%E7%90%86?fromModule=lemma_inlink" \t "https://baike.baidu.com/item/_blank" </w:instrTex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fldChar w:fldCharType="separate"/>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库存管理</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fldChar w:fldCharType="end"/>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界面数据的变量解析，与WMS系统通讯，自动生成每类产品的库存数量，并实时更新。</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4.3.3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完成MES系统的订单管理界面数据的变量解析，包括订单创建、订单手动下发、订单自动下发和订单状态，实现订单创建、订单下发的信息实时显示于智能仓储的触摸屏上。</w:t>
      </w: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2"/>
        <w:rPr>
          <w:rFonts w:hint="eastAsia" w:ascii="黑体" w:hAnsi="黑体" w:eastAsia="黑体" w:cs="黑体"/>
          <w:b w:val="0"/>
          <w:bCs/>
          <w:i w:val="0"/>
          <w:iCs w:val="0"/>
          <w:snapToGrid w:val="0"/>
          <w:color w:val="auto"/>
          <w:kern w:val="0"/>
          <w:sz w:val="32"/>
          <w:szCs w:val="32"/>
          <w:highlight w:val="none"/>
          <w:lang w:val="en-US" w:eastAsia="zh-CN"/>
        </w:rPr>
      </w:pP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2"/>
        <w:rPr>
          <w:rFonts w:hint="default" w:ascii="Arial" w:hAnsi="Arial" w:eastAsia="黑体" w:cs="Arial"/>
          <w:b/>
          <w:snapToGrid w:val="0"/>
          <w:color w:val="auto"/>
          <w:kern w:val="44"/>
          <w:sz w:val="30"/>
          <w:szCs w:val="21"/>
          <w:lang w:val="en-US" w:eastAsia="zh-CN" w:bidi="ar-SA"/>
        </w:rPr>
      </w:pPr>
      <w:r>
        <w:rPr>
          <w:rFonts w:hint="eastAsia" w:ascii="Arial" w:hAnsi="Arial" w:eastAsia="黑体" w:cs="Arial"/>
          <w:b/>
          <w:snapToGrid w:val="0"/>
          <w:color w:val="auto"/>
          <w:kern w:val="44"/>
          <w:sz w:val="30"/>
          <w:szCs w:val="21"/>
          <w:lang w:val="en-US" w:eastAsia="zh-CN" w:bidi="ar-SA"/>
        </w:rPr>
        <w:t>任务五：</w:t>
      </w:r>
      <w:r>
        <w:rPr>
          <w:rFonts w:hint="default" w:ascii="Arial" w:hAnsi="Arial" w:eastAsia="黑体" w:cs="Arial"/>
          <w:b/>
          <w:snapToGrid w:val="0"/>
          <w:color w:val="auto"/>
          <w:kern w:val="44"/>
          <w:sz w:val="30"/>
          <w:szCs w:val="21"/>
          <w:lang w:val="en-US" w:eastAsia="zh-CN" w:bidi="ar-SA"/>
        </w:rPr>
        <w:t>生产单元</w:t>
      </w:r>
      <w:r>
        <w:rPr>
          <w:rFonts w:hint="eastAsia" w:ascii="Arial" w:hAnsi="Arial" w:eastAsia="黑体" w:cs="Arial"/>
          <w:b/>
          <w:snapToGrid w:val="0"/>
          <w:color w:val="auto"/>
          <w:kern w:val="44"/>
          <w:sz w:val="30"/>
          <w:szCs w:val="21"/>
          <w:lang w:val="en-US" w:eastAsia="zh-CN" w:bidi="ar-SA"/>
        </w:rPr>
        <w:t>运行生产（15%）</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任务5.1 基于MES系统的生产与管控</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color w:val="auto"/>
          <w:spacing w:val="4"/>
          <w:sz w:val="28"/>
          <w:szCs w:val="28"/>
          <w:highlight w:val="none"/>
          <w:shd w:val="clear" w:color="auto" w:fill="auto"/>
          <w:lang w:val="en-US"/>
        </w:rPr>
        <w:t>根据客户联接器生产任务定制需求，</w:t>
      </w:r>
      <w:r>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t>在MES系统中下发任务订单，由机器人完成订单指定物料的取料，AMR自主移动机器人将物料运送至智能装配区，</w:t>
      </w:r>
      <w:r>
        <w:rPr>
          <w:rFonts w:hint="eastAsia" w:ascii="仿宋_GB2312" w:hAnsi="仿宋_GB2312" w:eastAsia="仿宋_GB2312" w:cs="仿宋_GB2312"/>
          <w:i w:val="0"/>
          <w:iCs w:val="0"/>
          <w:color w:val="auto"/>
          <w:spacing w:val="4"/>
          <w:sz w:val="28"/>
          <w:szCs w:val="28"/>
          <w:highlight w:val="none"/>
          <w:shd w:val="clear" w:color="auto" w:fill="auto"/>
          <w:lang w:val="en-US"/>
        </w:rPr>
        <w:t>智能机器人与智能视觉配合完成任意位置物料的检测与抓取，按照任务订单要求，完成定制产品的组装与检测，根据检测结果，放置到指定仓位。</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任务5.2 基于MES系统的设备管理</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color w:val="auto"/>
          <w:spacing w:val="4"/>
          <w:sz w:val="28"/>
          <w:szCs w:val="28"/>
          <w:highlight w:val="none"/>
          <w:shd w:val="clear" w:color="auto" w:fill="auto"/>
          <w:lang w:val="en-US"/>
        </w:rPr>
      </w:pPr>
      <w:r>
        <w:rPr>
          <w:rFonts w:hint="eastAsia" w:ascii="仿宋_GB2312" w:hAnsi="仿宋_GB2312" w:eastAsia="仿宋_GB2312" w:cs="仿宋_GB2312"/>
          <w:i w:val="0"/>
          <w:iCs w:val="0"/>
          <w:color w:val="auto"/>
          <w:spacing w:val="4"/>
          <w:sz w:val="28"/>
          <w:szCs w:val="28"/>
          <w:highlight w:val="none"/>
          <w:shd w:val="clear" w:color="auto" w:fill="auto"/>
          <w:lang w:val="en-US"/>
        </w:rPr>
        <w:t>生产任务执行过程中，实时采集仓位、智能机器人、</w:t>
      </w:r>
      <w:r>
        <w:rPr>
          <w:rFonts w:hint="eastAsia" w:ascii="仿宋_GB2312" w:hAnsi="仿宋_GB2312" w:eastAsia="仿宋_GB2312" w:cs="仿宋_GB2312"/>
          <w:i w:val="0"/>
          <w:iCs w:val="0"/>
          <w:color w:val="auto"/>
          <w:spacing w:val="4"/>
          <w:sz w:val="28"/>
          <w:szCs w:val="28"/>
          <w:highlight w:val="none"/>
          <w:shd w:val="clear" w:color="auto" w:fill="auto"/>
        </w:rPr>
        <w:t>AMR</w:t>
      </w:r>
      <w:r>
        <w:rPr>
          <w:rFonts w:hint="eastAsia" w:ascii="仿宋_GB2312" w:hAnsi="仿宋_GB2312" w:eastAsia="仿宋_GB2312" w:cs="仿宋_GB2312"/>
          <w:i w:val="0"/>
          <w:iCs w:val="0"/>
          <w:color w:val="auto"/>
          <w:spacing w:val="4"/>
          <w:sz w:val="28"/>
          <w:szCs w:val="28"/>
          <w:highlight w:val="none"/>
          <w:shd w:val="clear" w:color="auto" w:fill="auto"/>
          <w:lang w:val="en-US"/>
        </w:rPr>
        <w:t>自主移动机器人、RFID等相关数据</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，并在MES看板中显示</w:t>
      </w:r>
      <w:r>
        <w:rPr>
          <w:rFonts w:hint="eastAsia" w:ascii="仿宋_GB2312" w:hAnsi="仿宋_GB2312" w:eastAsia="仿宋_GB2312" w:cs="仿宋_GB2312"/>
          <w:i w:val="0"/>
          <w:iCs w:val="0"/>
          <w:color w:val="auto"/>
          <w:spacing w:val="4"/>
          <w:sz w:val="28"/>
          <w:szCs w:val="28"/>
          <w:highlight w:val="none"/>
          <w:shd w:val="clear" w:color="auto" w:fill="auto"/>
          <w:lang w:val="en-US"/>
        </w:rPr>
        <w:t>。</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5.2.1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看板显示设备状态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（1）实时显示智能仓储状态。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（2）实时显示智能机器人设备状态。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5.2.2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看板显示仓位管理状态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（1）实时显示看板显示仓位信息。</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（2）看板显示工件信息跟踪，实时跟踪工件状态信息。</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62" w:firstLineChars="200"/>
        <w:jc w:val="both"/>
        <w:textAlignment w:val="baseline"/>
        <w:outlineLvl w:val="1"/>
        <w:rPr>
          <w:rFonts w:hint="eastAsia" w:ascii="Arial" w:hAnsi="Arial" w:eastAsia="仿宋_GB2312" w:cs="Arial"/>
          <w:b/>
          <w:bCs w:val="0"/>
          <w:i w:val="0"/>
          <w:iCs w:val="0"/>
          <w:snapToGrid w:val="0"/>
          <w:color w:val="auto"/>
          <w:sz w:val="28"/>
          <w:szCs w:val="21"/>
          <w:lang w:val="en-US" w:eastAsia="zh-CN" w:bidi="ar-SA"/>
        </w:rPr>
      </w:pPr>
      <w:r>
        <w:rPr>
          <w:rFonts w:hint="eastAsia" w:ascii="Arial" w:hAnsi="Arial" w:eastAsia="仿宋_GB2312" w:cs="Arial"/>
          <w:b/>
          <w:bCs w:val="0"/>
          <w:i w:val="0"/>
          <w:iCs w:val="0"/>
          <w:snapToGrid w:val="0"/>
          <w:color w:val="auto"/>
          <w:sz w:val="28"/>
          <w:szCs w:val="21"/>
          <w:lang w:val="en-US" w:eastAsia="zh-CN" w:bidi="ar-SA"/>
        </w:rPr>
        <w:t>任务5.3 数字孪生系统虚实联动</w:t>
      </w:r>
    </w:p>
    <w:p>
      <w:pPr>
        <w:keepNext w:val="0"/>
        <w:keepLines w:val="0"/>
        <w:pageBreakBefore w:val="0"/>
        <w:widowControl/>
        <w:numPr>
          <w:ilvl w:val="-1"/>
          <w:numId w:val="0"/>
        </w:numPr>
        <w:kinsoku w:val="0"/>
        <w:wordWrap/>
        <w:overflowPunct/>
        <w:topLinePunct w:val="0"/>
        <w:autoSpaceDE w:val="0"/>
        <w:autoSpaceDN w:val="0"/>
        <w:bidi w:val="0"/>
        <w:adjustRightInd w:val="0"/>
        <w:snapToGrid w:val="0"/>
        <w:spacing w:line="520" w:lineRule="exact"/>
        <w:ind w:firstLine="552" w:firstLineChars="200"/>
        <w:jc w:val="left"/>
        <w:textAlignment w:val="baseline"/>
        <w:rPr>
          <w:rFonts w:hint="eastAsia" w:ascii="仿宋_GB2312" w:hAnsi="仿宋_GB2312" w:eastAsia="仿宋_GB2312" w:cs="仿宋_GB2312"/>
          <w:i w:val="0"/>
          <w:iCs w:val="0"/>
          <w:color w:val="auto"/>
          <w:spacing w:val="-2"/>
          <w:kern w:val="0"/>
          <w:sz w:val="28"/>
          <w:szCs w:val="28"/>
          <w:highlight w:val="none"/>
          <w:lang w:val="en-US" w:eastAsia="zh-CN"/>
        </w:rPr>
      </w:pPr>
      <w:r>
        <w:rPr>
          <w:rFonts w:hint="eastAsia" w:ascii="仿宋_GB2312" w:hAnsi="仿宋_GB2312" w:eastAsia="仿宋_GB2312" w:cs="仿宋_GB2312"/>
          <w:i w:val="0"/>
          <w:iCs w:val="0"/>
          <w:color w:val="auto"/>
          <w:spacing w:val="-2"/>
          <w:kern w:val="0"/>
          <w:sz w:val="28"/>
          <w:szCs w:val="28"/>
          <w:highlight w:val="none"/>
          <w:lang w:val="en-US" w:eastAsia="zh-CN"/>
        </w:rPr>
        <w:t>在已构建的数字孪生模型基础上标定模型位置，实现实物与数字孪生模型位置的1:1布局。在提供的虚拟仿真软件中，完善智能机器人、智能仓储、AMR自主移动机器人、智能装配和智能视觉区动作属性。</w:t>
      </w:r>
    </w:p>
    <w:p>
      <w:pPr>
        <w:keepNext w:val="0"/>
        <w:keepLines w:val="0"/>
        <w:pageBreakBefore w:val="0"/>
        <w:widowControl w:val="0"/>
        <w:kinsoku w:val="0"/>
        <w:wordWrap/>
        <w:overflowPunct/>
        <w:topLinePunct w:val="0"/>
        <w:autoSpaceDE w:val="0"/>
        <w:autoSpaceDN w:val="0"/>
        <w:bidi w:val="0"/>
        <w:adjustRightInd w:val="0"/>
        <w:snapToGrid w:val="0"/>
        <w:spacing w:after="120" w:line="520" w:lineRule="exact"/>
        <w:ind w:firstLine="552" w:firstLineChars="200"/>
        <w:jc w:val="both"/>
        <w:textAlignment w:val="baseline"/>
        <w:rPr>
          <w:rFonts w:hint="eastAsia" w:ascii="仿宋_GB2312" w:hAnsi="仿宋_GB2312" w:eastAsia="仿宋_GB2312" w:cs="仿宋_GB2312"/>
          <w:i w:val="0"/>
          <w:iCs w:val="0"/>
          <w:snapToGrid w:val="0"/>
          <w:color w:val="auto"/>
          <w:kern w:val="2"/>
          <w:sz w:val="21"/>
          <w:szCs w:val="24"/>
          <w:lang w:val="en-US" w:eastAsia="zh-CN" w:bidi="ar-SA"/>
        </w:rPr>
      </w:pPr>
      <w:r>
        <w:rPr>
          <w:rFonts w:hint="eastAsia" w:ascii="仿宋_GB2312" w:hAnsi="仿宋_GB2312" w:eastAsia="仿宋_GB2312" w:cs="仿宋_GB2312"/>
          <w:i w:val="0"/>
          <w:iCs w:val="0"/>
          <w:snapToGrid w:val="0"/>
          <w:color w:val="auto"/>
          <w:spacing w:val="-2"/>
          <w:w w:val="100"/>
          <w:kern w:val="2"/>
          <w:position w:val="0"/>
          <w:sz w:val="28"/>
          <w:szCs w:val="28"/>
          <w:highlight w:val="none"/>
          <w:shd w:val="clear"/>
          <w:lang w:val="en-US" w:eastAsia="zh-CN" w:bidi="ar-SA"/>
        </w:rPr>
        <w:t>虚拟工作站系统各部分位置应与实物布局有一定对应关系。</w:t>
      </w:r>
    </w:p>
    <w:p>
      <w:pPr>
        <w:keepNext w:val="0"/>
        <w:keepLines/>
        <w:pageBreakBefore w:val="0"/>
        <w:widowControl/>
        <w:kinsoku w:val="0"/>
        <w:wordWrap/>
        <w:overflowPunct/>
        <w:topLinePunct w:val="0"/>
        <w:autoSpaceDE w:val="0"/>
        <w:autoSpaceDN w:val="0"/>
        <w:bidi w:val="0"/>
        <w:adjustRightInd w:val="0"/>
        <w:snapToGrid w:val="0"/>
        <w:spacing w:line="520" w:lineRule="exact"/>
        <w:ind w:firstLine="562" w:firstLineChars="200"/>
        <w:jc w:val="left"/>
        <w:textAlignment w:val="baseline"/>
        <w:rPr>
          <w:rFonts w:hint="eastAsia" w:ascii="仿宋_GB2312" w:hAnsi="仿宋_GB2312" w:eastAsia="仿宋_GB2312" w:cs="仿宋_GB2312"/>
          <w:b/>
          <w:bCs/>
          <w:i w:val="0"/>
          <w:iCs w:val="0"/>
          <w:color w:val="auto"/>
          <w:kern w:val="0"/>
          <w:sz w:val="28"/>
          <w:szCs w:val="28"/>
          <w:lang w:bidi="ar"/>
        </w:rPr>
      </w:pPr>
      <w:r>
        <w:rPr>
          <w:rFonts w:hint="eastAsia" w:ascii="仿宋_GB2312" w:hAnsi="仿宋_GB2312" w:eastAsia="仿宋_GB2312" w:cs="仿宋_GB2312"/>
          <w:b/>
          <w:bCs/>
          <w:i w:val="0"/>
          <w:iCs w:val="0"/>
          <w:color w:val="auto"/>
          <w:kern w:val="0"/>
          <w:sz w:val="28"/>
          <w:szCs w:val="28"/>
          <w:lang w:bidi="ar"/>
        </w:rPr>
        <w:t>测试要求如下：</w:t>
      </w:r>
    </w:p>
    <w:p>
      <w:pPr>
        <w:keepNext w:val="0"/>
        <w:keepLines/>
        <w:pageBreakBefore w:val="0"/>
        <w:widowControl/>
        <w:numPr>
          <w:ilvl w:val="0"/>
          <w:numId w:val="0"/>
        </w:numPr>
        <w:kinsoku w:val="0"/>
        <w:wordWrap/>
        <w:overflowPunct/>
        <w:topLinePunct w:val="0"/>
        <w:autoSpaceDE w:val="0"/>
        <w:autoSpaceDN w:val="0"/>
        <w:bidi w:val="0"/>
        <w:adjustRightInd w:val="0"/>
        <w:snapToGrid w:val="0"/>
        <w:spacing w:line="520" w:lineRule="exact"/>
        <w:ind w:firstLine="560" w:firstLineChars="200"/>
        <w:jc w:val="left"/>
        <w:textAlignment w:val="baseline"/>
        <w:rPr>
          <w:rFonts w:hint="eastAsia" w:ascii="仿宋_GB2312" w:hAnsi="仿宋_GB2312" w:eastAsia="仿宋_GB2312" w:cs="仿宋_GB2312"/>
          <w:i w:val="0"/>
          <w:iCs w:val="0"/>
          <w:color w:val="auto"/>
          <w:kern w:val="0"/>
          <w:sz w:val="28"/>
          <w:szCs w:val="28"/>
          <w:lang w:bidi="ar"/>
        </w:rPr>
      </w:pPr>
      <w:r>
        <w:rPr>
          <w:rFonts w:hint="eastAsia" w:ascii="仿宋_GB2312" w:hAnsi="仿宋_GB2312" w:eastAsia="仿宋_GB2312" w:cs="仿宋_GB2312"/>
          <w:i w:val="0"/>
          <w:iCs w:val="0"/>
          <w:color w:val="auto"/>
          <w:kern w:val="0"/>
          <w:sz w:val="28"/>
          <w:szCs w:val="28"/>
          <w:lang w:eastAsia="zh-CN" w:bidi="ar"/>
        </w:rPr>
        <w:t>（</w:t>
      </w:r>
      <w:r>
        <w:rPr>
          <w:rFonts w:hint="eastAsia" w:ascii="仿宋_GB2312" w:hAnsi="仿宋_GB2312" w:eastAsia="仿宋_GB2312" w:cs="仿宋_GB2312"/>
          <w:i w:val="0"/>
          <w:iCs w:val="0"/>
          <w:color w:val="auto"/>
          <w:kern w:val="0"/>
          <w:sz w:val="28"/>
          <w:szCs w:val="28"/>
          <w:lang w:val="en-US" w:eastAsia="zh-CN" w:bidi="ar"/>
        </w:rPr>
        <w:t>1）</w:t>
      </w:r>
      <w:r>
        <w:rPr>
          <w:rFonts w:hint="eastAsia" w:ascii="仿宋_GB2312" w:hAnsi="仿宋_GB2312" w:eastAsia="仿宋_GB2312" w:cs="仿宋_GB2312"/>
          <w:i w:val="0"/>
          <w:iCs w:val="0"/>
          <w:color w:val="auto"/>
          <w:spacing w:val="-2"/>
          <w:kern w:val="0"/>
          <w:sz w:val="28"/>
          <w:szCs w:val="28"/>
          <w:highlight w:val="none"/>
          <w:lang w:val="en-US" w:eastAsia="zh-CN"/>
        </w:rPr>
        <w:t>基于生产单元数字孪生系统开放的通信协议，在数字孪生软件中配置通信和信号，将配置的通信信号与模型驱动接口建立映射。</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60" w:firstLineChars="200"/>
        <w:jc w:val="both"/>
        <w:textAlignment w:val="baseline"/>
        <w:rPr>
          <w:rFonts w:hint="eastAsia" w:ascii="仿宋_GB2312" w:hAnsi="仿宋_GB2312" w:eastAsia="仿宋_GB2312" w:cs="仿宋_GB2312"/>
          <w:b w:val="0"/>
          <w:bCs/>
          <w:i w:val="0"/>
          <w:iCs w:val="0"/>
          <w:snapToGrid w:val="0"/>
          <w:color w:val="auto"/>
          <w:kern w:val="0"/>
          <w:sz w:val="32"/>
          <w:szCs w:val="32"/>
          <w:highlight w:val="none"/>
          <w:lang w:val="en-US" w:eastAsia="zh-CN"/>
        </w:rPr>
      </w:pPr>
      <w:r>
        <w:rPr>
          <w:rFonts w:hint="eastAsia" w:ascii="仿宋_GB2312" w:hAnsi="仿宋_GB2312" w:eastAsia="仿宋_GB2312" w:cs="仿宋_GB2312"/>
          <w:i w:val="0"/>
          <w:iCs w:val="0"/>
          <w:color w:val="auto"/>
          <w:kern w:val="0"/>
          <w:sz w:val="28"/>
          <w:szCs w:val="28"/>
          <w:lang w:eastAsia="zh-CN" w:bidi="ar"/>
        </w:rPr>
        <w:t>（</w:t>
      </w:r>
      <w:r>
        <w:rPr>
          <w:rFonts w:hint="eastAsia" w:ascii="仿宋_GB2312" w:hAnsi="仿宋_GB2312" w:eastAsia="仿宋_GB2312" w:cs="仿宋_GB2312"/>
          <w:i w:val="0"/>
          <w:iCs w:val="0"/>
          <w:color w:val="auto"/>
          <w:kern w:val="0"/>
          <w:sz w:val="28"/>
          <w:szCs w:val="28"/>
          <w:lang w:val="en-US" w:eastAsia="zh-CN" w:bidi="ar"/>
        </w:rPr>
        <w:t>2）基于MES系统的生产与管控</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，生产任务执行过程中，通过实时数据采集和数字孪生软件，实现虚实联动。</w:t>
      </w: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0"/>
        <w:rPr>
          <w:rFonts w:hint="eastAsia" w:ascii="黑体" w:hAnsi="黑体" w:eastAsia="黑体" w:cs="黑体"/>
          <w:b w:val="0"/>
          <w:bCs/>
          <w:i w:val="0"/>
          <w:iCs w:val="0"/>
          <w:snapToGrid w:val="0"/>
          <w:color w:val="auto"/>
          <w:kern w:val="0"/>
          <w:sz w:val="32"/>
          <w:szCs w:val="32"/>
          <w:highlight w:val="none"/>
          <w:lang w:val="en-US" w:eastAsia="zh-CN"/>
        </w:rPr>
      </w:pP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0"/>
        <w:rPr>
          <w:rFonts w:hint="eastAsia" w:ascii="Arial" w:hAnsi="Arial" w:eastAsia="黑体" w:cs="Arial"/>
          <w:b/>
          <w:snapToGrid w:val="0"/>
          <w:color w:val="auto"/>
          <w:kern w:val="44"/>
          <w:sz w:val="30"/>
          <w:szCs w:val="21"/>
          <w:lang w:val="en-US" w:eastAsia="zh-CN" w:bidi="ar-SA"/>
        </w:rPr>
      </w:pPr>
      <w:r>
        <w:rPr>
          <w:rFonts w:hint="eastAsia" w:ascii="Arial" w:hAnsi="Arial" w:eastAsia="黑体" w:cs="Arial"/>
          <w:b/>
          <w:snapToGrid w:val="0"/>
          <w:color w:val="auto"/>
          <w:kern w:val="44"/>
          <w:sz w:val="30"/>
          <w:szCs w:val="21"/>
          <w:lang w:val="en-US" w:eastAsia="zh-CN" w:bidi="ar-SA"/>
        </w:rPr>
        <w:t>任务六：生产单元数据应用（10%）</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6</w:t>
      </w: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 xml:space="preserve">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根据4个以上生产订单的生产结果，完成智能网关配置并制作产品检验统计界面，实时统计和计算本次生产订单的订单号、各物料所用数量和装配质量结果（合格/不合格）。</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1777"/>
        <w:gridCol w:w="1753"/>
        <w:gridCol w:w="1345"/>
        <w:gridCol w:w="2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1" w:type="dxa"/>
            <w:vAlign w:val="center"/>
          </w:tcPr>
          <w:p>
            <w:pPr>
              <w:keepNext w:val="0"/>
              <w:keepLines w:val="0"/>
              <w:pageBreakBefore w:val="0"/>
              <w:widowControl w:val="0"/>
              <w:shd w:val="clear" w:color="auto" w:fill="FFFFFF"/>
              <w:tabs>
                <w:tab w:val="center" w:pos="957"/>
              </w:tabs>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订单号</w:t>
            </w:r>
          </w:p>
        </w:tc>
        <w:tc>
          <w:tcPr>
            <w:tcW w:w="1777"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件1数量</w:t>
            </w:r>
          </w:p>
        </w:tc>
        <w:tc>
          <w:tcPr>
            <w:tcW w:w="1753"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件2数量</w:t>
            </w:r>
          </w:p>
        </w:tc>
        <w:tc>
          <w:tcPr>
            <w:tcW w:w="1345"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default"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件3数量</w:t>
            </w:r>
          </w:p>
        </w:tc>
        <w:tc>
          <w:tcPr>
            <w:tcW w:w="2063"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default"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装配质量结果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1"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1</w:t>
            </w:r>
          </w:p>
        </w:tc>
        <w:tc>
          <w:tcPr>
            <w:tcW w:w="1777"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hanging="36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p>
        </w:tc>
        <w:tc>
          <w:tcPr>
            <w:tcW w:w="1753"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hanging="36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p>
        </w:tc>
        <w:tc>
          <w:tcPr>
            <w:tcW w:w="1345"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hanging="36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p>
        </w:tc>
        <w:tc>
          <w:tcPr>
            <w:tcW w:w="2063"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p>
        </w:tc>
      </w:tr>
    </w:tbl>
    <w:p>
      <w:pPr>
        <w:widowControl w:val="0"/>
        <w:shd w:val="clear" w:color="auto" w:fill="auto"/>
        <w:spacing w:line="520" w:lineRule="exact"/>
        <w:ind w:firstLine="578" w:firstLineChars="200"/>
        <w:jc w:val="both"/>
        <w:rPr>
          <w:rFonts w:hint="eastAsia" w:ascii="仿宋_GB2312" w:hAnsi="仿宋_GB2312" w:eastAsia="仿宋_GB2312" w:cs="仿宋_GB2312"/>
          <w:i w:val="0"/>
          <w:iCs w:val="0"/>
          <w:color w:val="auto"/>
          <w:spacing w:val="4"/>
          <w:sz w:val="28"/>
          <w:szCs w:val="28"/>
          <w:highlight w:val="none"/>
          <w:shd w:val="clear" w:color="auto" w:fill="auto"/>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 xml:space="preserve">任务6.2 </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完成智能网关配置并设计智能仓储统计界面，根据生产订单的出入库时间，生产柱状图，根据订单运行时间计算下一次智能仓储的出入库速度，并进行优化，提升工作效率。</w:t>
      </w:r>
    </w:p>
    <w:p>
      <w:pPr>
        <w:widowControl w:val="0"/>
        <w:shd w:val="clear" w:color="auto" w:fill="auto"/>
        <w:spacing w:line="520" w:lineRule="exact"/>
        <w:ind w:firstLine="578" w:firstLineChars="200"/>
        <w:jc w:val="both"/>
        <w:rPr>
          <w:rFonts w:hint="eastAsia" w:ascii="仿宋_GB2312" w:hAnsi="仿宋_GB2312" w:eastAsia="仿宋_GB2312" w:cs="仿宋_GB2312"/>
          <w:i w:val="0"/>
          <w:iCs w:val="0"/>
          <w:color w:val="auto"/>
          <w:spacing w:val="4"/>
          <w:sz w:val="28"/>
          <w:szCs w:val="28"/>
          <w:highlight w:val="none"/>
          <w:shd w:val="clear" w:color="auto" w:fill="auto"/>
        </w:rPr>
      </w:pPr>
      <w:r>
        <w:rPr>
          <w:rFonts w:hint="eastAsia" w:ascii="仿宋_GB2312" w:hAnsi="仿宋_GB2312" w:eastAsia="仿宋_GB2312" w:cs="仿宋_GB2312"/>
          <w:b/>
          <w:bCs/>
          <w:i w:val="0"/>
          <w:iCs w:val="0"/>
          <w:color w:val="auto"/>
          <w:spacing w:val="4"/>
          <w:sz w:val="28"/>
          <w:szCs w:val="28"/>
          <w:highlight w:val="none"/>
          <w:shd w:val="clear" w:color="auto" w:fill="auto"/>
          <w:lang w:val="en-US" w:eastAsia="zh-CN"/>
        </w:rPr>
        <w:t xml:space="preserve">任务6.3 </w:t>
      </w:r>
      <w:r>
        <w:rPr>
          <w:rFonts w:hint="eastAsia" w:ascii="仿宋_GB2312" w:hAnsi="仿宋_GB2312" w:eastAsia="仿宋_GB2312" w:cs="仿宋_GB2312"/>
          <w:i w:val="0"/>
          <w:iCs w:val="0"/>
          <w:color w:val="auto"/>
          <w:spacing w:val="4"/>
          <w:sz w:val="28"/>
          <w:szCs w:val="28"/>
          <w:highlight w:val="none"/>
          <w:shd w:val="clear" w:color="auto" w:fill="auto"/>
        </w:rPr>
        <w:t>完成智能网关配置并设计智能仓储电机</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运行</w:t>
      </w:r>
      <w:r>
        <w:rPr>
          <w:rFonts w:hint="eastAsia" w:ascii="仿宋_GB2312" w:hAnsi="仿宋_GB2312" w:eastAsia="仿宋_GB2312" w:cs="仿宋_GB2312"/>
          <w:i w:val="0"/>
          <w:iCs w:val="0"/>
          <w:color w:val="auto"/>
          <w:spacing w:val="4"/>
          <w:sz w:val="28"/>
          <w:szCs w:val="28"/>
          <w:highlight w:val="none"/>
          <w:shd w:val="clear" w:color="auto" w:fill="auto"/>
        </w:rPr>
        <w:t>统计界面，</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根据生产订单</w:t>
      </w:r>
      <w:r>
        <w:rPr>
          <w:rFonts w:hint="eastAsia" w:ascii="仿宋_GB2312" w:hAnsi="仿宋_GB2312" w:eastAsia="仿宋_GB2312" w:cs="仿宋_GB2312"/>
          <w:i w:val="0"/>
          <w:iCs w:val="0"/>
          <w:color w:val="auto"/>
          <w:spacing w:val="4"/>
          <w:sz w:val="28"/>
          <w:szCs w:val="28"/>
          <w:highlight w:val="none"/>
          <w:shd w:val="clear" w:color="auto" w:fill="auto"/>
        </w:rPr>
        <w:t>电机运行时间，生成曲线图，根据电机运行时间和电机轴承寿命阈值计算电机下次更换轴承的时间。</w:t>
      </w:r>
    </w:p>
    <w:p>
      <w:pPr>
        <w:pStyle w:val="5"/>
        <w:rPr>
          <w:rFonts w:hint="eastAsia"/>
          <w:color w:val="auto"/>
          <w:lang w:val="en-US" w:eastAsia="zh-CN"/>
        </w:rPr>
      </w:pPr>
    </w:p>
    <w:p>
      <w:pPr>
        <w:pStyle w:val="5"/>
        <w:rPr>
          <w:rFonts w:hint="eastAsia"/>
          <w:color w:val="auto"/>
          <w:lang w:val="en-US" w:eastAsia="zh-CN"/>
        </w:rPr>
      </w:pPr>
      <w:r>
        <w:rPr>
          <w:rFonts w:hint="eastAsia"/>
          <w:color w:val="auto"/>
          <w:lang w:val="en-US" w:eastAsia="zh-CN"/>
        </w:rPr>
        <w:t>任务七：生产单元改造方案自评估(5%)</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根据生产单元的数字化改造过程，完成生产单元数字化改造评估总结（含：1.数字化单元改造设计的思路和特点；2.设计方案解决的关键技术问题；3.本单元数字化改造后的性能提升等内容）,以PDF版本保存《生产单元数字化改造评估总结报告》在“E:\赛位号”文件夹下。</w:t>
      </w:r>
    </w:p>
    <w:p>
      <w:pPr>
        <w:pStyle w:val="5"/>
        <w:rPr>
          <w:rFonts w:hint="eastAsia"/>
          <w:color w:val="auto"/>
          <w:lang w:val="en-US" w:eastAsia="zh-CN"/>
        </w:rPr>
      </w:pPr>
    </w:p>
    <w:p>
      <w:pPr>
        <w:pStyle w:val="5"/>
        <w:rPr>
          <w:rFonts w:hint="eastAsia"/>
          <w:color w:val="auto"/>
          <w:lang w:val="en-US" w:eastAsia="zh-CN"/>
        </w:rPr>
      </w:pPr>
      <w:r>
        <w:rPr>
          <w:rFonts w:hint="eastAsia"/>
          <w:color w:val="auto"/>
          <w:lang w:val="en-US" w:eastAsia="zh-CN"/>
        </w:rPr>
        <w:t>任务八：职业素养(5%)</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考查选手操作过程中的安全规范；设备、工具仪器使用情况；卫生清洁情况；穿戴规范；工作纪律，文明礼貌等。由现场裁判进行过程记录、现场评分、选手确认。</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 xml:space="preserve">在任务施工过程中正确选择工具，安全可靠的使用工具，设备安装稳固、部件均匀排布、行列对齐、间距相等、整齐美观；布线合理、所有线都装入线槽。施工完成后需对地板卫生进行打扫、对桌面进行整理、对工具设备进行还原。 </w:t>
      </w:r>
    </w:p>
    <w:p>
      <w:pPr>
        <w:keepNext w:val="0"/>
        <w:keepLines w:val="0"/>
        <w:pageBreakBefore w:val="0"/>
        <w:widowControl/>
        <w:kinsoku/>
        <w:wordWrap/>
        <w:overflowPunct/>
        <w:topLinePunct w:val="0"/>
        <w:autoSpaceDE/>
        <w:autoSpaceDN/>
        <w:bidi w:val="0"/>
        <w:adjustRightInd/>
        <w:snapToGrid/>
        <w:spacing w:after="0" w:line="520" w:lineRule="exact"/>
        <w:ind w:right="0" w:firstLine="578" w:firstLineChars="200"/>
        <w:jc w:val="left"/>
        <w:textAlignment w:val="auto"/>
        <w:rPr>
          <w:rFonts w:hint="eastAsia" w:ascii="仿宋_GB2312" w:hAnsi="仿宋_GB2312" w:eastAsia="仿宋_GB2312" w:cs="仿宋_GB2312"/>
          <w:b/>
          <w:bCs/>
          <w:i w:val="0"/>
          <w:iCs w:val="0"/>
          <w:color w:val="auto"/>
          <w:spacing w:val="4"/>
          <w:kern w:val="0"/>
          <w:sz w:val="28"/>
          <w:szCs w:val="28"/>
          <w:highlight w:val="none"/>
          <w:shd w:val="clear" w:fill="auto"/>
          <w:lang w:val="en-US" w:eastAsia="zh-CN" w:bidi="ar-SA"/>
        </w:rPr>
      </w:pPr>
      <w:r>
        <w:rPr>
          <w:rFonts w:hint="eastAsia" w:ascii="仿宋_GB2312" w:hAnsi="仿宋_GB2312" w:eastAsia="仿宋_GB2312" w:cs="仿宋_GB2312"/>
          <w:b/>
          <w:bCs/>
          <w:i w:val="0"/>
          <w:iCs w:val="0"/>
          <w:color w:val="auto"/>
          <w:spacing w:val="4"/>
          <w:w w:val="100"/>
          <w:kern w:val="0"/>
          <w:position w:val="0"/>
          <w:sz w:val="28"/>
          <w:szCs w:val="28"/>
          <w:highlight w:val="none"/>
          <w:shd w:val="clear" w:color="auto" w:fill="auto"/>
          <w:lang w:val="en-US" w:eastAsia="zh-CN" w:bidi="ar-SA"/>
        </w:rPr>
        <w:t xml:space="preserve">任务要求如下： </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 xml:space="preserve">1.赛位区域地板、桌面等处卫生打扫。 </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 xml:space="preserve">2.使用的工具还原规整、设备摆放工整规整等。 </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3.工位设备安装整齐、设备部件均匀排布、布线合理美观等。</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4.操作的安全规范。</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5.着装规范。</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6.资料归档完整。</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7.现场工作纪律。</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8.完成任务的计划性、条理性，以及遇到问题时的应对状况等。</w:t>
      </w:r>
    </w:p>
    <w:p>
      <w:pPr>
        <w:pStyle w:val="2"/>
        <w:ind w:left="0" w:leftChars="0" w:firstLine="0" w:firstLineChars="0"/>
        <w:rPr>
          <w:rFonts w:hint="default" w:ascii="黑体" w:hAnsi="黑体" w:eastAsia="黑体" w:cs="黑体"/>
          <w:b w:val="0"/>
          <w:bCs w:val="0"/>
          <w:i w:val="0"/>
          <w:iCs w:val="0"/>
          <w:snapToGrid w:val="0"/>
          <w:color w:val="auto"/>
          <w:spacing w:val="4"/>
          <w:kern w:val="0"/>
          <w:sz w:val="32"/>
          <w:szCs w:val="32"/>
          <w:highlight w:val="none"/>
          <w:lang w:val="en-US" w:eastAsia="zh-CN" w:bidi="ar-SA"/>
        </w:rPr>
      </w:pPr>
    </w:p>
    <w:p>
      <w:pPr>
        <w:rPr>
          <w:color w:val="auto"/>
        </w:rPr>
      </w:pPr>
    </w:p>
    <w:p>
      <w:pPr>
        <w:rPr>
          <w:color w:val="auto"/>
        </w:rPr>
      </w:pPr>
      <w:bookmarkStart w:id="1" w:name="_GoBack"/>
      <w:bookmarkEnd w:id="1"/>
    </w:p>
    <w:sectPr>
      <w:footerReference r:id="rId4" w:type="default"/>
      <w:pgSz w:w="11907" w:h="16839"/>
      <w:pgMar w:top="1440" w:right="1800" w:bottom="1440" w:left="1800" w:header="0" w:footer="996"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0"/>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3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posOffset>2741295</wp:posOffset>
              </wp:positionH>
              <wp:positionV relativeFrom="paragraph">
                <wp:posOffset>-23495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5.85pt;margin-top:-1.85pt;height:144pt;width:144pt;mso-position-horizontal-relative:margin;mso-wrap-style:none;z-index:251659264;mso-width-relative:page;mso-height-relative:page;" filled="f" stroked="f" coordsize="21600,21600" o:gfxdata="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eTTlZ1wAAAAoBAAAPAAAAAAAAAAEAIAAAACIAAABkcnMvZG93bnJldi54bWxQ&#10;SwECFAAUAAAACACHTuJAa4X5+zECAABhBAAADgAAAAAAAAABACAAAAAmAQAAZHJzL2Uyb0RvYy54&#10;bWxQSwUGAAAAAAYABgBZAQAAy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3ZjQwOTI4YjkzNDQ2YjA5Y2M1NjIzYjE0MzVlMWIifQ=="/>
  </w:docVars>
  <w:rsids>
    <w:rsidRoot w:val="58DC2F81"/>
    <w:rsid w:val="001C37AE"/>
    <w:rsid w:val="001C61AD"/>
    <w:rsid w:val="00460E25"/>
    <w:rsid w:val="00997DCF"/>
    <w:rsid w:val="00A95003"/>
    <w:rsid w:val="00B025BC"/>
    <w:rsid w:val="00C02C86"/>
    <w:rsid w:val="00C31F93"/>
    <w:rsid w:val="00E26246"/>
    <w:rsid w:val="00FB03FC"/>
    <w:rsid w:val="05AC2EFA"/>
    <w:rsid w:val="063522A9"/>
    <w:rsid w:val="067B02B1"/>
    <w:rsid w:val="0EA0228A"/>
    <w:rsid w:val="11785EFE"/>
    <w:rsid w:val="118C735D"/>
    <w:rsid w:val="12174F59"/>
    <w:rsid w:val="12C70D3C"/>
    <w:rsid w:val="1307424C"/>
    <w:rsid w:val="14A11890"/>
    <w:rsid w:val="14FB1CAC"/>
    <w:rsid w:val="1A443E65"/>
    <w:rsid w:val="1C37364C"/>
    <w:rsid w:val="1C381D54"/>
    <w:rsid w:val="1FD7217C"/>
    <w:rsid w:val="248245CE"/>
    <w:rsid w:val="284B1061"/>
    <w:rsid w:val="2990609D"/>
    <w:rsid w:val="29CA7E5D"/>
    <w:rsid w:val="2CA44D88"/>
    <w:rsid w:val="2D614E83"/>
    <w:rsid w:val="2DEF125C"/>
    <w:rsid w:val="300C557A"/>
    <w:rsid w:val="327B0795"/>
    <w:rsid w:val="344A1F32"/>
    <w:rsid w:val="34B92D75"/>
    <w:rsid w:val="358856A2"/>
    <w:rsid w:val="3B1B48C3"/>
    <w:rsid w:val="3FF83D72"/>
    <w:rsid w:val="411E657D"/>
    <w:rsid w:val="42554AC8"/>
    <w:rsid w:val="43EC791D"/>
    <w:rsid w:val="44091583"/>
    <w:rsid w:val="44E95A32"/>
    <w:rsid w:val="465A0995"/>
    <w:rsid w:val="48BC2452"/>
    <w:rsid w:val="4B2672F7"/>
    <w:rsid w:val="4D2D703A"/>
    <w:rsid w:val="4DC66910"/>
    <w:rsid w:val="4E5C1022"/>
    <w:rsid w:val="4FB74328"/>
    <w:rsid w:val="5029188F"/>
    <w:rsid w:val="51D707B4"/>
    <w:rsid w:val="52A05555"/>
    <w:rsid w:val="58DC2F81"/>
    <w:rsid w:val="5AEB6799"/>
    <w:rsid w:val="5D06597E"/>
    <w:rsid w:val="5D91602E"/>
    <w:rsid w:val="5E7224DE"/>
    <w:rsid w:val="5F2E3EF9"/>
    <w:rsid w:val="60432529"/>
    <w:rsid w:val="654A437B"/>
    <w:rsid w:val="66BE4B7B"/>
    <w:rsid w:val="695A15B4"/>
    <w:rsid w:val="696E6382"/>
    <w:rsid w:val="6ACE263D"/>
    <w:rsid w:val="6B117010"/>
    <w:rsid w:val="6B1747F7"/>
    <w:rsid w:val="705F6A24"/>
    <w:rsid w:val="742D66A8"/>
    <w:rsid w:val="77467A1C"/>
    <w:rsid w:val="77935205"/>
    <w:rsid w:val="7DCD391B"/>
    <w:rsid w:val="7EC56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paragraph" w:styleId="5">
    <w:name w:val="heading 1"/>
    <w:basedOn w:val="1"/>
    <w:next w:val="1"/>
    <w:link w:val="16"/>
    <w:qFormat/>
    <w:uiPriority w:val="0"/>
    <w:pPr>
      <w:keepNext/>
      <w:keepLines/>
      <w:spacing w:before="100" w:after="100"/>
      <w:outlineLvl w:val="0"/>
    </w:pPr>
    <w:rPr>
      <w:rFonts w:eastAsia="黑体"/>
      <w:b/>
      <w:kern w:val="44"/>
      <w:sz w:val="30"/>
    </w:rPr>
  </w:style>
  <w:style w:type="paragraph" w:styleId="6">
    <w:name w:val="heading 2"/>
    <w:basedOn w:val="1"/>
    <w:next w:val="1"/>
    <w:link w:val="15"/>
    <w:unhideWhenUsed/>
    <w:qFormat/>
    <w:uiPriority w:val="0"/>
    <w:pPr>
      <w:keepNext/>
      <w:keepLines/>
      <w:spacing w:before="0" w:beforeLines="0" w:beforeAutospacing="0" w:after="0" w:afterLines="0" w:afterAutospacing="0" w:line="520" w:lineRule="exact"/>
      <w:ind w:firstLine="420" w:firstLineChars="200"/>
      <w:outlineLvl w:val="1"/>
    </w:pPr>
    <w:rPr>
      <w:rFonts w:ascii="Arial" w:hAnsi="Arial" w:eastAsia="仿宋_GB2312"/>
      <w:b/>
      <w:sz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widowControl w:val="0"/>
      <w:kinsoku/>
      <w:autoSpaceDE/>
      <w:autoSpaceDN/>
      <w:adjustRightInd/>
      <w:snapToGrid/>
      <w:ind w:firstLine="420" w:firstLineChars="100"/>
      <w:jc w:val="both"/>
      <w:textAlignment w:val="auto"/>
    </w:pPr>
    <w:rPr>
      <w:rFonts w:ascii="Calibri" w:hAnsi="Calibri" w:eastAsia="宋体" w:cs="Times New Roman"/>
      <w:snapToGrid/>
      <w:color w:val="auto"/>
      <w:kern w:val="2"/>
      <w:szCs w:val="24"/>
    </w:rPr>
  </w:style>
  <w:style w:type="paragraph" w:styleId="3">
    <w:name w:val="Body Text"/>
    <w:basedOn w:val="1"/>
    <w:next w:val="4"/>
    <w:semiHidden/>
    <w:unhideWhenUsed/>
    <w:qFormat/>
    <w:uiPriority w:val="99"/>
    <w:pPr>
      <w:spacing w:after="120"/>
    </w:pPr>
  </w:style>
  <w:style w:type="paragraph" w:customStyle="1" w:styleId="4">
    <w:name w:val="Default"/>
    <w:qFormat/>
    <w:uiPriority w:val="0"/>
    <w:pPr>
      <w:widowControl w:val="0"/>
      <w:autoSpaceDE w:val="0"/>
      <w:autoSpaceDN w:val="0"/>
      <w:adjustRightInd w:val="0"/>
      <w:spacing w:line="260" w:lineRule="atLeast"/>
    </w:pPr>
    <w:rPr>
      <w:rFonts w:ascii="仿宋_GB2312" w:hAnsi="Calibri" w:eastAsia="仿宋_GB2312" w:cs="仿宋_GB2312"/>
      <w:color w:val="000000"/>
      <w:sz w:val="24"/>
      <w:szCs w:val="24"/>
      <w:lang w:val="en-US" w:eastAsia="zh-CN" w:bidi="ar-SA"/>
    </w:rPr>
  </w:style>
  <w:style w:type="paragraph" w:styleId="7">
    <w:name w:val="annotation text"/>
    <w:basedOn w:val="1"/>
    <w:qFormat/>
    <w:uiPriority w:val="0"/>
  </w:style>
  <w:style w:type="paragraph" w:styleId="8">
    <w:name w:val="footer"/>
    <w:basedOn w:val="1"/>
    <w:unhideWhenUsed/>
    <w:qFormat/>
    <w:uiPriority w:val="99"/>
    <w:pPr>
      <w:tabs>
        <w:tab w:val="center" w:pos="4153"/>
        <w:tab w:val="right" w:pos="8306"/>
      </w:tabs>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Основной текст1"/>
    <w:basedOn w:val="13"/>
    <w:qFormat/>
    <w:uiPriority w:val="0"/>
    <w:rPr>
      <w:rFonts w:ascii="Calibri" w:hAnsi="Calibri" w:eastAsia="Calibri" w:cs="Calibri"/>
      <w:color w:val="000000"/>
      <w:spacing w:val="2"/>
      <w:w w:val="100"/>
      <w:position w:val="0"/>
      <w:sz w:val="20"/>
      <w:szCs w:val="20"/>
      <w:shd w:val="clear" w:color="auto" w:fill="FFFFFF"/>
      <w:lang w:val="ru-RU"/>
    </w:rPr>
  </w:style>
  <w:style w:type="character" w:customStyle="1" w:styleId="13">
    <w:name w:val="Основной текст_"/>
    <w:basedOn w:val="11"/>
    <w:link w:val="14"/>
    <w:qFormat/>
    <w:uiPriority w:val="0"/>
    <w:rPr>
      <w:rFonts w:eastAsia="Calibri" w:cs="Calibri"/>
      <w:spacing w:val="2"/>
      <w:sz w:val="20"/>
      <w:szCs w:val="20"/>
    </w:rPr>
  </w:style>
  <w:style w:type="paragraph" w:customStyle="1" w:styleId="14">
    <w:name w:val="Основной текст4"/>
    <w:basedOn w:val="1"/>
    <w:link w:val="13"/>
    <w:qFormat/>
    <w:uiPriority w:val="0"/>
    <w:pPr>
      <w:widowControl w:val="0"/>
      <w:shd w:val="clear" w:color="auto" w:fill="FFFFFF"/>
      <w:spacing w:before="420" w:after="240" w:line="298" w:lineRule="exact"/>
      <w:ind w:hanging="360"/>
      <w:jc w:val="both"/>
    </w:pPr>
    <w:rPr>
      <w:rFonts w:eastAsia="Calibri" w:cs="Calibri"/>
      <w:spacing w:val="2"/>
      <w:sz w:val="20"/>
      <w:szCs w:val="20"/>
    </w:rPr>
  </w:style>
  <w:style w:type="character" w:customStyle="1" w:styleId="15">
    <w:name w:val="标题 2 Char"/>
    <w:link w:val="6"/>
    <w:qFormat/>
    <w:uiPriority w:val="0"/>
    <w:rPr>
      <w:rFonts w:ascii="Arial" w:hAnsi="Arial" w:eastAsia="仿宋_GB2312"/>
      <w:b/>
      <w:sz w:val="28"/>
    </w:rPr>
  </w:style>
  <w:style w:type="character" w:customStyle="1" w:styleId="16">
    <w:name w:val="标题 1 Char"/>
    <w:link w:val="5"/>
    <w:qFormat/>
    <w:uiPriority w:val="0"/>
    <w:rPr>
      <w:rFonts w:eastAsia="黑体"/>
      <w:b/>
      <w:kern w:val="44"/>
      <w:sz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5049</Words>
  <Characters>5536</Characters>
  <Lines>93</Lines>
  <Paragraphs>26</Paragraphs>
  <TotalTime>0</TotalTime>
  <ScaleCrop>false</ScaleCrop>
  <LinksUpToDate>false</LinksUpToDate>
  <CharactersWithSpaces>5701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2023-04-13T13:04:00Z</dcterms:created>
  <dc:creator>小雨</dc:creator>
  <cp:lastModifiedBy>86152</cp:lastModifiedBy>
  <dcterms:modified xsi:type="dcterms:W3CDTF">2023-04-15T09:35:45Z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3EC3513F40BD487DAF031D73D6160AB2_13</vt:lpwstr>
  </property>
</Properties>
</file>