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pacing w:line="243" w:lineRule="atLeast"/>
        <w:jc w:val="both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  <w:bookmarkStart w:id="0" w:name="_Toc379539623"/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w w:val="90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全国职业院校技能大赛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 xml:space="preserve">竞赛任务书 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样题二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kern w:val="2"/>
          <w:sz w:val="52"/>
          <w:szCs w:val="52"/>
        </w:rPr>
      </w:pPr>
    </w:p>
    <w:p>
      <w:pPr>
        <w:widowControl w:val="0"/>
        <w:kinsoku/>
        <w:autoSpaceDE/>
        <w:autoSpaceDN/>
        <w:adjustRightInd/>
        <w:spacing w:line="532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24"/>
        </w:rPr>
        <w:t>赛项名称：</w:t>
      </w:r>
      <w:r>
        <w:rPr>
          <w:rFonts w:hint="eastAsia" w:ascii="黑体" w:hAnsi="黑体" w:eastAsia="黑体" w:cs="黑体"/>
          <w:snapToGrid/>
          <w:kern w:val="2"/>
          <w:sz w:val="32"/>
          <w:szCs w:val="24"/>
          <w:u w:val="single"/>
        </w:rPr>
        <w:t xml:space="preserve">生产单元数字化改造                 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2438" w:leftChars="399" w:hanging="1600" w:hangingChars="500"/>
        <w:textAlignment w:val="auto"/>
        <w:rPr>
          <w:rFonts w:eastAsia="黑体"/>
          <w:snapToGrid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24"/>
        </w:rPr>
        <w:t>英文名称：</w:t>
      </w:r>
      <w:r>
        <w:rPr>
          <w:rFonts w:hint="eastAsia" w:eastAsia="黑体"/>
          <w:snapToGrid/>
          <w:kern w:val="2"/>
          <w:sz w:val="32"/>
          <w:szCs w:val="24"/>
          <w:u w:val="single"/>
        </w:rPr>
        <w:t>Digital transformation of production units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kern w:val="2"/>
          <w:sz w:val="32"/>
          <w:szCs w:val="24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24"/>
        </w:rPr>
        <w:t>赛项组别：</w:t>
      </w:r>
      <w:r>
        <w:rPr>
          <w:rFonts w:hint="eastAsia" w:ascii="黑体" w:hAnsi="黑体" w:eastAsia="黑体" w:cs="黑体"/>
          <w:color w:val="auto"/>
          <w:sz w:val="32"/>
          <w:u w:val="single"/>
          <w:lang w:eastAsia="zh-CN"/>
        </w:rPr>
        <w:t>高等职业教育</w:t>
      </w:r>
      <w:r>
        <w:rPr>
          <w:rFonts w:hint="eastAsia" w:ascii="黑体" w:hAnsi="黑体" w:eastAsia="黑体" w:cs="黑体"/>
          <w:color w:val="auto"/>
          <w:sz w:val="32"/>
          <w:u w:val="single"/>
          <w:lang w:val="en-US" w:eastAsia="zh-CN"/>
        </w:rPr>
        <w:t>(师生同赛)</w:t>
      </w:r>
      <w:r>
        <w:rPr>
          <w:rFonts w:hint="eastAsia" w:ascii="黑体" w:hAnsi="黑体" w:eastAsia="黑体" w:cs="黑体"/>
          <w:color w:val="auto"/>
          <w:sz w:val="32"/>
          <w:szCs w:val="24"/>
          <w:u w:val="single"/>
          <w:lang w:val="en-US" w:eastAsia="zh-CN"/>
        </w:rPr>
        <w:t xml:space="preserve">             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kern w:val="2"/>
          <w:sz w:val="32"/>
          <w:szCs w:val="24"/>
        </w:rPr>
        <w:t>赛项编号：</w:t>
      </w:r>
      <w:r>
        <w:rPr>
          <w:rFonts w:hint="eastAsia" w:ascii="黑体" w:hAnsi="黑体" w:eastAsia="黑体" w:cs="黑体"/>
          <w:snapToGrid/>
          <w:kern w:val="2"/>
          <w:sz w:val="32"/>
          <w:szCs w:val="24"/>
          <w:u w:val="single"/>
        </w:rPr>
        <w:t xml:space="preserve">GZ020                               </w:t>
      </w:r>
    </w:p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Calibri" w:hAnsi="Calibri" w:eastAsia="宋体" w:cs="Times New Roman"/>
          <w:snapToGrid/>
          <w:kern w:val="2"/>
          <w:szCs w:val="22"/>
        </w:rPr>
      </w:pPr>
    </w:p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sz w:val="44"/>
          <w:szCs w:val="44"/>
          <w:lang w:val="ru-RU" w:eastAsia="ru-RU"/>
        </w:rPr>
        <w:sectPr>
          <w:footerReference r:id="rId3" w:type="default"/>
          <w:pgSz w:w="11907" w:h="16839"/>
          <w:pgMar w:top="1440" w:right="1800" w:bottom="1440" w:left="1800" w:header="0" w:footer="996" w:gutter="0"/>
          <w:cols w:space="720" w:num="1"/>
        </w:sectPr>
      </w:pPr>
    </w:p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sz w:val="44"/>
          <w:szCs w:val="44"/>
          <w:lang w:val="ru-RU" w:eastAsia="ru-RU"/>
        </w:rPr>
      </w:pPr>
      <w:r>
        <w:rPr>
          <w:rFonts w:hint="eastAsia" w:ascii="方正小标宋简体" w:hAnsi="方正小标宋简体" w:eastAsia="方正小标宋简体" w:cs="方正小标宋简体"/>
          <w:snapToGrid/>
          <w:sz w:val="44"/>
          <w:szCs w:val="44"/>
          <w:lang w:val="ru-RU" w:eastAsia="ru-RU"/>
        </w:rPr>
        <w:t>202</w:t>
      </w:r>
      <w:r>
        <w:rPr>
          <w:rFonts w:hint="eastAsia" w:ascii="方正小标宋简体" w:hAnsi="方正小标宋简体" w:eastAsia="方正小标宋简体" w:cs="方正小标宋简体"/>
          <w:snapToGrid/>
          <w:sz w:val="44"/>
          <w:szCs w:val="44"/>
        </w:rPr>
        <w:t>3</w:t>
      </w:r>
      <w:r>
        <w:rPr>
          <w:rFonts w:hint="eastAsia" w:ascii="方正小标宋简体" w:hAnsi="方正小标宋简体" w:eastAsia="方正小标宋简体" w:cs="方正小标宋简体"/>
          <w:snapToGrid/>
          <w:sz w:val="44"/>
          <w:szCs w:val="44"/>
          <w:lang w:val="ru-RU" w:eastAsia="ru-RU"/>
        </w:rPr>
        <w:t>年全国职业院校技能大赛</w:t>
      </w:r>
      <w:r>
        <w:rPr>
          <w:rFonts w:hint="eastAsia" w:ascii="方正小标宋简体" w:hAnsi="方正小标宋简体" w:eastAsia="方正小标宋简体" w:cs="方正小标宋简体"/>
          <w:snapToGrid/>
          <w:sz w:val="44"/>
          <w:szCs w:val="44"/>
        </w:rPr>
        <w:t>高</w:t>
      </w:r>
      <w:r>
        <w:rPr>
          <w:rFonts w:hint="eastAsia" w:ascii="方正小标宋简体" w:hAnsi="方正小标宋简体" w:eastAsia="方正小标宋简体" w:cs="方正小标宋简体"/>
          <w:snapToGrid/>
          <w:sz w:val="44"/>
          <w:szCs w:val="44"/>
          <w:lang w:val="ru-RU" w:eastAsia="ru-RU"/>
        </w:rPr>
        <w:t>职组</w:t>
      </w:r>
    </w:p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sz w:val="44"/>
          <w:szCs w:val="44"/>
          <w:lang w:val="ru-RU" w:eastAsia="ru-RU"/>
        </w:rPr>
      </w:pPr>
      <w:r>
        <w:rPr>
          <w:rFonts w:hint="eastAsia" w:ascii="方正小标宋简体" w:hAnsi="方正小标宋简体" w:eastAsia="方正小标宋简体" w:cs="方正小标宋简体"/>
          <w:snapToGrid/>
          <w:sz w:val="44"/>
          <w:szCs w:val="44"/>
          <w:lang w:val="ru-RU" w:eastAsia="ru-RU"/>
        </w:rPr>
        <w:t>“</w:t>
      </w:r>
      <w:r>
        <w:rPr>
          <w:rFonts w:hint="eastAsia" w:ascii="方正小标宋简体" w:hAnsi="方正小标宋简体" w:eastAsia="方正小标宋简体" w:cs="方正小标宋简体"/>
          <w:snapToGrid/>
          <w:sz w:val="44"/>
          <w:szCs w:val="44"/>
        </w:rPr>
        <w:t>生产单元数字化改造</w:t>
      </w:r>
      <w:r>
        <w:rPr>
          <w:rFonts w:hint="eastAsia" w:ascii="方正小标宋简体" w:hAnsi="方正小标宋简体" w:eastAsia="方正小标宋简体" w:cs="方正小标宋简体"/>
          <w:snapToGrid/>
          <w:sz w:val="44"/>
          <w:szCs w:val="44"/>
          <w:lang w:val="ru-RU" w:eastAsia="ru-RU"/>
        </w:rPr>
        <w:t>”赛项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/>
        </w:rPr>
        <w:t>（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样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题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二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/>
        </w:rPr>
        <w:t>）</w:t>
      </w:r>
    </w:p>
    <w:bookmarkEnd w:id="0"/>
    <w:p>
      <w:pPr>
        <w:rPr>
          <w:rStyle w:val="13"/>
          <w:rFonts w:ascii="仿宋_GB2312" w:hAnsi="仿宋_GB2312" w:eastAsia="仿宋_GB2312" w:cs="仿宋_GB2312"/>
          <w:b/>
          <w:bCs/>
          <w:spacing w:val="4"/>
          <w:sz w:val="28"/>
          <w:szCs w:val="28"/>
          <w:shd w:val="clear" w:color="auto" w:fill="auto"/>
          <w:lang w:val="en-US"/>
        </w:rPr>
      </w:pPr>
    </w:p>
    <w:p>
      <w:pPr>
        <w:pStyle w:val="15"/>
        <w:shd w:val="clear" w:color="auto" w:fill="auto"/>
        <w:spacing w:before="0" w:after="0" w:line="520" w:lineRule="exact"/>
        <w:ind w:firstLine="0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选手须知：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  <w:t>1.任务书共 10 页，如出现任务书缺页、字迹不清等问题，请及时向裁判示意，并进行任务书的更换。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  <w:t>2.参赛队应在6小时内完成任务书规定内容。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  <w:t>3.任务书中只能填写竞赛相关信息，不得出现学校、姓名等与身份有关的信息或与竞赛过程无关的内容，否则成绩无效。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  <w:t>4.在完成任务过程中，请及时保存程序及数据。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  <w:t>5.本赛程结束前，请选手自行备份项目程序及文件至</w:t>
      </w:r>
      <w:r>
        <w:rPr>
          <w:rFonts w:hint="eastAsia" w:ascii="仿宋_GB2312" w:hAnsi="仿宋_GB2312" w:eastAsia="仿宋_GB2312" w:cs="仿宋_GB2312"/>
          <w:sz w:val="28"/>
          <w:szCs w:val="28"/>
        </w:rPr>
        <w:t>“E:\赛位号”</w:t>
      </w:r>
      <w:r>
        <w:rPr>
          <w:rStyle w:val="13"/>
          <w:rFonts w:hint="eastAsia"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  <w:t>文件夹。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  <w:t>6.由于参赛选手人为原因导致竞赛设备损坏，以致无法正常继续比赛，将取消参赛队竞赛资格。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  <w:t>7.大赛提供的部分3D模型、器件手册及相关资料已存储到“E:\资料”文件夹下。</w:t>
      </w:r>
    </w:p>
    <w:p>
      <w:pPr>
        <w:spacing w:line="340" w:lineRule="auto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15"/>
        <w:shd w:val="clear" w:color="auto" w:fill="auto"/>
        <w:spacing w:before="0" w:after="0" w:line="520" w:lineRule="exact"/>
        <w:jc w:val="center"/>
        <w:rPr>
          <w:rStyle w:val="13"/>
          <w:rFonts w:ascii="仿宋_GB2312" w:hAnsi="仿宋_GB2312" w:eastAsia="仿宋_GB2312" w:cs="仿宋_GB2312"/>
          <w:b/>
          <w:bCs/>
          <w:spacing w:val="4"/>
          <w:sz w:val="28"/>
          <w:szCs w:val="28"/>
          <w:shd w:val="clear" w:color="auto" w:fill="auto"/>
          <w:lang w:val="zh-Hans"/>
        </w:rPr>
      </w:pPr>
      <w:r>
        <w:rPr>
          <w:rStyle w:val="13"/>
          <w:rFonts w:hint="eastAsia" w:ascii="仿宋_GB2312" w:hAnsi="仿宋_GB2312" w:eastAsia="仿宋_GB2312" w:cs="仿宋_GB2312"/>
          <w:b/>
          <w:bCs/>
          <w:spacing w:val="4"/>
          <w:sz w:val="28"/>
          <w:szCs w:val="28"/>
          <w:shd w:val="clear" w:color="auto" w:fill="auto"/>
          <w:lang w:val="en-US"/>
        </w:rPr>
        <w:t>竞赛场次：第</w:t>
      </w:r>
      <w:r>
        <w:rPr>
          <w:rStyle w:val="13"/>
          <w:rFonts w:hint="eastAsia" w:ascii="仿宋_GB2312" w:hAnsi="仿宋_GB2312" w:eastAsia="仿宋_GB2312" w:cs="仿宋_GB2312"/>
          <w:b/>
          <w:bCs/>
          <w:spacing w:val="4"/>
          <w:sz w:val="28"/>
          <w:szCs w:val="28"/>
          <w:u w:val="single"/>
          <w:shd w:val="clear" w:color="auto" w:fill="auto"/>
          <w:lang w:val="en-US"/>
        </w:rPr>
        <w:t xml:space="preserve">   </w:t>
      </w:r>
      <w:r>
        <w:rPr>
          <w:rStyle w:val="13"/>
          <w:rFonts w:hint="eastAsia" w:ascii="仿宋_GB2312" w:hAnsi="仿宋_GB2312" w:eastAsia="仿宋_GB2312" w:cs="仿宋_GB2312"/>
          <w:b/>
          <w:bCs/>
          <w:spacing w:val="4"/>
          <w:sz w:val="28"/>
          <w:szCs w:val="28"/>
          <w:shd w:val="clear" w:color="auto" w:fill="auto"/>
          <w:lang w:val="en-US"/>
        </w:rPr>
        <w:t>场                          赛位号：第</w:t>
      </w:r>
      <w:r>
        <w:rPr>
          <w:rStyle w:val="13"/>
          <w:rFonts w:hint="eastAsia" w:ascii="仿宋_GB2312" w:hAnsi="仿宋_GB2312" w:eastAsia="仿宋_GB2312" w:cs="仿宋_GB2312"/>
          <w:b/>
          <w:bCs/>
          <w:spacing w:val="4"/>
          <w:sz w:val="28"/>
          <w:szCs w:val="28"/>
          <w:u w:val="single"/>
          <w:shd w:val="clear" w:color="auto" w:fill="auto"/>
          <w:lang w:val="en-US"/>
        </w:rPr>
        <w:t xml:space="preserve">   </w:t>
      </w:r>
      <w:r>
        <w:rPr>
          <w:rStyle w:val="13"/>
          <w:rFonts w:hint="eastAsia" w:ascii="仿宋_GB2312" w:hAnsi="仿宋_GB2312" w:eastAsia="仿宋_GB2312" w:cs="仿宋_GB2312"/>
          <w:b/>
          <w:bCs/>
          <w:spacing w:val="4"/>
          <w:sz w:val="28"/>
          <w:szCs w:val="28"/>
          <w:shd w:val="clear" w:color="auto" w:fill="auto"/>
          <w:lang w:val="en-US"/>
        </w:rPr>
        <w:t>号</w:t>
      </w:r>
    </w:p>
    <w:p>
      <w:pPr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5"/>
        <w:keepNext w:val="0"/>
        <w:keepLines w:val="0"/>
        <w:kinsoku/>
        <w:autoSpaceDE/>
        <w:autoSpaceDN/>
        <w:adjustRightInd/>
        <w:snapToGrid/>
        <w:spacing w:before="0" w:after="0"/>
        <w:textAlignment w:val="auto"/>
        <w:rPr>
          <w:color w:val="auto"/>
        </w:rPr>
      </w:pPr>
      <w:r>
        <w:rPr>
          <w:rFonts w:hint="eastAsia"/>
          <w:color w:val="auto"/>
        </w:rPr>
        <w:t>竞赛平台描述：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生产单元数字</w:t>
      </w:r>
      <w:r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化改造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竞赛平台是以数字化关键技术为核心，集成智能仓储、智能机器人、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AMR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自主移动机器人、智能视觉、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SCADA系统监控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WMS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系统、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MES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系统、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数字孪生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的综合应用单元。竞赛平台参考示意图如图1所示。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</w:p>
    <w:p>
      <w:pPr>
        <w:jc w:val="center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451860" cy="1527175"/>
            <wp:effectExtent l="0" t="0" r="2540" b="9525"/>
            <wp:docPr id="1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shd w:val="clear" w:color="auto" w:fill="auto"/>
        <w:spacing w:before="0" w:after="0" w:line="240" w:lineRule="auto"/>
        <w:ind w:firstLine="0"/>
        <w:rPr>
          <w:color w:val="auto"/>
        </w:rPr>
      </w:pPr>
    </w:p>
    <w:p>
      <w:pPr>
        <w:pStyle w:val="15"/>
        <w:shd w:val="clear" w:color="auto" w:fill="auto"/>
        <w:spacing w:before="0" w:after="0" w:line="520" w:lineRule="exact"/>
        <w:ind w:firstLine="0"/>
        <w:jc w:val="center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图1 竞赛平台布局参考示意图</w:t>
      </w:r>
    </w:p>
    <w:p>
      <w:pPr>
        <w:pStyle w:val="15"/>
        <w:shd w:val="clear" w:color="auto" w:fill="auto"/>
        <w:spacing w:before="0" w:after="0" w:line="240" w:lineRule="auto"/>
        <w:ind w:firstLine="0"/>
        <w:rPr>
          <w:color w:val="auto"/>
        </w:rPr>
      </w:pPr>
    </w:p>
    <w:p>
      <w:pPr>
        <w:pStyle w:val="15"/>
        <w:shd w:val="clear" w:color="auto" w:fill="auto"/>
        <w:spacing w:before="0" w:after="0" w:line="360" w:lineRule="auto"/>
        <w:ind w:firstLine="576" w:firstLineChars="200"/>
        <w:jc w:val="left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其生产工艺参考流程为：根据客户联接器生产任务定制需求，在MES系统中下发任务订单，由机器人完成订单指定物料的取料，AMR自主移动机器人将物料运送至智能装配区，智能机器人与智能视觉配合完成物料的检测与抓取，按照任务订单要求，完成定制产品的组装与检测，根据检测结果，放置到指定仓位。生产任务执行过程中，实时采集仓位、智能机器人、AMR自主移动机器人、智能视觉、RFID等相关数据，通过数字孪生实现虚实结合，完成联接器装配。联接器装配示意图如图2所示。</w:t>
      </w:r>
    </w:p>
    <w:p>
      <w:pPr>
        <w:pStyle w:val="15"/>
        <w:shd w:val="clear" w:color="auto" w:fill="auto"/>
        <w:spacing w:before="0" w:after="0" w:line="360" w:lineRule="auto"/>
        <w:ind w:firstLine="0"/>
        <w:jc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403475" cy="1591945"/>
            <wp:effectExtent l="0" t="0" r="9525" b="825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347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5"/>
        <w:shd w:val="clear" w:color="auto" w:fill="auto"/>
        <w:spacing w:before="0" w:after="0" w:line="520" w:lineRule="exact"/>
        <w:ind w:firstLine="0"/>
        <w:jc w:val="center"/>
        <w:rPr>
          <w:rStyle w:val="13"/>
          <w:rFonts w:ascii="仿宋_GB2312" w:hAnsi="仿宋_GB2312" w:eastAsia="仿宋_GB2312" w:cs="仿宋_GB2312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图2 联接器装配示意图</w:t>
      </w: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任务一：生产单元数字化改造方案设计（15%）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任务1.1 生产单元功能规划及仿真验证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1.1.1 根据生产工艺流程，绘制生产单元的工艺流程图，并生成PDF版本，以“赛位号+生产单元工艺流程图”为文件名，保存在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outlineLvl w:val="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1.1.2 智能仓储仿真设计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（1）在已构建的数字孪生模型基础上标定模型位置，实现实物与数字孪生模型位置的1:1布局，同时生成平面布局图，以“赛位号+智能仓储布局图”为文件名，并以PDF版本保存在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（2）根据竞赛平台中提供的模型设置物理属性，创建运动属性，添加信号表。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（3）在仿真系统中控制智能仓储机器人的X轴、Y轴、Z轴位置运动。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outlineLvl w:val="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1.1.3 生产单元系统仿真测试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在数字孪生软件中配置通信和信号，将配置的通信信号与模型驱动接口建立映射。编写PLC和触摸屏程序，通过PLC控制生产单元数字孪生模型，实现生产单元模型在软件中仿真测试。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（1）生产单元数字孪生模型的驱动接口与外部通信信号建立映射，实现数字孪生系统和PLC的数据交换。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（2）自行设计智能仓储虚拟仿真方案并实施测试，测试内容包括但不限于，通过触摸屏控制智能仓储机器人的X\Y\Z轴的移动，实现指定仓位取放料操作。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任务1.2 生产数据采集方案规划设计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1.2.1 根据生产工艺流程中对数据采集的要求，编制数据采集方案，需明确采集数据内容、智能硬件、通信协议、数据格式和通信链路，以“赛位号+数据采集方案”为文件名，并生成PDF版本保存在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1.2.2 根据采集方案，绘制生产单元网络拓扑图，并规划各硬件网络地址，以“赛位号+网络拓扑图（采集）”为文件名，并生成PDF版本保存在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outlineLvl w:val="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1.2.3 数据库环境搭建及测试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（1）自行设计数据表格式。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（2）建立仓位、智能视觉、各机器人状态、RFID以及能耗数据变量，通过调试助手工具完成数据库的通信测试。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任务1.3 网络部署方案设计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1.3.1 基于网络安全和工业云平台数据应用，绘制基于防火墙和工业网关的网络拓扑图，以“赛位号+网络拓扑图（安全）”为文件名，并生成PDF版本保存在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1.3.2 能够对赛项设置的网络“攻击”行为实施数据分析、防护处置和网络管控，并填写《网络信息安全分析报告》，以“赛位号+网络信息安全分析报告”为文件名，并生成PDF版本保存在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（1）编制、使用网络安全工具软件检查并分析工业网络，找到可能的危险数据。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使用两台计算机，计算机1向计算机2发送三次数据，获取对应数据，以.pcapng格式进行保存，查看获取的数据信息，分析发送信息的时间和数据长度。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（2）基于网络监控与分析，追溯危险数据来源。</w:t>
      </w:r>
    </w:p>
    <w:p>
      <w:pPr>
        <w:pStyle w:val="15"/>
        <w:shd w:val="clear" w:color="auto" w:fill="auto"/>
        <w:spacing w:before="0" w:after="0" w:line="520" w:lineRule="exact"/>
        <w:ind w:firstLine="576" w:firstLineChars="200"/>
        <w:rPr>
          <w:rStyle w:val="13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3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使用两台计算机，使用telnet明文传送方式，计算机1通过TCP协议向计算机2发送三条信息（信息内容裁判指定），计算机2获取对应数据，以.pcapng格式进行保存，查看获取的数据信息，分析计算机1的IP地址及计算机1发送的数据内容。</w:t>
      </w: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任务二：生产单元智能化集成（10%）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任务2.1 生产单元网络搭建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根据生产单元数字化改造方案设计的网络拓扑图，完成交换机、数据采集设备、生产单元设备软、硬件的网络连接及IP地址配置。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任务2.2 生产单元网络通讯测试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根据生产单元设备软、硬件的网络连接及IP地址配置，测试网络通讯状态，显示同一局域网下所有网络设备IP地址。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任务2.3 智能网关参数配置与数据采集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2.3.1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根据系统网络结构的规划，完成智能网关的参数配置，使其与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SCADA系统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建立数据连接。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2.3.2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通过智能网关能够采集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生产单元电能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的实时数据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，并在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智能网关的组态界面中能实时显示。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任务2.4 智能仓储数据采集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2.4.1根据生产单元数字化改造计划，按照工艺流程，对智能仓储、SCADA系统进行程序的编写和调试。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2.4.2编写SCADA系统界面与PLC通讯，通过SCADA系统，远程监控设备相关数据，包括机器人各个轴的运行状态、仓库传感器状态等，实现数据可视化。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 xml:space="preserve">任务2.5 </w:t>
      </w:r>
      <w:r>
        <w:rPr>
          <w:color w:val="auto"/>
        </w:rPr>
        <w:t>构建</w:t>
      </w:r>
      <w:r>
        <w:rPr>
          <w:rFonts w:hint="eastAsia"/>
          <w:color w:val="auto"/>
        </w:rPr>
        <w:t>AMR自主移动机器人</w:t>
      </w:r>
      <w:r>
        <w:rPr>
          <w:color w:val="auto"/>
        </w:rPr>
        <w:t>环境地图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2.5.1 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在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AMR自主移动机器人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建图工具中，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根据参考工艺流程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控制其在竞赛单元场地运动，构建环境地图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2.5.2 智能仓储第一列处为1号接驳点，智能仓储第二列处为2号接驳点，智能仓储第三列处为3号接驳点，智能仓储第四列处为4号接驳点，智能仓储第五列处为5号接驳点，智能仓储入库信息读写位处为6号接驳点，起始点处为8号，智能视觉区为7号接驳点。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在环境地图中设置导航点，设置合理的“起始点”(导航点 8)；在“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智能仓储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”第2列出库点附近设置合理的导航点(导航点2)；在“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智能视觉区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”的上料区一侧，设置合理的导航点(导航点7)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2.5.3 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测试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AMR自主移动机器人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的自主导航功能，在建图工具操作界面中，利用“坐标导航”功能，控制移动机器人自主地从导航点8移动至导航点2。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任务2.6 防火墙配置与安全策略设置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2.6.1 通过防火墙管理界面，将其GE1端口配置为外网接口、GE2端口配置为内网接口、GE3端口配置为SCADA系统端口。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2.6.2 配置防火墙安全策略，实现外网设备通过外网接口不能访问SCADA系统，SCADA系统通过内网接口能够访问外网设备。</w:t>
      </w:r>
    </w:p>
    <w:p>
      <w:pPr>
        <w:pStyle w:val="15"/>
        <w:shd w:val="clear" w:color="auto" w:fill="auto"/>
        <w:spacing w:before="0" w:after="0" w:line="520" w:lineRule="exact"/>
        <w:ind w:firstLine="0"/>
        <w:rPr>
          <w:rFonts w:ascii="黑体" w:hAnsi="黑体" w:eastAsia="黑体" w:cs="黑体"/>
          <w:spacing w:val="0"/>
          <w:sz w:val="32"/>
          <w:szCs w:val="32"/>
        </w:rPr>
      </w:pPr>
      <w:r>
        <w:rPr>
          <w:rStyle w:val="17"/>
          <w:rFonts w:hint="eastAsia" w:ascii="黑体" w:hAnsi="黑体" w:cs="黑体"/>
          <w:b w:val="0"/>
          <w:spacing w:val="0"/>
          <w:kern w:val="0"/>
          <w:sz w:val="32"/>
          <w:szCs w:val="32"/>
        </w:rPr>
        <w:t>任务三：</w:t>
      </w:r>
      <w:r>
        <w:rPr>
          <w:rStyle w:val="17"/>
          <w:rFonts w:ascii="黑体" w:hAnsi="黑体" w:cs="黑体"/>
          <w:b w:val="0"/>
          <w:spacing w:val="0"/>
          <w:kern w:val="0"/>
          <w:sz w:val="32"/>
          <w:szCs w:val="32"/>
        </w:rPr>
        <w:t>生产单元</w:t>
      </w:r>
      <w:r>
        <w:rPr>
          <w:rStyle w:val="17"/>
          <w:rFonts w:hint="eastAsia" w:ascii="黑体" w:hAnsi="黑体" w:cs="黑体"/>
          <w:b w:val="0"/>
          <w:spacing w:val="0"/>
          <w:kern w:val="0"/>
          <w:sz w:val="32"/>
          <w:szCs w:val="32"/>
        </w:rPr>
        <w:t>功能开发与测试（30%）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b/>
          <w:bCs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28"/>
          <w:szCs w:val="28"/>
        </w:rPr>
        <w:t>任务3.1智能装配区功能开发与测试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3.1.1手动分别将各1个件1、件2和件3放置工件暂存区对应位置。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3.1.2编写程序，依次完成工件的装配。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3.1.3编写检测程序，对装配完成的成品进行测量。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b/>
          <w:bCs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28"/>
          <w:szCs w:val="28"/>
        </w:rPr>
        <w:t>任务3.2智能机器人功能开发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3.2.1在触摸屏上点击按钮，启动智能机器人，观察界面上机器人位置运行速度、坐标等数据变化状态。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3.2.2启动传输检测模块，参赛选手依次手动放入托盘，托盘中分别放置件1、件2和件3各1个工件，位置随机放置。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3.2.3编写PLC与智能视觉程序，将智能视觉坐标系转换成机器人坐标系，通过触摸屏显示机器人坐标系中抓取工件坐标值，把识别结果传输给PLC。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3.2.4PLC经过处理，传输智能视觉识别的数据给智能机器人（颜色、种类、工件坐标），智能机器人根据PLC传输的数据，抓取识别后的工件，智能机器人将抓取工件放置装配检测区然后回到原位。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3.2.5在智能机器人运行过程中，通过触发安全光栅，实现智能机器人暂停功能。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3.2.6编写PLC与智能机器人程序，在触摸屏显示，智能机器人状态分为机器人处于待机、运行、抓取错误等状态。</w:t>
      </w:r>
    </w:p>
    <w:p>
      <w:pPr>
        <w:pStyle w:val="5"/>
        <w:keepLines w:val="0"/>
        <w:spacing w:before="0" w:after="0" w:line="520" w:lineRule="exact"/>
        <w:jc w:val="both"/>
      </w:pPr>
      <w:r>
        <w:rPr>
          <w:rFonts w:hint="eastAsia"/>
        </w:rPr>
        <w:t>任务四： 生产单元信息化技术集成(10%)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28"/>
          <w:szCs w:val="28"/>
        </w:rPr>
        <w:t>任务4.1</w:t>
      </w:r>
      <w:r>
        <w:rPr>
          <w:rStyle w:val="16"/>
          <w:rFonts w:hint="eastAsia" w:ascii="仿宋_GB2312" w:hAnsi="仿宋_GB2312" w:cs="仿宋_GB2312"/>
          <w:spacing w:val="4"/>
          <w:szCs w:val="28"/>
        </w:rPr>
        <w:t>WMS系统的信息化集成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4.1.1完成WMS系统的部署和配置，使其与智能仓储的PLC进行通讯，并实时显示通讯状态（在线或离线）。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4.1.2编写PLC和触摸屏等程序，通过WMS系统的产品入库管理界面，WMS系统通过入库信息读写位进行信息写入，WMS系统控制机器人自动进行指定仓位产品入库。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4.1.3编写PLC和触摸屏等程序，通过WMS系统的产品出库管理界面，选择出库工件信息，控制机器人进行RFID信息读取，RFID读取信息与出库信息一致将自动进行仓位产品出库。</w:t>
      </w:r>
    </w:p>
    <w:p>
      <w:pPr>
        <w:widowControl w:val="0"/>
        <w:spacing w:line="520" w:lineRule="exact"/>
        <w:ind w:firstLine="578" w:firstLineChars="200"/>
        <w:jc w:val="both"/>
        <w:rPr>
          <w:rStyle w:val="16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28"/>
          <w:szCs w:val="28"/>
        </w:rPr>
        <w:t>任务4.2</w:t>
      </w:r>
      <w:r>
        <w:rPr>
          <w:rStyle w:val="16"/>
        </w:rPr>
        <w:t>SCADA系统信息化集成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4.2.1SCADA系统配置和界面制作，使其与智能装配区的PLC进行通讯，并实时显示通讯状态（在线或离线）。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4.2.2完成SCADA系统智能装配区的智能机器人运行数据监测界面制作，编写智能装配区PLC和智能机器人程序，并实时显示智能机器人的运行速度、运行模式和报警状态。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4.2.3编写智能视觉区的PLC和智能视觉等程序，完成SCADA系统智能视觉界面制作，并实时显示智能视觉检测结果（形状、尺寸、位置、颜色）。</w:t>
      </w:r>
    </w:p>
    <w:p>
      <w:pPr>
        <w:widowControl w:val="0"/>
        <w:spacing w:line="520" w:lineRule="exact"/>
        <w:ind w:firstLine="578" w:firstLineChars="200"/>
        <w:jc w:val="both"/>
        <w:rPr>
          <w:rStyle w:val="16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28"/>
          <w:szCs w:val="28"/>
        </w:rPr>
        <w:t>任</w:t>
      </w:r>
      <w:r>
        <w:rPr>
          <w:rStyle w:val="16"/>
          <w:rFonts w:hint="eastAsia"/>
          <w:b w:val="0"/>
        </w:rPr>
        <w:t>务4.3</w:t>
      </w:r>
      <w:r>
        <w:rPr>
          <w:rStyle w:val="16"/>
        </w:rPr>
        <w:t>MES系统的信息化集成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4.3.1完成MES系统配置和变量解析，使其与智能仓储的PLC进行通讯，并实时显示通讯状态（在线或离线）。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4.3.2完成MES系统的产品入库界面数据的变量解析，MES系统通过RFID进行信息读取，控制机器人自动进行产品入库。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4.3.3完成MES系统的产品出库界面数据的变量解析，通过MES系统产品出库界面选择出库信息，根据RFID对比结果控制机器人自动进行产品出库。</w:t>
      </w:r>
    </w:p>
    <w:p>
      <w:pPr>
        <w:keepNext/>
        <w:spacing w:line="520" w:lineRule="exact"/>
        <w:jc w:val="both"/>
        <w:outlineLvl w:val="1"/>
        <w:rPr>
          <w:rFonts w:ascii="仿宋_GB2312" w:hAnsi="仿宋_GB2312" w:eastAsia="仿宋_GB2312" w:cs="仿宋_GB2312"/>
          <w:b/>
          <w:color w:val="FF0000"/>
          <w:spacing w:val="4"/>
          <w:sz w:val="28"/>
          <w:szCs w:val="28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任务五：</w:t>
      </w:r>
      <w:r>
        <w:rPr>
          <w:rFonts w:ascii="黑体" w:hAnsi="黑体" w:eastAsia="黑体" w:cs="黑体"/>
          <w:bCs/>
          <w:sz w:val="32"/>
          <w:szCs w:val="32"/>
        </w:rPr>
        <w:t>生产单元</w:t>
      </w:r>
      <w:r>
        <w:rPr>
          <w:rFonts w:hint="eastAsia" w:ascii="黑体" w:hAnsi="黑体" w:eastAsia="黑体" w:cs="黑体"/>
          <w:bCs/>
          <w:sz w:val="32"/>
          <w:szCs w:val="32"/>
        </w:rPr>
        <w:t>运行生产（15%）</w:t>
      </w:r>
    </w:p>
    <w:p>
      <w:pPr>
        <w:widowControl w:val="0"/>
        <w:spacing w:line="520" w:lineRule="exact"/>
        <w:ind w:firstLine="578" w:firstLineChars="200"/>
        <w:jc w:val="both"/>
        <w:outlineLvl w:val="1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28"/>
          <w:szCs w:val="28"/>
        </w:rPr>
        <w:t>任务5.1基于MES系统的生产与管控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根据客户联接器生产任务定制需求，在MES系统中制定下发任务订单，AMR自主移动机器人到达智能仓储指定接料位，在WMS系统的控制下，由机器人完成订单指定物料的取料，AMR自主移动机器人将物料运送至智能装配区，智能机器人与智能视觉配合完成任意位置物料的检测与抓取，按照任务订单要求，完成定制产品的组装与检测，根据检测结果，放置到指定仓位。</w:t>
      </w:r>
    </w:p>
    <w:p>
      <w:pPr>
        <w:widowControl w:val="0"/>
        <w:spacing w:line="520" w:lineRule="exact"/>
        <w:ind w:firstLine="578" w:firstLineChars="200"/>
        <w:jc w:val="both"/>
        <w:outlineLvl w:val="1"/>
        <w:rPr>
          <w:rFonts w:ascii="仿宋_GB2312" w:hAnsi="仿宋_GB2312" w:eastAsia="仿宋_GB2312" w:cs="仿宋_GB2312"/>
          <w:b/>
          <w:bCs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28"/>
          <w:szCs w:val="28"/>
        </w:rPr>
        <w:t>任务5.2基于MES系统的设备管理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生产任务执行过程中，实时采集仓位、智能机器人、AMR自主移动机器人、RFID等相关数据，并在MES看板中显示。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5.2.1看板显示设备监控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（1）操作管控软件，正确显示智能仓储设备监控。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（2）操作管控软件，正确显示智能视觉设备监控。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5.2.2看板显示仓位管理状态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（1）看板显示仓位信息。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（2）看板显示工件信息跟踪，实时跟踪工件状态信息。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b/>
          <w:bCs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28"/>
          <w:szCs w:val="28"/>
        </w:rPr>
        <w:t>任务5.3数字孪生系统虚实联动</w:t>
      </w:r>
    </w:p>
    <w:p>
      <w:pPr>
        <w:numPr>
          <w:ilvl w:val="255"/>
          <w:numId w:val="0"/>
        </w:numPr>
        <w:spacing w:line="520" w:lineRule="exact"/>
        <w:ind w:firstLine="552" w:firstLineChars="200"/>
        <w:rPr>
          <w:rFonts w:ascii="仿宋_GB2312" w:hAnsi="仿宋_GB2312" w:eastAsia="仿宋_GB2312" w:cs="仿宋_GB2312"/>
          <w:spacing w:val="-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基于实物生产单元的布局和位置，在已构建的数字孪生模型的基础上标定模型位置，实现实物与数字孪生模型位置的1:1布局。在提供的虚拟仿真软件中，完善工业机器人、智能仓储、AMR自主移动机器人、智能装配和智能视觉区动作属性。</w:t>
      </w:r>
    </w:p>
    <w:p>
      <w:pPr>
        <w:widowControl w:val="0"/>
        <w:spacing w:line="520" w:lineRule="exact"/>
        <w:ind w:firstLine="552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kern w:val="2"/>
          <w:sz w:val="28"/>
          <w:szCs w:val="28"/>
        </w:rPr>
        <w:t>虚拟工作站系统各部分位置应与实物布局有一定对应关系。</w:t>
      </w:r>
    </w:p>
    <w:p>
      <w:pPr>
        <w:keepLines/>
        <w:spacing w:line="520" w:lineRule="exact"/>
        <w:ind w:firstLine="562" w:firstLineChars="200"/>
        <w:rPr>
          <w:rFonts w:ascii="仿宋_GB2312" w:hAnsi="仿宋_GB2312" w:eastAsia="仿宋_GB2312" w:cs="仿宋_GB2312"/>
          <w:b/>
          <w:bCs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bidi="ar"/>
        </w:rPr>
        <w:t>测试要求如下：</w:t>
      </w:r>
    </w:p>
    <w:p>
      <w:pPr>
        <w:spacing w:line="520" w:lineRule="exact"/>
        <w:ind w:firstLine="560" w:firstLineChars="200"/>
        <w:rPr>
          <w:rFonts w:ascii="仿宋_GB2312" w:hAnsi="仿宋_GB2312" w:eastAsia="仿宋_GB2312" w:cs="仿宋_GB2312"/>
          <w:spacing w:val="-2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bidi="ar"/>
        </w:rPr>
        <w:t>（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  <w:lang w:bidi="ar"/>
        </w:rPr>
        <w:t>1）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基于生产单元数字孪生系统开放的通信协议，在数字孪生软件中配置通信和信号，将配置的通信信号与模型驱动接口建立映射。</w:t>
      </w:r>
    </w:p>
    <w:p>
      <w:pPr>
        <w:spacing w:line="520" w:lineRule="exact"/>
        <w:ind w:firstLine="552" w:firstLineChars="200"/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  <w:lang w:bidi="ar"/>
        </w:rPr>
        <w:t>（2）基于MES系统的生产与管控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，生产任务执行过程中，通过实时数据采集和数字孪生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软件，实现虚实联动。</w:t>
      </w:r>
    </w:p>
    <w:p>
      <w:pPr>
        <w:keepNext/>
        <w:spacing w:line="520" w:lineRule="exact"/>
        <w:jc w:val="both"/>
        <w:outlineLvl w:val="1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任务六：生产单元数据应用（10%）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28"/>
          <w:szCs w:val="28"/>
        </w:rPr>
        <w:t>任务6.1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根据4个以上生产订单的生产结果，完成智能网关配置并制作产品检验统计界面，实时统计和计算本次生产订单的订单号、各物料所用数量和装配质量结果（合格/不合格）。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1777"/>
        <w:gridCol w:w="1753"/>
        <w:gridCol w:w="1345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  <w:vAlign w:val="center"/>
          </w:tcPr>
          <w:p>
            <w:pPr>
              <w:widowControl w:val="0"/>
              <w:shd w:val="clear" w:color="auto" w:fill="FFFFFF"/>
              <w:tabs>
                <w:tab w:val="center" w:pos="957"/>
              </w:tabs>
              <w:spacing w:line="520" w:lineRule="exact"/>
              <w:jc w:val="center"/>
              <w:rPr>
                <w:rFonts w:ascii="仿宋_GB2312" w:hAnsi="仿宋_GB2312" w:eastAsia="仿宋_GB2312" w:cs="仿宋_GB2312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8"/>
                <w:szCs w:val="28"/>
              </w:rPr>
              <w:t>订单号</w:t>
            </w:r>
          </w:p>
        </w:tc>
        <w:tc>
          <w:tcPr>
            <w:tcW w:w="1777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8"/>
                <w:szCs w:val="28"/>
              </w:rPr>
              <w:t>件1数量</w:t>
            </w:r>
          </w:p>
        </w:tc>
        <w:tc>
          <w:tcPr>
            <w:tcW w:w="175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8"/>
                <w:szCs w:val="28"/>
              </w:rPr>
              <w:t>件2数量</w:t>
            </w:r>
          </w:p>
        </w:tc>
        <w:tc>
          <w:tcPr>
            <w:tcW w:w="1345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8"/>
                <w:szCs w:val="28"/>
              </w:rPr>
              <w:t>件3数量</w:t>
            </w:r>
          </w:p>
        </w:tc>
        <w:tc>
          <w:tcPr>
            <w:tcW w:w="206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8"/>
                <w:szCs w:val="28"/>
              </w:rPr>
              <w:t>装配质量结果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4"/>
                <w:sz w:val="28"/>
                <w:szCs w:val="28"/>
              </w:rPr>
              <w:t>1</w:t>
            </w:r>
          </w:p>
        </w:tc>
        <w:tc>
          <w:tcPr>
            <w:tcW w:w="1777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spacing w:val="4"/>
                <w:sz w:val="28"/>
                <w:szCs w:val="28"/>
              </w:rPr>
            </w:pPr>
          </w:p>
        </w:tc>
        <w:tc>
          <w:tcPr>
            <w:tcW w:w="175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spacing w:val="4"/>
                <w:sz w:val="28"/>
                <w:szCs w:val="28"/>
              </w:rPr>
            </w:pPr>
          </w:p>
        </w:tc>
        <w:tc>
          <w:tcPr>
            <w:tcW w:w="1345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spacing w:val="4"/>
                <w:sz w:val="28"/>
                <w:szCs w:val="28"/>
              </w:rPr>
            </w:pPr>
          </w:p>
        </w:tc>
        <w:tc>
          <w:tcPr>
            <w:tcW w:w="206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spacing w:val="4"/>
                <w:sz w:val="28"/>
                <w:szCs w:val="28"/>
              </w:rPr>
            </w:pPr>
          </w:p>
        </w:tc>
      </w:tr>
    </w:tbl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28"/>
          <w:szCs w:val="28"/>
        </w:rPr>
        <w:t>任务6.2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完成智能网关配置并开发自主移动机器人电量管理界面，根据生产订单的自主移动机器人电量，生成曲线图，根据订单运行时间计算AMR自主移动机器人电量峰值时间段。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28"/>
          <w:szCs w:val="28"/>
        </w:rPr>
        <w:t>任务6.3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完成智能网关配置并设计智能立体仓储电机统计界面，根据电机运行时间，生成曲线图，根据电机运行时间和电机寿命阈值计算电机更换轴承的时间。</w:t>
      </w: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任务七：生产单元改造方案自评估(5%)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7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 xml:space="preserve">1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的数字化改造过程，完成生产单元数字化改造评估总结（含：1.数字化单元改造设计的思路和特点；2.设计方案解决的关键技术问题；3.本单元数字化改造后的性能提升等内容）,以PDF版本保存《生产单元数字化改造评估总结报告》在“E:\赛位号”文件夹下。</w:t>
      </w: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任务八：职业素养(5%)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8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 xml:space="preserve">1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考查选手操作过程中的安全规范；设备、工具仪器使用情况；卫生清洁情况；穿戴规范；工作纪律，文明礼貌等。由现场裁判进行过程记录、现场评分、选手确认。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在任务施工过程中正确选择工具，安全可靠的使用工具，设备安装稳固、部件均匀排布、行列对齐、间距相等、整齐美观；布线合理、所有线都装入线槽。施工完成后需对地板卫生进行打扫、对桌面进行整理、对工具设备进行还原。 </w:t>
      </w:r>
    </w:p>
    <w:p>
      <w:pPr>
        <w:kinsoku/>
        <w:autoSpaceDE/>
        <w:autoSpaceDN/>
        <w:adjustRightInd/>
        <w:snapToGrid/>
        <w:spacing w:line="520" w:lineRule="exact"/>
        <w:ind w:firstLine="578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 xml:space="preserve">任务要求如下：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1.赛位区域地板、桌面等处卫生打扫。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2.使用的工具还原规整、设备摆放工整规整等。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3.工位设备安装整齐、设备部件均匀排布、布线合理美观等。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4.操作的安全规范。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5.着装规范。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6.资料归档完整。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7.现场工作纪律。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8.完成任务的计划性、条理性，以及遇到问题时的应对状况等。</w:t>
      </w:r>
    </w:p>
    <w:p>
      <w:bookmarkStart w:id="1" w:name="_GoBack"/>
      <w:bookmarkEnd w:id="1"/>
    </w:p>
    <w:sectPr>
      <w:footerReference r:id="rId4" w:type="default"/>
      <w:pgSz w:w="11907" w:h="16839"/>
      <w:pgMar w:top="1440" w:right="1800" w:bottom="1440" w:left="1800" w:header="0" w:footer="996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43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2741295</wp:posOffset>
              </wp:positionH>
              <wp:positionV relativeFrom="paragraph">
                <wp:posOffset>-23495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5.85pt;margin-top:-1.8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nk05WdcAAAAKAQAADwAAAAAAAAABACAAAAAiAAAAZHJzL2Rvd25yZXYueG1sUEsBAhQA&#10;FAAAAAgAh07iQL0O3bcsAgAAVQQAAA4AAAAAAAAAAQAgAAAAJ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3ZjQwOTI4YjkzNDQ2YjA5Y2M1NjIzYjE0MzVlMWIifQ=="/>
  </w:docVars>
  <w:rsids>
    <w:rsidRoot w:val="58DC2F81"/>
    <w:rsid w:val="00155922"/>
    <w:rsid w:val="00162A75"/>
    <w:rsid w:val="001C37AE"/>
    <w:rsid w:val="001C61AD"/>
    <w:rsid w:val="00460E25"/>
    <w:rsid w:val="00461604"/>
    <w:rsid w:val="004B0D53"/>
    <w:rsid w:val="00887498"/>
    <w:rsid w:val="00897709"/>
    <w:rsid w:val="009201E2"/>
    <w:rsid w:val="00997DCF"/>
    <w:rsid w:val="00A95003"/>
    <w:rsid w:val="00AD5BF3"/>
    <w:rsid w:val="00B025BC"/>
    <w:rsid w:val="00C02C86"/>
    <w:rsid w:val="00C31F93"/>
    <w:rsid w:val="00E26246"/>
    <w:rsid w:val="00F05748"/>
    <w:rsid w:val="00FB03FC"/>
    <w:rsid w:val="03EE7013"/>
    <w:rsid w:val="05AC2EFA"/>
    <w:rsid w:val="063522A9"/>
    <w:rsid w:val="0EA0228A"/>
    <w:rsid w:val="11785EFE"/>
    <w:rsid w:val="118C735D"/>
    <w:rsid w:val="12174F59"/>
    <w:rsid w:val="12C70D3C"/>
    <w:rsid w:val="1307424C"/>
    <w:rsid w:val="14A11890"/>
    <w:rsid w:val="14FB1CAC"/>
    <w:rsid w:val="1A443E65"/>
    <w:rsid w:val="1C37364C"/>
    <w:rsid w:val="1C381D54"/>
    <w:rsid w:val="1FD7217C"/>
    <w:rsid w:val="248245CE"/>
    <w:rsid w:val="284B1061"/>
    <w:rsid w:val="2990609D"/>
    <w:rsid w:val="2CA44D88"/>
    <w:rsid w:val="2D614E83"/>
    <w:rsid w:val="2DEF125C"/>
    <w:rsid w:val="300C557A"/>
    <w:rsid w:val="327B0795"/>
    <w:rsid w:val="344A1F32"/>
    <w:rsid w:val="34B92D75"/>
    <w:rsid w:val="358856A2"/>
    <w:rsid w:val="3B1B48C3"/>
    <w:rsid w:val="411E657D"/>
    <w:rsid w:val="42554AC8"/>
    <w:rsid w:val="44091583"/>
    <w:rsid w:val="44E95A32"/>
    <w:rsid w:val="465A0995"/>
    <w:rsid w:val="48BC2452"/>
    <w:rsid w:val="48DB3851"/>
    <w:rsid w:val="4B2672F7"/>
    <w:rsid w:val="4D2D703A"/>
    <w:rsid w:val="4DC66910"/>
    <w:rsid w:val="4E5C1022"/>
    <w:rsid w:val="4FB74328"/>
    <w:rsid w:val="5029188F"/>
    <w:rsid w:val="51D707B4"/>
    <w:rsid w:val="52A05555"/>
    <w:rsid w:val="58DC2F81"/>
    <w:rsid w:val="59F87909"/>
    <w:rsid w:val="5AEB6799"/>
    <w:rsid w:val="5CB040F9"/>
    <w:rsid w:val="5D06597E"/>
    <w:rsid w:val="5D91602E"/>
    <w:rsid w:val="5E7224DE"/>
    <w:rsid w:val="5FCE348D"/>
    <w:rsid w:val="60432529"/>
    <w:rsid w:val="654A437B"/>
    <w:rsid w:val="695A15B4"/>
    <w:rsid w:val="696E6382"/>
    <w:rsid w:val="6B117010"/>
    <w:rsid w:val="6B1747F7"/>
    <w:rsid w:val="6E812ACF"/>
    <w:rsid w:val="705F6A24"/>
    <w:rsid w:val="742D66A8"/>
    <w:rsid w:val="77467A1C"/>
    <w:rsid w:val="77935205"/>
    <w:rsid w:val="7DCD391B"/>
    <w:rsid w:val="7EC5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5">
    <w:name w:val="heading 1"/>
    <w:basedOn w:val="1"/>
    <w:next w:val="1"/>
    <w:link w:val="17"/>
    <w:qFormat/>
    <w:uiPriority w:val="0"/>
    <w:pPr>
      <w:keepNext/>
      <w:keepLines/>
      <w:spacing w:before="100" w:after="100"/>
      <w:outlineLvl w:val="0"/>
    </w:pPr>
    <w:rPr>
      <w:rFonts w:eastAsia="黑体"/>
      <w:b/>
      <w:kern w:val="44"/>
      <w:sz w:val="30"/>
    </w:rPr>
  </w:style>
  <w:style w:type="paragraph" w:styleId="6">
    <w:name w:val="heading 2"/>
    <w:basedOn w:val="1"/>
    <w:next w:val="1"/>
    <w:link w:val="16"/>
    <w:unhideWhenUsed/>
    <w:qFormat/>
    <w:uiPriority w:val="0"/>
    <w:pPr>
      <w:keepNext/>
      <w:keepLines/>
      <w:spacing w:line="520" w:lineRule="exact"/>
      <w:ind w:firstLine="420" w:firstLineChars="200"/>
      <w:outlineLvl w:val="1"/>
    </w:pPr>
    <w:rPr>
      <w:rFonts w:eastAsia="仿宋_GB2312"/>
      <w:b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widowControl w:val="0"/>
      <w:kinsoku/>
      <w:autoSpaceDE/>
      <w:autoSpaceDN/>
      <w:adjustRightInd/>
      <w:snapToGrid/>
      <w:ind w:firstLine="420" w:firstLineChars="1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  <w:spacing w:line="260" w:lineRule="atLeast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7">
    <w:name w:val="annotation text"/>
    <w:basedOn w:val="1"/>
    <w:qFormat/>
    <w:uiPriority w:val="0"/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9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Основной текст1"/>
    <w:basedOn w:val="14"/>
    <w:qFormat/>
    <w:uiPriority w:val="0"/>
    <w:rPr>
      <w:rFonts w:ascii="Calibri" w:hAnsi="Calibri" w:eastAsia="Calibri" w:cs="Calibri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4">
    <w:name w:val="Основной текст_"/>
    <w:basedOn w:val="12"/>
    <w:link w:val="15"/>
    <w:qFormat/>
    <w:uiPriority w:val="0"/>
    <w:rPr>
      <w:rFonts w:eastAsia="Calibri" w:cs="Calibri"/>
      <w:spacing w:val="2"/>
      <w:sz w:val="20"/>
      <w:szCs w:val="20"/>
    </w:rPr>
  </w:style>
  <w:style w:type="paragraph" w:customStyle="1" w:styleId="15">
    <w:name w:val="Основной текст4"/>
    <w:basedOn w:val="1"/>
    <w:link w:val="14"/>
    <w:qFormat/>
    <w:uiPriority w:val="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character" w:customStyle="1" w:styleId="16">
    <w:name w:val="标题 2 Char"/>
    <w:link w:val="6"/>
    <w:qFormat/>
    <w:uiPriority w:val="0"/>
    <w:rPr>
      <w:rFonts w:ascii="Arial" w:hAnsi="Arial" w:eastAsia="仿宋_GB2312"/>
      <w:b/>
      <w:sz w:val="28"/>
    </w:rPr>
  </w:style>
  <w:style w:type="character" w:customStyle="1" w:styleId="17">
    <w:name w:val="标题 1 Char"/>
    <w:link w:val="5"/>
    <w:qFormat/>
    <w:uiPriority w:val="0"/>
    <w:rPr>
      <w:rFonts w:eastAsia="黑体"/>
      <w:b/>
      <w:kern w:val="44"/>
      <w:sz w:val="30"/>
    </w:rPr>
  </w:style>
  <w:style w:type="character" w:customStyle="1" w:styleId="18">
    <w:name w:val="页眉 Char"/>
    <w:basedOn w:val="12"/>
    <w:link w:val="9"/>
    <w:qFormat/>
    <w:uiPriority w:val="0"/>
    <w:rPr>
      <w:rFonts w:ascii="Arial" w:hAnsi="Arial" w:cs="Arial" w:eastAsiaTheme="minorEastAsia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4948</Words>
  <Characters>5462</Characters>
  <Lines>40</Lines>
  <Paragraphs>11</Paragraphs>
  <TotalTime>0</TotalTime>
  <ScaleCrop>false</ScaleCrop>
  <LinksUpToDate>false</LinksUpToDate>
  <CharactersWithSpaces>5596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2023-04-13T13:04:00Z</dcterms:created>
  <dc:creator>小雨</dc:creator>
  <cp:lastModifiedBy>86152</cp:lastModifiedBy>
  <dcterms:modified xsi:type="dcterms:W3CDTF">2023-04-15T09:29:48Z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3EC3513F40BD487DAF031D73D6160AB2_13</vt:lpwstr>
  </property>
</Properties>
</file>