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pacing w:line="243" w:lineRule="atLeast"/>
        <w:jc w:val="both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  <w:bookmarkStart w:id="0" w:name="_Toc379539623"/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w w:val="90"/>
          <w:kern w:val="2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  <w:t>全国职业院校技能大赛</w:t>
      </w:r>
    </w:p>
    <w:p>
      <w:pPr>
        <w:widowControl w:val="0"/>
        <w:kinsoku/>
        <w:autoSpaceDE/>
        <w:autoSpaceDN/>
        <w:adjustRightInd/>
        <w:spacing w:line="510" w:lineRule="atLeas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  <w:t>竞赛任务书</w:t>
      </w:r>
    </w:p>
    <w:p>
      <w:pPr>
        <w:widowControl w:val="0"/>
        <w:kinsoku/>
        <w:autoSpaceDE/>
        <w:autoSpaceDN/>
        <w:adjustRightInd/>
        <w:spacing w:line="510" w:lineRule="atLeas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kern w:val="2"/>
          <w:sz w:val="72"/>
          <w:szCs w:val="72"/>
        </w:rPr>
        <w:t>样题一</w:t>
      </w:r>
    </w:p>
    <w:p>
      <w:pPr>
        <w:widowControl w:val="0"/>
        <w:kinsoku/>
        <w:autoSpaceDE/>
        <w:autoSpaceDN/>
        <w:adjustRightInd/>
        <w:spacing w:line="510" w:lineRule="atLeas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kern w:val="2"/>
          <w:sz w:val="52"/>
          <w:szCs w:val="52"/>
        </w:rPr>
      </w:pPr>
    </w:p>
    <w:p>
      <w:pPr>
        <w:widowControl w:val="0"/>
        <w:kinsoku/>
        <w:autoSpaceDE/>
        <w:autoSpaceDN/>
        <w:adjustRightInd/>
        <w:spacing w:line="532" w:lineRule="atLeas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widowControl w:val="0"/>
        <w:kinsoku/>
        <w:autoSpaceDE/>
        <w:autoSpaceDN/>
        <w:adjustRightInd/>
        <w:spacing w:line="243" w:lineRule="atLeast"/>
        <w:jc w:val="center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widowControl w:val="0"/>
        <w:kinsoku/>
        <w:autoSpaceDE/>
        <w:autoSpaceDN/>
        <w:adjustRightInd/>
        <w:snapToGrid/>
        <w:spacing w:line="800" w:lineRule="exact"/>
        <w:ind w:left="839"/>
        <w:jc w:val="both"/>
        <w:textAlignment w:val="auto"/>
        <w:rPr>
          <w:rFonts w:ascii="黑体" w:hAnsi="黑体" w:eastAsia="黑体" w:cs="黑体"/>
          <w:snapToGrid/>
          <w:color w:val="auto"/>
          <w:kern w:val="2"/>
          <w:sz w:val="32"/>
          <w:szCs w:val="24"/>
          <w:u w:val="single"/>
        </w:rPr>
      </w:pP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24"/>
        </w:rPr>
        <w:t>赛项名称：</w:t>
      </w: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24"/>
          <w:u w:val="single"/>
        </w:rPr>
        <w:t xml:space="preserve">生产单元数字化改造                  </w:t>
      </w:r>
    </w:p>
    <w:p>
      <w:pPr>
        <w:widowControl w:val="0"/>
        <w:kinsoku/>
        <w:autoSpaceDE/>
        <w:autoSpaceDN/>
        <w:adjustRightInd/>
        <w:snapToGrid/>
        <w:spacing w:line="800" w:lineRule="exact"/>
        <w:ind w:left="2438" w:leftChars="399" w:hanging="1600" w:hangingChars="500"/>
        <w:textAlignment w:val="auto"/>
        <w:rPr>
          <w:rFonts w:eastAsia="黑体"/>
          <w:snapToGrid/>
          <w:color w:val="auto"/>
          <w:kern w:val="2"/>
          <w:sz w:val="32"/>
          <w:szCs w:val="24"/>
          <w:u w:val="single"/>
        </w:rPr>
      </w:pP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24"/>
        </w:rPr>
        <w:t>英文名称：</w:t>
      </w:r>
      <w:r>
        <w:rPr>
          <w:rFonts w:hint="eastAsia" w:eastAsia="黑体"/>
          <w:snapToGrid/>
          <w:color w:val="auto"/>
          <w:kern w:val="2"/>
          <w:sz w:val="32"/>
          <w:szCs w:val="24"/>
          <w:u w:val="single"/>
        </w:rPr>
        <w:t xml:space="preserve">Digital transformation of production units </w:t>
      </w:r>
    </w:p>
    <w:p>
      <w:pPr>
        <w:widowControl w:val="0"/>
        <w:kinsoku/>
        <w:autoSpaceDE/>
        <w:autoSpaceDN/>
        <w:adjustRightInd/>
        <w:snapToGrid/>
        <w:spacing w:line="800" w:lineRule="exact"/>
        <w:ind w:left="839"/>
        <w:jc w:val="both"/>
        <w:textAlignment w:val="auto"/>
        <w:rPr>
          <w:rFonts w:ascii="黑体" w:hAnsi="黑体" w:eastAsia="黑体" w:cs="黑体"/>
          <w:snapToGrid/>
          <w:color w:val="auto"/>
          <w:kern w:val="2"/>
          <w:sz w:val="32"/>
          <w:szCs w:val="24"/>
        </w:rPr>
      </w:pP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24"/>
        </w:rPr>
        <w:t>赛项组别：</w:t>
      </w:r>
      <w:r>
        <w:rPr>
          <w:rFonts w:hint="eastAsia" w:ascii="黑体" w:hAnsi="黑体" w:eastAsia="黑体" w:cs="黑体"/>
          <w:color w:val="auto"/>
          <w:sz w:val="32"/>
          <w:u w:val="single"/>
          <w:lang w:eastAsia="zh-CN"/>
        </w:rPr>
        <w:t>高等职业教育</w:t>
      </w:r>
      <w:r>
        <w:rPr>
          <w:rFonts w:hint="eastAsia" w:ascii="黑体" w:hAnsi="黑体" w:eastAsia="黑体" w:cs="黑体"/>
          <w:color w:val="auto"/>
          <w:sz w:val="32"/>
          <w:u w:val="single"/>
          <w:lang w:val="en-US" w:eastAsia="zh-CN"/>
        </w:rPr>
        <w:t>(师生同赛)</w:t>
      </w:r>
      <w:r>
        <w:rPr>
          <w:rFonts w:hint="eastAsia" w:ascii="黑体" w:hAnsi="黑体" w:eastAsia="黑体" w:cs="黑体"/>
          <w:color w:val="auto"/>
          <w:sz w:val="32"/>
          <w:szCs w:val="24"/>
          <w:u w:val="single"/>
          <w:lang w:val="en-US" w:eastAsia="zh-CN"/>
        </w:rPr>
        <w:t xml:space="preserve">              </w:t>
      </w:r>
    </w:p>
    <w:p>
      <w:pPr>
        <w:widowControl w:val="0"/>
        <w:kinsoku/>
        <w:autoSpaceDE/>
        <w:autoSpaceDN/>
        <w:adjustRightInd/>
        <w:snapToGrid/>
        <w:spacing w:line="800" w:lineRule="exact"/>
        <w:ind w:left="839"/>
        <w:jc w:val="both"/>
        <w:textAlignment w:val="auto"/>
        <w:rPr>
          <w:rFonts w:ascii="黑体" w:hAnsi="黑体" w:eastAsia="黑体" w:cs="黑体"/>
          <w:snapToGrid/>
          <w:color w:val="auto"/>
          <w:kern w:val="2"/>
          <w:sz w:val="32"/>
          <w:szCs w:val="24"/>
          <w:u w:val="single"/>
        </w:rPr>
      </w:pP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24"/>
        </w:rPr>
        <w:t>赛项编号：</w:t>
      </w: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24"/>
          <w:u w:val="single"/>
        </w:rPr>
        <w:t xml:space="preserve">GZ020                               </w:t>
      </w:r>
    </w:p>
    <w:p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Calibri" w:hAnsi="Calibri" w:eastAsia="宋体" w:cs="Times New Roman"/>
          <w:snapToGrid/>
          <w:color w:val="auto"/>
          <w:kern w:val="2"/>
          <w:szCs w:val="22"/>
        </w:rPr>
      </w:pPr>
    </w:p>
    <w:p>
      <w:pPr>
        <w:kinsoku/>
        <w:autoSpaceDE/>
        <w:autoSpaceDN/>
        <w:adjustRightInd/>
        <w:snapToGrid/>
        <w:spacing w:after="200"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sectPr>
          <w:footerReference r:id="rId3" w:type="default"/>
          <w:pgSz w:w="11907" w:h="16839"/>
          <w:pgMar w:top="1440" w:right="1800" w:bottom="1440" w:left="1800" w:header="0" w:footer="996" w:gutter="0"/>
          <w:cols w:space="720" w:num="1"/>
        </w:sectPr>
      </w:pPr>
    </w:p>
    <w:bookmarkEnd w:id="0"/>
    <w:p>
      <w:pPr>
        <w:kinsoku/>
        <w:autoSpaceDE/>
        <w:autoSpaceDN/>
        <w:adjustRightInd/>
        <w:snapToGrid/>
        <w:spacing w:after="200"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202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  <w:t>3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年全国职业院校技能大赛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  <w:t>高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职组</w:t>
      </w:r>
    </w:p>
    <w:p>
      <w:pPr>
        <w:kinsoku/>
        <w:autoSpaceDE/>
        <w:autoSpaceDN/>
        <w:adjustRightInd/>
        <w:snapToGrid/>
        <w:spacing w:after="200" w:line="520" w:lineRule="exact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“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  <w:t>生产单元数字化改造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 w:eastAsia="ru-RU"/>
        </w:rPr>
        <w:t>”赛项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/>
        </w:rPr>
        <w:t>（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  <w:t>样题一</w:t>
      </w: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  <w:lang w:val="ru-RU"/>
        </w:rPr>
        <w:t>）</w:t>
      </w:r>
    </w:p>
    <w:p>
      <w:pPr>
        <w:rPr>
          <w:rStyle w:val="12"/>
          <w:rFonts w:ascii="仿宋_GB2312" w:hAnsi="仿宋_GB2312" w:eastAsia="仿宋_GB2312" w:cs="仿宋_GB2312"/>
          <w:b/>
          <w:bCs/>
          <w:color w:val="auto"/>
          <w:spacing w:val="4"/>
          <w:sz w:val="28"/>
          <w:szCs w:val="28"/>
          <w:shd w:val="clear" w:color="auto" w:fill="auto"/>
          <w:lang w:val="en-US"/>
        </w:rPr>
      </w:pPr>
    </w:p>
    <w:p>
      <w:pPr>
        <w:pStyle w:val="14"/>
        <w:shd w:val="clear" w:color="auto" w:fill="auto"/>
        <w:spacing w:before="0" w:after="0" w:line="520" w:lineRule="exact"/>
        <w:ind w:firstLine="0"/>
        <w:rPr>
          <w:rFonts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选手须知：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1.任务书共 11 页，如出现任务书缺页、字迹不清等问题，请及时向裁判示意，并进行任务书的更换。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2.参赛队应在6小时内完成任务书规定内容。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3.任务书中只能填写竞赛相关信息，不得出现学校、姓名等与身份有关的信息或与竞赛过程无关的内容，否则成绩无效。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4.在完成任务过程中，请及时保存程序及数据。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5.本赛程结束前，请选手自行备份项目程序及文件至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6.由于参赛选手人为原因导致竞赛设备损坏，以致无法正常继续比赛，将取消参赛队竞赛资格。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7.大赛提供的部分3D模型、器件手册及相关资料已存储到“E:\资料”文件夹下。</w:t>
      </w:r>
    </w:p>
    <w:p>
      <w:pPr>
        <w:spacing w:line="340" w:lineRule="auto"/>
        <w:rPr>
          <w:rFonts w:ascii="仿宋_GB2312" w:hAnsi="仿宋_GB2312" w:eastAsia="仿宋_GB2312" w:cs="仿宋_GB2312"/>
          <w:color w:val="auto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2"/>
        <w:ind w:firstLine="280"/>
        <w:rPr>
          <w:rFonts w:ascii="仿宋_GB2312" w:hAnsi="仿宋_GB2312" w:eastAsia="仿宋_GB2312" w:cs="仿宋_GB2312"/>
          <w:sz w:val="28"/>
          <w:szCs w:val="28"/>
        </w:rPr>
      </w:pPr>
    </w:p>
    <w:p>
      <w:pPr>
        <w:pStyle w:val="14"/>
        <w:shd w:val="clear" w:color="auto" w:fill="auto"/>
        <w:spacing w:before="0" w:after="0" w:line="520" w:lineRule="exact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zh-Han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竞赛场次：第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u w:val="single"/>
          <w:shd w:val="clear" w:color="auto" w:fill="auto"/>
          <w:lang w:val="en-US"/>
        </w:rPr>
        <w:t xml:space="preserve">   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场                          赛位号：第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u w:val="single"/>
          <w:shd w:val="clear" w:color="auto" w:fill="auto"/>
          <w:lang w:val="en-US"/>
        </w:rPr>
        <w:t xml:space="preserve">   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号</w:t>
      </w:r>
    </w:p>
    <w:p>
      <w:pPr>
        <w:pStyle w:val="2"/>
        <w:ind w:firstLine="0" w:firstLineChars="0"/>
      </w:pPr>
    </w:p>
    <w:p>
      <w:pPr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br w:type="page"/>
      </w:r>
    </w:p>
    <w:p>
      <w:pPr>
        <w:pStyle w:val="5"/>
        <w:keepNext w:val="0"/>
        <w:keepLines w:val="0"/>
        <w:kinsoku/>
        <w:autoSpaceDE/>
        <w:autoSpaceDN/>
        <w:adjustRightInd/>
        <w:snapToGrid/>
        <w:spacing w:before="0" w:after="0"/>
        <w:textAlignment w:val="auto"/>
        <w:rPr>
          <w:color w:val="auto"/>
        </w:rPr>
      </w:pPr>
      <w:r>
        <w:rPr>
          <w:rFonts w:hint="eastAsia"/>
          <w:color w:val="auto"/>
        </w:rPr>
        <w:t>竞赛平台描述：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生产单元数字</w:t>
      </w:r>
      <w:r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化改造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竞赛平台是以数字化关键技术为核心，集成智能仓储、智能机器人、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AMR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自主移动机器人、智能视觉、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SCADA系统监控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WMS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系统、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MES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系统、</w:t>
      </w:r>
      <w:r>
        <w:rPr>
          <w:rFonts w:ascii="Times New Roman" w:hAnsi="Times New Roman" w:eastAsia="仿宋_GB2312"/>
          <w:color w:val="auto"/>
          <w:sz w:val="28"/>
          <w:szCs w:val="28"/>
          <w:lang w:bidi="ar"/>
        </w:rPr>
        <w:t>数字孪生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的综合应用单元。竞赛平台参考示意图如图1所示。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</w:p>
    <w:p>
      <w:pPr>
        <w:jc w:val="center"/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451860" cy="1527175"/>
            <wp:effectExtent l="0" t="0" r="2540" b="9525"/>
            <wp:docPr id="17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5186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shd w:val="clear" w:color="auto" w:fill="auto"/>
        <w:spacing w:before="0" w:after="0" w:line="240" w:lineRule="auto"/>
        <w:ind w:firstLine="0"/>
        <w:rPr>
          <w:color w:val="auto"/>
        </w:rPr>
      </w:pPr>
    </w:p>
    <w:p>
      <w:pPr>
        <w:pStyle w:val="14"/>
        <w:shd w:val="clear" w:color="auto" w:fill="auto"/>
        <w:spacing w:before="0" w:after="0" w:line="520" w:lineRule="exact"/>
        <w:ind w:firstLine="0"/>
        <w:jc w:val="center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图1 竞赛平台布局参考示意图</w:t>
      </w:r>
    </w:p>
    <w:p>
      <w:pPr>
        <w:pStyle w:val="14"/>
        <w:shd w:val="clear" w:color="auto" w:fill="auto"/>
        <w:spacing w:before="0" w:after="0" w:line="240" w:lineRule="auto"/>
        <w:ind w:firstLine="0"/>
        <w:rPr>
          <w:color w:val="auto"/>
        </w:rPr>
      </w:pPr>
    </w:p>
    <w:p>
      <w:pPr>
        <w:pStyle w:val="14"/>
        <w:shd w:val="clear" w:color="auto" w:fill="auto"/>
        <w:spacing w:before="0" w:after="0" w:line="360" w:lineRule="auto"/>
        <w:ind w:firstLine="576" w:firstLineChars="200"/>
        <w:jc w:val="left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其生产工艺参考流程为：根据客户联接器生产任务定制需求，在MES系统中下发任务订单，由机器人完成订单指定物料的取料，AMR自主移动机器人将物料运送至智能装配区，智能机器人与智能视觉配合完成物料的检测与抓取，按照任务订单要求，完成定制产品的组装与检测，根据检测结果，放置到指定仓位。生产任务执行过程中，实时采集仓位、智能机器人、AMR自主移动机器人、智能视觉、RFID等相关数据，通过数字孪生实现虚实结合，完成联接器装配。联接器装配示意图如图2所示。</w:t>
      </w:r>
    </w:p>
    <w:p>
      <w:pPr>
        <w:pStyle w:val="14"/>
        <w:shd w:val="clear" w:color="auto" w:fill="auto"/>
        <w:spacing w:before="0" w:after="0" w:line="360" w:lineRule="auto"/>
        <w:ind w:firstLine="0"/>
        <w:jc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2403475" cy="1591945"/>
            <wp:effectExtent l="0" t="0" r="9525" b="8255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3475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shd w:val="clear" w:color="auto" w:fill="auto"/>
        <w:spacing w:before="0" w:after="0" w:line="520" w:lineRule="exact"/>
        <w:ind w:firstLine="0"/>
        <w:jc w:val="center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图2 联接器装配示意图</w:t>
      </w: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任务一：生产单元数字化改造方案设计（15%）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任务1.1 生产单元功能规划及仿真验证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1.1.1 根据生产工艺流程，绘制生产单元的工艺流程图，并生成PDF版本，以“赛位号+生产单元工艺流程图”为文件名，保存在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1.1.2 智能仓储仿真设计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（1）在已构建的数字孪生模型基础上标定模型位置，实现实物与数字孪生模型位置的1:1布局，同时生成平面布局图，以“赛位号+智能仓储布局图”为文件名，并以PDF版本保存在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（2）根据竞赛平台中提供的模型设置物理属性，创建运动属性，添加信号表。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（3）在仿真系统中控制智能仓储机器人的X轴、Y轴、Z轴位置运动。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1.1.3 生产单元系统仿真测试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在数字孪生软件中配置通信和信号，将配置的通信信号与模型驱动接口建立映射。编写PLC和触摸屏程序，通过PLC控制生产单元数字孪生模型，实现生产单元模型在软件中仿真测试。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（1）生产单元数字孪生模型的驱动接口与外部通信信号建立映射，实现数字孪生系统和PLC的数据交换。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（2）自行设计智能仓储虚拟仿真方案并实施测试，测试内容包括但不限于，通过触摸屏控制智能仓储机器人的X\Y\Z轴的移动，实现指定仓位取放料操作。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任务1.2 生产数据采集方案规划设计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1.2.1 根据生产工艺流程中对数据采集的要求，编制数据采集方案，需明确采集数据内容、智能硬件、通信协议、数据格式和通信链路，以“赛位号+数据采集方案”为文件名，并生成PDF版本保存在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1.2.2 根据采集方案，绘制生产单元网络拓扑图，并规划各硬件网络地址，以“赛位号+网络拓扑图（采集）”为文件名，并生成PDF版本保存在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outlineLvl w:val="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1.2.3 数据库环境搭建及测试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（1）自行设计数据表格式。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（2）建立仓位、智能视觉、各机器人状态、RFID以及能耗数据变量，通过调试助手工具完成数据库的通信测试。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任务1.3 网络部署方案设计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1.3.1 基于网络安全和工业云平台数据应用，绘制基于防火墙和工业网关的网络拓扑图，以“赛位号+网络拓扑图（安全）”为文件名，并生成PDF版本保存在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1.3.2 能够对赛项设置的网络“攻击”行为实施数据分析、防护处置和网络管控，并填写《网络信息安全分析报告》，以“赛位号+网络信息安全分析报告”为文件名，并生成PDF版本保存在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“E:\赛位号”</w:t>
      </w: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文件夹下。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（1）编制、使用网络安全工具软件检查并分析工业网络，找到可能的危险数据。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使用两台计算机，计算机1向计算机2发送三次数据，获取对应数据，以.pcapng格式进行保存，查看获取的数据信息，分析发送信息的时间和数据长度。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（2）基于网络监控与分析，追溯危险数据来源。</w:t>
      </w:r>
    </w:p>
    <w:p>
      <w:pPr>
        <w:pStyle w:val="14"/>
        <w:shd w:val="clear" w:color="auto" w:fill="auto"/>
        <w:spacing w:before="0" w:after="0" w:line="520" w:lineRule="exact"/>
        <w:ind w:firstLine="576" w:firstLineChars="200"/>
        <w:rPr>
          <w:rStyle w:val="12"/>
          <w:rFonts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pacing w:val="4"/>
          <w:sz w:val="28"/>
          <w:szCs w:val="28"/>
          <w:shd w:val="clear" w:color="auto" w:fill="auto"/>
          <w:lang w:val="en-US"/>
        </w:rPr>
        <w:t>使用两台计算机，使用telnet明文传送方式，计算机1通过TCP协议向计算机2发送三条信息（信息内容裁判指定），计算机2获取对应数据，以.pcapng格式进行保存，查看获取的数据信息，分析计算机1的IP地址及计算机1发送的数据内容。</w:t>
      </w:r>
    </w:p>
    <w:p>
      <w:pPr>
        <w:pStyle w:val="5"/>
        <w:rPr>
          <w:color w:val="auto"/>
        </w:rPr>
      </w:pP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任务二：生产单元智能化集成（10%）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任务2.1 生产单元网络搭建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根据生产单元数字化改造方案设计的网络拓扑图，完成交换机、数据采集设备、生产单元设备软、硬件的网络连接及IP地址配置。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任务2.2 生产单元网络通讯测试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根据生产单元设备软、硬件的网络连接及IP地址配置，测试网络通讯状态，显示同一局域网下所有网络设备IP地址。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任务2.3 智能网关参数配置与数据采集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2.3.1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根据系统网络结构的规划，完成智能网关的参数配置，使其与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SCADA系统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建立数据连接。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2.3.2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通过智能网关能够采集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生产单元电能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的实时数据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，并在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  <w:lang w:val="zh-Hans"/>
        </w:rPr>
        <w:t>智能网关的组态界面中能实时显示。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任务2.4 智能仓储数据采集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2.4.1根据生产单元数字化改造计划，按照工艺流程，对智能仓储、SCADA系统进行程序的编写和调试。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2.4.2编写SCADA系统界面与PLC通讯，通过SCADA系统，远程监控设备相关数据，包括机器人各个轴的运行状态、仓库传感器状态等，实现数据可视化。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 xml:space="preserve">任务2.5 </w:t>
      </w:r>
      <w:r>
        <w:rPr>
          <w:color w:val="auto"/>
        </w:rPr>
        <w:t>构建</w:t>
      </w:r>
      <w:r>
        <w:rPr>
          <w:rFonts w:hint="eastAsia"/>
          <w:color w:val="auto"/>
        </w:rPr>
        <w:t>AMR自主移动机器人</w:t>
      </w:r>
      <w:r>
        <w:rPr>
          <w:color w:val="auto"/>
        </w:rPr>
        <w:t>环境地图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2.5.1 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在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AMR自主移动机器人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建图工具中，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根据参考工艺流程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控制其在竞赛单元场地运动，构建环境地图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2.5.2 智能仓储第一列处为1号接驳点，智能仓储第二列处为2号接驳点，智能仓储第三列处为3号接驳点，智能仓储第四列处为4号接驳点，智能仓储第五列处为5号接驳点，智能仓储入库信息读写位处为6号接驳点，起始点处为8号，智能视觉区为7号接驳点。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在环境地图中设置导航点，设置合理的“起始点”(导航点 8)；在“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智能仓储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”第2列出库点附近设置合理的导航点(导航点2)；在“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智能视觉区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”的上料区一侧，设置合理的导航点(导航点7)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2.5.3 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测试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AMR自主移动机器人</w:t>
      </w:r>
      <w:r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  <w:t>的自主导航功能，在建图工具操作界面中，利用“坐标导航”功能，控制移动机器人自主地从导航点8移动至导航点2。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任务2.6 防火墙配置与安全策略设置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2.6.1 通过防火墙管理界面，将其GE1端口配置为外网接口、GE2端口配置为内网接口、GE3端口配置为SCADA系统端口。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2.6.2 配置防火墙安全策略，实现外网设备通过外网接口不能访问SCADA系统，SCADA系统通过内网接口能够访问外网设备。</w:t>
      </w:r>
    </w:p>
    <w:p>
      <w:pPr>
        <w:pStyle w:val="5"/>
        <w:rPr>
          <w:color w:val="auto"/>
        </w:rPr>
      </w:pP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任务三：</w:t>
      </w:r>
      <w:r>
        <w:rPr>
          <w:color w:val="auto"/>
        </w:rPr>
        <w:t>生产单元</w:t>
      </w:r>
      <w:r>
        <w:rPr>
          <w:rFonts w:hint="eastAsia"/>
          <w:color w:val="auto"/>
        </w:rPr>
        <w:t>功能开发与测试（30%）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任务3.1 智能仓储功能开发与测试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3.1.1 智能仓储区机器人各轴功能调试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（1）进行PLC程序编写与调试，通过触摸屏控制机器人各轴正反方向运动，并实时显示其位置信息。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（2）通过触摸屏手动控制机器人X轴、Y轴和Z轴的正反向运动，到达各轴对应方向的限位时，该轴自动停止运动。</w:t>
      </w:r>
    </w:p>
    <w:p>
      <w:pPr>
        <w:widowControl w:val="0"/>
        <w:spacing w:line="520" w:lineRule="exact"/>
        <w:ind w:firstLine="576" w:firstLineChars="200"/>
        <w:jc w:val="both"/>
        <w:outlineLvl w:val="0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cs="仿宋_GB2312"/>
          <w:color w:val="auto"/>
          <w:spacing w:val="4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.</w:t>
      </w:r>
      <w:r>
        <w:rPr>
          <w:rFonts w:hint="eastAsia" w:ascii="仿宋_GB2312" w:hAnsi="仿宋_GB2312" w:cs="仿宋_GB2312"/>
          <w:color w:val="auto"/>
          <w:spacing w:val="4"/>
          <w:sz w:val="28"/>
          <w:szCs w:val="28"/>
        </w:rPr>
        <w:t xml:space="preserve">1.2 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智能仓储入库功能调试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能够实现智能仓储的基本运动控制和状态显示，包含机器人各轴的复位、停止功能，显示机器人各轴的运行状态、限位和原点传感器状态、以及实时位置，显示智能仓储中有无托盘信息。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测试要求如下：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（1）编写智能仓储PLC和触摸屏程序，通过触摸屏中复位按钮完成各轴回原点操作。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（2）手动将载有工件的托盘放至入库信息读写位，通过触摸屏输入工件信息，RFID读写器将工件信息写入到工件托盘中。工件信息编码规则如表1所示。</w:t>
      </w:r>
    </w:p>
    <w:tbl>
      <w:tblPr>
        <w:tblStyle w:val="10"/>
        <w:tblpPr w:leftFromText="180" w:rightFromText="180" w:vertAnchor="text" w:horzAnchor="page" w:tblpX="1965" w:tblpY="52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80"/>
        <w:gridCol w:w="1173"/>
        <w:gridCol w:w="1200"/>
        <w:gridCol w:w="1314"/>
        <w:gridCol w:w="953"/>
        <w:gridCol w:w="1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6" w:type="dxa"/>
            <w:gridSpan w:val="7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托盘信息编码规则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83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</w:t>
            </w:r>
          </w:p>
        </w:tc>
        <w:tc>
          <w:tcPr>
            <w:tcW w:w="880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数组1</w:t>
            </w:r>
          </w:p>
        </w:tc>
        <w:tc>
          <w:tcPr>
            <w:tcW w:w="117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数组2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数组3</w:t>
            </w:r>
          </w:p>
        </w:tc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数组4</w:t>
            </w:r>
          </w:p>
        </w:tc>
        <w:tc>
          <w:tcPr>
            <w:tcW w:w="95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数组5</w:t>
            </w:r>
          </w:p>
        </w:tc>
        <w:tc>
          <w:tcPr>
            <w:tcW w:w="195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数组6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83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名称</w:t>
            </w:r>
          </w:p>
        </w:tc>
        <w:tc>
          <w:tcPr>
            <w:tcW w:w="880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场次</w:t>
            </w:r>
          </w:p>
        </w:tc>
        <w:tc>
          <w:tcPr>
            <w:tcW w:w="117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工件1信息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工件2信息</w:t>
            </w:r>
          </w:p>
        </w:tc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工件3信息</w:t>
            </w:r>
          </w:p>
        </w:tc>
        <w:tc>
          <w:tcPr>
            <w:tcW w:w="95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仓位号</w:t>
            </w:r>
          </w:p>
        </w:tc>
        <w:tc>
          <w:tcPr>
            <w:tcW w:w="195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零件状态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参数</w:t>
            </w:r>
          </w:p>
        </w:tc>
        <w:tc>
          <w:tcPr>
            <w:tcW w:w="880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01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02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03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04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05</w:t>
            </w:r>
          </w:p>
        </w:tc>
        <w:tc>
          <w:tcPr>
            <w:tcW w:w="117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0:无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1:黑色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2:红色</w:t>
            </w:r>
          </w:p>
        </w:tc>
        <w:tc>
          <w:tcPr>
            <w:tcW w:w="1200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0:无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1:黑色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2:红色</w:t>
            </w:r>
          </w:p>
        </w:tc>
        <w:tc>
          <w:tcPr>
            <w:tcW w:w="1314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0:无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1:黑色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2:红色</w:t>
            </w:r>
          </w:p>
        </w:tc>
        <w:tc>
          <w:tcPr>
            <w:tcW w:w="95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01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02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03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04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....</w:t>
            </w:r>
          </w:p>
        </w:tc>
        <w:tc>
          <w:tcPr>
            <w:tcW w:w="1953" w:type="dxa"/>
            <w:vAlign w:val="center"/>
          </w:tcPr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01：待装配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02：装配合格</w:t>
            </w:r>
          </w:p>
          <w:p>
            <w:pPr>
              <w:widowControl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03：装配不合格</w:t>
            </w:r>
          </w:p>
        </w:tc>
      </w:tr>
    </w:tbl>
    <w:p>
      <w:pPr>
        <w:spacing w:line="520" w:lineRule="exact"/>
        <w:jc w:val="center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表1：工件信息编码规则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3）通过触摸屏控制机器人运动，将写入工件信息的物料托盘运送至8号仓位（第二行第三列），到位后仓位指示灯亮白色，运行过程中，触摸屏界面上实时显示机器人和仓位数据变化（包含机器人各轴的运行状态、限位和原点传感器状态、以及实时位置，显示智能仓储中有无托盘信息）。</w:t>
      </w:r>
    </w:p>
    <w:p>
      <w:pPr>
        <w:widowControl w:val="0"/>
        <w:spacing w:line="520" w:lineRule="exact"/>
        <w:ind w:firstLine="576" w:firstLineChars="200"/>
        <w:jc w:val="both"/>
        <w:outlineLvl w:val="0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cs="仿宋_GB2312"/>
          <w:color w:val="auto"/>
          <w:spacing w:val="4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.</w:t>
      </w:r>
      <w:r>
        <w:rPr>
          <w:rFonts w:hint="eastAsia" w:ascii="仿宋_GB2312" w:hAnsi="仿宋_GB2312" w:cs="仿宋_GB2312"/>
          <w:color w:val="auto"/>
          <w:spacing w:val="4"/>
          <w:sz w:val="28"/>
          <w:szCs w:val="28"/>
        </w:rPr>
        <w:t xml:space="preserve">1.3 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智能仓储移库功能调试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（1）手动在6号仓位(第一列，第二行) 放置一个空托盘；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（2）在触摸屏上输入当前仓位（6号仓位）和目标仓位（13号仓位），点击“移库”按钮，机器人将6号仓位的空托盘取出，放置于13号仓位(第三列，第三行)。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任务3.2  智能装配功能开发与测试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3.2.1 手动分别将各1个件1、件2和件3放置工件暂存区对应位置。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3.2.2 编写程序，依次完成工件的装配。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3.2.3 编写检测程序，对装配完成的成品进行测量。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任务3.3  AMR自主移动机器人工作站功能开发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3.3.1 通过PLC和触摸屏程序编写，在触摸屏上选取装配工件所对应的3个仓位号，依次进行智能仓储出库，通过AMR自主移动机器人转运至智能视觉区。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3.3.2 通过智能视觉对工件进行颜色、尺寸、位置、形状的检测识别，机器人抓取工件物料放至暂存区，3种零件齐套后，工业机器人完成联接器装配。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3.3.3 装配完成后，通过RFID进行工件信息的更新写入。</w:t>
      </w:r>
    </w:p>
    <w:p>
      <w:pPr>
        <w:widowControl w:val="0"/>
        <w:spacing w:line="520" w:lineRule="exact"/>
        <w:ind w:firstLine="576" w:firstLineChars="200"/>
        <w:jc w:val="both"/>
        <w:rPr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3.3.4 通过AMR自主移动机器人，完成联接器的入库。</w:t>
      </w: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任务四： 生产单元信息化技术集成(10%)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任务4.1 WMS系统的信息化集成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4.1.1 完成WMS系统的部署和配置，使其与智能仓储的PLC进行通讯，并实时显示通讯状态（在线或离线）。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4.1.2 编写PLC和触摸屏等程序，通过WMS系统的仓位信息管理界面和RFID在入库信息读写位录入智能仓储存放工件信息，并实时同步到WMS系统的仓位信息管理界面。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4.1.3 编写PLC和触摸屏等程序，通过WMS系统的盘点管理界面下发盘点指令，依次对各仓位进行盘点，并将仓位信息实时同步到WMS系统的盘点管理界面。</w:t>
      </w:r>
    </w:p>
    <w:p>
      <w:pPr>
        <w:widowControl w:val="0"/>
        <w:spacing w:line="520" w:lineRule="exact"/>
        <w:ind w:firstLine="578" w:firstLineChars="200"/>
        <w:jc w:val="both"/>
        <w:outlineLvl w:val="1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任务</w:t>
      </w:r>
      <w:r>
        <w:rPr>
          <w:rFonts w:hint="eastAsia" w:eastAsia="仿宋_GB2312"/>
          <w:b/>
          <w:color w:val="auto"/>
          <w:sz w:val="28"/>
        </w:rPr>
        <w:t>4.2 SCADA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系统信息化集成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4.2.1 SCADA系统配置和界面制作，使其与智能装配的PLC进行通讯，并实时显示通讯状态（在线或离线）。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4.2.2 制作SCADA系统智能装配的智能机器人数据监控界面，手动操作智能机器人，SCADA系统工业机器人信息界面实时更新智能机器人6个轴的关节数据（J1、J2、J3、J4、J5、J6）。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4.2.3 完成SCADA系统中AMR自主移动机器人运行数据监控界面制作，实时显示AMR自主移动机器人的电池电量、当前坐标X、当前坐标Y、旋转角度、运行模式、充电状态等当前状态。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任务4.3 MES系统的信息化集成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4.3.1 完成MES系统配置和变量解析，使其与智能装配的PLC进行通讯，并实时显示通讯状态（在线或离线）。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4.3.2 完成MES系统的智能机器人信息界面数据的变量解析，手动操作智能机器人，MES系统的智能机器人信息界面实时更新智能机器人6个轴的关节数据（J1、J2、J3、J4、J5、J6）。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4.3.3 完成MES系统中AMR自主移动机器人运行界面数据的变量解析，实时显示AMR自主移动机器人的电池电量、当前坐标X、当前坐标Y、旋转角度、运行模式、充电状态等当前状态。</w:t>
      </w:r>
    </w:p>
    <w:p>
      <w:pPr>
        <w:keepNext/>
        <w:spacing w:line="520" w:lineRule="exact"/>
        <w:jc w:val="both"/>
        <w:outlineLvl w:val="2"/>
        <w:rPr>
          <w:rFonts w:eastAsia="黑体"/>
          <w:b/>
          <w:color w:val="auto"/>
          <w:kern w:val="44"/>
          <w:sz w:val="30"/>
        </w:rPr>
      </w:pPr>
      <w:r>
        <w:rPr>
          <w:rFonts w:hint="eastAsia" w:eastAsia="黑体"/>
          <w:b/>
          <w:color w:val="auto"/>
          <w:kern w:val="44"/>
          <w:sz w:val="30"/>
        </w:rPr>
        <w:t>任务五：</w:t>
      </w:r>
      <w:r>
        <w:rPr>
          <w:rFonts w:eastAsia="黑体"/>
          <w:b/>
          <w:color w:val="auto"/>
          <w:kern w:val="44"/>
          <w:sz w:val="30"/>
        </w:rPr>
        <w:t>生产单元</w:t>
      </w:r>
      <w:r>
        <w:rPr>
          <w:rFonts w:hint="eastAsia" w:eastAsia="黑体"/>
          <w:b/>
          <w:color w:val="auto"/>
          <w:kern w:val="44"/>
          <w:sz w:val="30"/>
        </w:rPr>
        <w:t>运行生产（15%）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任务5.1 基于MES系统的生产与管控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客户联接器生产任务定制需求，在在MES系统中下发任务订单，由机器人完成订单指定物料的取料，AMR自主移动机器人将物料运送至智能装配区，智能机器人与智能视觉配合完成任意位置物料的检测与抓取，按照任务订单要求，完成定制产品的组装与检测，根据检测结果，放置到指定仓位。</w:t>
      </w:r>
    </w:p>
    <w:p>
      <w:pPr>
        <w:pStyle w:val="6"/>
        <w:keepNext w:val="0"/>
        <w:keepLines w:val="0"/>
        <w:kinsoku/>
        <w:autoSpaceDE/>
        <w:autoSpaceDN/>
        <w:adjustRightInd/>
        <w:snapToGrid/>
        <w:ind w:firstLine="562"/>
        <w:textAlignment w:val="auto"/>
        <w:rPr>
          <w:color w:val="auto"/>
        </w:rPr>
      </w:pPr>
      <w:r>
        <w:rPr>
          <w:rFonts w:hint="eastAsia"/>
          <w:color w:val="auto"/>
        </w:rPr>
        <w:t>任务5.2 基于MES系统的设备管理</w:t>
      </w:r>
    </w:p>
    <w:p>
      <w:pPr>
        <w:widowControl w:val="0"/>
        <w:spacing w:line="520" w:lineRule="exact"/>
        <w:ind w:firstLine="576" w:firstLineChars="200"/>
        <w:jc w:val="both"/>
        <w:outlineLvl w:val="0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生产任务执行过程中，实时采集仓位、智能机器人、AMR自主移动机器人、RFID等相关数据，并在MES看板中显示。</w:t>
      </w:r>
    </w:p>
    <w:p>
      <w:pPr>
        <w:widowControl w:val="0"/>
        <w:spacing w:line="520" w:lineRule="exact"/>
        <w:ind w:firstLine="576" w:firstLineChars="200"/>
        <w:jc w:val="both"/>
        <w:outlineLvl w:val="0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5.2.1 看板显示设备状态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（1）实时显示AMR自主移动机器人状态。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（2）实时显示智能机器人设备状态。</w:t>
      </w:r>
    </w:p>
    <w:p>
      <w:pPr>
        <w:widowControl w:val="0"/>
        <w:spacing w:line="520" w:lineRule="exact"/>
        <w:ind w:firstLine="576" w:firstLineChars="200"/>
        <w:jc w:val="both"/>
        <w:outlineLvl w:val="0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5.2.2 看板显示仓位管理状态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（1）实时显示看板显示仓位信息。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（2）看板显示工件信息跟踪，实时跟踪工件状态信息。</w:t>
      </w:r>
    </w:p>
    <w:p>
      <w:pPr>
        <w:widowControl w:val="0"/>
        <w:spacing w:line="520" w:lineRule="exact"/>
        <w:ind w:firstLine="562" w:firstLineChars="200"/>
        <w:jc w:val="both"/>
        <w:outlineLvl w:val="1"/>
        <w:rPr>
          <w:rFonts w:eastAsia="仿宋_GB2312"/>
          <w:b/>
          <w:color w:val="auto"/>
          <w:sz w:val="28"/>
        </w:rPr>
      </w:pPr>
      <w:r>
        <w:rPr>
          <w:rFonts w:hint="eastAsia" w:eastAsia="仿宋_GB2312"/>
          <w:b/>
          <w:color w:val="auto"/>
          <w:sz w:val="28"/>
        </w:rPr>
        <w:t>任务5.3 数字孪生系统虚实联动</w:t>
      </w:r>
    </w:p>
    <w:p>
      <w:pPr>
        <w:numPr>
          <w:ilvl w:val="255"/>
          <w:numId w:val="0"/>
        </w:numPr>
        <w:spacing w:line="520" w:lineRule="exact"/>
        <w:ind w:firstLine="552" w:firstLineChars="200"/>
        <w:rPr>
          <w:rFonts w:ascii="仿宋_GB2312" w:hAnsi="仿宋_GB2312" w:eastAsia="仿宋_GB2312" w:cs="仿宋_GB2312"/>
          <w:color w:val="auto"/>
          <w:spacing w:val="-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-2"/>
          <w:sz w:val="28"/>
          <w:szCs w:val="28"/>
        </w:rPr>
        <w:t>在已构建的数字孪生模型基础上标定模型位置，实现实物与数字孪生模型位置的1:1布局。在提供的虚拟仿真软件中，完善智能机器人、智能仓储、AMR自主移动机器人、智能装配和智能视觉区动作属性。</w:t>
      </w:r>
    </w:p>
    <w:p>
      <w:pPr>
        <w:widowControl w:val="0"/>
        <w:spacing w:after="120" w:line="520" w:lineRule="exact"/>
        <w:ind w:firstLine="552" w:firstLineChars="200"/>
        <w:jc w:val="both"/>
        <w:rPr>
          <w:rFonts w:ascii="仿宋_GB2312" w:hAnsi="仿宋_GB2312" w:eastAsia="仿宋_GB2312" w:cs="仿宋_GB2312"/>
          <w:color w:val="auto"/>
          <w:kern w:val="2"/>
          <w:szCs w:val="24"/>
        </w:rPr>
      </w:pPr>
      <w:r>
        <w:rPr>
          <w:rFonts w:hint="eastAsia" w:ascii="仿宋_GB2312" w:hAnsi="仿宋_GB2312" w:eastAsia="仿宋_GB2312" w:cs="仿宋_GB2312"/>
          <w:color w:val="auto"/>
          <w:spacing w:val="-2"/>
          <w:kern w:val="2"/>
          <w:sz w:val="28"/>
          <w:szCs w:val="28"/>
        </w:rPr>
        <w:t>虚拟工作站系统各部分位置应与实物布局有一定对应关系。</w:t>
      </w:r>
    </w:p>
    <w:p>
      <w:pPr>
        <w:keepLines/>
        <w:spacing w:line="520" w:lineRule="exact"/>
        <w:ind w:firstLine="562" w:firstLineChars="200"/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bidi="ar"/>
        </w:rPr>
        <w:t>测试要求如下：</w:t>
      </w:r>
    </w:p>
    <w:p>
      <w:pPr>
        <w:keepLines/>
        <w:spacing w:line="520" w:lineRule="exact"/>
        <w:ind w:firstLine="560" w:firstLineChars="200"/>
        <w:rPr>
          <w:rFonts w:ascii="仿宋_GB2312" w:hAnsi="仿宋_GB2312" w:eastAsia="仿宋_GB2312" w:cs="仿宋_GB2312"/>
          <w:color w:val="auto"/>
          <w:sz w:val="28"/>
          <w:szCs w:val="28"/>
          <w:lang w:bidi="ar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bidi="ar"/>
        </w:rPr>
        <w:t>（1）</w:t>
      </w:r>
      <w:r>
        <w:rPr>
          <w:rFonts w:hint="eastAsia" w:ascii="仿宋_GB2312" w:hAnsi="仿宋_GB2312" w:eastAsia="仿宋_GB2312" w:cs="仿宋_GB2312"/>
          <w:color w:val="auto"/>
          <w:spacing w:val="-2"/>
          <w:sz w:val="28"/>
          <w:szCs w:val="28"/>
        </w:rPr>
        <w:t>基于生产单元数字孪生系统开放的通信协议，在数字孪生软件中配置通信和信号，将配置的通信信号与模型驱动接口建立映射。</w:t>
      </w:r>
    </w:p>
    <w:p>
      <w:pPr>
        <w:widowControl w:val="0"/>
        <w:spacing w:line="520" w:lineRule="exact"/>
        <w:ind w:firstLine="560" w:firstLineChars="200"/>
        <w:jc w:val="both"/>
        <w:rPr>
          <w:rFonts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bidi="ar"/>
        </w:rPr>
        <w:t>（2）基于MES系统的生产与管控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，生产任务执行过程中，通过实时数据采集和数字孪生软件，实现虚实联动。</w:t>
      </w:r>
    </w:p>
    <w:p>
      <w:pPr>
        <w:keepNext/>
        <w:spacing w:line="520" w:lineRule="exact"/>
        <w:jc w:val="both"/>
        <w:outlineLvl w:val="0"/>
        <w:rPr>
          <w:rFonts w:ascii="黑体" w:hAnsi="黑体" w:eastAsia="黑体" w:cs="黑体"/>
          <w:bCs/>
          <w:color w:val="auto"/>
          <w:sz w:val="32"/>
          <w:szCs w:val="32"/>
        </w:rPr>
      </w:pPr>
    </w:p>
    <w:p>
      <w:pPr>
        <w:keepNext/>
        <w:spacing w:line="520" w:lineRule="exact"/>
        <w:jc w:val="both"/>
        <w:outlineLvl w:val="0"/>
        <w:rPr>
          <w:rFonts w:eastAsia="黑体"/>
          <w:b/>
          <w:color w:val="auto"/>
          <w:kern w:val="44"/>
          <w:sz w:val="30"/>
        </w:rPr>
      </w:pPr>
      <w:r>
        <w:rPr>
          <w:rFonts w:hint="eastAsia" w:eastAsia="黑体"/>
          <w:b/>
          <w:color w:val="auto"/>
          <w:kern w:val="44"/>
          <w:sz w:val="30"/>
        </w:rPr>
        <w:t>任务六：生产单元数据应用（10%）</w:t>
      </w:r>
    </w:p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任务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.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 xml:space="preserve">1 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根据4个以上生产订单的生产结果，完成智能网关配置并制作产品检验统计界面，实时统计和计算本次生产订单的订单号、各物料所用数量和装配质量结果（合格/不合格）。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1777"/>
        <w:gridCol w:w="1753"/>
        <w:gridCol w:w="1345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1" w:type="dxa"/>
            <w:vAlign w:val="center"/>
          </w:tcPr>
          <w:p>
            <w:pPr>
              <w:widowControl w:val="0"/>
              <w:shd w:val="clear" w:color="auto" w:fill="FFFFFF"/>
              <w:tabs>
                <w:tab w:val="center" w:pos="957"/>
              </w:tabs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订单号</w:t>
            </w:r>
          </w:p>
        </w:tc>
        <w:tc>
          <w:tcPr>
            <w:tcW w:w="1777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件1数量</w:t>
            </w:r>
          </w:p>
        </w:tc>
        <w:tc>
          <w:tcPr>
            <w:tcW w:w="175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件2数量</w:t>
            </w:r>
          </w:p>
        </w:tc>
        <w:tc>
          <w:tcPr>
            <w:tcW w:w="1345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件3数量</w:t>
            </w:r>
          </w:p>
        </w:tc>
        <w:tc>
          <w:tcPr>
            <w:tcW w:w="206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装配质量结果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1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  <w:t>1</w:t>
            </w:r>
          </w:p>
        </w:tc>
        <w:tc>
          <w:tcPr>
            <w:tcW w:w="1777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ind w:hanging="360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</w:p>
        </w:tc>
        <w:tc>
          <w:tcPr>
            <w:tcW w:w="175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ind w:hanging="360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</w:p>
        </w:tc>
        <w:tc>
          <w:tcPr>
            <w:tcW w:w="1345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ind w:hanging="360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</w:p>
        </w:tc>
        <w:tc>
          <w:tcPr>
            <w:tcW w:w="2063" w:type="dxa"/>
            <w:vAlign w:val="center"/>
          </w:tcPr>
          <w:p>
            <w:pPr>
              <w:widowControl w:val="0"/>
              <w:shd w:val="clear" w:color="auto" w:fill="FFFFFF"/>
              <w:spacing w:line="520" w:lineRule="exact"/>
              <w:jc w:val="center"/>
              <w:rPr>
                <w:rFonts w:ascii="仿宋_GB2312" w:hAnsi="仿宋_GB2312" w:eastAsia="仿宋_GB2312" w:cs="仿宋_GB2312"/>
                <w:color w:val="auto"/>
                <w:spacing w:val="4"/>
                <w:sz w:val="28"/>
                <w:szCs w:val="28"/>
              </w:rPr>
            </w:pPr>
          </w:p>
        </w:tc>
      </w:tr>
    </w:tbl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任务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.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完成智能网关配置并开发AMR自主移动机器人统计界面，根据4个以上生产订单的AMR自主移动机器人运行速度和时间，生成柱状图，根据订单运行时间计算下次AMR自主移动机器人运行速度，并进行优化，提升工作效率。</w:t>
      </w:r>
    </w:p>
    <w:p>
      <w:pPr>
        <w:widowControl w:val="0"/>
        <w:spacing w:line="520" w:lineRule="exact"/>
        <w:ind w:firstLine="578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任务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>.</w:t>
      </w:r>
      <w:r>
        <w:rPr>
          <w:rFonts w:hint="eastAsia" w:ascii="仿宋_GB2312" w:hAnsi="仿宋_GB2312" w:cs="仿宋_GB2312"/>
          <w:b/>
          <w:bCs/>
          <w:color w:val="auto"/>
          <w:spacing w:val="4"/>
          <w:sz w:val="28"/>
          <w:szCs w:val="28"/>
        </w:rPr>
        <w:t xml:space="preserve">3 </w:t>
      </w: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完成智能网关配置并设计智能仓储统计界面，根据生产订单的出入库时间，生产柱状图，根据订单运行时间计算下一次智能仓储的出入库速度，并进行优化，提升工作效率。</w:t>
      </w: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任务七：生产单元改造方案自评估(5%)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根据生产单元的数字化改造过程，完成生产单元数字化改造评估总结（含：1.数字化单元改造设计的思路和特点；2.设计方案解决的关键技术问题；3.本单元数字化改造后的性能提升等内容）,以PDF版本保存《生产单元数字化改造评估总结报告》在“E:\赛位号”文件夹下。</w:t>
      </w:r>
    </w:p>
    <w:p>
      <w:pPr>
        <w:pStyle w:val="5"/>
        <w:rPr>
          <w:color w:val="auto"/>
        </w:rPr>
      </w:pPr>
    </w:p>
    <w:p>
      <w:pPr>
        <w:pStyle w:val="5"/>
        <w:rPr>
          <w:color w:val="auto"/>
        </w:rPr>
      </w:pPr>
      <w:r>
        <w:rPr>
          <w:rFonts w:hint="eastAsia"/>
          <w:color w:val="auto"/>
        </w:rPr>
        <w:t>任务八：职业素养(5%)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考查选手操作过程中的安全规范；设备、工具仪器使用情况；卫生清洁情况；穿戴规范；工作纪律，文明礼貌等。由现场裁判进行过程记录、现场评分、选手确认。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在任务施工过程中正确选择工具，安全可靠的使用工具，设备安装稳固、部件均匀排布、行列对齐、间距相等、整齐美观；布线合理、所有线都装入线槽。施工完成后需对地板卫生进行打扫、对桌面进行整理、对工具设备进行还原。 </w:t>
      </w:r>
    </w:p>
    <w:p>
      <w:pPr>
        <w:kinsoku/>
        <w:autoSpaceDE/>
        <w:autoSpaceDN/>
        <w:adjustRightInd/>
        <w:snapToGrid/>
        <w:spacing w:line="520" w:lineRule="exact"/>
        <w:ind w:firstLine="578" w:firstLineChars="200"/>
        <w:textAlignment w:val="auto"/>
        <w:rPr>
          <w:rFonts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</w:rPr>
        <w:t xml:space="preserve">任务要求如下： 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1.赛位区域地板、桌面等处卫生打扫。 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 xml:space="preserve">2.使用的工具还原规整、设备摆放工整规整等。 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3.工位设备安装整齐、设备部件均匀排布、布线合理美观等。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4.操作的安全规范。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5.着装规范。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6.资料归档完整。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7.现场工作纪律。</w:t>
      </w:r>
    </w:p>
    <w:p>
      <w:pPr>
        <w:widowControl w:val="0"/>
        <w:spacing w:line="520" w:lineRule="exact"/>
        <w:ind w:firstLine="576" w:firstLineChars="200"/>
        <w:jc w:val="both"/>
        <w:rPr>
          <w:rFonts w:ascii="仿宋_GB2312" w:hAnsi="仿宋_GB2312" w:eastAsia="仿宋_GB2312" w:cs="仿宋_GB2312"/>
          <w:color w:val="auto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</w:rPr>
        <w:t>8.完成任务的计划性、条理性，以及遇到问题时的应对状况等。</w:t>
      </w:r>
      <w:bookmarkStart w:id="1" w:name="_GoBack"/>
      <w:bookmarkEnd w:id="1"/>
    </w:p>
    <w:sectPr>
      <w:footerReference r:id="rId4" w:type="default"/>
      <w:pgSz w:w="11907" w:h="16839"/>
      <w:pgMar w:top="1440" w:right="1800" w:bottom="1440" w:left="1800" w:header="0" w:footer="996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437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2741295</wp:posOffset>
              </wp:positionH>
              <wp:positionV relativeFrom="paragraph">
                <wp:posOffset>-23495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5.85pt;margin-top:-1.8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nk05WdcAAAAKAQAADwAAAAAAAAABACAAAAAiAAAAZHJzL2Rvd25yZXYueG1sUEsBAhQA&#10;FAAAAAgAh07iQL0O3bcsAgAAVQQAAA4AAAAAAAAAAQAgAAAAJ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Y3ZjQwOTI4YjkzNDQ2YjA5Y2M1NjIzYjE0MzVlMWIifQ=="/>
  </w:docVars>
  <w:rsids>
    <w:rsidRoot w:val="58DC2F81"/>
    <w:rsid w:val="001C37AE"/>
    <w:rsid w:val="001C61AD"/>
    <w:rsid w:val="00333FA5"/>
    <w:rsid w:val="00460E25"/>
    <w:rsid w:val="004C63BC"/>
    <w:rsid w:val="0051405B"/>
    <w:rsid w:val="00997DCF"/>
    <w:rsid w:val="00A95003"/>
    <w:rsid w:val="00B025BC"/>
    <w:rsid w:val="00C02C86"/>
    <w:rsid w:val="00C31F93"/>
    <w:rsid w:val="00E26246"/>
    <w:rsid w:val="00FB03FC"/>
    <w:rsid w:val="030F680F"/>
    <w:rsid w:val="05AC2EFA"/>
    <w:rsid w:val="063522A9"/>
    <w:rsid w:val="08E553EA"/>
    <w:rsid w:val="0EA0228A"/>
    <w:rsid w:val="11785EFE"/>
    <w:rsid w:val="118C735D"/>
    <w:rsid w:val="12174F59"/>
    <w:rsid w:val="12C70D3C"/>
    <w:rsid w:val="1307424C"/>
    <w:rsid w:val="14A11890"/>
    <w:rsid w:val="14FB1CAC"/>
    <w:rsid w:val="152733B3"/>
    <w:rsid w:val="1A443E65"/>
    <w:rsid w:val="1C37364C"/>
    <w:rsid w:val="1C381D54"/>
    <w:rsid w:val="1FD7217C"/>
    <w:rsid w:val="248245CE"/>
    <w:rsid w:val="27FA56D2"/>
    <w:rsid w:val="284B1061"/>
    <w:rsid w:val="2990609D"/>
    <w:rsid w:val="2B0E2073"/>
    <w:rsid w:val="2CA44D88"/>
    <w:rsid w:val="2D614E83"/>
    <w:rsid w:val="2DEF125C"/>
    <w:rsid w:val="327B0795"/>
    <w:rsid w:val="344A1F32"/>
    <w:rsid w:val="34B92D75"/>
    <w:rsid w:val="358856A2"/>
    <w:rsid w:val="3B1B48C3"/>
    <w:rsid w:val="411E657D"/>
    <w:rsid w:val="42554AC8"/>
    <w:rsid w:val="44091583"/>
    <w:rsid w:val="44E95A32"/>
    <w:rsid w:val="465A0995"/>
    <w:rsid w:val="46DA7D28"/>
    <w:rsid w:val="48BC2452"/>
    <w:rsid w:val="4B2672F7"/>
    <w:rsid w:val="4DC66910"/>
    <w:rsid w:val="4E5C1022"/>
    <w:rsid w:val="4FB74328"/>
    <w:rsid w:val="5029188F"/>
    <w:rsid w:val="51D707B4"/>
    <w:rsid w:val="52A05555"/>
    <w:rsid w:val="56EC2865"/>
    <w:rsid w:val="58DC2F81"/>
    <w:rsid w:val="5AEB6799"/>
    <w:rsid w:val="5D06597E"/>
    <w:rsid w:val="5D91602E"/>
    <w:rsid w:val="5E7224DE"/>
    <w:rsid w:val="60432529"/>
    <w:rsid w:val="654A437B"/>
    <w:rsid w:val="695A15B4"/>
    <w:rsid w:val="6B117010"/>
    <w:rsid w:val="6B1747F7"/>
    <w:rsid w:val="705F6A24"/>
    <w:rsid w:val="742D66A8"/>
    <w:rsid w:val="7601604A"/>
    <w:rsid w:val="76142158"/>
    <w:rsid w:val="77467A1C"/>
    <w:rsid w:val="77935205"/>
    <w:rsid w:val="7CDE0446"/>
    <w:rsid w:val="7D3C176C"/>
    <w:rsid w:val="7DCD391B"/>
    <w:rsid w:val="7EC5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="100" w:after="100"/>
      <w:outlineLvl w:val="0"/>
    </w:pPr>
    <w:rPr>
      <w:rFonts w:eastAsia="黑体"/>
      <w:b/>
      <w:kern w:val="44"/>
      <w:sz w:val="30"/>
    </w:rPr>
  </w:style>
  <w:style w:type="paragraph" w:styleId="6">
    <w:name w:val="heading 2"/>
    <w:basedOn w:val="1"/>
    <w:next w:val="1"/>
    <w:link w:val="15"/>
    <w:unhideWhenUsed/>
    <w:qFormat/>
    <w:uiPriority w:val="0"/>
    <w:pPr>
      <w:keepNext/>
      <w:keepLines/>
      <w:spacing w:line="520" w:lineRule="exact"/>
      <w:ind w:firstLine="420" w:firstLineChars="200"/>
      <w:outlineLvl w:val="1"/>
    </w:pPr>
    <w:rPr>
      <w:rFonts w:eastAsia="仿宋_GB2312"/>
      <w:b/>
      <w:sz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widowControl w:val="0"/>
      <w:kinsoku/>
      <w:autoSpaceDE/>
      <w:autoSpaceDN/>
      <w:adjustRightInd/>
      <w:snapToGrid/>
      <w:ind w:firstLine="420" w:firstLineChars="1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</w:rPr>
  </w:style>
  <w:style w:type="paragraph" w:styleId="3">
    <w:name w:val="Body Text"/>
    <w:basedOn w:val="1"/>
    <w:next w:val="4"/>
    <w:semiHidden/>
    <w:unhideWhenUsed/>
    <w:qFormat/>
    <w:uiPriority w:val="99"/>
    <w:pPr>
      <w:spacing w:after="120"/>
    </w:p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  <w:spacing w:line="260" w:lineRule="atLeast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styleId="7">
    <w:name w:val="annotation text"/>
    <w:basedOn w:val="1"/>
    <w:qFormat/>
    <w:uiPriority w:val="0"/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table" w:styleId="10">
    <w:name w:val="Table Grid"/>
    <w:basedOn w:val="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1"/>
    <w:basedOn w:val="13"/>
    <w:qFormat/>
    <w:uiPriority w:val="0"/>
    <w:rPr>
      <w:rFonts w:ascii="Calibri" w:hAnsi="Calibri" w:eastAsia="Calibri" w:cs="Calibri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3">
    <w:name w:val="Основной текст_"/>
    <w:basedOn w:val="11"/>
    <w:link w:val="14"/>
    <w:qFormat/>
    <w:uiPriority w:val="0"/>
    <w:rPr>
      <w:rFonts w:eastAsia="Calibri" w:cs="Calibri"/>
      <w:spacing w:val="2"/>
      <w:sz w:val="20"/>
      <w:szCs w:val="20"/>
    </w:rPr>
  </w:style>
  <w:style w:type="paragraph" w:customStyle="1" w:styleId="14">
    <w:name w:val="Основной текст4"/>
    <w:basedOn w:val="1"/>
    <w:link w:val="13"/>
    <w:qFormat/>
    <w:uiPriority w:val="0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character" w:customStyle="1" w:styleId="15">
    <w:name w:val="标题 2 Char"/>
    <w:link w:val="6"/>
    <w:qFormat/>
    <w:uiPriority w:val="0"/>
    <w:rPr>
      <w:rFonts w:ascii="Arial" w:hAnsi="Arial" w:eastAsia="仿宋_GB2312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5526</Words>
  <Characters>6082</Characters>
  <Lines>46</Lines>
  <Paragraphs>12</Paragraphs>
  <TotalTime>0</TotalTime>
  <ScaleCrop>false</ScaleCrop>
  <LinksUpToDate>false</LinksUpToDate>
  <CharactersWithSpaces>6249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2023-04-13T13:04:00Z</dcterms:created>
  <dc:creator>小雨</dc:creator>
  <cp:lastModifiedBy>86152</cp:lastModifiedBy>
  <dcterms:modified xsi:type="dcterms:W3CDTF">2023-04-15T09:28:57Z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DB1199F50C074DCFA97522F7DC621A3B_13</vt:lpwstr>
  </property>
</Properties>
</file>