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4" w:name="_GoBack"/>
      <w:bookmarkEnd w:id="4"/>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rPr>
          <w:rFonts w:ascii="仿宋_GB2312" w:hAnsi="仿宋_GB2312" w:eastAsia="仿宋_GB2312" w:cs="仿宋_GB2312"/>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19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sectPr>
          <w:headerReference r:id="rId3" w:type="default"/>
          <w:pgSz w:w="11906" w:h="16838"/>
          <w:pgMar w:top="1440" w:right="1077" w:bottom="1440" w:left="1077" w:header="851" w:footer="992" w:gutter="0"/>
          <w:pgNumType w:start="1"/>
          <w:cols w:space="425" w:num="1"/>
          <w:docGrid w:type="lines" w:linePitch="312" w:charSpace="0"/>
        </w:sectPr>
      </w:pPr>
      <w:r>
        <w:rPr>
          <w:rFonts w:hint="eastAsia" w:ascii="仿宋_GB2312" w:hAnsi="仿宋_GB2312" w:eastAsia="仿宋_GB2312" w:cs="仿宋_GB2312"/>
          <w:szCs w:val="24"/>
        </w:rPr>
        <w:t>6.在完成任务过程中，请及时保存程序及数据。</w:t>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2"/>
        <w:spacing w:line="400" w:lineRule="exact"/>
        <w:ind w:firstLine="0" w:firstLineChars="0"/>
        <w:rPr>
          <w:rFonts w:ascii="仿宋_GB2312" w:hAnsi="仿宋_GB2312" w:cs="仿宋_GB2312"/>
          <w:sz w:val="24"/>
          <w:szCs w:val="24"/>
        </w:rPr>
      </w:pPr>
    </w:p>
    <w:p>
      <w:pPr>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（4）推料气缸A推出3颗白色物料。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（5）颗粒上料机构启动高速运行，变频器以50Hz频率输出。</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（6）当白色物料到达取料位后，颗粒到位检测传感器动作，颗粒上料机构停止。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（8）吸盘打开，吸住物料。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（10）填装机构转向装料位。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第（4）步开始的同时，输送机构开始转动，上料输送带与主输送带同时启动，当空瓶到位检测传感器检测到空瓶时，输送机构停止，上料输送带将空瓶输送到主输送带，上料检测传感器感应到空瓶，上料输送带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（12）当颗粒填装位检测传感器检测到空瓶，并等待空瓶到达填装位时，填装定位气缸伸出，将空瓶固定。</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（13）当第（10）步和第（12）都完成后，填装机构下降。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（14）填装机构下降到吸盘填装限位开关感应到位后，吸盘关闭，物料顺利放入瓶子，无任何碰撞现象。</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（16）填装机构转向取料位。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（17）当瓶子装满3颗白料。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（18）填装定位气缸缩回。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（19）将瓶子输送到下一工位。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（20）循环进入第（6）步，进行下一个瓶子的填装。</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（21）在任何启动运行状态下，按下“停止”按钮，若当前填装机构吸有物料，则应在完成第（15）步后停止，否则立即停止，所有机构不工作，“停止”指示灯亮，“启动”和“复位”指示灯灭。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1" w:name="_Hlk29064119"/>
      <w:r>
        <w:rPr>
          <w:rFonts w:hint="eastAsia" w:ascii="仿宋_GB2312" w:hAnsi="仿宋_GB2312" w:eastAsia="仿宋_GB2312" w:cs="仿宋_GB2312"/>
          <w:kern w:val="0"/>
          <w:sz w:val="24"/>
          <w:szCs w:val="24"/>
        </w:rPr>
        <w:t>（1）上电，设备任一部件不在初始位置，系统自动复位；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（2）或者系统处于停止状态下，按下“复位”按钮系统自动复位。其它运行状态下按此按钮无效；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（3）“复位”灯（黄色灯，下同）闪亮显示；</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（4）“停止”（红色灯，下同）灯灭；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（5）“启动”（绿色灯，下同）灯灭；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（6）所有部件回到初始位置；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（7）“复位”灯常亮，系统进入就绪状态。</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单元启动控制：</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（8）系统在就绪状态按启动按钮，单元进入运行状态，而停止状态下按此按钮无效；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（9）“启动”指示灯亮；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（11）主输送带启动运行；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（13）当加盖位检测传感器检测到有物料瓶，并等待物料瓶运行到加盖工位下方时，输送带停止；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（15）如果加盖机构内无瓶盖，即瓶盖料筒检测传感器无动作，加盖机构不动作；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①手动将盖子放入后，瓶盖料筒检测传感器感应到瓶盖；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②瓶盖料筒检测传感器动作；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③加盖机构开始运行，继续第（16）步动作；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（16）如果加盖机构有瓶盖，瓶盖料筒检测传感器动作，升降底座下降；加盖伸缩气缸推出，将瓶盖推到落料口；</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（17）加盖升降气缸伸出，将瓶盖压下；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（19）加盖伸缩气缸缩回；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（20）升降底座上升；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（21）加盖升降气缸缩回；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（22）加盖定位气缸缩回；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（24）当拧盖位检测传感器检测到有物料瓶，并等待物料瓶运行到拧盖工位下方时，输送带停止；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（26）拧盖电机开始旋转；</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（27）拧盖升降气缸下降；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（28）瓶盖完全被拧紧；</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（29）拧盖电机停止运行；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（30）拧盖升降气缸缩回；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（31）拧盖定位气缸缩回；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（33）当物料瓶输送到主输送带末端后，人工拿走物料瓶。重复第（12）到（33）步，直到4个物料瓶与4个瓶盖用完为止，每次循环内，任何一步动作失误，该步都不得分。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（34）系统在运行状态按“停止”按钮，单元立即停止，所有机构不工作；“停止”指示灯亮；“运行”指示灯灭。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sz w:val="24"/>
          <w:szCs w:val="24"/>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bookmarkEnd w:id="1"/>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（1）上电，系统处于“停止”状态下。“停止”指示灯亮，“启动”和“复位”指示灯灭；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（4）主输送带启动运行，检测机构指示灯蓝色常亮；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（5）手动将放有3颗物料并旋紧白色瓶盖的物料瓶放置到该单元起始端；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进料检测传感器检测到有物料瓶且旋紧检测传感器无动作，经过检测机构时，检测机构指示灯绿色常亮，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（7）手动将放有3颗物料并旋紧蓝色瓶盖的物料瓶放置到该单元起始端；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当进料检测传感器检测到有物料瓶且旋紧检测传感器无动作，经过检测装置时，检测机构指示灯绿色闪烁（f=2Hz），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（9）手动将放有2颗物料并旋紧瓶盖的物料瓶放置到该单元起始端；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当进料检测传感器检测到有物料瓶且旋紧检测传感器无动作，经过检测装置时，检测机构指示灯黄色常亮，蓝色熄灭，物料瓶经过不合格到位检测传感器时，传感器动作，触发分拣气缸电磁阀得电，当到达分拣气缸位置时即被推到辅输送带上，物料瓶在辅输送带上经过物粒不合格分拣检测传感器时，传感器动作，物料不合格分拣气缸电磁阀得电，使物料瓶被推到物料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（11）手动将放有3颗物料并未旋紧瓶盖的物料瓶放置到该单元起始端；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进料检测传感器检测到有物料瓶且旋紧检测传感器动作，经过检测装置时，检测机构指示灯红灯常亮，物料瓶经过不合格到位检测传感器时，传感器动作，触发分拣气缸电磁阀得电，当到达分拣气缸位置时即被推到辅输送带上；物料瓶在辅输送带上经过瓶盖不合格分拣检测传感器时，传感器动作，瓶盖不合格分拣气缸电磁阀得电，使物料瓶被推到瓶盖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（13）在任何启动运行状态下，按下“停止”按钮，该单元停止工作，“停止”指示灯亮，“启动”和“复位”指示灯灭；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（1）该单元在单机状态，机器人切换到自动运行状态，按“复位”按钮，单元复位，机器人回到安全原点。</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（2）“复位”灯（黄色灯，下同）闪亮显示。</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（3）“停止”（红色灯，下同）灯灭。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（4）“启动”（绿色灯，下同）灯灭。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（5）所有部件回到初始位置。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（6）“复位”灯（黄色灯）常亮，系统进入就绪状态。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（7）第一次按“启动”按钮，机器人搬运单元盒盖升降机构将料盒料盖升起。</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（8）挡料气缸伸出，料盒升降机构的推料气缸将料盒推出至装配台，推出到位后推料气缸收回，同时定位气缸缩回。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（9）物料台检测传感器动作。</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（10）该单元上的机器人开始执行瓶子搬运功能：机器人从检测分拣单元的出料位将物料瓶搬运到包装盒中，路径规划合理，搬运过程中不得与任何机构发生碰撞。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①机器人搬运完一个物料瓶后，若检测到检测分拣单元的出料位无物料瓶，则机器人回到原点位置等待，等出料位有物料瓶，再进行下一个抓取。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②机器人搬运完一个物料瓶后，若检测到检测分拣单元的出料位有物料瓶等待抓取，则机器人无需再回到原点位置，可直接进行抓取，提高效率。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（11）包装盒中装满4个物料瓶后，机器人回到原点位置，即使检测到检测分拣单元的出料位有物料瓶，机器人也不再进行抓取。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第二次按“启动”按钮，机器人开始自动执行盒盖搬运功能：机器人从点到包装盒盖位置，用吸盘将包装盒盖吸取并盖到包装盒上，路径规划合理，加盖过程中不得与任何机构发生碰撞，盖好后回到原点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第三次按“启动”按钮，机器人开始自动执行标签搬运功能：机器人从点到标签台位置，用吸盘依次将两个蓝色和两个白色标签吸取并贴到包装盒盖上，路径规划合理，贴标过程中不得与任何机构发生碰撞，标签摆放顺序3、2、1、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（14）机器人每贴完一个标签，无需回到原点位置，贴满4个标签后回到原点位置，机器人贴标顺序1、2、3、4。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（15）机器人贴完标签，定位气缸伸出，挡料气缸缩回，等待入库。</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机器人搬运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所有机构回到初始位置；复位完成后，“复位”指示灯常亮。（“运行”状态下按“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（2）在“复位”就绪状态下，按下“启动”按钮，单元启动，“启动”指示灯亮，“停止”和“复位”指示灯灭。（“停止”或“复位未完成”状态下，按“启动”按钮无效）。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（3）第一次按“启动”按钮，堆垛机启动运行，运行到包装工作台位置等待。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（4）第二次按“启动”按钮，堆垛机拾取气缸伸出到位。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（5）堆垛机向上提升合适的高度后，拾取气缸收回。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（6）堆垛机构旋转到B1号仓储位，堆垛机构旋转过程中，包装盒不允许与包装工作台或智能仓库发生任何摩擦或碰撞。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（7）如果当前仓位有包装盒存在，堆垛机构旋转到B4号仓储位，按照B1、B4、B7、B2、B5、B8、B3、B6、B9顺序依次类推。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（8）如果当前仓位空，则堆垛机拾取气缸伸出，气缸伸出到位后堆垛机向下降低合适高度后，拾取气缸收回，包装盒不允许与智能仓库发生碰撞或放偏现象。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（9）堆垛机构回到包装工作台位置。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（10）再放一个包装盒到机器人单元的包装工作台上，本单元将重复第（4）到第（9）步骤，包装盒将依次按顺序被送往相应仓位的空位中。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（11）在任何启动运行状态下，按下“停止”按钮，该单元立即停止，所有机构不工作，“停止”指示灯亮，“启动”和“复位”指示灯灭。</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kern w:val="0"/>
          <w:sz w:val="24"/>
          <w:szCs w:val="24"/>
        </w:rPr>
        <w:t>于颗粒上料单元、机器人搬运包装单元在安装接线过程中，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w:t>
      </w:r>
      <w:r>
        <w:rPr>
          <w:rFonts w:hint="eastAsia" w:ascii="仿宋_GB2312" w:hAnsi="仿宋_GB2312" w:cs="仿宋_GB2312"/>
          <w:kern w:val="0"/>
          <w:sz w:val="24"/>
          <w:szCs w:val="24"/>
        </w:rPr>
        <w:t>颗粒上料单元、机器人搬运包装单元</w:t>
      </w:r>
      <w:r>
        <w:rPr>
          <w:rFonts w:hint="eastAsia" w:ascii="仿宋_GB2312" w:hAnsi="仿宋_GB2312" w:cs="仿宋_GB2312"/>
          <w:sz w:val="24"/>
          <w:szCs w:val="24"/>
        </w:rPr>
        <w:t>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bookmarkStart w:id="2" w:name="_Hlk50904813"/>
      <w:r>
        <w:rPr>
          <w:rFonts w:hint="eastAsia" w:ascii="仿宋_GB2312" w:hAnsi="仿宋_GB2312" w:eastAsia="仿宋_GB2312" w:cs="仿宋_GB2312"/>
          <w:kern w:val="0"/>
          <w:sz w:val="24"/>
          <w:szCs w:val="24"/>
        </w:rPr>
        <w:t>（1）按下各单元的联机按钮，并在触摸屏系统总控画面中选择“联机”模式，系统进入联机运行状态。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（2）按下触摸屏上“联机停止”按钮，系统立即停止，触摸屏上“系统停止”指示灯亮，“系统启动”和“系统复位”指示灯灭。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停止”状态下，按“联机复位”按钮，系统开始复位，复位过程中“系统复位”指示灯闪亮，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（4）“系统复位”就绪状态下，按触摸屏上“联机启动”按钮，系统启动，触摸屏上“系统启动”指示灯亮，“系统复位”和“系统停止”指示灯灭。其它状态下按“联机启动”按钮无效。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（5）颗粒上料单元启动运行，主输送带启动。</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（6）运行指示灯亮。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（7）在触摸屏上输入填装总颗粒数量3或4，白色颗粒数量输入1-4。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（8）颗粒上料单元填装完成设定数量后，填装定位机构松开。填装过程中在系统总控画面实时显示当前填装瓶中的总颗粒数和白色颗粒数，以及生产线累积填装颗粒总数。</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瓶子输送到加盖拧盖单元，加盖拧盖单元输送带启动，分别将瓶子送入加盖工位和拧盖工位进行加盖与拧盖；拧盖状态颗粒上料单元主输送带不启动，待拧盖完成后方可重新启动；加盖拧盖单元持续5s没有新的物料瓶，则该单元输送带停止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（10）加盖拧盖完成后，瓶子输送到检测分拣单元。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（11）检测分拣单元主输送带启动，分别对物料瓶瓶盖的旋紧程度、瓶盖颜色以及物料颗粒的数量进行检测，从而分拣出合格品与不合格品，并在系统总控画面实时显示生产线累积合格品数量和不合格品数量。</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若物料瓶瓶盖拧紧，物料颗粒为3颗，则认定为合格品，若当前瓶盖是白色则检测机构指示灯绿色常亮，若为蓝色则绿色闪烁（f=2Hz）；物料瓶即被输送到主输送带的末端，出料检测传感器动作，主输送带停止，等待机器人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②若物料瓶瓶盖未旋紧，无论物料颗粒为多少，都认定为不合格品。检测机构指示灯红色常亮；分拣气缸将其推到辅输送带上；在辅输送带上瓶盖不合格分拣气缸又将其推到瓶盖不合格分拣槽中；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若物料瓶瓶盖拧紧，物料颗粒不是3颗，则认定为不合格品，检测机构指示灯黄色常亮；总控触摸屏上出现“物料颗粒填充错误，请及时修改！”文字滚动报警信息；分拣气缸将其推到辅输送带上；在辅输送带上物料不合格分拣气缸又将其推到物料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（12）若检测分拣单元的合格品输送带末端等待机器人抓取时间超过3s，颗粒上料单元将主、辅输送带和加盖拧盖单元输送带不启动，随后工作单元进入暂停状态，等待合格品被抓取后继续运行。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（13）机器人单元按照设定的控制程序和机器人示教路径完成装瓶和贴标作业，要求任务三所描述的贴标工位号上的标签颜色与物料瓶工位号上的瓶盖颜色对应。</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单元将完成的包装盒转运至触摸屏指定的仓储单元仓位。若指定仓位已有包装盒，则堆垛机按照B1、B4、B7、B2、B5、B8、B3、B6、B9顺序自动将包装盒送至下一个空闲仓位，并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（15）选手需在总控画面上设置一个计时显示框，在第（4）步按联机启动按钮的同时，计时显示框开始计时，直到走完一个流程（四个物料瓶进行颗粒填装+加盖拧盖+检测分拣+放入包装盒+入库），计时停止。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szCs w:val="24"/>
        </w:rPr>
        <w:t>（16）机器人搬运单元和智能仓储单元根据原设定程序完成相应流程（该项动作不配分）。</w:t>
      </w: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2"/>
    </w:p>
    <w:p>
      <w:pPr>
        <w:numPr>
          <w:ilvl w:val="0"/>
          <w:numId w:val="1"/>
        </w:numPr>
        <w:tabs>
          <w:tab w:val="left" w:pos="800"/>
        </w:tabs>
        <w:jc w:val="left"/>
        <w:rPr>
          <w:rFonts w:ascii="仿宋_GB2312" w:hAnsi="仿宋_GB2312" w:eastAsia="仿宋_GB2312" w:cs="仿宋_GB2312"/>
          <w:b/>
          <w:sz w:val="24"/>
          <w:szCs w:val="24"/>
        </w:rPr>
      </w:pPr>
      <w:bookmarkStart w:id="3" w:name="_Hlk61129415"/>
      <w:r>
        <w:rPr>
          <w:rFonts w:hint="eastAsia" w:ascii="仿宋_GB2312" w:hAnsi="仿宋_GB2312" w:eastAsia="仿宋_GB2312" w:cs="仿宋_GB2312"/>
          <w:b/>
          <w:sz w:val="24"/>
          <w:szCs w:val="24"/>
        </w:rPr>
        <w:t>系统网络结构</w:t>
      </w:r>
      <w:bookmarkEnd w:id="3"/>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显示当前瓶子填装颗粒总数量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显示当前瓶子白色颗粒填装数量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物料颗粒总数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显示检测分拣单元已经检测合格的瓶子总数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显示检测分拣单元已经检测不合格的瓶子总数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智能仓储单元</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跳转到智能仓储单元画面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扩展界面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跳转到扩展界面画面</w:t>
            </w:r>
          </w:p>
        </w:tc>
      </w:tr>
    </w:tbl>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颜色确认A检测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颜色确认A检测指示灯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颜色确认B检测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颜色确认B检测指示灯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料筒A物料检测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颗粒到位检测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填装定位气缸后限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填装升降气缸上限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填装升降气缸下限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上料输送带电机启停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旋转气缸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升降气缸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取料吸盘</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27</w:t>
            </w:r>
          </w:p>
          <w:p>
            <w:pPr>
              <w:spacing w:line="240" w:lineRule="exact"/>
              <w:jc w:val="center"/>
              <w:rPr>
                <w:rFonts w:ascii="仿宋_GB2312" w:hAnsi="仿宋_GB2312" w:eastAsia="仿宋_GB2312" w:cs="仿宋_GB2312"/>
              </w:rPr>
            </w:pP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865"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该按钮按下，本单元处于手动测试</w:t>
            </w:r>
            <w:r>
              <w:rPr>
                <w:rFonts w:hint="eastAsia" w:ascii="仿宋_GB2312" w:hAnsi="仿宋_GB2312" w:eastAsia="仿宋_GB2312" w:cs="仿宋_GB2312"/>
                <w:szCs w:val="21"/>
              </w:rPr>
              <w:t>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63"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加盖定位气缸后限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拧盖电机启停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加盖定位气缸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升降吸盘</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加盖升降吸盘电磁阀输出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911"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kinsoku w:val="0"/>
              <w:overflowPunct w:val="0"/>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23"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kinsoku w:val="0"/>
              <w:overflowPunct w:val="0"/>
              <w:rPr>
                <w:rFonts w:ascii="仿宋_GB2312" w:hAnsi="仿宋_GB2312" w:eastAsia="仿宋_GB2312" w:cs="仿宋_GB2312"/>
                <w:szCs w:val="21"/>
              </w:rPr>
            </w:pPr>
            <w:r>
              <w:rPr>
                <w:rFonts w:hint="eastAsia" w:ascii="仿宋_GB2312" w:hAnsi="仿宋_GB2312" w:eastAsia="仿宋_GB2312" w:cs="仿宋_GB2312"/>
                <w:spacing w:val="-1"/>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0" w:type="auto"/>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autofit"/>
        <w:tblCellMar>
          <w:top w:w="0" w:type="dxa"/>
          <w:left w:w="108" w:type="dxa"/>
          <w:bottom w:w="0" w:type="dxa"/>
          <w:right w:w="108" w:type="dxa"/>
        </w:tblCellMar>
      </w:tblPr>
      <w:tblGrid>
        <w:gridCol w:w="620"/>
        <w:gridCol w:w="2151"/>
        <w:gridCol w:w="1282"/>
        <w:gridCol w:w="59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282"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59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三颗料位检测</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主输送带电机启停</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辅输送带电机启停</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辅输送带电机启停手动输出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指示灯带亮绿色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指示灯带亮红色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指示灯带亮蓝色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72"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98"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0" w:type="auto"/>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autofit"/>
        <w:tblCellMar>
          <w:top w:w="0" w:type="dxa"/>
          <w:left w:w="108" w:type="dxa"/>
          <w:bottom w:w="0" w:type="dxa"/>
          <w:right w:w="108" w:type="dxa"/>
        </w:tblCellMar>
      </w:tblPr>
      <w:tblGrid>
        <w:gridCol w:w="638"/>
        <w:gridCol w:w="1476"/>
        <w:gridCol w:w="1056"/>
        <w:gridCol w:w="6726"/>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推料气缸前限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推料气缸后限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83"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盒盖出料</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该按钮按下，物料盒上升一个盒盖的高度。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盒出料</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该按钮按下，推出一个物料盒。</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单周期</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B8号仓位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w:t>
            </w:r>
          </w:p>
        </w:tc>
        <w:tc>
          <w:tcPr>
            <w:tcW w:w="1500"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旋转原点</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旋转左限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旋转左限指示灯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包装盒仓库A放置位电机角度旋转脉冲数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包装盒仓库B放置位电机角度旋转脉冲数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包装盒吸取位电机垂直旋转脉冲数</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脉冲数寄存器地址D208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包装盒吸取位电机行走轴脉冲数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该按钮按下，本单元进行单周期运行演示</w:t>
            </w:r>
          </w:p>
        </w:tc>
      </w:tr>
    </w:tbl>
    <w:p>
      <w:pPr>
        <w:spacing w:line="400" w:lineRule="exact"/>
        <w:ind w:firstLine="482" w:firstLineChars="200"/>
        <w:jc w:val="left"/>
        <w:rPr>
          <w:rFonts w:ascii="仿宋_GB2312" w:hAnsi="仿宋_GB2312" w:cs="仿宋_GB2312"/>
          <w:sz w:val="24"/>
          <w:szCs w:val="24"/>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19</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19</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F1806"/>
    <w:rsid w:val="000F2E84"/>
    <w:rsid w:val="00145A1A"/>
    <w:rsid w:val="001B7024"/>
    <w:rsid w:val="00230DFA"/>
    <w:rsid w:val="0024364A"/>
    <w:rsid w:val="002502AC"/>
    <w:rsid w:val="00273D76"/>
    <w:rsid w:val="00297F9D"/>
    <w:rsid w:val="002A11C3"/>
    <w:rsid w:val="002A73DC"/>
    <w:rsid w:val="00350993"/>
    <w:rsid w:val="003536BC"/>
    <w:rsid w:val="00395D39"/>
    <w:rsid w:val="003B2B7E"/>
    <w:rsid w:val="003C18DB"/>
    <w:rsid w:val="003E2AF6"/>
    <w:rsid w:val="003F2D0F"/>
    <w:rsid w:val="00441B5E"/>
    <w:rsid w:val="00447994"/>
    <w:rsid w:val="00454D4B"/>
    <w:rsid w:val="00462286"/>
    <w:rsid w:val="00470442"/>
    <w:rsid w:val="004D4881"/>
    <w:rsid w:val="004D6197"/>
    <w:rsid w:val="004F003F"/>
    <w:rsid w:val="004F271E"/>
    <w:rsid w:val="00514C92"/>
    <w:rsid w:val="00533698"/>
    <w:rsid w:val="005463C2"/>
    <w:rsid w:val="00567E49"/>
    <w:rsid w:val="0059786D"/>
    <w:rsid w:val="005A1023"/>
    <w:rsid w:val="005C59D2"/>
    <w:rsid w:val="005C5D42"/>
    <w:rsid w:val="005E1695"/>
    <w:rsid w:val="00646146"/>
    <w:rsid w:val="006507D8"/>
    <w:rsid w:val="006B7FEC"/>
    <w:rsid w:val="006C7779"/>
    <w:rsid w:val="006C79A4"/>
    <w:rsid w:val="006E1AA4"/>
    <w:rsid w:val="006F1C2C"/>
    <w:rsid w:val="00733ECB"/>
    <w:rsid w:val="007505DD"/>
    <w:rsid w:val="007616FA"/>
    <w:rsid w:val="00765715"/>
    <w:rsid w:val="00767ED8"/>
    <w:rsid w:val="00783213"/>
    <w:rsid w:val="00787908"/>
    <w:rsid w:val="007A14BE"/>
    <w:rsid w:val="007A51FB"/>
    <w:rsid w:val="007B0AE2"/>
    <w:rsid w:val="007B3251"/>
    <w:rsid w:val="007D613A"/>
    <w:rsid w:val="008730BC"/>
    <w:rsid w:val="00877806"/>
    <w:rsid w:val="00883BAC"/>
    <w:rsid w:val="008A2EF7"/>
    <w:rsid w:val="008B7820"/>
    <w:rsid w:val="008C23B2"/>
    <w:rsid w:val="009007A3"/>
    <w:rsid w:val="00967A70"/>
    <w:rsid w:val="00973AC0"/>
    <w:rsid w:val="0099337F"/>
    <w:rsid w:val="00993F7A"/>
    <w:rsid w:val="009C7AEC"/>
    <w:rsid w:val="009D170E"/>
    <w:rsid w:val="009E7A26"/>
    <w:rsid w:val="00A00313"/>
    <w:rsid w:val="00A03F31"/>
    <w:rsid w:val="00A35AE3"/>
    <w:rsid w:val="00A471B6"/>
    <w:rsid w:val="00A851D5"/>
    <w:rsid w:val="00AE4E5E"/>
    <w:rsid w:val="00AE6B1B"/>
    <w:rsid w:val="00AF30C4"/>
    <w:rsid w:val="00B150D3"/>
    <w:rsid w:val="00B2204C"/>
    <w:rsid w:val="00B923FE"/>
    <w:rsid w:val="00B94CC2"/>
    <w:rsid w:val="00BC4053"/>
    <w:rsid w:val="00BF301E"/>
    <w:rsid w:val="00C54754"/>
    <w:rsid w:val="00C6006E"/>
    <w:rsid w:val="00C922BF"/>
    <w:rsid w:val="00CC62A0"/>
    <w:rsid w:val="00CD6519"/>
    <w:rsid w:val="00D070A1"/>
    <w:rsid w:val="00D30768"/>
    <w:rsid w:val="00D30ECA"/>
    <w:rsid w:val="00D3645A"/>
    <w:rsid w:val="00D36944"/>
    <w:rsid w:val="00D75ADB"/>
    <w:rsid w:val="00D815C3"/>
    <w:rsid w:val="00DA5922"/>
    <w:rsid w:val="00DB4711"/>
    <w:rsid w:val="00DC5A2B"/>
    <w:rsid w:val="00DE151B"/>
    <w:rsid w:val="00E2789B"/>
    <w:rsid w:val="00E974EF"/>
    <w:rsid w:val="00EE02C2"/>
    <w:rsid w:val="00EE038F"/>
    <w:rsid w:val="00EE0B59"/>
    <w:rsid w:val="00F32078"/>
    <w:rsid w:val="00FD0B6A"/>
    <w:rsid w:val="00FD52E7"/>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ED35FC4"/>
    <w:rsid w:val="0F0443AA"/>
    <w:rsid w:val="106220C4"/>
    <w:rsid w:val="10BC3B67"/>
    <w:rsid w:val="112828EA"/>
    <w:rsid w:val="11482301"/>
    <w:rsid w:val="11E15867"/>
    <w:rsid w:val="12BD2D2E"/>
    <w:rsid w:val="138207A8"/>
    <w:rsid w:val="13D16D86"/>
    <w:rsid w:val="14A4410C"/>
    <w:rsid w:val="153D3AAC"/>
    <w:rsid w:val="155F11AF"/>
    <w:rsid w:val="15AD70D8"/>
    <w:rsid w:val="15C95212"/>
    <w:rsid w:val="161F09C9"/>
    <w:rsid w:val="16FD62AF"/>
    <w:rsid w:val="17666B64"/>
    <w:rsid w:val="17F763E0"/>
    <w:rsid w:val="18C63F8F"/>
    <w:rsid w:val="19A34511"/>
    <w:rsid w:val="1A022399"/>
    <w:rsid w:val="1A43170D"/>
    <w:rsid w:val="1A90789F"/>
    <w:rsid w:val="1B764D1B"/>
    <w:rsid w:val="1B8474DF"/>
    <w:rsid w:val="1C812CB4"/>
    <w:rsid w:val="1C961170"/>
    <w:rsid w:val="1CFB36BB"/>
    <w:rsid w:val="1D530058"/>
    <w:rsid w:val="1D5D046E"/>
    <w:rsid w:val="1E311147"/>
    <w:rsid w:val="1E4D6EC0"/>
    <w:rsid w:val="1FFE16DA"/>
    <w:rsid w:val="200C4BE4"/>
    <w:rsid w:val="201773C2"/>
    <w:rsid w:val="208473F0"/>
    <w:rsid w:val="20ED60B8"/>
    <w:rsid w:val="21022769"/>
    <w:rsid w:val="210D0AC9"/>
    <w:rsid w:val="21151492"/>
    <w:rsid w:val="234C2064"/>
    <w:rsid w:val="2371431C"/>
    <w:rsid w:val="238A702B"/>
    <w:rsid w:val="24122D6E"/>
    <w:rsid w:val="246C2EE2"/>
    <w:rsid w:val="24CD3CF8"/>
    <w:rsid w:val="25242C7B"/>
    <w:rsid w:val="2541156C"/>
    <w:rsid w:val="26433317"/>
    <w:rsid w:val="268C4FDD"/>
    <w:rsid w:val="26951E0F"/>
    <w:rsid w:val="280E3946"/>
    <w:rsid w:val="286A3324"/>
    <w:rsid w:val="28FF68B6"/>
    <w:rsid w:val="29CC5AA6"/>
    <w:rsid w:val="2A701253"/>
    <w:rsid w:val="2AC35CA6"/>
    <w:rsid w:val="2B713188"/>
    <w:rsid w:val="2C416632"/>
    <w:rsid w:val="2CEF27E4"/>
    <w:rsid w:val="2CF16A0C"/>
    <w:rsid w:val="2CF65C30"/>
    <w:rsid w:val="2D9F7E20"/>
    <w:rsid w:val="2E5E4DFD"/>
    <w:rsid w:val="2F937B46"/>
    <w:rsid w:val="302D75A6"/>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76118B"/>
    <w:rsid w:val="3BCD0C10"/>
    <w:rsid w:val="3BCF654B"/>
    <w:rsid w:val="3C31089E"/>
    <w:rsid w:val="3C7828DB"/>
    <w:rsid w:val="3C993A1A"/>
    <w:rsid w:val="3CF46F6F"/>
    <w:rsid w:val="3DA24E72"/>
    <w:rsid w:val="3DE11DF4"/>
    <w:rsid w:val="3E8D0813"/>
    <w:rsid w:val="4000283A"/>
    <w:rsid w:val="40144BC1"/>
    <w:rsid w:val="40C230A3"/>
    <w:rsid w:val="425C6C4B"/>
    <w:rsid w:val="426D44AC"/>
    <w:rsid w:val="42F44377"/>
    <w:rsid w:val="43294E9C"/>
    <w:rsid w:val="43753683"/>
    <w:rsid w:val="44CA133B"/>
    <w:rsid w:val="44F105AF"/>
    <w:rsid w:val="45AF43EF"/>
    <w:rsid w:val="463712B1"/>
    <w:rsid w:val="464A7AB4"/>
    <w:rsid w:val="46684515"/>
    <w:rsid w:val="46B2497D"/>
    <w:rsid w:val="480D448F"/>
    <w:rsid w:val="481A2B53"/>
    <w:rsid w:val="48C32D27"/>
    <w:rsid w:val="48CD1ED0"/>
    <w:rsid w:val="499C645A"/>
    <w:rsid w:val="499F2D61"/>
    <w:rsid w:val="4A45195C"/>
    <w:rsid w:val="4AA769BA"/>
    <w:rsid w:val="4C7D6098"/>
    <w:rsid w:val="4C912A7C"/>
    <w:rsid w:val="4CD8525A"/>
    <w:rsid w:val="4DB61761"/>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000A73"/>
    <w:rsid w:val="5B69478E"/>
    <w:rsid w:val="5B6952D3"/>
    <w:rsid w:val="5BFE5E0F"/>
    <w:rsid w:val="5CAF32EB"/>
    <w:rsid w:val="5CD52A08"/>
    <w:rsid w:val="5D995406"/>
    <w:rsid w:val="5D997402"/>
    <w:rsid w:val="5DE078AC"/>
    <w:rsid w:val="5E3759E8"/>
    <w:rsid w:val="5EC944B2"/>
    <w:rsid w:val="5F585D67"/>
    <w:rsid w:val="5F701C22"/>
    <w:rsid w:val="5FC05D76"/>
    <w:rsid w:val="60600E46"/>
    <w:rsid w:val="607A3C53"/>
    <w:rsid w:val="61287C54"/>
    <w:rsid w:val="61851984"/>
    <w:rsid w:val="62305F63"/>
    <w:rsid w:val="62557ED0"/>
    <w:rsid w:val="626278BC"/>
    <w:rsid w:val="62A764B8"/>
    <w:rsid w:val="63B936CD"/>
    <w:rsid w:val="63C7162D"/>
    <w:rsid w:val="6508066E"/>
    <w:rsid w:val="65661CED"/>
    <w:rsid w:val="65A63DE8"/>
    <w:rsid w:val="661B66B1"/>
    <w:rsid w:val="663616FB"/>
    <w:rsid w:val="665E0A81"/>
    <w:rsid w:val="671174CC"/>
    <w:rsid w:val="673E2FB3"/>
    <w:rsid w:val="67726B73"/>
    <w:rsid w:val="67937060"/>
    <w:rsid w:val="67A5221E"/>
    <w:rsid w:val="67DB781B"/>
    <w:rsid w:val="682045F3"/>
    <w:rsid w:val="68A505C9"/>
    <w:rsid w:val="6908265B"/>
    <w:rsid w:val="693F6652"/>
    <w:rsid w:val="6984768A"/>
    <w:rsid w:val="698E2580"/>
    <w:rsid w:val="69B83B9B"/>
    <w:rsid w:val="69BD2E65"/>
    <w:rsid w:val="6AB82F0C"/>
    <w:rsid w:val="6B7F010B"/>
    <w:rsid w:val="6B962D27"/>
    <w:rsid w:val="6BE70D58"/>
    <w:rsid w:val="6DDC6B4C"/>
    <w:rsid w:val="6DDD7476"/>
    <w:rsid w:val="6EC85E03"/>
    <w:rsid w:val="6F072545"/>
    <w:rsid w:val="6F5A5288"/>
    <w:rsid w:val="6FF625DE"/>
    <w:rsid w:val="70363AFB"/>
    <w:rsid w:val="71B27028"/>
    <w:rsid w:val="72241EA6"/>
    <w:rsid w:val="723D3144"/>
    <w:rsid w:val="72A127F2"/>
    <w:rsid w:val="73666E18"/>
    <w:rsid w:val="73850DA6"/>
    <w:rsid w:val="73A475D4"/>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B9536F8"/>
    <w:rsid w:val="7BB0637E"/>
    <w:rsid w:val="7BE05B7B"/>
    <w:rsid w:val="7D41660E"/>
    <w:rsid w:val="7D7A1666"/>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21</Pages>
  <Words>14222</Words>
  <Characters>14609</Characters>
  <Lines>111</Lines>
  <Paragraphs>31</Paragraphs>
  <TotalTime>16</TotalTime>
  <ScaleCrop>false</ScaleCrop>
  <LinksUpToDate>false</LinksUpToDate>
  <CharactersWithSpaces>14634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2023-04-15T09:49:47Z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