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5" w:name="_GoBack"/>
      <w:bookmarkEnd w:id="5"/>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18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b/>
          <w:caps/>
          <w:kern w:val="0"/>
          <w:sz w:val="24"/>
          <w:szCs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（1）上电，系统处于“停止”状态。“停止”指示灯亮，“启动”和“复位”指示灯灭。在“停止”状态下，按下“复位”按钮，该单元复位，复位过程中，“复位”指示灯闪烁（2 Hz），所有台面机构回到初始位置。复位完成后，“复位”指示灯常亮，“启动”和“停止”指示灯灭。“运行”或“复位”状态下，按“启动”按钮无效。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（3）推料气缸A推出4颗白色物料，推料气缸B推出4颗蓝色物料，相继推出；如A或B料筒检测无物料时，推料气缸A或B无动作，复位灯闪烁。</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①A或B料筒检测无物料时，复位灯闪烁（f=2HZ）。</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②A、B料筒检测都有物料时，复位灯灭。</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（4）循环输送带正转启动运行，变频器以高速频率输出。</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5）变频器高速运行10秒后，当循环输送带机构上的颜色确认检测传感器检测到有所需的颜色物料通过时，变频器反转，并以低速频率输出。如果超过15秒，仍没有检测到有所需的颜色物料通过，则重新开始第（3）步。</w:t>
      </w:r>
      <w:r>
        <w:rPr>
          <w:rFonts w:hint="eastAsia" w:ascii="仿宋_GB2312" w:hAnsi="仿宋_GB2312" w:eastAsia="仿宋_GB2312" w:cs="仿宋_GB2312"/>
          <w:b/>
          <w:bCs/>
          <w:color w:val="000000" w:themeColor="text1"/>
          <w:sz w:val="24"/>
          <w14:textFill>
            <w14:solidFill>
              <w14:schemeClr w14:val="tx1"/>
            </w14:solidFill>
          </w14:textFill>
        </w:rPr>
        <w:t>（填装物料颜色要求参照第13步）</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（6）当有所需的颜色物料到达取料位时，颗粒到位检测传感器动作，循环输送带停止。</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（7）填装机构下降，吸盘打开，吸住物料，填装机构上升，循环选料输送带正转高速启动运行（继续分拣物料），填装机构转向装料位。</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 xml:space="preserve">（8）在第（3）步开始的同时，上料输送带与主输送带同时启动，当物料瓶上料检测传感器检测到到空瓶时，上料输送带停止，当主输送带上的空瓶移动一段距离后，上料输送带动作，继续将空瓶以小于20cm的间隔，逐个输送到主输送带。 </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（9）当颗粒填装位检测传感器检测到空瓶，并等待空瓶到达填装位时，主输送带停止，填装定位气缸伸出，将空瓶固定。</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（10）当第（7）步和第（9）都完成后，填装机构下降。</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（11）填装机构下降到吸盘填装限位开关感应到位后，吸盘关闭，物料顺利放入瓶子，无任何碰撞现象。</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（12）填装机构上升，填装机构转向取料位。</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（13）当瓶子装满4颗物料后（2颗白色+2颗蓝色，先装完2颗白色物料后，再进行蓝色物料填装），进入第（14）步。否则重新开始第（6）步。</w:t>
      </w:r>
    </w:p>
    <w:p>
      <w:pPr>
        <w:adjustRightInd w:val="0"/>
        <w:snapToGrid w:val="0"/>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（14）填装定位气缸缩回，主输送带启动，将瓶子输送到下一工位，推料气缸A、推料气缸B，相继推出2颗物料。</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color w:val="000000" w:themeColor="text1"/>
          <w:sz w:val="24"/>
          <w14:textFill>
            <w14:solidFill>
              <w14:schemeClr w14:val="tx1"/>
            </w14:solidFill>
          </w14:textFill>
        </w:rPr>
        <w:t>（15）循环进入第（5）步，进行下一个瓶子的填装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（16）在任何启动运行状态下，按下“停止”按钮，若当前填装机构吸有物料，则应在完成第（12）步后停止，否则立即停止，所有机构不工作，“停止”指示灯亮，“启动”和“复位”指示灯灭。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上电，系统自动处于“停止”状态。“停止”(红色灯)指示灯亮，“启动”（绿色灯）和“复位”（黄色灯）指示灯灭。在“停止”状态下，按下“复位”按钮，该单元复位，其它运行状态下，按“复位”按钮无效；复位过程中，“复位”指示灯闪烁（2Hz），所有机构回到初始位置；复位完成后，“复位”指示灯常亮，“启动”和“停止”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（2）在“复位”就绪状态下，按下“启动”按钮，“启动”指示灯亮，“复位”指示灯灭，单元进入启动状态；主输送带启动运行；手动将无盖物料瓶放置到该单元起始端。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（3）当加盖位检测传感器检测到有物料瓶，并等待物料瓶运行到加盖工位下方时，停止；加盖定位气缸推出，将物料瓶准确固定。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单元启动时，如果加盖机构内无瓶盖，即瓶盖料筒检测传感器不得电，加盖机构不动作；红色停止指示灯闪烁（2Hz）；手动将盖子放入后，瓶盖料筒检测传感器感应到瓶盖，红色指示灯灭；加盖机构开始运行，继续第⑸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（5）如果加盖机构有瓶盖，瓶盖料筒检测传感器得电，加盖伸缩气缸推出，将瓶盖推到落料口；等待完成第（3）步，加盖升降气缸伸出，将瓶盖压下；瓶盖准确落在物料瓶上，无偏斜。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（6）加盖伸缩气缸缩回；加盖升降气缸缩回；加盖定位气缸缩回，跳转到第（4步）。</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（7）主输送带启动；当拧盖位检测传感器检测到有物料瓶，并等待物料瓶运行到拧盖工位下方时，输送带停止；拧盖定位气缸推出，将物料瓶准确固定。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w:t>
      </w:r>
      <w:r>
        <w:rPr>
          <w:rFonts w:hint="eastAsia" w:ascii="仿宋_GB2312" w:hAnsi="仿宋_GB2312" w:eastAsia="仿宋_GB2312" w:cs="仿宋_GB2312"/>
          <w:sz w:val="24"/>
        </w:rPr>
        <w:t>拧盖升降气缸下降；拆拧盖气爪夹紧瓶盖；拆拧盖电机开始旋转；瓶盖完全被拧紧；拆拧盖电机停止运行；拆拧盖气爪松开；拆拧盖升降气缸缩回；拆拧盖定位气缸缩回；主输送带启动</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（9）当物料瓶输送到主输送带末端后，人工拿走物料瓶。重复第⑵到⑻步，直到4个物料瓶与4个瓶盖用完为止，每次循环内，任何一步动作失误，该步都不得分。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（10）在运行状态下按“停止”按钮，单元进入停止状态，所有运动机构停止动作，而在就绪状态下按此按钮无效；“停止”指示灯亮，“运行”指示灯灭。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w:t>
      </w:r>
      <w:r>
        <w:rPr>
          <w:rFonts w:hint="eastAsia" w:ascii="仿宋_GB2312" w:hAnsi="仿宋_GB2312" w:eastAsia="仿宋_GB2312" w:cs="仿宋_GB2312"/>
          <w:kern w:val="0"/>
          <w:sz w:val="24"/>
        </w:rPr>
        <w:t>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（4）将RFID读写器安装到检测分拣单元平台的相应位置（</w:t>
      </w:r>
      <w:r>
        <w:rPr>
          <w:rFonts w:hint="eastAsia" w:ascii="仿宋_GB2312" w:hAnsi="仿宋_GB2312" w:eastAsia="仿宋_GB2312" w:cs="仿宋_GB2312"/>
          <w:b/>
          <w:kern w:val="0"/>
          <w:sz w:val="24"/>
          <w:szCs w:val="24"/>
        </w:rPr>
        <w:t>自行安装</w:t>
      </w:r>
      <w:r>
        <w:rPr>
          <w:rFonts w:hint="eastAsia" w:ascii="仿宋_GB2312" w:hAnsi="仿宋_GB2312" w:eastAsia="仿宋_GB2312" w:cs="仿宋_GB2312"/>
          <w:kern w:val="0"/>
          <w:sz w:val="24"/>
          <w:szCs w:val="24"/>
        </w:rPr>
        <w:t xml:space="preserve">），要求可以正确检测RFID标签信息，RFID标签所放位置不能影响正常工作。       </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设计一组态界面，包含了RFID标签的读写操作。要求在检测分拣单元运行前，完成RFID标签信息读写，具体包含数据为瓶盖颜色（1=白色，2=蓝色，超出范围有“无法输入提示”），成品瓶子摆放位置（1～4代表摆放包装盒对应位置，有“无法输入提示”）。</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上电，系统处于“停止”状态下。“停止”指示灯亮，“启动”和“复位”指示灯灭；在“停止”状态下，按下“复位”按钮，该单元复位，复位过程中，“复位”指示灯闪亮（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（2）在“复位”就绪状态下，按下“启动”按钮，单元启动，“启动”指示灯亮，“停止”和“复位”指示灯灭；主输送带启动运行，龙门灯带蓝色常亮。 </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手动将放有3或4颗物料并旋紧白色瓶盖的物料瓶放置到该单元起始端；当进料检测传感器检测到有物料瓶且旋紧检测传感器无动作，经过检测装置时，龙门灯带绿色常亮，蓝色熄灭，物料瓶即被输送到主输送带的末端，出料检测传感器动作，主输送带停止，人工拿走物料瓶，输送带继续启动运行，龙门灯带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手动将放有3或4颗物料并旋紧蓝色瓶盖的物料瓶放置到该单元起始端；当进料检测传感器检测到有物料瓶且旋紧检测传感器无动作，经过检测装置时，龙门灯带绿灯闪亮（0.5Hz），蓝色熄灭，物料瓶即被输送到主输送带的末端，出料检测传感器动作，主输送带停止，人工拿走物料瓶，输送带继续启动运行，龙门灯带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（5）物料瓶检测合格后，若物料瓶在出料检测传感器位置等待抓取的时间超过5 s，则龙门灯带红色闪烁（0.5Hz）。</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手动将放有&lt;3颗物料并旋紧瓶盖的物料瓶放置到单元起始端；当进料检测传感器检测到有物料瓶且旋紧检测传感器无动作，经过检测装置时，龙门灯带红色闪烁（1Hz），蓝色熄灭。物料瓶经过不合格到位检测传感器时，传感器动作，触发分拣气缸电磁阀得电，当到达分拣气缸位置时即被推到废料仓上，龙门灯带红色熄灭，蓝色常亮，延时1s后分拣气缸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手动将放有3或4颗物料并未旋紧瓶盖或没有盖的物料瓶放置到单元起始端；当进料检测传感器检测到有物料瓶且旋紧检测传感器动作，经过检测装置时，龙门灯带红灯闪烁（2Hz），蓝色熄灭。物料瓶经过不合格到位检测传感器时，传感器动作，触发分拣气缸电磁阀得电，当到达分拣气缸位置时即被推到废料仓上，龙门灯带红色熄灭，蓝色常亮，延时1s后分拣气缸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（8）在检测分拣单元启动的同时，视觉检测单元启动，采集标签图像数据，选手可按照工作要求进行位置校准，保证后续机器人能正确贴标。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（9）在任何启动运行状态下，按下“停止”按钮，该单元停止工作，“停止”指示灯亮，“启动”和“复位”指示灯灭。</w:t>
      </w:r>
    </w:p>
    <w:bookmarkEnd w:id="1"/>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特别提醒：</w:t>
      </w:r>
      <w:r>
        <w:rPr>
          <w:rFonts w:hint="eastAsia" w:ascii="仿宋_GB2312" w:hAnsi="仿宋_GB2312" w:eastAsia="仿宋_GB2312" w:cs="仿宋_GB2312"/>
          <w:b/>
          <w:bCs/>
          <w:kern w:val="0"/>
          <w:sz w:val="24"/>
        </w:rPr>
        <w:t>单机运行时：检测瓶盖颜色功能参照第（3）到（7）步要求；联机运行时：检测瓶盖颜色功能参照RFID读取当前瓶盖标签信息判断瓶盖颜色。</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该单元在单机状态，机器人切换到自动运行状态（速度选择30%），按“复位”按钮，单元复位，机器人回到安全原点。“复位”灯（黄色灯，下同）闪亮显示（2Hz）。“停止”（红色灯，下同）灯灭。“启动”（绿色灯，下同）灯灭。所有部件回到初始位置。“复位”灯（黄色灯）常亮，系统进入就绪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（2）第一次按“启动”按钮，机器人搬运单元盒盖升降机构的推料气缸将物料底盒推出到包装工作台上；同时定位气缸伸出；物料台检测传感器动作。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rPr>
      </w:pPr>
      <w:r>
        <w:rPr>
          <w:rFonts w:hint="eastAsia" w:ascii="仿宋_GB2312" w:hAnsi="仿宋_GB2312" w:eastAsia="仿宋_GB2312" w:cs="仿宋_GB2312"/>
          <w:kern w:val="0"/>
          <w:sz w:val="24"/>
        </w:rPr>
        <w:t>（3）该单元上的机器人开始执行瓶子搬运功能：机器人从检测分拣单元的出料位将物料瓶搬运到包装盒中（如图B1-2），</w:t>
      </w:r>
      <w:r>
        <w:rPr>
          <w:rFonts w:hint="eastAsia" w:ascii="仿宋_GB2312" w:hAnsi="仿宋_GB2312" w:eastAsia="仿宋_GB2312" w:cs="仿宋_GB2312"/>
          <w:b/>
          <w:bCs/>
          <w:kern w:val="0"/>
          <w:sz w:val="24"/>
        </w:rPr>
        <w:t>路径规划合理，搬运过程中不得与任何机构发生碰撞。</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只做联机运行要求：①②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①机器人搬运完一个物料瓶后，若检测到检测分拣单元的出料位无物料瓶，则机器人回到原点位置等待，等出料位有物料瓶，再进行下一个抓取。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②机器人搬运完一个物料瓶后，若检测到检测分拣单元的出料位有物料瓶等待抓取，则机器人无需再回到原点位置，可直接进行抓取，提高效率。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（4）包装盒中装满4个物料瓶后，机器人回到原点位置，即使检测分拣单元的出料位有物料瓶，机器人也不再进行抓取，物推料气缸缩回。推料气缸缩回。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（5）第二次按“启动”按钮，机器人开始自动执行盒盖搬运功能：路径规划合理，加盖过程中不得与任何机构发生碰撞，盖好后回到原点位置。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第三次按“启动”按钮，机器人开始自动执行标签搬运功能：机器人从点到标签台位置，用吸盘依次将两个蓝和两个白色标签吸取并贴到包装盒盖上，路径规划合理，贴标过程中不得与任何机构发生碰撞；标签由堆料盘震动转移到摆料盘。</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（7）机器人每次贴两个标签，贴完无需回到原点位置，贴满4个标签后回到原点位置，机器人第一次抓取两个蓝色和第二次两个白色标签；机器人贴完标签，定位气缸缩回，等待入库。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4"/>
        </w:rPr>
        <w:t>机器人搬运包装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（1）上电，系统处于“复位”状态下，“启动”和“停止”指示灯灭，该单元复位；复位过程中，“复位”指示灯闪烁（1 Hz），所有机构回到初始位置</w:t>
      </w:r>
      <w:r>
        <w:rPr>
          <w:rFonts w:hint="eastAsia" w:ascii="仿宋_GB2312" w:hAnsi="仿宋_GB2312" w:eastAsia="仿宋_GB2312" w:cs="仿宋_GB2312"/>
          <w:sz w:val="24"/>
          <w:szCs w:val="24"/>
        </w:rPr>
        <w:t>（堆垛机的初始位置在成品取料台处）</w:t>
      </w:r>
      <w:r>
        <w:rPr>
          <w:rFonts w:hint="eastAsia" w:ascii="仿宋_GB2312" w:hAnsi="仿宋_GB2312" w:eastAsia="仿宋_GB2312" w:cs="仿宋_GB2312"/>
          <w:kern w:val="0"/>
          <w:sz w:val="24"/>
          <w:szCs w:val="24"/>
        </w:rPr>
        <w:t>；复位完成后，“复位”指示灯常亮。（“运行”状态下按“复位”按钮无效）。</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将包装盒放置到工业机器人单元的包装工作台上，在“复位”就绪状态下，按“启动”按钮，单元启动，“启动”指示灯亮，“停止”和“复位”指示灯灭。“停止”或“复位未完成”状态下，按“启动”按钮无效。</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（3）垛机启动运行，垛机拾取气缸伸出到位，垛机拾取吸盘打开，吸住包装盒，压力传感器检测气压值动作。</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（4）垛机拾取气缸缩回，将包装盒完全吸到垛机拾取托盘上，包装盒与包装工作台无任何碰撞。</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（5）堆垛机构旋转回到6号仓储位，堆垛机构旋转过程中，包装盒不允许与包装工作台或智能仓库发生任何摩擦或碰撞。</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（6）如果当前仓位有包装盒存在，即该仓位的检测传感器有动作，垛机不动。手动拿走包装盒，进入第（7）步。</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（7）如果当前仓位空，则垛机拾取气缸伸出，将包装盒完全推入到当前仓位中去，入仓过程中，包装盒不允许与智能仓库发生碰撞或顶住现象。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（8）垛机拾取吸盘关闭，垛机拾取气缸缩回，堆垛机构回到原点位置（取料位）。</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（9）再放一个包装盒到机器人单元的包装工作台上，</w:t>
      </w:r>
      <w:r>
        <w:rPr>
          <w:rFonts w:hint="eastAsia" w:ascii="仿宋_GB2312" w:hAnsi="仿宋_GB2312" w:eastAsia="仿宋_GB2312" w:cs="仿宋_GB2312"/>
          <w:color w:val="000000"/>
          <w:sz w:val="24"/>
          <w:szCs w:val="24"/>
          <w:lang w:val="de-DE" w:eastAsia="de-DE"/>
        </w:rPr>
        <w:t>再次按下“启动”按钮</w:t>
      </w:r>
      <w:r>
        <w:rPr>
          <w:rFonts w:hint="eastAsia" w:ascii="仿宋_GB2312" w:hAnsi="仿宋_GB2312" w:eastAsia="仿宋_GB2312" w:cs="仿宋_GB2312"/>
          <w:color w:val="000000"/>
          <w:sz w:val="24"/>
          <w:szCs w:val="24"/>
          <w:lang w:val="de-DE"/>
        </w:rPr>
        <w:t>，</w:t>
      </w:r>
      <w:r>
        <w:rPr>
          <w:rFonts w:hint="eastAsia" w:ascii="仿宋_GB2312" w:hAnsi="仿宋_GB2312" w:eastAsia="仿宋_GB2312" w:cs="仿宋_GB2312"/>
          <w:sz w:val="24"/>
          <w:szCs w:val="24"/>
        </w:rPr>
        <w:t>本单元将重复第（3）到第（9）步，包装盒将依次按顺序被送往6、3、5号仓位的空位中，放完后再依次按顺序被送往2、4、1号仓位。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sz w:val="24"/>
          <w:szCs w:val="24"/>
        </w:rPr>
        <w:t>（10）</w:t>
      </w:r>
      <w:r>
        <w:rPr>
          <w:rFonts w:hint="eastAsia" w:ascii="仿宋_GB2312" w:hAnsi="仿宋_GB2312" w:eastAsia="仿宋_GB2312" w:cs="仿宋_GB2312"/>
          <w:kern w:val="0"/>
          <w:sz w:val="24"/>
          <w:szCs w:val="24"/>
        </w:rPr>
        <w:t>在任何启动运行状态下，按下“停止”按钮，该单元立即停止，所有机构不工作，“停止”指示灯亮，“启动”和“复位”指示灯灭</w:t>
      </w:r>
      <w:r>
        <w:rPr>
          <w:rFonts w:hint="eastAsia" w:ascii="仿宋_GB2312" w:hAnsi="仿宋_GB2312" w:eastAsia="仿宋_GB2312" w:cs="仿宋_GB2312"/>
          <w:sz w:val="24"/>
          <w:szCs w:val="24"/>
        </w:rPr>
        <w:t>。</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8"/>
          <w:szCs w:val="28"/>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w:t>
      </w:r>
      <w:r>
        <w:rPr>
          <w:rFonts w:hint="eastAsia" w:ascii="仿宋_GB2312" w:hAnsi="仿宋_GB2312" w:eastAsia="仿宋_GB2312" w:cs="仿宋_GB2312"/>
          <w:kern w:val="0"/>
          <w:sz w:val="24"/>
        </w:rPr>
        <w:t>～</w:t>
      </w:r>
      <w:r>
        <w:rPr>
          <w:rFonts w:hint="eastAsia" w:ascii="仿宋_GB2312" w:hAnsi="仿宋_GB2312" w:eastAsia="仿宋_GB2312" w:cs="仿宋_GB2312"/>
          <w:kern w:val="0"/>
          <w:sz w:val="24"/>
          <w:szCs w:val="24"/>
        </w:rPr>
        <w:t>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由于加盖拧盖单元和检测分拣单元在安装接线过程中，</w:t>
      </w:r>
      <w:r>
        <w:rPr>
          <w:rFonts w:hint="eastAsia" w:ascii="仿宋_GB2312" w:hAnsi="仿宋_GB2312" w:eastAsia="仿宋_GB2312" w:cs="仿宋_GB2312"/>
          <w:kern w:val="0"/>
          <w:sz w:val="24"/>
          <w:szCs w:val="24"/>
        </w:rPr>
        <w:t>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加盖拧盖单元和检测分拣单元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、总控制界面、颗粒上料单元监控界面、加盖拧盖单元监控界面、检测分拣单元监控界面、机器人搬运包装单元监控界面、智能仓储单元监控界面。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选手登入组态系统并在触摸屏系统总控界面中选择“联机”模式，系统进入联机运行状态。按下触摸屏上“联机停止”按钮，系统立即停止，触摸屏上“系统停止”指示灯亮，“系统启动”和“系统复位”指示灯灭。 “系统停止”状态下，按“联机复位”按钮，系统开始复位，复位过程中“系统复位”指示灯闪亮（2Hz），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系统复位”就绪状态下，选手登入组态系统并按下触摸屏上“联机启动”按钮，系统启动，触摸屏上“系统启动”指示灯亮，“系统复位”和“系统停止”指示灯灭。其它状态下按“联机启动”按钮无效。颗粒上料单元启动运行，主输送带启动。运行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（3）将包含装料信息的空料瓶放在料瓶传输送线末端，由RFID读写器读出信息（</w:t>
      </w:r>
      <w:r>
        <w:rPr>
          <w:rFonts w:hint="eastAsia" w:ascii="仿宋_GB2312" w:hAnsi="仿宋_GB2312" w:eastAsia="仿宋_GB2312" w:cs="仿宋_GB2312"/>
          <w:b/>
          <w:kern w:val="0"/>
          <w:sz w:val="24"/>
          <w:szCs w:val="24"/>
        </w:rPr>
        <w:t>具体装料要求在现场比赛时由专家组指定，选手在开始评分前，按照裁判设定要求自行写入装料信息</w:t>
      </w:r>
      <w:r>
        <w:rPr>
          <w:rFonts w:hint="eastAsia" w:ascii="仿宋_GB2312" w:hAnsi="仿宋_GB2312" w:eastAsia="仿宋_GB2312" w:cs="仿宋_GB2312"/>
          <w:kern w:val="0"/>
          <w:sz w:val="24"/>
          <w:szCs w:val="24"/>
        </w:rPr>
        <w:t>）。在获得装料信息后，整机按要求完成装料工作，否则（</w:t>
      </w:r>
      <w:r>
        <w:rPr>
          <w:rFonts w:hint="eastAsia" w:ascii="仿宋_GB2312" w:hAnsi="仿宋_GB2312" w:eastAsia="仿宋_GB2312" w:cs="仿宋_GB2312"/>
          <w:b/>
          <w:kern w:val="0"/>
          <w:sz w:val="24"/>
          <w:szCs w:val="24"/>
        </w:rPr>
        <w:t>例如标签信息为空、标签信息无法读取、未按要求装料等</w:t>
      </w:r>
      <w:r>
        <w:rPr>
          <w:rFonts w:hint="eastAsia" w:ascii="仿宋_GB2312" w:hAnsi="仿宋_GB2312" w:eastAsia="仿宋_GB2312" w:cs="仿宋_GB2312"/>
          <w:kern w:val="0"/>
          <w:sz w:val="24"/>
          <w:szCs w:val="24"/>
        </w:rPr>
        <w:t>）整个系统停止运行，后续单元不再验收评分。颗粒上料单元填装完成设定数量后，填装定位机构松开。填装过程中在系统总控界面实时显示当前填装瓶中的总颗粒数和蓝色颗粒数，以及生产线累积填装颗粒总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瓶子输送到加盖拧盖单元，主输送带启动，分别将瓶子送入加盖工位和拧盖工位进行加盖与拧盖；拧盖状态颗粒上料单元主输送带不启动，待拧盖完成后方可重新启动；料瓶加盖单元持续10s没有新的物料瓶，则该单元输送带停止运行。</w:t>
      </w:r>
    </w:p>
    <w:p>
      <w:pPr>
        <w:autoSpaceDE w:val="0"/>
        <w:autoSpaceDN w:val="0"/>
        <w:snapToGrid w:val="0"/>
        <w:spacing w:line="400" w:lineRule="exact"/>
        <w:ind w:firstLine="480" w:firstLineChars="200"/>
        <w:textAlignment w:val="center"/>
        <w:rPr>
          <w:rFonts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5）加盖拧盖完成后，瓶子输送到检测分拣单元。在合适的时间启动检测分拣单元标签振动系统，震动标签落入标签摆放盘，由视觉系统识别标签颜色和位置，工业机器人依据识别所获信息进行标签搬运。检测分拣单元主输送带启动，分别对物料瓶瓶盖的旋紧程度、瓶盖颜色以及物料颗粒的数量进行检测，从而分拣出合格品与不合格品，并在系统总控界面实时显示生产线累积合格品数量和不合格品数量。</w:t>
      </w:r>
    </w:p>
    <w:p>
      <w:pPr>
        <w:autoSpaceDE w:val="0"/>
        <w:autoSpaceDN w:val="0"/>
        <w:snapToGrid w:val="0"/>
        <w:spacing w:line="400" w:lineRule="exact"/>
        <w:ind w:firstLine="480" w:firstLineChars="200"/>
        <w:textAlignment w:val="center"/>
        <w:rPr>
          <w:rFonts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（6）</w:t>
      </w:r>
      <w:bookmarkStart w:id="3" w:name="_Hlk2590963"/>
      <w:r>
        <w:rPr>
          <w:rFonts w:hint="eastAsia" w:ascii="仿宋_GB2312" w:hAnsi="仿宋_GB2312" w:eastAsia="仿宋_GB2312" w:cs="仿宋_GB2312"/>
          <w:color w:val="000000" w:themeColor="text1"/>
          <w:kern w:val="0"/>
          <w:sz w:val="24"/>
          <w:szCs w:val="24"/>
          <w14:textFill>
            <w14:solidFill>
              <w14:schemeClr w14:val="tx1"/>
            </w14:solidFill>
          </w14:textFill>
        </w:rPr>
        <w:t>若检测分拣单元的合格品输送带末端等待机器人抓取时间超过3s，颗粒上料单元将主、辅输送带和料瓶加盖单元输送带不启动，随后工作单元进入暂停状态，等待合格品被抓取后继续运行。</w:t>
      </w:r>
      <w:bookmarkEnd w:id="3"/>
    </w:p>
    <w:p>
      <w:pPr>
        <w:pStyle w:val="2"/>
        <w:spacing w:line="400" w:lineRule="exact"/>
        <w:ind w:firstLine="480"/>
        <w:rPr>
          <w:rFonts w:ascii="仿宋_GB2312" w:hAnsi="仿宋_GB2312" w:cs="仿宋_GB2312"/>
          <w:color w:val="000000" w:themeColor="text1"/>
          <w:sz w:val="24"/>
          <w:szCs w:val="24"/>
          <w14:textFill>
            <w14:solidFill>
              <w14:schemeClr w14:val="tx1"/>
            </w14:solidFill>
          </w14:textFill>
        </w:rPr>
      </w:pPr>
      <w:r>
        <w:rPr>
          <w:rFonts w:hint="eastAsia" w:ascii="仿宋_GB2312" w:hAnsi="仿宋_GB2312" w:cs="仿宋_GB2312"/>
          <w:color w:val="000000" w:themeColor="text1"/>
          <w:kern w:val="0"/>
          <w:sz w:val="24"/>
          <w:szCs w:val="24"/>
          <w14:textFill>
            <w14:solidFill>
              <w14:schemeClr w14:val="tx1"/>
            </w14:solidFill>
          </w14:textFill>
        </w:rPr>
        <w:t>（7）机器人单元按照设定的控制程序和机器人示教路径完成装瓶和贴标作业，要求任务三所描述的贴标工位号上的标签颜色与物料瓶工位号上的瓶盖颜色对应。</w:t>
      </w:r>
      <w:r>
        <w:rPr>
          <w:rFonts w:hint="eastAsia" w:ascii="仿宋_GB2312" w:hAnsi="仿宋_GB2312" w:cs="仿宋_GB2312"/>
          <w:color w:val="000000" w:themeColor="text1"/>
          <w:sz w:val="24"/>
          <w:szCs w:val="24"/>
          <w14:textFill>
            <w14:solidFill>
              <w14:schemeClr w14:val="tx1"/>
            </w14:solidFill>
          </w14:textFill>
        </w:rPr>
        <w:t>在贴标过程中，首先触发视觉拍照，判断合格后振动盘无需继续工作，进入贴标工序，如果判断不合格振动盘启动振动2s后，停止振动，重新触发视觉拍照。</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（8）堆垛机单元将完成的包装盒转运至触摸屏指定的仓储单元仓位</w:t>
      </w:r>
      <w:r>
        <w:rPr>
          <w:rFonts w:hint="eastAsia" w:ascii="仿宋_GB2312" w:hAnsi="仿宋_GB2312" w:eastAsia="仿宋_GB2312" w:cs="仿宋_GB2312"/>
          <w:b/>
          <w:bCs/>
          <w:kern w:val="0"/>
          <w:sz w:val="24"/>
          <w:szCs w:val="24"/>
        </w:rPr>
        <w:t>（评分时，裁判指定）</w:t>
      </w:r>
      <w:r>
        <w:rPr>
          <w:rFonts w:hint="eastAsia" w:ascii="仿宋_GB2312" w:hAnsi="仿宋_GB2312" w:eastAsia="仿宋_GB2312" w:cs="仿宋_GB2312"/>
          <w:kern w:val="0"/>
          <w:sz w:val="24"/>
          <w:szCs w:val="24"/>
        </w:rPr>
        <w:t>。若指定仓位已有包装盒，则堆垛机按照6、5、4、1、2、3顺序自动将包装盒送至下一个空闲仓位，并</w:t>
      </w:r>
      <w:r>
        <w:rPr>
          <w:rFonts w:hint="eastAsia" w:ascii="仿宋_GB2312" w:hAnsi="仿宋_GB2312" w:eastAsia="仿宋_GB2312" w:cs="仿宋_GB2312"/>
          <w:b/>
          <w:kern w:val="0"/>
          <w:sz w:val="24"/>
          <w:szCs w:val="24"/>
        </w:rPr>
        <w:t>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（9）系统在任何联机运行状态下，选手在总控制界面并按下触摸屏“联机停止”按钮，系统立即停止，触摸屏上“系统停止”指示灯亮，“系统复位”和“系统启动”指示灯灭。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4" w:name="_Hlk61129415"/>
      <w:r>
        <w:rPr>
          <w:rFonts w:hint="eastAsia" w:ascii="仿宋_GB2312" w:hAnsi="仿宋_GB2312" w:eastAsia="仿宋_GB2312" w:cs="仿宋_GB2312"/>
          <w:b/>
          <w:sz w:val="24"/>
          <w:szCs w:val="24"/>
        </w:rPr>
        <w:t>系统网络结构</w:t>
      </w:r>
      <w:bookmarkEnd w:id="4"/>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0"/>
        <w:gridCol w:w="2469"/>
        <w:gridCol w:w="1500"/>
        <w:gridCol w:w="34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设定物料瓶填装颗粒总数量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实时累计填装颗粒总数</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显示实时累计填装颗粒总数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瓶子合格总数量</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选择入库仓位</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设定选择入库仓位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写入瓶盖颜色</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写入瓶盖颜色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读出瓶盖颜色</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读出瓶盖颜色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写入瓶子摆放位置</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写入瓶子摆放位置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690"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6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读出瓶子摆放位置</w:t>
            </w:r>
          </w:p>
        </w:tc>
        <w:tc>
          <w:tcPr>
            <w:tcW w:w="150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3478"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读出瓶子摆放位置</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吸盘填装限位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物料瓶上料检测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颗粒填装位检测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颜色确认A检测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颜色确认A检测指示灯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颜色确认B检测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颜色确认B检测指示灯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料筒物料检测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料筒物料检测指示灯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颗粒到位检测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填装升降气缸下限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上料输送带电机启停</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取料吸盘</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推料气缸电磁阀手动输出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瓶盖料筒检测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加盖升降气缸下限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输送带电机启停</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拧盖电机启停</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拧盖定位气缸电磁阀输出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输送带进料检测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瓶盖旋紧检测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瓶盖蓝色检测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瓶盖白色检测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不合格到位检测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输送带出料检测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分拣气缸退回限位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三颗料位检测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四颗料位检测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龙门检测绿色</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龙门检测红色</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龙门检测蓝色</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视觉光源</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视觉光源手动控制</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储料台包装盒检测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储料台包装盒检测状态指示灯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定位气缸上限位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定位气缸上限位状态指示灯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A升降台上升</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手动控制A升降台上升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A升降台下降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手动控制A升降台下降</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B升降台上升</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手动控制B升降台上升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B升降台下降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手动控制B升降台下降</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欢迎界面</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画面切换按钮</w:t>
            </w:r>
          </w:p>
        </w:tc>
        <w:tc>
          <w:tcPr>
            <w:tcW w:w="3315"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跳转到欢迎界面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仓位1检测传感器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仓位2检测传感器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仓位3检测传感器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仓位4检测传感器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仓位5检测传感器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仓位6检测传感器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垛机拾取吸盘电磁阀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垛机拾取气缸电磁阀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旋转轴向左移动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手动控制旋转轴向左移动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旋转轴向右移动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手动控制旋转轴向右移动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升降轴向上移动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手动控制升降轴向上移动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升降轴向下移动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手动控制升降轴向下移动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包装盒吸取位电机角度旋转脉冲数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包装盒吸取位旋转轴脉冲数寄存器地址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包装盒吸取位电机垂直旋转脉冲数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包装盒吸取位升降轴脉冲数寄存器地址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仓位第二行脉冲数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仓位第三列脉冲数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仓位第三列脉冲数寄存器地址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欢迎界面</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画面切换按钮</w:t>
            </w:r>
          </w:p>
        </w:tc>
        <w:tc>
          <w:tcPr>
            <w:tcW w:w="3315"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跳转到欢迎界面</w:t>
            </w:r>
          </w:p>
        </w:tc>
      </w:tr>
    </w:tbl>
    <w:p>
      <w:pPr>
        <w:spacing w:line="400" w:lineRule="exact"/>
        <w:ind w:firstLine="482" w:firstLineChars="200"/>
        <w:jc w:val="left"/>
        <w:rPr>
          <w:rFonts w:ascii="仿宋_GB2312" w:hAnsi="仿宋_GB2312" w:eastAsia="仿宋_GB2312" w:cs="仿宋_GB2312"/>
          <w:b/>
          <w:caps/>
          <w:kern w:val="0"/>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spacing w:line="400" w:lineRule="exact"/>
        <w:jc w:val="center"/>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18</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18</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D5491"/>
    <w:rsid w:val="000F1806"/>
    <w:rsid w:val="000F2E84"/>
    <w:rsid w:val="00145A1A"/>
    <w:rsid w:val="00161C87"/>
    <w:rsid w:val="001B7024"/>
    <w:rsid w:val="00230DFA"/>
    <w:rsid w:val="0024364A"/>
    <w:rsid w:val="002502AC"/>
    <w:rsid w:val="00251ACB"/>
    <w:rsid w:val="00273D76"/>
    <w:rsid w:val="00297F9D"/>
    <w:rsid w:val="002A11C3"/>
    <w:rsid w:val="002A73DC"/>
    <w:rsid w:val="002B762A"/>
    <w:rsid w:val="00350993"/>
    <w:rsid w:val="003536BC"/>
    <w:rsid w:val="00395D39"/>
    <w:rsid w:val="003B2B7E"/>
    <w:rsid w:val="003C18DB"/>
    <w:rsid w:val="003E2AF6"/>
    <w:rsid w:val="003F2D0F"/>
    <w:rsid w:val="0043417B"/>
    <w:rsid w:val="00441B5E"/>
    <w:rsid w:val="00447994"/>
    <w:rsid w:val="00454D4B"/>
    <w:rsid w:val="00462286"/>
    <w:rsid w:val="004D4881"/>
    <w:rsid w:val="004D6197"/>
    <w:rsid w:val="004F003F"/>
    <w:rsid w:val="004F1552"/>
    <w:rsid w:val="004F271E"/>
    <w:rsid w:val="00514C92"/>
    <w:rsid w:val="00533698"/>
    <w:rsid w:val="005463C2"/>
    <w:rsid w:val="00567E49"/>
    <w:rsid w:val="0059786D"/>
    <w:rsid w:val="005A1023"/>
    <w:rsid w:val="005C59D2"/>
    <w:rsid w:val="005C5D42"/>
    <w:rsid w:val="005E1695"/>
    <w:rsid w:val="00646146"/>
    <w:rsid w:val="006507D8"/>
    <w:rsid w:val="006B7FEC"/>
    <w:rsid w:val="006C7779"/>
    <w:rsid w:val="006C79A4"/>
    <w:rsid w:val="006E1AA4"/>
    <w:rsid w:val="006F1C2C"/>
    <w:rsid w:val="00733ECB"/>
    <w:rsid w:val="007505DD"/>
    <w:rsid w:val="007616FA"/>
    <w:rsid w:val="00765715"/>
    <w:rsid w:val="00767ED8"/>
    <w:rsid w:val="00783213"/>
    <w:rsid w:val="00787908"/>
    <w:rsid w:val="007A14BE"/>
    <w:rsid w:val="007A51FB"/>
    <w:rsid w:val="007B0AE2"/>
    <w:rsid w:val="007B3251"/>
    <w:rsid w:val="007D613A"/>
    <w:rsid w:val="00877806"/>
    <w:rsid w:val="00883BAC"/>
    <w:rsid w:val="008A2EF7"/>
    <w:rsid w:val="008B7820"/>
    <w:rsid w:val="008C23B2"/>
    <w:rsid w:val="009007A3"/>
    <w:rsid w:val="00967A70"/>
    <w:rsid w:val="00973AC0"/>
    <w:rsid w:val="0099337F"/>
    <w:rsid w:val="009C7AEC"/>
    <w:rsid w:val="009D170E"/>
    <w:rsid w:val="009E7A26"/>
    <w:rsid w:val="00A00313"/>
    <w:rsid w:val="00A03F31"/>
    <w:rsid w:val="00A35AE3"/>
    <w:rsid w:val="00A471B6"/>
    <w:rsid w:val="00A608D4"/>
    <w:rsid w:val="00A851D5"/>
    <w:rsid w:val="00AE4E5E"/>
    <w:rsid w:val="00AE6B1B"/>
    <w:rsid w:val="00AF30C4"/>
    <w:rsid w:val="00B14A7F"/>
    <w:rsid w:val="00B150D3"/>
    <w:rsid w:val="00B2204C"/>
    <w:rsid w:val="00B923FE"/>
    <w:rsid w:val="00B94401"/>
    <w:rsid w:val="00B94CC2"/>
    <w:rsid w:val="00BA50C5"/>
    <w:rsid w:val="00BC4053"/>
    <w:rsid w:val="00BF301E"/>
    <w:rsid w:val="00C54754"/>
    <w:rsid w:val="00C6006E"/>
    <w:rsid w:val="00CA3A47"/>
    <w:rsid w:val="00D070A1"/>
    <w:rsid w:val="00D30768"/>
    <w:rsid w:val="00D30ECA"/>
    <w:rsid w:val="00D3645A"/>
    <w:rsid w:val="00D36944"/>
    <w:rsid w:val="00D75ADB"/>
    <w:rsid w:val="00D815C3"/>
    <w:rsid w:val="00DA5922"/>
    <w:rsid w:val="00DB4711"/>
    <w:rsid w:val="00DC5A2B"/>
    <w:rsid w:val="00DE151B"/>
    <w:rsid w:val="00E2789B"/>
    <w:rsid w:val="00E42128"/>
    <w:rsid w:val="00E974EF"/>
    <w:rsid w:val="00EE0B59"/>
    <w:rsid w:val="00F32078"/>
    <w:rsid w:val="00F66D5E"/>
    <w:rsid w:val="00FD0B6A"/>
    <w:rsid w:val="00FD52E7"/>
    <w:rsid w:val="0165793C"/>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A20495"/>
    <w:rsid w:val="13D16D86"/>
    <w:rsid w:val="14A4410C"/>
    <w:rsid w:val="153D3AAC"/>
    <w:rsid w:val="155F11AF"/>
    <w:rsid w:val="15C95212"/>
    <w:rsid w:val="161F09C9"/>
    <w:rsid w:val="16FD62AF"/>
    <w:rsid w:val="17F763E0"/>
    <w:rsid w:val="18C63F8F"/>
    <w:rsid w:val="1945795F"/>
    <w:rsid w:val="19A34511"/>
    <w:rsid w:val="1A022399"/>
    <w:rsid w:val="1A43170D"/>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520C10"/>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144BC1"/>
    <w:rsid w:val="40C230A3"/>
    <w:rsid w:val="425C6C4B"/>
    <w:rsid w:val="426D44AC"/>
    <w:rsid w:val="42F44377"/>
    <w:rsid w:val="43753683"/>
    <w:rsid w:val="4384423B"/>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3B0033"/>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E3759E8"/>
    <w:rsid w:val="5EC944B2"/>
    <w:rsid w:val="5F585D67"/>
    <w:rsid w:val="5F701C22"/>
    <w:rsid w:val="5FC05D76"/>
    <w:rsid w:val="607A3C53"/>
    <w:rsid w:val="61287C54"/>
    <w:rsid w:val="61851984"/>
    <w:rsid w:val="62305F63"/>
    <w:rsid w:val="62557ED0"/>
    <w:rsid w:val="62A764B8"/>
    <w:rsid w:val="62FA1CA0"/>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850DA6"/>
    <w:rsid w:val="73A475D4"/>
    <w:rsid w:val="73E3195B"/>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qFormat/>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20</Pages>
  <Words>14247</Words>
  <Characters>14542</Characters>
  <Lines>110</Lines>
  <Paragraphs>31</Paragraphs>
  <TotalTime>10</TotalTime>
  <ScaleCrop>false</ScaleCrop>
  <LinksUpToDate>false</LinksUpToDate>
  <CharactersWithSpaces>14580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2023-04-15T09:51:09Z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