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4</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hint="eastAsia" w:ascii="Times New Roman" w:hAnsi="Times New Roman" w:cs="Times New Roman"/>
          <w:spacing w:val="-10"/>
        </w:rPr>
        <w:t>、</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单元对应</w:t>
      </w:r>
      <w:r>
        <w:rPr>
          <w:rFonts w:hint="eastAsia" w:ascii="Times New Roman" w:hAnsi="Times New Roman" w:cs="Times New Roman"/>
        </w:rPr>
        <w:t>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（3）根据任务要求描述，实现虚拟仿真系统中工业机器人、数控机床以及配套外围设备的虚拟调试，验证设备布局方案和工艺流程的合理性。注：运行过程中，机器人不得出现轴超限、不可达、奇异点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（1）仓储单元的台面部分存在电气接线故障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28mm/s。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hint="eastAsia" w:ascii="Times New Roman" w:hAnsi="Times New Roman" w:cs="Times New Roman"/>
          <w:spacing w:val="-7"/>
          <w:szCs w:val="22"/>
          <w:lang w:val="en-US"/>
        </w:rPr>
        <w:t>W”</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7.分拣单元"/>
      <w:bookmarkEnd w:id="16"/>
      <w:bookmarkStart w:id="17" w:name="6.检测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打磨单元</w:t>
      </w:r>
      <w:r>
        <w:rPr>
          <w:rFonts w:hint="eastAsia" w:ascii="Times New Roman" w:hAnsi="Times New Roman" w:cs="Times New Roman"/>
          <w:b/>
          <w:bCs/>
        </w:rPr>
        <w:t>工艺优化</w:t>
      </w:r>
    </w:p>
    <w:p>
      <w:pPr>
        <w:pStyle w:val="50"/>
        <w:spacing w:before="120" w:beforeLines="50" w:line="360" w:lineRule="auto"/>
        <w:rPr>
          <w:rFonts w:ascii="Times New Roman" w:hAnsi="Times New Roman" w:cs="Times New Roman"/>
        </w:rPr>
      </w:pPr>
      <w:r>
        <w:rPr>
          <w:rFonts w:hint="eastAsia" w:ascii="Times New Roman" w:hAnsi="Times New Roman" w:cs="Times New Roman"/>
        </w:rPr>
        <w:t>产品零件在完成数控单元的数控加工后，应当立即由打磨单元完成对产品零件的打磨吹屑功能。</w:t>
      </w:r>
      <w:r>
        <w:rPr>
          <w:rFonts w:ascii="Times New Roman" w:hAnsi="Times New Roman" w:cs="Times New Roman"/>
        </w:rPr>
        <w:t>打磨单元</w:t>
      </w:r>
      <w:r>
        <w:rPr>
          <w:rFonts w:hint="eastAsia" w:ascii="Times New Roman" w:hAnsi="Times New Roman" w:cs="Times New Roman"/>
        </w:rPr>
        <w:t>的</w:t>
      </w:r>
      <w:r>
        <w:rPr>
          <w:rFonts w:ascii="Times New Roman" w:hAnsi="Times New Roman" w:cs="Times New Roman"/>
        </w:rPr>
        <w:t>工艺</w:t>
      </w:r>
      <w:r>
        <w:rPr>
          <w:rFonts w:hint="eastAsia" w:ascii="Times New Roman" w:hAnsi="Times New Roman" w:cs="Times New Roman"/>
        </w:rPr>
        <w:t>优化</w:t>
      </w:r>
      <w:r>
        <w:rPr>
          <w:rFonts w:ascii="Times New Roman" w:hAnsi="Times New Roman" w:cs="Times New Roman"/>
        </w:rPr>
        <w:t>需根据控制系统方案设计结果和所提供的打磨单元内部接线图，实现以下</w:t>
      </w:r>
      <w:r>
        <w:rPr>
          <w:rFonts w:hint="eastAsia" w:ascii="Times New Roman" w:hAnsi="Times New Roman" w:cs="Times New Roman"/>
        </w:rPr>
        <w:t>产品零件的打磨吹屑</w:t>
      </w:r>
      <w:r>
        <w:rPr>
          <w:rFonts w:ascii="Times New Roman" w:hAnsi="Times New Roman" w:cs="Times New Roman"/>
        </w:rPr>
        <w:t>功能</w:t>
      </w:r>
      <w:r>
        <w:rPr>
          <w:rFonts w:hint="eastAsia" w:ascii="Times New Roman" w:hAnsi="Times New Roman" w:cs="Times New Roman"/>
        </w:rPr>
        <w:t>，具体要求如下：</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工业机器人将产品零件放置到吹屑工位内部，产品零件完全进入吹屑工位内，夹爪不松开。</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吹屑 2s，同时使产品零件在吹屑工位内顺时针旋转 90°，确保碎屑完全吹除。</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工业机器人将产品零件由吹屑工位内取出。</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根据工艺流程信息按流程完成数控加工、打磨吹屑、视觉检测、分拣、仓储等工作任务，并把详细的单元状态信息展示在人机交互界面上。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w:t>
      </w:r>
      <w:r>
        <w:rPr>
          <w:rFonts w:hint="eastAsia" w:ascii="Times New Roman" w:hAnsi="Times New Roman" w:cs="Times New Roman"/>
        </w:rPr>
        <w:t>下</w:t>
      </w:r>
      <w:r>
        <w:rPr>
          <w:rFonts w:ascii="Times New Roman" w:hAnsi="Times New Roman" w:cs="Times New Roman"/>
        </w:rPr>
        <w:t>，找到名称为【LG0001】的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1.流程集成调试"/>
      <w:bookmarkEnd w:id="22"/>
      <w:bookmarkStart w:id="23" w:name="任务六MES_系统集成"/>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bookmarkStart w:id="24" w:name="_GoBack"/>
      <w:bookmarkEnd w:id="24"/>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408A"/>
    <w:rsid w:val="00046B0A"/>
    <w:rsid w:val="00083A47"/>
    <w:rsid w:val="0008570D"/>
    <w:rsid w:val="000862FD"/>
    <w:rsid w:val="00093BFC"/>
    <w:rsid w:val="00096634"/>
    <w:rsid w:val="000B1091"/>
    <w:rsid w:val="000B765C"/>
    <w:rsid w:val="000C28CE"/>
    <w:rsid w:val="000D6473"/>
    <w:rsid w:val="000E4A4F"/>
    <w:rsid w:val="001272A0"/>
    <w:rsid w:val="0013675F"/>
    <w:rsid w:val="001376A8"/>
    <w:rsid w:val="0014378E"/>
    <w:rsid w:val="001459CB"/>
    <w:rsid w:val="00153407"/>
    <w:rsid w:val="00154DD6"/>
    <w:rsid w:val="001566A0"/>
    <w:rsid w:val="00161070"/>
    <w:rsid w:val="001619B9"/>
    <w:rsid w:val="00164FB4"/>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1076"/>
    <w:rsid w:val="002231A2"/>
    <w:rsid w:val="002251B6"/>
    <w:rsid w:val="0022702E"/>
    <w:rsid w:val="0025357A"/>
    <w:rsid w:val="002576BE"/>
    <w:rsid w:val="002662A8"/>
    <w:rsid w:val="00267881"/>
    <w:rsid w:val="00272955"/>
    <w:rsid w:val="00273486"/>
    <w:rsid w:val="002810A0"/>
    <w:rsid w:val="002971AA"/>
    <w:rsid w:val="002B53A1"/>
    <w:rsid w:val="002B6FEC"/>
    <w:rsid w:val="002C0599"/>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33051"/>
    <w:rsid w:val="00346FB0"/>
    <w:rsid w:val="003565DC"/>
    <w:rsid w:val="003753AC"/>
    <w:rsid w:val="003774F2"/>
    <w:rsid w:val="00380220"/>
    <w:rsid w:val="00381716"/>
    <w:rsid w:val="00383105"/>
    <w:rsid w:val="00383516"/>
    <w:rsid w:val="00383E3D"/>
    <w:rsid w:val="003851BE"/>
    <w:rsid w:val="003A2D7A"/>
    <w:rsid w:val="003A47BE"/>
    <w:rsid w:val="003A5648"/>
    <w:rsid w:val="003C0402"/>
    <w:rsid w:val="003C2D39"/>
    <w:rsid w:val="003D5111"/>
    <w:rsid w:val="003D5AE3"/>
    <w:rsid w:val="003E606E"/>
    <w:rsid w:val="003F0F47"/>
    <w:rsid w:val="003F6047"/>
    <w:rsid w:val="00402AF4"/>
    <w:rsid w:val="0041694A"/>
    <w:rsid w:val="004241FE"/>
    <w:rsid w:val="004570F2"/>
    <w:rsid w:val="004633E4"/>
    <w:rsid w:val="0048254B"/>
    <w:rsid w:val="004A0AB7"/>
    <w:rsid w:val="004A4439"/>
    <w:rsid w:val="004C0860"/>
    <w:rsid w:val="0050290A"/>
    <w:rsid w:val="00505922"/>
    <w:rsid w:val="005110D5"/>
    <w:rsid w:val="00517A4D"/>
    <w:rsid w:val="005235E1"/>
    <w:rsid w:val="00526EB0"/>
    <w:rsid w:val="00527B90"/>
    <w:rsid w:val="005429D1"/>
    <w:rsid w:val="005465F2"/>
    <w:rsid w:val="0055726B"/>
    <w:rsid w:val="005613A6"/>
    <w:rsid w:val="0056169B"/>
    <w:rsid w:val="00573FE8"/>
    <w:rsid w:val="005749A8"/>
    <w:rsid w:val="005845C0"/>
    <w:rsid w:val="00592046"/>
    <w:rsid w:val="005947DF"/>
    <w:rsid w:val="00595661"/>
    <w:rsid w:val="005A042C"/>
    <w:rsid w:val="005A0681"/>
    <w:rsid w:val="005A12C8"/>
    <w:rsid w:val="005B359B"/>
    <w:rsid w:val="005C2205"/>
    <w:rsid w:val="005C2AFF"/>
    <w:rsid w:val="005E201F"/>
    <w:rsid w:val="005F5777"/>
    <w:rsid w:val="005F6225"/>
    <w:rsid w:val="005F7CA1"/>
    <w:rsid w:val="00630127"/>
    <w:rsid w:val="0063348C"/>
    <w:rsid w:val="0065338D"/>
    <w:rsid w:val="0065769A"/>
    <w:rsid w:val="006615E6"/>
    <w:rsid w:val="00670EDE"/>
    <w:rsid w:val="00673AC8"/>
    <w:rsid w:val="006764CC"/>
    <w:rsid w:val="006A5C3C"/>
    <w:rsid w:val="006B0C2D"/>
    <w:rsid w:val="006B575C"/>
    <w:rsid w:val="006C2E5F"/>
    <w:rsid w:val="006E04FF"/>
    <w:rsid w:val="006E48DE"/>
    <w:rsid w:val="006E4AE2"/>
    <w:rsid w:val="006F62E4"/>
    <w:rsid w:val="00702E87"/>
    <w:rsid w:val="00707D35"/>
    <w:rsid w:val="00714CF4"/>
    <w:rsid w:val="00714F8F"/>
    <w:rsid w:val="00727C6B"/>
    <w:rsid w:val="007331EE"/>
    <w:rsid w:val="00733E65"/>
    <w:rsid w:val="007346C3"/>
    <w:rsid w:val="00740625"/>
    <w:rsid w:val="00744AE7"/>
    <w:rsid w:val="00744BAB"/>
    <w:rsid w:val="00750AD3"/>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5399"/>
    <w:rsid w:val="007F7B1C"/>
    <w:rsid w:val="008105CD"/>
    <w:rsid w:val="00830042"/>
    <w:rsid w:val="00835728"/>
    <w:rsid w:val="00837803"/>
    <w:rsid w:val="00844A61"/>
    <w:rsid w:val="00850D12"/>
    <w:rsid w:val="00867187"/>
    <w:rsid w:val="0087336B"/>
    <w:rsid w:val="0088504D"/>
    <w:rsid w:val="00887769"/>
    <w:rsid w:val="00892C0C"/>
    <w:rsid w:val="00894536"/>
    <w:rsid w:val="008A151B"/>
    <w:rsid w:val="008A4CB7"/>
    <w:rsid w:val="008A5901"/>
    <w:rsid w:val="008A6FB4"/>
    <w:rsid w:val="008A7D35"/>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91CC3"/>
    <w:rsid w:val="00992A6D"/>
    <w:rsid w:val="009A177E"/>
    <w:rsid w:val="009A7EC6"/>
    <w:rsid w:val="009D199C"/>
    <w:rsid w:val="009E46E8"/>
    <w:rsid w:val="009F7509"/>
    <w:rsid w:val="00A16301"/>
    <w:rsid w:val="00A20C05"/>
    <w:rsid w:val="00A237AA"/>
    <w:rsid w:val="00A24C06"/>
    <w:rsid w:val="00A25E47"/>
    <w:rsid w:val="00A32D94"/>
    <w:rsid w:val="00A37AC8"/>
    <w:rsid w:val="00A37C2B"/>
    <w:rsid w:val="00A41C72"/>
    <w:rsid w:val="00A55D39"/>
    <w:rsid w:val="00A66EDE"/>
    <w:rsid w:val="00A67B57"/>
    <w:rsid w:val="00A70128"/>
    <w:rsid w:val="00A72110"/>
    <w:rsid w:val="00A735BF"/>
    <w:rsid w:val="00A931DA"/>
    <w:rsid w:val="00A94253"/>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B87"/>
    <w:rsid w:val="00B200B6"/>
    <w:rsid w:val="00B216C5"/>
    <w:rsid w:val="00B307C3"/>
    <w:rsid w:val="00B554B8"/>
    <w:rsid w:val="00B66B5E"/>
    <w:rsid w:val="00B735C1"/>
    <w:rsid w:val="00B74B4C"/>
    <w:rsid w:val="00B76D6C"/>
    <w:rsid w:val="00B81C4A"/>
    <w:rsid w:val="00B93524"/>
    <w:rsid w:val="00BA01DB"/>
    <w:rsid w:val="00BA3A8C"/>
    <w:rsid w:val="00BB096C"/>
    <w:rsid w:val="00BB12D1"/>
    <w:rsid w:val="00BB1979"/>
    <w:rsid w:val="00BB30F1"/>
    <w:rsid w:val="00BB3569"/>
    <w:rsid w:val="00BB4B67"/>
    <w:rsid w:val="00BC4DAE"/>
    <w:rsid w:val="00BE346F"/>
    <w:rsid w:val="00BE4E7D"/>
    <w:rsid w:val="00BF1E1C"/>
    <w:rsid w:val="00C05D10"/>
    <w:rsid w:val="00C073FA"/>
    <w:rsid w:val="00C112BA"/>
    <w:rsid w:val="00C112FB"/>
    <w:rsid w:val="00C11591"/>
    <w:rsid w:val="00C1202D"/>
    <w:rsid w:val="00C325A3"/>
    <w:rsid w:val="00C365B1"/>
    <w:rsid w:val="00C369CC"/>
    <w:rsid w:val="00C377E1"/>
    <w:rsid w:val="00C45C85"/>
    <w:rsid w:val="00C544FD"/>
    <w:rsid w:val="00C54D6C"/>
    <w:rsid w:val="00C6664B"/>
    <w:rsid w:val="00C74D3F"/>
    <w:rsid w:val="00C80006"/>
    <w:rsid w:val="00C80BC4"/>
    <w:rsid w:val="00C81DCE"/>
    <w:rsid w:val="00CA22DA"/>
    <w:rsid w:val="00CA5277"/>
    <w:rsid w:val="00CB2BEF"/>
    <w:rsid w:val="00CD07A7"/>
    <w:rsid w:val="00CD4BD8"/>
    <w:rsid w:val="00CE348F"/>
    <w:rsid w:val="00CE62C8"/>
    <w:rsid w:val="00CF0CA8"/>
    <w:rsid w:val="00CF130A"/>
    <w:rsid w:val="00CF47E9"/>
    <w:rsid w:val="00CF5D4B"/>
    <w:rsid w:val="00D0160F"/>
    <w:rsid w:val="00D05CE2"/>
    <w:rsid w:val="00D26EF7"/>
    <w:rsid w:val="00D31E42"/>
    <w:rsid w:val="00D32E2B"/>
    <w:rsid w:val="00D3340D"/>
    <w:rsid w:val="00D61D96"/>
    <w:rsid w:val="00D63DA7"/>
    <w:rsid w:val="00D748D3"/>
    <w:rsid w:val="00D96519"/>
    <w:rsid w:val="00DA3ACA"/>
    <w:rsid w:val="00DA7362"/>
    <w:rsid w:val="00DB6713"/>
    <w:rsid w:val="00DC78F2"/>
    <w:rsid w:val="00DD5D2D"/>
    <w:rsid w:val="00DD7070"/>
    <w:rsid w:val="00DE71EC"/>
    <w:rsid w:val="00DF5ED2"/>
    <w:rsid w:val="00E02B01"/>
    <w:rsid w:val="00E11E53"/>
    <w:rsid w:val="00E12327"/>
    <w:rsid w:val="00E167EC"/>
    <w:rsid w:val="00E571E7"/>
    <w:rsid w:val="00E6295E"/>
    <w:rsid w:val="00E81697"/>
    <w:rsid w:val="00E81CCB"/>
    <w:rsid w:val="00E8312F"/>
    <w:rsid w:val="00E861B6"/>
    <w:rsid w:val="00E90F42"/>
    <w:rsid w:val="00EA4A9B"/>
    <w:rsid w:val="00EB3560"/>
    <w:rsid w:val="00EC3D45"/>
    <w:rsid w:val="00ED1CB4"/>
    <w:rsid w:val="00ED2BFD"/>
    <w:rsid w:val="00ED6ACF"/>
    <w:rsid w:val="00EE0E9F"/>
    <w:rsid w:val="00EE43DD"/>
    <w:rsid w:val="00EF08F7"/>
    <w:rsid w:val="00EF14D1"/>
    <w:rsid w:val="00EF4F39"/>
    <w:rsid w:val="00EF55D3"/>
    <w:rsid w:val="00F13EF7"/>
    <w:rsid w:val="00F30B6F"/>
    <w:rsid w:val="00F30F4A"/>
    <w:rsid w:val="00F31212"/>
    <w:rsid w:val="00F31E2A"/>
    <w:rsid w:val="00F449EB"/>
    <w:rsid w:val="00F47A3D"/>
    <w:rsid w:val="00F6134A"/>
    <w:rsid w:val="00F85654"/>
    <w:rsid w:val="00F85F52"/>
    <w:rsid w:val="00F92B46"/>
    <w:rsid w:val="00F94674"/>
    <w:rsid w:val="00FA1130"/>
    <w:rsid w:val="00FA6D68"/>
    <w:rsid w:val="00FB07B6"/>
    <w:rsid w:val="00FC49D2"/>
    <w:rsid w:val="00FC739B"/>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8435F5"/>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336268"/>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907CF"/>
    <w:rsid w:val="41FA3AEB"/>
    <w:rsid w:val="42162288"/>
    <w:rsid w:val="423C0ADB"/>
    <w:rsid w:val="427D40B5"/>
    <w:rsid w:val="43117D7C"/>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8D7246"/>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303AA"/>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8330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392221"/>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D643D9-15C2-4C38-B6EF-3931E64641CB}">
  <ds:schemaRefs/>
</ds:datastoreItem>
</file>

<file path=docProps/app.xml><?xml version="1.0" encoding="utf-8"?>
<Properties xmlns="http://schemas.openxmlformats.org/officeDocument/2006/extended-properties" xmlns:vt="http://schemas.openxmlformats.org/officeDocument/2006/docPropsVTypes">
  <Template>Normal</Template>
  <Pages>16</Pages>
  <Words>6373</Words>
  <Characters>6644</Characters>
  <Lines>50</Lines>
  <Paragraphs>14</Paragraphs>
  <TotalTime>0</TotalTime>
  <ScaleCrop>false</ScaleCrop>
  <LinksUpToDate>false</LinksUpToDate>
  <CharactersWithSpaces>6889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2023-04-15T05:43:00Z</dcterms:created>
  <dc:creator>羊荣金</dc:creator>
  <cp:lastModifiedBy>Administrator</cp:lastModifiedBy>
  <dcterms:modified xsi:type="dcterms:W3CDTF">2023-04-15T09:09:48Z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