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2D8" w14:textId="426CA434" w:rsidR="00A36606" w:rsidRDefault="00CB0BEC">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6</w:t>
      </w:r>
      <w:r>
        <w:rPr>
          <w:rFonts w:ascii="仿宋_GB2312" w:eastAsia="仿宋_GB2312" w:hAnsi="仿宋_GB2312" w:cs="仿宋_GB2312" w:hint="eastAsia"/>
          <w:b/>
          <w:bCs/>
          <w:sz w:val="36"/>
          <w:szCs w:val="36"/>
        </w:rPr>
        <w:t>套</w:t>
      </w:r>
    </w:p>
    <w:p w14:paraId="637CD8E8" w14:textId="535546F3" w:rsidR="00A36606" w:rsidRDefault="00CB0BEC">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A36606" w14:paraId="0FC5E12F" w14:textId="77777777">
        <w:trPr>
          <w:trHeight w:val="567"/>
          <w:jc w:val="center"/>
        </w:trPr>
        <w:tc>
          <w:tcPr>
            <w:tcW w:w="1672" w:type="dxa"/>
            <w:vAlign w:val="center"/>
          </w:tcPr>
          <w:p w14:paraId="479A1E37"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7E85FDF7"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756CF2B3" w14:textId="10C690D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6FA7B48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A36606" w14:paraId="3A3B7B5E" w14:textId="77777777">
        <w:trPr>
          <w:trHeight w:val="567"/>
          <w:jc w:val="center"/>
        </w:trPr>
        <w:tc>
          <w:tcPr>
            <w:tcW w:w="1672" w:type="dxa"/>
            <w:vAlign w:val="center"/>
          </w:tcPr>
          <w:p w14:paraId="355C93D4"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3B9FF7F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02F9AC29"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3F4E4F0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A36606" w14:paraId="5E6EAA7D" w14:textId="77777777">
        <w:trPr>
          <w:trHeight w:val="567"/>
          <w:jc w:val="center"/>
        </w:trPr>
        <w:tc>
          <w:tcPr>
            <w:tcW w:w="1672" w:type="dxa"/>
            <w:vAlign w:val="center"/>
          </w:tcPr>
          <w:p w14:paraId="16F8A73B"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5C34535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A36606" w14:paraId="1F2FB0F0" w14:textId="77777777">
        <w:trPr>
          <w:trHeight w:val="567"/>
          <w:jc w:val="center"/>
        </w:trPr>
        <w:tc>
          <w:tcPr>
            <w:tcW w:w="1672" w:type="dxa"/>
            <w:vAlign w:val="center"/>
          </w:tcPr>
          <w:p w14:paraId="568F74D8"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588270D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A36606" w14:paraId="076BF74D" w14:textId="77777777">
        <w:trPr>
          <w:trHeight w:val="567"/>
          <w:jc w:val="center"/>
        </w:trPr>
        <w:tc>
          <w:tcPr>
            <w:tcW w:w="1672" w:type="dxa"/>
            <w:vAlign w:val="center"/>
          </w:tcPr>
          <w:p w14:paraId="03A3AFF2"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39A198B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A36606" w14:paraId="4DC10A97" w14:textId="77777777">
        <w:trPr>
          <w:trHeight w:val="567"/>
          <w:jc w:val="center"/>
        </w:trPr>
        <w:tc>
          <w:tcPr>
            <w:tcW w:w="1672" w:type="dxa"/>
            <w:vMerge w:val="restart"/>
            <w:vAlign w:val="center"/>
          </w:tcPr>
          <w:p w14:paraId="53FB0A81"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60CEE648"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7C6535D0" w14:textId="7CD8711E"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51CE6EB6"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777A2996"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249A47CB"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A36606" w14:paraId="122314C5" w14:textId="77777777">
        <w:trPr>
          <w:trHeight w:val="567"/>
          <w:jc w:val="center"/>
        </w:trPr>
        <w:tc>
          <w:tcPr>
            <w:tcW w:w="1672" w:type="dxa"/>
            <w:vMerge/>
            <w:vAlign w:val="center"/>
          </w:tcPr>
          <w:p w14:paraId="01C02684"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3923965"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5BB0AE4F" w14:textId="77777777" w:rsidR="00A36606" w:rsidRDefault="00CB0BEC">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w:t>
            </w:r>
            <w:r>
              <w:rPr>
                <w:rFonts w:eastAsia="仿宋" w:hint="eastAsia"/>
                <w:b/>
                <w:bCs/>
                <w:color w:val="000000"/>
                <w:sz w:val="24"/>
              </w:rPr>
              <w:t>3</w:t>
            </w:r>
            <w:r>
              <w:rPr>
                <w:rFonts w:eastAsia="仿宋" w:hint="eastAsia"/>
                <w:b/>
                <w:bCs/>
                <w:color w:val="000000"/>
                <w:sz w:val="24"/>
              </w:rPr>
              <w:t>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C</w:t>
            </w:r>
            <w:r>
              <w:rPr>
                <w:rFonts w:eastAsia="仿宋" w:hint="eastAsia"/>
                <w:color w:val="000000"/>
                <w:sz w:val="24"/>
              </w:rPr>
              <w:t>未在规定状态，进行恢复</w:t>
            </w:r>
          </w:p>
        </w:tc>
        <w:tc>
          <w:tcPr>
            <w:tcW w:w="3271" w:type="dxa"/>
            <w:vAlign w:val="center"/>
          </w:tcPr>
          <w:p w14:paraId="241BFCA5" w14:textId="77777777" w:rsidR="00A36606" w:rsidRDefault="00CB0BEC">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60B807A7" w14:textId="77777777" w:rsidR="00A36606" w:rsidRDefault="00CB0BEC">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0F0A76F9" w14:textId="77777777" w:rsidR="00A36606" w:rsidRDefault="00CB0BEC">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1F82F81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7E753936"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7220D42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7078195C"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恢复至规定状态</w:t>
            </w:r>
          </w:p>
          <w:p w14:paraId="4A71D0FD"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0B6B496A"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2DEC1045" w14:textId="77777777" w:rsidR="00A36606" w:rsidRDefault="00A36606">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5438F9B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8D0A25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66F1D586"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6996CAA"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26EAA0AF" w14:textId="77777777" w:rsidR="00A36606" w:rsidRDefault="00CB0BEC">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A36606" w14:paraId="1FB4DDDC" w14:textId="77777777">
        <w:trPr>
          <w:trHeight w:val="567"/>
          <w:jc w:val="center"/>
        </w:trPr>
        <w:tc>
          <w:tcPr>
            <w:tcW w:w="1672" w:type="dxa"/>
            <w:vMerge/>
            <w:vAlign w:val="center"/>
          </w:tcPr>
          <w:p w14:paraId="66E09012"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003FFD2"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4479E9B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6</w:t>
            </w:r>
            <w:r>
              <w:rPr>
                <w:rFonts w:ascii="仿宋_GB2312" w:eastAsia="仿宋_GB2312" w:hAnsi="仿宋_GB2312" w:cs="仿宋_GB2312" w:hint="eastAsia"/>
                <w:b/>
                <w:bCs/>
                <w:color w:val="000000"/>
                <w:sz w:val="24"/>
              </w:rPr>
              <w:t>控制权接收：</w:t>
            </w:r>
            <w:r>
              <w:rPr>
                <w:rFonts w:ascii="仿宋_GB2312" w:eastAsia="仿宋_GB2312" w:hAnsi="仿宋_GB2312" w:cs="仿宋_GB2312" w:hint="eastAsia"/>
                <w:color w:val="000000"/>
                <w:sz w:val="24"/>
              </w:rPr>
              <w:t>根据行调指示接收控制权，接权成功后根据场景</w:t>
            </w: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列车位置，办理自动进路，要求不出现机外停车和晚点</w:t>
            </w:r>
          </w:p>
        </w:tc>
        <w:tc>
          <w:tcPr>
            <w:tcW w:w="3271" w:type="dxa"/>
            <w:vAlign w:val="center"/>
          </w:tcPr>
          <w:p w14:paraId="1408D85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F</w:t>
            </w:r>
          </w:p>
          <w:p w14:paraId="325F8168"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14F42E6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w:t>
            </w: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办理自动进路</w:t>
            </w:r>
          </w:p>
          <w:p w14:paraId="76A5D58D" w14:textId="77777777" w:rsidR="00A36606" w:rsidRDefault="00A36606">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52FE66C7"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计划核对正确</w:t>
            </w:r>
          </w:p>
          <w:p w14:paraId="04B9B12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62CD8B8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自动进路办理正确</w:t>
            </w:r>
          </w:p>
          <w:p w14:paraId="026F28B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7D78D5E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1FB3FE2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72AF8B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6943B5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A36606" w14:paraId="5FEDFCB5" w14:textId="77777777">
        <w:trPr>
          <w:trHeight w:val="567"/>
          <w:jc w:val="center"/>
        </w:trPr>
        <w:tc>
          <w:tcPr>
            <w:tcW w:w="1672" w:type="dxa"/>
            <w:vMerge/>
            <w:vAlign w:val="center"/>
          </w:tcPr>
          <w:p w14:paraId="78AFFA50"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222D483"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5D3F6C65" w14:textId="77777777" w:rsidR="00A36606" w:rsidRDefault="00CB0BEC">
            <w:pPr>
              <w:pStyle w:val="2"/>
              <w:spacing w:after="0"/>
              <w:ind w:leftChars="0" w:left="0" w:firstLineChars="0" w:firstLine="0"/>
              <w:rPr>
                <w:rFonts w:eastAsia="仿宋"/>
                <w:color w:val="000000"/>
                <w:sz w:val="24"/>
              </w:rPr>
            </w:pPr>
            <w:r>
              <w:rPr>
                <w:rFonts w:ascii="仿宋_GB2312" w:eastAsia="仿宋_GB2312" w:hAnsi="仿宋_GB2312" w:cs="仿宋_GB2312" w:hint="eastAsia"/>
                <w:b/>
                <w:bCs/>
                <w:color w:val="000000"/>
                <w:sz w:val="24"/>
              </w:rPr>
              <w:t>F1</w:t>
            </w:r>
            <w:r>
              <w:rPr>
                <w:rFonts w:ascii="仿宋_GB2312" w:eastAsia="仿宋_GB2312" w:hAnsi="仿宋_GB2312" w:cs="仿宋_GB2312" w:hint="eastAsia"/>
                <w:b/>
                <w:bCs/>
                <w:color w:val="000000"/>
                <w:sz w:val="24"/>
              </w:rPr>
              <w:t>等列车出段作业：</w:t>
            </w:r>
            <w:r>
              <w:rPr>
                <w:rFonts w:ascii="仿宋_GB2312" w:eastAsia="仿宋_GB2312" w:hAnsi="仿宋_GB2312" w:cs="仿宋_GB2312" w:hint="eastAsia"/>
                <w:color w:val="000000"/>
                <w:sz w:val="24"/>
              </w:rPr>
              <w:t>根据列车计划</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判</w:t>
            </w:r>
            <w:r>
              <w:rPr>
                <w:rFonts w:ascii="仿宋_GB2312" w:eastAsia="仿宋_GB2312" w:hAnsi="仿宋_GB2312" w:cs="仿宋_GB2312" w:hint="eastAsia"/>
                <w:color w:val="000000"/>
                <w:sz w:val="24"/>
              </w:rPr>
              <w:t>断列车是否是出段车，并为出段列车排列出段进路</w:t>
            </w:r>
          </w:p>
        </w:tc>
        <w:tc>
          <w:tcPr>
            <w:tcW w:w="3271" w:type="dxa"/>
            <w:vAlign w:val="center"/>
          </w:tcPr>
          <w:p w14:paraId="652E517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F1</w:t>
            </w:r>
            <w:r>
              <w:rPr>
                <w:rFonts w:ascii="仿宋_GB2312" w:eastAsia="仿宋_GB2312" w:hAnsi="仿宋_GB2312" w:cs="仿宋_GB2312" w:hint="eastAsia"/>
                <w:color w:val="000000"/>
                <w:sz w:val="24"/>
              </w:rPr>
              <w:t>等列车为出段车</w:t>
            </w:r>
          </w:p>
          <w:p w14:paraId="3CF8C003"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为出段车则排列出段进路</w:t>
            </w:r>
          </w:p>
        </w:tc>
        <w:tc>
          <w:tcPr>
            <w:tcW w:w="2649" w:type="dxa"/>
            <w:vAlign w:val="center"/>
          </w:tcPr>
          <w:p w14:paraId="2DEB153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p>
          <w:p w14:paraId="2E9AE9C7"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p>
          <w:p w14:paraId="0807539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1C1F32C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3EB00F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990B7F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A36606" w14:paraId="68991114" w14:textId="77777777">
        <w:trPr>
          <w:trHeight w:val="567"/>
          <w:jc w:val="center"/>
        </w:trPr>
        <w:tc>
          <w:tcPr>
            <w:tcW w:w="1672" w:type="dxa"/>
            <w:vMerge/>
            <w:vAlign w:val="center"/>
          </w:tcPr>
          <w:p w14:paraId="48048944"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112C38D"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77E4EDD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F1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F1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2485F1A8" w14:textId="77777777" w:rsidR="00A36606" w:rsidRDefault="00CB0BEC">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F1</w:t>
            </w:r>
            <w:r>
              <w:rPr>
                <w:rFonts w:ascii="仿宋_GB2312" w:eastAsia="仿宋_GB2312" w:hAnsi="仿宋_GB2312" w:cs="仿宋_GB2312" w:hint="eastAsia"/>
                <w:color w:val="000000"/>
                <w:sz w:val="24"/>
              </w:rPr>
              <w:t>等区段故障锁闭</w:t>
            </w:r>
          </w:p>
          <w:p w14:paraId="419480B0"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7919C4C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6C9F65F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3A17231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24AB423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5919002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2F283B9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35825AF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4E839B3"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3BFA79E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32409C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A36606" w14:paraId="586F34E7" w14:textId="77777777">
        <w:trPr>
          <w:trHeight w:val="567"/>
          <w:jc w:val="center"/>
        </w:trPr>
        <w:tc>
          <w:tcPr>
            <w:tcW w:w="1672" w:type="dxa"/>
            <w:vMerge/>
            <w:vAlign w:val="center"/>
          </w:tcPr>
          <w:p w14:paraId="53312606"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F8C9464"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6F257C7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F</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判断信号机故障关闭原因，执行</w:t>
            </w:r>
            <w:r>
              <w:rPr>
                <w:rFonts w:ascii="仿宋_GB2312" w:eastAsia="仿宋_GB2312" w:hAnsi="仿宋_GB2312" w:cs="仿宋_GB2312" w:hint="eastAsia"/>
                <w:color w:val="000000"/>
                <w:sz w:val="24"/>
              </w:rPr>
              <w:lastRenderedPageBreak/>
              <w:t>信号机</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的信号重开作业</w:t>
            </w:r>
          </w:p>
        </w:tc>
        <w:tc>
          <w:tcPr>
            <w:tcW w:w="3271" w:type="dxa"/>
            <w:vAlign w:val="center"/>
          </w:tcPr>
          <w:p w14:paraId="0C25E88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故障关闭，并汇报</w:t>
            </w:r>
          </w:p>
          <w:p w14:paraId="25558B1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判断信号重开的条件是否满足，进行信号重开操作</w:t>
            </w:r>
          </w:p>
          <w:p w14:paraId="5DC585E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7DAE267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1D06644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1941780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7FA6203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汇报行调时机合理，内容规范</w:t>
            </w:r>
          </w:p>
          <w:p w14:paraId="232E09D7"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383C315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83D5481"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3DFD5C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D18B89E"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A36606" w14:paraId="78B1ED0E" w14:textId="77777777">
        <w:trPr>
          <w:trHeight w:val="567"/>
          <w:jc w:val="center"/>
        </w:trPr>
        <w:tc>
          <w:tcPr>
            <w:tcW w:w="1672" w:type="dxa"/>
            <w:vMerge/>
            <w:vAlign w:val="center"/>
          </w:tcPr>
          <w:p w14:paraId="3D4D61E7"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CB1A88B"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269BBD3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F</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故障，通过单扳实验将该道岔恢复至正常状态</w:t>
            </w:r>
          </w:p>
        </w:tc>
        <w:tc>
          <w:tcPr>
            <w:tcW w:w="3271" w:type="dxa"/>
            <w:vAlign w:val="center"/>
          </w:tcPr>
          <w:p w14:paraId="3FB7470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F</w:t>
            </w:r>
            <w:r>
              <w:rPr>
                <w:rFonts w:ascii="仿宋_GB2312" w:eastAsia="仿宋_GB2312" w:hAnsi="仿宋_GB2312" w:cs="仿宋_GB2312" w:hint="eastAsia"/>
                <w:color w:val="000000"/>
                <w:sz w:val="24"/>
              </w:rPr>
              <w:t>故障</w:t>
            </w:r>
          </w:p>
          <w:p w14:paraId="752C425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3DF9CDE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335E2AD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3E9EF604"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7350C4D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p>
          <w:p w14:paraId="7C9CD16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271995E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1B98E87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41B928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0D1D2D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4C931F2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31E33B1"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A36606" w14:paraId="2B4AD3C8" w14:textId="77777777">
        <w:trPr>
          <w:trHeight w:val="567"/>
          <w:jc w:val="center"/>
        </w:trPr>
        <w:tc>
          <w:tcPr>
            <w:tcW w:w="1672" w:type="dxa"/>
            <w:vMerge/>
            <w:vAlign w:val="center"/>
          </w:tcPr>
          <w:p w14:paraId="5CE03788"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0BF4994"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65767F31" w14:textId="77777777" w:rsidR="00A36606" w:rsidRDefault="00CB0BEC">
            <w:pPr>
              <w:pStyle w:val="2"/>
              <w:spacing w:after="0"/>
              <w:ind w:leftChars="0" w:left="0" w:firstLineChars="0" w:firstLine="0"/>
              <w:rPr>
                <w:rFonts w:eastAsia="仿宋"/>
                <w:color w:val="000000"/>
                <w:sz w:val="24"/>
              </w:rPr>
            </w:pPr>
            <w:r>
              <w:rPr>
                <w:rFonts w:eastAsia="仿宋" w:hint="eastAsia"/>
                <w:b/>
                <w:bCs/>
                <w:color w:val="000000"/>
                <w:sz w:val="24"/>
              </w:rPr>
              <w:t>道岔</w:t>
            </w:r>
            <w:r>
              <w:rPr>
                <w:rFonts w:eastAsia="仿宋" w:hint="eastAsia"/>
                <w:b/>
                <w:bCs/>
                <w:color w:val="000000"/>
                <w:sz w:val="24"/>
              </w:rPr>
              <w:t>F</w:t>
            </w:r>
            <w:r>
              <w:rPr>
                <w:rFonts w:eastAsia="仿宋" w:hint="eastAsia"/>
                <w:b/>
                <w:bCs/>
                <w:color w:val="000000"/>
                <w:sz w:val="24"/>
              </w:rPr>
              <w:t>单锁与单解作业</w:t>
            </w:r>
            <w:r>
              <w:rPr>
                <w:rFonts w:eastAsia="仿宋" w:hint="eastAsia"/>
                <w:color w:val="000000"/>
                <w:sz w:val="24"/>
              </w:rPr>
              <w:t>：根据行调命令执行道岔</w:t>
            </w:r>
            <w:r>
              <w:rPr>
                <w:rFonts w:eastAsia="仿宋" w:hint="eastAsia"/>
                <w:color w:val="000000"/>
                <w:sz w:val="24"/>
              </w:rPr>
              <w:t>F</w:t>
            </w:r>
            <w:r>
              <w:rPr>
                <w:rFonts w:eastAsia="仿宋" w:hint="eastAsia"/>
                <w:color w:val="000000"/>
                <w:sz w:val="24"/>
              </w:rPr>
              <w:t>的单独锁闭与解锁</w:t>
            </w:r>
          </w:p>
        </w:tc>
        <w:tc>
          <w:tcPr>
            <w:tcW w:w="3271" w:type="dxa"/>
            <w:vAlign w:val="center"/>
          </w:tcPr>
          <w:p w14:paraId="0DFA5F22"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接收行调单锁道岔</w:t>
            </w:r>
            <w:r>
              <w:rPr>
                <w:rFonts w:eastAsia="仿宋" w:hint="eastAsia"/>
                <w:color w:val="000000"/>
                <w:sz w:val="24"/>
              </w:rPr>
              <w:t>F</w:t>
            </w:r>
            <w:r>
              <w:rPr>
                <w:rFonts w:eastAsia="仿宋" w:hint="eastAsia"/>
                <w:color w:val="000000"/>
                <w:sz w:val="24"/>
              </w:rPr>
              <w:t>指令</w:t>
            </w:r>
          </w:p>
          <w:p w14:paraId="59205725"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执行道岔单锁操作、单锁成功后汇报行调</w:t>
            </w:r>
          </w:p>
          <w:p w14:paraId="48BBFE55"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接收行调单解道岔</w:t>
            </w:r>
            <w:r>
              <w:rPr>
                <w:rFonts w:eastAsia="仿宋" w:hint="eastAsia"/>
                <w:color w:val="000000"/>
                <w:sz w:val="24"/>
              </w:rPr>
              <w:t>F</w:t>
            </w:r>
            <w:r>
              <w:rPr>
                <w:rFonts w:eastAsia="仿宋" w:hint="eastAsia"/>
                <w:color w:val="000000"/>
                <w:sz w:val="24"/>
              </w:rPr>
              <w:t>指令</w:t>
            </w:r>
          </w:p>
          <w:p w14:paraId="6F18DF30"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5.</w:t>
            </w:r>
            <w:r>
              <w:rPr>
                <w:rFonts w:eastAsia="仿宋" w:hint="eastAsia"/>
                <w:color w:val="000000"/>
                <w:sz w:val="24"/>
              </w:rPr>
              <w:t>执行道岔单解操作</w:t>
            </w:r>
          </w:p>
          <w:p w14:paraId="28372C40"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6.</w:t>
            </w:r>
            <w:r>
              <w:rPr>
                <w:rFonts w:eastAsia="仿宋" w:hint="eastAsia"/>
                <w:color w:val="000000"/>
                <w:sz w:val="24"/>
              </w:rPr>
              <w:t>道岔单解成功后汇报行调</w:t>
            </w:r>
          </w:p>
          <w:p w14:paraId="67A957CF" w14:textId="77777777" w:rsidR="00A36606" w:rsidRDefault="00A36606">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669A81C1"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p>
          <w:p w14:paraId="5070B5FC"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p>
          <w:p w14:paraId="0F025B78"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p>
          <w:p w14:paraId="687BB2A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p>
        </w:tc>
        <w:tc>
          <w:tcPr>
            <w:tcW w:w="3194" w:type="dxa"/>
            <w:vAlign w:val="center"/>
          </w:tcPr>
          <w:p w14:paraId="6C829DDE"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9EF33A0"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89C6335" w14:textId="77777777" w:rsidR="00A36606" w:rsidRDefault="00CB0BEC">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296B92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A36606" w14:paraId="26FCA0F9" w14:textId="77777777">
        <w:trPr>
          <w:trHeight w:val="567"/>
          <w:jc w:val="center"/>
        </w:trPr>
        <w:tc>
          <w:tcPr>
            <w:tcW w:w="1672" w:type="dxa"/>
            <w:vMerge/>
            <w:vAlign w:val="center"/>
          </w:tcPr>
          <w:p w14:paraId="70AB70BA"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C107DF0"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1FBC4F7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2</w:t>
            </w:r>
            <w:r>
              <w:rPr>
                <w:rFonts w:ascii="仿宋_GB2312" w:eastAsia="仿宋_GB2312" w:hAnsi="仿宋_GB2312" w:cs="仿宋_GB2312" w:hint="eastAsia"/>
                <w:b/>
                <w:bCs/>
                <w:color w:val="000000"/>
                <w:sz w:val="24"/>
              </w:rPr>
              <w:t>站台紧急停车按钮恢复：</w:t>
            </w:r>
            <w:r>
              <w:rPr>
                <w:rFonts w:ascii="仿宋_GB2312" w:eastAsia="仿宋_GB2312" w:hAnsi="仿宋_GB2312" w:cs="仿宋_GB2312" w:hint="eastAsia"/>
                <w:color w:val="000000"/>
                <w:sz w:val="24"/>
              </w:rPr>
              <w:t>确认紧急停车按钮激活的原因，恢复场景</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紧急停车状态</w:t>
            </w:r>
          </w:p>
        </w:tc>
        <w:tc>
          <w:tcPr>
            <w:tcW w:w="3271" w:type="dxa"/>
            <w:vAlign w:val="center"/>
          </w:tcPr>
          <w:p w14:paraId="16410B4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585B73F8"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477CD99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1BB56B27"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w:t>
            </w:r>
            <w:r>
              <w:rPr>
                <w:rFonts w:ascii="仿宋_GB2312" w:eastAsia="仿宋_GB2312" w:hAnsi="仿宋_GB2312" w:cs="仿宋_GB2312" w:hint="eastAsia"/>
                <w:color w:val="000000"/>
                <w:sz w:val="24"/>
              </w:rPr>
              <w:lastRenderedPageBreak/>
              <w:t>停车状态</w:t>
            </w:r>
          </w:p>
          <w:p w14:paraId="19DC681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37925203"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0361092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3CA891E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29F327D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w:t>
            </w:r>
            <w:r>
              <w:rPr>
                <w:rFonts w:ascii="仿宋_GB2312" w:eastAsia="仿宋_GB2312" w:hAnsi="仿宋_GB2312" w:cs="仿宋_GB2312" w:hint="eastAsia"/>
                <w:color w:val="000000"/>
                <w:sz w:val="24"/>
              </w:rPr>
              <w:lastRenderedPageBreak/>
              <w:t>标指和口呼</w:t>
            </w:r>
          </w:p>
        </w:tc>
        <w:tc>
          <w:tcPr>
            <w:tcW w:w="3194" w:type="dxa"/>
            <w:vAlign w:val="center"/>
          </w:tcPr>
          <w:p w14:paraId="704CF8F0"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3F6FD1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4558E0A1"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DAE68EF"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w:t>
            </w:r>
            <w:r>
              <w:rPr>
                <w:rFonts w:ascii="仿宋_GB2312" w:eastAsia="仿宋_GB2312" w:hAnsi="仿宋_GB2312" w:cs="仿宋_GB2312" w:hint="eastAsia"/>
                <w:color w:val="000000"/>
                <w:sz w:val="24"/>
              </w:rPr>
              <w:lastRenderedPageBreak/>
              <w:t>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A36606" w14:paraId="4ED1CE39" w14:textId="77777777">
        <w:trPr>
          <w:trHeight w:val="567"/>
          <w:jc w:val="center"/>
        </w:trPr>
        <w:tc>
          <w:tcPr>
            <w:tcW w:w="1672" w:type="dxa"/>
            <w:vMerge/>
            <w:vAlign w:val="center"/>
          </w:tcPr>
          <w:p w14:paraId="44B82595"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78696A6"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314E501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24648BB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处置</w:t>
            </w:r>
          </w:p>
          <w:p w14:paraId="40514FF0"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p w14:paraId="0A747D3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tc>
        <w:tc>
          <w:tcPr>
            <w:tcW w:w="2649" w:type="dxa"/>
            <w:vAlign w:val="center"/>
          </w:tcPr>
          <w:p w14:paraId="31F43DF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01FABD53"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0B3DC54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5BC65AD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397A1F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4B2E6B2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A36606" w14:paraId="2C7613F0" w14:textId="77777777">
        <w:trPr>
          <w:trHeight w:val="567"/>
          <w:jc w:val="center"/>
        </w:trPr>
        <w:tc>
          <w:tcPr>
            <w:tcW w:w="1672" w:type="dxa"/>
            <w:vMerge/>
            <w:vAlign w:val="center"/>
          </w:tcPr>
          <w:p w14:paraId="61E141BD"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9A3D21E"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3CC0964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站厅</w:t>
            </w:r>
            <w:r>
              <w:rPr>
                <w:rFonts w:ascii="仿宋_GB2312" w:eastAsia="仿宋_GB2312" w:hAnsi="仿宋_GB2312" w:cs="仿宋_GB2312" w:hint="eastAsia"/>
                <w:b/>
                <w:bCs/>
                <w:color w:val="000000"/>
                <w:sz w:val="24"/>
              </w:rPr>
              <w:t>B</w:t>
            </w:r>
            <w:r>
              <w:rPr>
                <w:rFonts w:ascii="仿宋_GB2312" w:eastAsia="仿宋_GB2312" w:hAnsi="仿宋_GB2312" w:cs="仿宋_GB2312" w:hint="eastAsia"/>
                <w:b/>
                <w:bCs/>
                <w:color w:val="000000"/>
                <w:sz w:val="24"/>
              </w:rPr>
              <w:t>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4352D3C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5B94326B"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5F5F0FA1"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5CE78EB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汇报火灾情况：值班员汇报环调站厅</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3A5C0782"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w:t>
            </w:r>
            <w:r>
              <w:rPr>
                <w:rFonts w:ascii="仿宋_GB2312" w:eastAsia="仿宋_GB2312" w:hAnsi="仿宋_GB2312" w:cs="仿宋_GB2312" w:hint="eastAsia"/>
                <w:color w:val="000000"/>
                <w:sz w:val="24"/>
              </w:rPr>
              <w:lastRenderedPageBreak/>
              <w:t>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7798E30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3F4BB8AD"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56F892FF"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w:t>
            </w:r>
            <w:r>
              <w:rPr>
                <w:rFonts w:ascii="仿宋_GB2312" w:eastAsia="仿宋_GB2312" w:hAnsi="仿宋_GB2312" w:cs="仿宋_GB2312" w:hint="eastAsia"/>
                <w:color w:val="000000"/>
                <w:sz w:val="24"/>
              </w:rPr>
              <w:t>动灭火模式、确认闸机、门禁、直梯、扶梯等状态。</w:t>
            </w:r>
          </w:p>
          <w:p w14:paraId="192C2BC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4E988E1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4D90F568"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4D236ED2" w14:textId="77777777" w:rsidR="00A36606" w:rsidRDefault="00A36606">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635F588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BD46F5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7FC021D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8DF08A7"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6F5BB68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A36606" w14:paraId="65C0267F" w14:textId="77777777">
        <w:trPr>
          <w:trHeight w:val="567"/>
          <w:jc w:val="center"/>
        </w:trPr>
        <w:tc>
          <w:tcPr>
            <w:tcW w:w="1672" w:type="dxa"/>
            <w:vMerge/>
            <w:vAlign w:val="center"/>
          </w:tcPr>
          <w:p w14:paraId="48E7AF56"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B3E4537"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1EF23A0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多门关门应急处置</w:t>
            </w:r>
            <w:r>
              <w:rPr>
                <w:rFonts w:ascii="仿宋_GB2312" w:eastAsia="仿宋_GB2312" w:hAnsi="仿宋_GB2312" w:cs="仿宋_GB2312" w:hint="eastAsia"/>
                <w:color w:val="000000"/>
                <w:sz w:val="24"/>
              </w:rPr>
              <w:t>：列车出站关门时遇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个以上多节车辆对应站台门无法关闭，故障门门头灯亮。按操作流程进行多门无法关闭故障先期处置</w:t>
            </w:r>
          </w:p>
        </w:tc>
        <w:tc>
          <w:tcPr>
            <w:tcW w:w="3271" w:type="dxa"/>
            <w:vAlign w:val="center"/>
          </w:tcPr>
          <w:p w14:paraId="4DA9F44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发现故障：站务员按流程手指、口呼确认多门关门故障、明确故障具体位置</w:t>
            </w:r>
          </w:p>
          <w:p w14:paraId="0C0DA67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互锁解除开关钥匙并取出钥匙，互锁解除指示灯熄灭；站务员用两套</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钥匙（</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号）分别将故障门</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转至“关门”位置，并确认故障门关闭。</w:t>
            </w:r>
            <w:r>
              <w:rPr>
                <w:rFonts w:ascii="仿宋_GB2312" w:eastAsia="仿宋_GB2312" w:hAnsi="仿宋_GB2312" w:cs="仿宋_GB2312" w:hint="eastAsia"/>
                <w:color w:val="000000"/>
                <w:sz w:val="24"/>
              </w:rPr>
              <w:t xml:space="preserve"> </w:t>
            </w:r>
          </w:p>
          <w:p w14:paraId="02B8903C"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站务员用规定方式汇报值班员、值班站长，多门关门故障已处理完毕</w:t>
            </w:r>
          </w:p>
        </w:tc>
        <w:tc>
          <w:tcPr>
            <w:tcW w:w="2649" w:type="dxa"/>
            <w:vAlign w:val="center"/>
          </w:tcPr>
          <w:p w14:paraId="7D81EF36"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．准确发现故障并呼唤确认</w:t>
            </w:r>
          </w:p>
          <w:p w14:paraId="7CC2EB45"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5CC8A230"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1802E97A"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2C39F39"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A36606" w14:paraId="32C19239" w14:textId="77777777">
        <w:trPr>
          <w:trHeight w:val="567"/>
          <w:jc w:val="center"/>
        </w:trPr>
        <w:tc>
          <w:tcPr>
            <w:tcW w:w="1672" w:type="dxa"/>
            <w:vMerge/>
            <w:vAlign w:val="center"/>
          </w:tcPr>
          <w:p w14:paraId="1791B958"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C802B53" w14:textId="77777777" w:rsidR="00A36606" w:rsidRDefault="00CB0BEC">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6C0AFE7E"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单门开门故障应急处置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列车开门作业，突发单个站台门不能正常开门。按操作流程进</w:t>
            </w:r>
            <w:r>
              <w:rPr>
                <w:rFonts w:ascii="仿宋_GB2312" w:eastAsia="仿宋_GB2312" w:hAnsi="仿宋_GB2312" w:cs="仿宋_GB2312" w:hint="eastAsia"/>
                <w:sz w:val="24"/>
              </w:rPr>
              <w:lastRenderedPageBreak/>
              <w:t>行单门开门故障先期处置</w:t>
            </w:r>
          </w:p>
        </w:tc>
        <w:tc>
          <w:tcPr>
            <w:tcW w:w="3271" w:type="dxa"/>
            <w:vAlign w:val="center"/>
          </w:tcPr>
          <w:p w14:paraId="7CD224D3" w14:textId="77777777" w:rsidR="00A36606" w:rsidRDefault="00CB0BEC">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发现故障：站务员确认某方向、某号站台门开门故障</w:t>
            </w:r>
          </w:p>
          <w:p w14:paraId="24DBB900"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号门开门故障，站务员故障门处置完</w:t>
            </w:r>
            <w:r>
              <w:rPr>
                <w:rFonts w:ascii="仿宋_GB2312" w:eastAsia="仿宋_GB2312" w:hAnsi="仿宋_GB2312" w:cs="仿宋_GB2312" w:hint="eastAsia"/>
                <w:sz w:val="24"/>
              </w:rPr>
              <w:lastRenderedPageBreak/>
              <w:t>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p>
        </w:tc>
        <w:tc>
          <w:tcPr>
            <w:tcW w:w="2649" w:type="dxa"/>
            <w:vAlign w:val="center"/>
          </w:tcPr>
          <w:p w14:paraId="1C5502B4" w14:textId="77777777" w:rsidR="00A36606" w:rsidRDefault="00CB0BEC">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045574BB" w14:textId="77777777" w:rsidR="00A36606" w:rsidRDefault="00CB0BEC">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．按照正确的岗位作业流程和作业标准成功处置故障</w:t>
            </w:r>
          </w:p>
          <w:p w14:paraId="5D6BEC65" w14:textId="77777777" w:rsidR="00A36606" w:rsidRDefault="00CB0BEC">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3</w:t>
            </w:r>
            <w:r>
              <w:rPr>
                <w:rFonts w:ascii="仿宋_GB2312" w:eastAsia="仿宋_GB2312" w:hAnsi="仿宋_GB2312" w:cs="仿宋_GB2312" w:hint="eastAsia"/>
                <w:sz w:val="24"/>
              </w:rPr>
              <w:t>．选手使用标准用语，规范合理</w:t>
            </w:r>
          </w:p>
          <w:p w14:paraId="1058BCF4" w14:textId="77777777" w:rsidR="00A36606" w:rsidRDefault="00A36606">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3755A373" w14:textId="77777777" w:rsidR="00A36606" w:rsidRDefault="00CB0BEC">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6B6C3F34" w14:textId="77777777" w:rsidR="00A36606" w:rsidRDefault="00CB0BEC">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A36606" w14:paraId="14DD3602" w14:textId="77777777">
        <w:trPr>
          <w:trHeight w:val="567"/>
          <w:jc w:val="center"/>
        </w:trPr>
        <w:tc>
          <w:tcPr>
            <w:tcW w:w="1672" w:type="dxa"/>
            <w:vMerge w:val="restart"/>
            <w:vAlign w:val="center"/>
          </w:tcPr>
          <w:p w14:paraId="47135093"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4B06F643"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65224087"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6E12733A"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54DB5F65"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7EE7921C"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A36606" w14:paraId="42DCB6BD" w14:textId="77777777">
        <w:trPr>
          <w:trHeight w:val="567"/>
          <w:jc w:val="center"/>
        </w:trPr>
        <w:tc>
          <w:tcPr>
            <w:tcW w:w="1672" w:type="dxa"/>
            <w:vMerge/>
            <w:vAlign w:val="center"/>
          </w:tcPr>
          <w:p w14:paraId="056DABB1" w14:textId="77777777" w:rsidR="00A36606" w:rsidRDefault="00A3660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5B606B48" w14:textId="77777777" w:rsidR="00A36606" w:rsidRDefault="00CB0BEC">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1D009C06"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3B6E571D"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1310D193"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0744A64F"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6FACD720"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54C5C9D4" w14:textId="77777777" w:rsidR="00A36606" w:rsidRDefault="00CB0BEC">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A36606" w14:paraId="0A78572D" w14:textId="77777777">
        <w:trPr>
          <w:trHeight w:val="567"/>
          <w:jc w:val="center"/>
        </w:trPr>
        <w:tc>
          <w:tcPr>
            <w:tcW w:w="1672" w:type="dxa"/>
            <w:vAlign w:val="center"/>
          </w:tcPr>
          <w:p w14:paraId="285B39A4"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4EBF1F45" w14:textId="77777777" w:rsidR="00A36606" w:rsidRDefault="00CB0BEC">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，照明和通风良好，能提供稳定的水、电，以及应急备用电源。场地符合消防安全规定，现场消防器材和消防栓合格有效，应急照明设施状态合格，赛场明显位置张贴紧急疏散图。并有醒目的“安全出口”指示牌</w:t>
            </w:r>
          </w:p>
          <w:p w14:paraId="151F79FA" w14:textId="77777777" w:rsidR="00A36606" w:rsidRDefault="00CB0BEC">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区域安排：竞赛场地划分为检录区、竞赛操作区、裁判区、现场服务与技术支持区、休息区等区域，区域之间有明显标志或警示带</w:t>
            </w:r>
          </w:p>
          <w:p w14:paraId="7397327A" w14:textId="77777777" w:rsidR="00A36606" w:rsidRDefault="00CB0BEC">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lastRenderedPageBreak/>
              <w:t>单相交流电源、灭火器以及带录音功能的视频摄像装置，竞赛全程录音录像</w:t>
            </w:r>
          </w:p>
        </w:tc>
      </w:tr>
      <w:tr w:rsidR="00A36606" w14:paraId="7930A1FC" w14:textId="77777777">
        <w:trPr>
          <w:trHeight w:val="567"/>
          <w:jc w:val="center"/>
        </w:trPr>
        <w:tc>
          <w:tcPr>
            <w:tcW w:w="1672" w:type="dxa"/>
            <w:vAlign w:val="center"/>
          </w:tcPr>
          <w:p w14:paraId="45B51FB5" w14:textId="77777777" w:rsidR="00A36606" w:rsidRDefault="00CB0BEC">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508E2BBC" w14:textId="77777777" w:rsidR="00A36606" w:rsidRDefault="00CB0BEC">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59C346D1" w14:textId="2107C711" w:rsidR="00A36606" w:rsidRDefault="00A36606">
      <w:pPr>
        <w:jc w:val="center"/>
        <w:rPr>
          <w:rFonts w:ascii="仿宋_GB2312" w:eastAsia="仿宋_GB2312" w:hAnsi="仿宋_GB2312" w:cs="仿宋_GB2312"/>
          <w:b/>
          <w:bCs/>
          <w:sz w:val="32"/>
          <w:szCs w:val="32"/>
        </w:rPr>
      </w:pPr>
    </w:p>
    <w:p w14:paraId="3380ACF3" w14:textId="4E00A66B" w:rsidR="00A36606" w:rsidRDefault="00A36606">
      <w:pPr>
        <w:jc w:val="center"/>
        <w:rPr>
          <w:rFonts w:ascii="仿宋_GB2312" w:eastAsia="仿宋_GB2312" w:hAnsi="仿宋_GB2312" w:cs="仿宋_GB2312"/>
          <w:b/>
          <w:bCs/>
          <w:sz w:val="32"/>
          <w:szCs w:val="32"/>
        </w:rPr>
      </w:pPr>
    </w:p>
    <w:p w14:paraId="6A77A4C4" w14:textId="3E9CD5C5" w:rsidR="00A36606" w:rsidRDefault="00A36606">
      <w:pPr>
        <w:jc w:val="center"/>
        <w:rPr>
          <w:rFonts w:ascii="仿宋_GB2312" w:eastAsia="仿宋_GB2312" w:hAnsi="仿宋_GB2312" w:cs="仿宋_GB2312"/>
          <w:b/>
          <w:bCs/>
          <w:sz w:val="32"/>
          <w:szCs w:val="32"/>
        </w:rPr>
      </w:pPr>
    </w:p>
    <w:p w14:paraId="0AF8DFC7" w14:textId="77777777" w:rsidR="00A36606" w:rsidRDefault="00A36606">
      <w:pPr>
        <w:jc w:val="center"/>
        <w:rPr>
          <w:rFonts w:ascii="仿宋_GB2312" w:eastAsia="仿宋_GB2312" w:hAnsi="仿宋_GB2312" w:cs="仿宋_GB2312"/>
          <w:b/>
          <w:bCs/>
          <w:sz w:val="32"/>
          <w:szCs w:val="32"/>
        </w:rPr>
      </w:pPr>
    </w:p>
    <w:p w14:paraId="08AD9057" w14:textId="77777777" w:rsidR="00A36606" w:rsidRDefault="00A36606">
      <w:pPr>
        <w:jc w:val="center"/>
        <w:rPr>
          <w:rFonts w:ascii="仿宋_GB2312" w:eastAsia="仿宋_GB2312" w:hAnsi="仿宋_GB2312" w:cs="仿宋_GB2312"/>
          <w:b/>
          <w:bCs/>
          <w:sz w:val="32"/>
          <w:szCs w:val="32"/>
        </w:rPr>
      </w:pPr>
    </w:p>
    <w:p w14:paraId="0587122E" w14:textId="77777777" w:rsidR="00A36606" w:rsidRDefault="00A36606">
      <w:pPr>
        <w:jc w:val="center"/>
        <w:rPr>
          <w:rFonts w:ascii="仿宋_GB2312" w:eastAsia="仿宋_GB2312" w:hAnsi="仿宋_GB2312" w:cs="仿宋_GB2312"/>
          <w:b/>
          <w:bCs/>
          <w:sz w:val="32"/>
          <w:szCs w:val="32"/>
        </w:rPr>
      </w:pPr>
    </w:p>
    <w:p w14:paraId="29D12782" w14:textId="77777777" w:rsidR="00A36606" w:rsidRDefault="00A36606">
      <w:pPr>
        <w:jc w:val="center"/>
        <w:rPr>
          <w:rFonts w:ascii="仿宋_GB2312" w:eastAsia="仿宋_GB2312" w:hAnsi="仿宋_GB2312" w:cs="仿宋_GB2312"/>
          <w:b/>
          <w:bCs/>
          <w:sz w:val="32"/>
          <w:szCs w:val="32"/>
        </w:rPr>
      </w:pPr>
    </w:p>
    <w:p w14:paraId="57E573ED" w14:textId="77777777" w:rsidR="00A36606" w:rsidRDefault="00A36606">
      <w:pPr>
        <w:jc w:val="center"/>
        <w:rPr>
          <w:rFonts w:ascii="仿宋_GB2312" w:eastAsia="仿宋_GB2312" w:hAnsi="仿宋_GB2312" w:cs="仿宋_GB2312"/>
          <w:b/>
          <w:bCs/>
          <w:sz w:val="32"/>
          <w:szCs w:val="32"/>
        </w:rPr>
      </w:pPr>
    </w:p>
    <w:p w14:paraId="189D32CD" w14:textId="77777777" w:rsidR="00A36606" w:rsidRDefault="00A36606">
      <w:pPr>
        <w:pStyle w:val="a4"/>
        <w:ind w:firstLineChars="0" w:firstLine="0"/>
      </w:pPr>
    </w:p>
    <w:sectPr w:rsidR="00A3660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DC0E2" w14:textId="77777777" w:rsidR="00CB0BEC" w:rsidRDefault="00CB0BEC" w:rsidP="00CB0BEC">
      <w:r>
        <w:separator/>
      </w:r>
    </w:p>
  </w:endnote>
  <w:endnote w:type="continuationSeparator" w:id="0">
    <w:p w14:paraId="038E3C05" w14:textId="77777777" w:rsidR="00CB0BEC" w:rsidRDefault="00CB0BEC" w:rsidP="00CB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2A4EF" w14:textId="77777777" w:rsidR="00CB0BEC" w:rsidRDefault="00CB0BEC" w:rsidP="00CB0BEC">
      <w:r>
        <w:separator/>
      </w:r>
    </w:p>
  </w:footnote>
  <w:footnote w:type="continuationSeparator" w:id="0">
    <w:p w14:paraId="2A1069CD" w14:textId="77777777" w:rsidR="00CB0BEC" w:rsidRDefault="00CB0BEC" w:rsidP="00CB0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603420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A36606"/>
    <w:rsid w:val="00CB0BEC"/>
    <w:rsid w:val="03AD58A1"/>
    <w:rsid w:val="06783F44"/>
    <w:rsid w:val="09673E86"/>
    <w:rsid w:val="09BF1E8A"/>
    <w:rsid w:val="0AC77248"/>
    <w:rsid w:val="0B6256BD"/>
    <w:rsid w:val="0B791510"/>
    <w:rsid w:val="0BCE4606"/>
    <w:rsid w:val="0C364685"/>
    <w:rsid w:val="0DC14423"/>
    <w:rsid w:val="0EC817E1"/>
    <w:rsid w:val="10315674"/>
    <w:rsid w:val="114F1D45"/>
    <w:rsid w:val="122755E6"/>
    <w:rsid w:val="15D171CD"/>
    <w:rsid w:val="180A10D2"/>
    <w:rsid w:val="18FD7EFA"/>
    <w:rsid w:val="19D84FCE"/>
    <w:rsid w:val="1B334486"/>
    <w:rsid w:val="1BB76E65"/>
    <w:rsid w:val="1C3E30E2"/>
    <w:rsid w:val="1D0D7435"/>
    <w:rsid w:val="1D2D5631"/>
    <w:rsid w:val="22C75BE0"/>
    <w:rsid w:val="2469771D"/>
    <w:rsid w:val="26B741BD"/>
    <w:rsid w:val="26EA6341"/>
    <w:rsid w:val="28AA60CE"/>
    <w:rsid w:val="2A581813"/>
    <w:rsid w:val="3045283A"/>
    <w:rsid w:val="31943A79"/>
    <w:rsid w:val="32492231"/>
    <w:rsid w:val="33723946"/>
    <w:rsid w:val="34674B7F"/>
    <w:rsid w:val="355377A7"/>
    <w:rsid w:val="36FD4E3D"/>
    <w:rsid w:val="3A8D180E"/>
    <w:rsid w:val="3B3B6D13"/>
    <w:rsid w:val="3DD07BE6"/>
    <w:rsid w:val="3EDC25BB"/>
    <w:rsid w:val="3F5D36FC"/>
    <w:rsid w:val="417B430D"/>
    <w:rsid w:val="41A25D3E"/>
    <w:rsid w:val="41F72D3D"/>
    <w:rsid w:val="426F7F53"/>
    <w:rsid w:val="42D54B06"/>
    <w:rsid w:val="432E4DE7"/>
    <w:rsid w:val="43D30430"/>
    <w:rsid w:val="44B87626"/>
    <w:rsid w:val="463348DD"/>
    <w:rsid w:val="48482A6F"/>
    <w:rsid w:val="4A513E5D"/>
    <w:rsid w:val="4BFA0524"/>
    <w:rsid w:val="4CAD5597"/>
    <w:rsid w:val="4CC410F7"/>
    <w:rsid w:val="4F1771E4"/>
    <w:rsid w:val="4F2E6E63"/>
    <w:rsid w:val="4F530677"/>
    <w:rsid w:val="51E639B1"/>
    <w:rsid w:val="52530BF0"/>
    <w:rsid w:val="53910C0C"/>
    <w:rsid w:val="54B716A8"/>
    <w:rsid w:val="552F56E3"/>
    <w:rsid w:val="56861332"/>
    <w:rsid w:val="56D57BC4"/>
    <w:rsid w:val="593B28A8"/>
    <w:rsid w:val="594A288B"/>
    <w:rsid w:val="5A235A65"/>
    <w:rsid w:val="5BE10DB9"/>
    <w:rsid w:val="5F385194"/>
    <w:rsid w:val="601479AF"/>
    <w:rsid w:val="60593614"/>
    <w:rsid w:val="61477910"/>
    <w:rsid w:val="61557E7E"/>
    <w:rsid w:val="65A768B8"/>
    <w:rsid w:val="66FD5A3D"/>
    <w:rsid w:val="689511B2"/>
    <w:rsid w:val="68C44C33"/>
    <w:rsid w:val="6A5E2AE2"/>
    <w:rsid w:val="6C2A6D62"/>
    <w:rsid w:val="6C3C2767"/>
    <w:rsid w:val="716C4DA3"/>
    <w:rsid w:val="733F48EB"/>
    <w:rsid w:val="78615304"/>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FC377"/>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CB0BE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B0BEC"/>
    <w:rPr>
      <w:rFonts w:ascii="Calibri" w:hAnsi="Calibri"/>
      <w:kern w:val="2"/>
      <w:sz w:val="18"/>
      <w:szCs w:val="18"/>
    </w:rPr>
  </w:style>
  <w:style w:type="paragraph" w:styleId="a8">
    <w:name w:val="footer"/>
    <w:basedOn w:val="a"/>
    <w:link w:val="a9"/>
    <w:rsid w:val="00CB0BEC"/>
    <w:pPr>
      <w:tabs>
        <w:tab w:val="center" w:pos="4153"/>
        <w:tab w:val="right" w:pos="8306"/>
      </w:tabs>
      <w:snapToGrid w:val="0"/>
      <w:jc w:val="left"/>
    </w:pPr>
    <w:rPr>
      <w:sz w:val="18"/>
      <w:szCs w:val="18"/>
    </w:rPr>
  </w:style>
  <w:style w:type="character" w:customStyle="1" w:styleId="a9">
    <w:name w:val="页脚 字符"/>
    <w:basedOn w:val="a0"/>
    <w:link w:val="a8"/>
    <w:rsid w:val="00CB0BE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665</Words>
  <Characters>3796</Characters>
  <Application>Microsoft Office Word</Application>
  <DocSecurity>0</DocSecurity>
  <Lines>31</Lines>
  <Paragraphs>8</Paragraphs>
  <ScaleCrop>false</ScaleCrop>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2023-04-16T05:12:00Z</cp:lastPrinted>
  <dcterms:created xsi:type="dcterms:W3CDTF">2023-04-13T14:00:00Z</dcterms:created>
  <dcterms:modified xsi:type="dcterms:W3CDTF">2023-04-16T05:12:00Z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AB2EF1B59C4146958C2D87D5A6063F9A_13</vt:lpwstr>
  </property>
</Properties>
</file>