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F614" w14:textId="3E0689D7" w:rsidR="00917919" w:rsidRDefault="00C56469">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2</w:t>
      </w:r>
      <w:r>
        <w:rPr>
          <w:rFonts w:ascii="仿宋_GB2312" w:eastAsia="仿宋_GB2312" w:hAnsi="仿宋_GB2312" w:cs="仿宋_GB2312" w:hint="eastAsia"/>
          <w:b/>
          <w:bCs/>
          <w:sz w:val="36"/>
          <w:szCs w:val="36"/>
        </w:rPr>
        <w:t>套</w:t>
      </w:r>
    </w:p>
    <w:p w14:paraId="59112CB0" w14:textId="327E5B31" w:rsidR="00917919" w:rsidRDefault="00C56469">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917919" w14:paraId="7A09F160" w14:textId="77777777">
        <w:trPr>
          <w:trHeight w:val="567"/>
          <w:jc w:val="center"/>
        </w:trPr>
        <w:tc>
          <w:tcPr>
            <w:tcW w:w="1672" w:type="dxa"/>
            <w:vAlign w:val="center"/>
          </w:tcPr>
          <w:p w14:paraId="02EC4A76"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3DF14145" w14:textId="6077BA73"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6B61DAF1"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24194F75"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917919" w14:paraId="610F4487" w14:textId="77777777">
        <w:trPr>
          <w:trHeight w:val="567"/>
          <w:jc w:val="center"/>
        </w:trPr>
        <w:tc>
          <w:tcPr>
            <w:tcW w:w="1672" w:type="dxa"/>
            <w:vAlign w:val="center"/>
          </w:tcPr>
          <w:p w14:paraId="6A7DE0B7"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7A22BB9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2183C4BC"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571F265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917919" w14:paraId="1938C0DC" w14:textId="77777777">
        <w:trPr>
          <w:trHeight w:val="567"/>
          <w:jc w:val="center"/>
        </w:trPr>
        <w:tc>
          <w:tcPr>
            <w:tcW w:w="1672" w:type="dxa"/>
            <w:vAlign w:val="center"/>
          </w:tcPr>
          <w:p w14:paraId="21C4D639"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175B00C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917919" w14:paraId="66C66B93" w14:textId="77777777">
        <w:trPr>
          <w:trHeight w:val="567"/>
          <w:jc w:val="center"/>
        </w:trPr>
        <w:tc>
          <w:tcPr>
            <w:tcW w:w="1672" w:type="dxa"/>
            <w:vAlign w:val="center"/>
          </w:tcPr>
          <w:p w14:paraId="314B7C1C"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37E4FCE3" w14:textId="072546F0"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917919" w14:paraId="59759292" w14:textId="77777777">
        <w:trPr>
          <w:trHeight w:val="567"/>
          <w:jc w:val="center"/>
        </w:trPr>
        <w:tc>
          <w:tcPr>
            <w:tcW w:w="1672" w:type="dxa"/>
            <w:vAlign w:val="center"/>
          </w:tcPr>
          <w:p w14:paraId="6519E1CF"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2CF8A242" w14:textId="5B2BBC7C"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917919" w14:paraId="43EC41D3" w14:textId="77777777">
        <w:trPr>
          <w:trHeight w:val="567"/>
          <w:jc w:val="center"/>
        </w:trPr>
        <w:tc>
          <w:tcPr>
            <w:tcW w:w="1672" w:type="dxa"/>
            <w:vMerge w:val="restart"/>
            <w:vAlign w:val="center"/>
          </w:tcPr>
          <w:p w14:paraId="0E84C7A7"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16EC18A1"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7A798C7C"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240F7380"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7FCEB21D"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379400B7"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917919" w14:paraId="5FEFBA9F" w14:textId="77777777">
        <w:trPr>
          <w:trHeight w:val="567"/>
          <w:jc w:val="center"/>
        </w:trPr>
        <w:tc>
          <w:tcPr>
            <w:tcW w:w="1672" w:type="dxa"/>
            <w:vMerge/>
            <w:vAlign w:val="center"/>
          </w:tcPr>
          <w:p w14:paraId="59A61138"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2EF7BD1"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486DDF09" w14:textId="77777777" w:rsidR="00917919" w:rsidRDefault="00C56469">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场景２岗前作业：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A</w:t>
            </w:r>
            <w:r>
              <w:rPr>
                <w:rFonts w:eastAsia="仿宋" w:hint="eastAsia"/>
                <w:color w:val="000000"/>
                <w:sz w:val="24"/>
              </w:rPr>
              <w:t>未在规定状态，进行恢复</w:t>
            </w:r>
          </w:p>
        </w:tc>
        <w:tc>
          <w:tcPr>
            <w:tcW w:w="3271" w:type="dxa"/>
            <w:vAlign w:val="center"/>
          </w:tcPr>
          <w:p w14:paraId="3A123B81" w14:textId="77777777" w:rsidR="00917919" w:rsidRDefault="00C56469">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68819888" w14:textId="77777777" w:rsidR="00917919" w:rsidRDefault="00C56469">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4EC57CFC" w14:textId="77777777" w:rsidR="00917919" w:rsidRDefault="00C56469">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0958B8C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2BB45220"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3FBF6E3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2DF31C1A"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p>
          <w:p w14:paraId="6289E42A"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5F030D7A"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1328E295" w14:textId="77777777" w:rsidR="00917919" w:rsidRDefault="00917919">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228918C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0087D83F"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767F8F79"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6B003B4"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798AE13C" w14:textId="77777777" w:rsidR="00917919" w:rsidRDefault="00C56469">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917919" w14:paraId="5B7FAC12" w14:textId="77777777">
        <w:trPr>
          <w:trHeight w:val="567"/>
          <w:jc w:val="center"/>
        </w:trPr>
        <w:tc>
          <w:tcPr>
            <w:tcW w:w="1672" w:type="dxa"/>
            <w:vMerge/>
            <w:vAlign w:val="center"/>
          </w:tcPr>
          <w:p w14:paraId="0AD76179"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3C30E2A"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1-2</w:t>
            </w:r>
          </w:p>
        </w:tc>
        <w:tc>
          <w:tcPr>
            <w:tcW w:w="2029" w:type="dxa"/>
            <w:vAlign w:val="center"/>
          </w:tcPr>
          <w:p w14:paraId="6D03255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场景２控制权接收：</w:t>
            </w:r>
            <w:r>
              <w:rPr>
                <w:rFonts w:eastAsia="仿宋" w:hint="eastAsia"/>
                <w:color w:val="000000"/>
                <w:sz w:val="24"/>
              </w:rPr>
              <w:t>根据行调指示接收控制权，接权成功后根据</w:t>
            </w:r>
            <w:r>
              <w:rPr>
                <w:rFonts w:eastAsia="仿宋" w:hint="eastAsia"/>
                <w:color w:val="000000"/>
                <w:sz w:val="24"/>
              </w:rPr>
              <w:t>B</w:t>
            </w:r>
            <w:r>
              <w:rPr>
                <w:rFonts w:eastAsia="仿宋" w:hint="eastAsia"/>
                <w:color w:val="000000"/>
                <w:sz w:val="24"/>
              </w:rPr>
              <w:t>场景列车位置，办理自动进路，要求不出现机外停车和晚点</w:t>
            </w:r>
          </w:p>
        </w:tc>
        <w:tc>
          <w:tcPr>
            <w:tcW w:w="3271" w:type="dxa"/>
            <w:vAlign w:val="center"/>
          </w:tcPr>
          <w:p w14:paraId="2CBD654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B</w:t>
            </w:r>
          </w:p>
          <w:p w14:paraId="78E27435"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2291104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场景办理自动进路</w:t>
            </w:r>
          </w:p>
          <w:p w14:paraId="322AA440" w14:textId="77777777" w:rsidR="00917919" w:rsidRDefault="00917919">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28EBFC0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计划核对正确</w:t>
            </w:r>
          </w:p>
          <w:p w14:paraId="003044AE"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56C77A2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3.B</w:t>
            </w:r>
            <w:r>
              <w:rPr>
                <w:rFonts w:ascii="仿宋_GB2312" w:eastAsia="仿宋_GB2312" w:hAnsi="仿宋_GB2312" w:cs="仿宋_GB2312" w:hint="eastAsia"/>
                <w:color w:val="000000"/>
                <w:sz w:val="24"/>
              </w:rPr>
              <w:t>场景自动进路办理正确</w:t>
            </w:r>
          </w:p>
          <w:p w14:paraId="3DA6648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p w14:paraId="336AFA37" w14:textId="77777777" w:rsidR="00917919" w:rsidRDefault="00917919">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2A0DD6C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6FF5CFCF"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4321C8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场景自动进路办理正确（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17D494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4E70E14A" w14:textId="77777777" w:rsidR="00917919" w:rsidRDefault="00917919">
            <w:pPr>
              <w:pStyle w:val="2"/>
              <w:ind w:leftChars="0" w:left="0" w:firstLineChars="0" w:firstLine="0"/>
              <w:rPr>
                <w:rFonts w:ascii="仿宋_GB2312" w:eastAsia="仿宋_GB2312" w:hAnsi="仿宋_GB2312" w:cs="仿宋_GB2312"/>
                <w:color w:val="000000"/>
                <w:sz w:val="24"/>
              </w:rPr>
            </w:pPr>
          </w:p>
        </w:tc>
      </w:tr>
      <w:tr w:rsidR="00917919" w14:paraId="5082DAA3" w14:textId="77777777">
        <w:trPr>
          <w:trHeight w:val="567"/>
          <w:jc w:val="center"/>
        </w:trPr>
        <w:tc>
          <w:tcPr>
            <w:tcW w:w="1672" w:type="dxa"/>
            <w:vMerge/>
            <w:vAlign w:val="center"/>
          </w:tcPr>
          <w:p w14:paraId="4BF926B9"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04F6E89"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1-3</w:t>
            </w:r>
          </w:p>
        </w:tc>
        <w:tc>
          <w:tcPr>
            <w:tcW w:w="2029" w:type="dxa"/>
            <w:vAlign w:val="center"/>
          </w:tcPr>
          <w:p w14:paraId="725043C0" w14:textId="77777777" w:rsidR="00917919" w:rsidRDefault="00C56469">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B</w:t>
            </w:r>
            <w:r>
              <w:rPr>
                <w:rFonts w:eastAsia="仿宋" w:hint="eastAsia"/>
                <w:b/>
                <w:bCs/>
                <w:color w:val="000000"/>
                <w:sz w:val="24"/>
              </w:rPr>
              <w:t>单锁与单解作业</w:t>
            </w:r>
            <w:r>
              <w:rPr>
                <w:rFonts w:eastAsia="仿宋" w:hint="eastAsia"/>
                <w:color w:val="000000"/>
                <w:sz w:val="24"/>
              </w:rPr>
              <w:t>：根据行调命令执行道岔</w:t>
            </w:r>
            <w:r>
              <w:rPr>
                <w:rFonts w:eastAsia="仿宋" w:hint="eastAsia"/>
                <w:color w:val="000000"/>
                <w:sz w:val="24"/>
              </w:rPr>
              <w:t>B</w:t>
            </w:r>
            <w:r>
              <w:rPr>
                <w:rFonts w:eastAsia="仿宋" w:hint="eastAsia"/>
                <w:color w:val="000000"/>
                <w:sz w:val="24"/>
              </w:rPr>
              <w:t>的单独锁闭与解锁</w:t>
            </w:r>
          </w:p>
        </w:tc>
        <w:tc>
          <w:tcPr>
            <w:tcW w:w="3271" w:type="dxa"/>
            <w:vAlign w:val="center"/>
          </w:tcPr>
          <w:p w14:paraId="0C440F9E"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接收行调单锁道岔</w:t>
            </w:r>
            <w:r>
              <w:rPr>
                <w:rFonts w:eastAsia="仿宋" w:hint="eastAsia"/>
                <w:color w:val="000000"/>
                <w:sz w:val="24"/>
              </w:rPr>
              <w:t>B</w:t>
            </w:r>
            <w:r>
              <w:rPr>
                <w:rFonts w:eastAsia="仿宋" w:hint="eastAsia"/>
                <w:color w:val="000000"/>
                <w:sz w:val="24"/>
              </w:rPr>
              <w:t>指令</w:t>
            </w:r>
          </w:p>
          <w:p w14:paraId="2A17E569"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执行道岔单锁操作、单锁成功后汇报行调</w:t>
            </w:r>
          </w:p>
          <w:p w14:paraId="71C8ABC8"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B</w:t>
            </w:r>
            <w:r>
              <w:rPr>
                <w:rFonts w:eastAsia="仿宋" w:hint="eastAsia"/>
                <w:color w:val="000000"/>
                <w:sz w:val="24"/>
              </w:rPr>
              <w:t>指令</w:t>
            </w:r>
          </w:p>
          <w:p w14:paraId="3A73122A"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6B8CAE7F"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0F0F24CB" w14:textId="77777777" w:rsidR="00917919" w:rsidRDefault="00917919">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53032D87"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p>
          <w:p w14:paraId="3BF66D35"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77C869EF"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5E94F44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p>
        </w:tc>
        <w:tc>
          <w:tcPr>
            <w:tcW w:w="3194" w:type="dxa"/>
            <w:vAlign w:val="center"/>
          </w:tcPr>
          <w:p w14:paraId="136D1F31"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C525FE2"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F354D12" w14:textId="77777777" w:rsidR="00917919" w:rsidRDefault="00C56469">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ADAA1EE"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917919" w14:paraId="61FA1535" w14:textId="77777777">
        <w:trPr>
          <w:trHeight w:val="567"/>
          <w:jc w:val="center"/>
        </w:trPr>
        <w:tc>
          <w:tcPr>
            <w:tcW w:w="1672" w:type="dxa"/>
            <w:vMerge/>
            <w:vAlign w:val="center"/>
          </w:tcPr>
          <w:p w14:paraId="470A7B60"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82BFBBF"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w:t>
            </w:r>
            <w:r>
              <w:rPr>
                <w:rFonts w:eastAsia="仿宋" w:hint="eastAsia"/>
                <w:color w:val="000000"/>
                <w:sz w:val="24"/>
              </w:rPr>
              <w:t>4</w:t>
            </w:r>
          </w:p>
        </w:tc>
        <w:tc>
          <w:tcPr>
            <w:tcW w:w="2029" w:type="dxa"/>
            <w:vAlign w:val="center"/>
          </w:tcPr>
          <w:p w14:paraId="4A65C17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列车</w:t>
            </w:r>
            <w:r>
              <w:rPr>
                <w:rFonts w:eastAsia="仿宋" w:hint="eastAsia"/>
                <w:b/>
                <w:bCs/>
                <w:color w:val="000000"/>
                <w:sz w:val="24"/>
              </w:rPr>
              <w:t>B</w:t>
            </w:r>
            <w:r>
              <w:rPr>
                <w:rFonts w:eastAsia="仿宋" w:hint="eastAsia"/>
                <w:b/>
                <w:bCs/>
                <w:color w:val="000000"/>
                <w:sz w:val="24"/>
              </w:rPr>
              <w:t>出</w:t>
            </w:r>
            <w:r>
              <w:rPr>
                <w:rFonts w:eastAsia="仿宋" w:hint="eastAsia"/>
                <w:b/>
                <w:bCs/>
                <w:color w:val="000000"/>
                <w:sz w:val="24"/>
              </w:rPr>
              <w:t>段作业</w:t>
            </w:r>
            <w:r>
              <w:rPr>
                <w:rFonts w:eastAsia="仿宋" w:hint="eastAsia"/>
                <w:b/>
                <w:bCs/>
                <w:color w:val="000000"/>
                <w:sz w:val="24"/>
              </w:rPr>
              <w:t>：</w:t>
            </w:r>
            <w:r>
              <w:rPr>
                <w:rFonts w:eastAsia="仿宋" w:hint="eastAsia"/>
                <w:color w:val="000000"/>
                <w:sz w:val="24"/>
              </w:rPr>
              <w:t>根据列车计划</w:t>
            </w:r>
            <w:r>
              <w:rPr>
                <w:rFonts w:eastAsia="仿宋" w:hint="eastAsia"/>
                <w:color w:val="000000"/>
                <w:sz w:val="24"/>
              </w:rPr>
              <w:t>B</w:t>
            </w:r>
            <w:r>
              <w:rPr>
                <w:rFonts w:eastAsia="仿宋" w:hint="eastAsia"/>
                <w:color w:val="000000"/>
                <w:sz w:val="24"/>
              </w:rPr>
              <w:t>判断列车是否是入段车，并为入段列车排列入段进路</w:t>
            </w:r>
          </w:p>
        </w:tc>
        <w:tc>
          <w:tcPr>
            <w:tcW w:w="3271" w:type="dxa"/>
            <w:vAlign w:val="center"/>
          </w:tcPr>
          <w:p w14:paraId="3CBC3F2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B1</w:t>
            </w:r>
            <w:r>
              <w:rPr>
                <w:rFonts w:ascii="仿宋_GB2312" w:eastAsia="仿宋_GB2312" w:hAnsi="仿宋_GB2312" w:cs="仿宋_GB2312" w:hint="eastAsia"/>
                <w:color w:val="000000"/>
                <w:sz w:val="24"/>
              </w:rPr>
              <w:t>等列车为出段车</w:t>
            </w:r>
          </w:p>
          <w:p w14:paraId="1CCFD99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为出段车则排列出段进路</w:t>
            </w:r>
          </w:p>
        </w:tc>
        <w:tc>
          <w:tcPr>
            <w:tcW w:w="2649" w:type="dxa"/>
            <w:vAlign w:val="center"/>
          </w:tcPr>
          <w:p w14:paraId="6CDA691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p>
          <w:p w14:paraId="11FD7F6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p>
          <w:p w14:paraId="450D5E2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2CE289F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9D3834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出</w:t>
            </w:r>
            <w:r>
              <w:rPr>
                <w:rFonts w:ascii="仿宋_GB2312" w:eastAsia="仿宋_GB2312" w:hAnsi="仿宋_GB2312" w:cs="仿宋_GB2312" w:hint="eastAsia"/>
                <w:color w:val="000000"/>
                <w:sz w:val="24"/>
              </w:rPr>
              <w:t>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25F02C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917919" w14:paraId="3537C42F" w14:textId="77777777">
        <w:trPr>
          <w:trHeight w:val="567"/>
          <w:jc w:val="center"/>
        </w:trPr>
        <w:tc>
          <w:tcPr>
            <w:tcW w:w="1672" w:type="dxa"/>
            <w:vMerge/>
            <w:vAlign w:val="center"/>
          </w:tcPr>
          <w:p w14:paraId="520C83B2"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5251DA7"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1-5</w:t>
            </w:r>
          </w:p>
        </w:tc>
        <w:tc>
          <w:tcPr>
            <w:tcW w:w="2029" w:type="dxa"/>
            <w:vAlign w:val="center"/>
          </w:tcPr>
          <w:p w14:paraId="3BEF6F4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B1</w:t>
            </w:r>
            <w:r>
              <w:rPr>
                <w:rFonts w:eastAsia="仿宋" w:hint="eastAsia"/>
                <w:b/>
                <w:bCs/>
                <w:color w:val="000000"/>
                <w:sz w:val="24"/>
              </w:rPr>
              <w:t>等区段区故解作业</w:t>
            </w:r>
            <w:r>
              <w:rPr>
                <w:rFonts w:eastAsia="仿宋" w:hint="eastAsia"/>
                <w:color w:val="000000"/>
                <w:sz w:val="24"/>
              </w:rPr>
              <w:t>：判断</w:t>
            </w:r>
            <w:r>
              <w:rPr>
                <w:rFonts w:eastAsia="仿宋" w:hint="eastAsia"/>
                <w:color w:val="000000"/>
                <w:sz w:val="24"/>
              </w:rPr>
              <w:t>B1</w:t>
            </w:r>
            <w:r>
              <w:rPr>
                <w:rFonts w:eastAsia="仿宋" w:hint="eastAsia"/>
                <w:color w:val="000000"/>
                <w:sz w:val="24"/>
              </w:rPr>
              <w:t>等区段故障锁闭状</w:t>
            </w:r>
            <w:r>
              <w:rPr>
                <w:rFonts w:eastAsia="仿宋" w:hint="eastAsia"/>
                <w:color w:val="000000"/>
                <w:sz w:val="24"/>
              </w:rPr>
              <w:lastRenderedPageBreak/>
              <w:t>态，执行故障解锁作业</w:t>
            </w:r>
          </w:p>
        </w:tc>
        <w:tc>
          <w:tcPr>
            <w:tcW w:w="3271" w:type="dxa"/>
            <w:vAlign w:val="center"/>
          </w:tcPr>
          <w:p w14:paraId="6B8CC7F0" w14:textId="77777777" w:rsidR="00917919" w:rsidRDefault="00C56469">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判断</w:t>
            </w:r>
            <w:r>
              <w:rPr>
                <w:rFonts w:ascii="仿宋_GB2312" w:eastAsia="仿宋_GB2312" w:hAnsi="仿宋_GB2312" w:cs="仿宋_GB2312" w:hint="eastAsia"/>
                <w:color w:val="000000"/>
                <w:sz w:val="24"/>
              </w:rPr>
              <w:t>B1</w:t>
            </w:r>
            <w:r>
              <w:rPr>
                <w:rFonts w:ascii="仿宋_GB2312" w:eastAsia="仿宋_GB2312" w:hAnsi="仿宋_GB2312" w:cs="仿宋_GB2312" w:hint="eastAsia"/>
                <w:color w:val="000000"/>
                <w:sz w:val="24"/>
              </w:rPr>
              <w:t>等区段故障锁闭</w:t>
            </w:r>
          </w:p>
          <w:p w14:paraId="12DF378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1861FAE8"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进行区故解操作：鼠标点击故障区段，选择区故解命令，并进行二次确认</w:t>
            </w:r>
          </w:p>
          <w:p w14:paraId="01E346F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07270DF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004E623F"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5A1BBBE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汇报行调时机合理，内容规范</w:t>
            </w:r>
          </w:p>
          <w:p w14:paraId="75038FB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4AE47A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CFFFDE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lastRenderedPageBreak/>
              <w:t>（</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13BD5DA5"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2BE2FA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917919" w14:paraId="56035727" w14:textId="77777777">
        <w:trPr>
          <w:trHeight w:val="567"/>
          <w:jc w:val="center"/>
        </w:trPr>
        <w:tc>
          <w:tcPr>
            <w:tcW w:w="1672" w:type="dxa"/>
            <w:vMerge/>
            <w:vAlign w:val="center"/>
          </w:tcPr>
          <w:p w14:paraId="376E0BBA"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3C4B172"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1-6</w:t>
            </w:r>
          </w:p>
        </w:tc>
        <w:tc>
          <w:tcPr>
            <w:tcW w:w="2029" w:type="dxa"/>
            <w:vAlign w:val="center"/>
          </w:tcPr>
          <w:p w14:paraId="7BD811D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B</w:t>
            </w:r>
            <w:r>
              <w:rPr>
                <w:rFonts w:eastAsia="仿宋" w:hint="eastAsia"/>
                <w:b/>
                <w:bCs/>
                <w:color w:val="000000"/>
                <w:sz w:val="24"/>
              </w:rPr>
              <w:t>信号机信号重开作业：</w:t>
            </w:r>
            <w:r>
              <w:rPr>
                <w:rFonts w:eastAsia="仿宋" w:hint="eastAsia"/>
                <w:color w:val="000000"/>
                <w:sz w:val="24"/>
              </w:rPr>
              <w:t>判断信号机故障关闭原因，执行信号机</w:t>
            </w:r>
            <w:r>
              <w:rPr>
                <w:rFonts w:eastAsia="仿宋" w:hint="eastAsia"/>
                <w:color w:val="000000"/>
                <w:sz w:val="24"/>
              </w:rPr>
              <w:t>B</w:t>
            </w:r>
            <w:r>
              <w:rPr>
                <w:rFonts w:eastAsia="仿宋" w:hint="eastAsia"/>
                <w:color w:val="000000"/>
                <w:sz w:val="24"/>
              </w:rPr>
              <w:t>的信号重开作业</w:t>
            </w:r>
          </w:p>
        </w:tc>
        <w:tc>
          <w:tcPr>
            <w:tcW w:w="3271" w:type="dxa"/>
            <w:vAlign w:val="center"/>
          </w:tcPr>
          <w:p w14:paraId="2B31647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故障关闭，并汇报</w:t>
            </w:r>
          </w:p>
          <w:p w14:paraId="20E8BAC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1B52DE1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确认信号机开放</w:t>
            </w:r>
          </w:p>
          <w:p w14:paraId="551F7BE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33E18C2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EC9E32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521CDB4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38146FE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315031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5823BEC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E5BA29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C78EC05"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917919" w14:paraId="2665661F" w14:textId="77777777">
        <w:trPr>
          <w:trHeight w:val="567"/>
          <w:jc w:val="center"/>
        </w:trPr>
        <w:tc>
          <w:tcPr>
            <w:tcW w:w="1672" w:type="dxa"/>
            <w:vMerge/>
            <w:vAlign w:val="center"/>
          </w:tcPr>
          <w:p w14:paraId="59335D1E"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2881B98"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1-7</w:t>
            </w:r>
          </w:p>
        </w:tc>
        <w:tc>
          <w:tcPr>
            <w:tcW w:w="2029" w:type="dxa"/>
            <w:vAlign w:val="center"/>
          </w:tcPr>
          <w:p w14:paraId="5A976BEF"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场景２站台紧急停车按钮恢复：</w:t>
            </w:r>
            <w:r>
              <w:rPr>
                <w:rFonts w:eastAsia="仿宋" w:hint="eastAsia"/>
                <w:color w:val="000000"/>
                <w:sz w:val="24"/>
              </w:rPr>
              <w:t>确认紧急停车按钮激活的原因，恢复场景</w:t>
            </w:r>
            <w:r>
              <w:rPr>
                <w:rFonts w:eastAsia="仿宋" w:hint="eastAsia"/>
                <w:color w:val="000000"/>
                <w:sz w:val="24"/>
              </w:rPr>
              <w:t>2</w:t>
            </w:r>
            <w:r>
              <w:rPr>
                <w:rFonts w:eastAsia="仿宋" w:hint="eastAsia"/>
                <w:color w:val="000000"/>
                <w:sz w:val="24"/>
              </w:rPr>
              <w:t>紧急停车状态</w:t>
            </w:r>
          </w:p>
        </w:tc>
        <w:tc>
          <w:tcPr>
            <w:tcW w:w="3271" w:type="dxa"/>
            <w:vAlign w:val="center"/>
          </w:tcPr>
          <w:p w14:paraId="7E14A83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确认紧急停车按钮被激活并进行警铃切除</w:t>
            </w:r>
          </w:p>
          <w:p w14:paraId="7986DBA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45A5E8E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08E44E78"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39A30AB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3EDDEB8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62A0D7CE"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p>
          <w:p w14:paraId="4F83E42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11D4C91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2B3278A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A4B729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4B77CF1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E517795"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917919" w14:paraId="292920BE" w14:textId="77777777">
        <w:trPr>
          <w:trHeight w:val="567"/>
          <w:jc w:val="center"/>
        </w:trPr>
        <w:tc>
          <w:tcPr>
            <w:tcW w:w="1672" w:type="dxa"/>
            <w:vMerge/>
            <w:vAlign w:val="center"/>
          </w:tcPr>
          <w:p w14:paraId="1B0B88AF"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48757C0"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1-8</w:t>
            </w:r>
          </w:p>
        </w:tc>
        <w:tc>
          <w:tcPr>
            <w:tcW w:w="2029" w:type="dxa"/>
            <w:vAlign w:val="center"/>
          </w:tcPr>
          <w:p w14:paraId="773E20B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道岔</w:t>
            </w:r>
            <w:r>
              <w:rPr>
                <w:rFonts w:eastAsia="仿宋" w:hint="eastAsia"/>
                <w:b/>
                <w:bCs/>
                <w:color w:val="000000"/>
                <w:sz w:val="24"/>
              </w:rPr>
              <w:t>B</w:t>
            </w:r>
            <w:r>
              <w:rPr>
                <w:rFonts w:eastAsia="仿宋" w:hint="eastAsia"/>
                <w:b/>
                <w:bCs/>
                <w:color w:val="000000"/>
                <w:sz w:val="24"/>
              </w:rPr>
              <w:t>试验：</w:t>
            </w:r>
            <w:r>
              <w:rPr>
                <w:rFonts w:eastAsia="仿宋" w:hint="eastAsia"/>
                <w:color w:val="000000"/>
                <w:sz w:val="24"/>
              </w:rPr>
              <w:t>确认道岔</w:t>
            </w:r>
            <w:r>
              <w:rPr>
                <w:rFonts w:eastAsia="仿宋" w:hint="eastAsia"/>
                <w:color w:val="000000"/>
                <w:sz w:val="24"/>
              </w:rPr>
              <w:t>B</w:t>
            </w:r>
            <w:r>
              <w:rPr>
                <w:rFonts w:eastAsia="仿宋" w:hint="eastAsia"/>
                <w:color w:val="000000"/>
                <w:sz w:val="24"/>
              </w:rPr>
              <w:t>故障，通过单扳实验将该道岔恢复至正常状态</w:t>
            </w:r>
          </w:p>
        </w:tc>
        <w:tc>
          <w:tcPr>
            <w:tcW w:w="3271" w:type="dxa"/>
            <w:vAlign w:val="center"/>
          </w:tcPr>
          <w:p w14:paraId="257AD12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故障</w:t>
            </w:r>
          </w:p>
          <w:p w14:paraId="73B6543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34CA227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w:t>
            </w:r>
            <w:r>
              <w:rPr>
                <w:rFonts w:ascii="仿宋_GB2312" w:eastAsia="仿宋_GB2312" w:hAnsi="仿宋_GB2312" w:cs="仿宋_GB2312" w:hint="eastAsia"/>
                <w:color w:val="000000"/>
                <w:sz w:val="24"/>
              </w:rPr>
              <w:lastRenderedPageBreak/>
              <w:t>件</w:t>
            </w:r>
          </w:p>
          <w:p w14:paraId="4999109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101D3C48"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4C9E531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p>
          <w:p w14:paraId="70E5CD3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3AFF154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66E0B56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59B7A5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48B07015"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33C8BCB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6FD296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917919" w14:paraId="19CFB78B" w14:textId="77777777">
        <w:trPr>
          <w:trHeight w:val="567"/>
          <w:jc w:val="center"/>
        </w:trPr>
        <w:tc>
          <w:tcPr>
            <w:tcW w:w="1672" w:type="dxa"/>
            <w:vMerge/>
            <w:vAlign w:val="center"/>
          </w:tcPr>
          <w:p w14:paraId="29D9DCD6"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5F9BFFB"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1-9</w:t>
            </w:r>
          </w:p>
        </w:tc>
        <w:tc>
          <w:tcPr>
            <w:tcW w:w="2029" w:type="dxa"/>
            <w:vAlign w:val="center"/>
          </w:tcPr>
          <w:p w14:paraId="7946C98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eastAsia="仿宋" w:hint="eastAsia"/>
                <w:b/>
                <w:bCs/>
                <w:color w:val="000000"/>
                <w:sz w:val="24"/>
              </w:rPr>
              <w:t>场景２票务设备故障处置</w:t>
            </w:r>
            <w:r>
              <w:rPr>
                <w:rFonts w:eastAsia="仿宋" w:hint="eastAsia"/>
                <w:color w:val="000000"/>
                <w:sz w:val="24"/>
              </w:rPr>
              <w:t>：判断</w:t>
            </w:r>
            <w:r>
              <w:rPr>
                <w:rFonts w:eastAsia="仿宋" w:hint="eastAsia"/>
                <w:color w:val="000000"/>
                <w:sz w:val="24"/>
              </w:rPr>
              <w:t>TVM</w:t>
            </w:r>
            <w:r>
              <w:rPr>
                <w:rFonts w:eastAsia="仿宋" w:hint="eastAsia"/>
                <w:color w:val="000000"/>
                <w:sz w:val="24"/>
              </w:rPr>
              <w:t>、故障原因（</w:t>
            </w:r>
            <w:r>
              <w:rPr>
                <w:rFonts w:eastAsia="仿宋" w:hint="eastAsia"/>
                <w:color w:val="000000"/>
                <w:sz w:val="24"/>
              </w:rPr>
              <w:t>3</w:t>
            </w:r>
            <w:r>
              <w:rPr>
                <w:rFonts w:eastAsia="仿宋" w:hint="eastAsia"/>
                <w:color w:val="000000"/>
                <w:sz w:val="24"/>
              </w:rPr>
              <w:t>个故障点），按照相应流程恢复设备至正常状态</w:t>
            </w:r>
          </w:p>
        </w:tc>
        <w:tc>
          <w:tcPr>
            <w:tcW w:w="3271" w:type="dxa"/>
            <w:vAlign w:val="center"/>
          </w:tcPr>
          <w:p w14:paraId="2BAE864E"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p w14:paraId="616329C9"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p w14:paraId="344700D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处置</w:t>
            </w:r>
          </w:p>
        </w:tc>
        <w:tc>
          <w:tcPr>
            <w:tcW w:w="2649" w:type="dxa"/>
            <w:vAlign w:val="center"/>
          </w:tcPr>
          <w:p w14:paraId="22F8763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30DB558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696DBF96"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325BD4A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7F8F6FD"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7527FAD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917919" w14:paraId="1BBC81A3" w14:textId="77777777">
        <w:trPr>
          <w:trHeight w:val="567"/>
          <w:jc w:val="center"/>
        </w:trPr>
        <w:tc>
          <w:tcPr>
            <w:tcW w:w="1672" w:type="dxa"/>
            <w:vMerge/>
            <w:vAlign w:val="center"/>
          </w:tcPr>
          <w:p w14:paraId="50C11F72"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BE02AFD" w14:textId="77777777" w:rsidR="00917919" w:rsidRDefault="00C56469">
            <w:pPr>
              <w:pStyle w:val="2"/>
              <w:spacing w:after="0"/>
              <w:ind w:leftChars="0" w:left="0" w:firstLineChars="0" w:firstLine="0"/>
              <w:jc w:val="center"/>
              <w:rPr>
                <w:rFonts w:eastAsia="仿宋"/>
                <w:color w:val="000000"/>
                <w:sz w:val="24"/>
              </w:rPr>
            </w:pPr>
            <w:r>
              <w:rPr>
                <w:rFonts w:eastAsia="仿宋" w:hint="eastAsia"/>
                <w:color w:val="000000"/>
                <w:sz w:val="24"/>
              </w:rPr>
              <w:t>子任务</w:t>
            </w:r>
            <w:r>
              <w:rPr>
                <w:rFonts w:eastAsia="仿宋" w:hint="eastAsia"/>
                <w:color w:val="000000"/>
                <w:sz w:val="24"/>
              </w:rPr>
              <w:t>1-10</w:t>
            </w:r>
          </w:p>
        </w:tc>
        <w:tc>
          <w:tcPr>
            <w:tcW w:w="2029" w:type="dxa"/>
            <w:vAlign w:val="center"/>
          </w:tcPr>
          <w:p w14:paraId="01DDE5D5" w14:textId="77777777" w:rsidR="00917919" w:rsidRDefault="00C56469">
            <w:pPr>
              <w:pStyle w:val="2"/>
              <w:ind w:leftChars="0" w:left="0" w:firstLineChars="0" w:firstLine="0"/>
              <w:rPr>
                <w:rFonts w:eastAsia="仿宋"/>
                <w:color w:val="000000"/>
                <w:sz w:val="24"/>
              </w:rPr>
            </w:pPr>
            <w:r>
              <w:rPr>
                <w:rFonts w:ascii="仿宋_GB2312" w:eastAsia="仿宋_GB2312" w:hAnsi="仿宋_GB2312" w:cs="仿宋_GB2312" w:hint="eastAsia"/>
                <w:b/>
                <w:bCs/>
                <w:color w:val="000000"/>
                <w:sz w:val="24"/>
              </w:rPr>
              <w:t>站台</w:t>
            </w:r>
            <w:r>
              <w:rPr>
                <w:rFonts w:ascii="仿宋_GB2312" w:eastAsia="仿宋_GB2312" w:hAnsi="仿宋_GB2312" w:cs="仿宋_GB2312" w:hint="eastAsia"/>
                <w:b/>
                <w:bCs/>
                <w:color w:val="000000"/>
                <w:sz w:val="24"/>
              </w:rPr>
              <w:t>B</w:t>
            </w:r>
            <w:r>
              <w:rPr>
                <w:rFonts w:ascii="仿宋_GB2312" w:eastAsia="仿宋_GB2312" w:hAnsi="仿宋_GB2312" w:cs="仿宋_GB2312" w:hint="eastAsia"/>
                <w:b/>
                <w:bCs/>
                <w:color w:val="000000"/>
                <w:sz w:val="24"/>
              </w:rPr>
              <w:t>端火灾应急处置：</w:t>
            </w:r>
            <w:r>
              <w:rPr>
                <w:rFonts w:ascii="仿宋_GB2312" w:eastAsia="仿宋_GB2312" w:hAnsi="仿宋_GB2312" w:cs="仿宋_GB2312" w:hint="eastAsia"/>
                <w:color w:val="000000"/>
                <w:sz w:val="24"/>
              </w:rPr>
              <w:t>综合监控系统（模拟器）显示站台</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端烟感报警，进行消防灭火应急处置。</w:t>
            </w:r>
          </w:p>
        </w:tc>
        <w:tc>
          <w:tcPr>
            <w:tcW w:w="3271" w:type="dxa"/>
            <w:vAlign w:val="center"/>
          </w:tcPr>
          <w:p w14:paraId="38C6DF8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40799B3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1443F8FA"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0EB3558E"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汇报火灾情况：值班员汇报环调站台</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端着火。值班员汇报行调，申请上下行列车不停站通过。行调设置某站上下行某站台不停车通过。值班员向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10E5EE0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w:t>
            </w:r>
            <w:r>
              <w:rPr>
                <w:rFonts w:ascii="仿宋_GB2312" w:eastAsia="仿宋_GB2312" w:hAnsi="仿宋_GB2312" w:cs="仿宋_GB2312" w:hint="eastAsia"/>
                <w:color w:val="000000"/>
                <w:sz w:val="24"/>
              </w:rPr>
              <w:lastRenderedPageBreak/>
              <w:t>确认闸机已全开状</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态，（闸机未能联动打开），通过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5FEA0472" w14:textId="77777777" w:rsidR="00917919" w:rsidRDefault="00C56469">
            <w:pPr>
              <w:pStyle w:val="2"/>
              <w:ind w:leftChars="0" w:left="0" w:firstLineChars="0" w:firstLine="0"/>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w:t>
            </w:r>
            <w:r>
              <w:rPr>
                <w:rFonts w:ascii="仿宋_GB2312" w:eastAsia="仿宋_GB2312" w:hAnsi="仿宋_GB2312" w:cs="仿宋_GB2312" w:hint="eastAsia"/>
                <w:color w:val="000000"/>
                <w:sz w:val="24"/>
              </w:rPr>
              <w:t>况</w:t>
            </w:r>
          </w:p>
        </w:tc>
        <w:tc>
          <w:tcPr>
            <w:tcW w:w="2649" w:type="dxa"/>
            <w:vAlign w:val="center"/>
          </w:tcPr>
          <w:p w14:paraId="2FB96B32" w14:textId="77777777" w:rsidR="00917919" w:rsidRDefault="00917919">
            <w:pPr>
              <w:pStyle w:val="2"/>
              <w:spacing w:after="0"/>
              <w:ind w:leftChars="0" w:left="0" w:firstLineChars="0" w:firstLine="0"/>
            </w:pPr>
          </w:p>
          <w:p w14:paraId="7752389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p>
          <w:p w14:paraId="2851505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p>
          <w:p w14:paraId="5283297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0CD98AC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10ACB228"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4C3B6A2B" w14:textId="77777777" w:rsidR="00917919" w:rsidRDefault="00917919">
            <w:pPr>
              <w:pStyle w:val="2"/>
              <w:spacing w:after="0"/>
              <w:ind w:leftChars="0" w:left="0" w:firstLineChars="0" w:firstLine="0"/>
            </w:pPr>
          </w:p>
        </w:tc>
        <w:tc>
          <w:tcPr>
            <w:tcW w:w="3194" w:type="dxa"/>
            <w:vAlign w:val="center"/>
          </w:tcPr>
          <w:p w14:paraId="1E64D1F5"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CD771C8"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1034CDF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4CE3B1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06BD002D" w14:textId="77777777" w:rsidR="00917919" w:rsidRDefault="00C56469">
            <w:pPr>
              <w:pStyle w:val="2"/>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w:t>
            </w:r>
            <w:r>
              <w:rPr>
                <w:rFonts w:ascii="仿宋_GB2312" w:eastAsia="仿宋_GB2312" w:hAnsi="仿宋_GB2312" w:cs="仿宋_GB2312" w:hint="eastAsia"/>
                <w:color w:val="000000"/>
                <w:sz w:val="24"/>
              </w:rPr>
              <w:t>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917919" w14:paraId="4EDDB5C9" w14:textId="77777777">
        <w:trPr>
          <w:trHeight w:val="567"/>
          <w:jc w:val="center"/>
        </w:trPr>
        <w:tc>
          <w:tcPr>
            <w:tcW w:w="1672" w:type="dxa"/>
            <w:vMerge/>
            <w:vAlign w:val="center"/>
          </w:tcPr>
          <w:p w14:paraId="29C6020A"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C48F979" w14:textId="77777777" w:rsidR="00917919" w:rsidRDefault="00C56469">
            <w:pPr>
              <w:pStyle w:val="2"/>
              <w:spacing w:after="0"/>
              <w:ind w:leftChars="0" w:left="0" w:firstLineChars="0" w:firstLine="0"/>
              <w:jc w:val="center"/>
              <w:rPr>
                <w:rFonts w:eastAsia="仿宋"/>
                <w:color w:val="000000"/>
                <w:sz w:val="24"/>
              </w:rPr>
            </w:pPr>
            <w:r>
              <w:rPr>
                <w:rFonts w:eastAsia="仿宋" w:hint="eastAsia"/>
                <w:color w:val="000000"/>
                <w:sz w:val="24"/>
              </w:rPr>
              <w:t>子任务</w:t>
            </w:r>
            <w:r>
              <w:rPr>
                <w:rFonts w:eastAsia="仿宋" w:hint="eastAsia"/>
                <w:color w:val="000000"/>
                <w:sz w:val="24"/>
              </w:rPr>
              <w:t>1-11</w:t>
            </w:r>
          </w:p>
        </w:tc>
        <w:tc>
          <w:tcPr>
            <w:tcW w:w="2029" w:type="dxa"/>
            <w:vAlign w:val="center"/>
          </w:tcPr>
          <w:p w14:paraId="06976782"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多门关门应急处置</w:t>
            </w:r>
            <w:r>
              <w:rPr>
                <w:rFonts w:ascii="仿宋_GB2312" w:eastAsia="仿宋_GB2312" w:hAnsi="仿宋_GB2312" w:cs="仿宋_GB2312" w:hint="eastAsia"/>
                <w:color w:val="000000"/>
                <w:sz w:val="24"/>
              </w:rPr>
              <w:t>：列车出站关门时遇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个以上多节车辆对应站台门无法关闭，故障门门头灯亮。按操作流程进行多门无法关闭故障先期处置</w:t>
            </w:r>
          </w:p>
        </w:tc>
        <w:tc>
          <w:tcPr>
            <w:tcW w:w="3271" w:type="dxa"/>
            <w:vAlign w:val="center"/>
          </w:tcPr>
          <w:p w14:paraId="796AA3D0"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发现故障：站务员按流程手指、口呼确认多门关门故障、明确故障具体位置</w:t>
            </w:r>
          </w:p>
          <w:p w14:paraId="0B1B6E9B"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互锁解除开关钥匙并取出钥匙，互锁解除指示灯熄灭；站务员用两套</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钥匙（</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号）分别将故障门</w:t>
            </w:r>
            <w:r>
              <w:rPr>
                <w:rFonts w:ascii="仿宋_GB2312" w:eastAsia="仿宋_GB2312" w:hAnsi="仿宋_GB2312" w:cs="仿宋_GB2312" w:hint="eastAsia"/>
                <w:color w:val="000000"/>
                <w:sz w:val="24"/>
              </w:rPr>
              <w:t>LCB</w:t>
            </w:r>
            <w:r>
              <w:rPr>
                <w:rFonts w:ascii="仿宋_GB2312" w:eastAsia="仿宋_GB2312" w:hAnsi="仿宋_GB2312" w:cs="仿宋_GB2312" w:hint="eastAsia"/>
                <w:color w:val="000000"/>
                <w:sz w:val="24"/>
              </w:rPr>
              <w:t>转至“关门”位置，并确认故障门关闭。</w:t>
            </w:r>
            <w:r>
              <w:rPr>
                <w:rFonts w:ascii="仿宋_GB2312" w:eastAsia="仿宋_GB2312" w:hAnsi="仿宋_GB2312" w:cs="仿宋_GB2312" w:hint="eastAsia"/>
                <w:color w:val="000000"/>
                <w:sz w:val="24"/>
              </w:rPr>
              <w:t xml:space="preserve"> </w:t>
            </w:r>
          </w:p>
          <w:p w14:paraId="366EF68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站务员用规定方式汇报值班员、值班站长，多门关门故障已处理完毕</w:t>
            </w:r>
          </w:p>
        </w:tc>
        <w:tc>
          <w:tcPr>
            <w:tcW w:w="2649" w:type="dxa"/>
            <w:vAlign w:val="center"/>
          </w:tcPr>
          <w:p w14:paraId="59F4075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．准确发现故障并呼唤确认</w:t>
            </w:r>
          </w:p>
          <w:p w14:paraId="01CB335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6B7E0937"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5D34770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40C7DFB3"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917919" w14:paraId="02740F42" w14:textId="77777777">
        <w:trPr>
          <w:trHeight w:val="567"/>
          <w:jc w:val="center"/>
        </w:trPr>
        <w:tc>
          <w:tcPr>
            <w:tcW w:w="1672" w:type="dxa"/>
            <w:vMerge/>
            <w:vAlign w:val="center"/>
          </w:tcPr>
          <w:p w14:paraId="2A93BF1B"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117358C" w14:textId="77777777" w:rsidR="00917919" w:rsidRDefault="00C56469">
            <w:pPr>
              <w:pStyle w:val="2"/>
              <w:spacing w:after="0"/>
              <w:ind w:leftChars="0" w:left="0" w:firstLineChars="0" w:firstLine="0"/>
              <w:jc w:val="center"/>
              <w:rPr>
                <w:rFonts w:ascii="仿宋_GB2312" w:eastAsia="仿宋_GB2312" w:hAnsi="仿宋_GB2312" w:cs="仿宋_GB2312"/>
                <w:color w:val="000000"/>
                <w:sz w:val="24"/>
              </w:rPr>
            </w:pPr>
            <w:r>
              <w:rPr>
                <w:rFonts w:eastAsia="仿宋" w:hint="eastAsia"/>
                <w:color w:val="000000"/>
                <w:sz w:val="24"/>
              </w:rPr>
              <w:t>子任务</w:t>
            </w:r>
            <w:r>
              <w:rPr>
                <w:rFonts w:eastAsia="仿宋" w:hint="eastAsia"/>
                <w:color w:val="000000"/>
                <w:sz w:val="24"/>
              </w:rPr>
              <w:t>1-12</w:t>
            </w:r>
          </w:p>
        </w:tc>
        <w:tc>
          <w:tcPr>
            <w:tcW w:w="2029" w:type="dxa"/>
            <w:vAlign w:val="center"/>
          </w:tcPr>
          <w:p w14:paraId="726DDAF4"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单门关门故障应急处置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w:t>
            </w:r>
            <w:r>
              <w:rPr>
                <w:rFonts w:ascii="仿宋_GB2312" w:eastAsia="仿宋_GB2312" w:hAnsi="仿宋_GB2312" w:cs="仿宋_GB2312" w:hint="eastAsia"/>
                <w:sz w:val="24"/>
              </w:rPr>
              <w:t>关门</w:t>
            </w:r>
            <w:r>
              <w:rPr>
                <w:rFonts w:ascii="仿宋_GB2312" w:eastAsia="仿宋_GB2312" w:hAnsi="仿宋_GB2312" w:cs="仿宋_GB2312" w:hint="eastAsia"/>
                <w:sz w:val="24"/>
              </w:rPr>
              <w:t>作业，突发单个站</w:t>
            </w:r>
            <w:r>
              <w:rPr>
                <w:rFonts w:ascii="仿宋_GB2312" w:eastAsia="仿宋_GB2312" w:hAnsi="仿宋_GB2312" w:cs="仿宋_GB2312" w:hint="eastAsia"/>
                <w:sz w:val="24"/>
              </w:rPr>
              <w:t>关门</w:t>
            </w:r>
            <w:r>
              <w:rPr>
                <w:rFonts w:ascii="仿宋_GB2312" w:eastAsia="仿宋_GB2312" w:hAnsi="仿宋_GB2312" w:cs="仿宋_GB2312" w:hint="eastAsia"/>
                <w:sz w:val="24"/>
              </w:rPr>
              <w:t>。按操作流程</w:t>
            </w:r>
            <w:r>
              <w:rPr>
                <w:rFonts w:ascii="仿宋_GB2312" w:eastAsia="仿宋_GB2312" w:hAnsi="仿宋_GB2312" w:cs="仿宋_GB2312" w:hint="eastAsia"/>
                <w:sz w:val="24"/>
              </w:rPr>
              <w:lastRenderedPageBreak/>
              <w:t>进行单门</w:t>
            </w:r>
            <w:r>
              <w:rPr>
                <w:rFonts w:ascii="仿宋_GB2312" w:eastAsia="仿宋_GB2312" w:hAnsi="仿宋_GB2312" w:cs="仿宋_GB2312" w:hint="eastAsia"/>
                <w:sz w:val="24"/>
              </w:rPr>
              <w:t>关门</w:t>
            </w:r>
            <w:r>
              <w:rPr>
                <w:rFonts w:ascii="仿宋_GB2312" w:eastAsia="仿宋_GB2312" w:hAnsi="仿宋_GB2312" w:cs="仿宋_GB2312" w:hint="eastAsia"/>
                <w:sz w:val="24"/>
              </w:rPr>
              <w:t>故障先期处置</w:t>
            </w:r>
          </w:p>
        </w:tc>
        <w:tc>
          <w:tcPr>
            <w:tcW w:w="3271" w:type="dxa"/>
            <w:vAlign w:val="center"/>
          </w:tcPr>
          <w:p w14:paraId="7B75AB17" w14:textId="77777777" w:rsidR="00917919" w:rsidRDefault="00C56469">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发现故障：站务员确认某方向、某号站台门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6C317EAC" w14:textId="77777777" w:rsidR="00917919" w:rsidRDefault="00C56469">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w:t>
            </w:r>
            <w:r>
              <w:rPr>
                <w:rFonts w:ascii="仿宋_GB2312" w:eastAsia="仿宋_GB2312" w:hAnsi="仿宋_GB2312" w:cs="仿宋_GB2312" w:hint="eastAsia"/>
                <w:sz w:val="24"/>
              </w:rPr>
              <w:t>关</w:t>
            </w:r>
            <w:r>
              <w:rPr>
                <w:rFonts w:ascii="仿宋_GB2312" w:eastAsia="仿宋_GB2312" w:hAnsi="仿宋_GB2312" w:cs="仿宋_GB2312" w:hint="eastAsia"/>
                <w:sz w:val="24"/>
              </w:rPr>
              <w:lastRenderedPageBreak/>
              <w:t>门故障。</w:t>
            </w:r>
          </w:p>
          <w:p w14:paraId="41D58D49" w14:textId="77777777" w:rsidR="00917919" w:rsidRDefault="00C56469">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站务员使用</w:t>
            </w:r>
            <w:r>
              <w:rPr>
                <w:rFonts w:ascii="仿宋_GB2312" w:eastAsia="仿宋_GB2312" w:hAnsi="仿宋_GB2312" w:cs="仿宋_GB2312" w:hint="eastAsia"/>
                <w:sz w:val="24"/>
              </w:rPr>
              <w:t>L</w:t>
            </w:r>
            <w:r>
              <w:rPr>
                <w:rFonts w:ascii="仿宋_GB2312" w:eastAsia="仿宋_GB2312" w:hAnsi="仿宋_GB2312" w:cs="仿宋_GB2312" w:hint="eastAsia"/>
                <w:sz w:val="24"/>
              </w:rPr>
              <w:t>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钥匙将故障门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转至“关门”位置，并确认故障门关闭。</w:t>
            </w:r>
            <w:r>
              <w:rPr>
                <w:rFonts w:ascii="仿宋_GB2312" w:eastAsia="仿宋_GB2312" w:hAnsi="仿宋_GB2312" w:cs="仿宋_GB2312" w:hint="eastAsia"/>
                <w:sz w:val="24"/>
              </w:rPr>
              <w:t>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r>
              <w:rPr>
                <w:rFonts w:ascii="仿宋_GB2312" w:eastAsia="仿宋_GB2312" w:hAnsi="仿宋_GB2312" w:cs="仿宋_GB2312" w:hint="eastAsia"/>
                <w:sz w:val="24"/>
              </w:rPr>
              <w:t>用对讲机汇报值班员</w:t>
            </w:r>
          </w:p>
        </w:tc>
        <w:tc>
          <w:tcPr>
            <w:tcW w:w="2649" w:type="dxa"/>
            <w:vAlign w:val="center"/>
          </w:tcPr>
          <w:p w14:paraId="389A0CA7" w14:textId="77777777" w:rsidR="00917919" w:rsidRDefault="00C56469">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08E42210" w14:textId="77777777" w:rsidR="00917919" w:rsidRDefault="00C56469">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w:t>
            </w:r>
            <w:r>
              <w:rPr>
                <w:rFonts w:ascii="仿宋_GB2312" w:eastAsia="仿宋_GB2312" w:hAnsi="仿宋_GB2312" w:cs="仿宋_GB2312" w:hint="eastAsia"/>
                <w:sz w:val="24"/>
              </w:rPr>
              <w:lastRenderedPageBreak/>
              <w:t>置故障</w:t>
            </w:r>
          </w:p>
          <w:p w14:paraId="32FB668D" w14:textId="77777777" w:rsidR="00917919" w:rsidRDefault="00C56469">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．选手使用标准用语，规范合理</w:t>
            </w:r>
          </w:p>
          <w:p w14:paraId="719A058A" w14:textId="77777777" w:rsidR="00917919" w:rsidRDefault="00917919">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3CD36290" w14:textId="77777777" w:rsidR="00917919" w:rsidRDefault="00C56469">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147909A7" w14:textId="77777777" w:rsidR="00917919" w:rsidRDefault="00C56469">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917919" w14:paraId="55BD0730" w14:textId="77777777">
        <w:trPr>
          <w:trHeight w:val="567"/>
          <w:jc w:val="center"/>
        </w:trPr>
        <w:tc>
          <w:tcPr>
            <w:tcW w:w="1672" w:type="dxa"/>
            <w:vMerge w:val="restart"/>
            <w:vAlign w:val="center"/>
          </w:tcPr>
          <w:p w14:paraId="397A044F"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1904206C"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4E5C91EC"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5056D789"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2E978394"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059F9252"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917919" w14:paraId="0ACB748F" w14:textId="77777777">
        <w:trPr>
          <w:trHeight w:val="567"/>
          <w:jc w:val="center"/>
        </w:trPr>
        <w:tc>
          <w:tcPr>
            <w:tcW w:w="1672" w:type="dxa"/>
            <w:vMerge/>
            <w:vAlign w:val="center"/>
          </w:tcPr>
          <w:p w14:paraId="4FC9AD81" w14:textId="77777777" w:rsidR="00917919" w:rsidRDefault="0091791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07120B61" w14:textId="77777777" w:rsidR="00917919" w:rsidRDefault="00C56469">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5A4B2FB9"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1172C1D9"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7A835C0C"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1C6F3DBC"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72A0150F"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0254D065" w14:textId="77777777" w:rsidR="00917919" w:rsidRDefault="00C56469">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917919" w14:paraId="5E5D895D" w14:textId="77777777">
        <w:trPr>
          <w:trHeight w:val="567"/>
          <w:jc w:val="center"/>
        </w:trPr>
        <w:tc>
          <w:tcPr>
            <w:tcW w:w="1672" w:type="dxa"/>
            <w:vAlign w:val="center"/>
          </w:tcPr>
          <w:p w14:paraId="3A433877"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3FDA05A3" w14:textId="77777777" w:rsidR="00917919" w:rsidRDefault="00C56469">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w:t>
            </w:r>
            <w:r>
              <w:rPr>
                <w:rFonts w:ascii="仿宋_GB2312" w:eastAsia="仿宋_GB2312" w:hAnsi="仿宋_GB2312" w:cs="仿宋_GB2312" w:hint="eastAsia"/>
                <w:color w:val="000000"/>
                <w:sz w:val="24"/>
              </w:rPr>
              <w:lastRenderedPageBreak/>
              <w:t>应急照明设施状态合格，赛场明显位置张贴紧急疏散图。并有醒目的“安全出口”指示牌</w:t>
            </w:r>
          </w:p>
          <w:p w14:paraId="2A1715A8" w14:textId="77777777" w:rsidR="00917919" w:rsidRDefault="00C56469">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区域安排：竞赛场地划分为检录区、竞赛操作区、裁判区、现场服务与技</w:t>
            </w:r>
            <w:r>
              <w:rPr>
                <w:rFonts w:ascii="仿宋_GB2312" w:eastAsia="仿宋_GB2312" w:hAnsi="仿宋_GB2312" w:cs="仿宋_GB2312" w:hint="eastAsia"/>
                <w:color w:val="000000"/>
                <w:sz w:val="24"/>
              </w:rPr>
              <w:t>术支持区、休息区等区域，区域之间有明显标志或警示带</w:t>
            </w:r>
          </w:p>
          <w:p w14:paraId="52A6A6E5" w14:textId="77777777" w:rsidR="00917919" w:rsidRDefault="00C56469">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917919" w14:paraId="252324F6" w14:textId="77777777">
        <w:trPr>
          <w:trHeight w:val="567"/>
          <w:jc w:val="center"/>
        </w:trPr>
        <w:tc>
          <w:tcPr>
            <w:tcW w:w="1672" w:type="dxa"/>
            <w:vAlign w:val="center"/>
          </w:tcPr>
          <w:p w14:paraId="456B9D63" w14:textId="77777777" w:rsidR="00917919" w:rsidRDefault="00C56469">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4C81A852" w14:textId="77777777" w:rsidR="00917919" w:rsidRDefault="00C56469">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504DBCAB" w14:textId="0032F5A6" w:rsidR="00917919" w:rsidRDefault="00917919">
      <w:pPr>
        <w:jc w:val="center"/>
        <w:rPr>
          <w:rFonts w:ascii="仿宋_GB2312" w:eastAsia="仿宋_GB2312" w:hAnsi="仿宋_GB2312" w:cs="仿宋_GB2312"/>
          <w:b/>
          <w:bCs/>
          <w:sz w:val="32"/>
          <w:szCs w:val="32"/>
        </w:rPr>
      </w:pPr>
    </w:p>
    <w:p w14:paraId="514BDB04" w14:textId="3D34FD88" w:rsidR="00917919" w:rsidRDefault="00917919">
      <w:pPr>
        <w:jc w:val="center"/>
        <w:rPr>
          <w:rFonts w:ascii="仿宋_GB2312" w:eastAsia="仿宋_GB2312" w:hAnsi="仿宋_GB2312" w:cs="仿宋_GB2312"/>
          <w:b/>
          <w:bCs/>
          <w:sz w:val="32"/>
          <w:szCs w:val="32"/>
        </w:rPr>
      </w:pPr>
    </w:p>
    <w:p w14:paraId="661DFBB2" w14:textId="31B71A45" w:rsidR="00917919" w:rsidRDefault="00917919">
      <w:pPr>
        <w:jc w:val="center"/>
        <w:rPr>
          <w:rFonts w:ascii="仿宋_GB2312" w:eastAsia="仿宋_GB2312" w:hAnsi="仿宋_GB2312" w:cs="仿宋_GB2312"/>
          <w:b/>
          <w:bCs/>
          <w:sz w:val="32"/>
          <w:szCs w:val="32"/>
        </w:rPr>
      </w:pPr>
    </w:p>
    <w:p w14:paraId="274DD44D" w14:textId="77777777" w:rsidR="00917919" w:rsidRDefault="00917919">
      <w:pPr>
        <w:jc w:val="center"/>
        <w:rPr>
          <w:rFonts w:ascii="仿宋_GB2312" w:eastAsia="仿宋_GB2312" w:hAnsi="仿宋_GB2312" w:cs="仿宋_GB2312"/>
          <w:b/>
          <w:bCs/>
          <w:sz w:val="32"/>
          <w:szCs w:val="32"/>
        </w:rPr>
      </w:pPr>
    </w:p>
    <w:p w14:paraId="6FD65261" w14:textId="77777777" w:rsidR="00917919" w:rsidRDefault="00917919">
      <w:pPr>
        <w:jc w:val="center"/>
        <w:rPr>
          <w:rFonts w:ascii="仿宋_GB2312" w:eastAsia="仿宋_GB2312" w:hAnsi="仿宋_GB2312" w:cs="仿宋_GB2312"/>
          <w:b/>
          <w:bCs/>
          <w:sz w:val="32"/>
          <w:szCs w:val="32"/>
        </w:rPr>
      </w:pPr>
    </w:p>
    <w:p w14:paraId="0C234D3A" w14:textId="77777777" w:rsidR="00917919" w:rsidRDefault="00917919">
      <w:pPr>
        <w:jc w:val="center"/>
        <w:rPr>
          <w:rFonts w:ascii="仿宋_GB2312" w:eastAsia="仿宋_GB2312" w:hAnsi="仿宋_GB2312" w:cs="仿宋_GB2312"/>
          <w:b/>
          <w:bCs/>
          <w:sz w:val="32"/>
          <w:szCs w:val="32"/>
        </w:rPr>
      </w:pPr>
    </w:p>
    <w:p w14:paraId="41565275" w14:textId="77777777" w:rsidR="00917919" w:rsidRDefault="00917919">
      <w:pPr>
        <w:jc w:val="center"/>
        <w:rPr>
          <w:rFonts w:ascii="仿宋_GB2312" w:eastAsia="仿宋_GB2312" w:hAnsi="仿宋_GB2312" w:cs="仿宋_GB2312"/>
          <w:b/>
          <w:bCs/>
          <w:sz w:val="32"/>
          <w:szCs w:val="32"/>
        </w:rPr>
      </w:pPr>
    </w:p>
    <w:p w14:paraId="27A628AC" w14:textId="77777777" w:rsidR="00917919" w:rsidRDefault="00917919">
      <w:pPr>
        <w:jc w:val="center"/>
        <w:rPr>
          <w:rFonts w:ascii="仿宋_GB2312" w:eastAsia="仿宋_GB2312" w:hAnsi="仿宋_GB2312" w:cs="仿宋_GB2312"/>
          <w:b/>
          <w:bCs/>
          <w:sz w:val="32"/>
          <w:szCs w:val="32"/>
        </w:rPr>
      </w:pPr>
    </w:p>
    <w:p w14:paraId="2C7323FB" w14:textId="77777777" w:rsidR="00917919" w:rsidRDefault="00917919">
      <w:pPr>
        <w:pStyle w:val="a4"/>
        <w:ind w:firstLineChars="0" w:firstLine="0"/>
      </w:pPr>
    </w:p>
    <w:sectPr w:rsidR="0091791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D504" w14:textId="77777777" w:rsidR="00C56469" w:rsidRDefault="00C56469" w:rsidP="00C56469">
      <w:r>
        <w:separator/>
      </w:r>
    </w:p>
  </w:endnote>
  <w:endnote w:type="continuationSeparator" w:id="0">
    <w:p w14:paraId="025F8C16" w14:textId="77777777" w:rsidR="00C56469" w:rsidRDefault="00C56469" w:rsidP="00C5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81153" w14:textId="77777777" w:rsidR="00C56469" w:rsidRDefault="00C56469" w:rsidP="00C56469">
      <w:r>
        <w:separator/>
      </w:r>
    </w:p>
  </w:footnote>
  <w:footnote w:type="continuationSeparator" w:id="0">
    <w:p w14:paraId="0D0CB177" w14:textId="77777777" w:rsidR="00C56469" w:rsidRDefault="00C56469" w:rsidP="00C56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1595549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917919"/>
    <w:rsid w:val="00C56469"/>
    <w:rsid w:val="03AD58A1"/>
    <w:rsid w:val="042C4A18"/>
    <w:rsid w:val="066C1A43"/>
    <w:rsid w:val="06783F44"/>
    <w:rsid w:val="09673E86"/>
    <w:rsid w:val="09BF1E8A"/>
    <w:rsid w:val="0A9A6B7F"/>
    <w:rsid w:val="0AB6328D"/>
    <w:rsid w:val="0AC77248"/>
    <w:rsid w:val="0B6256BD"/>
    <w:rsid w:val="0B791510"/>
    <w:rsid w:val="0BCE4606"/>
    <w:rsid w:val="0C364685"/>
    <w:rsid w:val="0C391DA6"/>
    <w:rsid w:val="0DC14423"/>
    <w:rsid w:val="0EC817E1"/>
    <w:rsid w:val="10315674"/>
    <w:rsid w:val="10E24DDC"/>
    <w:rsid w:val="114F1D45"/>
    <w:rsid w:val="12192A7F"/>
    <w:rsid w:val="122755E6"/>
    <w:rsid w:val="13741F37"/>
    <w:rsid w:val="15D171CD"/>
    <w:rsid w:val="183A72AB"/>
    <w:rsid w:val="18FD7EFA"/>
    <w:rsid w:val="19D84FCE"/>
    <w:rsid w:val="1A442663"/>
    <w:rsid w:val="1B334486"/>
    <w:rsid w:val="1BB76E65"/>
    <w:rsid w:val="1C3E30E2"/>
    <w:rsid w:val="1CAE3981"/>
    <w:rsid w:val="1D2D5631"/>
    <w:rsid w:val="1EF87EC0"/>
    <w:rsid w:val="1F0E1492"/>
    <w:rsid w:val="1F9C48C8"/>
    <w:rsid w:val="21A14952"/>
    <w:rsid w:val="22C75BE0"/>
    <w:rsid w:val="232C638A"/>
    <w:rsid w:val="23384D2F"/>
    <w:rsid w:val="2469771D"/>
    <w:rsid w:val="26B741BD"/>
    <w:rsid w:val="26EA6341"/>
    <w:rsid w:val="27FB5C56"/>
    <w:rsid w:val="28976054"/>
    <w:rsid w:val="28A006AE"/>
    <w:rsid w:val="28AA60CE"/>
    <w:rsid w:val="2A581813"/>
    <w:rsid w:val="2D9C5EBB"/>
    <w:rsid w:val="2F302D5E"/>
    <w:rsid w:val="3045283A"/>
    <w:rsid w:val="31943A79"/>
    <w:rsid w:val="32492231"/>
    <w:rsid w:val="33723946"/>
    <w:rsid w:val="34232E92"/>
    <w:rsid w:val="34674B7F"/>
    <w:rsid w:val="355377A7"/>
    <w:rsid w:val="35633E8E"/>
    <w:rsid w:val="36FD4E3D"/>
    <w:rsid w:val="3A8D180E"/>
    <w:rsid w:val="3B3B6D13"/>
    <w:rsid w:val="3CA164D5"/>
    <w:rsid w:val="3D407B84"/>
    <w:rsid w:val="3DA532B1"/>
    <w:rsid w:val="3DD07BE6"/>
    <w:rsid w:val="3E79027E"/>
    <w:rsid w:val="3EDC25BB"/>
    <w:rsid w:val="3F5D36FC"/>
    <w:rsid w:val="400B75FC"/>
    <w:rsid w:val="417B430D"/>
    <w:rsid w:val="41A25D3E"/>
    <w:rsid w:val="41F72D3D"/>
    <w:rsid w:val="426F7F53"/>
    <w:rsid w:val="42D54B06"/>
    <w:rsid w:val="432E4DE7"/>
    <w:rsid w:val="43D30430"/>
    <w:rsid w:val="43ED0DC6"/>
    <w:rsid w:val="44B87626"/>
    <w:rsid w:val="463348DD"/>
    <w:rsid w:val="48482A6F"/>
    <w:rsid w:val="4A513E5D"/>
    <w:rsid w:val="4B9E7576"/>
    <w:rsid w:val="4BB70638"/>
    <w:rsid w:val="4BFA0524"/>
    <w:rsid w:val="4CAD5597"/>
    <w:rsid w:val="4CC410F7"/>
    <w:rsid w:val="4E6A373F"/>
    <w:rsid w:val="4F1771E4"/>
    <w:rsid w:val="4F2E6E63"/>
    <w:rsid w:val="4F530677"/>
    <w:rsid w:val="51D35A9F"/>
    <w:rsid w:val="51E639B1"/>
    <w:rsid w:val="52530BF0"/>
    <w:rsid w:val="536F35A6"/>
    <w:rsid w:val="53910C0C"/>
    <w:rsid w:val="54B716A8"/>
    <w:rsid w:val="552F56E3"/>
    <w:rsid w:val="55E66E07"/>
    <w:rsid w:val="56861332"/>
    <w:rsid w:val="56D57BC4"/>
    <w:rsid w:val="56E36785"/>
    <w:rsid w:val="572F19CA"/>
    <w:rsid w:val="593B28A8"/>
    <w:rsid w:val="594A288B"/>
    <w:rsid w:val="59CE54CA"/>
    <w:rsid w:val="5A235A65"/>
    <w:rsid w:val="5BC07D29"/>
    <w:rsid w:val="5BE10DB9"/>
    <w:rsid w:val="5E007C1C"/>
    <w:rsid w:val="5F385194"/>
    <w:rsid w:val="601479AF"/>
    <w:rsid w:val="60593614"/>
    <w:rsid w:val="61477910"/>
    <w:rsid w:val="61557E7E"/>
    <w:rsid w:val="62B47227"/>
    <w:rsid w:val="62E0001C"/>
    <w:rsid w:val="65A610A9"/>
    <w:rsid w:val="65A768B8"/>
    <w:rsid w:val="66FD5A3D"/>
    <w:rsid w:val="689511B2"/>
    <w:rsid w:val="68C44C33"/>
    <w:rsid w:val="69AA4EE0"/>
    <w:rsid w:val="6A5E2AE2"/>
    <w:rsid w:val="6B4D0219"/>
    <w:rsid w:val="6C2A6D62"/>
    <w:rsid w:val="6C3C2767"/>
    <w:rsid w:val="6D4F36AB"/>
    <w:rsid w:val="6FF04731"/>
    <w:rsid w:val="70A66401"/>
    <w:rsid w:val="70BF74C3"/>
    <w:rsid w:val="716C4DA3"/>
    <w:rsid w:val="731F249B"/>
    <w:rsid w:val="733F48EB"/>
    <w:rsid w:val="76FB6D7B"/>
    <w:rsid w:val="777C7EBC"/>
    <w:rsid w:val="78615304"/>
    <w:rsid w:val="7A6C06BC"/>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AD8616"/>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C5646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56469"/>
    <w:rPr>
      <w:rFonts w:ascii="Calibri" w:hAnsi="Calibri"/>
      <w:kern w:val="2"/>
      <w:sz w:val="18"/>
      <w:szCs w:val="18"/>
    </w:rPr>
  </w:style>
  <w:style w:type="paragraph" w:styleId="a8">
    <w:name w:val="footer"/>
    <w:basedOn w:val="a"/>
    <w:link w:val="a9"/>
    <w:rsid w:val="00C56469"/>
    <w:pPr>
      <w:tabs>
        <w:tab w:val="center" w:pos="4153"/>
        <w:tab w:val="right" w:pos="8306"/>
      </w:tabs>
      <w:snapToGrid w:val="0"/>
      <w:jc w:val="left"/>
    </w:pPr>
    <w:rPr>
      <w:sz w:val="18"/>
      <w:szCs w:val="18"/>
    </w:rPr>
  </w:style>
  <w:style w:type="character" w:customStyle="1" w:styleId="a9">
    <w:name w:val="页脚 字符"/>
    <w:basedOn w:val="a0"/>
    <w:link w:val="a8"/>
    <w:rsid w:val="00C5646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2023-04-16T05:09:00Z</cp:lastPrinted>
  <dcterms:created xsi:type="dcterms:W3CDTF">2023-04-13T14:00:00Z</dcterms:created>
  <dcterms:modified xsi:type="dcterms:W3CDTF">2023-04-16T05:09:00Z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CB09A53E3F5B4466893EA898DCC5B8A5_13</vt:lpwstr>
  </property>
</Properties>
</file>