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E05BC" w14:textId="01FBAA86" w:rsidR="00922DB0" w:rsidRPr="00922DB0" w:rsidRDefault="00922DB0" w:rsidP="00922DB0">
      <w:pPr>
        <w:jc w:val="center"/>
        <w:rPr>
          <w:rFonts w:hint="eastAsia"/>
          <w:sz w:val="52"/>
          <w:szCs w:val="52"/>
        </w:rPr>
      </w:pPr>
      <w:r w:rsidRPr="00922DB0">
        <w:rPr>
          <w:rFonts w:hint="eastAsia"/>
          <w:sz w:val="52"/>
          <w:szCs w:val="52"/>
        </w:rPr>
        <w:t>金融科技</w:t>
      </w:r>
    </w:p>
    <w:tbl>
      <w:tblPr>
        <w:tblpPr w:leftFromText="180" w:rightFromText="180" w:vertAnchor="text" w:horzAnchor="page" w:tblpX="1" w:tblpY="-73"/>
        <w:tblW w:w="19692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92"/>
      </w:tblGrid>
      <w:tr w:rsidR="00922DB0" w:rsidRPr="00922DB0" w14:paraId="445104A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B840F6F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lastRenderedPageBreak/>
              <w:t>数字人民币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1D3ECD37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32CEAF6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、数字人民币发行与交易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55D14909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0D53758D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0C31FCA0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58EBBB8E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   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数字人民币是由中国人民银行发行、定位于现金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类支付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凭证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(M0)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的数字货币，</w:t>
            </w:r>
          </w:p>
          <w:p w14:paraId="668715E5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具有支付即计算、低成本、高安全等特性。数字人民币不受网络限制，拥有在无网</w:t>
            </w:r>
          </w:p>
          <w:p w14:paraId="675FCDD4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的状态下依旧可以进行支付的特性。数字人民币是以广义账户体系为基础，支持银</w:t>
            </w:r>
          </w:p>
          <w:p w14:paraId="61681D79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行账户松耦合功能，与纸钞和硬币等价，并具有价值特征和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法偿性的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可控匿名的支</w:t>
            </w:r>
          </w:p>
          <w:p w14:paraId="723F9487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付工具。数字人民币的应用场景将越来越丰富。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：数字人民币生成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：数字人民币发行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：数字人民币钱包开发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：数字人民币支付</w:t>
            </w:r>
          </w:p>
        </w:tc>
      </w:tr>
      <w:tr w:rsidR="00922DB0" w:rsidRPr="00922DB0" w14:paraId="69E7FE2A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4B54A15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大数据金融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3A4057F5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40E78E3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、大数据金融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7E958065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517B3462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3D0AE9B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486B9901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大数据是需要新处理模式才能具有更强的决策力、洞察发现力和流程优化能力</w:t>
            </w:r>
          </w:p>
          <w:p w14:paraId="62D98E02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的海量、高增长率和多样化的信息资产。大数据所涉及的数据集规模已经超过了传</w:t>
            </w:r>
          </w:p>
          <w:p w14:paraId="4F29C9FA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统数据库软件获取、存储、管理和分析的能力。</w:t>
            </w:r>
          </w:p>
          <w:p w14:paraId="11366134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6E3BB22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：基于网络数据进行金融采集</w:t>
            </w:r>
          </w:p>
          <w:p w14:paraId="032E46BB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：完成数据导入</w:t>
            </w:r>
          </w:p>
          <w:p w14:paraId="215C2F34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：完成数据存储</w:t>
            </w:r>
          </w:p>
          <w:p w14:paraId="688BAB5E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：完成数据分析、数据挖掘</w:t>
            </w:r>
          </w:p>
          <w:p w14:paraId="513A1EF2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5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：完成数据可视化</w:t>
            </w:r>
          </w:p>
          <w:p w14:paraId="3DC21609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6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：完成用户画像</w:t>
            </w:r>
          </w:p>
          <w:p w14:paraId="59D4353A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7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：完成精准营销操作</w:t>
            </w:r>
          </w:p>
        </w:tc>
      </w:tr>
      <w:tr w:rsidR="00922DB0" w:rsidRPr="00922DB0" w14:paraId="5D294C4C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6B587D8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AI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65DE5BC7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460EFDB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AI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5DDDFF79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1E73DC7A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463CEF76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289EA5EA" w14:textId="77777777" w:rsid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AI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金融即智能金融（</w:t>
            </w:r>
            <w:proofErr w:type="spell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AiFinance</w:t>
            </w:r>
            <w:proofErr w:type="spell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），是人工智能与金融的全面融合，以人工智</w:t>
            </w:r>
          </w:p>
          <w:p w14:paraId="694FDD7E" w14:textId="77777777" w:rsid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能、大数据、云计算、区块链等高新科技为核心要素，全面赋能金融机构，提</w:t>
            </w:r>
          </w:p>
          <w:p w14:paraId="37F122A9" w14:textId="77777777" w:rsid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升金融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机构的服务效率，拓展金融服务的广度和深度，使得全社会都能获得平</w:t>
            </w:r>
          </w:p>
          <w:p w14:paraId="38CB78D9" w14:textId="77777777" w:rsid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等、高效、专业的金融服务，实现金融服务的智能化、个性化、定制化。在该</w:t>
            </w:r>
          </w:p>
          <w:p w14:paraId="70E7F34C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业务的开展过程中，重要环节在于金融数据标注、数据训练等。</w:t>
            </w:r>
          </w:p>
          <w:p w14:paraId="0D6D9BFB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410598EB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：完成金融数据标注</w:t>
            </w:r>
          </w:p>
          <w:p w14:paraId="0EC833B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：完成数据训练</w:t>
            </w:r>
          </w:p>
          <w:p w14:paraId="31747368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：完成模型调参</w:t>
            </w:r>
          </w:p>
          <w:p w14:paraId="5B7C2FA7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：完成预测分析</w:t>
            </w:r>
          </w:p>
        </w:tc>
      </w:tr>
      <w:tr w:rsidR="00922DB0" w:rsidRPr="00922DB0" w14:paraId="709A61D8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ABB5AE2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云金融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7962FC0D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DA8A230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、申请</w:t>
            </w:r>
            <w:proofErr w:type="gramStart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云服务</w:t>
            </w:r>
            <w:proofErr w:type="gramEnd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与云存储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0E599B55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656C7F39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3C6640EA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1EA8B564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   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云金融（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 xml:space="preserve">Cloud financial 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），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云金融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是指基于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云计算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商业模式应用的金融</w:t>
            </w:r>
          </w:p>
          <w:p w14:paraId="494388EE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产品、信息、服务、用户、各类机构，以及金融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云服务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平台的总称，云平台有利</w:t>
            </w:r>
          </w:p>
          <w:p w14:paraId="3EE8F6DE" w14:textId="77777777" w:rsid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于提高金融机构迅速发现并解决问题的能力，提升整体工作效率，改善流程，降</w:t>
            </w:r>
          </w:p>
          <w:p w14:paraId="0A53656A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低运营成本。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：完成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云服务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的申请、维护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：完成云存储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：完成</w:t>
            </w:r>
            <w:proofErr w:type="gramStart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云金融</w:t>
            </w:r>
            <w:proofErr w:type="gramEnd"/>
            <w:r w:rsidRPr="00922DB0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信息安全</w:t>
            </w:r>
          </w:p>
        </w:tc>
      </w:tr>
      <w:tr w:rsidR="00922DB0" w:rsidRPr="00922DB0" w14:paraId="6AD7EA6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71990E1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物联网金融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20BFBD2D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848ED2D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、物联网金融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20FC29F1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76C93B7D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6B7A08EE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7B29F519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物联网的发展，可实现物理世界数字化，实现所有物品的网络化和数字化，金</w:t>
            </w:r>
          </w:p>
          <w:p w14:paraId="64C9C8BB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融信息化的发展，也使金融服务与资金流数字化，数字化的金融与数字化的物品有</w:t>
            </w:r>
          </w:p>
          <w:p w14:paraId="604FC4C7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机集成与整合，可以使物联网中物品的物品属性与价值属性有机融合，实现物联网</w:t>
            </w:r>
          </w:p>
          <w:p w14:paraId="04E1BC06" w14:textId="2C269C8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金融服务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</w:p>
          <w:p w14:paraId="62F6F1DE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36A9BAA0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：完成数据采集点设计（基于终端采集）</w:t>
            </w:r>
          </w:p>
          <w:p w14:paraId="286951F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：完成数据采集项设计</w:t>
            </w:r>
          </w:p>
        </w:tc>
      </w:tr>
      <w:tr w:rsidR="00922DB0" w:rsidRPr="00922DB0" w14:paraId="0F3AC295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E041F8A" w14:textId="41AAF54C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区块链金融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200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560D9D23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0EC55AA3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区块链金融，实质是区块链技术在金融领域的应用。金融业需要信息科技来提升</w:t>
            </w:r>
          </w:p>
          <w:p w14:paraId="6DFA5443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其对实体经济的服务能力，而区块链在其中扮演着举足轻重的角色。市场经济活动中</w:t>
            </w:r>
          </w:p>
          <w:p w14:paraId="3141D6A0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最大的问题是交易双方的信任问题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,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根本原因是信息不对称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,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区块链技术最终解决的正</w:t>
            </w:r>
          </w:p>
          <w:p w14:paraId="610F1CD7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是这种信任机制问题。理论上，在技术识别能力足够的情况下，区块链能让交易双方</w:t>
            </w:r>
          </w:p>
          <w:p w14:paraId="6DBE8624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无须借助任何第三方信用中介即可开展经济活动，完全实现交易双方之间的信息公开</w:t>
            </w:r>
          </w:p>
          <w:p w14:paraId="777AB7CC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共享，从而实现全球低成本的价值转移。区块链作为一种技术创新，具有强大的发展</w:t>
            </w:r>
          </w:p>
          <w:p w14:paraId="61053F4A" w14:textId="77777777" w:rsid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潜能和应用前景，目前已经引起风险投资、金融高科技公司以及金融界的广泛关注。</w:t>
            </w:r>
          </w:p>
          <w:p w14:paraId="5C47929D" w14:textId="39E9FFC0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区块链有可能构建一种全新的金融基础设施，带来一场深刻的新金融革命。</w:t>
            </w:r>
          </w:p>
          <w:p w14:paraId="40D06BA0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</w:p>
          <w:p w14:paraId="16BDA3C2" w14:textId="14196480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链设计子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模块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 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                                       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043FF9A9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：完成联盟链搭建</w:t>
            </w:r>
          </w:p>
          <w:p w14:paraId="25597401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：完成智能合约设计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</w:p>
          <w:p w14:paraId="73C41943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链应用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子模块</w:t>
            </w:r>
          </w:p>
          <w:p w14:paraId="450A0372" w14:textId="053A6672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：完成供应链金融（信用结算、保理业务）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 w:rsidRPr="008166BD">
              <w:rPr>
                <w:rFonts w:ascii="Verdana" w:eastAsia="宋体" w:hAnsi="Verdana" w:cs="宋体" w:hint="eastAsia"/>
                <w:color w:val="FF0000"/>
                <w:kern w:val="0"/>
                <w:sz w:val="18"/>
                <w:szCs w:val="18"/>
              </w:rPr>
              <w:t>3</w:t>
            </w:r>
            <w:r w:rsidR="008166BD"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2C32F9AB" w14:textId="7C300D0C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：完成跨境金融业务（支付与结算、融资）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 w:rsidRPr="008166BD">
              <w:rPr>
                <w:rFonts w:ascii="Verdana" w:eastAsia="宋体" w:hAnsi="Verdana" w:cs="宋体" w:hint="eastAsia"/>
                <w:color w:val="FF0000"/>
                <w:kern w:val="0"/>
                <w:sz w:val="18"/>
                <w:szCs w:val="18"/>
              </w:rPr>
              <w:t>3</w:t>
            </w:r>
            <w:r w:rsidR="008166BD"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3AA0D303" w14:textId="4639AFE3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：资产证券化（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ABS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）业务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                  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 w:rsidRPr="008166BD">
              <w:rPr>
                <w:rFonts w:ascii="Verdana" w:eastAsia="宋体" w:hAnsi="Verdana" w:cs="宋体" w:hint="eastAsia"/>
                <w:color w:val="FF0000"/>
                <w:kern w:val="0"/>
                <w:sz w:val="18"/>
                <w:szCs w:val="18"/>
              </w:rPr>
              <w:t>3</w:t>
            </w:r>
            <w:r w:rsidR="008166BD"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46CBF547" w14:textId="0AFEED3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：完成航空延误险、意外险</w:t>
            </w:r>
            <w:r w:rsidR="008166BD">
              <w:rPr>
                <w:rFonts w:ascii="Arial" w:eastAsia="宋体" w:hAnsi="Arial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166BD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              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 w:rsidRPr="008166BD">
              <w:rPr>
                <w:rFonts w:ascii="Verdana" w:eastAsia="宋体" w:hAnsi="Verdana" w:cs="宋体" w:hint="eastAsia"/>
                <w:color w:val="FF0000"/>
                <w:kern w:val="0"/>
                <w:sz w:val="18"/>
                <w:szCs w:val="18"/>
              </w:rPr>
              <w:t>2</w:t>
            </w:r>
            <w:r w:rsidR="008166BD"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198D80CF" w14:textId="4ED9C95B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5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：数字存证（司法存证、司法确权）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       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64933AC5" w14:textId="1D6FAB4D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6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：区块链审计</w:t>
            </w:r>
            <w:r w:rsidR="008166BD">
              <w:rPr>
                <w:rFonts w:ascii="Arial" w:eastAsia="宋体" w:hAnsi="Arial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166BD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7F4292E5" w14:textId="0BF67DF4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7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：区块链电子发票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                            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2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380A5AA5" w14:textId="43E53801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8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：农业供应链（农产品溯源）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</w:t>
            </w:r>
            <w:r w:rsidR="008166BD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="008166BD" w:rsidRPr="008166BD">
              <w:rPr>
                <w:rFonts w:ascii="Verdana" w:eastAsia="宋体" w:hAnsi="Verdana" w:cs="宋体" w:hint="eastAsia"/>
                <w:color w:val="FF0000"/>
                <w:kern w:val="0"/>
                <w:sz w:val="18"/>
                <w:szCs w:val="18"/>
              </w:rPr>
              <w:t>3</w:t>
            </w:r>
            <w:r w:rsidR="008166BD"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0</w:t>
            </w:r>
            <w:r w:rsidR="008166BD"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  <w:p w14:paraId="004444BC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br/>
            </w:r>
          </w:p>
        </w:tc>
      </w:tr>
      <w:tr w:rsidR="00922DB0" w:rsidRPr="00922DB0" w14:paraId="5FCC6FB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18B15B4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银行业金融科技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05AF8CC3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0E754DE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34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、个人及企业消费贷款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383075BA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3AB7CC96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21443482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3621353D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随着金融科技的快速兴起，依托互联网思维的推动和科技实力的不断增强，商业银行从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Bank1.0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逐步发展到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Bank4.0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，实现从物理网点、电子银行到互联网银行再到开放银行的跨越式发展。</w:t>
            </w:r>
          </w:p>
          <w:p w14:paraId="330448BE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466763DC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：完成自然人信用管理（信用数据采集和报告查询）</w:t>
            </w:r>
          </w:p>
          <w:p w14:paraId="076EC9AA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：企业信用管理（信用数据采集和报告查询）</w:t>
            </w:r>
          </w:p>
          <w:p w14:paraId="403B30F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：面向个人消费金融业务</w:t>
            </w:r>
          </w:p>
          <w:p w14:paraId="39D21BAB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：面向小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微企业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借贷业务</w:t>
            </w:r>
          </w:p>
          <w:p w14:paraId="4C7C41D7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5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：大数据风控</w:t>
            </w:r>
          </w:p>
          <w:p w14:paraId="55F6C353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6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：贷前管理（信贷审批）</w:t>
            </w:r>
          </w:p>
          <w:p w14:paraId="76B02868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7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：贷中管理</w:t>
            </w:r>
          </w:p>
          <w:p w14:paraId="5F0B1524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8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：贷后管理</w:t>
            </w:r>
          </w:p>
          <w:p w14:paraId="4736ED8E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9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：客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服服务</w:t>
            </w:r>
            <w:proofErr w:type="gramEnd"/>
          </w:p>
        </w:tc>
      </w:tr>
      <w:tr w:rsidR="00922DB0" w:rsidRPr="00922DB0" w14:paraId="3D93E740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9A30216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证券</w:t>
            </w:r>
            <w:proofErr w:type="gramStart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业金融</w:t>
            </w:r>
            <w:proofErr w:type="gramEnd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29557F4A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E1B533F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35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、证券</w:t>
            </w:r>
            <w:proofErr w:type="gramStart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业金融</w:t>
            </w:r>
            <w:proofErr w:type="gramEnd"/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150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5270081F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500106D5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0E94EE7E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2EF478EF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未来证券行业将逐步拓展金融科技的应用场景，从过去的营销、服务等非核心环节，进一步扩展到行业的核心业务，如投资分析、风控、决策等。比如，利用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智能投顾替代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现有的人工投顾、智能投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替代传统分析师、计算机程序用于进行风险控制和投资决策、云平台替代现有技术系统设施等。</w:t>
            </w:r>
          </w:p>
          <w:p w14:paraId="73D0435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随着金融科技的发展和标准化程度的提高，证券产品的创新速度正逐步加快，发展重点从过去的技术突破逐步变为应用场景的选择和融合。一旦发现与技术契合度高的证券业务场景，就可以以最快的速度进行产品开发和推广，比如通过网络进行客户引流和精准推送，通过数据挖掘对客户需求进行深层次挖掘，通过云平台将基础设施和服务渠道、客户需求等进行整合重组，最终实现精准、高效、优质、低价的为客户提供证券产品和服务。</w:t>
            </w:r>
          </w:p>
          <w:p w14:paraId="17B42445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74E01F70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：开展智能投顾（包括精准选择客户、设计金融服务方案、构建投资组合、投资组合调仓、定期出具投资业绩报告等）</w:t>
            </w:r>
          </w:p>
          <w:p w14:paraId="55230A9D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：开展智能投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（包括整合市场信息、分析市场投资情绪、输出投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报告等）</w:t>
            </w:r>
          </w:p>
          <w:p w14:paraId="3C5B1DD9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：开展程序化交易（包括制定交易策略、财务分析、条件选股、历史数据回测、参数优化、模拟应用检验、跟踪监测等）</w:t>
            </w:r>
          </w:p>
        </w:tc>
      </w:tr>
      <w:tr w:rsidR="00922DB0" w:rsidRPr="00922DB0" w14:paraId="37DD8DA2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4BBE8C5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保险业金融科技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176E7B25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98F3EF1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36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、保险业金融科技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63836BA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0476FAE2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5A962B34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43C66878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ind w:firstLine="420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随着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保险科技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的深入发展，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保险科技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的应用逐渐扩展到保险业务的各个环节，包括产品、营销、承保、理赔、运营等。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保险科技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应用于保险业务全流程，能在很大程度上解决保险公司面临的痛点，为保险行业的健康发展带来机遇。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保险科技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的价值在于帮助企业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提升风控能力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和效率以及改善用户体验，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保险科技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将成为保险企业未来的核心竞争力。</w:t>
            </w:r>
          </w:p>
          <w:p w14:paraId="2DA2AC45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54B7A363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：开展产品差异化设计</w:t>
            </w:r>
          </w:p>
          <w:p w14:paraId="24040261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：精准定价（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UBI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车险等）</w:t>
            </w:r>
          </w:p>
          <w:p w14:paraId="48DC0EEA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：精准营销（包括识别潜在客户、</w:t>
            </w:r>
            <w:proofErr w:type="gramStart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触达客户</w:t>
            </w:r>
            <w:proofErr w:type="gramEnd"/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、达成销售）</w:t>
            </w:r>
          </w:p>
          <w:p w14:paraId="3D351261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：自动化核保</w:t>
            </w:r>
          </w:p>
          <w:p w14:paraId="380EF83E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5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：反欺诈识别</w:t>
            </w:r>
          </w:p>
          <w:p w14:paraId="315636AB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6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：自动化理赔</w:t>
            </w:r>
          </w:p>
          <w:p w14:paraId="537C1749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7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：客户服务</w:t>
            </w:r>
          </w:p>
        </w:tc>
      </w:tr>
      <w:tr w:rsidR="00922DB0" w:rsidRPr="00922DB0" w14:paraId="2FB9272D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F12CFC3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7"/>
                <w:szCs w:val="27"/>
              </w:rPr>
              <w:t>监管科技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（总分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22DB0" w:rsidRPr="00922DB0" w14:paraId="19D4EDBE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D20AE8B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37</w:t>
            </w: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24"/>
                <w:szCs w:val="24"/>
              </w:rPr>
              <w:t>、监管科技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  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（共</w:t>
            </w:r>
            <w:r w:rsidRPr="00922DB0">
              <w:rPr>
                <w:rFonts w:ascii="Verdana" w:eastAsia="宋体" w:hAnsi="Verdana" w:cs="宋体"/>
                <w:color w:val="FF0000"/>
                <w:kern w:val="0"/>
                <w:sz w:val="18"/>
                <w:szCs w:val="18"/>
              </w:rPr>
              <w:t>100</w:t>
            </w:r>
            <w:r w:rsidRPr="00922DB0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</w:tr>
      <w:tr w:rsidR="00922DB0" w:rsidRPr="00922DB0" w14:paraId="64428B7B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14:paraId="18B148CC" w14:textId="77777777" w:rsidR="00922DB0" w:rsidRPr="00922DB0" w:rsidRDefault="00922DB0" w:rsidP="00922DB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Verdana" w:eastAsia="宋体" w:hAnsi="Verdana" w:cs="宋体"/>
                <w:b/>
                <w:bCs/>
                <w:color w:val="000000"/>
                <w:kern w:val="0"/>
                <w:sz w:val="18"/>
                <w:szCs w:val="18"/>
              </w:rPr>
              <w:t>任务说明：</w:t>
            </w:r>
          </w:p>
        </w:tc>
      </w:tr>
      <w:tr w:rsidR="00922DB0" w:rsidRPr="00922DB0" w14:paraId="61A2F907" w14:textId="77777777" w:rsidTr="00922DB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900" w:type="dxa"/>
              <w:bottom w:w="15" w:type="dxa"/>
              <w:right w:w="15" w:type="dxa"/>
            </w:tcMar>
            <w:vAlign w:val="center"/>
            <w:hideMark/>
          </w:tcPr>
          <w:p w14:paraId="67EDD190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近年来，大数据、云计算、区块链、人工智能等数字技术对金融业的改变正在从渠道、商业模式等表层业务渗透到金融发展的核心技术层，极大提高了金融服务的质量和效率，有效推进了普惠金融发展的广度和深度。然而，金融科技的落脚点终究是金融，并没有改变传统金融的本质，在为融投资市场带来高效、便捷、普惠的同时也隐含了科技风险，积聚了金融风险与科技风险带来的叠加效应。要保障金融科技的健康发展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,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就要分析甄别金融科技风险产生的原因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,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把握好发展与安全的平衡。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br/>
            </w:r>
          </w:p>
          <w:p w14:paraId="298D600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      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请按照业务场景要求完成如下操作：</w:t>
            </w:r>
          </w:p>
          <w:p w14:paraId="2FA9906F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：风险识别</w:t>
            </w:r>
          </w:p>
          <w:p w14:paraId="1716CC64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：监管沙盒</w:t>
            </w:r>
          </w:p>
          <w:p w14:paraId="60ABD88A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：非现场审计</w:t>
            </w:r>
          </w:p>
          <w:p w14:paraId="3B9F1986" w14:textId="77777777" w:rsidR="00922DB0" w:rsidRPr="00922DB0" w:rsidRDefault="00922DB0" w:rsidP="00922DB0">
            <w:pPr>
              <w:widowControl/>
              <w:spacing w:before="100" w:beforeAutospacing="1" w:after="100" w:afterAutospacing="1"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操作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922DB0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：风险预警</w:t>
            </w:r>
          </w:p>
        </w:tc>
      </w:tr>
    </w:tbl>
    <w:p w14:paraId="2B915822" w14:textId="77777777" w:rsidR="00A074E9" w:rsidRDefault="00A074E9">
      <w:pPr>
        <w:rPr>
          <w:rFonts w:hint="eastAsia"/>
        </w:rPr>
      </w:pPr>
    </w:p>
    <w:sectPr w:rsidR="00A07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505"/>
    <w:rsid w:val="008166BD"/>
    <w:rsid w:val="00922DB0"/>
    <w:rsid w:val="00A074E9"/>
    <w:rsid w:val="00EE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C1B4"/>
  <w15:chartTrackingRefBased/>
  <w15:docId w15:val="{FA3987AA-0332-480E-9BB9-647AAE89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2D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922DB0"/>
    <w:rPr>
      <w:b/>
      <w:bCs/>
    </w:rPr>
  </w:style>
  <w:style w:type="paragraph" w:styleId="a4">
    <w:name w:val="Normal Indent"/>
    <w:basedOn w:val="a"/>
    <w:uiPriority w:val="99"/>
    <w:semiHidden/>
    <w:unhideWhenUsed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922DB0"/>
    <w:pPr>
      <w:widowControl/>
      <w:spacing w:after="120"/>
      <w:ind w:leftChars="200" w:left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7">
    <w:name w:val="正文文本缩进 字符"/>
    <w:basedOn w:val="a0"/>
    <w:link w:val="a6"/>
    <w:uiPriority w:val="99"/>
    <w:semiHidden/>
    <w:rsid w:val="00922DB0"/>
    <w:rPr>
      <w:rFonts w:ascii="宋体" w:eastAsia="宋体" w:hAnsi="宋体" w:cs="宋体"/>
      <w:kern w:val="0"/>
      <w:sz w:val="24"/>
      <w:szCs w:val="24"/>
    </w:rPr>
  </w:style>
  <w:style w:type="paragraph" w:styleId="2">
    <w:name w:val="Body Text First Indent 2"/>
    <w:basedOn w:val="a"/>
    <w:link w:val="20"/>
    <w:uiPriority w:val="99"/>
    <w:semiHidden/>
    <w:unhideWhenUsed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正文文本首行缩进 2 字符"/>
    <w:basedOn w:val="a7"/>
    <w:link w:val="2"/>
    <w:uiPriority w:val="99"/>
    <w:semiHidden/>
    <w:rsid w:val="00922DB0"/>
    <w:rPr>
      <w:rFonts w:ascii="宋体" w:eastAsia="宋体" w:hAnsi="宋体" w:cs="宋体"/>
      <w:kern w:val="0"/>
      <w:sz w:val="24"/>
      <w:szCs w:val="24"/>
    </w:rPr>
  </w:style>
  <w:style w:type="paragraph" w:customStyle="1" w:styleId="paragraph">
    <w:name w:val="paragraph"/>
    <w:basedOn w:val="a"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15"/>
    <w:basedOn w:val="a"/>
    <w:rsid w:val="00922D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922DB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m18927405259@163.com</dc:creator>
  <cp:keywords/>
  <dc:description/>
  <cp:lastModifiedBy>m18927405259@163.com</cp:lastModifiedBy>
  <cp:revision>2</cp:revision>
  <dcterms:created xsi:type="dcterms:W3CDTF">2022-08-19T01:30:00Z</dcterms:created>
  <dcterms:modified xsi:type="dcterms:W3CDTF">2022-08-19T01:44:00Z</dcterms:modified>
</cp:coreProperties>
</file>