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首届世界职业院校技能大赛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碳中和可再生能源工程技术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赛项线上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Hans"/>
        </w:rPr>
        <w:t>竞赛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方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Hans"/>
        </w:rPr>
        <w:t>案</w:t>
      </w:r>
    </w:p>
    <w:p>
      <w:pPr>
        <w:pStyle w:val="4"/>
        <w:rPr>
          <w:rFonts w:hint="eastAsia"/>
          <w:color w:val="auto"/>
          <w:highlight w:val="none"/>
          <w:lang w:eastAsia="zh-Hans"/>
        </w:rPr>
      </w:pPr>
    </w:p>
    <w:p>
      <w:pPr>
        <w:numPr>
          <w:ilvl w:val="-1"/>
          <w:numId w:val="0"/>
        </w:numPr>
        <w:spacing w:line="560" w:lineRule="exact"/>
        <w:ind w:firstLine="0" w:firstLineChars="0"/>
        <w:jc w:val="center"/>
        <w:rPr>
          <w:rFonts w:hint="eastAsia" w:asci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eastAsia="黑体"/>
          <w:color w:val="auto"/>
          <w:sz w:val="32"/>
          <w:szCs w:val="32"/>
          <w:highlight w:val="none"/>
          <w:lang w:val="en-US" w:eastAsia="zh-CN"/>
        </w:rPr>
        <w:t xml:space="preserve">第一部分 </w:t>
      </w:r>
      <w:r>
        <w:rPr>
          <w:rFonts w:hint="eastAsia" w:ascii="黑体" w:eastAsia="黑体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黑体" w:eastAsia="黑体"/>
          <w:color w:val="auto"/>
          <w:sz w:val="32"/>
          <w:szCs w:val="32"/>
          <w:highlight w:val="none"/>
          <w:lang w:val="en-US" w:eastAsia="zh-CN"/>
        </w:rPr>
        <w:t>竞赛</w:t>
      </w:r>
      <w:r>
        <w:rPr>
          <w:rFonts w:hint="eastAsia" w:ascii="黑体" w:eastAsia="黑体"/>
          <w:color w:val="auto"/>
          <w:sz w:val="32"/>
          <w:szCs w:val="32"/>
          <w:highlight w:val="none"/>
        </w:rPr>
        <w:t>总体要求</w:t>
      </w:r>
      <w:bookmarkStart w:id="0" w:name="pindex14"/>
      <w:bookmarkEnd w:id="0"/>
    </w:p>
    <w:p>
      <w:pPr>
        <w:numPr>
          <w:ilvl w:val="-1"/>
          <w:numId w:val="0"/>
        </w:numPr>
        <w:spacing w:line="560" w:lineRule="exact"/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一、线上竞赛主要目标</w:t>
      </w:r>
      <w:bookmarkStart w:id="1" w:name="pindex16"/>
      <w:bookmarkEnd w:id="1"/>
    </w:p>
    <w:p>
      <w:pPr>
        <w:numPr>
          <w:ilvl w:val="-1"/>
          <w:numId w:val="0"/>
        </w:numPr>
        <w:ind w:left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大赛旨在汇聚国内、外职业技术教育领域的标准、技术、装备、师生，坚持促进中国职业教育走出去服务国际产能合作，构建国际职业院校师生增进友谊、技能切磋、展示风采的重要平台，推进未来世界技能共同体。通过技能比赛、展示、体验与交流于一体的形式，分享国际职业技术教育最佳实践经验，提升我国职业技术教育在世界职业技术教育领域的影响力，推动我国职业技术教育与世界接轨。</w:t>
      </w:r>
    </w:p>
    <w:p>
      <w:pPr>
        <w:numPr>
          <w:ilvl w:val="-1"/>
          <w:numId w:val="0"/>
        </w:numPr>
        <w:ind w:left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当前全球多个国家和地区都提出了“碳中和”的气候目标，世界各国越来越迫切地寻求可再生能源以替代不可再生能源。本赛项基于“碳中和”的时代背景，立足于可再生能源广泛的产业需求与创新发展趋势，针对可再生能源形式的不同特点，结合行业最新的技术和标准，通过对可再生能源系统的安装、运行与调试、维护与故障排除等实践操作，检验选手对可再生能源的行业标准及规范的掌握情况、系统的安装部署能力、编程调试能力、维护测试能力、电气设计等综合职业能力。</w:t>
      </w:r>
    </w:p>
    <w:p>
      <w:pPr>
        <w:numPr>
          <w:ilvl w:val="-1"/>
          <w:numId w:val="0"/>
        </w:numPr>
        <w:spacing w:line="560" w:lineRule="exact"/>
        <w:jc w:val="both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二、线上竞赛基本原则</w:t>
      </w:r>
      <w:bookmarkStart w:id="2" w:name="pindex18"/>
      <w:bookmarkEnd w:id="2"/>
    </w:p>
    <w:p>
      <w:pPr>
        <w:numPr>
          <w:ilvl w:val="-1"/>
          <w:numId w:val="0"/>
        </w:numPr>
        <w:spacing w:line="560" w:lineRule="exact"/>
        <w:jc w:val="both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1.国际标准原则</w:t>
      </w:r>
      <w:bookmarkStart w:id="3" w:name="pindex19"/>
      <w:bookmarkEnd w:id="3"/>
    </w:p>
    <w:p>
      <w:pPr>
        <w:numPr>
          <w:ilvl w:val="-1"/>
          <w:numId w:val="0"/>
        </w:numPr>
        <w:spacing w:line="560" w:lineRule="exact"/>
        <w:jc w:val="both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2.公平公正原则</w:t>
      </w:r>
      <w:bookmarkStart w:id="4" w:name="pindex20"/>
      <w:bookmarkEnd w:id="4"/>
    </w:p>
    <w:p>
      <w:pPr>
        <w:numPr>
          <w:ilvl w:val="-1"/>
          <w:numId w:val="0"/>
        </w:numPr>
        <w:spacing w:line="560" w:lineRule="exact"/>
        <w:jc w:val="both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3.协作配合原则</w:t>
      </w:r>
      <w:bookmarkStart w:id="5" w:name="pindex21"/>
      <w:bookmarkEnd w:id="5"/>
    </w:p>
    <w:p>
      <w:pPr>
        <w:numPr>
          <w:ilvl w:val="-1"/>
          <w:numId w:val="0"/>
        </w:numPr>
        <w:spacing w:line="560" w:lineRule="exact"/>
        <w:jc w:val="both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4.科学竞赛原则</w:t>
      </w:r>
      <w:bookmarkStart w:id="6" w:name="pindex22"/>
      <w:bookmarkEnd w:id="6"/>
    </w:p>
    <w:p>
      <w:pPr>
        <w:numPr>
          <w:ilvl w:val="-1"/>
          <w:numId w:val="0"/>
        </w:numPr>
        <w:spacing w:line="560" w:lineRule="exact"/>
        <w:jc w:val="both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5.强化质量原则</w:t>
      </w:r>
      <w:bookmarkStart w:id="7" w:name="pindex23"/>
      <w:bookmarkEnd w:id="7"/>
    </w:p>
    <w:p>
      <w:pPr>
        <w:numPr>
          <w:ilvl w:val="-1"/>
          <w:numId w:val="0"/>
        </w:numPr>
        <w:spacing w:line="560" w:lineRule="exact"/>
        <w:ind w:left="0"/>
        <w:jc w:val="both"/>
        <w:rPr>
          <w:rFonts w:hint="eastAsia" w:ascii="黑体" w:hAnsi="Calibri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6.加强交流原则</w:t>
      </w:r>
      <w:bookmarkStart w:id="8" w:name="pindex24"/>
      <w:bookmarkEnd w:id="8"/>
    </w:p>
    <w:p>
      <w:pPr>
        <w:numPr>
          <w:ilvl w:val="-1"/>
          <w:numId w:val="0"/>
        </w:numPr>
        <w:spacing w:line="560" w:lineRule="exact"/>
        <w:ind w:left="0" w:firstLine="2560" w:firstLineChars="800"/>
        <w:rPr>
          <w:rFonts w:hint="eastAsia" w:ascii="黑体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numPr>
          <w:ilvl w:val="-1"/>
          <w:numId w:val="0"/>
        </w:numPr>
        <w:spacing w:line="560" w:lineRule="exact"/>
        <w:ind w:left="0" w:firstLine="0" w:firstLineChars="0"/>
        <w:jc w:val="center"/>
        <w:rPr>
          <w:rFonts w:hint="eastAsia" w:ascii="黑体" w:hAnsi="Calibri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第二部分  竞赛组织</w:t>
      </w:r>
      <w:r>
        <w:rPr>
          <w:rFonts w:hint="eastAsia" w:ascii="黑体" w:hAnsi="Calibri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实施</w:t>
      </w:r>
      <w:bookmarkStart w:id="9" w:name="pindex34"/>
      <w:bookmarkEnd w:id="9"/>
    </w:p>
    <w:p>
      <w:pPr>
        <w:numPr>
          <w:ilvl w:val="-1"/>
          <w:numId w:val="0"/>
        </w:numPr>
        <w:ind w:left="0" w:leftChars="0" w:firstLine="0" w:firstLineChars="0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三、竞赛形式</w:t>
      </w:r>
      <w:bookmarkStart w:id="10" w:name="pindex36"/>
      <w:bookmarkEnd w:id="10"/>
    </w:p>
    <w:p>
      <w:pPr>
        <w:widowControl/>
        <w:numPr>
          <w:ilvl w:val="-1"/>
          <w:numId w:val="0"/>
        </w:numPr>
        <w:ind w:firstLine="600" w:firstLineChars="200"/>
        <w:jc w:val="left"/>
        <w:rPr>
          <w:rFonts w:hint="default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根据赛项的组队方式和竞赛内容，考虑“线上+线下”“集中+分散相结合”的可能性，确定线上竞赛形式。</w:t>
      </w:r>
    </w:p>
    <w:p>
      <w:pPr>
        <w:numPr>
          <w:ilvl w:val="-1"/>
          <w:numId w:val="0"/>
        </w:numPr>
        <w:ind w:left="0" w:leftChars="0" w:firstLine="0" w:firstLineChars="0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四、</w:t>
      </w:r>
      <w:bookmarkStart w:id="11" w:name="pindex47"/>
      <w:bookmarkEnd w:id="11"/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竞赛内容</w:t>
      </w:r>
    </w:p>
    <w:p>
      <w:pPr>
        <w:numPr>
          <w:ilvl w:val="-1"/>
          <w:numId w:val="0"/>
        </w:numPr>
        <w:ind w:left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bookmarkStart w:id="12" w:name="pindex49"/>
      <w:bookmarkEnd w:id="12"/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竞赛分“工程实践操作”、“工程项目创新”、“工程项目展示”三个模块，每个模块下设多个任务。</w:t>
      </w:r>
    </w:p>
    <w:p>
      <w:pPr>
        <w:numPr>
          <w:ilvl w:val="-1"/>
          <w:numId w:val="0"/>
        </w:numPr>
        <w:ind w:left="0" w:firstLine="0" w:firstLineChars="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由于疫情等因素，考虑到国外参赛组不能现场参加比赛，国外参赛组应紧紧围绕低碳节能、能源综合应用、能源高效利用等要素，并结合三个模块基本要求，允许境外参赛组以录制视频的形式提交参赛作品。</w:t>
      </w:r>
    </w:p>
    <w:p>
      <w:pPr>
        <w:numPr>
          <w:ilvl w:val="-1"/>
          <w:numId w:val="0"/>
        </w:numPr>
        <w:ind w:left="0" w:firstLine="0" w:firstLineChars="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国内参赛组，现场竞赛模块具体内容如下（国外参赛组可借鉴，具体要求见下一部分中“竞赛方式的第4项”）：</w:t>
      </w:r>
    </w:p>
    <w:p>
      <w:pPr>
        <w:numPr>
          <w:ilvl w:val="-1"/>
          <w:numId w:val="0"/>
        </w:numPr>
        <w:ind w:left="0" w:firstLine="0" w:firstLineChars="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（一）“工程实践操作”模块竞赛内容</w:t>
      </w:r>
    </w:p>
    <w:p>
      <w:pPr>
        <w:numPr>
          <w:ilvl w:val="-1"/>
          <w:numId w:val="0"/>
        </w:numPr>
        <w:ind w:left="0" w:firstLine="0" w:firstLineChars="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根据赛场提供的“工程实践操作”任务书规定的操作步骤和具体要求，进行现场实践操作，由现场裁判根据实际操作情况给定成绩。具体任务如下：</w:t>
      </w:r>
    </w:p>
    <w:p>
      <w:pPr>
        <w:numPr>
          <w:ilvl w:val="-1"/>
          <w:numId w:val="0"/>
        </w:numPr>
        <w:ind w:left="0" w:firstLine="0" w:firstLineChars="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任务一：电气图设计——可再生能源工程项目的系统电气图纸设计。</w:t>
      </w:r>
    </w:p>
    <w:p>
      <w:pPr>
        <w:numPr>
          <w:ilvl w:val="-1"/>
          <w:numId w:val="0"/>
        </w:numPr>
        <w:ind w:left="0" w:firstLine="0" w:firstLineChars="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任务二：设备安装与连接——完成设备的安装与连接，依照设备的通电顺序依次操作，并检查设备的工作状态。</w:t>
      </w:r>
    </w:p>
    <w:p>
      <w:pPr>
        <w:numPr>
          <w:ilvl w:val="-1"/>
          <w:numId w:val="0"/>
        </w:numPr>
        <w:ind w:left="0" w:firstLine="0" w:firstLineChars="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任务三：单元模块软硬件设置——根据系统单元模块的参数配置表，正确设置模块的工作参数。</w:t>
      </w:r>
    </w:p>
    <w:p>
      <w:pPr>
        <w:numPr>
          <w:ilvl w:val="-1"/>
          <w:numId w:val="0"/>
        </w:numPr>
        <w:ind w:left="0" w:firstLine="0" w:firstLineChars="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任务四：系统功能调试与故障排除——排除可能的单元模块故障，完成系统功能调试。</w:t>
      </w:r>
    </w:p>
    <w:p>
      <w:pPr>
        <w:numPr>
          <w:ilvl w:val="-1"/>
          <w:numId w:val="0"/>
        </w:numPr>
        <w:ind w:left="0" w:firstLine="0" w:firstLineChars="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（二）“工程项目创新”模块竞赛内容</w:t>
      </w:r>
    </w:p>
    <w:p>
      <w:pPr>
        <w:numPr>
          <w:ilvl w:val="-1"/>
          <w:numId w:val="0"/>
        </w:numPr>
        <w:ind w:left="0" w:firstLine="0" w:firstLineChars="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按照“工程项目创新”任务书中的规定目标，开展应用、创新和问题解决，由现场裁判根据现场操作情况给定成绩。具体任务如下：</w:t>
      </w:r>
    </w:p>
    <w:p>
      <w:pPr>
        <w:numPr>
          <w:ilvl w:val="-1"/>
          <w:numId w:val="0"/>
        </w:numPr>
        <w:ind w:left="0" w:firstLine="0" w:firstLineChars="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任务一：光伏电站、风电场的搭建——根据项目要求和提供的部件，完成能源控制系统与光源跟踪装置、风能装置的系统部件的安装、接线，调试完成光伏/风力发电输出。完成手动、自动光源模拟跟踪系统程序设计与调试。</w:t>
      </w:r>
    </w:p>
    <w:p>
      <w:pPr>
        <w:numPr>
          <w:ilvl w:val="-1"/>
          <w:numId w:val="0"/>
        </w:numPr>
        <w:ind w:left="0" w:firstLine="0" w:firstLineChars="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任务二：能源转换储存控制系统的设计与调试——根据项目要求和提供的部件，完成风光互补发电输出、能源转换与储存系统的设计与调试，完成能稳定工作在光伏最大功率点的程序设计与调试。</w:t>
      </w:r>
    </w:p>
    <w:p>
      <w:pPr>
        <w:numPr>
          <w:ilvl w:val="-1"/>
          <w:numId w:val="0"/>
        </w:numPr>
        <w:ind w:left="0" w:firstLine="0" w:firstLineChars="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任务三：并网逆变控制系统的调试与运行——根据项目要求和提供的部件，完成逆变器的并网输出系统调试，记录电量表相关数据，调整系统参数，改善系统输出电能质量。</w:t>
      </w:r>
    </w:p>
    <w:p>
      <w:pPr>
        <w:numPr>
          <w:ilvl w:val="-1"/>
          <w:numId w:val="0"/>
        </w:numPr>
        <w:ind w:left="0" w:firstLine="0" w:firstLineChars="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任务四：能源监控管理系统的运行优化——根据任务书要求，完成风光互补发电系统、光源控制系统、能源转换储存控制系统和并网逆变控制系统等界面，实时显示运行数据、运行状态等系统相关信息。</w:t>
      </w:r>
    </w:p>
    <w:p>
      <w:pPr>
        <w:numPr>
          <w:ilvl w:val="-1"/>
          <w:numId w:val="0"/>
        </w:numPr>
        <w:ind w:left="0" w:firstLine="0" w:firstLineChars="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（三）“工程项目展示”模块竞赛内容</w:t>
      </w:r>
    </w:p>
    <w:p>
      <w:pPr>
        <w:numPr>
          <w:ilvl w:val="-1"/>
          <w:numId w:val="0"/>
        </w:numPr>
        <w:ind w:left="0" w:firstLine="0" w:firstLineChars="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参赛队对此次大赛做总结性汇报，并阐述对“碳中和”的理解以及关于可再生能源的应用及展望，汇报时长约为5-10分钟，以录屏形式提交资料。</w:t>
      </w:r>
    </w:p>
    <w:p>
      <w:pPr>
        <w:numPr>
          <w:ilvl w:val="-1"/>
          <w:numId w:val="0"/>
        </w:numPr>
        <w:ind w:left="0" w:firstLine="0" w:firstLineChars="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（四）职业素养</w:t>
      </w:r>
    </w:p>
    <w:p>
      <w:pPr>
        <w:numPr>
          <w:ilvl w:val="-1"/>
          <w:numId w:val="0"/>
        </w:numPr>
        <w:ind w:left="0" w:firstLine="0" w:firstLineChars="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考核竞赛队职业素养的养成，在比赛过程中主要体现在如下方面：</w:t>
      </w:r>
    </w:p>
    <w:p>
      <w:pPr>
        <w:numPr>
          <w:ilvl w:val="-1"/>
          <w:numId w:val="0"/>
        </w:numPr>
        <w:ind w:left="0" w:firstLine="0" w:firstLineChars="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（1）各种工具的规范使用；</w:t>
      </w:r>
    </w:p>
    <w:p>
      <w:pPr>
        <w:numPr>
          <w:ilvl w:val="-1"/>
          <w:numId w:val="0"/>
        </w:numPr>
        <w:ind w:left="0" w:firstLine="0" w:firstLineChars="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（2）设备操作的规范性；</w:t>
      </w:r>
    </w:p>
    <w:p>
      <w:pPr>
        <w:numPr>
          <w:ilvl w:val="-1"/>
          <w:numId w:val="0"/>
        </w:numPr>
        <w:ind w:left="0" w:firstLine="0" w:firstLineChars="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（3）安全和文明生产；</w:t>
      </w:r>
    </w:p>
    <w:p>
      <w:pPr>
        <w:numPr>
          <w:ilvl w:val="-1"/>
          <w:numId w:val="0"/>
        </w:numPr>
        <w:ind w:left="0" w:firstLine="0" w:firstLineChars="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（4）团队之间沟通交流和协作能力；</w:t>
      </w:r>
    </w:p>
    <w:p>
      <w:pPr>
        <w:numPr>
          <w:ilvl w:val="-1"/>
          <w:numId w:val="0"/>
        </w:numPr>
        <w:ind w:left="0" w:firstLine="0" w:firstLineChars="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（5）任务的计划性、条理性和应对解决问题的能力。</w:t>
      </w:r>
    </w:p>
    <w:p>
      <w:pPr>
        <w:numPr>
          <w:ilvl w:val="-1"/>
          <w:numId w:val="0"/>
        </w:numPr>
        <w:ind w:left="0" w:firstLine="0" w:firstLineChars="0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五、竞赛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时间</w:t>
      </w:r>
      <w:bookmarkStart w:id="13" w:name="pindex139"/>
      <w:bookmarkEnd w:id="13"/>
    </w:p>
    <w:p>
      <w:pPr>
        <w:numPr>
          <w:ilvl w:val="-1"/>
          <w:numId w:val="0"/>
        </w:numPr>
        <w:ind w:left="0" w:leftChars="0"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请根据赛项规程，制作竞赛时间流程图/表。</w:t>
      </w:r>
    </w:p>
    <w:p>
      <w:pPr>
        <w:numPr>
          <w:ilvl w:val="-1"/>
          <w:numId w:val="0"/>
        </w:numPr>
        <w:ind w:left="0" w:leftChars="0" w:firstLine="600" w:firstLineChars="200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可参照以下模板：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636"/>
        <w:gridCol w:w="2951"/>
        <w:gridCol w:w="1749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8" w:type="dxa"/>
            <w:vAlign w:val="center"/>
          </w:tcPr>
          <w:p>
            <w:pPr>
              <w:pStyle w:val="12"/>
              <w:jc w:val="center"/>
              <w:rPr>
                <w:rFonts w:ascii="仿宋_GB2312"/>
                <w:b/>
                <w:color w:val="auto"/>
                <w:highlight w:val="none"/>
              </w:rPr>
            </w:pPr>
            <w:r>
              <w:rPr>
                <w:rFonts w:hint="eastAsia" w:ascii="仿宋_GB2312"/>
                <w:b/>
                <w:color w:val="auto"/>
                <w:highlight w:val="none"/>
              </w:rPr>
              <w:t>日期</w:t>
            </w:r>
          </w:p>
        </w:tc>
        <w:tc>
          <w:tcPr>
            <w:tcW w:w="1636" w:type="dxa"/>
            <w:vAlign w:val="center"/>
          </w:tcPr>
          <w:p>
            <w:pPr>
              <w:pStyle w:val="12"/>
              <w:jc w:val="center"/>
              <w:rPr>
                <w:rFonts w:ascii="仿宋_GB2312"/>
                <w:b/>
                <w:color w:val="auto"/>
                <w:highlight w:val="none"/>
              </w:rPr>
            </w:pPr>
            <w:r>
              <w:rPr>
                <w:rFonts w:hint="eastAsia" w:ascii="仿宋_GB2312"/>
                <w:b/>
                <w:color w:val="auto"/>
                <w:highlight w:val="none"/>
              </w:rPr>
              <w:t>时间</w:t>
            </w:r>
          </w:p>
        </w:tc>
        <w:tc>
          <w:tcPr>
            <w:tcW w:w="2951" w:type="dxa"/>
            <w:vAlign w:val="center"/>
          </w:tcPr>
          <w:p>
            <w:pPr>
              <w:pStyle w:val="12"/>
              <w:jc w:val="center"/>
              <w:rPr>
                <w:rFonts w:ascii="仿宋_GB2312"/>
                <w:b/>
                <w:color w:val="auto"/>
                <w:highlight w:val="none"/>
              </w:rPr>
            </w:pPr>
            <w:r>
              <w:rPr>
                <w:rFonts w:hint="eastAsia" w:ascii="仿宋_GB2312"/>
                <w:b/>
                <w:color w:val="auto"/>
                <w:highlight w:val="none"/>
              </w:rPr>
              <w:t>事项</w:t>
            </w:r>
          </w:p>
        </w:tc>
        <w:tc>
          <w:tcPr>
            <w:tcW w:w="1749" w:type="dxa"/>
            <w:vAlign w:val="center"/>
          </w:tcPr>
          <w:p>
            <w:pPr>
              <w:pStyle w:val="12"/>
              <w:jc w:val="center"/>
              <w:rPr>
                <w:rFonts w:ascii="仿宋_GB2312"/>
                <w:b/>
                <w:color w:val="auto"/>
                <w:highlight w:val="none"/>
              </w:rPr>
            </w:pPr>
            <w:r>
              <w:rPr>
                <w:rFonts w:hint="eastAsia" w:ascii="仿宋_GB2312"/>
                <w:b/>
                <w:color w:val="auto"/>
                <w:highlight w:val="none"/>
              </w:rPr>
              <w:t>参加人员</w:t>
            </w:r>
          </w:p>
        </w:tc>
        <w:tc>
          <w:tcPr>
            <w:tcW w:w="1278" w:type="dxa"/>
            <w:vAlign w:val="center"/>
          </w:tcPr>
          <w:p>
            <w:pPr>
              <w:pStyle w:val="12"/>
              <w:jc w:val="center"/>
              <w:rPr>
                <w:rFonts w:hint="default" w:ascii="仿宋_GB2312" w:eastAsia="仿宋_GB2312"/>
                <w:b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_GB2312"/>
                <w:b/>
                <w:color w:val="auto"/>
                <w:highlight w:val="none"/>
                <w:lang w:val="en-US"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  <w:r>
              <w:rPr>
                <w:rFonts w:hint="eastAsia" w:ascii="仿宋_GB2312"/>
                <w:color w:val="auto"/>
                <w:highlight w:val="none"/>
              </w:rPr>
              <w:t>竞赛</w:t>
            </w:r>
          </w:p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  <w:r>
              <w:rPr>
                <w:rFonts w:hint="eastAsia" w:ascii="仿宋_GB2312"/>
                <w:color w:val="auto"/>
                <w:highlight w:val="none"/>
              </w:rPr>
              <w:t>前1日</w:t>
            </w:r>
          </w:p>
        </w:tc>
        <w:tc>
          <w:tcPr>
            <w:tcW w:w="1636" w:type="dxa"/>
            <w:vAlign w:val="center"/>
          </w:tcPr>
          <w:p>
            <w:pPr>
              <w:pStyle w:val="12"/>
              <w:jc w:val="left"/>
              <w:rPr>
                <w:rFonts w:hint="default" w:ascii="仿宋_GB2312" w:hAnsi="宋体" w:eastAsia="仿宋_GB2312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9:00-10:00</w:t>
            </w:r>
          </w:p>
        </w:tc>
        <w:tc>
          <w:tcPr>
            <w:tcW w:w="2951" w:type="dxa"/>
            <w:vAlign w:val="center"/>
          </w:tcPr>
          <w:p>
            <w:pPr>
              <w:pStyle w:val="12"/>
              <w:jc w:val="left"/>
              <w:rPr>
                <w:rFonts w:ascii="仿宋_GB2312" w:hAnsi="宋体"/>
                <w:color w:val="auto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</w:rPr>
              <w:t>裁判工作会议</w:t>
            </w:r>
          </w:p>
        </w:tc>
        <w:tc>
          <w:tcPr>
            <w:tcW w:w="1749" w:type="dxa"/>
            <w:vAlign w:val="center"/>
          </w:tcPr>
          <w:p>
            <w:pPr>
              <w:pStyle w:val="12"/>
              <w:jc w:val="left"/>
              <w:rPr>
                <w:rFonts w:ascii="仿宋_GB2312" w:hAnsi="宋体"/>
                <w:color w:val="auto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</w:rPr>
              <w:t>裁判长、裁判员、监督仲裁组</w:t>
            </w:r>
          </w:p>
        </w:tc>
        <w:tc>
          <w:tcPr>
            <w:tcW w:w="1278" w:type="dxa"/>
            <w:vAlign w:val="center"/>
          </w:tcPr>
          <w:p>
            <w:pPr>
              <w:pStyle w:val="12"/>
              <w:jc w:val="left"/>
              <w:rPr>
                <w:rFonts w:ascii="仿宋_GB2312" w:hAnsi="宋体"/>
                <w:color w:val="auto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</w:rPr>
              <w:t>线上线下结合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left"/>
              <w:rPr>
                <w:rFonts w:hint="default" w:ascii="仿宋_GB2312" w:hAnsi="宋体" w:eastAsia="仿宋_GB2312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10:00-11:00</w:t>
            </w:r>
          </w:p>
        </w:tc>
        <w:tc>
          <w:tcPr>
            <w:tcW w:w="2951" w:type="dxa"/>
            <w:vAlign w:val="center"/>
          </w:tcPr>
          <w:p>
            <w:pPr>
              <w:pStyle w:val="12"/>
              <w:jc w:val="left"/>
              <w:rPr>
                <w:rFonts w:ascii="仿宋_GB2312" w:hAnsi="宋体"/>
                <w:color w:val="auto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</w:rPr>
              <w:t>领队会</w:t>
            </w:r>
          </w:p>
        </w:tc>
        <w:tc>
          <w:tcPr>
            <w:tcW w:w="1749" w:type="dxa"/>
            <w:vAlign w:val="center"/>
          </w:tcPr>
          <w:p>
            <w:pPr>
              <w:pStyle w:val="12"/>
              <w:jc w:val="left"/>
              <w:rPr>
                <w:rFonts w:ascii="仿宋_GB2312" w:hAnsi="宋体"/>
                <w:color w:val="auto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</w:rPr>
              <w:t>各参赛队领队、裁判长</w:t>
            </w:r>
          </w:p>
        </w:tc>
        <w:tc>
          <w:tcPr>
            <w:tcW w:w="1278" w:type="dxa"/>
            <w:vAlign w:val="center"/>
          </w:tcPr>
          <w:p>
            <w:pPr>
              <w:pStyle w:val="12"/>
              <w:jc w:val="left"/>
              <w:rPr>
                <w:rFonts w:ascii="仿宋_GB2312" w:hAnsi="宋体"/>
                <w:color w:val="auto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left"/>
              <w:rPr>
                <w:rFonts w:hint="default" w:ascii="仿宋_GB2312" w:hAnsi="宋体" w:eastAsia="仿宋_GB2312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13:00-15:00</w:t>
            </w:r>
          </w:p>
        </w:tc>
        <w:tc>
          <w:tcPr>
            <w:tcW w:w="2951" w:type="dxa"/>
            <w:vAlign w:val="center"/>
          </w:tcPr>
          <w:p>
            <w:pPr>
              <w:pStyle w:val="12"/>
              <w:jc w:val="left"/>
              <w:rPr>
                <w:rFonts w:ascii="仿宋_GB2312" w:hAnsi="宋体"/>
                <w:color w:val="auto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</w:rPr>
              <w:t>赛场环境确认</w:t>
            </w:r>
          </w:p>
        </w:tc>
        <w:tc>
          <w:tcPr>
            <w:tcW w:w="1749" w:type="dxa"/>
            <w:vAlign w:val="center"/>
          </w:tcPr>
          <w:p>
            <w:pPr>
              <w:pStyle w:val="12"/>
              <w:jc w:val="left"/>
              <w:rPr>
                <w:rFonts w:ascii="仿宋_GB2312" w:hAnsi="宋体"/>
                <w:color w:val="auto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</w:rPr>
              <w:t>各参赛队领队、现场裁判、监督仲裁组</w:t>
            </w:r>
          </w:p>
        </w:tc>
        <w:tc>
          <w:tcPr>
            <w:tcW w:w="1278" w:type="dxa"/>
            <w:vAlign w:val="center"/>
          </w:tcPr>
          <w:p>
            <w:pPr>
              <w:pStyle w:val="12"/>
              <w:jc w:val="left"/>
              <w:rPr>
                <w:rFonts w:ascii="仿宋_GB2312" w:hAnsi="宋体"/>
                <w:color w:val="auto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</w:rPr>
              <w:t>线上线下结合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left"/>
              <w:rPr>
                <w:rFonts w:hint="default" w:ascii="仿宋_GB2312" w:hAnsi="宋体" w:eastAsia="仿宋_GB2312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15:00-17:00</w:t>
            </w:r>
          </w:p>
        </w:tc>
        <w:tc>
          <w:tcPr>
            <w:tcW w:w="2951" w:type="dxa"/>
            <w:vAlign w:val="center"/>
          </w:tcPr>
          <w:p>
            <w:pPr>
              <w:pStyle w:val="12"/>
              <w:jc w:val="left"/>
              <w:rPr>
                <w:rFonts w:ascii="仿宋_GB2312" w:hAnsi="宋体"/>
                <w:color w:val="auto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</w:rPr>
              <w:t>检查封闭赛场</w:t>
            </w:r>
          </w:p>
        </w:tc>
        <w:tc>
          <w:tcPr>
            <w:tcW w:w="1749" w:type="dxa"/>
            <w:vAlign w:val="center"/>
          </w:tcPr>
          <w:p>
            <w:pPr>
              <w:pStyle w:val="12"/>
              <w:jc w:val="left"/>
              <w:rPr>
                <w:rFonts w:ascii="仿宋_GB2312" w:hAnsi="宋体"/>
                <w:color w:val="auto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</w:rPr>
              <w:t>裁判长、监督仲裁组</w:t>
            </w:r>
          </w:p>
        </w:tc>
        <w:tc>
          <w:tcPr>
            <w:tcW w:w="1278" w:type="dxa"/>
            <w:vAlign w:val="center"/>
          </w:tcPr>
          <w:p>
            <w:pPr>
              <w:pStyle w:val="12"/>
              <w:jc w:val="left"/>
              <w:rPr>
                <w:rFonts w:ascii="仿宋_GB2312" w:hAnsi="宋体"/>
                <w:color w:val="auto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8" w:type="dxa"/>
            <w:vMerge w:val="restart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  <w:r>
              <w:rPr>
                <w:rFonts w:hint="eastAsia" w:ascii="仿宋_GB2312"/>
                <w:color w:val="auto"/>
                <w:highlight w:val="none"/>
              </w:rPr>
              <w:t>竞赛</w:t>
            </w:r>
          </w:p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  <w:r>
              <w:rPr>
                <w:rFonts w:hint="eastAsia" w:ascii="仿宋_GB2312"/>
                <w:color w:val="auto"/>
                <w:highlight w:val="none"/>
              </w:rPr>
              <w:t>日</w:t>
            </w:r>
          </w:p>
        </w:tc>
        <w:tc>
          <w:tcPr>
            <w:tcW w:w="1636" w:type="dxa"/>
            <w:vAlign w:val="center"/>
          </w:tcPr>
          <w:p>
            <w:pPr>
              <w:pStyle w:val="12"/>
              <w:jc w:val="left"/>
              <w:rPr>
                <w:rFonts w:hint="eastAsia" w:ascii="仿宋_GB2312" w:hAnsi="宋体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仿宋_GB2312" w:hAnsi="宋体"/>
                <w:color w:val="auto"/>
                <w:highlight w:val="none"/>
                <w:shd w:val="clear" w:color="auto" w:fill="FFFFFF"/>
                <w:lang w:val="zh-CN" w:eastAsia="zh-CN"/>
              </w:rPr>
              <w:t>0</w:t>
            </w: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8</w:t>
            </w:r>
            <w:r>
              <w:rPr>
                <w:rFonts w:hint="default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:</w:t>
            </w: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仿宋_GB2312" w:hAnsi="宋体"/>
                <w:color w:val="auto"/>
                <w:highlight w:val="none"/>
                <w:shd w:val="clear" w:color="auto" w:fill="FFFFFF"/>
                <w:lang w:val="zh-CN" w:eastAsia="zh-CN"/>
              </w:rPr>
              <w:t>0-0</w:t>
            </w: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8</w:t>
            </w:r>
            <w:r>
              <w:rPr>
                <w:rFonts w:hint="default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:</w:t>
            </w: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default" w:ascii="仿宋_GB2312" w:hAnsi="宋体"/>
                <w:color w:val="auto"/>
                <w:highlight w:val="none"/>
                <w:shd w:val="clear" w:color="auto" w:fill="FFFFFF"/>
                <w:lang w:val="zh-CN" w:eastAsia="zh-CN"/>
              </w:rPr>
              <w:t>0</w:t>
            </w:r>
          </w:p>
        </w:tc>
        <w:tc>
          <w:tcPr>
            <w:tcW w:w="2951" w:type="dxa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kern w:val="0"/>
                <w:highlight w:val="none"/>
              </w:rPr>
            </w:pPr>
            <w:r>
              <w:rPr>
                <w:rFonts w:hint="eastAsia" w:ascii="仿宋_GB2312"/>
                <w:color w:val="auto"/>
                <w:kern w:val="0"/>
                <w:highlight w:val="none"/>
              </w:rPr>
              <w:t>裁判进入裁判室</w:t>
            </w:r>
          </w:p>
        </w:tc>
        <w:tc>
          <w:tcPr>
            <w:tcW w:w="1749" w:type="dxa"/>
            <w:vAlign w:val="center"/>
          </w:tcPr>
          <w:p>
            <w:pPr>
              <w:pStyle w:val="12"/>
              <w:jc w:val="left"/>
              <w:rPr>
                <w:rFonts w:ascii="仿宋_GB2312"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/>
                <w:bCs/>
                <w:color w:val="auto"/>
                <w:kern w:val="0"/>
                <w:highlight w:val="none"/>
              </w:rPr>
              <w:t>裁判长、现场裁判、</w:t>
            </w: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</w:rPr>
              <w:t>监督仲裁组</w:t>
            </w:r>
          </w:p>
        </w:tc>
        <w:tc>
          <w:tcPr>
            <w:tcW w:w="1278" w:type="dxa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left"/>
              <w:rPr>
                <w:rFonts w:hint="default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宋体"/>
                <w:color w:val="auto"/>
                <w:highlight w:val="none"/>
                <w:shd w:val="clear" w:color="auto" w:fill="FFFFFF"/>
                <w:lang w:val="zh-CN" w:eastAsia="zh-CN"/>
              </w:rPr>
              <w:t>0</w:t>
            </w: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8</w:t>
            </w:r>
            <w:r>
              <w:rPr>
                <w:rFonts w:hint="default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:</w:t>
            </w: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default" w:ascii="仿宋_GB2312" w:hAnsi="宋体"/>
                <w:color w:val="auto"/>
                <w:highlight w:val="none"/>
                <w:shd w:val="clear" w:color="auto" w:fill="FFFFFF"/>
                <w:lang w:val="zh-CN" w:eastAsia="zh-CN"/>
              </w:rPr>
              <w:t>0</w:t>
            </w: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-09:30</w:t>
            </w:r>
          </w:p>
        </w:tc>
        <w:tc>
          <w:tcPr>
            <w:tcW w:w="2951" w:type="dxa"/>
            <w:vAlign w:val="center"/>
          </w:tcPr>
          <w:p>
            <w:pPr>
              <w:pStyle w:val="12"/>
              <w:jc w:val="left"/>
              <w:rPr>
                <w:rFonts w:ascii="仿宋_GB2312"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/>
                <w:bCs/>
                <w:color w:val="auto"/>
                <w:kern w:val="0"/>
                <w:highlight w:val="none"/>
              </w:rPr>
              <w:t>参赛选手检录，</w:t>
            </w:r>
            <w:r>
              <w:rPr>
                <w:rFonts w:hint="eastAsia" w:ascii="仿宋_GB2312"/>
                <w:bCs/>
                <w:color w:val="auto"/>
                <w:kern w:val="0"/>
                <w:highlight w:val="none"/>
              </w:rPr>
              <w:t>加密</w:t>
            </w:r>
            <w:r>
              <w:rPr>
                <w:rFonts w:hint="eastAsia" w:ascii="仿宋_GB2312"/>
                <w:bCs/>
                <w:color w:val="auto"/>
                <w:kern w:val="0"/>
                <w:highlight w:val="none"/>
              </w:rPr>
              <w:t>，赛场环境确认</w:t>
            </w:r>
          </w:p>
        </w:tc>
        <w:tc>
          <w:tcPr>
            <w:tcW w:w="1749" w:type="dxa"/>
            <w:vAlign w:val="center"/>
          </w:tcPr>
          <w:p>
            <w:pPr>
              <w:pStyle w:val="12"/>
              <w:jc w:val="left"/>
              <w:rPr>
                <w:rFonts w:ascii="仿宋_GB2312"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/>
                <w:bCs/>
                <w:color w:val="auto"/>
                <w:kern w:val="0"/>
                <w:highlight w:val="none"/>
              </w:rPr>
              <w:t>参赛选手、加密裁判、保障组</w:t>
            </w:r>
          </w:p>
        </w:tc>
        <w:tc>
          <w:tcPr>
            <w:tcW w:w="1278" w:type="dxa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</w:rPr>
              <w:t>线上线下结合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left"/>
              <w:rPr>
                <w:rFonts w:hint="default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09:30-09:40</w:t>
            </w:r>
          </w:p>
        </w:tc>
        <w:tc>
          <w:tcPr>
            <w:tcW w:w="2951" w:type="dxa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kern w:val="0"/>
                <w:highlight w:val="none"/>
              </w:rPr>
            </w:pPr>
            <w:r>
              <w:rPr>
                <w:rFonts w:hint="eastAsia" w:ascii="仿宋_GB2312"/>
                <w:color w:val="auto"/>
                <w:kern w:val="0"/>
                <w:highlight w:val="none"/>
              </w:rPr>
              <w:t>宣读第一阶段竞赛须知</w:t>
            </w:r>
          </w:p>
        </w:tc>
        <w:tc>
          <w:tcPr>
            <w:tcW w:w="1749" w:type="dxa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  <w:r>
              <w:rPr>
                <w:rFonts w:hint="eastAsia" w:ascii="仿宋_GB2312"/>
                <w:bCs/>
                <w:color w:val="auto"/>
                <w:kern w:val="0"/>
                <w:highlight w:val="none"/>
              </w:rPr>
              <w:t>参赛选手、裁判长</w:t>
            </w:r>
          </w:p>
        </w:tc>
        <w:tc>
          <w:tcPr>
            <w:tcW w:w="1278" w:type="dxa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left"/>
              <w:rPr>
                <w:rFonts w:hint="default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09:40-10:00</w:t>
            </w:r>
          </w:p>
        </w:tc>
        <w:tc>
          <w:tcPr>
            <w:tcW w:w="2951" w:type="dxa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kern w:val="0"/>
                <w:highlight w:val="none"/>
              </w:rPr>
            </w:pPr>
            <w:r>
              <w:rPr>
                <w:rFonts w:hint="eastAsia" w:ascii="仿宋_GB2312"/>
                <w:color w:val="auto"/>
                <w:kern w:val="0"/>
                <w:highlight w:val="none"/>
              </w:rPr>
              <w:t>第一阶段赛题发放时间</w:t>
            </w:r>
          </w:p>
        </w:tc>
        <w:tc>
          <w:tcPr>
            <w:tcW w:w="1749" w:type="dxa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  <w:r>
              <w:rPr>
                <w:rFonts w:hint="eastAsia" w:ascii="仿宋_GB2312"/>
                <w:bCs/>
                <w:color w:val="auto"/>
                <w:kern w:val="0"/>
                <w:highlight w:val="none"/>
              </w:rPr>
              <w:t>参赛选手、现场裁判</w:t>
            </w:r>
          </w:p>
        </w:tc>
        <w:tc>
          <w:tcPr>
            <w:tcW w:w="1278" w:type="dxa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left"/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10</w:t>
            </w:r>
            <w:r>
              <w:rPr>
                <w:rFonts w:hint="default" w:ascii="仿宋_GB2312" w:hAnsi="宋体"/>
                <w:color w:val="auto"/>
                <w:highlight w:val="none"/>
                <w:shd w:val="clear" w:color="auto" w:fill="FFFFFF"/>
                <w:lang w:val="zh-CN" w:eastAsia="zh-CN"/>
              </w:rPr>
              <w:t>:00-</w:t>
            </w: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11</w:t>
            </w:r>
            <w:r>
              <w:rPr>
                <w:rFonts w:hint="default" w:ascii="仿宋_GB2312" w:hAnsi="宋体"/>
                <w:color w:val="auto"/>
                <w:highlight w:val="none"/>
                <w:shd w:val="clear" w:color="auto" w:fill="FFFFFF"/>
                <w:lang w:val="zh-CN" w:eastAsia="zh-CN"/>
              </w:rPr>
              <w:t>:30</w:t>
            </w:r>
          </w:p>
        </w:tc>
        <w:tc>
          <w:tcPr>
            <w:tcW w:w="2951" w:type="dxa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kern w:val="0"/>
                <w:highlight w:val="none"/>
              </w:rPr>
            </w:pPr>
            <w:r>
              <w:rPr>
                <w:rFonts w:hint="eastAsia" w:ascii="仿宋_GB2312"/>
                <w:color w:val="auto"/>
                <w:kern w:val="0"/>
                <w:highlight w:val="none"/>
              </w:rPr>
              <w:t>第一阶段</w:t>
            </w:r>
            <w:r>
              <w:rPr>
                <w:rFonts w:hint="eastAsia" w:ascii="仿宋_GB2312"/>
                <w:color w:val="auto"/>
                <w:kern w:val="0"/>
                <w:highlight w:val="none"/>
                <w:lang w:eastAsia="zh-CN"/>
              </w:rPr>
              <w:t>竞赛</w:t>
            </w:r>
            <w:r>
              <w:rPr>
                <w:rFonts w:hint="eastAsia" w:ascii="仿宋_GB2312"/>
                <w:color w:val="auto"/>
                <w:kern w:val="0"/>
                <w:highlight w:val="none"/>
              </w:rPr>
              <w:t>时间</w:t>
            </w:r>
          </w:p>
        </w:tc>
        <w:tc>
          <w:tcPr>
            <w:tcW w:w="1749" w:type="dxa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  <w:r>
              <w:rPr>
                <w:rFonts w:hint="eastAsia" w:ascii="仿宋_GB2312"/>
                <w:bCs/>
                <w:color w:val="auto"/>
                <w:kern w:val="0"/>
                <w:highlight w:val="none"/>
              </w:rPr>
              <w:t>参赛选手、现场裁判</w:t>
            </w:r>
          </w:p>
        </w:tc>
        <w:tc>
          <w:tcPr>
            <w:tcW w:w="1278" w:type="dxa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left"/>
              <w:rPr>
                <w:rFonts w:hint="default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11:30-12:30</w:t>
            </w:r>
          </w:p>
        </w:tc>
        <w:tc>
          <w:tcPr>
            <w:tcW w:w="2951" w:type="dxa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kern w:val="0"/>
                <w:highlight w:val="none"/>
              </w:rPr>
            </w:pPr>
            <w:r>
              <w:rPr>
                <w:rFonts w:hint="eastAsia" w:ascii="仿宋_GB2312"/>
                <w:color w:val="auto"/>
                <w:kern w:val="0"/>
                <w:highlight w:val="none"/>
              </w:rPr>
              <w:t>第一阶段结果提交时间；</w:t>
            </w:r>
          </w:p>
          <w:p>
            <w:pPr>
              <w:pStyle w:val="12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仿宋_GB2312"/>
                <w:color w:val="auto"/>
                <w:kern w:val="0"/>
                <w:highlight w:val="none"/>
              </w:rPr>
              <w:t>上传录屏文件</w:t>
            </w:r>
          </w:p>
        </w:tc>
        <w:tc>
          <w:tcPr>
            <w:tcW w:w="1749" w:type="dxa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  <w:r>
              <w:rPr>
                <w:rFonts w:hint="eastAsia" w:ascii="仿宋_GB2312"/>
                <w:bCs/>
                <w:color w:val="auto"/>
                <w:kern w:val="0"/>
                <w:highlight w:val="none"/>
              </w:rPr>
              <w:t>参赛选手、现场裁判</w:t>
            </w:r>
          </w:p>
        </w:tc>
        <w:tc>
          <w:tcPr>
            <w:tcW w:w="1278" w:type="dxa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</w:rPr>
              <w:t>线上线下结合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left"/>
              <w:rPr>
                <w:rFonts w:hint="default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12：30-14:00</w:t>
            </w:r>
          </w:p>
        </w:tc>
        <w:tc>
          <w:tcPr>
            <w:tcW w:w="5978" w:type="dxa"/>
            <w:gridSpan w:val="3"/>
            <w:vAlign w:val="center"/>
          </w:tcPr>
          <w:p>
            <w:pPr>
              <w:pStyle w:val="12"/>
              <w:jc w:val="center"/>
              <w:rPr>
                <w:rFonts w:hint="default" w:ascii="仿宋_GB2312" w:hAnsi="宋体" w:eastAsia="仿宋_GB2312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午餐，休息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</w:p>
        </w:tc>
        <w:tc>
          <w:tcPr>
            <w:tcW w:w="1636" w:type="dxa"/>
            <w:shd w:val="clear" w:color="auto" w:fill="FFC000"/>
            <w:vAlign w:val="center"/>
          </w:tcPr>
          <w:p>
            <w:pPr>
              <w:pStyle w:val="12"/>
              <w:jc w:val="left"/>
              <w:rPr>
                <w:rFonts w:hint="default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14:00-14:30</w:t>
            </w:r>
          </w:p>
        </w:tc>
        <w:tc>
          <w:tcPr>
            <w:tcW w:w="5978" w:type="dxa"/>
            <w:gridSpan w:val="3"/>
            <w:shd w:val="clear" w:color="auto" w:fill="FFC000"/>
            <w:vAlign w:val="center"/>
          </w:tcPr>
          <w:p>
            <w:pPr>
              <w:pStyle w:val="12"/>
              <w:jc w:val="center"/>
              <w:rPr>
                <w:rFonts w:hint="default" w:ascii="仿宋_GB2312" w:hAnsi="宋体" w:eastAsia="仿宋_GB2312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检录，加密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left"/>
              <w:rPr>
                <w:rFonts w:hint="default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14:30-14:40</w:t>
            </w:r>
          </w:p>
        </w:tc>
        <w:tc>
          <w:tcPr>
            <w:tcW w:w="2951" w:type="dxa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kern w:val="0"/>
                <w:highlight w:val="none"/>
              </w:rPr>
            </w:pPr>
            <w:r>
              <w:rPr>
                <w:rFonts w:hint="eastAsia" w:ascii="仿宋_GB2312"/>
                <w:color w:val="auto"/>
                <w:kern w:val="0"/>
                <w:highlight w:val="none"/>
              </w:rPr>
              <w:t>宣读第二阶段竞赛须知</w:t>
            </w:r>
          </w:p>
        </w:tc>
        <w:tc>
          <w:tcPr>
            <w:tcW w:w="1749" w:type="dxa"/>
            <w:vAlign w:val="center"/>
          </w:tcPr>
          <w:p>
            <w:pPr>
              <w:pStyle w:val="12"/>
              <w:jc w:val="left"/>
              <w:rPr>
                <w:rFonts w:ascii="仿宋_GB2312"/>
                <w:bCs/>
                <w:color w:val="auto"/>
                <w:kern w:val="0"/>
                <w:highlight w:val="none"/>
              </w:rPr>
            </w:pPr>
            <w:r>
              <w:rPr>
                <w:rFonts w:hint="eastAsia" w:ascii="仿宋_GB2312"/>
                <w:bCs/>
                <w:color w:val="auto"/>
                <w:kern w:val="0"/>
                <w:highlight w:val="none"/>
              </w:rPr>
              <w:t>参赛选手、现场裁判</w:t>
            </w:r>
          </w:p>
        </w:tc>
        <w:tc>
          <w:tcPr>
            <w:tcW w:w="1278" w:type="dxa"/>
            <w:vAlign w:val="center"/>
          </w:tcPr>
          <w:p>
            <w:pPr>
              <w:pStyle w:val="12"/>
              <w:jc w:val="left"/>
              <w:rPr>
                <w:rFonts w:ascii="仿宋_GB2312" w:hAnsi="宋体"/>
                <w:color w:val="auto"/>
                <w:highlight w:val="none"/>
                <w:shd w:val="clear" w:color="auto" w:fill="FFFFFF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left"/>
              <w:rPr>
                <w:rFonts w:hint="default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14:40-15:00</w:t>
            </w:r>
          </w:p>
        </w:tc>
        <w:tc>
          <w:tcPr>
            <w:tcW w:w="2951" w:type="dxa"/>
            <w:vAlign w:val="center"/>
          </w:tcPr>
          <w:p>
            <w:pPr>
              <w:pStyle w:val="12"/>
              <w:jc w:val="left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kern w:val="0"/>
                <w:highlight w:val="none"/>
              </w:rPr>
              <w:t>第</w:t>
            </w:r>
            <w:r>
              <w:rPr>
                <w:rFonts w:hint="eastAsia" w:ascii="仿宋_GB2312"/>
                <w:color w:val="auto"/>
                <w:kern w:val="0"/>
                <w:highlight w:val="none"/>
                <w:lang w:eastAsia="zh-CN"/>
              </w:rPr>
              <w:t>二</w:t>
            </w:r>
            <w:r>
              <w:rPr>
                <w:rFonts w:hint="eastAsia" w:ascii="仿宋_GB2312"/>
                <w:color w:val="auto"/>
                <w:kern w:val="0"/>
                <w:highlight w:val="none"/>
              </w:rPr>
              <w:t>阶段赛题发放时间</w:t>
            </w:r>
          </w:p>
        </w:tc>
        <w:tc>
          <w:tcPr>
            <w:tcW w:w="1749" w:type="dxa"/>
            <w:vAlign w:val="center"/>
          </w:tcPr>
          <w:p>
            <w:pPr>
              <w:pStyle w:val="12"/>
              <w:jc w:val="left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/>
                <w:bCs/>
                <w:color w:val="auto"/>
                <w:kern w:val="0"/>
                <w:highlight w:val="none"/>
              </w:rPr>
              <w:t>参赛选手、现场裁判</w:t>
            </w:r>
          </w:p>
        </w:tc>
        <w:tc>
          <w:tcPr>
            <w:tcW w:w="1278" w:type="dxa"/>
            <w:vAlign w:val="center"/>
          </w:tcPr>
          <w:p>
            <w:pPr>
              <w:pStyle w:val="12"/>
              <w:jc w:val="left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left"/>
              <w:rPr>
                <w:rFonts w:hint="default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15:00-17:00</w:t>
            </w:r>
          </w:p>
        </w:tc>
        <w:tc>
          <w:tcPr>
            <w:tcW w:w="2951" w:type="dxa"/>
            <w:vAlign w:val="center"/>
          </w:tcPr>
          <w:p>
            <w:pPr>
              <w:pStyle w:val="12"/>
              <w:jc w:val="left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kern w:val="0"/>
                <w:highlight w:val="none"/>
              </w:rPr>
              <w:t>第</w:t>
            </w:r>
            <w:r>
              <w:rPr>
                <w:rFonts w:hint="eastAsia" w:ascii="仿宋_GB2312"/>
                <w:color w:val="auto"/>
                <w:kern w:val="0"/>
                <w:highlight w:val="none"/>
                <w:lang w:eastAsia="zh-CN"/>
              </w:rPr>
              <w:t>二</w:t>
            </w:r>
            <w:r>
              <w:rPr>
                <w:rFonts w:hint="eastAsia" w:ascii="仿宋_GB2312"/>
                <w:color w:val="auto"/>
                <w:kern w:val="0"/>
                <w:highlight w:val="none"/>
              </w:rPr>
              <w:t>阶段</w:t>
            </w:r>
            <w:r>
              <w:rPr>
                <w:rFonts w:hint="eastAsia" w:ascii="仿宋_GB2312"/>
                <w:color w:val="auto"/>
                <w:kern w:val="0"/>
                <w:highlight w:val="none"/>
                <w:lang w:eastAsia="zh-CN"/>
              </w:rPr>
              <w:t>竞赛</w:t>
            </w:r>
            <w:r>
              <w:rPr>
                <w:rFonts w:hint="eastAsia" w:ascii="仿宋_GB2312"/>
                <w:color w:val="auto"/>
                <w:kern w:val="0"/>
                <w:highlight w:val="none"/>
              </w:rPr>
              <w:t>时间</w:t>
            </w:r>
          </w:p>
        </w:tc>
        <w:tc>
          <w:tcPr>
            <w:tcW w:w="1749" w:type="dxa"/>
            <w:vAlign w:val="center"/>
          </w:tcPr>
          <w:p>
            <w:pPr>
              <w:pStyle w:val="12"/>
              <w:jc w:val="left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/>
                <w:bCs/>
                <w:color w:val="auto"/>
                <w:kern w:val="0"/>
                <w:highlight w:val="none"/>
              </w:rPr>
              <w:t>参赛选手、现场裁判</w:t>
            </w:r>
          </w:p>
        </w:tc>
        <w:tc>
          <w:tcPr>
            <w:tcW w:w="1278" w:type="dxa"/>
            <w:vAlign w:val="center"/>
          </w:tcPr>
          <w:p>
            <w:pPr>
              <w:pStyle w:val="12"/>
              <w:jc w:val="left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left"/>
              <w:rPr>
                <w:rFonts w:hint="eastAsia" w:ascii="仿宋_GB2312" w:hAnsi="宋体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17:00-17:30</w:t>
            </w:r>
          </w:p>
        </w:tc>
        <w:tc>
          <w:tcPr>
            <w:tcW w:w="2951" w:type="dxa"/>
            <w:vAlign w:val="center"/>
          </w:tcPr>
          <w:p>
            <w:pPr>
              <w:pStyle w:val="12"/>
              <w:jc w:val="left"/>
              <w:rPr>
                <w:rFonts w:hint="eastAsia" w:ascii="仿宋_GB2312"/>
                <w:color w:val="auto"/>
                <w:kern w:val="0"/>
                <w:highlight w:val="none"/>
              </w:rPr>
            </w:pPr>
            <w:r>
              <w:rPr>
                <w:rFonts w:hint="eastAsia" w:ascii="仿宋_GB2312"/>
                <w:color w:val="auto"/>
                <w:kern w:val="0"/>
                <w:highlight w:val="none"/>
              </w:rPr>
              <w:t>第</w:t>
            </w:r>
            <w:r>
              <w:rPr>
                <w:rFonts w:hint="eastAsia" w:ascii="仿宋_GB2312"/>
                <w:color w:val="auto"/>
                <w:kern w:val="0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/>
                <w:color w:val="auto"/>
                <w:kern w:val="0"/>
                <w:highlight w:val="none"/>
              </w:rPr>
              <w:t>阶段结果提交时间</w:t>
            </w:r>
          </w:p>
        </w:tc>
        <w:tc>
          <w:tcPr>
            <w:tcW w:w="1749" w:type="dxa"/>
            <w:vAlign w:val="center"/>
          </w:tcPr>
          <w:p>
            <w:pPr>
              <w:pStyle w:val="12"/>
              <w:jc w:val="left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/>
                <w:bCs/>
                <w:color w:val="auto"/>
                <w:kern w:val="0"/>
                <w:highlight w:val="none"/>
              </w:rPr>
              <w:t>参赛选手、现场裁判</w:t>
            </w:r>
          </w:p>
        </w:tc>
        <w:tc>
          <w:tcPr>
            <w:tcW w:w="1278" w:type="dxa"/>
            <w:vAlign w:val="center"/>
          </w:tcPr>
          <w:p>
            <w:pPr>
              <w:pStyle w:val="12"/>
              <w:jc w:val="left"/>
              <w:rPr>
                <w:rFonts w:hint="eastAsia"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left"/>
              <w:rPr>
                <w:rFonts w:hint="eastAsia" w:ascii="仿宋_GB2312" w:hAnsi="宋体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17:30-17:40</w:t>
            </w:r>
          </w:p>
        </w:tc>
        <w:tc>
          <w:tcPr>
            <w:tcW w:w="2951" w:type="dxa"/>
            <w:vAlign w:val="center"/>
          </w:tcPr>
          <w:p>
            <w:pPr>
              <w:pStyle w:val="12"/>
              <w:jc w:val="left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kern w:val="0"/>
                <w:highlight w:val="none"/>
              </w:rPr>
              <w:t>宣读第</w:t>
            </w:r>
            <w:r>
              <w:rPr>
                <w:rFonts w:hint="eastAsia" w:ascii="仿宋_GB2312"/>
                <w:color w:val="auto"/>
                <w:kern w:val="0"/>
                <w:highlight w:val="none"/>
                <w:lang w:val="en-US" w:eastAsia="zh-CN"/>
              </w:rPr>
              <w:t>三</w:t>
            </w:r>
            <w:r>
              <w:rPr>
                <w:rFonts w:hint="eastAsia" w:ascii="仿宋_GB2312"/>
                <w:color w:val="auto"/>
                <w:kern w:val="0"/>
                <w:highlight w:val="none"/>
              </w:rPr>
              <w:t>阶段竞赛须知</w:t>
            </w:r>
          </w:p>
        </w:tc>
        <w:tc>
          <w:tcPr>
            <w:tcW w:w="1749" w:type="dxa"/>
            <w:vAlign w:val="center"/>
          </w:tcPr>
          <w:p>
            <w:pPr>
              <w:pStyle w:val="12"/>
              <w:jc w:val="left"/>
              <w:rPr>
                <w:rFonts w:hint="eastAsia" w:ascii="仿宋_GB2312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/>
                <w:bCs/>
                <w:color w:val="auto"/>
                <w:kern w:val="0"/>
                <w:highlight w:val="none"/>
              </w:rPr>
              <w:t>参赛选手、现场裁判</w:t>
            </w:r>
          </w:p>
        </w:tc>
        <w:tc>
          <w:tcPr>
            <w:tcW w:w="1278" w:type="dxa"/>
            <w:vAlign w:val="center"/>
          </w:tcPr>
          <w:p>
            <w:pPr>
              <w:pStyle w:val="12"/>
              <w:jc w:val="left"/>
              <w:rPr>
                <w:rFonts w:hint="eastAsia" w:ascii="仿宋_GB2312" w:hAnsi="宋体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</w:p>
        </w:tc>
        <w:tc>
          <w:tcPr>
            <w:tcW w:w="1636" w:type="dxa"/>
            <w:shd w:val="clear" w:color="auto" w:fill="FFC000"/>
            <w:vAlign w:val="center"/>
          </w:tcPr>
          <w:p>
            <w:pPr>
              <w:pStyle w:val="12"/>
              <w:jc w:val="left"/>
              <w:rPr>
                <w:rFonts w:hint="default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17:40-18:40</w:t>
            </w:r>
          </w:p>
        </w:tc>
        <w:tc>
          <w:tcPr>
            <w:tcW w:w="2951" w:type="dxa"/>
            <w:shd w:val="clear" w:color="auto" w:fill="FFC000"/>
            <w:vAlign w:val="center"/>
          </w:tcPr>
          <w:p>
            <w:pPr>
              <w:pStyle w:val="12"/>
              <w:jc w:val="left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kern w:val="0"/>
                <w:highlight w:val="none"/>
              </w:rPr>
              <w:t>第</w:t>
            </w:r>
            <w:r>
              <w:rPr>
                <w:rFonts w:hint="eastAsia" w:ascii="仿宋_GB2312"/>
                <w:color w:val="auto"/>
                <w:kern w:val="0"/>
                <w:highlight w:val="none"/>
                <w:lang w:val="en-US" w:eastAsia="zh-CN"/>
              </w:rPr>
              <w:t>三</w:t>
            </w:r>
            <w:r>
              <w:rPr>
                <w:rFonts w:hint="eastAsia" w:ascii="仿宋_GB2312"/>
                <w:color w:val="auto"/>
                <w:kern w:val="0"/>
                <w:highlight w:val="none"/>
              </w:rPr>
              <w:t>阶段</w:t>
            </w:r>
            <w:r>
              <w:rPr>
                <w:rFonts w:hint="eastAsia" w:ascii="仿宋_GB2312"/>
                <w:color w:val="auto"/>
                <w:kern w:val="0"/>
                <w:highlight w:val="none"/>
                <w:lang w:eastAsia="zh-CN"/>
              </w:rPr>
              <w:t>竞赛</w:t>
            </w:r>
            <w:r>
              <w:rPr>
                <w:rFonts w:hint="eastAsia" w:ascii="仿宋_GB2312"/>
                <w:color w:val="auto"/>
                <w:kern w:val="0"/>
                <w:highlight w:val="none"/>
              </w:rPr>
              <w:t>时间</w:t>
            </w:r>
          </w:p>
        </w:tc>
        <w:tc>
          <w:tcPr>
            <w:tcW w:w="1749" w:type="dxa"/>
            <w:shd w:val="clear" w:color="auto" w:fill="FFC000"/>
            <w:vAlign w:val="center"/>
          </w:tcPr>
          <w:p>
            <w:pPr>
              <w:pStyle w:val="12"/>
              <w:jc w:val="left"/>
              <w:rPr>
                <w:rFonts w:hint="eastAsia" w:ascii="仿宋_GB2312" w:hAnsi="Times New Roman" w:eastAsia="仿宋_GB2312" w:cs="Times New Roman"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/>
                <w:bCs/>
                <w:color w:val="auto"/>
                <w:kern w:val="0"/>
                <w:highlight w:val="none"/>
              </w:rPr>
              <w:t>参赛选手、现场裁判</w:t>
            </w:r>
          </w:p>
        </w:tc>
        <w:tc>
          <w:tcPr>
            <w:tcW w:w="1278" w:type="dxa"/>
            <w:shd w:val="clear" w:color="auto" w:fill="FFC000"/>
            <w:vAlign w:val="center"/>
          </w:tcPr>
          <w:p>
            <w:pPr>
              <w:pStyle w:val="12"/>
              <w:jc w:val="left"/>
              <w:rPr>
                <w:rFonts w:hint="eastAsia" w:ascii="仿宋_GB2312" w:hAnsi="宋体" w:eastAsia="仿宋_GB2312" w:cs="Times New Roman"/>
                <w:color w:val="auto"/>
                <w:kern w:val="2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08" w:type="dxa"/>
            <w:vMerge w:val="continue"/>
            <w:vAlign w:val="center"/>
          </w:tcPr>
          <w:p>
            <w:pPr>
              <w:pStyle w:val="12"/>
              <w:jc w:val="left"/>
              <w:rPr>
                <w:rFonts w:ascii="仿宋_GB2312"/>
                <w:color w:val="auto"/>
                <w:highlight w:val="none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12"/>
              <w:jc w:val="left"/>
              <w:rPr>
                <w:rFonts w:hint="default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  <w:lang w:val="en-US" w:eastAsia="zh-CN"/>
              </w:rPr>
              <w:t>18:40-19:30</w:t>
            </w:r>
          </w:p>
        </w:tc>
        <w:tc>
          <w:tcPr>
            <w:tcW w:w="2951" w:type="dxa"/>
            <w:vAlign w:val="center"/>
          </w:tcPr>
          <w:p>
            <w:pPr>
              <w:pStyle w:val="12"/>
              <w:jc w:val="lef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/>
                <w:color w:val="auto"/>
                <w:kern w:val="0"/>
                <w:highlight w:val="none"/>
                <w:lang w:val="en-US" w:eastAsia="zh-CN"/>
              </w:rPr>
              <w:t>第三阶段结果</w:t>
            </w:r>
            <w:r>
              <w:rPr>
                <w:rFonts w:hint="eastAsia" w:ascii="仿宋_GB2312"/>
                <w:color w:val="auto"/>
                <w:kern w:val="0"/>
                <w:highlight w:val="none"/>
              </w:rPr>
              <w:t>提交时间；上传</w:t>
            </w:r>
            <w:r>
              <w:rPr>
                <w:rFonts w:hint="eastAsia" w:ascii="仿宋_GB2312"/>
                <w:color w:val="auto"/>
                <w:kern w:val="0"/>
                <w:highlight w:val="none"/>
                <w:lang w:val="en-US" w:eastAsia="zh-CN"/>
              </w:rPr>
              <w:t>第二阶段和第三阶段所有</w:t>
            </w:r>
            <w:r>
              <w:rPr>
                <w:rFonts w:hint="eastAsia" w:ascii="仿宋_GB2312"/>
                <w:color w:val="auto"/>
                <w:kern w:val="0"/>
                <w:highlight w:val="none"/>
              </w:rPr>
              <w:t>录屏文件</w:t>
            </w:r>
            <w:r>
              <w:rPr>
                <w:rFonts w:hint="eastAsia" w:ascii="仿宋_GB2312"/>
                <w:color w:val="auto"/>
                <w:kern w:val="0"/>
                <w:highlight w:val="none"/>
                <w:lang w:eastAsia="zh-CN"/>
              </w:rPr>
              <w:t>。</w:t>
            </w:r>
          </w:p>
        </w:tc>
        <w:tc>
          <w:tcPr>
            <w:tcW w:w="1749" w:type="dxa"/>
            <w:vAlign w:val="center"/>
          </w:tcPr>
          <w:p>
            <w:pPr>
              <w:pStyle w:val="12"/>
              <w:jc w:val="left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/>
                <w:bCs/>
                <w:color w:val="auto"/>
                <w:kern w:val="0"/>
                <w:highlight w:val="none"/>
              </w:rPr>
              <w:t>参赛选手、现场裁判</w:t>
            </w:r>
          </w:p>
        </w:tc>
        <w:tc>
          <w:tcPr>
            <w:tcW w:w="1278" w:type="dxa"/>
            <w:vAlign w:val="center"/>
          </w:tcPr>
          <w:p>
            <w:pPr>
              <w:pStyle w:val="12"/>
              <w:jc w:val="left"/>
              <w:rPr>
                <w:rFonts w:ascii="仿宋_GB2312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/>
                <w:color w:val="auto"/>
                <w:highlight w:val="none"/>
                <w:shd w:val="clear" w:color="auto" w:fill="FFFFFF"/>
              </w:rPr>
              <w:t>线上线下结合</w:t>
            </w:r>
          </w:p>
        </w:tc>
      </w:tr>
    </w:tbl>
    <w:p>
      <w:pPr>
        <w:numPr>
          <w:ilvl w:val="0"/>
          <w:numId w:val="0"/>
        </w:numPr>
        <w:ind w:firstLine="630" w:firstLineChars="300"/>
        <w:rPr>
          <w:color w:val="auto"/>
          <w:highlight w:val="none"/>
        </w:rPr>
      </w:pPr>
    </w:p>
    <w:p>
      <w:pPr>
        <w:numPr>
          <w:ilvl w:val="-1"/>
          <w:numId w:val="0"/>
        </w:numPr>
        <w:ind w:left="0" w:firstLine="0" w:firstLineChars="0"/>
        <w:rPr>
          <w:rFonts w:ascii="仿宋" w:hAnsi="仿宋" w:eastAsia="仿宋" w:cs="仿宋"/>
          <w:b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六、成绩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评审</w:t>
      </w:r>
      <w:bookmarkStart w:id="14" w:name="pindex142"/>
      <w:bookmarkEnd w:id="14"/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1.裁判需求表</w:t>
      </w:r>
      <w:bookmarkStart w:id="15" w:name="pindex143"/>
      <w:bookmarkEnd w:id="15"/>
    </w:p>
    <w:tbl>
      <w:tblPr>
        <w:tblStyle w:val="6"/>
        <w:tblpPr w:leftFromText="180" w:rightFromText="180" w:vertAnchor="text" w:horzAnchor="margin" w:tblpXSpec="center" w:tblpY="8"/>
        <w:tblW w:w="850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725"/>
        <w:gridCol w:w="1665"/>
        <w:gridCol w:w="1485"/>
        <w:gridCol w:w="2048"/>
        <w:gridCol w:w="7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72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专业技术方向</w:t>
            </w:r>
          </w:p>
        </w:tc>
        <w:tc>
          <w:tcPr>
            <w:tcW w:w="166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知识能力要求</w:t>
            </w:r>
          </w:p>
        </w:tc>
        <w:tc>
          <w:tcPr>
            <w:tcW w:w="148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执裁、教学、工作经历</w:t>
            </w:r>
          </w:p>
        </w:tc>
        <w:tc>
          <w:tcPr>
            <w:tcW w:w="204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专业技术职称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（职业资格等级）</w:t>
            </w:r>
          </w:p>
        </w:tc>
        <w:tc>
          <w:tcPr>
            <w:tcW w:w="77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电气工程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自动控制、新能源技术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电气图绘制、电气系统的安装与调试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国赛、行业赛及省赛执裁经历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具有副高级及以上职称或技师及以上职业资格等级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裁判总人数</w:t>
            </w:r>
          </w:p>
        </w:tc>
        <w:tc>
          <w:tcPr>
            <w:tcW w:w="7702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26</w:t>
            </w:r>
          </w:p>
        </w:tc>
      </w:tr>
    </w:tbl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</w:p>
    <w:p>
      <w:pPr>
        <w:ind w:firstLine="600" w:firstLineChars="200"/>
        <w:rPr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评审方式：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线下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与线上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评审相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结合。现场裁判由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世校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赛执委会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在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本省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/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市抽取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产生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（与参赛队所在学校有直接关系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的应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回避），负责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竞赛现场全程裁决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结束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后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，线上评审裁判背靠背打分（含机评系统自动评分）。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线上评审裁判来源？</w:t>
      </w:r>
      <w:bookmarkStart w:id="16" w:name="pindex144"/>
      <w:bookmarkEnd w:id="16"/>
    </w:p>
    <w:p>
      <w:pPr>
        <w:numPr>
          <w:ilvl w:val="-1"/>
          <w:numId w:val="0"/>
        </w:numPr>
        <w:ind w:left="0" w:firstLine="0" w:firstLineChars="0"/>
        <w:rPr>
          <w:rFonts w:ascii="仿宋" w:hAnsi="仿宋" w:eastAsia="仿宋" w:cs="仿宋"/>
          <w:b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七、</w:t>
      </w:r>
      <w:bookmarkStart w:id="17" w:name="pindex145"/>
      <w:bookmarkEnd w:id="17"/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赛事安排</w:t>
      </w:r>
    </w:p>
    <w:p>
      <w:pPr>
        <w:numPr>
          <w:ilvl w:val="255"/>
          <w:numId w:val="0"/>
        </w:numPr>
        <w:ind w:firstLine="600" w:firstLineChars="200"/>
        <w:rPr>
          <w:rFonts w:hint="default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请按照竞赛流程，写明每个环节的工作内容、参与人员和注意事项。（这一部分需要加入防止作弊的措施内容。）可参照以下模板：</w:t>
      </w:r>
    </w:p>
    <w:p>
      <w:pPr>
        <w:numPr>
          <w:ilvl w:val="255"/>
          <w:numId w:val="0"/>
        </w:num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1.赛前准备。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前7天，各参赛校选定参赛场地并上报世校赛执委会，完成人员调配、设备调试和环境布置等准备工作（具体要求见附件）。</w:t>
      </w:r>
    </w:p>
    <w:p>
      <w:pPr>
        <w:numPr>
          <w:ilvl w:val="255"/>
          <w:numId w:val="0"/>
        </w:num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参与人员：参赛校、保障组、联络员、领队</w:t>
      </w:r>
    </w:p>
    <w:p>
      <w:pPr>
        <w:numPr>
          <w:ilvl w:val="255"/>
          <w:numId w:val="0"/>
        </w:num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2.赛项说明会。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前15天召开赛项说明会，公布竞赛时间、竞赛方式、环境要求、竞赛流程、注意事项等内容。</w:t>
      </w:r>
    </w:p>
    <w:p>
      <w:pPr>
        <w:numPr>
          <w:ilvl w:val="255"/>
          <w:numId w:val="0"/>
        </w:num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参与人员：专家组、裁判长、领队、指导教师</w:t>
      </w:r>
    </w:p>
    <w:p>
      <w:pPr>
        <w:numPr>
          <w:ilvl w:val="255"/>
          <w:numId w:val="0"/>
        </w:num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3.赛场验收。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前1天，参赛校竞赛环境测试。世校赛执委会专家组、裁判组、监督仲裁组、将通过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X</w:t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XX（会议号通过参赛校联络员下发，并向保障组短信确认）进行检查验收并测试。验收通过后，赛场封闭贴封条，录制封场视频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。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参与人员：参赛校领队及联络员、专家组、裁判组、监督仲裁组、保障组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4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.进场准备。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当天规定时间前，各参赛校及相关人员进入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场地，保障组工作人员创建本评审组视频会议，用短信通知本评审组参赛队联络员视频会议号。参赛队联络员回复指定手机号码确认：“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碳中和可再生能源工程技术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赛项XXX（学校名称）参赛队已收到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碳中和可再生能源工程技术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赛项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腾讯会议号：※※※ ※※※ ※※※，X月XX日上午/下午X时前，做好一切准备。特此确认。”。在现场裁判的监督下开封赛场并录制视频，通过视频会议进入相应评审组并调试好所有设备。场内除了参赛选手、现场裁判、合作企业技术支持工程师、视频拍摄、转换、上传技术人员和视频连线技术人员之外，不得有其他人员在场；始终保持视频连线，并能全程监视决赛场所。参赛队按时用视频连线电脑登录视频会议，将成员名改为赛位号+队员编号。开启外接广角摄像头（一直到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全部事宜结束），由保障组工作人员、现场裁判、监督仲裁组人员等检查场所、场内人员。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5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.身份核验。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当天8时，每个</w:t>
      </w:r>
      <w:bookmarkStart w:id="43" w:name="_GoBack"/>
      <w:bookmarkEnd w:id="43"/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参赛队在规定时间内，通过视频会议与保障组工作人员单独连线，各参赛选手听从保障组工作人员的指挥，逐一在广角摄像头前展示人脸及本人身份证（护照）、学生证、指导教师工作证，保障组工作人员将截屏留存，完成参赛选手的身份核验。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6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.抽定赛位号。加密裁判按参赛队联络员姓氏笔画为序，在监督仲裁组的监督下，抽签决定参赛队的赛位号；每个参赛队使用赛位号进入竞赛专用腾讯会议。参赛团队负责人回复短信确认。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7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.实时录制。由保障组工作人员在统一的时间点连线公布“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特定标识”，由各参赛校固定张贴（或书写）在视频录制始终可见位置。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8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.竞赛报告单上传。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结束后按题目要求将竞赛报告单在规定时间内上传至指定地址。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9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.录屏上传。将录制好的视频文件分别以“赛项编号+赛项名称+模块号+加密代号.mp4”命名，采用MP4格式封装，每个文件大小不超过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XXM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, 不允许另行剪辑及配音，视频录制软件不限，采用H.264/AVC（MPEG-4 Part10）编码格式压缩；动态码流的码率不低于1024Kbps；分辨率设定为720×576（标清4:3拍摄）或1280×720（高清16:9拍摄）；采用逐行扫描（帧率25帧/秒）。音频采用AAC（MPEG4 Part3）格式压缩；采样率48KHz；码流128Kbps（恒定）。及时将XX段视频上传至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官网（使用新的用户名、密码），上传完成后利用预览功能自行检查所传视频完整性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同时发送到赛项指定邮箱（承办校负责）。上传截止时间为第一阶段结束后50分钟内；封闭和开封赛场录制视频上传为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日当天12点前。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10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.完成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。各参赛队在完成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全部事宜，并确认视频上传无误后，参赛队负责人回复指定手机号码确认：“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碳中和可再生能源工程技术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赛项XXX（赛位号）参赛队已经完成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，特此确认。”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11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.评审。根据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阶段流程要求，线上评审-裁判组通过网络评审各参赛队提交竞赛报告单，按照评审要求，依据评分标准打分（含机评-系统自动评分）。线上评审成绩由裁判长统计汇总。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12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.成绩计算及公示。根据既定规则确定最终成绩，成绩评定方法依照赛项规程，并由监督仲裁组进行成绩复核。成绩公示时间为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X</w:t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XX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。</w:t>
      </w:r>
      <w:bookmarkStart w:id="18" w:name="pindex153"/>
      <w:bookmarkEnd w:id="18"/>
    </w:p>
    <w:p>
      <w:pPr>
        <w:numPr>
          <w:ilvl w:val="255"/>
          <w:numId w:val="0"/>
        </w:numPr>
        <w:ind w:firstLine="0" w:firstLineChars="0"/>
        <w:rPr>
          <w:rFonts w:ascii="仿宋" w:hAnsi="仿宋" w:eastAsia="仿宋" w:cs="仿宋"/>
          <w:b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八、竞赛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保障</w:t>
      </w:r>
      <w:bookmarkStart w:id="19" w:name="pindex154"/>
      <w:bookmarkEnd w:id="19"/>
    </w:p>
    <w:p>
      <w:pPr>
        <w:ind w:firstLine="600" w:firstLineChars="200"/>
        <w:rPr>
          <w:rFonts w:hint="default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请写明赛项各环节的保障工作组人员需求和工作内容，可参照以下模板：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1.沟通保障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各分赛场委派工作人员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人）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作为沟通联络员，与大赛执委会在赛场布置、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环节、赛后资料上传等事宜进行沟通，并确保沟通及时顺畅。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2.网络保障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各分赛场委派工作人员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人）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作为网络保障员，负责赛场的网络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通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信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保障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，保障赛前调试、赛中直播与录制、赛后资料上传等事宜顺利开展。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3.直播与录制保障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各分赛场委派工作人员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人）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作为直播与录制保障员，按照大赛要求的赛项直播与录制技术要求，负责赛场的所有摄像机位、直播系统、录制与存储系统的正常运行，并协助线下裁判员、监督仲裁员完成赛后视频上传。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4.打印保障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各赛点委派工作人员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人）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作为资料打印保障员，按照大赛要求，备好彩色打印机、黑白打印机等用品，在监督仲裁的监督下，在规定时间完成各竞赛模块的赛题打印、线下裁判评分表打印以及选手报告单打印，并将其交于线下裁判员。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结束后，协助线下裁判员将打印的所有资料装档，并交于监督仲裁人员封存备查。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5.赛项技术保障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各分赛场委派工作人员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人）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作为技术保障员，按照大赛要求，赛前在规定时间内完成赛场竞赛设备的安装调试，赛中如遇设备问题，及时处理，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确保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大赛顺利进行。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6.电力、消防安全保障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各分赛场委派工作人员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人）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作为电力、消防安全保障员，保障赛场的电力以及消防安全。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7.应急保障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各分赛场委派工作人员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人）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作为应急保障员，在赛场遇到突发情况时，协助赛场人员进行处理。</w:t>
      </w:r>
      <w:bookmarkStart w:id="20" w:name="pindex169"/>
      <w:bookmarkEnd w:id="20"/>
    </w:p>
    <w:p>
      <w:pPr>
        <w:numPr>
          <w:ilvl w:val="-1"/>
          <w:numId w:val="0"/>
        </w:numPr>
        <w:ind w:left="0" w:firstLine="640" w:firstLineChars="200"/>
        <w:rPr>
          <w:rFonts w:hint="eastAsia" w:ascii="楷体_GB2312" w:hAnsi="Times New Roman" w:eastAsia="楷体_GB2312" w:cs="Times New Roman"/>
          <w:b w:val="0"/>
          <w:bCs w:val="0"/>
          <w:color w:val="auto"/>
          <w:sz w:val="32"/>
          <w:szCs w:val="32"/>
          <w:highlight w:val="none"/>
        </w:rPr>
      </w:pPr>
    </w:p>
    <w:p>
      <w:pPr>
        <w:numPr>
          <w:ilvl w:val="-1"/>
          <w:numId w:val="0"/>
        </w:numPr>
        <w:spacing w:line="560" w:lineRule="exact"/>
        <w:ind w:left="0" w:firstLine="0" w:firstLineChars="0"/>
        <w:jc w:val="center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黑体" w:hAnsi="Calibri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第</w:t>
      </w:r>
      <w:r>
        <w:rPr>
          <w:rFonts w:hint="eastAsia" w:ascii="黑体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黑体" w:hAnsi="Calibri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部分 </w:t>
      </w:r>
      <w:r>
        <w:rPr>
          <w:rFonts w:hint="eastAsia" w:ascii="黑体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Calibri" w:eastAsia="黑体" w:cs="Times New Roman"/>
          <w:b w:val="0"/>
          <w:bCs w:val="0"/>
          <w:color w:val="auto"/>
          <w:sz w:val="32"/>
          <w:szCs w:val="32"/>
          <w:highlight w:val="none"/>
        </w:rPr>
        <w:t>其</w:t>
      </w:r>
      <w:r>
        <w:rPr>
          <w:rFonts w:hint="eastAsia" w:ascii="黑体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他</w:t>
      </w:r>
      <w:r>
        <w:rPr>
          <w:rFonts w:hint="eastAsia" w:ascii="黑体" w:hAnsi="Calibri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相关工作</w:t>
      </w:r>
      <w:bookmarkStart w:id="21" w:name="pindex202"/>
      <w:bookmarkEnd w:id="21"/>
    </w:p>
    <w:p>
      <w:pPr>
        <w:numPr>
          <w:ilvl w:val="-1"/>
          <w:numId w:val="0"/>
        </w:numPr>
        <w:ind w:left="0" w:firstLine="0" w:firstLineChars="0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九、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疫情防控应急处置</w:t>
      </w:r>
    </w:p>
    <w:p>
      <w:pPr>
        <w:numPr>
          <w:ilvl w:val="-1"/>
          <w:numId w:val="0"/>
        </w:numPr>
        <w:ind w:left="0" w:firstLine="600" w:firstLineChars="200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疫情防控与应急处置按照选手属地和各学校相关规定执行。</w:t>
      </w:r>
      <w:bookmarkStart w:id="22" w:name="pindex204"/>
      <w:bookmarkEnd w:id="22"/>
    </w:p>
    <w:p>
      <w:pPr>
        <w:numPr>
          <w:ilvl w:val="-1"/>
          <w:numId w:val="0"/>
        </w:numPr>
        <w:ind w:firstLine="0" w:firstLineChars="0"/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十、违纪与处理</w:t>
      </w:r>
    </w:p>
    <w:p>
      <w:pPr>
        <w:numPr>
          <w:ilvl w:val="-1"/>
          <w:numId w:val="0"/>
        </w:num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对于竞赛中违反竞赛纪律的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选手，一经查实，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将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取消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选手本人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资格、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成绩以及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其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所在代表队团体奖评奖资格（奖项评出后发现的，依规追回奖项），且该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选手所在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学校连续五届不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得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报名参加世校赛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竞赛，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同时通报全国职业院校技能大赛组织委员会，责成省级教育行政部门依据有关规定严肃处理。若现场裁判有违规</w:t>
      </w:r>
      <w:sdt>
        <w:sdtPr>
          <w:rPr>
            <w:color w:val="auto"/>
            <w:highlight w:val="none"/>
          </w:rPr>
          <w:alias w:val="易错词检查"/>
          <w:id w:val="173636"/>
        </w:sdtPr>
        <w:sdtEndPr>
          <w:rPr>
            <w:color w:val="auto"/>
            <w:highlight w:val="none"/>
          </w:rPr>
        </w:sdtEndPr>
        <w:sdtContent>
          <w:bookmarkStart w:id="23" w:name="bkReivew173636"/>
          <w:r>
            <w:rPr>
              <w:rFonts w:hint="eastAsia" w:ascii="仿宋" w:hAnsi="仿宋" w:eastAsia="仿宋" w:cs="仿宋"/>
              <w:color w:val="auto"/>
              <w:sz w:val="30"/>
              <w:szCs w:val="30"/>
              <w:highlight w:val="none"/>
            </w:rPr>
            <w:t>执裁</w:t>
          </w:r>
          <w:bookmarkEnd w:id="23"/>
        </w:sdtContent>
      </w:sdt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行为，将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立即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取消裁判资格，且永久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取消其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在全国职业院校技能大赛及世界职业院校技能大赛</w:t>
      </w:r>
      <w:sdt>
        <w:sdtPr>
          <w:rPr>
            <w:color w:val="auto"/>
            <w:highlight w:val="none"/>
          </w:rPr>
          <w:alias w:val="易错词检查"/>
          <w:id w:val="181743"/>
        </w:sdtPr>
        <w:sdtEndPr>
          <w:rPr>
            <w:color w:val="auto"/>
            <w:highlight w:val="none"/>
          </w:rPr>
        </w:sdtEndPr>
        <w:sdtContent>
          <w:bookmarkStart w:id="24" w:name="bkReivew181743"/>
          <w:r>
            <w:rPr>
              <w:rFonts w:hint="eastAsia" w:ascii="仿宋" w:hAnsi="仿宋" w:eastAsia="仿宋" w:cs="仿宋"/>
              <w:color w:val="auto"/>
              <w:sz w:val="30"/>
              <w:szCs w:val="30"/>
              <w:highlight w:val="none"/>
            </w:rPr>
            <w:t>执裁</w:t>
          </w:r>
          <w:bookmarkEnd w:id="24"/>
        </w:sdtContent>
      </w:sdt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资格。</w:t>
      </w:r>
      <w:bookmarkStart w:id="25" w:name="pindex205"/>
      <w:bookmarkEnd w:id="25"/>
    </w:p>
    <w:p>
      <w:pPr>
        <w:wordWrap w:val="0"/>
        <w:jc w:val="right"/>
        <w:rPr>
          <w:rFonts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rPr>
          <w:color w:val="auto"/>
          <w:highlight w:val="none"/>
        </w:rPr>
      </w:pPr>
      <w:r>
        <w:rPr>
          <w:color w:val="auto"/>
          <w:highlight w:val="none"/>
        </w:rPr>
        <w:br w:type="page"/>
      </w:r>
    </w:p>
    <w:p>
      <w:pPr>
        <w:jc w:val="left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附件</w:t>
      </w:r>
      <w:bookmarkStart w:id="26" w:name="pindex208"/>
      <w:bookmarkEnd w:id="26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碳中和可再生能源工程技术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赛项</w:t>
      </w:r>
      <w:bookmarkStart w:id="27" w:name="pindex209"/>
      <w:bookmarkEnd w:id="27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竞赛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环境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设备及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流程要求</w:t>
      </w:r>
    </w:p>
    <w:p>
      <w:pPr>
        <w:pStyle w:val="4"/>
        <w:rPr>
          <w:rFonts w:hint="eastAsia" w:ascii="Calibri" w:hAnsi="Calibri" w:eastAsia="宋体" w:cs="Times New Roman"/>
          <w:color w:val="auto"/>
          <w:sz w:val="18"/>
          <w:szCs w:val="24"/>
          <w:highlight w:val="none"/>
        </w:rPr>
      </w:pPr>
    </w:p>
    <w:p>
      <w:pPr>
        <w:numPr>
          <w:ilvl w:val="0"/>
          <w:numId w:val="1"/>
        </w:numPr>
        <w:rPr>
          <w:rFonts w:ascii="仿宋" w:hAnsi="仿宋" w:eastAsia="仿宋" w:cs="仿宋"/>
          <w:b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竞赛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环境要求</w:t>
      </w:r>
      <w:bookmarkStart w:id="28" w:name="pindex212"/>
      <w:bookmarkEnd w:id="28"/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各参赛校在本校或经世校赛执委会批准的其他学校选择合适的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场所，在此场所内完成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所有事宜，不得中途变换。同一院校有多支参赛队，需合理安排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场所。本地区跨校组队的参赛队所有成员必须在其中某一院校参加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。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场所内应有摄录设备、视频转码电脑（设备）、视频连线电脑（安装视频会议软件、外接广角摄像头）等。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场所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应为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独立竞赛空间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赛场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内不得出现学校名称、LOGO等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包含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学校信息的内容；不得出现学校、老师、学生的照片；参赛选手及相关人员服装不得出现所在省份、学校信息的元素。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场所应保证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录制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视频的画面明亮、声音清晰。外接广角摄像头置于场所前方一侧上方，能始终看到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场所的全景；摄录设备面向场所前方，能始终看清参赛选手、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内容、黑板（或白板）上的“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特定标识”；视频转码电脑、视频连线电脑等设备置于场所后方（或侧方），不影响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过程。</w:t>
      </w:r>
    </w:p>
    <w:p>
      <w:pPr>
        <w:ind w:firstLine="600" w:firstLineChars="200"/>
        <w:rPr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场所的上行带宽需保障在</w:t>
      </w:r>
      <w:r>
        <w:rPr>
          <w:rFonts w:ascii="仿宋" w:hAnsi="仿宋" w:eastAsia="仿宋" w:cs="仿宋"/>
          <w:color w:val="auto"/>
          <w:sz w:val="30"/>
          <w:szCs w:val="30"/>
          <w:highlight w:val="none"/>
        </w:rPr>
        <w:t>10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M/s带宽以上。</w:t>
      </w:r>
    </w:p>
    <w:p>
      <w:pPr>
        <w:numPr>
          <w:ilvl w:val="-1"/>
          <w:numId w:val="0"/>
        </w:numP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竞赛设备、软件及网络</w:t>
      </w:r>
      <w:bookmarkStart w:id="29" w:name="pindex215"/>
      <w:bookmarkEnd w:id="29"/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要求</w:t>
      </w:r>
    </w:p>
    <w:p>
      <w:pPr>
        <w:pStyle w:val="4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设备需求表：</w:t>
      </w:r>
    </w:p>
    <w:tbl>
      <w:tblPr>
        <w:tblStyle w:val="6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400"/>
        <w:gridCol w:w="1611"/>
        <w:gridCol w:w="2122"/>
        <w:gridCol w:w="1356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等线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序号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等线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auto"/>
                <w:sz w:val="28"/>
                <w:szCs w:val="28"/>
                <w:highlight w:val="none"/>
              </w:rPr>
              <w:t>设备类别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hint="eastAsia" w:ascii="仿宋" w:hAnsi="仿宋" w:eastAsia="仿宋" w:cs="等线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设备名称</w:t>
            </w:r>
          </w:p>
        </w:tc>
        <w:tc>
          <w:tcPr>
            <w:tcW w:w="2122" w:type="dxa"/>
            <w:shd w:val="clear" w:color="auto" w:fill="auto"/>
            <w:vAlign w:val="center"/>
          </w:tcPr>
          <w:p>
            <w:pPr>
              <w:ind w:firstLine="0"/>
              <w:jc w:val="center"/>
              <w:rPr>
                <w:rFonts w:ascii="仿宋" w:hAnsi="仿宋" w:eastAsia="仿宋" w:cs="等线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auto"/>
                <w:sz w:val="28"/>
                <w:szCs w:val="28"/>
                <w:highlight w:val="none"/>
              </w:rPr>
              <w:t>参数要求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仿宋" w:cs="等线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设备数量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 w:cs="等线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等线"/>
                <w:b/>
                <w:bCs/>
                <w:color w:val="auto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摄像设备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球机</w:t>
            </w:r>
          </w:p>
        </w:tc>
        <w:tc>
          <w:tcPr>
            <w:tcW w:w="21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等线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等线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摄像设备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硬盘录像机</w:t>
            </w:r>
          </w:p>
        </w:tc>
        <w:tc>
          <w:tcPr>
            <w:tcW w:w="21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硬盘1T以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等线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等线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摄像设备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红外筒型摄像机</w:t>
            </w:r>
          </w:p>
        </w:tc>
        <w:tc>
          <w:tcPr>
            <w:tcW w:w="21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等线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上网设备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千兆交换机</w:t>
            </w:r>
          </w:p>
        </w:tc>
        <w:tc>
          <w:tcPr>
            <w:tcW w:w="21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8口以上</w:t>
            </w: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等线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计算机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计算机</w:t>
            </w:r>
          </w:p>
        </w:tc>
        <w:tc>
          <w:tcPr>
            <w:tcW w:w="21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等线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等线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摄像设备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可移动摄像机</w:t>
            </w:r>
          </w:p>
        </w:tc>
        <w:tc>
          <w:tcPr>
            <w:tcW w:w="21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等线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电源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UPS电源</w:t>
            </w:r>
          </w:p>
        </w:tc>
        <w:tc>
          <w:tcPr>
            <w:tcW w:w="21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等线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等线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竞赛设备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竞赛设备</w:t>
            </w:r>
          </w:p>
        </w:tc>
        <w:tc>
          <w:tcPr>
            <w:tcW w:w="21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由参赛队伍数目决定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等线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等线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竞赛设备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竞赛设备配套工具与耗材</w:t>
            </w:r>
          </w:p>
        </w:tc>
        <w:tc>
          <w:tcPr>
            <w:tcW w:w="2122" w:type="dxa"/>
            <w:shd w:val="clear" w:color="auto" w:fill="auto"/>
            <w:vAlign w:val="center"/>
          </w:tcPr>
          <w:p>
            <w:pPr>
              <w:ind w:left="900"/>
              <w:jc w:val="center"/>
              <w:rPr>
                <w:rFonts w:ascii="仿宋" w:hAnsi="仿宋" w:eastAsia="仿宋" w:cs="等线"/>
                <w:color w:val="auto"/>
                <w:sz w:val="24"/>
                <w:highlight w:val="none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等线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等线"/>
                <w:color w:val="auto"/>
                <w:sz w:val="24"/>
                <w:highlight w:val="none"/>
                <w:lang w:val="en-US" w:eastAsia="zh-CN"/>
              </w:rPr>
              <w:t>由参赛队伍数目决定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ind w:firstLine="480"/>
              <w:jc w:val="center"/>
              <w:rPr>
                <w:rFonts w:ascii="仿宋" w:hAnsi="仿宋" w:eastAsia="仿宋" w:cs="等线"/>
                <w:color w:val="auto"/>
                <w:sz w:val="24"/>
                <w:highlight w:val="none"/>
              </w:rPr>
            </w:pPr>
          </w:p>
        </w:tc>
      </w:tr>
    </w:tbl>
    <w:p>
      <w:pPr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检查验收表：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119"/>
        <w:gridCol w:w="1700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8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  <w:t>项目</w:t>
            </w:r>
          </w:p>
        </w:tc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  <w:t>参赛队表述内容</w:t>
            </w:r>
          </w:p>
        </w:tc>
        <w:tc>
          <w:tcPr>
            <w:tcW w:w="1700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  <w:t>联络员意见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  <w:t>保障组意见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场所</w:t>
            </w:r>
          </w:p>
        </w:tc>
        <w:tc>
          <w:tcPr>
            <w:tcW w:w="3119" w:type="dxa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00" w:type="dxa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设备</w:t>
            </w:r>
          </w:p>
        </w:tc>
        <w:tc>
          <w:tcPr>
            <w:tcW w:w="3119" w:type="dxa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00" w:type="dxa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布局</w:t>
            </w:r>
          </w:p>
        </w:tc>
        <w:tc>
          <w:tcPr>
            <w:tcW w:w="3119" w:type="dxa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00" w:type="dxa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连线</w:t>
            </w:r>
          </w:p>
        </w:tc>
        <w:tc>
          <w:tcPr>
            <w:tcW w:w="3119" w:type="dxa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00" w:type="dxa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  <w:t>其他</w:t>
            </w:r>
          </w:p>
        </w:tc>
        <w:tc>
          <w:tcPr>
            <w:tcW w:w="3119" w:type="dxa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00" w:type="dxa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01" w:type="dxa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76" w:type="dxa"/>
          </w:tcPr>
          <w:p>
            <w:pPr>
              <w:rPr>
                <w:rFonts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numPr>
          <w:ilvl w:val="-1"/>
          <w:numId w:val="0"/>
        </w:numPr>
        <w:rPr>
          <w:rFonts w:ascii="仿宋" w:hAnsi="仿宋" w:eastAsia="仿宋" w:cs="仿宋"/>
          <w:b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现场设备布局图</w:t>
      </w:r>
      <w:bookmarkStart w:id="30" w:name="pindex265"/>
      <w:bookmarkEnd w:id="30"/>
    </w:p>
    <w:p>
      <w:pPr>
        <w:ind w:firstLine="600" w:firstLineChars="200"/>
        <w:jc w:val="left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请绘制现场设备布局图，包括工位、竞赛设备、摄像设备等。</w:t>
      </w:r>
      <w:bookmarkStart w:id="31" w:name="pindex268"/>
      <w:bookmarkEnd w:id="31"/>
    </w:p>
    <w:p>
      <w:pPr>
        <w:pStyle w:val="2"/>
        <w:rPr>
          <w:color w:val="auto"/>
          <w:highlight w:val="none"/>
        </w:rPr>
      </w:pPr>
      <w:r>
        <w:rPr>
          <w:color w:val="auto"/>
          <w:highlight w:val="none"/>
        </w:rPr>
        <w:drawing>
          <wp:inline distT="0" distB="0" distL="114300" distR="114300">
            <wp:extent cx="5271135" cy="3874135"/>
            <wp:effectExtent l="0" t="0" r="1905" b="120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87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-1"/>
          <w:numId w:val="0"/>
        </w:numPr>
        <w:rPr>
          <w:rFonts w:ascii="仿宋" w:hAnsi="仿宋" w:eastAsia="仿宋" w:cs="仿宋"/>
          <w:b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highlight w:val="none"/>
        </w:rPr>
        <w:t>流程要求</w:t>
      </w:r>
      <w:bookmarkStart w:id="32" w:name="pindex269"/>
      <w:bookmarkEnd w:id="32"/>
    </w:p>
    <w:p>
      <w:pPr>
        <w:ind w:firstLine="600" w:firstLineChars="200"/>
        <w:jc w:val="left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1.进场准备</w:t>
      </w:r>
      <w:bookmarkStart w:id="33" w:name="pindex270"/>
      <w:bookmarkEnd w:id="33"/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2.身份核验</w:t>
      </w:r>
      <w:bookmarkStart w:id="34" w:name="pindex271"/>
      <w:bookmarkEnd w:id="34"/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3.抽定赛位号</w:t>
      </w:r>
      <w:bookmarkStart w:id="35" w:name="pindex272"/>
      <w:bookmarkEnd w:id="35"/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4.实时录制</w:t>
      </w:r>
      <w:bookmarkStart w:id="36" w:name="pindex273"/>
      <w:bookmarkEnd w:id="36"/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5.竞赛报告单上传</w:t>
      </w:r>
      <w:bookmarkStart w:id="37" w:name="pindex274"/>
      <w:bookmarkEnd w:id="37"/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6.录屏上传</w:t>
      </w:r>
      <w:bookmarkStart w:id="38" w:name="pindex275"/>
      <w:bookmarkEnd w:id="38"/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7.完成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eastAsia="zh-CN"/>
        </w:rPr>
        <w:t>竞赛</w:t>
      </w:r>
      <w:bookmarkStart w:id="39" w:name="pindex276"/>
      <w:bookmarkEnd w:id="39"/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8.评审</w:t>
      </w:r>
      <w:bookmarkStart w:id="40" w:name="pindex277"/>
      <w:bookmarkEnd w:id="40"/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9.成绩计算及公示</w:t>
      </w:r>
      <w:bookmarkStart w:id="41" w:name="pindex278"/>
      <w:bookmarkEnd w:id="41"/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10.成绩公布</w:t>
      </w:r>
      <w:bookmarkStart w:id="42" w:name="pindex279"/>
      <w:bookmarkEnd w:id="42"/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9CA830"/>
    <w:multiLevelType w:val="singleLevel"/>
    <w:tmpl w:val="B69CA83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ZjE2ODUzYWZkYjZlODgwYTFhMmQ3NThmODhkNDUifQ=="/>
  </w:docVars>
  <w:rsids>
    <w:rsidRoot w:val="00305F7E"/>
    <w:rsid w:val="00002E1A"/>
    <w:rsid w:val="000419BA"/>
    <w:rsid w:val="0005661A"/>
    <w:rsid w:val="000D7D2A"/>
    <w:rsid w:val="000E7D8B"/>
    <w:rsid w:val="00107315"/>
    <w:rsid w:val="001214FF"/>
    <w:rsid w:val="00130069"/>
    <w:rsid w:val="0013635C"/>
    <w:rsid w:val="00145AB0"/>
    <w:rsid w:val="001468D2"/>
    <w:rsid w:val="001F6FA9"/>
    <w:rsid w:val="00237AC6"/>
    <w:rsid w:val="002505DF"/>
    <w:rsid w:val="00253AB0"/>
    <w:rsid w:val="00276147"/>
    <w:rsid w:val="002E6468"/>
    <w:rsid w:val="002F7762"/>
    <w:rsid w:val="00305F7E"/>
    <w:rsid w:val="00314603"/>
    <w:rsid w:val="00350425"/>
    <w:rsid w:val="00384B7C"/>
    <w:rsid w:val="00386C61"/>
    <w:rsid w:val="003C37A7"/>
    <w:rsid w:val="003D058B"/>
    <w:rsid w:val="003D4AB2"/>
    <w:rsid w:val="003F6D71"/>
    <w:rsid w:val="004108C3"/>
    <w:rsid w:val="004302C1"/>
    <w:rsid w:val="00463768"/>
    <w:rsid w:val="0046388C"/>
    <w:rsid w:val="0047303C"/>
    <w:rsid w:val="00475F9B"/>
    <w:rsid w:val="004760C7"/>
    <w:rsid w:val="00477B75"/>
    <w:rsid w:val="004B4C5E"/>
    <w:rsid w:val="004D4452"/>
    <w:rsid w:val="004F452F"/>
    <w:rsid w:val="005109FA"/>
    <w:rsid w:val="00526B2F"/>
    <w:rsid w:val="00631487"/>
    <w:rsid w:val="00634762"/>
    <w:rsid w:val="00635EAA"/>
    <w:rsid w:val="00665AC1"/>
    <w:rsid w:val="00670AFD"/>
    <w:rsid w:val="006F23EA"/>
    <w:rsid w:val="0072094A"/>
    <w:rsid w:val="007507C6"/>
    <w:rsid w:val="0076779D"/>
    <w:rsid w:val="00784301"/>
    <w:rsid w:val="007C2907"/>
    <w:rsid w:val="0080584E"/>
    <w:rsid w:val="0081304D"/>
    <w:rsid w:val="00813CA5"/>
    <w:rsid w:val="00815ED1"/>
    <w:rsid w:val="00894626"/>
    <w:rsid w:val="008B7E3A"/>
    <w:rsid w:val="008C2A50"/>
    <w:rsid w:val="008D499B"/>
    <w:rsid w:val="008F53FE"/>
    <w:rsid w:val="008F7400"/>
    <w:rsid w:val="00920EEA"/>
    <w:rsid w:val="0093552F"/>
    <w:rsid w:val="00935E5C"/>
    <w:rsid w:val="00956054"/>
    <w:rsid w:val="00961568"/>
    <w:rsid w:val="00980922"/>
    <w:rsid w:val="00A44410"/>
    <w:rsid w:val="00A63A53"/>
    <w:rsid w:val="00A7571C"/>
    <w:rsid w:val="00AA345A"/>
    <w:rsid w:val="00AA39E4"/>
    <w:rsid w:val="00AB4F8B"/>
    <w:rsid w:val="00B00557"/>
    <w:rsid w:val="00B01C3F"/>
    <w:rsid w:val="00B02EC8"/>
    <w:rsid w:val="00B943EF"/>
    <w:rsid w:val="00BA3E85"/>
    <w:rsid w:val="00BA7A1C"/>
    <w:rsid w:val="00C340CC"/>
    <w:rsid w:val="00C5159E"/>
    <w:rsid w:val="00CD5CD0"/>
    <w:rsid w:val="00CE2EBD"/>
    <w:rsid w:val="00CF1E87"/>
    <w:rsid w:val="00D24957"/>
    <w:rsid w:val="00D80250"/>
    <w:rsid w:val="00E55C8E"/>
    <w:rsid w:val="00ED2026"/>
    <w:rsid w:val="00F15952"/>
    <w:rsid w:val="00F244C6"/>
    <w:rsid w:val="00F82287"/>
    <w:rsid w:val="00FA5683"/>
    <w:rsid w:val="00FB48C2"/>
    <w:rsid w:val="011078C7"/>
    <w:rsid w:val="011773D7"/>
    <w:rsid w:val="02B978DD"/>
    <w:rsid w:val="03C4353C"/>
    <w:rsid w:val="07E860AB"/>
    <w:rsid w:val="081B7ED7"/>
    <w:rsid w:val="084F27E4"/>
    <w:rsid w:val="08615A1D"/>
    <w:rsid w:val="097B5A0D"/>
    <w:rsid w:val="0B0264D2"/>
    <w:rsid w:val="0CCA6C8C"/>
    <w:rsid w:val="0CF46ECE"/>
    <w:rsid w:val="0E097B78"/>
    <w:rsid w:val="0ED0266B"/>
    <w:rsid w:val="0F022F45"/>
    <w:rsid w:val="10A4691A"/>
    <w:rsid w:val="11E3402C"/>
    <w:rsid w:val="12E66CFD"/>
    <w:rsid w:val="14C173FE"/>
    <w:rsid w:val="16DA0303"/>
    <w:rsid w:val="1885048C"/>
    <w:rsid w:val="1B521211"/>
    <w:rsid w:val="1BC91BBD"/>
    <w:rsid w:val="1E035DAE"/>
    <w:rsid w:val="1E9A6F10"/>
    <w:rsid w:val="1ECB2E08"/>
    <w:rsid w:val="1FB679B5"/>
    <w:rsid w:val="21BA62B5"/>
    <w:rsid w:val="220738AA"/>
    <w:rsid w:val="241366D0"/>
    <w:rsid w:val="244B464A"/>
    <w:rsid w:val="25CD79B1"/>
    <w:rsid w:val="277D1EAB"/>
    <w:rsid w:val="277DB96B"/>
    <w:rsid w:val="286674F9"/>
    <w:rsid w:val="297E318D"/>
    <w:rsid w:val="29E42E43"/>
    <w:rsid w:val="2AE94412"/>
    <w:rsid w:val="2B3E30FF"/>
    <w:rsid w:val="2B827C8B"/>
    <w:rsid w:val="2BD32678"/>
    <w:rsid w:val="2D0B5490"/>
    <w:rsid w:val="2DFB04FF"/>
    <w:rsid w:val="2E9861CF"/>
    <w:rsid w:val="2FBF00C4"/>
    <w:rsid w:val="2FF85D8D"/>
    <w:rsid w:val="304E2A2C"/>
    <w:rsid w:val="30BE5AF9"/>
    <w:rsid w:val="31592A40"/>
    <w:rsid w:val="31F46EC7"/>
    <w:rsid w:val="35AE657E"/>
    <w:rsid w:val="35DD743F"/>
    <w:rsid w:val="377A5E40"/>
    <w:rsid w:val="38482EC7"/>
    <w:rsid w:val="397A17A6"/>
    <w:rsid w:val="3A14294D"/>
    <w:rsid w:val="3A1A4327"/>
    <w:rsid w:val="3ABA60F4"/>
    <w:rsid w:val="3B7641EF"/>
    <w:rsid w:val="3BE16681"/>
    <w:rsid w:val="3DBB238D"/>
    <w:rsid w:val="3EA03F0B"/>
    <w:rsid w:val="3F56036D"/>
    <w:rsid w:val="3FA323F1"/>
    <w:rsid w:val="4049137C"/>
    <w:rsid w:val="410E2FA0"/>
    <w:rsid w:val="412546F1"/>
    <w:rsid w:val="425D3A13"/>
    <w:rsid w:val="43342414"/>
    <w:rsid w:val="434059D1"/>
    <w:rsid w:val="44F45700"/>
    <w:rsid w:val="45A277D5"/>
    <w:rsid w:val="46672E81"/>
    <w:rsid w:val="46F36134"/>
    <w:rsid w:val="47D1745E"/>
    <w:rsid w:val="47E93FB4"/>
    <w:rsid w:val="48F30E77"/>
    <w:rsid w:val="49365565"/>
    <w:rsid w:val="49977B7A"/>
    <w:rsid w:val="49CA7BE0"/>
    <w:rsid w:val="4CC0735A"/>
    <w:rsid w:val="4D025988"/>
    <w:rsid w:val="4F2C6C47"/>
    <w:rsid w:val="4F58791E"/>
    <w:rsid w:val="4F846A83"/>
    <w:rsid w:val="50BD4C8C"/>
    <w:rsid w:val="524E5126"/>
    <w:rsid w:val="525B6199"/>
    <w:rsid w:val="528A0DC7"/>
    <w:rsid w:val="52DD3D62"/>
    <w:rsid w:val="530963F8"/>
    <w:rsid w:val="535202BB"/>
    <w:rsid w:val="5401561B"/>
    <w:rsid w:val="56226FF5"/>
    <w:rsid w:val="59394624"/>
    <w:rsid w:val="5AEE3CB7"/>
    <w:rsid w:val="5B461090"/>
    <w:rsid w:val="5BB73D3C"/>
    <w:rsid w:val="5C4A2773"/>
    <w:rsid w:val="5DA07197"/>
    <w:rsid w:val="5E8274D2"/>
    <w:rsid w:val="5FFB2881"/>
    <w:rsid w:val="63EB5CAE"/>
    <w:rsid w:val="64892207"/>
    <w:rsid w:val="65231A9C"/>
    <w:rsid w:val="65AB1258"/>
    <w:rsid w:val="668F74B1"/>
    <w:rsid w:val="66D04F6D"/>
    <w:rsid w:val="688433C8"/>
    <w:rsid w:val="689F6036"/>
    <w:rsid w:val="68C47AD3"/>
    <w:rsid w:val="697E59BE"/>
    <w:rsid w:val="69BF6070"/>
    <w:rsid w:val="6DD4660F"/>
    <w:rsid w:val="6DF73173"/>
    <w:rsid w:val="6E2B2A93"/>
    <w:rsid w:val="6F1E029F"/>
    <w:rsid w:val="70AB6EC8"/>
    <w:rsid w:val="710866F3"/>
    <w:rsid w:val="71670D1F"/>
    <w:rsid w:val="71865B23"/>
    <w:rsid w:val="720A50CC"/>
    <w:rsid w:val="732B0E40"/>
    <w:rsid w:val="737C169B"/>
    <w:rsid w:val="74AF5AA0"/>
    <w:rsid w:val="75882579"/>
    <w:rsid w:val="75EB456E"/>
    <w:rsid w:val="763B4332"/>
    <w:rsid w:val="76944F4E"/>
    <w:rsid w:val="76FD3998"/>
    <w:rsid w:val="770518F3"/>
    <w:rsid w:val="78171DE5"/>
    <w:rsid w:val="78CC030B"/>
    <w:rsid w:val="78FD58FD"/>
    <w:rsid w:val="79314CD6"/>
    <w:rsid w:val="7AFB607C"/>
    <w:rsid w:val="7CDE481B"/>
    <w:rsid w:val="7D6831CA"/>
    <w:rsid w:val="7D9FEE1F"/>
    <w:rsid w:val="7F667053"/>
    <w:rsid w:val="AEFC9456"/>
    <w:rsid w:val="AFECC015"/>
    <w:rsid w:val="BAFE8071"/>
    <w:rsid w:val="EE7E17C5"/>
    <w:rsid w:val="EFCB8BB0"/>
    <w:rsid w:val="F6A72238"/>
    <w:rsid w:val="FEF9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nhideWhenUsed/>
    <w:qFormat/>
    <w:uiPriority w:val="99"/>
    <w:rPr>
      <w:color w:val="0563C1"/>
      <w:u w:val="single"/>
    </w:rPr>
  </w:style>
  <w:style w:type="paragraph" w:customStyle="1" w:styleId="10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修订2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12">
    <w:name w:val="No Spacing"/>
    <w:qFormat/>
    <w:uiPriority w:val="1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customStyle="1" w:styleId="13">
    <w:name w:val="标题 3 字符"/>
    <w:basedOn w:val="8"/>
    <w:semiHidden/>
    <w:qFormat/>
    <w:uiPriority w:val="0"/>
    <w:rPr>
      <w:rFonts w:ascii="Calibri" w:hAnsi="Calibri" w:eastAsia="宋体" w:cs="Times New Roman"/>
      <w:b/>
      <w:bCs/>
      <w:kern w:val="2"/>
      <w:sz w:val="32"/>
      <w:szCs w:val="32"/>
    </w:rPr>
  </w:style>
  <w:style w:type="character" w:customStyle="1" w:styleId="14">
    <w:name w:val="标题 3 字符1"/>
    <w:link w:val="2"/>
    <w:qFormat/>
    <w:uiPriority w:val="0"/>
    <w:rPr>
      <w:b/>
      <w:bCs/>
      <w:kern w:val="2"/>
      <w:sz w:val="32"/>
      <w:szCs w:val="32"/>
      <w:lang w:val="zh-CN" w:eastAsia="zh-CN"/>
    </w:rPr>
  </w:style>
  <w:style w:type="paragraph" w:customStyle="1" w:styleId="15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6083</Words>
  <Characters>6416</Characters>
  <Lines>30</Lines>
  <Paragraphs>8</Paragraphs>
  <TotalTime>0</TotalTime>
  <ScaleCrop>false</ScaleCrop>
  <LinksUpToDate>false</LinksUpToDate>
  <CharactersWithSpaces>6427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2022-06-09T20:54:00Z</dcterms:created>
  <dc:creator>HEP</dc:creator>
  <cp:lastModifiedBy>于海宁</cp:lastModifiedBy>
  <dcterms:modified xsi:type="dcterms:W3CDTF">2022-07-14T02:39:09Z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86D09BDF1D3D48839E0CE9A672A6E8A0</vt:lpwstr>
  </property>
</Properties>
</file>