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sz w:val="40"/>
          <w:szCs w:val="40"/>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首届世界职业院校技能大赛</w:t>
      </w:r>
    </w:p>
    <w:p>
      <w:pPr>
        <w:jc w:val="center"/>
        <w:rPr>
          <w:rFonts w:hint="eastAsia"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信息技术应用创新赛项线上</w:t>
      </w:r>
      <w:r>
        <w:rPr>
          <w:rFonts w:hint="eastAsia" w:ascii="方正小标宋简体" w:hAnsi="方正小标宋简体" w:eastAsia="方正小标宋简体" w:cs="方正小标宋简体"/>
          <w:sz w:val="36"/>
          <w:szCs w:val="36"/>
          <w:lang w:eastAsia="zh-Hans"/>
        </w:rPr>
        <w:t>竞赛</w:t>
      </w:r>
      <w:r>
        <w:rPr>
          <w:rFonts w:hint="eastAsia" w:ascii="方正小标宋简体" w:hAnsi="方正小标宋简体" w:eastAsia="方正小标宋简体" w:cs="方正小标宋简体"/>
          <w:sz w:val="36"/>
          <w:szCs w:val="36"/>
          <w:lang w:val="en-US" w:eastAsia="zh-CN"/>
        </w:rPr>
        <w:t>方</w:t>
      </w:r>
      <w:bookmarkStart w:id="43" w:name="_GoBack"/>
      <w:bookmarkEnd w:id="43"/>
      <w:r>
        <w:rPr>
          <w:rFonts w:hint="eastAsia" w:ascii="方正小标宋简体" w:hAnsi="方正小标宋简体" w:eastAsia="方正小标宋简体" w:cs="方正小标宋简体"/>
          <w:sz w:val="36"/>
          <w:szCs w:val="36"/>
          <w:lang w:eastAsia="zh-Hans"/>
        </w:rPr>
        <w:t>案</w:t>
      </w:r>
    </w:p>
    <w:p>
      <w:pPr>
        <w:numPr>
          <w:ilvl w:val="255"/>
          <w:numId w:val="0"/>
        </w:numPr>
        <w:spacing w:before="156" w:beforeLines="50" w:after="156" w:afterLines="50" w:line="560" w:lineRule="exact"/>
        <w:jc w:val="center"/>
        <w:rPr>
          <w:rFonts w:ascii="Times New Roman" w:hAnsi="Times New Roman" w:eastAsia="黑体"/>
          <w:sz w:val="32"/>
          <w:szCs w:val="32"/>
        </w:rPr>
      </w:pPr>
      <w:r>
        <w:rPr>
          <w:rFonts w:ascii="Times New Roman" w:hAnsi="Times New Roman" w:eastAsia="黑体"/>
          <w:sz w:val="32"/>
          <w:szCs w:val="32"/>
        </w:rPr>
        <w:t>第一部分  竞赛总体要求</w:t>
      </w:r>
      <w:bookmarkStart w:id="0" w:name="pindex14"/>
      <w:bookmarkEnd w:id="0"/>
    </w:p>
    <w:p>
      <w:pPr>
        <w:numPr>
          <w:ilvl w:val="255"/>
          <w:numId w:val="0"/>
        </w:numPr>
        <w:spacing w:line="560" w:lineRule="exact"/>
        <w:rPr>
          <w:rFonts w:ascii="Times New Roman" w:hAnsi="Times New Roman" w:eastAsia="仿宋"/>
          <w:b/>
          <w:bCs/>
          <w:sz w:val="30"/>
          <w:szCs w:val="30"/>
        </w:rPr>
      </w:pPr>
      <w:r>
        <w:rPr>
          <w:rFonts w:ascii="Times New Roman" w:hAnsi="Times New Roman" w:eastAsia="仿宋"/>
          <w:b/>
          <w:bCs/>
          <w:sz w:val="30"/>
          <w:szCs w:val="30"/>
        </w:rPr>
        <w:t>一、线上竞赛主要目标</w:t>
      </w:r>
      <w:bookmarkStart w:id="1" w:name="pindex16"/>
      <w:bookmarkEnd w:id="1"/>
    </w:p>
    <w:p>
      <w:pPr>
        <w:adjustRightInd w:val="0"/>
        <w:snapToGrid w:val="0"/>
        <w:spacing w:before="156" w:beforeLines="50"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大赛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与交流于一体的形式，分享国际职业技术教育最佳实践经验，提升我国职业技术教育在世界职业技术教育领域的影响力，推动我国职业技术教育与世界接轨。</w:t>
      </w:r>
    </w:p>
    <w:p>
      <w:pPr>
        <w:adjustRightIn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本赛项主要面向全世界职业院校信息技术类相关专业国内外的学生，引导职业院校</w:t>
      </w:r>
      <w:r>
        <w:rPr>
          <w:rFonts w:hint="eastAsia" w:ascii="Times New Roman" w:hAnsi="Times New Roman" w:eastAsia="仿宋_GB2312"/>
          <w:sz w:val="28"/>
          <w:szCs w:val="28"/>
        </w:rPr>
        <w:t>电子</w:t>
      </w:r>
      <w:r>
        <w:rPr>
          <w:rFonts w:ascii="Times New Roman" w:hAnsi="Times New Roman" w:eastAsia="仿宋_GB2312"/>
          <w:sz w:val="28"/>
          <w:szCs w:val="28"/>
        </w:rPr>
        <w:t>信息类专业建设</w:t>
      </w:r>
      <w:r>
        <w:rPr>
          <w:rFonts w:hint="eastAsia" w:ascii="Times New Roman" w:hAnsi="Times New Roman" w:eastAsia="仿宋_GB2312"/>
          <w:sz w:val="28"/>
          <w:szCs w:val="28"/>
        </w:rPr>
        <w:t>、</w:t>
      </w:r>
      <w:r>
        <w:rPr>
          <w:rFonts w:ascii="Times New Roman" w:hAnsi="Times New Roman" w:eastAsia="仿宋_GB2312"/>
          <w:sz w:val="28"/>
          <w:szCs w:val="28"/>
        </w:rPr>
        <w:t>紧密对接新一代信创行业产业链、创新链，提升学生信息技术创新产品应用和开发能力，提高学生专业能力素质与企业用人标准的吻合度，以适应新一轮科技革命和产业变革及新经济发展，为在新形势下全面提高信息技术类专业教学质量、扩大就业创业、提升国际化水平，推进经济转型升级、培育经济发展新动能做出新贡献。以团队赛的方式，中外选手联合组队，打通技术壁垒，实现相互赋能，促进信创产业国际化人才生态布局，加速服务信创装备与相关技术标准建设。秉承国际性顶级赛事“开放合作”的职业竞技精神，服务国家战略，深化产教融合，参与“一带一路”建设，推进“岗课赛证”融合育人改革，以赛促建、以赛促改，切实增强职业教育适应性，培养具有国际视野、通晓国际规则的“国际化”</w:t>
      </w:r>
      <w:r>
        <w:rPr>
          <w:rFonts w:hint="eastAsia" w:ascii="Times New Roman" w:hAnsi="Times New Roman" w:eastAsia="仿宋_GB2312"/>
          <w:sz w:val="28"/>
          <w:szCs w:val="28"/>
        </w:rPr>
        <w:t>专业</w:t>
      </w:r>
      <w:r>
        <w:rPr>
          <w:rFonts w:ascii="Times New Roman" w:hAnsi="Times New Roman" w:eastAsia="仿宋_GB2312"/>
          <w:sz w:val="28"/>
          <w:szCs w:val="28"/>
        </w:rPr>
        <w:t>技能人才，提高世界各国职业技能竞赛水平和国际影响力。</w:t>
      </w:r>
    </w:p>
    <w:p>
      <w:pPr>
        <w:numPr>
          <w:ilvl w:val="255"/>
          <w:numId w:val="0"/>
        </w:numPr>
        <w:spacing w:line="560" w:lineRule="exact"/>
        <w:rPr>
          <w:rFonts w:ascii="Times New Roman" w:hAnsi="Times New Roman" w:eastAsia="仿宋"/>
          <w:b/>
          <w:bCs/>
          <w:sz w:val="30"/>
          <w:szCs w:val="30"/>
        </w:rPr>
      </w:pPr>
      <w:r>
        <w:rPr>
          <w:rFonts w:ascii="Times New Roman" w:hAnsi="Times New Roman" w:eastAsia="仿宋"/>
          <w:b/>
          <w:bCs/>
          <w:sz w:val="30"/>
          <w:szCs w:val="30"/>
        </w:rPr>
        <w:t>二、线上竞赛基本原则</w:t>
      </w:r>
      <w:bookmarkStart w:id="2" w:name="pindex18"/>
      <w:bookmarkEnd w:id="2"/>
    </w:p>
    <w:p>
      <w:pPr>
        <w:numPr>
          <w:ilvl w:val="255"/>
          <w:numId w:val="0"/>
        </w:numPr>
        <w:spacing w:line="560" w:lineRule="exact"/>
        <w:rPr>
          <w:rFonts w:ascii="Times New Roman" w:hAnsi="Times New Roman" w:eastAsia="仿宋"/>
          <w:sz w:val="30"/>
          <w:szCs w:val="30"/>
        </w:rPr>
      </w:pPr>
      <w:r>
        <w:rPr>
          <w:rFonts w:ascii="Times New Roman" w:hAnsi="Times New Roman" w:eastAsia="仿宋"/>
          <w:sz w:val="30"/>
          <w:szCs w:val="30"/>
        </w:rPr>
        <w:t>1.国际标准原则</w:t>
      </w:r>
      <w:bookmarkStart w:id="3" w:name="pindex19"/>
      <w:bookmarkEnd w:id="3"/>
    </w:p>
    <w:p>
      <w:pPr>
        <w:numPr>
          <w:ilvl w:val="255"/>
          <w:numId w:val="0"/>
        </w:numPr>
        <w:spacing w:line="560" w:lineRule="exact"/>
        <w:ind w:firstLine="560" w:firstLineChars="200"/>
        <w:rPr>
          <w:rFonts w:ascii="Times New Roman" w:hAnsi="Times New Roman" w:eastAsia="仿宋_GB2312"/>
          <w:bCs/>
          <w:sz w:val="28"/>
          <w:szCs w:val="21"/>
        </w:rPr>
      </w:pPr>
      <w:r>
        <w:rPr>
          <w:rFonts w:ascii="Times New Roman" w:hAnsi="Times New Roman" w:eastAsia="仿宋_GB2312"/>
          <w:bCs/>
          <w:sz w:val="28"/>
          <w:szCs w:val="21"/>
        </w:rPr>
        <w:t>依据世界IEEE 802系列标准，结合我国国情，借鉴世界技能大赛网络安全及网络系统管理赛项有益做法，打造全新综合性、示范性、引领性职业技能竞赛工作体系，创新开展竞赛组织工作，推动赛训结合。在比赛准备、实施及赛后各环节，参照世赛标准和模式，探索技术工作新型运行机制。</w:t>
      </w:r>
    </w:p>
    <w:p>
      <w:pPr>
        <w:pStyle w:val="2"/>
        <w:rPr>
          <w:rFonts w:ascii="Times New Roman" w:hAnsi="Times New Roman"/>
        </w:rPr>
      </w:pPr>
    </w:p>
    <w:p>
      <w:pPr>
        <w:numPr>
          <w:ilvl w:val="0"/>
          <w:numId w:val="1"/>
        </w:numPr>
        <w:spacing w:line="560" w:lineRule="exact"/>
        <w:rPr>
          <w:rFonts w:ascii="Times New Roman" w:hAnsi="Times New Roman" w:eastAsia="仿宋"/>
          <w:sz w:val="30"/>
          <w:szCs w:val="30"/>
        </w:rPr>
      </w:pPr>
      <w:r>
        <w:rPr>
          <w:rFonts w:ascii="Times New Roman" w:hAnsi="Times New Roman" w:eastAsia="仿宋"/>
          <w:sz w:val="30"/>
          <w:szCs w:val="30"/>
        </w:rPr>
        <w:t>公平公正原则</w:t>
      </w:r>
      <w:bookmarkStart w:id="4" w:name="pindex20"/>
      <w:bookmarkEnd w:id="4"/>
    </w:p>
    <w:p>
      <w:pPr>
        <w:numPr>
          <w:ilvl w:val="255"/>
          <w:numId w:val="0"/>
        </w:numPr>
        <w:spacing w:line="560" w:lineRule="exact"/>
        <w:ind w:firstLine="560" w:firstLineChars="200"/>
        <w:rPr>
          <w:rFonts w:ascii="Times New Roman" w:hAnsi="Times New Roman" w:eastAsia="仿宋_GB2312"/>
          <w:bCs/>
          <w:sz w:val="28"/>
          <w:szCs w:val="21"/>
        </w:rPr>
      </w:pPr>
      <w:r>
        <w:rPr>
          <w:rFonts w:ascii="Times New Roman" w:hAnsi="Times New Roman" w:eastAsia="仿宋_GB2312"/>
          <w:bCs/>
          <w:sz w:val="28"/>
          <w:szCs w:val="21"/>
        </w:rPr>
        <w:t>赛项组织与筹备的各环节均须公开、公平、公正，通过公布技术文件，合理设计竞赛规则、项目操作规程、技术标准，公开执行过程，严格裁判回避制度等措施，保证比赛公平。加强裁判员培训，细化执裁分工，学习评分细则，严格评判纪律，规范仲裁行为，努力提升评判工作的精准度，避免相同的操作内容各组裁判之间的评分差异，保证比赛的公平、公正。通过对国内线上赛进行直播及录屏监督、流量监控、用户IP地址白名单绑定等方式，防止舞弊现象的发生，保证比赛顺利、有序的进行。</w:t>
      </w:r>
    </w:p>
    <w:p>
      <w:pPr>
        <w:pStyle w:val="2"/>
        <w:numPr>
          <w:ilvl w:val="255"/>
          <w:numId w:val="0"/>
        </w:numPr>
        <w:rPr>
          <w:rFonts w:ascii="Times New Roman" w:hAnsi="Times New Roman"/>
        </w:rPr>
      </w:pPr>
    </w:p>
    <w:p>
      <w:pPr>
        <w:numPr>
          <w:ilvl w:val="0"/>
          <w:numId w:val="1"/>
        </w:numPr>
        <w:spacing w:line="560" w:lineRule="exact"/>
        <w:rPr>
          <w:rFonts w:ascii="Times New Roman" w:hAnsi="Times New Roman" w:eastAsia="仿宋"/>
          <w:sz w:val="30"/>
          <w:szCs w:val="30"/>
        </w:rPr>
      </w:pPr>
      <w:r>
        <w:rPr>
          <w:rFonts w:ascii="Times New Roman" w:hAnsi="Times New Roman" w:eastAsia="仿宋"/>
          <w:sz w:val="30"/>
          <w:szCs w:val="30"/>
        </w:rPr>
        <w:t>协作配合原则</w:t>
      </w:r>
      <w:bookmarkStart w:id="5" w:name="pindex21"/>
      <w:bookmarkEnd w:id="5"/>
    </w:p>
    <w:p>
      <w:pPr>
        <w:pStyle w:val="2"/>
        <w:spacing w:line="560" w:lineRule="exact"/>
        <w:ind w:firstLine="560" w:firstLineChars="200"/>
        <w:jc w:val="both"/>
        <w:rPr>
          <w:rFonts w:ascii="Times New Roman" w:hAnsi="Times New Roman"/>
        </w:rPr>
      </w:pPr>
      <w:r>
        <w:rPr>
          <w:rFonts w:ascii="Times New Roman" w:hAnsi="Times New Roman" w:eastAsia="仿宋_GB2312"/>
          <w:bCs/>
          <w:sz w:val="28"/>
          <w:szCs w:val="21"/>
        </w:rPr>
        <w:t>为促进中外职业教育互融互通、院校交流合作、师生增进友谊，参赛队采用中外“手拉手”联队方式组队，体现团队意识和合作精神。在赛题设计上，各个模块考察技能点明确，参赛队需依据选手的技能特点，合理分配任务；同时，各个模块设置一定数量的综合题目，需同组选手协作完成，体现科学分工、协同配合的竞赛原则。</w:t>
      </w:r>
    </w:p>
    <w:p>
      <w:pPr>
        <w:pStyle w:val="2"/>
        <w:numPr>
          <w:ilvl w:val="255"/>
          <w:numId w:val="0"/>
        </w:numPr>
        <w:rPr>
          <w:rFonts w:ascii="Times New Roman" w:hAnsi="Times New Roman"/>
        </w:rPr>
      </w:pPr>
    </w:p>
    <w:p>
      <w:pPr>
        <w:numPr>
          <w:ilvl w:val="0"/>
          <w:numId w:val="1"/>
        </w:numPr>
        <w:spacing w:line="560" w:lineRule="exact"/>
        <w:rPr>
          <w:rFonts w:ascii="Times New Roman" w:hAnsi="Times New Roman" w:eastAsia="仿宋"/>
          <w:sz w:val="30"/>
          <w:szCs w:val="30"/>
        </w:rPr>
      </w:pPr>
      <w:r>
        <w:rPr>
          <w:rFonts w:ascii="Times New Roman" w:hAnsi="Times New Roman" w:eastAsia="仿宋"/>
          <w:sz w:val="30"/>
          <w:szCs w:val="30"/>
        </w:rPr>
        <w:t>科学竞赛原则</w:t>
      </w:r>
      <w:bookmarkStart w:id="6" w:name="pindex22"/>
      <w:bookmarkEnd w:id="6"/>
    </w:p>
    <w:p>
      <w:pPr>
        <w:pStyle w:val="2"/>
        <w:spacing w:line="560" w:lineRule="exact"/>
        <w:ind w:firstLine="560" w:firstLineChars="200"/>
        <w:jc w:val="both"/>
        <w:rPr>
          <w:rFonts w:ascii="Times New Roman" w:hAnsi="Times New Roman"/>
        </w:rPr>
      </w:pPr>
      <w:r>
        <w:rPr>
          <w:rFonts w:ascii="Times New Roman" w:hAnsi="Times New Roman" w:eastAsia="仿宋_GB2312"/>
          <w:bCs/>
          <w:sz w:val="28"/>
          <w:szCs w:val="21"/>
        </w:rPr>
        <w:t>为保障线上比赛顺利进行，通过制定合理的竞赛规程，避免赛中设备发生故障，确保参赛队能顺利完成比赛；对选手工作环境采用360度无死角监控、直播及录屏等方式，防止比赛中舞弊的发生，保证竞赛的公平公正；倡导绿色、环保、可持续的办赛理念，运用信息化手段，开展报名、评判等工作；借鉴世赛有益做法，确保大赛公开透明、科学规范。</w:t>
      </w:r>
    </w:p>
    <w:p>
      <w:pPr>
        <w:pStyle w:val="2"/>
        <w:numPr>
          <w:ilvl w:val="255"/>
          <w:numId w:val="0"/>
        </w:numPr>
        <w:rPr>
          <w:rFonts w:ascii="Times New Roman" w:hAnsi="Times New Roman"/>
        </w:rPr>
      </w:pPr>
    </w:p>
    <w:p>
      <w:pPr>
        <w:numPr>
          <w:ilvl w:val="0"/>
          <w:numId w:val="1"/>
        </w:numPr>
        <w:spacing w:line="560" w:lineRule="exact"/>
        <w:rPr>
          <w:rFonts w:ascii="Times New Roman" w:hAnsi="Times New Roman" w:eastAsia="仿宋"/>
          <w:sz w:val="30"/>
          <w:szCs w:val="30"/>
        </w:rPr>
      </w:pPr>
      <w:r>
        <w:rPr>
          <w:rFonts w:ascii="Times New Roman" w:hAnsi="Times New Roman" w:eastAsia="仿宋"/>
          <w:sz w:val="30"/>
          <w:szCs w:val="30"/>
        </w:rPr>
        <w:t>强化质量原则</w:t>
      </w:r>
      <w:bookmarkStart w:id="7" w:name="pindex23"/>
      <w:bookmarkEnd w:id="7"/>
    </w:p>
    <w:p>
      <w:pPr>
        <w:numPr>
          <w:ilvl w:val="255"/>
          <w:numId w:val="0"/>
        </w:num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为保证比赛质量，本赛项线上竞赛与线下竞赛考核内容完全相同，评分准则一致，竞赛内容符合职业标准，对接信创企业实际需求。通过使用公有云</w:t>
      </w:r>
      <w:r>
        <w:rPr>
          <w:rFonts w:hint="eastAsia" w:ascii="Times New Roman" w:hAnsi="Times New Roman" w:eastAsia="仿宋"/>
          <w:sz w:val="30"/>
          <w:szCs w:val="30"/>
        </w:rPr>
        <w:t>、VPN等</w:t>
      </w:r>
      <w:r>
        <w:rPr>
          <w:rFonts w:ascii="Times New Roman" w:hAnsi="Times New Roman" w:eastAsia="仿宋"/>
          <w:sz w:val="30"/>
          <w:szCs w:val="30"/>
        </w:rPr>
        <w:t>技术，保障线上办赛环境安全</w:t>
      </w:r>
      <w:r>
        <w:rPr>
          <w:rFonts w:hint="eastAsia" w:ascii="Times New Roman" w:hAnsi="Times New Roman" w:eastAsia="仿宋"/>
          <w:sz w:val="30"/>
          <w:szCs w:val="30"/>
        </w:rPr>
        <w:t>、可信</w:t>
      </w:r>
      <w:r>
        <w:rPr>
          <w:rFonts w:ascii="Times New Roman" w:hAnsi="Times New Roman" w:eastAsia="仿宋"/>
          <w:sz w:val="30"/>
          <w:szCs w:val="30"/>
        </w:rPr>
        <w:t>。通过腾讯会议</w:t>
      </w:r>
      <w:r>
        <w:rPr>
          <w:rFonts w:hint="eastAsia" w:ascii="Times New Roman" w:hAnsi="Times New Roman" w:eastAsia="仿宋"/>
          <w:sz w:val="30"/>
          <w:szCs w:val="30"/>
        </w:rPr>
        <w:t>、</w:t>
      </w:r>
      <w:r>
        <w:rPr>
          <w:rFonts w:ascii="Times New Roman" w:hAnsi="Times New Roman" w:eastAsia="仿宋"/>
          <w:sz w:val="30"/>
          <w:szCs w:val="30"/>
        </w:rPr>
        <w:t>网络流量监控等手段，对参赛选手进行实时监控，保证比赛的公平公正。</w:t>
      </w:r>
    </w:p>
    <w:p>
      <w:pPr>
        <w:pStyle w:val="2"/>
        <w:numPr>
          <w:ilvl w:val="255"/>
          <w:numId w:val="0"/>
        </w:numPr>
        <w:rPr>
          <w:rFonts w:ascii="Times New Roman" w:hAnsi="Times New Roman"/>
        </w:rPr>
      </w:pPr>
    </w:p>
    <w:p>
      <w:pPr>
        <w:numPr>
          <w:ilvl w:val="255"/>
          <w:numId w:val="0"/>
        </w:numPr>
        <w:spacing w:line="560" w:lineRule="exact"/>
        <w:rPr>
          <w:rFonts w:ascii="Times New Roman" w:hAnsi="Times New Roman" w:eastAsia="黑体"/>
          <w:sz w:val="32"/>
          <w:szCs w:val="32"/>
        </w:rPr>
      </w:pPr>
      <w:r>
        <w:rPr>
          <w:rFonts w:ascii="Times New Roman" w:hAnsi="Times New Roman" w:eastAsia="仿宋"/>
          <w:sz w:val="30"/>
          <w:szCs w:val="30"/>
        </w:rPr>
        <w:t>6.加强交流原则</w:t>
      </w:r>
      <w:bookmarkStart w:id="8" w:name="pindex24"/>
      <w:bookmarkEnd w:id="8"/>
    </w:p>
    <w:p>
      <w:pPr>
        <w:pStyle w:val="2"/>
        <w:spacing w:line="560" w:lineRule="exact"/>
        <w:ind w:firstLine="560" w:firstLineChars="200"/>
        <w:rPr>
          <w:rFonts w:ascii="Times New Roman" w:hAnsi="Times New Roman"/>
        </w:rPr>
      </w:pPr>
      <w:r>
        <w:rPr>
          <w:rFonts w:ascii="Times New Roman" w:hAnsi="Times New Roman" w:eastAsia="仿宋_GB2312"/>
          <w:bCs/>
          <w:sz w:val="28"/>
          <w:szCs w:val="21"/>
        </w:rPr>
        <w:t>面向社会集中开放办赛，将技能竞赛与技能展示交流等活动有机结合，吸引企业、社会机构广泛参与和观摩，扩大大赛社会影响，为国内外职业院校及企业搭建交流平台，促进信创产业的发展。</w:t>
      </w:r>
    </w:p>
    <w:p>
      <w:pPr>
        <w:pStyle w:val="2"/>
        <w:rPr>
          <w:rFonts w:ascii="Times New Roman" w:hAnsi="Times New Roman"/>
        </w:rPr>
      </w:pPr>
    </w:p>
    <w:p>
      <w:pPr>
        <w:numPr>
          <w:ilvl w:val="255"/>
          <w:numId w:val="0"/>
        </w:numPr>
        <w:spacing w:line="560" w:lineRule="exact"/>
        <w:rPr>
          <w:rFonts w:ascii="Times New Roman" w:hAnsi="Times New Roman" w:eastAsia="黑体"/>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255"/>
          <w:numId w:val="0"/>
        </w:numPr>
        <w:spacing w:before="156" w:beforeLines="50" w:after="156" w:afterLines="50" w:line="560" w:lineRule="exact"/>
        <w:jc w:val="center"/>
        <w:rPr>
          <w:rFonts w:ascii="Times New Roman" w:hAnsi="Times New Roman" w:eastAsia="黑体"/>
          <w:sz w:val="32"/>
          <w:szCs w:val="32"/>
        </w:rPr>
      </w:pPr>
      <w:r>
        <w:rPr>
          <w:rFonts w:ascii="Times New Roman" w:hAnsi="Times New Roman" w:eastAsia="黑体"/>
          <w:sz w:val="32"/>
          <w:szCs w:val="32"/>
        </w:rPr>
        <w:t>第二部分  竞赛组织实施</w:t>
      </w:r>
      <w:bookmarkStart w:id="9" w:name="pindex34"/>
      <w:bookmarkEnd w:id="9"/>
    </w:p>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三、竞赛形式</w:t>
      </w:r>
      <w:bookmarkStart w:id="10" w:name="pindex36"/>
      <w:bookmarkEnd w:id="10"/>
    </w:p>
    <w:p>
      <w:pPr>
        <w:widowControl/>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根据赛项的组队方式和竞赛内容，考虑“线上+线下”</w:t>
      </w:r>
      <w:r>
        <w:rPr>
          <w:rFonts w:hint="eastAsia" w:ascii="Times New Roman" w:hAnsi="Times New Roman" w:eastAsia="仿宋"/>
          <w:sz w:val="30"/>
          <w:szCs w:val="30"/>
        </w:rPr>
        <w:t>、</w:t>
      </w:r>
      <w:r>
        <w:rPr>
          <w:rFonts w:ascii="Times New Roman" w:hAnsi="Times New Roman" w:eastAsia="仿宋"/>
          <w:sz w:val="30"/>
          <w:szCs w:val="30"/>
        </w:rPr>
        <w:t>“集中+分散相结合”的可能性，确定线上竞赛形式。</w:t>
      </w:r>
    </w:p>
    <w:p>
      <w:pPr>
        <w:widowControl/>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本竞赛为团体赛，采用“1+1”手拉手中外联合方式组队</w:t>
      </w:r>
      <w:r>
        <w:rPr>
          <w:rFonts w:hint="eastAsia" w:ascii="Times New Roman" w:hAnsi="Times New Roman" w:eastAsia="仿宋"/>
          <w:sz w:val="30"/>
          <w:szCs w:val="30"/>
        </w:rPr>
        <w:t>。</w:t>
      </w:r>
      <w:r>
        <w:rPr>
          <w:rFonts w:ascii="Times New Roman" w:hAnsi="Times New Roman" w:eastAsia="仿宋"/>
          <w:sz w:val="30"/>
          <w:szCs w:val="30"/>
        </w:rPr>
        <w:t>其中，国外选手竞赛内容（信创理论及CTF），可完全以线上竞赛方式完成。国内选手第一阶段考核内容，需硬件设备支持，可分散到参赛队所在地线下进行；第二</w:t>
      </w:r>
      <w:r>
        <w:rPr>
          <w:rFonts w:hint="eastAsia" w:ascii="Times New Roman" w:hAnsi="Times New Roman" w:eastAsia="仿宋"/>
          <w:sz w:val="30"/>
          <w:szCs w:val="30"/>
        </w:rPr>
        <w:t>、</w:t>
      </w:r>
      <w:r>
        <w:rPr>
          <w:rFonts w:ascii="Times New Roman" w:hAnsi="Times New Roman" w:eastAsia="仿宋"/>
          <w:sz w:val="30"/>
          <w:szCs w:val="30"/>
        </w:rPr>
        <w:t>三阶段内容，借鉴国内外CTF及安全对抗竞赛方式，可将竞赛环境部署到公网上，采用线上竞赛的方式进行。</w:t>
      </w:r>
    </w:p>
    <w:p>
      <w:pPr>
        <w:widowControl/>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参赛队按照线上参赛环境设置标准，布置竞赛场地并线上参赛。各参赛校在本校或经世校赛执委会批准的其他场地设置赛场，按规定时间统一开赛，直播比赛，结束后在规定时间内提交录制的视频。</w:t>
      </w:r>
    </w:p>
    <w:p>
      <w:pPr>
        <w:widowControl/>
        <w:numPr>
          <w:ilvl w:val="255"/>
          <w:numId w:val="0"/>
        </w:numPr>
        <w:ind w:firstLine="600" w:firstLineChars="200"/>
        <w:rPr>
          <w:rFonts w:ascii="Times New Roman" w:hAnsi="Times New Roman"/>
        </w:rPr>
      </w:pPr>
      <w:r>
        <w:rPr>
          <w:rFonts w:ascii="Times New Roman" w:hAnsi="Times New Roman" w:eastAsia="仿宋"/>
          <w:sz w:val="30"/>
          <w:szCs w:val="30"/>
        </w:rPr>
        <w:t>比赛采取现场+录播的方式进行。国内参赛组进行现场比赛；国外参赛组无法来现场比赛的，采取录播方式进行比赛。国外参赛组须于正式比赛日7天前将符合比赛要求的比赛视频发至执委会指定邮箱，由执委会统一查验试播并封存备案。正式比赛日由裁判组启封，通过现场大屏幕公开播放国外参赛组视频方式进行比赛。比赛视频要求:文件格式为 MP4，分辨率不低于1280*720，宽高比建议 16:9，视频内容需完整展示比赛过程。</w:t>
      </w:r>
    </w:p>
    <w:p>
      <w:pPr>
        <w:pStyle w:val="2"/>
        <w:rPr>
          <w:rFonts w:ascii="Times New Roman" w:hAnsi="Times New Roman"/>
        </w:rPr>
      </w:pPr>
    </w:p>
    <w:p>
      <w:pPr>
        <w:pStyle w:val="2"/>
        <w:rPr>
          <w:rFonts w:hint="eastAsia" w:ascii="Times New Roman" w:hAnsi="Times New Roman"/>
        </w:rPr>
      </w:pPr>
    </w:p>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四、</w:t>
      </w:r>
      <w:bookmarkStart w:id="11" w:name="pindex47"/>
      <w:bookmarkEnd w:id="11"/>
      <w:r>
        <w:rPr>
          <w:rFonts w:ascii="Times New Roman" w:hAnsi="Times New Roman" w:eastAsia="仿宋"/>
          <w:b/>
          <w:bCs/>
          <w:sz w:val="30"/>
          <w:szCs w:val="30"/>
        </w:rPr>
        <w:t>竞赛内容</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请根据赛项规程描述竞赛内容。</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重点考核参赛选手信创数据中心机房综合布线、信创设备搭建、信创系统管理与维护、信创网络渗透技术与测试、网络系统安全策略部署、按照等级保护要求进行系统加固与信息保护、网络安全运维管理等综合实践能力，具体包括：</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(一)参赛选手能够根据业务需求和实际的工程应用环境，实现信创机房综合布线、信创设备搭建、信创服务器的连接，通过调试，实现设备互联互通。</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二)参赛选手能够在赛项提供的信创网络设备及服务器上配置各种协议和服务；能够根据需求利用Python语言编写相关的运维程序，以实现对网络的管理，确保信创网络系统的高效运行；能够根据网络业务需求配置各种安全策略，组建网络以满足应用需求。</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(三)参赛选手能够根据网络系统实际运行中面临的安全威胁，按照等级保护要求制定安全策略并部署实施，实现系统的加固，防范并解决网络恶意入侵和攻击行为。</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(四)以参赛队为单位进行信创安全对抗，在防护本参赛队服务器的同时，渗透其他参赛队的服务器，服务器被渗透的参赛队将被扣除相应分数。比赛结果通过大屏幕等形式在休息区实时展示。</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五)人工智能在信创安全中的应用。运用各种机器学习算法，包括回归分析、聚类分析、时间序列分析、神经网络等，构建一个用于识别恶意URL的系统，以及用于检测欺诈性的电子邮件、垃圾邮件、网页木马，来检测并警告网络中的任何恶意活动。</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竞赛题目分为国内选手和国外选手两个部分，按各50%的权重合计成绩。</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1. 对国内选手的考核全部采用现场实操方式进行，考核内容及占比如下：</w:t>
      </w:r>
    </w:p>
    <w:tbl>
      <w:tblPr>
        <w:tblStyle w:val="6"/>
        <w:tblW w:w="0" w:type="auto"/>
        <w:tblInd w:w="0" w:type="dxa"/>
        <w:tblLayout w:type="autofit"/>
        <w:tblCellMar>
          <w:top w:w="0" w:type="dxa"/>
          <w:left w:w="108" w:type="dxa"/>
          <w:bottom w:w="0" w:type="dxa"/>
          <w:right w:w="108" w:type="dxa"/>
        </w:tblCellMar>
      </w:tblPr>
      <w:tblGrid>
        <w:gridCol w:w="1191"/>
        <w:gridCol w:w="4980"/>
        <w:gridCol w:w="1175"/>
        <w:gridCol w:w="1176"/>
      </w:tblGrid>
      <w:tr>
        <w:tblPrEx>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2"/>
              <w:jc w:val="center"/>
              <w:rPr>
                <w:b/>
                <w:kern w:val="0"/>
              </w:rPr>
            </w:pPr>
            <w:r>
              <w:rPr>
                <w:b/>
                <w:kern w:val="0"/>
              </w:rPr>
              <w:t>序号</w:t>
            </w:r>
          </w:p>
        </w:tc>
        <w:tc>
          <w:tcPr>
            <w:tcW w:w="0" w:type="auto"/>
            <w:tcBorders>
              <w:top w:val="single" w:color="auto" w:sz="4" w:space="0"/>
              <w:left w:val="nil"/>
              <w:bottom w:val="single" w:color="auto" w:sz="4" w:space="0"/>
              <w:right w:val="single" w:color="auto" w:sz="4" w:space="0"/>
            </w:tcBorders>
            <w:vAlign w:val="center"/>
          </w:tcPr>
          <w:p>
            <w:pPr>
              <w:pStyle w:val="12"/>
              <w:jc w:val="center"/>
              <w:rPr>
                <w:b/>
                <w:kern w:val="0"/>
              </w:rPr>
            </w:pPr>
            <w:r>
              <w:rPr>
                <w:b/>
                <w:kern w:val="0"/>
              </w:rPr>
              <w:t>内容模块</w:t>
            </w:r>
          </w:p>
        </w:tc>
        <w:tc>
          <w:tcPr>
            <w:tcW w:w="0" w:type="auto"/>
            <w:tcBorders>
              <w:top w:val="single" w:color="auto" w:sz="4" w:space="0"/>
              <w:left w:val="nil"/>
              <w:bottom w:val="single" w:color="auto" w:sz="4" w:space="0"/>
              <w:right w:val="single" w:color="auto" w:sz="4" w:space="0"/>
            </w:tcBorders>
            <w:vAlign w:val="center"/>
          </w:tcPr>
          <w:p>
            <w:pPr>
              <w:pStyle w:val="12"/>
              <w:jc w:val="center"/>
              <w:rPr>
                <w:b/>
                <w:kern w:val="0"/>
              </w:rPr>
            </w:pPr>
            <w:r>
              <w:rPr>
                <w:b/>
                <w:kern w:val="0"/>
              </w:rPr>
              <w:t>竞赛时间</w:t>
            </w:r>
          </w:p>
        </w:tc>
        <w:tc>
          <w:tcPr>
            <w:tcW w:w="0" w:type="auto"/>
            <w:tcBorders>
              <w:top w:val="single" w:color="auto" w:sz="4" w:space="0"/>
              <w:left w:val="nil"/>
              <w:bottom w:val="single" w:color="auto" w:sz="4" w:space="0"/>
              <w:right w:val="single" w:color="auto" w:sz="4" w:space="0"/>
            </w:tcBorders>
          </w:tcPr>
          <w:p>
            <w:pPr>
              <w:pStyle w:val="12"/>
              <w:jc w:val="center"/>
              <w:rPr>
                <w:b/>
                <w:kern w:val="0"/>
              </w:rPr>
            </w:pPr>
            <w:r>
              <w:rPr>
                <w:b/>
                <w:kern w:val="0"/>
              </w:rPr>
              <w:t>占总成绩</w:t>
            </w:r>
          </w:p>
        </w:tc>
      </w:tr>
      <w:tr>
        <w:tblPrEx>
          <w:tblCellMar>
            <w:top w:w="0" w:type="dxa"/>
            <w:left w:w="108" w:type="dxa"/>
            <w:bottom w:w="0" w:type="dxa"/>
            <w:right w:w="108" w:type="dxa"/>
          </w:tblCellMar>
        </w:tblPrEx>
        <w:trPr>
          <w:trHeight w:val="285" w:hRule="atLeast"/>
        </w:trPr>
        <w:tc>
          <w:tcPr>
            <w:tcW w:w="0" w:type="auto"/>
            <w:vMerge w:val="restart"/>
            <w:tcBorders>
              <w:top w:val="nil"/>
              <w:left w:val="single" w:color="auto" w:sz="4" w:space="0"/>
              <w:bottom w:val="single" w:color="auto" w:sz="4" w:space="0"/>
              <w:right w:val="single" w:color="auto" w:sz="4" w:space="0"/>
            </w:tcBorders>
            <w:vAlign w:val="center"/>
          </w:tcPr>
          <w:p>
            <w:pPr>
              <w:pStyle w:val="12"/>
              <w:jc w:val="center"/>
              <w:rPr>
                <w:kern w:val="0"/>
              </w:rPr>
            </w:pPr>
            <w:r>
              <w:rPr>
                <w:kern w:val="0"/>
              </w:rPr>
              <w:t>第一阶段</w:t>
            </w:r>
          </w:p>
          <w:p>
            <w:pPr>
              <w:pStyle w:val="12"/>
              <w:jc w:val="center"/>
              <w:rPr>
                <w:kern w:val="0"/>
              </w:rPr>
            </w:pPr>
            <w:r>
              <w:rPr>
                <w:kern w:val="0"/>
              </w:rPr>
              <w:t>权重60%</w:t>
            </w:r>
          </w:p>
        </w:tc>
        <w:tc>
          <w:tcPr>
            <w:tcW w:w="0" w:type="auto"/>
            <w:tcBorders>
              <w:top w:val="nil"/>
              <w:left w:val="nil"/>
              <w:bottom w:val="single" w:color="auto" w:sz="4" w:space="0"/>
              <w:right w:val="single" w:color="auto" w:sz="4" w:space="0"/>
            </w:tcBorders>
            <w:vAlign w:val="center"/>
          </w:tcPr>
          <w:p>
            <w:pPr>
              <w:pStyle w:val="12"/>
              <w:jc w:val="left"/>
              <w:rPr>
                <w:strike/>
                <w:kern w:val="0"/>
              </w:rPr>
            </w:pPr>
            <w:r>
              <w:rPr>
                <w:kern w:val="0"/>
              </w:rPr>
              <w:t>信创设备搭建、上架、布线、链路测试</w:t>
            </w:r>
          </w:p>
          <w:p>
            <w:pPr>
              <w:pStyle w:val="12"/>
              <w:jc w:val="left"/>
              <w:rPr>
                <w:kern w:val="0"/>
              </w:rPr>
            </w:pPr>
            <w:r>
              <w:rPr>
                <w:kern w:val="0"/>
              </w:rPr>
              <w:t>权重10%</w:t>
            </w:r>
          </w:p>
        </w:tc>
        <w:tc>
          <w:tcPr>
            <w:tcW w:w="0" w:type="auto"/>
            <w:vMerge w:val="restart"/>
            <w:tcBorders>
              <w:top w:val="nil"/>
              <w:left w:val="nil"/>
              <w:right w:val="single" w:color="auto" w:sz="4" w:space="0"/>
            </w:tcBorders>
            <w:vAlign w:val="center"/>
          </w:tcPr>
          <w:p>
            <w:pPr>
              <w:pStyle w:val="12"/>
              <w:jc w:val="center"/>
              <w:rPr>
                <w:kern w:val="0"/>
              </w:rPr>
            </w:pPr>
            <w:r>
              <w:rPr>
                <w:kern w:val="0"/>
              </w:rPr>
              <w:t>240分钟</w:t>
            </w:r>
          </w:p>
        </w:tc>
        <w:tc>
          <w:tcPr>
            <w:tcW w:w="0" w:type="auto"/>
            <w:vMerge w:val="restart"/>
            <w:tcBorders>
              <w:top w:val="nil"/>
              <w:left w:val="nil"/>
              <w:right w:val="single" w:color="auto" w:sz="4" w:space="0"/>
            </w:tcBorders>
          </w:tcPr>
          <w:p>
            <w:pPr>
              <w:pStyle w:val="12"/>
              <w:jc w:val="center"/>
              <w:rPr>
                <w:kern w:val="0"/>
              </w:rPr>
            </w:pPr>
          </w:p>
          <w:p>
            <w:pPr>
              <w:pStyle w:val="12"/>
              <w:jc w:val="center"/>
              <w:rPr>
                <w:kern w:val="0"/>
              </w:rPr>
            </w:pPr>
          </w:p>
          <w:p>
            <w:pPr>
              <w:pStyle w:val="12"/>
              <w:rPr>
                <w:kern w:val="0"/>
              </w:rPr>
            </w:pPr>
          </w:p>
          <w:p>
            <w:pPr>
              <w:pStyle w:val="12"/>
              <w:jc w:val="center"/>
              <w:rPr>
                <w:kern w:val="0"/>
              </w:rPr>
            </w:pPr>
          </w:p>
          <w:p>
            <w:pPr>
              <w:pStyle w:val="12"/>
              <w:jc w:val="center"/>
              <w:rPr>
                <w:kern w:val="0"/>
              </w:rPr>
            </w:pPr>
            <w:r>
              <w:rPr>
                <w:kern w:val="0"/>
              </w:rPr>
              <w:br w:type="textWrapping"/>
            </w:r>
            <w:r>
              <w:rPr>
                <w:kern w:val="0"/>
              </w:rPr>
              <w:t>50%</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auto" w:sz="4" w:space="0"/>
              <w:right w:val="single" w:color="auto" w:sz="4" w:space="0"/>
            </w:tcBorders>
            <w:vAlign w:val="center"/>
          </w:tcPr>
          <w:p>
            <w:pPr>
              <w:pStyle w:val="12"/>
              <w:jc w:val="center"/>
              <w:rPr>
                <w:kern w:val="0"/>
              </w:rPr>
            </w:pPr>
          </w:p>
        </w:tc>
        <w:tc>
          <w:tcPr>
            <w:tcW w:w="0" w:type="auto"/>
            <w:tcBorders>
              <w:top w:val="nil"/>
              <w:left w:val="nil"/>
              <w:bottom w:val="single" w:color="auto" w:sz="4" w:space="0"/>
              <w:right w:val="single" w:color="auto" w:sz="4" w:space="0"/>
            </w:tcBorders>
            <w:vAlign w:val="center"/>
          </w:tcPr>
          <w:p>
            <w:pPr>
              <w:pStyle w:val="12"/>
              <w:rPr>
                <w:kern w:val="0"/>
              </w:rPr>
            </w:pPr>
            <w:r>
              <w:rPr>
                <w:kern w:val="0"/>
              </w:rPr>
              <w:t>信创设备配置、安装、适配、系统运维及应用</w:t>
            </w:r>
          </w:p>
          <w:p>
            <w:pPr>
              <w:pStyle w:val="12"/>
              <w:jc w:val="left"/>
              <w:rPr>
                <w:kern w:val="0"/>
              </w:rPr>
            </w:pPr>
            <w:r>
              <w:rPr>
                <w:kern w:val="0"/>
              </w:rPr>
              <w:t>权重45%</w:t>
            </w:r>
          </w:p>
        </w:tc>
        <w:tc>
          <w:tcPr>
            <w:tcW w:w="0" w:type="auto"/>
            <w:vMerge w:val="continue"/>
            <w:tcBorders>
              <w:top w:val="nil"/>
              <w:left w:val="nil"/>
              <w:right w:val="single" w:color="auto" w:sz="4" w:space="0"/>
            </w:tcBorders>
            <w:vAlign w:val="center"/>
          </w:tcPr>
          <w:p>
            <w:pPr>
              <w:pStyle w:val="12"/>
              <w:jc w:val="center"/>
              <w:rPr>
                <w:kern w:val="0"/>
              </w:rPr>
            </w:pPr>
          </w:p>
        </w:tc>
        <w:tc>
          <w:tcPr>
            <w:tcW w:w="0" w:type="auto"/>
            <w:vMerge w:val="continue"/>
            <w:tcBorders>
              <w:left w:val="nil"/>
              <w:right w:val="single" w:color="auto" w:sz="4" w:space="0"/>
            </w:tcBorders>
          </w:tcPr>
          <w:p>
            <w:pPr>
              <w:pStyle w:val="12"/>
              <w:jc w:val="center"/>
              <w:rPr>
                <w:kern w:val="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auto" w:sz="4" w:space="0"/>
              <w:right w:val="single" w:color="auto" w:sz="4" w:space="0"/>
            </w:tcBorders>
            <w:vAlign w:val="center"/>
          </w:tcPr>
          <w:p>
            <w:pPr>
              <w:pStyle w:val="12"/>
              <w:jc w:val="center"/>
              <w:rPr>
                <w:kern w:val="0"/>
              </w:rPr>
            </w:pPr>
          </w:p>
        </w:tc>
        <w:tc>
          <w:tcPr>
            <w:tcW w:w="0" w:type="auto"/>
            <w:tcBorders>
              <w:top w:val="nil"/>
              <w:left w:val="nil"/>
              <w:bottom w:val="single" w:color="auto" w:sz="4" w:space="0"/>
              <w:right w:val="single" w:color="auto" w:sz="4" w:space="0"/>
            </w:tcBorders>
            <w:vAlign w:val="center"/>
          </w:tcPr>
          <w:p>
            <w:pPr>
              <w:pStyle w:val="12"/>
              <w:jc w:val="left"/>
              <w:rPr>
                <w:kern w:val="0"/>
              </w:rPr>
            </w:pPr>
            <w:r>
              <w:rPr>
                <w:kern w:val="0"/>
              </w:rPr>
              <w:t>职业素养5%</w:t>
            </w:r>
          </w:p>
          <w:p>
            <w:pPr>
              <w:pStyle w:val="12"/>
              <w:jc w:val="left"/>
              <w:rPr>
                <w:kern w:val="0"/>
              </w:rPr>
            </w:pPr>
            <w:r>
              <w:rPr>
                <w:kern w:val="0"/>
              </w:rPr>
              <w:t>权重5%</w:t>
            </w:r>
          </w:p>
        </w:tc>
        <w:tc>
          <w:tcPr>
            <w:tcW w:w="0" w:type="auto"/>
            <w:vMerge w:val="continue"/>
            <w:tcBorders>
              <w:left w:val="nil"/>
              <w:bottom w:val="single" w:color="auto" w:sz="4" w:space="0"/>
              <w:right w:val="single" w:color="auto" w:sz="4" w:space="0"/>
            </w:tcBorders>
            <w:vAlign w:val="center"/>
          </w:tcPr>
          <w:p>
            <w:pPr>
              <w:pStyle w:val="12"/>
              <w:jc w:val="center"/>
              <w:rPr>
                <w:kern w:val="0"/>
              </w:rPr>
            </w:pPr>
          </w:p>
        </w:tc>
        <w:tc>
          <w:tcPr>
            <w:tcW w:w="0" w:type="auto"/>
            <w:vMerge w:val="continue"/>
            <w:tcBorders>
              <w:left w:val="nil"/>
              <w:right w:val="single" w:color="auto" w:sz="4" w:space="0"/>
            </w:tcBorders>
          </w:tcPr>
          <w:p>
            <w:pPr>
              <w:pStyle w:val="12"/>
              <w:jc w:val="center"/>
              <w:rPr>
                <w:kern w:val="0"/>
              </w:rPr>
            </w:pP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vAlign w:val="center"/>
          </w:tcPr>
          <w:p>
            <w:pPr>
              <w:pStyle w:val="12"/>
              <w:jc w:val="center"/>
              <w:rPr>
                <w:kern w:val="0"/>
              </w:rPr>
            </w:pPr>
            <w:r>
              <w:rPr>
                <w:kern w:val="0"/>
              </w:rPr>
              <w:t>第二阶段</w:t>
            </w:r>
          </w:p>
          <w:p>
            <w:pPr>
              <w:pStyle w:val="12"/>
              <w:jc w:val="center"/>
              <w:rPr>
                <w:kern w:val="0"/>
              </w:rPr>
            </w:pPr>
            <w:r>
              <w:rPr>
                <w:kern w:val="0"/>
              </w:rPr>
              <w:t>权重20%</w:t>
            </w:r>
          </w:p>
        </w:tc>
        <w:tc>
          <w:tcPr>
            <w:tcW w:w="0" w:type="auto"/>
            <w:tcBorders>
              <w:top w:val="nil"/>
              <w:left w:val="nil"/>
              <w:bottom w:val="single" w:color="auto" w:sz="4" w:space="0"/>
              <w:right w:val="single" w:color="auto" w:sz="4" w:space="0"/>
            </w:tcBorders>
            <w:vAlign w:val="center"/>
          </w:tcPr>
          <w:p>
            <w:pPr>
              <w:pStyle w:val="12"/>
              <w:jc w:val="left"/>
              <w:rPr>
                <w:kern w:val="0"/>
              </w:rPr>
            </w:pPr>
            <w:r>
              <w:rPr>
                <w:kern w:val="0"/>
              </w:rPr>
              <w:t>信创CTF</w:t>
            </w:r>
          </w:p>
          <w:p>
            <w:pPr>
              <w:pStyle w:val="12"/>
              <w:jc w:val="left"/>
              <w:rPr>
                <w:kern w:val="0"/>
              </w:rPr>
            </w:pPr>
            <w:r>
              <w:rPr>
                <w:kern w:val="0"/>
              </w:rPr>
              <w:t>权重20%</w:t>
            </w:r>
          </w:p>
        </w:tc>
        <w:tc>
          <w:tcPr>
            <w:tcW w:w="0" w:type="auto"/>
            <w:tcBorders>
              <w:top w:val="single" w:color="auto" w:sz="4" w:space="0"/>
              <w:left w:val="nil"/>
              <w:bottom w:val="single" w:color="auto" w:sz="4" w:space="0"/>
              <w:right w:val="single" w:color="auto" w:sz="4" w:space="0"/>
            </w:tcBorders>
            <w:vAlign w:val="center"/>
          </w:tcPr>
          <w:p>
            <w:pPr>
              <w:pStyle w:val="12"/>
              <w:jc w:val="center"/>
              <w:rPr>
                <w:kern w:val="0"/>
              </w:rPr>
            </w:pPr>
            <w:r>
              <w:rPr>
                <w:kern w:val="0"/>
              </w:rPr>
              <w:t>120分钟</w:t>
            </w:r>
          </w:p>
        </w:tc>
        <w:tc>
          <w:tcPr>
            <w:tcW w:w="0" w:type="auto"/>
            <w:vMerge w:val="continue"/>
            <w:tcBorders>
              <w:left w:val="nil"/>
              <w:right w:val="single" w:color="auto" w:sz="4" w:space="0"/>
            </w:tcBorders>
          </w:tcPr>
          <w:p>
            <w:pPr>
              <w:pStyle w:val="12"/>
              <w:jc w:val="center"/>
              <w:rPr>
                <w:kern w:val="0"/>
              </w:rPr>
            </w:pP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vAlign w:val="center"/>
          </w:tcPr>
          <w:p>
            <w:pPr>
              <w:pStyle w:val="12"/>
              <w:jc w:val="center"/>
              <w:rPr>
                <w:kern w:val="0"/>
              </w:rPr>
            </w:pPr>
            <w:r>
              <w:rPr>
                <w:kern w:val="0"/>
              </w:rPr>
              <w:t>第三阶段</w:t>
            </w:r>
          </w:p>
          <w:p>
            <w:pPr>
              <w:pStyle w:val="12"/>
              <w:jc w:val="center"/>
              <w:rPr>
                <w:kern w:val="0"/>
              </w:rPr>
            </w:pPr>
            <w:r>
              <w:rPr>
                <w:kern w:val="0"/>
              </w:rPr>
              <w:t>权重20%</w:t>
            </w:r>
          </w:p>
        </w:tc>
        <w:tc>
          <w:tcPr>
            <w:tcW w:w="0" w:type="auto"/>
            <w:tcBorders>
              <w:top w:val="nil"/>
              <w:left w:val="nil"/>
              <w:bottom w:val="single" w:color="auto" w:sz="4" w:space="0"/>
              <w:right w:val="single" w:color="auto" w:sz="4" w:space="0"/>
            </w:tcBorders>
            <w:vAlign w:val="center"/>
          </w:tcPr>
          <w:p>
            <w:pPr>
              <w:pStyle w:val="12"/>
              <w:jc w:val="left"/>
              <w:rPr>
                <w:kern w:val="0"/>
              </w:rPr>
            </w:pPr>
            <w:r>
              <w:rPr>
                <w:kern w:val="0"/>
              </w:rPr>
              <w:t>信创安全对抗</w:t>
            </w:r>
          </w:p>
          <w:p>
            <w:pPr>
              <w:pStyle w:val="12"/>
              <w:jc w:val="left"/>
              <w:rPr>
                <w:kern w:val="0"/>
              </w:rPr>
            </w:pPr>
            <w:r>
              <w:rPr>
                <w:kern w:val="0"/>
              </w:rPr>
              <w:t>权重20%</w:t>
            </w:r>
          </w:p>
        </w:tc>
        <w:tc>
          <w:tcPr>
            <w:tcW w:w="0" w:type="auto"/>
            <w:tcBorders>
              <w:top w:val="nil"/>
              <w:left w:val="nil"/>
              <w:bottom w:val="single" w:color="auto" w:sz="4" w:space="0"/>
              <w:right w:val="single" w:color="auto" w:sz="4" w:space="0"/>
            </w:tcBorders>
            <w:vAlign w:val="center"/>
          </w:tcPr>
          <w:p>
            <w:pPr>
              <w:pStyle w:val="12"/>
              <w:jc w:val="center"/>
              <w:rPr>
                <w:kern w:val="0"/>
              </w:rPr>
            </w:pPr>
            <w:r>
              <w:rPr>
                <w:kern w:val="0"/>
              </w:rPr>
              <w:t>60分钟</w:t>
            </w:r>
          </w:p>
        </w:tc>
        <w:tc>
          <w:tcPr>
            <w:tcW w:w="0" w:type="auto"/>
            <w:vMerge w:val="continue"/>
            <w:tcBorders>
              <w:left w:val="nil"/>
              <w:bottom w:val="single" w:color="auto" w:sz="4" w:space="0"/>
              <w:right w:val="single" w:color="auto" w:sz="4" w:space="0"/>
            </w:tcBorders>
          </w:tcPr>
          <w:p>
            <w:pPr>
              <w:pStyle w:val="12"/>
              <w:jc w:val="center"/>
              <w:rPr>
                <w:kern w:val="0"/>
              </w:rPr>
            </w:pPr>
          </w:p>
        </w:tc>
      </w:tr>
    </w:tbl>
    <w:p>
      <w:pPr>
        <w:ind w:firstLine="600" w:firstLineChars="200"/>
        <w:rPr>
          <w:rFonts w:ascii="Times New Roman" w:hAnsi="Times New Roman"/>
        </w:rPr>
      </w:pPr>
      <w:r>
        <w:rPr>
          <w:rFonts w:ascii="Times New Roman" w:hAnsi="Times New Roman" w:eastAsia="仿宋"/>
          <w:sz w:val="30"/>
          <w:szCs w:val="30"/>
        </w:rPr>
        <w:t>2.国外选手考核采用理论及实操方式进行，内容及占比如下：</w:t>
      </w:r>
    </w:p>
    <w:tbl>
      <w:tblPr>
        <w:tblStyle w:val="6"/>
        <w:tblpPr w:leftFromText="180" w:rightFromText="180" w:vertAnchor="text" w:horzAnchor="page" w:tblpX="1796" w:tblpY="291"/>
        <w:tblOverlap w:val="never"/>
        <w:tblW w:w="0" w:type="auto"/>
        <w:tblInd w:w="0" w:type="dxa"/>
        <w:tblLayout w:type="autofit"/>
        <w:tblCellMar>
          <w:top w:w="0" w:type="dxa"/>
          <w:left w:w="108" w:type="dxa"/>
          <w:bottom w:w="0" w:type="dxa"/>
          <w:right w:w="108" w:type="dxa"/>
        </w:tblCellMar>
      </w:tblPr>
      <w:tblGrid>
        <w:gridCol w:w="900"/>
        <w:gridCol w:w="5587"/>
        <w:gridCol w:w="1143"/>
        <w:gridCol w:w="892"/>
      </w:tblGrid>
      <w:tr>
        <w:tblPrEx>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vAlign w:val="center"/>
          </w:tcPr>
          <w:p>
            <w:pPr>
              <w:pStyle w:val="12"/>
              <w:jc w:val="center"/>
              <w:rPr>
                <w:b/>
                <w:kern w:val="0"/>
              </w:rPr>
            </w:pPr>
            <w:r>
              <w:rPr>
                <w:b/>
                <w:kern w:val="0"/>
              </w:rPr>
              <w:t>序号</w:t>
            </w:r>
          </w:p>
        </w:tc>
        <w:tc>
          <w:tcPr>
            <w:tcW w:w="5587" w:type="dxa"/>
            <w:tcBorders>
              <w:top w:val="single" w:color="auto" w:sz="4" w:space="0"/>
              <w:left w:val="nil"/>
              <w:bottom w:val="single" w:color="auto" w:sz="4" w:space="0"/>
              <w:right w:val="single" w:color="auto" w:sz="4" w:space="0"/>
            </w:tcBorders>
            <w:vAlign w:val="center"/>
          </w:tcPr>
          <w:p>
            <w:pPr>
              <w:pStyle w:val="12"/>
              <w:jc w:val="center"/>
              <w:rPr>
                <w:b/>
                <w:kern w:val="0"/>
              </w:rPr>
            </w:pPr>
            <w:r>
              <w:rPr>
                <w:b/>
                <w:kern w:val="0"/>
              </w:rPr>
              <w:t>内容模块</w:t>
            </w:r>
          </w:p>
        </w:tc>
        <w:tc>
          <w:tcPr>
            <w:tcW w:w="1143" w:type="dxa"/>
            <w:tcBorders>
              <w:top w:val="single" w:color="auto" w:sz="4" w:space="0"/>
              <w:left w:val="nil"/>
              <w:bottom w:val="single" w:color="auto" w:sz="4" w:space="0"/>
              <w:right w:val="single" w:color="auto" w:sz="4" w:space="0"/>
            </w:tcBorders>
            <w:vAlign w:val="center"/>
          </w:tcPr>
          <w:p>
            <w:pPr>
              <w:pStyle w:val="12"/>
              <w:jc w:val="center"/>
              <w:rPr>
                <w:b/>
                <w:kern w:val="0"/>
              </w:rPr>
            </w:pPr>
            <w:r>
              <w:rPr>
                <w:b/>
                <w:kern w:val="0"/>
              </w:rPr>
              <w:t>竞赛时间</w:t>
            </w:r>
          </w:p>
        </w:tc>
        <w:tc>
          <w:tcPr>
            <w:tcW w:w="0" w:type="auto"/>
            <w:tcBorders>
              <w:top w:val="single" w:color="auto" w:sz="4" w:space="0"/>
              <w:left w:val="nil"/>
              <w:bottom w:val="single" w:color="auto" w:sz="4" w:space="0"/>
              <w:right w:val="single" w:color="auto" w:sz="4" w:space="0"/>
            </w:tcBorders>
          </w:tcPr>
          <w:p>
            <w:pPr>
              <w:pStyle w:val="12"/>
              <w:jc w:val="center"/>
              <w:rPr>
                <w:b/>
                <w:kern w:val="0"/>
              </w:rPr>
            </w:pPr>
            <w:r>
              <w:rPr>
                <w:b/>
                <w:kern w:val="0"/>
              </w:rPr>
              <w:t>占总成绩</w:t>
            </w:r>
          </w:p>
        </w:tc>
      </w:tr>
      <w:tr>
        <w:tblPrEx>
          <w:tblCellMar>
            <w:top w:w="0" w:type="dxa"/>
            <w:left w:w="108" w:type="dxa"/>
            <w:bottom w:w="0" w:type="dxa"/>
            <w:right w:w="108" w:type="dxa"/>
          </w:tblCellMar>
        </w:tblPrEx>
        <w:trPr>
          <w:trHeight w:val="285" w:hRule="atLeast"/>
        </w:trPr>
        <w:tc>
          <w:tcPr>
            <w:tcW w:w="0" w:type="auto"/>
            <w:vMerge w:val="restart"/>
            <w:tcBorders>
              <w:top w:val="nil"/>
              <w:left w:val="single" w:color="auto" w:sz="4" w:space="0"/>
              <w:bottom w:val="single" w:color="auto" w:sz="4" w:space="0"/>
              <w:right w:val="single" w:color="auto" w:sz="4" w:space="0"/>
            </w:tcBorders>
            <w:vAlign w:val="center"/>
          </w:tcPr>
          <w:p>
            <w:pPr>
              <w:pStyle w:val="12"/>
              <w:jc w:val="center"/>
              <w:rPr>
                <w:kern w:val="0"/>
              </w:rPr>
            </w:pPr>
            <w:r>
              <w:rPr>
                <w:kern w:val="0"/>
              </w:rPr>
              <w:t>第一阶段</w:t>
            </w:r>
          </w:p>
          <w:p>
            <w:pPr>
              <w:pStyle w:val="12"/>
              <w:jc w:val="center"/>
              <w:rPr>
                <w:kern w:val="0"/>
              </w:rPr>
            </w:pPr>
            <w:r>
              <w:rPr>
                <w:kern w:val="0"/>
              </w:rPr>
              <w:t>权重60%</w:t>
            </w:r>
          </w:p>
        </w:tc>
        <w:tc>
          <w:tcPr>
            <w:tcW w:w="5587" w:type="dxa"/>
            <w:vMerge w:val="restart"/>
            <w:tcBorders>
              <w:top w:val="nil"/>
              <w:left w:val="nil"/>
              <w:right w:val="single" w:color="auto" w:sz="4" w:space="0"/>
            </w:tcBorders>
            <w:vAlign w:val="center"/>
          </w:tcPr>
          <w:p>
            <w:pPr>
              <w:pStyle w:val="12"/>
              <w:jc w:val="left"/>
              <w:rPr>
                <w:rFonts w:hint="eastAsia"/>
                <w:kern w:val="0"/>
              </w:rPr>
            </w:pPr>
            <w:r>
              <w:t>IT基础设置(CPU芯片、服务器)，基础软件（数据库、操作系统），应用软件(办公软件、政务应用)基础知识；网络安全法、数据安全法，等级保护2.0，信息安全人员职业道德；</w:t>
            </w:r>
            <w:r>
              <w:rPr>
                <w:kern w:val="0"/>
              </w:rPr>
              <w:t>访问控制，密码学和VPN，数据分析</w:t>
            </w:r>
            <w:r>
              <w:rPr>
                <w:rFonts w:hint="eastAsia"/>
                <w:kern w:val="0"/>
              </w:rPr>
              <w:t>.</w:t>
            </w:r>
          </w:p>
        </w:tc>
        <w:tc>
          <w:tcPr>
            <w:tcW w:w="1143" w:type="dxa"/>
            <w:vMerge w:val="restart"/>
            <w:tcBorders>
              <w:top w:val="nil"/>
              <w:left w:val="nil"/>
              <w:right w:val="single" w:color="auto" w:sz="4" w:space="0"/>
            </w:tcBorders>
            <w:vAlign w:val="center"/>
          </w:tcPr>
          <w:p>
            <w:pPr>
              <w:pStyle w:val="12"/>
              <w:jc w:val="center"/>
              <w:rPr>
                <w:kern w:val="0"/>
              </w:rPr>
            </w:pPr>
            <w:r>
              <w:rPr>
                <w:kern w:val="0"/>
              </w:rPr>
              <w:t>60分钟</w:t>
            </w:r>
          </w:p>
        </w:tc>
        <w:tc>
          <w:tcPr>
            <w:tcW w:w="0" w:type="auto"/>
            <w:tcBorders>
              <w:top w:val="nil"/>
              <w:left w:val="nil"/>
              <w:right w:val="single" w:color="auto" w:sz="4" w:space="0"/>
            </w:tcBorders>
          </w:tcPr>
          <w:p>
            <w:pPr>
              <w:pStyle w:val="12"/>
              <w:jc w:val="center"/>
              <w:rPr>
                <w:kern w:val="0"/>
              </w:rPr>
            </w:pPr>
          </w:p>
        </w:tc>
      </w:tr>
      <w:tr>
        <w:tblPrEx>
          <w:tblCellMar>
            <w:top w:w="0" w:type="dxa"/>
            <w:left w:w="108" w:type="dxa"/>
            <w:bottom w:w="0" w:type="dxa"/>
            <w:right w:w="108" w:type="dxa"/>
          </w:tblCellMar>
        </w:tblPrEx>
        <w:trPr>
          <w:trHeight w:val="613" w:hRule="atLeast"/>
        </w:trPr>
        <w:tc>
          <w:tcPr>
            <w:tcW w:w="0" w:type="auto"/>
            <w:vMerge w:val="continue"/>
            <w:tcBorders>
              <w:top w:val="nil"/>
              <w:left w:val="single" w:color="auto" w:sz="4" w:space="0"/>
              <w:bottom w:val="single" w:color="auto" w:sz="4" w:space="0"/>
              <w:right w:val="single" w:color="auto" w:sz="4" w:space="0"/>
            </w:tcBorders>
            <w:vAlign w:val="center"/>
          </w:tcPr>
          <w:p>
            <w:pPr>
              <w:pStyle w:val="12"/>
              <w:jc w:val="center"/>
              <w:rPr>
                <w:kern w:val="0"/>
              </w:rPr>
            </w:pPr>
          </w:p>
        </w:tc>
        <w:tc>
          <w:tcPr>
            <w:tcW w:w="5587" w:type="dxa"/>
            <w:vMerge w:val="continue"/>
            <w:tcBorders>
              <w:left w:val="nil"/>
              <w:bottom w:val="single" w:color="auto" w:sz="4" w:space="0"/>
              <w:right w:val="single" w:color="auto" w:sz="4" w:space="0"/>
            </w:tcBorders>
            <w:vAlign w:val="center"/>
          </w:tcPr>
          <w:p>
            <w:pPr>
              <w:pStyle w:val="12"/>
              <w:jc w:val="left"/>
              <w:rPr>
                <w:kern w:val="0"/>
              </w:rPr>
            </w:pPr>
          </w:p>
        </w:tc>
        <w:tc>
          <w:tcPr>
            <w:tcW w:w="1143" w:type="dxa"/>
            <w:vMerge w:val="continue"/>
            <w:tcBorders>
              <w:top w:val="nil"/>
              <w:left w:val="nil"/>
              <w:bottom w:val="single" w:color="auto" w:sz="4" w:space="0"/>
              <w:right w:val="single" w:color="auto" w:sz="4" w:space="0"/>
            </w:tcBorders>
            <w:vAlign w:val="center"/>
          </w:tcPr>
          <w:p>
            <w:pPr>
              <w:pStyle w:val="12"/>
              <w:jc w:val="center"/>
              <w:rPr>
                <w:kern w:val="0"/>
              </w:rPr>
            </w:pPr>
          </w:p>
        </w:tc>
        <w:tc>
          <w:tcPr>
            <w:tcW w:w="0" w:type="auto"/>
            <w:vMerge w:val="restart"/>
            <w:tcBorders>
              <w:top w:val="nil"/>
              <w:left w:val="nil"/>
              <w:bottom w:val="nil"/>
              <w:right w:val="single" w:color="auto" w:sz="4" w:space="0"/>
            </w:tcBorders>
          </w:tcPr>
          <w:p>
            <w:pPr>
              <w:pStyle w:val="12"/>
              <w:jc w:val="center"/>
              <w:rPr>
                <w:kern w:val="0"/>
              </w:rPr>
            </w:pPr>
          </w:p>
          <w:p>
            <w:pPr>
              <w:pStyle w:val="12"/>
              <w:jc w:val="center"/>
              <w:rPr>
                <w:kern w:val="0"/>
              </w:rPr>
            </w:pPr>
          </w:p>
          <w:p>
            <w:pPr>
              <w:pStyle w:val="12"/>
              <w:jc w:val="center"/>
              <w:rPr>
                <w:kern w:val="0"/>
              </w:rPr>
            </w:pPr>
          </w:p>
          <w:p>
            <w:pPr>
              <w:pStyle w:val="12"/>
              <w:jc w:val="center"/>
              <w:rPr>
                <w:kern w:val="0"/>
              </w:rPr>
            </w:pPr>
            <w:r>
              <w:rPr>
                <w:kern w:val="0"/>
              </w:rPr>
              <w:t>50%</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vAlign w:val="center"/>
          </w:tcPr>
          <w:p>
            <w:pPr>
              <w:pStyle w:val="12"/>
              <w:jc w:val="center"/>
              <w:rPr>
                <w:kern w:val="0"/>
              </w:rPr>
            </w:pPr>
            <w:r>
              <w:rPr>
                <w:kern w:val="0"/>
              </w:rPr>
              <w:t>第二阶段</w:t>
            </w:r>
          </w:p>
          <w:p>
            <w:pPr>
              <w:pStyle w:val="12"/>
              <w:jc w:val="center"/>
              <w:rPr>
                <w:kern w:val="0"/>
              </w:rPr>
            </w:pPr>
            <w:r>
              <w:rPr>
                <w:kern w:val="0"/>
              </w:rPr>
              <w:t>权重40%</w:t>
            </w:r>
          </w:p>
        </w:tc>
        <w:tc>
          <w:tcPr>
            <w:tcW w:w="5587" w:type="dxa"/>
            <w:tcBorders>
              <w:top w:val="nil"/>
              <w:left w:val="nil"/>
              <w:bottom w:val="single" w:color="auto" w:sz="4" w:space="0"/>
              <w:right w:val="single" w:color="auto" w:sz="4" w:space="0"/>
            </w:tcBorders>
            <w:vAlign w:val="center"/>
          </w:tcPr>
          <w:p>
            <w:pPr>
              <w:pStyle w:val="12"/>
              <w:jc w:val="left"/>
              <w:rPr>
                <w:kern w:val="0"/>
              </w:rPr>
            </w:pPr>
            <w:r>
              <w:rPr>
                <w:kern w:val="0"/>
              </w:rPr>
              <w:t>信创CTF</w:t>
            </w:r>
          </w:p>
          <w:p>
            <w:pPr>
              <w:pStyle w:val="12"/>
              <w:jc w:val="left"/>
              <w:rPr>
                <w:kern w:val="0"/>
              </w:rPr>
            </w:pPr>
            <w:r>
              <w:rPr>
                <w:kern w:val="0"/>
              </w:rPr>
              <w:t>权重40%</w:t>
            </w:r>
          </w:p>
        </w:tc>
        <w:tc>
          <w:tcPr>
            <w:tcW w:w="1143" w:type="dxa"/>
            <w:tcBorders>
              <w:top w:val="single" w:color="auto" w:sz="4" w:space="0"/>
              <w:left w:val="nil"/>
              <w:bottom w:val="single" w:color="auto" w:sz="4" w:space="0"/>
              <w:right w:val="single" w:color="auto" w:sz="4" w:space="0"/>
            </w:tcBorders>
            <w:vAlign w:val="center"/>
          </w:tcPr>
          <w:p>
            <w:pPr>
              <w:pStyle w:val="12"/>
              <w:jc w:val="center"/>
              <w:rPr>
                <w:kern w:val="0"/>
              </w:rPr>
            </w:pPr>
            <w:r>
              <w:rPr>
                <w:kern w:val="0"/>
              </w:rPr>
              <w:t>120分钟</w:t>
            </w:r>
          </w:p>
        </w:tc>
        <w:tc>
          <w:tcPr>
            <w:tcW w:w="0" w:type="auto"/>
            <w:vMerge w:val="continue"/>
            <w:tcBorders>
              <w:left w:val="nil"/>
              <w:bottom w:val="single" w:color="auto" w:sz="4" w:space="0"/>
              <w:right w:val="single" w:color="auto" w:sz="4" w:space="0"/>
            </w:tcBorders>
          </w:tcPr>
          <w:p>
            <w:pPr>
              <w:pStyle w:val="12"/>
              <w:jc w:val="center"/>
              <w:rPr>
                <w:kern w:val="0"/>
              </w:rPr>
            </w:pPr>
          </w:p>
        </w:tc>
      </w:tr>
    </w:tbl>
    <w:p>
      <w:pPr>
        <w:numPr>
          <w:ilvl w:val="0"/>
          <w:numId w:val="2"/>
        </w:numPr>
        <w:spacing w:before="156" w:beforeLines="50"/>
        <w:rPr>
          <w:rFonts w:ascii="Times New Roman" w:hAnsi="Times New Roman" w:eastAsia="仿宋"/>
          <w:b/>
          <w:bCs/>
          <w:sz w:val="30"/>
          <w:szCs w:val="30"/>
        </w:rPr>
      </w:pPr>
      <w:bookmarkStart w:id="12" w:name="pindex49"/>
      <w:bookmarkEnd w:id="12"/>
      <w:r>
        <w:rPr>
          <w:rFonts w:ascii="Times New Roman" w:hAnsi="Times New Roman" w:eastAsia="仿宋"/>
          <w:b/>
          <w:bCs/>
          <w:sz w:val="30"/>
          <w:szCs w:val="30"/>
        </w:rPr>
        <w:t>竞赛时间</w:t>
      </w:r>
      <w:bookmarkStart w:id="13" w:name="pindex139"/>
      <w:bookmarkEnd w:id="13"/>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竞赛时间流程表如下：</w:t>
      </w:r>
    </w:p>
    <w:p>
      <w:pPr>
        <w:pStyle w:val="2"/>
      </w:pPr>
    </w:p>
    <w:tbl>
      <w:tblPr>
        <w:tblStyle w:val="6"/>
        <w:tblpPr w:leftFromText="180" w:rightFromText="180" w:vertAnchor="text" w:horzAnchor="margin" w:tblpY="36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Align w:val="center"/>
          </w:tcPr>
          <w:p>
            <w:pPr>
              <w:pStyle w:val="12"/>
              <w:jc w:val="center"/>
              <w:rPr>
                <w:b/>
              </w:rPr>
            </w:pPr>
            <w:r>
              <w:rPr>
                <w:b/>
              </w:rPr>
              <w:t>日期</w:t>
            </w:r>
          </w:p>
        </w:tc>
        <w:tc>
          <w:tcPr>
            <w:tcW w:w="1636" w:type="dxa"/>
            <w:vAlign w:val="center"/>
          </w:tcPr>
          <w:p>
            <w:pPr>
              <w:pStyle w:val="12"/>
              <w:jc w:val="center"/>
              <w:rPr>
                <w:b/>
              </w:rPr>
            </w:pPr>
            <w:r>
              <w:rPr>
                <w:b/>
              </w:rPr>
              <w:t>时间</w:t>
            </w:r>
          </w:p>
        </w:tc>
        <w:tc>
          <w:tcPr>
            <w:tcW w:w="2951" w:type="dxa"/>
            <w:vAlign w:val="center"/>
          </w:tcPr>
          <w:p>
            <w:pPr>
              <w:pStyle w:val="12"/>
              <w:jc w:val="center"/>
              <w:rPr>
                <w:b/>
              </w:rPr>
            </w:pPr>
            <w:r>
              <w:rPr>
                <w:b/>
              </w:rPr>
              <w:t>事项</w:t>
            </w:r>
          </w:p>
        </w:tc>
        <w:tc>
          <w:tcPr>
            <w:tcW w:w="1749" w:type="dxa"/>
            <w:vAlign w:val="center"/>
          </w:tcPr>
          <w:p>
            <w:pPr>
              <w:pStyle w:val="12"/>
              <w:jc w:val="center"/>
              <w:rPr>
                <w:b/>
              </w:rPr>
            </w:pPr>
            <w:r>
              <w:rPr>
                <w:b/>
              </w:rPr>
              <w:t>参加人员</w:t>
            </w:r>
          </w:p>
        </w:tc>
        <w:tc>
          <w:tcPr>
            <w:tcW w:w="1278" w:type="dxa"/>
            <w:vAlign w:val="center"/>
          </w:tcPr>
          <w:p>
            <w:pPr>
              <w:pStyle w:val="12"/>
              <w:jc w:val="center"/>
              <w:rPr>
                <w:b/>
              </w:rPr>
            </w:pPr>
            <w:r>
              <w:rPr>
                <w:b/>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restart"/>
            <w:vAlign w:val="center"/>
          </w:tcPr>
          <w:p>
            <w:pPr>
              <w:pStyle w:val="12"/>
              <w:jc w:val="left"/>
            </w:pPr>
            <w:r>
              <w:t>竞赛</w:t>
            </w:r>
          </w:p>
          <w:p>
            <w:pPr>
              <w:pStyle w:val="12"/>
              <w:jc w:val="left"/>
            </w:pPr>
            <w:r>
              <w:t>前1日</w:t>
            </w:r>
          </w:p>
        </w:tc>
        <w:tc>
          <w:tcPr>
            <w:tcW w:w="1636" w:type="dxa"/>
            <w:vAlign w:val="center"/>
          </w:tcPr>
          <w:p>
            <w:pPr>
              <w:pStyle w:val="12"/>
              <w:jc w:val="left"/>
              <w:rPr>
                <w:shd w:val="clear" w:color="auto" w:fill="FFFFFF"/>
              </w:rPr>
            </w:pPr>
            <w:r>
              <w:rPr>
                <w:shd w:val="clear" w:color="auto" w:fill="FFFFFF"/>
              </w:rPr>
              <w:t>09:00-12:00</w:t>
            </w:r>
          </w:p>
        </w:tc>
        <w:tc>
          <w:tcPr>
            <w:tcW w:w="2951" w:type="dxa"/>
            <w:vAlign w:val="center"/>
          </w:tcPr>
          <w:p>
            <w:pPr>
              <w:pStyle w:val="12"/>
              <w:jc w:val="left"/>
              <w:rPr>
                <w:shd w:val="clear" w:color="auto" w:fill="FFFFFF"/>
              </w:rPr>
            </w:pPr>
            <w:r>
              <w:rPr>
                <w:shd w:val="clear" w:color="auto" w:fill="FFFFFF"/>
              </w:rPr>
              <w:t>裁判工作会议</w:t>
            </w:r>
          </w:p>
        </w:tc>
        <w:tc>
          <w:tcPr>
            <w:tcW w:w="1749" w:type="dxa"/>
            <w:vAlign w:val="center"/>
          </w:tcPr>
          <w:p>
            <w:pPr>
              <w:pStyle w:val="12"/>
              <w:jc w:val="left"/>
              <w:rPr>
                <w:shd w:val="clear" w:color="auto" w:fill="FFFFFF"/>
              </w:rPr>
            </w:pPr>
            <w:r>
              <w:rPr>
                <w:shd w:val="clear" w:color="auto" w:fill="FFFFFF"/>
              </w:rPr>
              <w:t>裁判长、裁判员、监督仲裁组</w:t>
            </w:r>
          </w:p>
        </w:tc>
        <w:tc>
          <w:tcPr>
            <w:tcW w:w="1278" w:type="dxa"/>
            <w:vAlign w:val="center"/>
          </w:tcPr>
          <w:p>
            <w:pPr>
              <w:pStyle w:val="12"/>
              <w:jc w:val="left"/>
              <w:rPr>
                <w:shd w:val="clear" w:color="auto" w:fill="FFFFFF"/>
              </w:rPr>
            </w:pPr>
            <w:r>
              <w:rPr>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shd w:val="clear" w:color="auto" w:fill="FFFFFF"/>
              </w:rPr>
            </w:pPr>
            <w:r>
              <w:rPr>
                <w:shd w:val="clear" w:color="auto" w:fill="FFFFFF"/>
              </w:rPr>
              <w:t>13:00-14:30</w:t>
            </w:r>
          </w:p>
        </w:tc>
        <w:tc>
          <w:tcPr>
            <w:tcW w:w="2951" w:type="dxa"/>
            <w:vAlign w:val="center"/>
          </w:tcPr>
          <w:p>
            <w:pPr>
              <w:pStyle w:val="12"/>
              <w:jc w:val="left"/>
              <w:rPr>
                <w:shd w:val="clear" w:color="auto" w:fill="FFFFFF"/>
              </w:rPr>
            </w:pPr>
            <w:r>
              <w:rPr>
                <w:shd w:val="clear" w:color="auto" w:fill="FFFFFF"/>
              </w:rPr>
              <w:t>领队会</w:t>
            </w:r>
          </w:p>
        </w:tc>
        <w:tc>
          <w:tcPr>
            <w:tcW w:w="1749" w:type="dxa"/>
            <w:vAlign w:val="center"/>
          </w:tcPr>
          <w:p>
            <w:pPr>
              <w:pStyle w:val="12"/>
              <w:jc w:val="left"/>
              <w:rPr>
                <w:shd w:val="clear" w:color="auto" w:fill="FFFFFF"/>
              </w:rPr>
            </w:pPr>
            <w:r>
              <w:rPr>
                <w:shd w:val="clear" w:color="auto" w:fill="FFFFFF"/>
              </w:rPr>
              <w:t>各参赛队领队、裁判长</w:t>
            </w:r>
          </w:p>
        </w:tc>
        <w:tc>
          <w:tcPr>
            <w:tcW w:w="1278" w:type="dxa"/>
            <w:vAlign w:val="center"/>
          </w:tcPr>
          <w:p>
            <w:pPr>
              <w:pStyle w:val="12"/>
              <w:jc w:val="left"/>
              <w:rPr>
                <w:shd w:val="clear" w:color="auto" w:fill="FFFFFF"/>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shd w:val="clear" w:color="auto" w:fill="FFFFFF"/>
              </w:rPr>
            </w:pPr>
            <w:r>
              <w:rPr>
                <w:shd w:val="clear" w:color="auto" w:fill="FFFFFF"/>
              </w:rPr>
              <w:t>15:00-16:00</w:t>
            </w:r>
          </w:p>
        </w:tc>
        <w:tc>
          <w:tcPr>
            <w:tcW w:w="2951" w:type="dxa"/>
            <w:vAlign w:val="center"/>
          </w:tcPr>
          <w:p>
            <w:pPr>
              <w:pStyle w:val="12"/>
              <w:jc w:val="left"/>
              <w:rPr>
                <w:shd w:val="clear" w:color="auto" w:fill="FFFFFF"/>
              </w:rPr>
            </w:pPr>
            <w:r>
              <w:rPr>
                <w:shd w:val="clear" w:color="auto" w:fill="FFFFFF"/>
              </w:rPr>
              <w:t>赛场环境确认</w:t>
            </w:r>
          </w:p>
        </w:tc>
        <w:tc>
          <w:tcPr>
            <w:tcW w:w="1749" w:type="dxa"/>
            <w:vAlign w:val="center"/>
          </w:tcPr>
          <w:p>
            <w:pPr>
              <w:pStyle w:val="12"/>
              <w:jc w:val="left"/>
              <w:rPr>
                <w:shd w:val="clear" w:color="auto" w:fill="FFFFFF"/>
              </w:rPr>
            </w:pPr>
            <w:r>
              <w:rPr>
                <w:shd w:val="clear" w:color="auto" w:fill="FFFFFF"/>
              </w:rPr>
              <w:t>各参赛队领队、现场裁判、监督仲裁组</w:t>
            </w:r>
          </w:p>
        </w:tc>
        <w:tc>
          <w:tcPr>
            <w:tcW w:w="1278" w:type="dxa"/>
            <w:vAlign w:val="center"/>
          </w:tcPr>
          <w:p>
            <w:pPr>
              <w:pStyle w:val="12"/>
              <w:jc w:val="left"/>
              <w:rPr>
                <w:shd w:val="clear" w:color="auto" w:fill="FFFFFF"/>
              </w:rPr>
            </w:pPr>
            <w:r>
              <w:rPr>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shd w:val="clear" w:color="auto" w:fill="FFFFFF"/>
              </w:rPr>
            </w:pPr>
            <w:r>
              <w:rPr>
                <w:shd w:val="clear" w:color="auto" w:fill="FFFFFF"/>
              </w:rPr>
              <w:t>16:00</w:t>
            </w:r>
          </w:p>
        </w:tc>
        <w:tc>
          <w:tcPr>
            <w:tcW w:w="2951" w:type="dxa"/>
            <w:vAlign w:val="center"/>
          </w:tcPr>
          <w:p>
            <w:pPr>
              <w:pStyle w:val="12"/>
              <w:jc w:val="left"/>
              <w:rPr>
                <w:shd w:val="clear" w:color="auto" w:fill="FFFFFF"/>
              </w:rPr>
            </w:pPr>
            <w:r>
              <w:rPr>
                <w:shd w:val="clear" w:color="auto" w:fill="FFFFFF"/>
              </w:rPr>
              <w:t>检查封闭赛场</w:t>
            </w:r>
          </w:p>
        </w:tc>
        <w:tc>
          <w:tcPr>
            <w:tcW w:w="1749" w:type="dxa"/>
            <w:vAlign w:val="center"/>
          </w:tcPr>
          <w:p>
            <w:pPr>
              <w:pStyle w:val="12"/>
              <w:jc w:val="left"/>
              <w:rPr>
                <w:shd w:val="clear" w:color="auto" w:fill="FFFFFF"/>
              </w:rPr>
            </w:pPr>
            <w:r>
              <w:rPr>
                <w:shd w:val="clear" w:color="auto" w:fill="FFFFFF"/>
              </w:rPr>
              <w:t>裁判长、监督仲裁组</w:t>
            </w:r>
          </w:p>
        </w:tc>
        <w:tc>
          <w:tcPr>
            <w:tcW w:w="1278" w:type="dxa"/>
            <w:vAlign w:val="center"/>
          </w:tcPr>
          <w:p>
            <w:pPr>
              <w:pStyle w:val="12"/>
              <w:jc w:val="left"/>
              <w:rPr>
                <w:shd w:val="clear" w:color="auto" w:fill="FFFFFF"/>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restart"/>
            <w:vAlign w:val="center"/>
          </w:tcPr>
          <w:p>
            <w:pPr>
              <w:pStyle w:val="12"/>
              <w:jc w:val="left"/>
            </w:pPr>
            <w:r>
              <w:t>竞赛</w:t>
            </w:r>
          </w:p>
          <w:p>
            <w:pPr>
              <w:pStyle w:val="12"/>
              <w:jc w:val="left"/>
            </w:pPr>
            <w:r>
              <w:t>日</w:t>
            </w:r>
          </w:p>
        </w:tc>
        <w:tc>
          <w:tcPr>
            <w:tcW w:w="1636" w:type="dxa"/>
            <w:vAlign w:val="center"/>
          </w:tcPr>
          <w:p>
            <w:pPr>
              <w:pStyle w:val="12"/>
              <w:jc w:val="left"/>
              <w:rPr>
                <w:bCs/>
                <w:kern w:val="0"/>
              </w:rPr>
            </w:pPr>
            <w:r>
              <w:rPr>
                <w:bCs/>
                <w:kern w:val="0"/>
              </w:rPr>
              <w:t>07:30</w:t>
            </w:r>
          </w:p>
        </w:tc>
        <w:tc>
          <w:tcPr>
            <w:tcW w:w="2951" w:type="dxa"/>
            <w:vAlign w:val="center"/>
          </w:tcPr>
          <w:p>
            <w:pPr>
              <w:pStyle w:val="12"/>
              <w:jc w:val="left"/>
              <w:rPr>
                <w:kern w:val="0"/>
              </w:rPr>
            </w:pPr>
            <w:r>
              <w:rPr>
                <w:kern w:val="0"/>
              </w:rPr>
              <w:t>裁判进入裁判室</w:t>
            </w:r>
          </w:p>
        </w:tc>
        <w:tc>
          <w:tcPr>
            <w:tcW w:w="1749" w:type="dxa"/>
            <w:vAlign w:val="center"/>
          </w:tcPr>
          <w:p>
            <w:pPr>
              <w:pStyle w:val="12"/>
              <w:jc w:val="left"/>
              <w:rPr>
                <w:bCs/>
                <w:kern w:val="0"/>
              </w:rPr>
            </w:pPr>
            <w:r>
              <w:rPr>
                <w:bCs/>
                <w:kern w:val="0"/>
              </w:rPr>
              <w:t>裁判长、现场裁判、</w:t>
            </w:r>
            <w:r>
              <w:rPr>
                <w:shd w:val="clear" w:color="auto" w:fill="FFFFFF"/>
              </w:rPr>
              <w:t>监督仲裁组</w:t>
            </w:r>
          </w:p>
        </w:tc>
        <w:tc>
          <w:tcPr>
            <w:tcW w:w="1278" w:type="dxa"/>
            <w:vAlign w:val="center"/>
          </w:tcPr>
          <w:p>
            <w:pPr>
              <w:pStyle w:val="12"/>
              <w:jc w:val="left"/>
            </w:pPr>
            <w:r>
              <w:rPr>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08:00-08:45</w:t>
            </w:r>
          </w:p>
        </w:tc>
        <w:tc>
          <w:tcPr>
            <w:tcW w:w="2951" w:type="dxa"/>
            <w:vAlign w:val="center"/>
          </w:tcPr>
          <w:p>
            <w:pPr>
              <w:pStyle w:val="12"/>
              <w:jc w:val="left"/>
              <w:rPr>
                <w:bCs/>
                <w:kern w:val="0"/>
              </w:rPr>
            </w:pPr>
            <w:r>
              <w:rPr>
                <w:bCs/>
                <w:kern w:val="0"/>
              </w:rPr>
              <w:t>参赛选手检录，一次加密，赛场环境确认</w:t>
            </w:r>
          </w:p>
        </w:tc>
        <w:tc>
          <w:tcPr>
            <w:tcW w:w="1749" w:type="dxa"/>
            <w:vAlign w:val="center"/>
          </w:tcPr>
          <w:p>
            <w:pPr>
              <w:pStyle w:val="12"/>
              <w:jc w:val="left"/>
              <w:rPr>
                <w:bCs/>
                <w:kern w:val="0"/>
              </w:rPr>
            </w:pPr>
            <w:r>
              <w:rPr>
                <w:bCs/>
                <w:kern w:val="0"/>
              </w:rPr>
              <w:t>参赛选手、加密裁判、保障组</w:t>
            </w:r>
          </w:p>
        </w:tc>
        <w:tc>
          <w:tcPr>
            <w:tcW w:w="1278" w:type="dxa"/>
            <w:vAlign w:val="center"/>
          </w:tcPr>
          <w:p>
            <w:pPr>
              <w:pStyle w:val="12"/>
              <w:jc w:val="left"/>
            </w:pPr>
            <w:r>
              <w:rPr>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08:45-08:55</w:t>
            </w:r>
          </w:p>
        </w:tc>
        <w:tc>
          <w:tcPr>
            <w:tcW w:w="2951" w:type="dxa"/>
            <w:vAlign w:val="center"/>
          </w:tcPr>
          <w:p>
            <w:pPr>
              <w:pStyle w:val="12"/>
              <w:jc w:val="left"/>
              <w:rPr>
                <w:kern w:val="0"/>
              </w:rPr>
            </w:pPr>
            <w:r>
              <w:rPr>
                <w:kern w:val="0"/>
              </w:rPr>
              <w:t>宣读第一阶段竞赛须知</w:t>
            </w:r>
          </w:p>
        </w:tc>
        <w:tc>
          <w:tcPr>
            <w:tcW w:w="1749" w:type="dxa"/>
            <w:vAlign w:val="center"/>
          </w:tcPr>
          <w:p>
            <w:pPr>
              <w:pStyle w:val="12"/>
              <w:jc w:val="left"/>
            </w:pPr>
            <w:r>
              <w:rPr>
                <w:bCs/>
                <w:kern w:val="0"/>
              </w:rPr>
              <w:t>参赛选手、裁判长</w:t>
            </w:r>
          </w:p>
        </w:tc>
        <w:tc>
          <w:tcPr>
            <w:tcW w:w="1278" w:type="dxa"/>
            <w:vAlign w:val="center"/>
          </w:tcPr>
          <w:p>
            <w:pPr>
              <w:pStyle w:val="12"/>
              <w:jc w:val="left"/>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08:55-09:00</w:t>
            </w:r>
          </w:p>
        </w:tc>
        <w:tc>
          <w:tcPr>
            <w:tcW w:w="2951" w:type="dxa"/>
            <w:vAlign w:val="center"/>
          </w:tcPr>
          <w:p>
            <w:pPr>
              <w:pStyle w:val="12"/>
              <w:jc w:val="left"/>
              <w:rPr>
                <w:kern w:val="0"/>
              </w:rPr>
            </w:pPr>
            <w:r>
              <w:rPr>
                <w:kern w:val="0"/>
              </w:rPr>
              <w:t>第一阶段赛题发放时间</w:t>
            </w:r>
          </w:p>
        </w:tc>
        <w:tc>
          <w:tcPr>
            <w:tcW w:w="1749" w:type="dxa"/>
            <w:vAlign w:val="center"/>
          </w:tcPr>
          <w:p>
            <w:pPr>
              <w:pStyle w:val="12"/>
              <w:jc w:val="left"/>
            </w:pPr>
            <w:r>
              <w:rPr>
                <w:bCs/>
                <w:kern w:val="0"/>
              </w:rPr>
              <w:t>参赛选手、现场裁判</w:t>
            </w:r>
          </w:p>
        </w:tc>
        <w:tc>
          <w:tcPr>
            <w:tcW w:w="1278" w:type="dxa"/>
            <w:vAlign w:val="center"/>
          </w:tcPr>
          <w:p>
            <w:pPr>
              <w:pStyle w:val="12"/>
              <w:jc w:val="left"/>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09:00-13:00</w:t>
            </w:r>
          </w:p>
          <w:p>
            <w:pPr>
              <w:pStyle w:val="12"/>
              <w:jc w:val="left"/>
              <w:rPr>
                <w:bCs/>
                <w:kern w:val="0"/>
              </w:rPr>
            </w:pPr>
            <w:r>
              <w:rPr>
                <w:bCs/>
                <w:kern w:val="0"/>
              </w:rPr>
              <w:t>（国内）</w:t>
            </w:r>
          </w:p>
          <w:p>
            <w:pPr>
              <w:pStyle w:val="12"/>
              <w:jc w:val="left"/>
              <w:rPr>
                <w:bCs/>
                <w:kern w:val="0"/>
              </w:rPr>
            </w:pPr>
            <w:r>
              <w:rPr>
                <w:bCs/>
                <w:kern w:val="0"/>
              </w:rPr>
              <w:t>09:00-10:00</w:t>
            </w:r>
          </w:p>
          <w:p>
            <w:pPr>
              <w:pStyle w:val="12"/>
              <w:jc w:val="left"/>
              <w:rPr>
                <w:bCs/>
                <w:kern w:val="0"/>
              </w:rPr>
            </w:pPr>
            <w:r>
              <w:rPr>
                <w:bCs/>
                <w:kern w:val="0"/>
              </w:rPr>
              <w:t>（国外）</w:t>
            </w:r>
          </w:p>
        </w:tc>
        <w:tc>
          <w:tcPr>
            <w:tcW w:w="2951" w:type="dxa"/>
            <w:vAlign w:val="center"/>
          </w:tcPr>
          <w:p>
            <w:pPr>
              <w:pStyle w:val="12"/>
              <w:jc w:val="left"/>
              <w:rPr>
                <w:kern w:val="0"/>
              </w:rPr>
            </w:pPr>
            <w:r>
              <w:rPr>
                <w:kern w:val="0"/>
              </w:rPr>
              <w:t>第一阶段比赛时间</w:t>
            </w:r>
          </w:p>
        </w:tc>
        <w:tc>
          <w:tcPr>
            <w:tcW w:w="1749" w:type="dxa"/>
            <w:vAlign w:val="center"/>
          </w:tcPr>
          <w:p>
            <w:pPr>
              <w:pStyle w:val="12"/>
              <w:jc w:val="left"/>
            </w:pPr>
            <w:r>
              <w:rPr>
                <w:bCs/>
                <w:kern w:val="0"/>
              </w:rPr>
              <w:t>参赛选手、现场裁判</w:t>
            </w:r>
          </w:p>
        </w:tc>
        <w:tc>
          <w:tcPr>
            <w:tcW w:w="1278" w:type="dxa"/>
            <w:vAlign w:val="center"/>
          </w:tcPr>
          <w:p>
            <w:pPr>
              <w:pStyle w:val="12"/>
              <w:jc w:val="left"/>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10：00</w:t>
            </w:r>
          </w:p>
        </w:tc>
        <w:tc>
          <w:tcPr>
            <w:tcW w:w="2951" w:type="dxa"/>
            <w:vAlign w:val="center"/>
          </w:tcPr>
          <w:p>
            <w:pPr>
              <w:pStyle w:val="12"/>
              <w:jc w:val="left"/>
              <w:rPr>
                <w:kern w:val="0"/>
              </w:rPr>
            </w:pPr>
            <w:r>
              <w:rPr>
                <w:kern w:val="0"/>
              </w:rPr>
              <w:t>理论部分成绩评定</w:t>
            </w:r>
          </w:p>
        </w:tc>
        <w:tc>
          <w:tcPr>
            <w:tcW w:w="1749" w:type="dxa"/>
            <w:vAlign w:val="center"/>
          </w:tcPr>
          <w:p>
            <w:pPr>
              <w:pStyle w:val="12"/>
              <w:jc w:val="left"/>
              <w:rPr>
                <w:bCs/>
                <w:kern w:val="0"/>
              </w:rPr>
            </w:pPr>
            <w:r>
              <w:rPr>
                <w:bCs/>
                <w:kern w:val="0"/>
              </w:rPr>
              <w:t>裁判长</w:t>
            </w:r>
          </w:p>
        </w:tc>
        <w:tc>
          <w:tcPr>
            <w:tcW w:w="1278" w:type="dxa"/>
            <w:vAlign w:val="center"/>
          </w:tcPr>
          <w:p>
            <w:pPr>
              <w:pStyle w:val="12"/>
              <w:jc w:val="left"/>
              <w:rPr>
                <w:shd w:val="clear" w:color="auto" w:fill="FFFFFF"/>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13:00-13:50</w:t>
            </w:r>
          </w:p>
          <w:p>
            <w:pPr>
              <w:pStyle w:val="12"/>
              <w:jc w:val="left"/>
              <w:rPr>
                <w:bCs/>
                <w:kern w:val="0"/>
              </w:rPr>
            </w:pPr>
          </w:p>
        </w:tc>
        <w:tc>
          <w:tcPr>
            <w:tcW w:w="2951" w:type="dxa"/>
            <w:vAlign w:val="center"/>
          </w:tcPr>
          <w:p>
            <w:pPr>
              <w:pStyle w:val="12"/>
              <w:jc w:val="left"/>
              <w:rPr>
                <w:kern w:val="0"/>
              </w:rPr>
            </w:pPr>
            <w:r>
              <w:rPr>
                <w:kern w:val="0"/>
              </w:rPr>
              <w:t>第一阶段结果提交时间，现场部分成绩评定；</w:t>
            </w:r>
          </w:p>
          <w:p>
            <w:pPr>
              <w:pStyle w:val="12"/>
              <w:jc w:val="left"/>
              <w:rPr>
                <w:kern w:val="0"/>
              </w:rPr>
            </w:pPr>
            <w:r>
              <w:rPr>
                <w:kern w:val="0"/>
              </w:rPr>
              <w:t>二次加密；</w:t>
            </w:r>
          </w:p>
          <w:p>
            <w:pPr>
              <w:pStyle w:val="12"/>
              <w:jc w:val="left"/>
            </w:pPr>
            <w:r>
              <w:rPr>
                <w:kern w:val="0"/>
              </w:rPr>
              <w:t>上传录屏文件；</w:t>
            </w:r>
          </w:p>
        </w:tc>
        <w:tc>
          <w:tcPr>
            <w:tcW w:w="1749" w:type="dxa"/>
            <w:vAlign w:val="center"/>
          </w:tcPr>
          <w:p>
            <w:pPr>
              <w:pStyle w:val="12"/>
              <w:jc w:val="left"/>
            </w:pPr>
            <w:r>
              <w:rPr>
                <w:bCs/>
                <w:kern w:val="0"/>
              </w:rPr>
              <w:t>参赛选手、现场裁判</w:t>
            </w:r>
          </w:p>
        </w:tc>
        <w:tc>
          <w:tcPr>
            <w:tcW w:w="1278" w:type="dxa"/>
            <w:vAlign w:val="center"/>
          </w:tcPr>
          <w:p>
            <w:pPr>
              <w:pStyle w:val="12"/>
              <w:jc w:val="left"/>
            </w:pPr>
            <w:r>
              <w:rPr>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13:50-13:55</w:t>
            </w:r>
          </w:p>
        </w:tc>
        <w:tc>
          <w:tcPr>
            <w:tcW w:w="2951" w:type="dxa"/>
            <w:vAlign w:val="center"/>
          </w:tcPr>
          <w:p>
            <w:pPr>
              <w:pStyle w:val="12"/>
              <w:jc w:val="left"/>
              <w:rPr>
                <w:kern w:val="0"/>
              </w:rPr>
            </w:pPr>
            <w:r>
              <w:rPr>
                <w:kern w:val="0"/>
              </w:rPr>
              <w:t>宣读第二阶段竞赛须知</w:t>
            </w:r>
          </w:p>
        </w:tc>
        <w:tc>
          <w:tcPr>
            <w:tcW w:w="1749" w:type="dxa"/>
            <w:vAlign w:val="center"/>
          </w:tcPr>
          <w:p>
            <w:pPr>
              <w:pStyle w:val="12"/>
              <w:jc w:val="left"/>
              <w:rPr>
                <w:bCs/>
                <w:kern w:val="0"/>
              </w:rPr>
            </w:pPr>
            <w:r>
              <w:rPr>
                <w:bCs/>
                <w:kern w:val="0"/>
              </w:rPr>
              <w:t>参赛选手、现场裁判</w:t>
            </w:r>
          </w:p>
        </w:tc>
        <w:tc>
          <w:tcPr>
            <w:tcW w:w="1278" w:type="dxa"/>
            <w:vAlign w:val="center"/>
          </w:tcPr>
          <w:p>
            <w:pPr>
              <w:pStyle w:val="12"/>
              <w:jc w:val="left"/>
              <w:rPr>
                <w:shd w:val="clear" w:color="auto" w:fill="FFFFFF"/>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13:55-14:00</w:t>
            </w:r>
          </w:p>
        </w:tc>
        <w:tc>
          <w:tcPr>
            <w:tcW w:w="2951" w:type="dxa"/>
            <w:vAlign w:val="center"/>
          </w:tcPr>
          <w:p>
            <w:pPr>
              <w:pStyle w:val="12"/>
              <w:jc w:val="left"/>
              <w:rPr>
                <w:kern w:val="0"/>
              </w:rPr>
            </w:pPr>
            <w:r>
              <w:rPr>
                <w:kern w:val="0"/>
              </w:rPr>
              <w:t>第二阶段赛题发放时间</w:t>
            </w:r>
          </w:p>
        </w:tc>
        <w:tc>
          <w:tcPr>
            <w:tcW w:w="1749" w:type="dxa"/>
            <w:vAlign w:val="center"/>
          </w:tcPr>
          <w:p>
            <w:pPr>
              <w:pStyle w:val="12"/>
              <w:jc w:val="left"/>
            </w:pPr>
            <w:r>
              <w:rPr>
                <w:bCs/>
                <w:kern w:val="0"/>
              </w:rPr>
              <w:t>参赛选手、现场裁判</w:t>
            </w:r>
          </w:p>
        </w:tc>
        <w:tc>
          <w:tcPr>
            <w:tcW w:w="1278" w:type="dxa"/>
            <w:vAlign w:val="center"/>
          </w:tcPr>
          <w:p>
            <w:pPr>
              <w:pStyle w:val="12"/>
              <w:jc w:val="left"/>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14:00-16:00</w:t>
            </w:r>
          </w:p>
        </w:tc>
        <w:tc>
          <w:tcPr>
            <w:tcW w:w="2951" w:type="dxa"/>
            <w:vAlign w:val="center"/>
          </w:tcPr>
          <w:p>
            <w:pPr>
              <w:pStyle w:val="12"/>
              <w:jc w:val="left"/>
              <w:rPr>
                <w:kern w:val="0"/>
              </w:rPr>
            </w:pPr>
            <w:r>
              <w:rPr>
                <w:kern w:val="0"/>
              </w:rPr>
              <w:t>第二阶段正式比赛时间</w:t>
            </w:r>
          </w:p>
        </w:tc>
        <w:tc>
          <w:tcPr>
            <w:tcW w:w="1749" w:type="dxa"/>
            <w:vAlign w:val="center"/>
          </w:tcPr>
          <w:p>
            <w:pPr>
              <w:pStyle w:val="12"/>
              <w:jc w:val="left"/>
            </w:pPr>
            <w:r>
              <w:rPr>
                <w:bCs/>
                <w:kern w:val="0"/>
              </w:rPr>
              <w:t>参赛选手、现场裁判</w:t>
            </w:r>
          </w:p>
        </w:tc>
        <w:tc>
          <w:tcPr>
            <w:tcW w:w="1278" w:type="dxa"/>
            <w:vAlign w:val="center"/>
          </w:tcPr>
          <w:p>
            <w:pPr>
              <w:pStyle w:val="12"/>
              <w:jc w:val="left"/>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16:00-16:20</w:t>
            </w:r>
          </w:p>
        </w:tc>
        <w:tc>
          <w:tcPr>
            <w:tcW w:w="2951" w:type="dxa"/>
            <w:vAlign w:val="center"/>
          </w:tcPr>
          <w:p>
            <w:pPr>
              <w:pStyle w:val="12"/>
              <w:jc w:val="left"/>
              <w:rPr>
                <w:kern w:val="0"/>
              </w:rPr>
            </w:pPr>
            <w:r>
              <w:rPr>
                <w:kern w:val="0"/>
              </w:rPr>
              <w:t>第二阶段成绩导出</w:t>
            </w:r>
          </w:p>
        </w:tc>
        <w:tc>
          <w:tcPr>
            <w:tcW w:w="1749" w:type="dxa"/>
            <w:vAlign w:val="center"/>
          </w:tcPr>
          <w:p>
            <w:pPr>
              <w:pStyle w:val="12"/>
              <w:jc w:val="left"/>
              <w:rPr>
                <w:bCs/>
                <w:kern w:val="0"/>
              </w:rPr>
            </w:pPr>
            <w:r>
              <w:rPr>
                <w:bCs/>
                <w:kern w:val="0"/>
              </w:rPr>
              <w:t>现场裁判</w:t>
            </w:r>
          </w:p>
        </w:tc>
        <w:tc>
          <w:tcPr>
            <w:tcW w:w="1278" w:type="dxa"/>
            <w:vAlign w:val="center"/>
          </w:tcPr>
          <w:p>
            <w:pPr>
              <w:pStyle w:val="12"/>
              <w:jc w:val="left"/>
              <w:rPr>
                <w:shd w:val="clear" w:color="auto" w:fill="FFFFFF"/>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16:20-16:25</w:t>
            </w:r>
          </w:p>
          <w:p>
            <w:pPr>
              <w:pStyle w:val="12"/>
              <w:jc w:val="left"/>
              <w:rPr>
                <w:bCs/>
                <w:kern w:val="0"/>
              </w:rPr>
            </w:pPr>
            <w:r>
              <w:rPr>
                <w:bCs/>
                <w:kern w:val="0"/>
              </w:rPr>
              <w:t>（国内）</w:t>
            </w:r>
          </w:p>
        </w:tc>
        <w:tc>
          <w:tcPr>
            <w:tcW w:w="2951" w:type="dxa"/>
            <w:vAlign w:val="center"/>
          </w:tcPr>
          <w:p>
            <w:pPr>
              <w:pStyle w:val="12"/>
              <w:jc w:val="left"/>
              <w:rPr>
                <w:kern w:val="0"/>
              </w:rPr>
            </w:pPr>
            <w:r>
              <w:rPr>
                <w:kern w:val="0"/>
              </w:rPr>
              <w:t>宣读第三阶段竞赛须知</w:t>
            </w:r>
          </w:p>
        </w:tc>
        <w:tc>
          <w:tcPr>
            <w:tcW w:w="1749" w:type="dxa"/>
            <w:vAlign w:val="center"/>
          </w:tcPr>
          <w:p>
            <w:pPr>
              <w:pStyle w:val="12"/>
              <w:jc w:val="left"/>
              <w:rPr>
                <w:bCs/>
                <w:kern w:val="0"/>
              </w:rPr>
            </w:pPr>
            <w:r>
              <w:rPr>
                <w:bCs/>
                <w:kern w:val="0"/>
              </w:rPr>
              <w:t>参赛选手、裁判长</w:t>
            </w:r>
          </w:p>
        </w:tc>
        <w:tc>
          <w:tcPr>
            <w:tcW w:w="1278" w:type="dxa"/>
            <w:vAlign w:val="center"/>
          </w:tcPr>
          <w:p>
            <w:pPr>
              <w:pStyle w:val="12"/>
              <w:jc w:val="left"/>
              <w:rPr>
                <w:shd w:val="clear" w:color="auto" w:fill="FFFFFF"/>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16:25-16:30</w:t>
            </w:r>
          </w:p>
        </w:tc>
        <w:tc>
          <w:tcPr>
            <w:tcW w:w="2951" w:type="dxa"/>
            <w:vAlign w:val="center"/>
          </w:tcPr>
          <w:p>
            <w:pPr>
              <w:pStyle w:val="12"/>
              <w:jc w:val="left"/>
              <w:rPr>
                <w:kern w:val="0"/>
              </w:rPr>
            </w:pPr>
            <w:r>
              <w:rPr>
                <w:kern w:val="0"/>
              </w:rPr>
              <w:t>第三阶段赛题发放时间</w:t>
            </w:r>
          </w:p>
        </w:tc>
        <w:tc>
          <w:tcPr>
            <w:tcW w:w="1749" w:type="dxa"/>
            <w:vAlign w:val="center"/>
          </w:tcPr>
          <w:p>
            <w:pPr>
              <w:pStyle w:val="12"/>
              <w:jc w:val="left"/>
            </w:pPr>
            <w:r>
              <w:rPr>
                <w:bCs/>
                <w:kern w:val="0"/>
              </w:rPr>
              <w:t>参赛选手、现场裁判</w:t>
            </w:r>
          </w:p>
        </w:tc>
        <w:tc>
          <w:tcPr>
            <w:tcW w:w="1278" w:type="dxa"/>
            <w:vAlign w:val="center"/>
          </w:tcPr>
          <w:p>
            <w:pPr>
              <w:pStyle w:val="12"/>
              <w:jc w:val="left"/>
              <w:rPr>
                <w:kern w:val="0"/>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16:30-17:30</w:t>
            </w:r>
          </w:p>
        </w:tc>
        <w:tc>
          <w:tcPr>
            <w:tcW w:w="2951" w:type="dxa"/>
            <w:vAlign w:val="center"/>
          </w:tcPr>
          <w:p>
            <w:pPr>
              <w:pStyle w:val="12"/>
              <w:jc w:val="left"/>
              <w:rPr>
                <w:kern w:val="0"/>
              </w:rPr>
            </w:pPr>
            <w:r>
              <w:rPr>
                <w:kern w:val="0"/>
              </w:rPr>
              <w:t>第三阶段比赛时间</w:t>
            </w:r>
          </w:p>
        </w:tc>
        <w:tc>
          <w:tcPr>
            <w:tcW w:w="1749" w:type="dxa"/>
            <w:vAlign w:val="center"/>
          </w:tcPr>
          <w:p>
            <w:pPr>
              <w:pStyle w:val="12"/>
              <w:jc w:val="left"/>
            </w:pPr>
            <w:r>
              <w:rPr>
                <w:bCs/>
                <w:kern w:val="0"/>
              </w:rPr>
              <w:t>参赛选手、现场裁判</w:t>
            </w:r>
          </w:p>
        </w:tc>
        <w:tc>
          <w:tcPr>
            <w:tcW w:w="1278" w:type="dxa"/>
            <w:vAlign w:val="center"/>
          </w:tcPr>
          <w:p>
            <w:pPr>
              <w:pStyle w:val="12"/>
              <w:jc w:val="left"/>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17:30-17：50</w:t>
            </w:r>
          </w:p>
        </w:tc>
        <w:tc>
          <w:tcPr>
            <w:tcW w:w="2951" w:type="dxa"/>
            <w:vAlign w:val="center"/>
          </w:tcPr>
          <w:p>
            <w:pPr>
              <w:pStyle w:val="12"/>
              <w:jc w:val="left"/>
              <w:rPr>
                <w:kern w:val="0"/>
              </w:rPr>
            </w:pPr>
            <w:r>
              <w:rPr>
                <w:kern w:val="0"/>
              </w:rPr>
              <w:t>第三阶段成绩导出</w:t>
            </w:r>
          </w:p>
        </w:tc>
        <w:tc>
          <w:tcPr>
            <w:tcW w:w="1749" w:type="dxa"/>
            <w:vAlign w:val="center"/>
          </w:tcPr>
          <w:p>
            <w:pPr>
              <w:pStyle w:val="12"/>
              <w:jc w:val="left"/>
              <w:rPr>
                <w:bCs/>
                <w:kern w:val="0"/>
              </w:rPr>
            </w:pPr>
            <w:r>
              <w:rPr>
                <w:bCs/>
                <w:kern w:val="0"/>
              </w:rPr>
              <w:t>现场裁判</w:t>
            </w:r>
          </w:p>
        </w:tc>
        <w:tc>
          <w:tcPr>
            <w:tcW w:w="1278" w:type="dxa"/>
            <w:vAlign w:val="center"/>
          </w:tcPr>
          <w:p>
            <w:pPr>
              <w:pStyle w:val="12"/>
              <w:jc w:val="left"/>
              <w:rPr>
                <w:shd w:val="clear" w:color="auto" w:fill="FFFFFF"/>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Merge w:val="continue"/>
            <w:vAlign w:val="center"/>
          </w:tcPr>
          <w:p>
            <w:pPr>
              <w:pStyle w:val="12"/>
              <w:jc w:val="left"/>
            </w:pPr>
          </w:p>
        </w:tc>
        <w:tc>
          <w:tcPr>
            <w:tcW w:w="1636" w:type="dxa"/>
            <w:vAlign w:val="center"/>
          </w:tcPr>
          <w:p>
            <w:pPr>
              <w:pStyle w:val="12"/>
              <w:jc w:val="left"/>
              <w:rPr>
                <w:bCs/>
                <w:kern w:val="0"/>
              </w:rPr>
            </w:pPr>
            <w:r>
              <w:rPr>
                <w:bCs/>
                <w:kern w:val="0"/>
              </w:rPr>
              <w:t>17:50-评判完毕后</w:t>
            </w:r>
          </w:p>
        </w:tc>
        <w:tc>
          <w:tcPr>
            <w:tcW w:w="2951" w:type="dxa"/>
            <w:vAlign w:val="center"/>
          </w:tcPr>
          <w:p>
            <w:pPr>
              <w:pStyle w:val="12"/>
              <w:jc w:val="left"/>
              <w:rPr>
                <w:bCs/>
                <w:kern w:val="0"/>
              </w:rPr>
            </w:pPr>
            <w:r>
              <w:rPr>
                <w:bCs/>
                <w:kern w:val="0"/>
              </w:rPr>
              <w:t>成绩统计汇总，解密报送，成绩公布</w:t>
            </w:r>
          </w:p>
        </w:tc>
        <w:tc>
          <w:tcPr>
            <w:tcW w:w="1749" w:type="dxa"/>
            <w:vAlign w:val="center"/>
          </w:tcPr>
          <w:p>
            <w:pPr>
              <w:pStyle w:val="12"/>
              <w:jc w:val="left"/>
              <w:rPr>
                <w:bCs/>
                <w:kern w:val="0"/>
              </w:rPr>
            </w:pPr>
            <w:r>
              <w:rPr>
                <w:bCs/>
                <w:kern w:val="0"/>
              </w:rPr>
              <w:t>评分裁判、裁判长、专家、监督仲裁</w:t>
            </w:r>
          </w:p>
        </w:tc>
        <w:tc>
          <w:tcPr>
            <w:tcW w:w="1278" w:type="dxa"/>
            <w:vAlign w:val="center"/>
          </w:tcPr>
          <w:p>
            <w:pPr>
              <w:pStyle w:val="12"/>
              <w:jc w:val="left"/>
              <w:rPr>
                <w:bCs/>
                <w:kern w:val="0"/>
              </w:rPr>
            </w:pPr>
            <w:r>
              <w:rPr>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08" w:type="dxa"/>
            <w:vAlign w:val="center"/>
          </w:tcPr>
          <w:p>
            <w:pPr>
              <w:pStyle w:val="12"/>
              <w:jc w:val="left"/>
            </w:pPr>
            <w:r>
              <w:t>竞赛</w:t>
            </w:r>
          </w:p>
          <w:p>
            <w:pPr>
              <w:pStyle w:val="12"/>
              <w:jc w:val="left"/>
            </w:pPr>
            <w:r>
              <w:t>后1日</w:t>
            </w:r>
          </w:p>
        </w:tc>
        <w:tc>
          <w:tcPr>
            <w:tcW w:w="1636" w:type="dxa"/>
            <w:vAlign w:val="center"/>
          </w:tcPr>
          <w:p>
            <w:pPr>
              <w:pStyle w:val="12"/>
              <w:jc w:val="left"/>
            </w:pPr>
            <w:r>
              <w:t>9：30-10：00</w:t>
            </w:r>
          </w:p>
        </w:tc>
        <w:tc>
          <w:tcPr>
            <w:tcW w:w="2951" w:type="dxa"/>
            <w:vAlign w:val="center"/>
          </w:tcPr>
          <w:p>
            <w:pPr>
              <w:pStyle w:val="12"/>
              <w:jc w:val="left"/>
            </w:pPr>
            <w:r>
              <w:t>闭幕式</w:t>
            </w:r>
          </w:p>
        </w:tc>
        <w:tc>
          <w:tcPr>
            <w:tcW w:w="1749" w:type="dxa"/>
            <w:vAlign w:val="center"/>
          </w:tcPr>
          <w:p>
            <w:pPr>
              <w:pStyle w:val="12"/>
              <w:jc w:val="left"/>
            </w:pPr>
            <w:r>
              <w:rPr>
                <w:shd w:val="clear" w:color="auto" w:fill="FFFFFF"/>
              </w:rPr>
              <w:t>领导、嘉宾、裁判、各参赛队、专家组</w:t>
            </w:r>
          </w:p>
        </w:tc>
        <w:tc>
          <w:tcPr>
            <w:tcW w:w="1278" w:type="dxa"/>
            <w:vAlign w:val="center"/>
          </w:tcPr>
          <w:p>
            <w:pPr>
              <w:pStyle w:val="12"/>
              <w:jc w:val="left"/>
            </w:pPr>
            <w:r>
              <w:t>线上</w:t>
            </w:r>
          </w:p>
        </w:tc>
      </w:tr>
    </w:tbl>
    <w:p>
      <w:pPr>
        <w:rPr>
          <w:rFonts w:ascii="Times New Roman" w:hAnsi="Times New Roman"/>
        </w:rPr>
      </w:pPr>
    </w:p>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六、成绩评审</w:t>
      </w:r>
      <w:bookmarkStart w:id="14" w:name="pindex142"/>
      <w:bookmarkEnd w:id="14"/>
    </w:p>
    <w:p>
      <w:pPr>
        <w:ind w:firstLine="600" w:firstLineChars="200"/>
        <w:rPr>
          <w:rFonts w:ascii="Times New Roman" w:hAnsi="Times New Roman" w:eastAsia="仿宋"/>
          <w:sz w:val="30"/>
          <w:szCs w:val="30"/>
        </w:rPr>
      </w:pPr>
      <w:r>
        <w:rPr>
          <w:rFonts w:ascii="Times New Roman" w:hAnsi="Times New Roman" w:eastAsia="仿宋"/>
          <w:sz w:val="30"/>
          <w:szCs w:val="30"/>
        </w:rPr>
        <w:t>1.裁判需求表</w:t>
      </w:r>
      <w:bookmarkStart w:id="15" w:name="pindex143"/>
      <w:bookmarkEnd w:id="15"/>
    </w:p>
    <w:p>
      <w:pPr>
        <w:pStyle w:val="2"/>
        <w:ind w:firstLine="600" w:firstLineChars="200"/>
        <w:rPr>
          <w:rFonts w:ascii="Times New Roman" w:hAnsi="Times New Roman" w:eastAsia="仿宋"/>
          <w:sz w:val="30"/>
          <w:szCs w:val="30"/>
        </w:rPr>
      </w:pPr>
      <w:r>
        <w:rPr>
          <w:rFonts w:ascii="Times New Roman" w:hAnsi="Times New Roman" w:eastAsia="仿宋"/>
          <w:sz w:val="30"/>
          <w:szCs w:val="30"/>
        </w:rPr>
        <w:t>根据比赛需求，共需裁判35人，其中，各参赛队需现场裁判及仲裁裁判各一人，见下表：</w:t>
      </w:r>
    </w:p>
    <w:p>
      <w:pPr>
        <w:pStyle w:val="2"/>
        <w:rPr>
          <w:rFonts w:ascii="Times New Roman" w:hAnsi="Times New Roman" w:eastAsia="仿宋"/>
          <w:sz w:val="30"/>
          <w:szCs w:val="3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
              <w:rPr>
                <w:rFonts w:ascii="Times New Roman" w:hAnsi="Times New Roman" w:eastAsia="仿宋"/>
                <w:sz w:val="30"/>
                <w:szCs w:val="30"/>
              </w:rPr>
            </w:pPr>
            <w:r>
              <w:rPr>
                <w:rFonts w:ascii="Times New Roman" w:hAnsi="Times New Roman" w:eastAsia="仿宋"/>
                <w:sz w:val="30"/>
                <w:szCs w:val="30"/>
              </w:rPr>
              <w:t>裁判类别</w:t>
            </w:r>
          </w:p>
        </w:tc>
        <w:tc>
          <w:tcPr>
            <w:tcW w:w="2130" w:type="dxa"/>
          </w:tcPr>
          <w:p>
            <w:pPr>
              <w:pStyle w:val="2"/>
              <w:rPr>
                <w:rFonts w:ascii="Times New Roman" w:hAnsi="Times New Roman" w:eastAsia="仿宋"/>
                <w:sz w:val="30"/>
                <w:szCs w:val="30"/>
              </w:rPr>
            </w:pPr>
            <w:r>
              <w:rPr>
                <w:rFonts w:ascii="Times New Roman" w:hAnsi="Times New Roman" w:eastAsia="仿宋"/>
                <w:sz w:val="30"/>
                <w:szCs w:val="3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
              <w:rPr>
                <w:rFonts w:ascii="Times New Roman" w:hAnsi="Times New Roman" w:eastAsia="仿宋"/>
                <w:sz w:val="30"/>
                <w:szCs w:val="30"/>
              </w:rPr>
            </w:pPr>
            <w:r>
              <w:rPr>
                <w:rFonts w:ascii="Times New Roman" w:hAnsi="Times New Roman" w:eastAsia="仿宋"/>
                <w:sz w:val="30"/>
                <w:szCs w:val="30"/>
              </w:rPr>
              <w:t>裁判长</w:t>
            </w:r>
          </w:p>
        </w:tc>
        <w:tc>
          <w:tcPr>
            <w:tcW w:w="2130" w:type="dxa"/>
          </w:tcPr>
          <w:p>
            <w:pPr>
              <w:pStyle w:val="2"/>
              <w:rPr>
                <w:rFonts w:ascii="Times New Roman" w:hAnsi="Times New Roman" w:eastAsia="仿宋"/>
                <w:sz w:val="30"/>
                <w:szCs w:val="30"/>
              </w:rPr>
            </w:pPr>
            <w:r>
              <w:rPr>
                <w:rFonts w:ascii="Times New Roman" w:hAnsi="Times New Roman"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
              <w:rPr>
                <w:rFonts w:ascii="Times New Roman" w:hAnsi="Times New Roman" w:eastAsia="仿宋"/>
                <w:sz w:val="30"/>
                <w:szCs w:val="30"/>
              </w:rPr>
            </w:pPr>
            <w:r>
              <w:rPr>
                <w:rFonts w:ascii="Times New Roman" w:hAnsi="Times New Roman" w:eastAsia="仿宋"/>
                <w:sz w:val="30"/>
                <w:szCs w:val="30"/>
              </w:rPr>
              <w:t>副裁判长</w:t>
            </w:r>
          </w:p>
        </w:tc>
        <w:tc>
          <w:tcPr>
            <w:tcW w:w="2130" w:type="dxa"/>
          </w:tcPr>
          <w:p>
            <w:pPr>
              <w:pStyle w:val="2"/>
              <w:rPr>
                <w:rFonts w:ascii="Times New Roman" w:hAnsi="Times New Roman" w:eastAsia="仿宋"/>
                <w:sz w:val="30"/>
                <w:szCs w:val="30"/>
              </w:rPr>
            </w:pPr>
            <w:r>
              <w:rPr>
                <w:rFonts w:ascii="Times New Roman" w:hAnsi="Times New Roman" w:eastAsia="仿宋"/>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
              <w:rPr>
                <w:rFonts w:ascii="Times New Roman" w:hAnsi="Times New Roman" w:eastAsia="仿宋"/>
                <w:sz w:val="30"/>
                <w:szCs w:val="30"/>
              </w:rPr>
            </w:pPr>
            <w:r>
              <w:rPr>
                <w:rFonts w:ascii="Times New Roman" w:hAnsi="Times New Roman" w:eastAsia="仿宋"/>
                <w:sz w:val="30"/>
                <w:szCs w:val="30"/>
              </w:rPr>
              <w:t>现场裁判</w:t>
            </w:r>
          </w:p>
        </w:tc>
        <w:tc>
          <w:tcPr>
            <w:tcW w:w="2130" w:type="dxa"/>
          </w:tcPr>
          <w:p>
            <w:pPr>
              <w:pStyle w:val="2"/>
              <w:rPr>
                <w:rFonts w:ascii="Times New Roman" w:hAnsi="Times New Roman" w:eastAsia="仿宋"/>
                <w:sz w:val="30"/>
                <w:szCs w:val="30"/>
              </w:rPr>
            </w:pPr>
            <w:r>
              <w:rPr>
                <w:rFonts w:ascii="Times New Roman" w:hAnsi="Times New Roman" w:eastAsia="仿宋"/>
                <w:sz w:val="30"/>
                <w:szCs w:val="3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
              <w:rPr>
                <w:rFonts w:ascii="Times New Roman" w:hAnsi="Times New Roman" w:eastAsia="仿宋"/>
                <w:sz w:val="30"/>
                <w:szCs w:val="30"/>
              </w:rPr>
            </w:pPr>
            <w:r>
              <w:rPr>
                <w:rFonts w:ascii="Times New Roman" w:hAnsi="Times New Roman" w:eastAsia="仿宋"/>
                <w:sz w:val="30"/>
                <w:szCs w:val="30"/>
              </w:rPr>
              <w:t>仲裁裁判</w:t>
            </w:r>
          </w:p>
        </w:tc>
        <w:tc>
          <w:tcPr>
            <w:tcW w:w="2130" w:type="dxa"/>
          </w:tcPr>
          <w:p>
            <w:pPr>
              <w:pStyle w:val="2"/>
              <w:rPr>
                <w:rFonts w:ascii="Times New Roman" w:hAnsi="Times New Roman" w:eastAsia="仿宋"/>
                <w:sz w:val="30"/>
                <w:szCs w:val="30"/>
              </w:rPr>
            </w:pPr>
            <w:r>
              <w:rPr>
                <w:rFonts w:ascii="Times New Roman" w:hAnsi="Times New Roman" w:eastAsia="仿宋"/>
                <w:sz w:val="30"/>
                <w:szCs w:val="3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
              <w:rPr>
                <w:rFonts w:ascii="Times New Roman" w:hAnsi="Times New Roman" w:eastAsia="仿宋"/>
                <w:sz w:val="30"/>
                <w:szCs w:val="30"/>
              </w:rPr>
            </w:pPr>
            <w:r>
              <w:rPr>
                <w:rFonts w:ascii="Times New Roman" w:hAnsi="Times New Roman" w:eastAsia="仿宋"/>
                <w:sz w:val="30"/>
                <w:szCs w:val="30"/>
              </w:rPr>
              <w:t>评分裁判</w:t>
            </w:r>
          </w:p>
        </w:tc>
        <w:tc>
          <w:tcPr>
            <w:tcW w:w="2130" w:type="dxa"/>
          </w:tcPr>
          <w:p>
            <w:pPr>
              <w:pStyle w:val="2"/>
              <w:rPr>
                <w:rFonts w:ascii="Times New Roman" w:hAnsi="Times New Roman" w:eastAsia="仿宋"/>
                <w:sz w:val="30"/>
                <w:szCs w:val="30"/>
              </w:rPr>
            </w:pPr>
            <w:r>
              <w:rPr>
                <w:rFonts w:ascii="Times New Roman" w:hAnsi="Times New Roman" w:eastAsia="仿宋"/>
                <w:sz w:val="30"/>
                <w:szCs w:val="30"/>
              </w:rPr>
              <w:t>7</w:t>
            </w:r>
          </w:p>
        </w:tc>
      </w:tr>
    </w:tbl>
    <w:p>
      <w:pPr>
        <w:pStyle w:val="2"/>
        <w:rPr>
          <w:rFonts w:ascii="Times New Roman" w:hAnsi="Times New Roman"/>
        </w:rPr>
      </w:pPr>
    </w:p>
    <w:p>
      <w:pPr>
        <w:numPr>
          <w:ilvl w:val="0"/>
          <w:numId w:val="3"/>
        </w:numPr>
        <w:ind w:firstLine="600" w:firstLineChars="200"/>
        <w:rPr>
          <w:rFonts w:ascii="Times New Roman" w:hAnsi="Times New Roman" w:eastAsia="仿宋"/>
          <w:sz w:val="30"/>
          <w:szCs w:val="30"/>
        </w:rPr>
      </w:pPr>
      <w:r>
        <w:rPr>
          <w:rFonts w:ascii="Times New Roman" w:hAnsi="Times New Roman" w:eastAsia="仿宋"/>
          <w:sz w:val="30"/>
          <w:szCs w:val="30"/>
        </w:rPr>
        <w:t>评审方式：</w:t>
      </w:r>
    </w:p>
    <w:p>
      <w:pPr>
        <w:numPr>
          <w:ilvl w:val="255"/>
          <w:numId w:val="0"/>
        </w:numPr>
        <w:ind w:firstLine="600" w:firstLineChars="200"/>
        <w:rPr>
          <w:rFonts w:ascii="Times New Roman" w:hAnsi="Times New Roman" w:eastAsia="仿宋"/>
          <w:sz w:val="30"/>
          <w:szCs w:val="30"/>
          <w:highlight w:val="yellow"/>
        </w:rPr>
      </w:pPr>
      <w:r>
        <w:rPr>
          <w:rFonts w:ascii="Times New Roman" w:hAnsi="Times New Roman" w:eastAsia="仿宋"/>
          <w:sz w:val="30"/>
          <w:szCs w:val="30"/>
        </w:rPr>
        <w:t>线下与线上评审相结合。现场裁判由世校赛执委会在本省/市抽取产生（与参赛队所在学校有直接关系的应回避），负责竞赛现场全程裁决；竞赛结束后，线上评审裁判背靠背打分（含机评系统自动评分）。</w:t>
      </w:r>
      <w:bookmarkStart w:id="16" w:name="pindex144"/>
      <w:bookmarkEnd w:id="16"/>
    </w:p>
    <w:p>
      <w:pPr>
        <w:ind w:firstLine="600" w:firstLineChars="200"/>
        <w:rPr>
          <w:rFonts w:ascii="Times New Roman" w:hAnsi="Times New Roman" w:eastAsia="仿宋"/>
          <w:sz w:val="30"/>
          <w:szCs w:val="30"/>
        </w:rPr>
      </w:pPr>
      <w:r>
        <w:rPr>
          <w:rFonts w:ascii="Times New Roman" w:hAnsi="Times New Roman" w:eastAsia="仿宋"/>
          <w:sz w:val="30"/>
          <w:szCs w:val="30"/>
        </w:rPr>
        <w:t>国内选手评审方式：采取现场与线上结合方式评审。现场裁判由大赛执委会抽取，评分占比15%；线上裁判由第三方人员组成，采取背靠背打分方式，评分占比85%（含机评-系统自动评分）。</w:t>
      </w:r>
    </w:p>
    <w:p>
      <w:pPr>
        <w:ind w:firstLine="600" w:firstLineChars="200"/>
        <w:rPr>
          <w:rFonts w:ascii="Times New Roman" w:hAnsi="Times New Roman" w:eastAsia="仿宋"/>
          <w:sz w:val="30"/>
          <w:szCs w:val="30"/>
        </w:rPr>
      </w:pPr>
      <w:r>
        <w:rPr>
          <w:rFonts w:ascii="Times New Roman" w:hAnsi="Times New Roman" w:eastAsia="仿宋"/>
          <w:sz w:val="30"/>
          <w:szCs w:val="30"/>
        </w:rPr>
        <w:t>国外选手评审方式：采取线上评审（含机评-系统自动评分）。</w:t>
      </w:r>
    </w:p>
    <w:p>
      <w:pPr>
        <w:pStyle w:val="2"/>
        <w:rPr>
          <w:rFonts w:ascii="Times New Roman" w:hAnsi="Times New Roman"/>
        </w:rPr>
      </w:pPr>
    </w:p>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七、</w:t>
      </w:r>
      <w:bookmarkStart w:id="17" w:name="pindex145"/>
      <w:bookmarkEnd w:id="17"/>
      <w:r>
        <w:rPr>
          <w:rFonts w:ascii="Times New Roman" w:hAnsi="Times New Roman" w:eastAsia="仿宋"/>
          <w:b/>
          <w:bCs/>
          <w:sz w:val="30"/>
          <w:szCs w:val="30"/>
        </w:rPr>
        <w:t>赛事安排</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1.赛前准备。比赛前7天，各参赛校选定参赛场地并上报世校赛执委会，完成人员调配、设备调试和环境布置等准备工作（具体要求见附件）。</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参与人员：参赛校、保障组、联络员、领队</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2.赛项说明会。比赛前15天召开赛项说明会，公布竞赛时间、竞赛方式、环境要求、竞赛流程、注意事项等内容。</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参与人员：专家组、裁判长、领队、指导教师</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3.赛场验收。比赛前1天，参赛校竞赛环境测试。世校赛执委会专家组、裁判组、监督仲裁组、将通过腾讯会议（会议号通过参赛校联络员下发，并向保障组短信确认）进行检查验收并测试。验收通过后，赛场封闭贴封条，录制封场视频。</w:t>
      </w:r>
    </w:p>
    <w:p>
      <w:pPr>
        <w:ind w:firstLine="600" w:firstLineChars="200"/>
        <w:rPr>
          <w:rFonts w:ascii="Times New Roman" w:hAnsi="Times New Roman" w:eastAsia="仿宋"/>
          <w:sz w:val="30"/>
          <w:szCs w:val="30"/>
        </w:rPr>
      </w:pPr>
      <w:r>
        <w:rPr>
          <w:rFonts w:ascii="Times New Roman" w:hAnsi="Times New Roman" w:eastAsia="仿宋"/>
          <w:sz w:val="30"/>
          <w:szCs w:val="30"/>
        </w:rPr>
        <w:t>参与人员：参赛校领队及联络员、专家组、裁判组、监督仲裁组、保障组</w:t>
      </w:r>
    </w:p>
    <w:p>
      <w:pPr>
        <w:ind w:firstLine="600" w:firstLineChars="200"/>
        <w:rPr>
          <w:rFonts w:ascii="Times New Roman" w:hAnsi="Times New Roman" w:eastAsia="仿宋"/>
          <w:sz w:val="30"/>
          <w:szCs w:val="30"/>
        </w:rPr>
      </w:pPr>
      <w:r>
        <w:rPr>
          <w:rFonts w:ascii="Times New Roman" w:hAnsi="Times New Roman" w:eastAsia="仿宋"/>
          <w:sz w:val="30"/>
          <w:szCs w:val="30"/>
        </w:rPr>
        <w:t>4.进场准备。比赛当天规定时间（上午8时）前，各参赛校及相关人员进入比赛场地，保障组工作人员创建本评审组腾讯会议，用短信通知本评审组参赛队联络员腾讯会议号。参赛队联络员回复指定手机号码确认：“信息技术应用创新赛项XXX（学校名称）参赛队已收到信息技术应用创新赛项腾讯会议号：※※※ ※※※ ※※※，X月XX日上午/下午X时前，做好一切准备。特此确认</w:t>
      </w:r>
      <w:r>
        <w:rPr>
          <w:rFonts w:hint="eastAsia" w:ascii="Times New Roman" w:hAnsi="Times New Roman" w:eastAsia="仿宋"/>
          <w:sz w:val="30"/>
          <w:szCs w:val="30"/>
        </w:rPr>
        <w:t>。</w:t>
      </w:r>
      <w:r>
        <w:rPr>
          <w:rFonts w:ascii="Times New Roman" w:hAnsi="Times New Roman" w:eastAsia="仿宋"/>
          <w:sz w:val="30"/>
          <w:szCs w:val="30"/>
        </w:rPr>
        <w:t>” 在现场裁判的监督下开封</w:t>
      </w:r>
      <w:r>
        <w:rPr>
          <w:rFonts w:hint="eastAsia" w:ascii="Times New Roman" w:hAnsi="Times New Roman" w:eastAsia="仿宋"/>
          <w:sz w:val="30"/>
          <w:szCs w:val="30"/>
        </w:rPr>
        <w:t>赛题</w:t>
      </w:r>
      <w:r>
        <w:rPr>
          <w:rFonts w:ascii="Times New Roman" w:hAnsi="Times New Roman" w:eastAsia="仿宋"/>
          <w:sz w:val="30"/>
          <w:szCs w:val="30"/>
        </w:rPr>
        <w:t>并录制视频，通过腾讯会议进入相应评审组并调试好所有设备。场内除了参赛选手、现场裁判、合作企业技术支持工程师、视频拍摄、转换、上传技术人员和腾讯会议视频连线技术人员之外，不得有其他人员在场；始终保持腾讯会议视频连线，并能全程监视决赛场所。参赛队按时用视频连线电脑登录腾讯会议，将成员名改为赛位号+队员编号。开启外接广角摄像头（一直到比赛全部事宜结束），由保障组工作人员、现场裁判、监督仲裁组人员等检查场所、场内人员。</w:t>
      </w:r>
    </w:p>
    <w:p>
      <w:pPr>
        <w:ind w:firstLine="600" w:firstLineChars="200"/>
        <w:rPr>
          <w:rFonts w:ascii="Times New Roman" w:hAnsi="Times New Roman" w:eastAsia="仿宋"/>
          <w:sz w:val="30"/>
          <w:szCs w:val="30"/>
        </w:rPr>
      </w:pPr>
      <w:r>
        <w:rPr>
          <w:rFonts w:ascii="Times New Roman" w:hAnsi="Times New Roman" w:eastAsia="仿宋"/>
          <w:sz w:val="30"/>
          <w:szCs w:val="30"/>
        </w:rPr>
        <w:t>5.身份核验。比赛当天8时，每个参赛队在规定时间内，通过腾讯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Times New Roman" w:hAnsi="Times New Roman" w:eastAsia="仿宋"/>
          <w:sz w:val="30"/>
          <w:szCs w:val="30"/>
        </w:rPr>
      </w:pPr>
      <w:r>
        <w:rPr>
          <w:rFonts w:ascii="Times New Roman" w:hAnsi="Times New Roman" w:eastAsia="仿宋"/>
          <w:sz w:val="30"/>
          <w:szCs w:val="30"/>
        </w:rPr>
        <w:t>6.抽定赛位号。加密裁判按参赛队联络员姓氏笔画为序，在监督仲裁组的监督下，抽签决定参赛队的赛位号；每个参赛队使用赛位号进入竞赛专用腾讯会议。参赛团队负责人回复短信确认。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Times New Roman" w:hAnsi="Times New Roman" w:eastAsia="仿宋"/>
          <w:sz w:val="30"/>
          <w:szCs w:val="30"/>
        </w:rPr>
      </w:pPr>
      <w:r>
        <w:rPr>
          <w:rFonts w:ascii="Times New Roman" w:hAnsi="Times New Roman" w:eastAsia="仿宋"/>
          <w:sz w:val="30"/>
          <w:szCs w:val="30"/>
        </w:rPr>
        <w:t>7.实时录制。由保障组工作人员在统一的时间点连线公布“比赛特定标识”，由各参赛校固定张贴（或书写）在视频录制始终可见位置。</w:t>
      </w:r>
    </w:p>
    <w:p>
      <w:pPr>
        <w:ind w:firstLine="600" w:firstLineChars="200"/>
        <w:rPr>
          <w:rFonts w:ascii="Times New Roman" w:hAnsi="Times New Roman" w:eastAsia="仿宋"/>
          <w:sz w:val="30"/>
          <w:szCs w:val="30"/>
        </w:rPr>
      </w:pPr>
      <w:r>
        <w:rPr>
          <w:rFonts w:ascii="Times New Roman" w:hAnsi="Times New Roman" w:eastAsia="仿宋"/>
          <w:sz w:val="30"/>
          <w:szCs w:val="30"/>
        </w:rPr>
        <w:t>8.竞赛报告单上传。比赛结束后按题目要求将竞赛报告单在规定时间内上传至指定地址。</w:t>
      </w:r>
    </w:p>
    <w:p>
      <w:pPr>
        <w:ind w:firstLine="600" w:firstLineChars="200"/>
        <w:rPr>
          <w:rFonts w:ascii="Times New Roman" w:hAnsi="Times New Roman" w:eastAsia="仿宋"/>
          <w:sz w:val="30"/>
          <w:szCs w:val="30"/>
        </w:rPr>
      </w:pPr>
      <w:r>
        <w:rPr>
          <w:rFonts w:ascii="Times New Roman" w:hAnsi="Times New Roman" w:eastAsia="仿宋"/>
          <w:sz w:val="30"/>
          <w:szCs w:val="30"/>
        </w:rPr>
        <w:t>9.录屏上传。将录制好的视频文件分别以“赛项编号+赛项名称+模块号+加密代号.mp4”命名，采用MP4格式封装，不允许另行剪辑及配音，视频录制软件不限，采用H.264/AVC（MPEG-4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比赛官网（使用新的用户名、密码），上传完成后利用预览功能自行检查所传视频完整性。同时发送到赛项指定邮箱（承办校负责）。上传截止时间为第一阶段结束后50分钟内；封闭和开封赛场录制视频上传为比赛日当天12点前。</w:t>
      </w:r>
    </w:p>
    <w:p>
      <w:pPr>
        <w:ind w:firstLine="600" w:firstLineChars="200"/>
        <w:rPr>
          <w:rFonts w:ascii="Times New Roman" w:hAnsi="Times New Roman" w:eastAsia="仿宋"/>
          <w:sz w:val="30"/>
          <w:szCs w:val="30"/>
        </w:rPr>
      </w:pPr>
      <w:r>
        <w:rPr>
          <w:rFonts w:ascii="Times New Roman" w:hAnsi="Times New Roman" w:eastAsia="仿宋"/>
          <w:sz w:val="30"/>
          <w:szCs w:val="30"/>
        </w:rPr>
        <w:t>10.完成比赛。各参赛队在完成比赛全部事宜，并确认视频上传无误后，参赛队负责人回复指定手机号码确认：“信息技术应用创新赛项XXX（赛位号）参赛队已经完成比赛，特此确认。”</w:t>
      </w:r>
    </w:p>
    <w:p>
      <w:pPr>
        <w:ind w:firstLine="600" w:firstLineChars="200"/>
        <w:rPr>
          <w:rFonts w:ascii="Times New Roman" w:hAnsi="Times New Roman" w:eastAsia="仿宋"/>
          <w:sz w:val="30"/>
          <w:szCs w:val="30"/>
        </w:rPr>
      </w:pPr>
      <w:r>
        <w:rPr>
          <w:rFonts w:ascii="Times New Roman" w:hAnsi="Times New Roman" w:eastAsia="仿宋"/>
          <w:sz w:val="30"/>
          <w:szCs w:val="30"/>
        </w:rPr>
        <w:t>11.评审。根据比赛阶段流程要求，线下评审-现场裁判根据评分标准完成成绩评定；线上评审-裁判组通过网络评审各参赛队提交竞赛报告单，按照评审要求，依据评分标准打分（含机评-系统自动评分）。线下评审成绩和线上评审成绩由裁判长统计汇总。</w:t>
      </w:r>
    </w:p>
    <w:p>
      <w:pPr>
        <w:ind w:firstLine="600" w:firstLineChars="200"/>
        <w:rPr>
          <w:rFonts w:ascii="Times New Roman" w:hAnsi="Times New Roman" w:eastAsia="仿宋"/>
          <w:sz w:val="30"/>
          <w:szCs w:val="30"/>
        </w:rPr>
      </w:pPr>
      <w:r>
        <w:rPr>
          <w:rFonts w:ascii="Times New Roman" w:hAnsi="Times New Roman" w:eastAsia="仿宋"/>
          <w:sz w:val="30"/>
          <w:szCs w:val="30"/>
        </w:rPr>
        <w:t>12.成绩计算及公示。根据既定规则确定最终成绩，成绩评定方法依照赛项规程，并由监督仲裁组进行成绩复核。成绩公示时间为2小时。</w:t>
      </w:r>
    </w:p>
    <w:p>
      <w:pPr>
        <w:pStyle w:val="2"/>
        <w:ind w:firstLine="600" w:firstLineChars="200"/>
        <w:rPr>
          <w:rFonts w:ascii="Times New Roman" w:hAnsi="Times New Roman"/>
        </w:rPr>
      </w:pPr>
      <w:r>
        <w:rPr>
          <w:rFonts w:ascii="Times New Roman" w:hAnsi="Times New Roman" w:eastAsia="仿宋"/>
          <w:sz w:val="30"/>
          <w:szCs w:val="30"/>
        </w:rPr>
        <w:t>13.成绩公布。闭幕式公布成绩并颁奖。</w:t>
      </w:r>
    </w:p>
    <w:p>
      <w:pPr>
        <w:numPr>
          <w:ilvl w:val="255"/>
          <w:numId w:val="0"/>
        </w:numPr>
        <w:rPr>
          <w:rFonts w:ascii="Times New Roman" w:hAnsi="Times New Roman" w:eastAsia="仿宋"/>
          <w:b/>
          <w:bCs/>
          <w:sz w:val="30"/>
          <w:szCs w:val="30"/>
        </w:rPr>
      </w:pPr>
      <w:bookmarkStart w:id="18" w:name="pindex153"/>
      <w:bookmarkEnd w:id="18"/>
      <w:r>
        <w:rPr>
          <w:rFonts w:ascii="Times New Roman" w:hAnsi="Times New Roman" w:eastAsia="仿宋"/>
          <w:b/>
          <w:bCs/>
          <w:sz w:val="30"/>
          <w:szCs w:val="30"/>
        </w:rPr>
        <w:t>八、竞赛保障</w:t>
      </w:r>
      <w:bookmarkStart w:id="19" w:name="pindex154"/>
      <w:bookmarkEnd w:id="19"/>
    </w:p>
    <w:p>
      <w:pPr>
        <w:ind w:firstLine="600" w:firstLineChars="200"/>
        <w:rPr>
          <w:rFonts w:ascii="Times New Roman" w:hAnsi="Times New Roman" w:eastAsia="仿宋"/>
          <w:sz w:val="30"/>
          <w:szCs w:val="30"/>
        </w:rPr>
      </w:pPr>
      <w:r>
        <w:rPr>
          <w:rFonts w:ascii="Times New Roman" w:hAnsi="Times New Roman" w:eastAsia="仿宋"/>
          <w:sz w:val="30"/>
          <w:szCs w:val="30"/>
        </w:rPr>
        <w:t>请写明赛项各环节的保障工作组人员需求和工作内容，可参照以下模板：</w:t>
      </w:r>
    </w:p>
    <w:p>
      <w:pPr>
        <w:ind w:firstLine="600" w:firstLineChars="200"/>
        <w:rPr>
          <w:rFonts w:ascii="Times New Roman" w:hAnsi="Times New Roman" w:eastAsia="仿宋"/>
          <w:sz w:val="30"/>
          <w:szCs w:val="30"/>
        </w:rPr>
      </w:pPr>
      <w:r>
        <w:rPr>
          <w:rFonts w:ascii="Times New Roman" w:hAnsi="Times New Roman" w:eastAsia="仿宋"/>
          <w:sz w:val="30"/>
          <w:szCs w:val="30"/>
        </w:rPr>
        <w:t>1.沟通保障。各分赛场委派工作人员（1人）作为沟通联络员，与大赛执委会在赛场布置、竞赛环节、赛后资料上传等事宜进行沟通，并确保沟通及时顺畅。</w:t>
      </w:r>
    </w:p>
    <w:p>
      <w:pPr>
        <w:ind w:firstLine="600" w:firstLineChars="200"/>
        <w:rPr>
          <w:rFonts w:ascii="Times New Roman" w:hAnsi="Times New Roman" w:eastAsia="仿宋"/>
          <w:sz w:val="30"/>
          <w:szCs w:val="30"/>
        </w:rPr>
      </w:pPr>
      <w:r>
        <w:rPr>
          <w:rFonts w:ascii="Times New Roman" w:hAnsi="Times New Roman" w:eastAsia="仿宋"/>
          <w:sz w:val="30"/>
          <w:szCs w:val="30"/>
        </w:rPr>
        <w:t>2.网络保障。各分赛场委派工作人员（2人）作为网络保障员，负责赛场的网络</w:t>
      </w:r>
      <w:r>
        <w:rPr>
          <w:rFonts w:ascii="Times New Roman" w:hAnsi="Times New Roman" w:eastAsia="仿宋"/>
          <w:color w:val="000000"/>
          <w:sz w:val="30"/>
          <w:szCs w:val="30"/>
        </w:rPr>
        <w:t>通信保障</w:t>
      </w:r>
      <w:r>
        <w:rPr>
          <w:rFonts w:ascii="Times New Roman" w:hAnsi="Times New Roman" w:eastAsia="仿宋"/>
          <w:sz w:val="30"/>
          <w:szCs w:val="30"/>
        </w:rPr>
        <w:t>，保障赛前调试、赛中直播与录制、赛后资料上传等事宜顺利开展。</w:t>
      </w:r>
    </w:p>
    <w:p>
      <w:pPr>
        <w:ind w:firstLine="600" w:firstLineChars="200"/>
        <w:rPr>
          <w:rFonts w:ascii="Times New Roman" w:hAnsi="Times New Roman" w:eastAsia="仿宋"/>
          <w:sz w:val="30"/>
          <w:szCs w:val="30"/>
        </w:rPr>
      </w:pPr>
      <w:r>
        <w:rPr>
          <w:rFonts w:ascii="Times New Roman" w:hAnsi="Times New Roman" w:eastAsia="仿宋"/>
          <w:sz w:val="30"/>
          <w:szCs w:val="30"/>
        </w:rPr>
        <w:t>3.直播与录制保障。各分赛场委派工作人员（1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Times New Roman" w:hAnsi="Times New Roman" w:eastAsia="仿宋"/>
          <w:sz w:val="30"/>
          <w:szCs w:val="30"/>
        </w:rPr>
      </w:pPr>
      <w:r>
        <w:rPr>
          <w:rFonts w:ascii="Times New Roman" w:hAnsi="Times New Roman" w:eastAsia="仿宋"/>
          <w:sz w:val="30"/>
          <w:szCs w:val="30"/>
        </w:rPr>
        <w:t>4.打印保障。各赛点委派工作人员（1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Times New Roman" w:hAnsi="Times New Roman" w:eastAsia="仿宋"/>
          <w:sz w:val="30"/>
          <w:szCs w:val="30"/>
        </w:rPr>
      </w:pPr>
      <w:r>
        <w:rPr>
          <w:rFonts w:ascii="Times New Roman" w:hAnsi="Times New Roman" w:eastAsia="仿宋"/>
          <w:sz w:val="30"/>
          <w:szCs w:val="30"/>
        </w:rPr>
        <w:t>5.赛项技术保障。各分赛场委派工作人员（2人）作为技术保障员，按照大赛要求，赛前在规定时间内完成赛场竞赛设备的安装调试，赛中如遇设备问题，及时处理，确保大赛顺利进行。</w:t>
      </w:r>
    </w:p>
    <w:p>
      <w:pPr>
        <w:ind w:firstLine="600" w:firstLineChars="200"/>
        <w:rPr>
          <w:rFonts w:ascii="Times New Roman" w:hAnsi="Times New Roman" w:eastAsia="仿宋"/>
          <w:sz w:val="30"/>
          <w:szCs w:val="30"/>
        </w:rPr>
      </w:pPr>
      <w:r>
        <w:rPr>
          <w:rFonts w:ascii="Times New Roman" w:hAnsi="Times New Roman" w:eastAsia="仿宋"/>
          <w:sz w:val="30"/>
          <w:szCs w:val="30"/>
        </w:rPr>
        <w:t>6.电力、消防安全保障。各分赛场委派工作人员（1人）作为电力、消防安全保障员，保障赛场的电力以及消防安全。</w:t>
      </w:r>
    </w:p>
    <w:p>
      <w:pPr>
        <w:ind w:firstLine="600" w:firstLineChars="200"/>
        <w:rPr>
          <w:rFonts w:ascii="Times New Roman" w:hAnsi="Times New Roman" w:eastAsia="仿宋"/>
          <w:sz w:val="30"/>
          <w:szCs w:val="30"/>
        </w:rPr>
      </w:pPr>
      <w:r>
        <w:rPr>
          <w:rFonts w:ascii="Times New Roman" w:hAnsi="Times New Roman" w:eastAsia="仿宋"/>
          <w:sz w:val="30"/>
          <w:szCs w:val="30"/>
        </w:rPr>
        <w:t>7.应急保障。各分赛场委派工作人员（XX人）作为应急保障员，在赛场遇到突发情况时，协助赛场人员进行处理。</w:t>
      </w:r>
      <w:bookmarkStart w:id="20" w:name="pindex169"/>
      <w:bookmarkEnd w:id="20"/>
    </w:p>
    <w:p>
      <w:pPr>
        <w:numPr>
          <w:ilvl w:val="255"/>
          <w:numId w:val="0"/>
        </w:numPr>
        <w:ind w:firstLine="640" w:firstLineChars="200"/>
        <w:rPr>
          <w:rFonts w:ascii="Times New Roman" w:hAnsi="Times New Roman" w:eastAsia="楷体_GB2312"/>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pStyle w:val="2"/>
      </w:pPr>
    </w:p>
    <w:p>
      <w:pPr>
        <w:pStyle w:val="2"/>
      </w:pPr>
    </w:p>
    <w:p>
      <w:pPr>
        <w:pStyle w:val="2"/>
      </w:pPr>
    </w:p>
    <w:p>
      <w:pPr>
        <w:numPr>
          <w:ilvl w:val="255"/>
          <w:numId w:val="0"/>
        </w:numPr>
        <w:spacing w:before="156" w:beforeLines="50" w:after="156" w:afterLines="50" w:line="560" w:lineRule="exact"/>
        <w:jc w:val="center"/>
        <w:rPr>
          <w:rFonts w:ascii="Times New Roman" w:hAnsi="Times New Roman" w:eastAsia="黑体"/>
          <w:sz w:val="32"/>
          <w:szCs w:val="32"/>
        </w:rPr>
      </w:pPr>
      <w:r>
        <w:rPr>
          <w:rFonts w:ascii="Times New Roman" w:hAnsi="Times New Roman" w:eastAsia="黑体"/>
          <w:sz w:val="32"/>
          <w:szCs w:val="32"/>
        </w:rPr>
        <w:t>第三部分  其他相关工作</w:t>
      </w:r>
      <w:bookmarkStart w:id="21" w:name="pindex202"/>
      <w:bookmarkEnd w:id="21"/>
    </w:p>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九、疫情防控应急处置</w:t>
      </w:r>
    </w:p>
    <w:p>
      <w:pPr>
        <w:numPr>
          <w:ilvl w:val="255"/>
          <w:numId w:val="0"/>
        </w:numPr>
        <w:ind w:firstLine="600" w:firstLineChars="200"/>
        <w:rPr>
          <w:rFonts w:ascii="Times New Roman" w:hAnsi="Times New Roman" w:eastAsia="仿宋"/>
          <w:b/>
          <w:bCs/>
          <w:sz w:val="30"/>
          <w:szCs w:val="30"/>
        </w:rPr>
      </w:pPr>
      <w:r>
        <w:rPr>
          <w:rFonts w:ascii="Times New Roman" w:hAnsi="Times New Roman" w:eastAsia="仿宋"/>
          <w:sz w:val="30"/>
          <w:szCs w:val="30"/>
        </w:rPr>
        <w:t>疫情防控与应急处置按照选手属地和各学校相关规定执行。</w:t>
      </w:r>
      <w:bookmarkStart w:id="22" w:name="pindex204"/>
      <w:bookmarkEnd w:id="22"/>
    </w:p>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十、违纪与处理</w:t>
      </w:r>
    </w:p>
    <w:p>
      <w:pPr>
        <w:numPr>
          <w:ilvl w:val="255"/>
          <w:numId w:val="0"/>
        </w:numPr>
        <w:ind w:firstLine="600" w:firstLineChars="200"/>
        <w:rPr>
          <w:rFonts w:ascii="Times New Roman" w:hAnsi="Times New Roman" w:eastAsia="仿宋"/>
          <w:sz w:val="30"/>
          <w:szCs w:val="30"/>
        </w:rPr>
      </w:pPr>
      <w:r>
        <w:rPr>
          <w:rFonts w:ascii="Times New Roman" w:hAnsi="Times New Roman" w:eastAsia="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w:t>
      </w:r>
      <w:r>
        <w:rPr>
          <w:rFonts w:ascii="Times New Roman" w:hAnsi="Times New Roman" w:eastAsia="仿宋"/>
          <w:color w:val="000000" w:themeColor="text1"/>
          <w:sz w:val="30"/>
          <w:szCs w:val="30"/>
          <w14:textFill>
            <w14:solidFill>
              <w14:schemeClr w14:val="tx1"/>
            </w14:solidFill>
          </w14:textFill>
        </w:rPr>
        <w:t>有违规</w:t>
      </w:r>
      <w:sdt>
        <w:sdtPr>
          <w:rPr>
            <w:rFonts w:ascii="Times New Roman" w:hAnsi="Times New Roman"/>
            <w:color w:val="000000" w:themeColor="text1"/>
            <w14:textFill>
              <w14:solidFill>
                <w14:schemeClr w14:val="tx1"/>
              </w14:solidFill>
            </w14:textFill>
          </w:rPr>
          <w:alias w:val="易错词检查"/>
          <w:id w:val="173636"/>
        </w:sdtPr>
        <w:sdtEndPr>
          <w:rPr>
            <w:rFonts w:ascii="Times New Roman" w:hAnsi="Times New Roman"/>
            <w:color w:val="000000" w:themeColor="text1"/>
            <w14:textFill>
              <w14:solidFill>
                <w14:schemeClr w14:val="tx1"/>
              </w14:solidFill>
            </w14:textFill>
          </w:rPr>
        </w:sdtEndPr>
        <w:sdtContent>
          <w:bookmarkStart w:id="23" w:name="bkReivew173636"/>
          <w:r>
            <w:rPr>
              <w:rFonts w:ascii="Times New Roman" w:hAnsi="Times New Roman" w:eastAsia="仿宋"/>
              <w:color w:val="000000" w:themeColor="text1"/>
              <w:sz w:val="30"/>
              <w:szCs w:val="30"/>
              <w14:textFill>
                <w14:solidFill>
                  <w14:schemeClr w14:val="tx1"/>
                </w14:solidFill>
              </w14:textFill>
            </w:rPr>
            <w:t>执裁</w:t>
          </w:r>
          <w:bookmarkEnd w:id="23"/>
        </w:sdtContent>
      </w:sdt>
      <w:r>
        <w:rPr>
          <w:rFonts w:ascii="Times New Roman" w:hAnsi="Times New Roman" w:eastAsia="仿宋"/>
          <w:color w:val="000000" w:themeColor="text1"/>
          <w:sz w:val="30"/>
          <w:szCs w:val="30"/>
          <w14:textFill>
            <w14:solidFill>
              <w14:schemeClr w14:val="tx1"/>
            </w14:solidFill>
          </w14:textFill>
        </w:rPr>
        <w:t>行为，将立即取消裁判资格，且永久取消其在全国职业院校技能大赛及世界职业院校技能大赛</w:t>
      </w:r>
      <w:sdt>
        <w:sdtPr>
          <w:rPr>
            <w:rFonts w:ascii="Times New Roman" w:hAnsi="Times New Roman"/>
            <w:color w:val="000000" w:themeColor="text1"/>
            <w14:textFill>
              <w14:solidFill>
                <w14:schemeClr w14:val="tx1"/>
              </w14:solidFill>
            </w14:textFill>
          </w:rPr>
          <w:alias w:val="易错词检查"/>
          <w:id w:val="181743"/>
        </w:sdtPr>
        <w:sdtEndPr>
          <w:rPr>
            <w:rFonts w:ascii="Times New Roman" w:hAnsi="Times New Roman"/>
            <w:color w:val="000000" w:themeColor="text1"/>
            <w14:textFill>
              <w14:solidFill>
                <w14:schemeClr w14:val="tx1"/>
              </w14:solidFill>
            </w14:textFill>
          </w:rPr>
        </w:sdtEndPr>
        <w:sdtContent>
          <w:bookmarkStart w:id="24" w:name="bkReivew181743"/>
          <w:r>
            <w:rPr>
              <w:rFonts w:ascii="Times New Roman" w:hAnsi="Times New Roman" w:eastAsia="仿宋"/>
              <w:color w:val="000000" w:themeColor="text1"/>
              <w:sz w:val="30"/>
              <w:szCs w:val="30"/>
              <w14:textFill>
                <w14:solidFill>
                  <w14:schemeClr w14:val="tx1"/>
                </w14:solidFill>
              </w14:textFill>
            </w:rPr>
            <w:t>执裁</w:t>
          </w:r>
          <w:bookmarkEnd w:id="24"/>
        </w:sdtContent>
      </w:sdt>
      <w:r>
        <w:rPr>
          <w:rFonts w:ascii="Times New Roman" w:hAnsi="Times New Roman" w:eastAsia="仿宋"/>
          <w:color w:val="000000" w:themeColor="text1"/>
          <w:sz w:val="30"/>
          <w:szCs w:val="30"/>
          <w14:textFill>
            <w14:solidFill>
              <w14:schemeClr w14:val="tx1"/>
            </w14:solidFill>
          </w14:textFill>
        </w:rPr>
        <w:t>资格。</w:t>
      </w:r>
      <w:bookmarkStart w:id="25" w:name="pindex205"/>
      <w:bookmarkEnd w:id="25"/>
    </w:p>
    <w:p>
      <w:pPr>
        <w:wordWrap w:val="0"/>
        <w:jc w:val="right"/>
        <w:rPr>
          <w:rFonts w:ascii="Times New Roman" w:hAnsi="Times New Roman" w:eastAsia="仿宋"/>
          <w:sz w:val="30"/>
          <w:szCs w:val="30"/>
        </w:rPr>
      </w:pPr>
    </w:p>
    <w:p>
      <w:pPr>
        <w:rPr>
          <w:rFonts w:ascii="Times New Roman" w:hAnsi="Times New Roman"/>
        </w:rPr>
      </w:pPr>
      <w:r>
        <w:rPr>
          <w:rFonts w:ascii="Times New Roman" w:hAnsi="Times New Roman"/>
        </w:rPr>
        <w:br w:type="page"/>
      </w:r>
    </w:p>
    <w:p>
      <w:pPr>
        <w:jc w:val="left"/>
        <w:rPr>
          <w:rFonts w:ascii="Times New Roman" w:hAnsi="Times New Roman" w:eastAsia="仿宋"/>
          <w:sz w:val="30"/>
          <w:szCs w:val="30"/>
        </w:rPr>
      </w:pPr>
      <w:r>
        <w:rPr>
          <w:rFonts w:ascii="Times New Roman" w:hAnsi="Times New Roman" w:eastAsia="仿宋"/>
          <w:sz w:val="30"/>
          <w:szCs w:val="30"/>
        </w:rPr>
        <w:t>附件</w:t>
      </w:r>
      <w:bookmarkStart w:id="26" w:name="pindex208"/>
      <w:bookmarkEnd w:id="26"/>
    </w:p>
    <w:p>
      <w:pPr>
        <w:jc w:val="center"/>
        <w:rPr>
          <w:rFonts w:ascii="Times New Roman" w:hAnsi="Times New Roman" w:eastAsia="方正小标宋_GBK"/>
          <w:sz w:val="36"/>
          <w:szCs w:val="36"/>
        </w:rPr>
      </w:pPr>
      <w:r>
        <w:rPr>
          <w:rFonts w:ascii="Times New Roman" w:hAnsi="Times New Roman" w:eastAsia="方正小标宋_GBK"/>
          <w:sz w:val="36"/>
          <w:szCs w:val="36"/>
        </w:rPr>
        <w:t>信息技术应用创新赛项赛项</w:t>
      </w:r>
    </w:p>
    <w:p>
      <w:pPr>
        <w:jc w:val="center"/>
        <w:rPr>
          <w:rFonts w:ascii="Times New Roman" w:hAnsi="Times New Roman" w:eastAsia="方正小标宋_GBK"/>
          <w:sz w:val="36"/>
          <w:szCs w:val="36"/>
        </w:rPr>
      </w:pPr>
      <w:r>
        <w:rPr>
          <w:rFonts w:ascii="Times New Roman" w:hAnsi="Times New Roman" w:eastAsia="方正小标宋_GBK"/>
          <w:sz w:val="36"/>
          <w:szCs w:val="36"/>
        </w:rPr>
        <w:t>赛场环境及竞赛流程要求</w:t>
      </w:r>
    </w:p>
    <w:p>
      <w:pPr>
        <w:pStyle w:val="2"/>
        <w:rPr>
          <w:rFonts w:ascii="Times New Roman" w:hAnsi="Times New Roman"/>
        </w:rPr>
      </w:pPr>
      <w:bookmarkStart w:id="27" w:name="pindex209"/>
      <w:bookmarkEnd w:id="27"/>
    </w:p>
    <w:p>
      <w:pPr>
        <w:numPr>
          <w:ilvl w:val="0"/>
          <w:numId w:val="4"/>
        </w:numPr>
        <w:rPr>
          <w:rFonts w:ascii="Times New Roman" w:hAnsi="Times New Roman" w:eastAsia="仿宋"/>
          <w:b/>
          <w:bCs/>
          <w:sz w:val="30"/>
          <w:szCs w:val="30"/>
        </w:rPr>
      </w:pPr>
      <w:r>
        <w:rPr>
          <w:rFonts w:ascii="Times New Roman" w:hAnsi="Times New Roman" w:eastAsia="仿宋"/>
          <w:b/>
          <w:bCs/>
          <w:sz w:val="30"/>
          <w:szCs w:val="30"/>
        </w:rPr>
        <w:t>竞赛环境要求</w:t>
      </w:r>
      <w:bookmarkStart w:id="28" w:name="pindex212"/>
      <w:bookmarkEnd w:id="28"/>
    </w:p>
    <w:p>
      <w:pPr>
        <w:ind w:firstLine="600" w:firstLineChars="200"/>
        <w:rPr>
          <w:rFonts w:ascii="Times New Roman" w:hAnsi="Times New Roman" w:eastAsia="仿宋"/>
          <w:sz w:val="30"/>
          <w:szCs w:val="30"/>
        </w:rPr>
      </w:pPr>
      <w:r>
        <w:rPr>
          <w:rFonts w:ascii="Times New Roman" w:hAnsi="Times New Roman" w:eastAsia="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Times New Roman" w:hAnsi="Times New Roman" w:eastAsia="仿宋"/>
          <w:sz w:val="30"/>
          <w:szCs w:val="30"/>
        </w:rPr>
      </w:pPr>
      <w:r>
        <w:rPr>
          <w:rFonts w:ascii="Times New Roman" w:hAnsi="Times New Roman" w:eastAsia="仿宋"/>
          <w:sz w:val="30"/>
          <w:szCs w:val="30"/>
        </w:rPr>
        <w:t>2.竞赛场所内应有摄录设备、视频转码电脑（设备）、视频连线电脑（安装视频会议软件、外接广角摄像头）等。</w:t>
      </w:r>
    </w:p>
    <w:p>
      <w:pPr>
        <w:ind w:firstLine="600" w:firstLineChars="200"/>
        <w:rPr>
          <w:rFonts w:ascii="Times New Roman" w:hAnsi="Times New Roman" w:eastAsia="仿宋"/>
          <w:sz w:val="30"/>
          <w:szCs w:val="30"/>
        </w:rPr>
      </w:pPr>
      <w:r>
        <w:rPr>
          <w:rFonts w:ascii="Times New Roman" w:hAnsi="Times New Roman" w:eastAsia="仿宋"/>
          <w:sz w:val="30"/>
          <w:szCs w:val="30"/>
        </w:rPr>
        <w:t>3.竞赛场所应为独立竞赛空间。赛场内不得出现学校名称、LOGO等包含学校信息的内容；不得出现学校、老师、学生的照片；参赛选手及相关人员服装不得出现所在省份、学校信息</w:t>
      </w:r>
      <w:r>
        <w:rPr>
          <w:rFonts w:hint="eastAsia" w:ascii="Times New Roman" w:hAnsi="Times New Roman" w:eastAsia="仿宋"/>
          <w:sz w:val="30"/>
          <w:szCs w:val="30"/>
        </w:rPr>
        <w:t>等</w:t>
      </w:r>
      <w:r>
        <w:rPr>
          <w:rFonts w:ascii="Times New Roman" w:hAnsi="Times New Roman" w:eastAsia="仿宋"/>
          <w:sz w:val="30"/>
          <w:szCs w:val="30"/>
        </w:rPr>
        <w:t>元素。</w:t>
      </w:r>
    </w:p>
    <w:p>
      <w:pPr>
        <w:ind w:firstLine="600" w:firstLineChars="200"/>
        <w:rPr>
          <w:rFonts w:ascii="Times New Roman" w:hAnsi="Times New Roman" w:eastAsia="仿宋"/>
          <w:sz w:val="30"/>
          <w:szCs w:val="30"/>
        </w:rPr>
      </w:pPr>
      <w:r>
        <w:rPr>
          <w:rFonts w:ascii="Times New Roman" w:hAnsi="Times New Roman" w:eastAsia="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rPr>
          <w:rFonts w:ascii="Times New Roman" w:hAnsi="Times New Roman"/>
        </w:rPr>
      </w:pPr>
      <w:r>
        <w:rPr>
          <w:rFonts w:ascii="Times New Roman" w:hAnsi="Times New Roman" w:eastAsia="仿宋"/>
          <w:sz w:val="30"/>
          <w:szCs w:val="30"/>
        </w:rPr>
        <w:t>5.竞赛场所的上行带宽需保障在10M/s带宽以上。</w:t>
      </w:r>
    </w:p>
    <w:p>
      <w:pPr>
        <w:numPr>
          <w:ilvl w:val="255"/>
          <w:numId w:val="0"/>
        </w:numPr>
        <w:rPr>
          <w:rFonts w:ascii="Times New Roman" w:hAnsi="Times New Roman" w:eastAsia="仿宋"/>
          <w:b/>
          <w:bCs/>
          <w:sz w:val="30"/>
          <w:szCs w:val="30"/>
        </w:rPr>
      </w:pPr>
    </w:p>
    <w:p>
      <w:pPr>
        <w:numPr>
          <w:ilvl w:val="255"/>
          <w:numId w:val="0"/>
        </w:numPr>
        <w:rPr>
          <w:rFonts w:ascii="Times New Roman" w:hAnsi="Times New Roman" w:eastAsia="仿宋"/>
          <w:b/>
          <w:bCs/>
          <w:sz w:val="30"/>
          <w:szCs w:val="30"/>
        </w:rPr>
      </w:pPr>
    </w:p>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二、竞赛设备、软件及网络</w:t>
      </w:r>
      <w:bookmarkStart w:id="29" w:name="pindex215"/>
      <w:bookmarkEnd w:id="29"/>
      <w:r>
        <w:rPr>
          <w:rFonts w:ascii="Times New Roman" w:hAnsi="Times New Roman" w:eastAsia="仿宋"/>
          <w:b/>
          <w:bCs/>
          <w:sz w:val="30"/>
          <w:szCs w:val="30"/>
        </w:rPr>
        <w:t>要求</w:t>
      </w:r>
    </w:p>
    <w:p>
      <w:pPr>
        <w:pStyle w:val="2"/>
        <w:spacing w:after="156" w:afterLines="50"/>
        <w:rPr>
          <w:rFonts w:hint="eastAsia"/>
        </w:rPr>
      </w:pPr>
      <w:r>
        <w:rPr>
          <w:rFonts w:hint="eastAsia" w:ascii="仿宋" w:hAnsi="仿宋" w:eastAsia="仿宋" w:cs="仿宋"/>
          <w:sz w:val="30"/>
          <w:szCs w:val="30"/>
        </w:rPr>
        <w:t>设备需求表：</w:t>
      </w:r>
    </w:p>
    <w:tbl>
      <w:tblPr>
        <w:tblStyle w:val="6"/>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00"/>
        <w:gridCol w:w="1611"/>
        <w:gridCol w:w="21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56" w:type="dxa"/>
            <w:shd w:val="clear" w:color="auto" w:fill="auto"/>
            <w:vAlign w:val="center"/>
          </w:tcPr>
          <w:p>
            <w:pPr>
              <w:rPr>
                <w:rFonts w:ascii="Times New Roman" w:hAnsi="Times New Roman" w:eastAsiaTheme="majorEastAsia"/>
                <w:b/>
                <w:bCs/>
                <w:szCs w:val="21"/>
              </w:rPr>
            </w:pPr>
            <w:r>
              <w:rPr>
                <w:rFonts w:ascii="Times New Roman" w:hAnsi="Times New Roman" w:eastAsiaTheme="majorEastAsia"/>
                <w:b/>
                <w:bCs/>
                <w:szCs w:val="21"/>
              </w:rPr>
              <w:t>序号</w:t>
            </w:r>
          </w:p>
        </w:tc>
        <w:tc>
          <w:tcPr>
            <w:tcW w:w="1400" w:type="dxa"/>
            <w:shd w:val="clear" w:color="auto" w:fill="auto"/>
            <w:vAlign w:val="center"/>
          </w:tcPr>
          <w:p>
            <w:pPr>
              <w:rPr>
                <w:rFonts w:ascii="Times New Roman" w:hAnsi="Times New Roman" w:eastAsiaTheme="majorEastAsia"/>
                <w:b/>
                <w:bCs/>
                <w:szCs w:val="21"/>
              </w:rPr>
            </w:pPr>
            <w:r>
              <w:rPr>
                <w:rFonts w:ascii="Times New Roman" w:hAnsi="Times New Roman" w:eastAsiaTheme="majorEastAsia"/>
                <w:b/>
                <w:bCs/>
                <w:szCs w:val="21"/>
              </w:rPr>
              <w:t>设备类别</w:t>
            </w:r>
          </w:p>
        </w:tc>
        <w:tc>
          <w:tcPr>
            <w:tcW w:w="1611" w:type="dxa"/>
            <w:shd w:val="clear" w:color="auto" w:fill="auto"/>
            <w:vAlign w:val="center"/>
          </w:tcPr>
          <w:p>
            <w:pPr>
              <w:rPr>
                <w:rFonts w:ascii="Times New Roman" w:hAnsi="Times New Roman" w:eastAsiaTheme="majorEastAsia"/>
                <w:b/>
                <w:bCs/>
                <w:szCs w:val="21"/>
              </w:rPr>
            </w:pPr>
            <w:r>
              <w:rPr>
                <w:rFonts w:ascii="Times New Roman" w:hAnsi="Times New Roman" w:eastAsiaTheme="majorEastAsia"/>
                <w:b/>
                <w:bCs/>
                <w:szCs w:val="21"/>
              </w:rPr>
              <w:t>设备名称</w:t>
            </w:r>
          </w:p>
        </w:tc>
        <w:tc>
          <w:tcPr>
            <w:tcW w:w="2122" w:type="dxa"/>
            <w:shd w:val="clear" w:color="auto" w:fill="auto"/>
            <w:vAlign w:val="center"/>
          </w:tcPr>
          <w:p>
            <w:pPr>
              <w:rPr>
                <w:rFonts w:ascii="Times New Roman" w:hAnsi="Times New Roman" w:eastAsiaTheme="majorEastAsia"/>
                <w:b/>
                <w:bCs/>
                <w:szCs w:val="21"/>
              </w:rPr>
            </w:pPr>
            <w:r>
              <w:rPr>
                <w:rFonts w:ascii="Times New Roman" w:hAnsi="Times New Roman" w:eastAsiaTheme="majorEastAsia"/>
                <w:b/>
                <w:bCs/>
                <w:szCs w:val="21"/>
              </w:rPr>
              <w:t>参数要求</w:t>
            </w:r>
          </w:p>
        </w:tc>
        <w:tc>
          <w:tcPr>
            <w:tcW w:w="1356" w:type="dxa"/>
            <w:shd w:val="clear" w:color="auto" w:fill="auto"/>
            <w:vAlign w:val="center"/>
          </w:tcPr>
          <w:p>
            <w:pPr>
              <w:rPr>
                <w:rFonts w:ascii="Times New Roman" w:hAnsi="Times New Roman" w:eastAsiaTheme="majorEastAsia"/>
                <w:b/>
                <w:bCs/>
                <w:szCs w:val="21"/>
              </w:rPr>
            </w:pPr>
            <w:r>
              <w:rPr>
                <w:rFonts w:ascii="Times New Roman" w:hAnsi="Times New Roman" w:eastAsiaTheme="majorEastAsia"/>
                <w:b/>
                <w:bCs/>
                <w:szCs w:val="21"/>
              </w:rPr>
              <w:t>设备数量</w:t>
            </w:r>
          </w:p>
        </w:tc>
        <w:tc>
          <w:tcPr>
            <w:tcW w:w="1244" w:type="dxa"/>
            <w:shd w:val="clear" w:color="auto" w:fill="auto"/>
            <w:vAlign w:val="center"/>
          </w:tcPr>
          <w:p>
            <w:pPr>
              <w:rPr>
                <w:rFonts w:ascii="Times New Roman" w:hAnsi="Times New Roman" w:eastAsiaTheme="majorEastAsia"/>
                <w:b/>
                <w:bCs/>
                <w:szCs w:val="21"/>
              </w:rPr>
            </w:pPr>
            <w:r>
              <w:rPr>
                <w:rFonts w:ascii="Times New Roman" w:hAnsi="Times New Roman" w:eastAsiaTheme="maj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480"/>
              <w:jc w:val="left"/>
              <w:rPr>
                <w:rFonts w:ascii="Times New Roman" w:hAnsi="Times New Roman" w:eastAsiaTheme="majorEastAsia"/>
                <w:kern w:val="0"/>
                <w:szCs w:val="21"/>
              </w:rPr>
            </w:pPr>
            <w:r>
              <w:rPr>
                <w:rFonts w:ascii="Times New Roman" w:hAnsi="Times New Roman" w:eastAsiaTheme="majorEastAsia"/>
                <w:kern w:val="0"/>
                <w:szCs w:val="21"/>
              </w:rPr>
              <w:t>1</w:t>
            </w:r>
          </w:p>
        </w:tc>
        <w:tc>
          <w:tcPr>
            <w:tcW w:w="1400" w:type="dxa"/>
            <w:shd w:val="clear" w:color="auto" w:fill="auto"/>
            <w:vAlign w:val="center"/>
          </w:tcPr>
          <w:p>
            <w:pPr>
              <w:jc w:val="left"/>
              <w:rPr>
                <w:rFonts w:ascii="Times New Roman" w:hAnsi="Times New Roman" w:eastAsiaTheme="majorEastAsia"/>
                <w:kern w:val="0"/>
                <w:szCs w:val="21"/>
              </w:rPr>
            </w:pPr>
            <w:r>
              <w:rPr>
                <w:rFonts w:ascii="Times New Roman" w:hAnsi="Times New Roman" w:eastAsiaTheme="majorEastAsia"/>
                <w:kern w:val="0"/>
                <w:szCs w:val="21"/>
              </w:rPr>
              <w:t>机架</w:t>
            </w:r>
          </w:p>
        </w:tc>
        <w:tc>
          <w:tcPr>
            <w:tcW w:w="1611" w:type="dxa"/>
            <w:shd w:val="clear" w:color="auto" w:fill="auto"/>
            <w:vAlign w:val="center"/>
          </w:tcPr>
          <w:p>
            <w:pPr>
              <w:rPr>
                <w:rFonts w:ascii="Times New Roman" w:hAnsi="Times New Roman" w:eastAsiaTheme="majorEastAsia"/>
                <w:kern w:val="0"/>
                <w:szCs w:val="21"/>
              </w:rPr>
            </w:pPr>
            <w:r>
              <w:rPr>
                <w:rFonts w:ascii="Times New Roman" w:hAnsi="Times New Roman" w:eastAsiaTheme="majorEastAsia"/>
                <w:kern w:val="0"/>
                <w:szCs w:val="21"/>
              </w:rPr>
              <w:t>多功能实训机架</w:t>
            </w:r>
          </w:p>
        </w:tc>
        <w:tc>
          <w:tcPr>
            <w:tcW w:w="2122" w:type="dxa"/>
            <w:shd w:val="clear" w:color="auto" w:fill="auto"/>
            <w:vAlign w:val="center"/>
          </w:tcPr>
          <w:p>
            <w:pPr>
              <w:rPr>
                <w:rFonts w:ascii="Times New Roman" w:hAnsi="Times New Roman" w:eastAsiaTheme="majorEastAsia"/>
                <w:kern w:val="0"/>
                <w:szCs w:val="21"/>
              </w:rPr>
            </w:pPr>
            <w:r>
              <w:rPr>
                <w:rFonts w:ascii="Times New Roman" w:hAnsi="Times New Roman" w:eastAsiaTheme="majorEastAsia"/>
                <w:kern w:val="0"/>
                <w:szCs w:val="21"/>
              </w:rPr>
              <w:t>开放式多功能实训机架，含智能光电链路测试装置</w:t>
            </w:r>
          </w:p>
        </w:tc>
        <w:tc>
          <w:tcPr>
            <w:tcW w:w="1356" w:type="dxa"/>
            <w:shd w:val="clear" w:color="auto" w:fill="auto"/>
            <w:vAlign w:val="center"/>
          </w:tcPr>
          <w:p>
            <w:pPr>
              <w:ind w:firstLine="480"/>
              <w:rPr>
                <w:rFonts w:ascii="Times New Roman" w:hAnsi="Times New Roman" w:eastAsiaTheme="majorEastAsia"/>
                <w:kern w:val="0"/>
                <w:szCs w:val="21"/>
              </w:rPr>
            </w:pPr>
            <w:r>
              <w:rPr>
                <w:rFonts w:ascii="Times New Roman" w:hAnsi="Times New Roman" w:eastAsiaTheme="majorEastAsia"/>
                <w:kern w:val="0"/>
                <w:szCs w:val="21"/>
              </w:rPr>
              <w:t>1</w:t>
            </w:r>
          </w:p>
        </w:tc>
        <w:tc>
          <w:tcPr>
            <w:tcW w:w="1244" w:type="dxa"/>
            <w:shd w:val="clear" w:color="auto" w:fill="auto"/>
            <w:vAlign w:val="center"/>
          </w:tcPr>
          <w:p>
            <w:pPr>
              <w:ind w:firstLine="480"/>
              <w:rPr>
                <w:rFonts w:ascii="Times New Roman" w:hAnsi="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480"/>
              <w:jc w:val="left"/>
              <w:rPr>
                <w:rFonts w:ascii="Times New Roman" w:hAnsi="Times New Roman" w:eastAsiaTheme="majorEastAsia"/>
                <w:kern w:val="0"/>
                <w:szCs w:val="21"/>
              </w:rPr>
            </w:pPr>
            <w:r>
              <w:rPr>
                <w:rFonts w:ascii="Times New Roman" w:hAnsi="Times New Roman" w:eastAsiaTheme="majorEastAsia"/>
                <w:kern w:val="0"/>
                <w:szCs w:val="21"/>
              </w:rPr>
              <w:t>2</w:t>
            </w:r>
          </w:p>
        </w:tc>
        <w:tc>
          <w:tcPr>
            <w:tcW w:w="1400" w:type="dxa"/>
            <w:shd w:val="clear" w:color="auto" w:fill="auto"/>
            <w:vAlign w:val="center"/>
          </w:tcPr>
          <w:p>
            <w:pPr>
              <w:rPr>
                <w:rFonts w:ascii="Times New Roman" w:hAnsi="Times New Roman" w:eastAsiaTheme="majorEastAsia"/>
                <w:kern w:val="0"/>
                <w:szCs w:val="21"/>
              </w:rPr>
            </w:pPr>
            <w:r>
              <w:rPr>
                <w:rFonts w:ascii="Times New Roman" w:hAnsi="Times New Roman" w:eastAsiaTheme="majorEastAsia"/>
                <w:kern w:val="0"/>
                <w:szCs w:val="21"/>
              </w:rPr>
              <w:t>服务器</w:t>
            </w:r>
          </w:p>
        </w:tc>
        <w:tc>
          <w:tcPr>
            <w:tcW w:w="1611" w:type="dxa"/>
            <w:shd w:val="clear" w:color="auto" w:fill="auto"/>
            <w:vAlign w:val="center"/>
          </w:tcPr>
          <w:p>
            <w:pPr>
              <w:jc w:val="left"/>
              <w:rPr>
                <w:rFonts w:ascii="Times New Roman" w:hAnsi="Times New Roman" w:eastAsiaTheme="majorEastAsia"/>
                <w:kern w:val="0"/>
                <w:szCs w:val="21"/>
              </w:rPr>
            </w:pPr>
            <w:r>
              <w:rPr>
                <w:rFonts w:ascii="Times New Roman" w:hAnsi="Times New Roman" w:eastAsiaTheme="majorEastAsia"/>
                <w:kern w:val="0"/>
                <w:szCs w:val="21"/>
              </w:rPr>
              <w:t>信创服务器</w:t>
            </w:r>
          </w:p>
        </w:tc>
        <w:tc>
          <w:tcPr>
            <w:tcW w:w="2122" w:type="dxa"/>
            <w:shd w:val="clear" w:color="auto" w:fill="auto"/>
            <w:vAlign w:val="center"/>
          </w:tcPr>
          <w:p>
            <w:pPr>
              <w:jc w:val="left"/>
              <w:rPr>
                <w:rFonts w:ascii="Times New Roman" w:hAnsi="Times New Roman" w:eastAsiaTheme="majorEastAsia"/>
                <w:kern w:val="0"/>
                <w:szCs w:val="21"/>
              </w:rPr>
            </w:pPr>
            <w:r>
              <w:rPr>
                <w:rFonts w:ascii="Times New Roman" w:hAnsi="Times New Roman" w:eastAsiaTheme="majorEastAsia"/>
                <w:kern w:val="0"/>
                <w:szCs w:val="21"/>
              </w:rPr>
              <w:t>信创 32核CPU, 32G内存，480G固态硬盘</w:t>
            </w:r>
          </w:p>
        </w:tc>
        <w:tc>
          <w:tcPr>
            <w:tcW w:w="1356" w:type="dxa"/>
            <w:shd w:val="clear" w:color="auto" w:fill="auto"/>
            <w:vAlign w:val="center"/>
          </w:tcPr>
          <w:p>
            <w:pPr>
              <w:jc w:val="center"/>
              <w:rPr>
                <w:rFonts w:ascii="Times New Roman" w:hAnsi="Times New Roman" w:eastAsiaTheme="majorEastAsia"/>
                <w:kern w:val="0"/>
                <w:szCs w:val="21"/>
              </w:rPr>
            </w:pPr>
            <w:r>
              <w:rPr>
                <w:rFonts w:ascii="Times New Roman" w:hAnsi="Times New Roman" w:eastAsiaTheme="majorEastAsia"/>
                <w:kern w:val="0"/>
                <w:szCs w:val="21"/>
              </w:rPr>
              <w:t>2</w:t>
            </w:r>
          </w:p>
        </w:tc>
        <w:tc>
          <w:tcPr>
            <w:tcW w:w="1244" w:type="dxa"/>
            <w:shd w:val="clear" w:color="auto" w:fill="auto"/>
            <w:vAlign w:val="center"/>
          </w:tcPr>
          <w:p>
            <w:pPr>
              <w:rPr>
                <w:rFonts w:ascii="Times New Roman" w:hAnsi="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480"/>
              <w:jc w:val="left"/>
              <w:rPr>
                <w:rFonts w:ascii="Times New Roman" w:hAnsi="Times New Roman" w:eastAsiaTheme="majorEastAsia"/>
                <w:kern w:val="0"/>
                <w:szCs w:val="21"/>
              </w:rPr>
            </w:pPr>
            <w:r>
              <w:rPr>
                <w:rFonts w:ascii="Times New Roman" w:hAnsi="Times New Roman" w:eastAsiaTheme="majorEastAsia"/>
                <w:kern w:val="0"/>
                <w:szCs w:val="21"/>
              </w:rPr>
              <w:t>3</w:t>
            </w:r>
          </w:p>
        </w:tc>
        <w:tc>
          <w:tcPr>
            <w:tcW w:w="1400" w:type="dxa"/>
            <w:shd w:val="clear" w:color="auto" w:fill="auto"/>
            <w:vAlign w:val="center"/>
          </w:tcPr>
          <w:p>
            <w:pPr>
              <w:rPr>
                <w:rFonts w:ascii="Times New Roman" w:hAnsi="Times New Roman" w:eastAsiaTheme="majorEastAsia"/>
                <w:kern w:val="0"/>
                <w:szCs w:val="21"/>
              </w:rPr>
            </w:pPr>
            <w:r>
              <w:rPr>
                <w:rFonts w:ascii="Times New Roman" w:hAnsi="Times New Roman" w:eastAsiaTheme="majorEastAsia"/>
                <w:kern w:val="0"/>
                <w:szCs w:val="21"/>
              </w:rPr>
              <w:t>PC机</w:t>
            </w:r>
          </w:p>
        </w:tc>
        <w:tc>
          <w:tcPr>
            <w:tcW w:w="1611" w:type="dxa"/>
            <w:shd w:val="clear" w:color="auto" w:fill="auto"/>
            <w:vAlign w:val="center"/>
          </w:tcPr>
          <w:p>
            <w:pPr>
              <w:jc w:val="left"/>
              <w:rPr>
                <w:rFonts w:ascii="Times New Roman" w:hAnsi="Times New Roman" w:eastAsiaTheme="majorEastAsia"/>
                <w:kern w:val="0"/>
                <w:szCs w:val="21"/>
              </w:rPr>
            </w:pPr>
            <w:r>
              <w:rPr>
                <w:rFonts w:ascii="Times New Roman" w:hAnsi="Times New Roman" w:eastAsiaTheme="majorEastAsia"/>
                <w:kern w:val="0"/>
                <w:szCs w:val="21"/>
              </w:rPr>
              <w:t>信创PC</w:t>
            </w:r>
          </w:p>
        </w:tc>
        <w:tc>
          <w:tcPr>
            <w:tcW w:w="2122" w:type="dxa"/>
            <w:shd w:val="clear" w:color="auto" w:fill="auto"/>
            <w:vAlign w:val="center"/>
          </w:tcPr>
          <w:p>
            <w:pPr>
              <w:jc w:val="left"/>
              <w:rPr>
                <w:rFonts w:ascii="Times New Roman" w:hAnsi="Times New Roman" w:eastAsiaTheme="majorEastAsia"/>
                <w:kern w:val="0"/>
                <w:szCs w:val="21"/>
              </w:rPr>
            </w:pPr>
            <w:r>
              <w:rPr>
                <w:rFonts w:ascii="Times New Roman" w:hAnsi="Times New Roman" w:eastAsiaTheme="majorEastAsia"/>
                <w:kern w:val="0"/>
                <w:szCs w:val="21"/>
              </w:rPr>
              <w:t>信创4核CPU,8G内存，256G固态硬盘</w:t>
            </w:r>
          </w:p>
        </w:tc>
        <w:tc>
          <w:tcPr>
            <w:tcW w:w="1356" w:type="dxa"/>
            <w:shd w:val="clear" w:color="auto" w:fill="auto"/>
            <w:vAlign w:val="center"/>
          </w:tcPr>
          <w:p>
            <w:pPr>
              <w:ind w:firstLine="480"/>
              <w:jc w:val="left"/>
              <w:rPr>
                <w:rFonts w:ascii="Times New Roman" w:hAnsi="Times New Roman" w:eastAsiaTheme="majorEastAsia"/>
                <w:kern w:val="0"/>
                <w:szCs w:val="21"/>
              </w:rPr>
            </w:pPr>
            <w:r>
              <w:rPr>
                <w:rFonts w:ascii="Times New Roman" w:hAnsi="Times New Roman" w:eastAsiaTheme="majorEastAsia"/>
                <w:kern w:val="0"/>
                <w:szCs w:val="21"/>
              </w:rPr>
              <w:t>4</w:t>
            </w:r>
          </w:p>
        </w:tc>
        <w:tc>
          <w:tcPr>
            <w:tcW w:w="1244" w:type="dxa"/>
            <w:shd w:val="clear" w:color="auto" w:fill="auto"/>
            <w:vAlign w:val="center"/>
          </w:tcPr>
          <w:p>
            <w:pPr>
              <w:ind w:firstLine="480"/>
              <w:rPr>
                <w:rFonts w:ascii="Times New Roman" w:hAnsi="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480"/>
              <w:jc w:val="left"/>
              <w:rPr>
                <w:rFonts w:ascii="Times New Roman" w:hAnsi="Times New Roman" w:eastAsiaTheme="majorEastAsia"/>
                <w:kern w:val="0"/>
                <w:szCs w:val="21"/>
              </w:rPr>
            </w:pPr>
            <w:r>
              <w:rPr>
                <w:rFonts w:ascii="Times New Roman" w:hAnsi="Times New Roman" w:eastAsiaTheme="majorEastAsia"/>
                <w:kern w:val="0"/>
                <w:szCs w:val="21"/>
              </w:rPr>
              <w:t>4</w:t>
            </w:r>
          </w:p>
        </w:tc>
        <w:tc>
          <w:tcPr>
            <w:tcW w:w="1400" w:type="dxa"/>
            <w:shd w:val="clear" w:color="auto" w:fill="auto"/>
            <w:vAlign w:val="center"/>
          </w:tcPr>
          <w:p>
            <w:pPr>
              <w:rPr>
                <w:rFonts w:ascii="Times New Roman" w:hAnsi="Times New Roman" w:eastAsiaTheme="majorEastAsia"/>
                <w:kern w:val="0"/>
                <w:szCs w:val="21"/>
              </w:rPr>
            </w:pPr>
            <w:r>
              <w:rPr>
                <w:rFonts w:ascii="Times New Roman" w:hAnsi="Times New Roman" w:eastAsiaTheme="majorEastAsia"/>
                <w:kern w:val="0"/>
                <w:szCs w:val="21"/>
              </w:rPr>
              <w:t>交换路由</w:t>
            </w:r>
          </w:p>
        </w:tc>
        <w:tc>
          <w:tcPr>
            <w:tcW w:w="1611" w:type="dxa"/>
            <w:shd w:val="clear" w:color="auto" w:fill="auto"/>
            <w:vAlign w:val="center"/>
          </w:tcPr>
          <w:p>
            <w:pPr>
              <w:rPr>
                <w:rFonts w:ascii="Times New Roman" w:hAnsi="Times New Roman" w:eastAsiaTheme="majorEastAsia"/>
                <w:kern w:val="0"/>
                <w:szCs w:val="21"/>
              </w:rPr>
            </w:pPr>
            <w:r>
              <w:rPr>
                <w:rFonts w:ascii="Times New Roman" w:hAnsi="Times New Roman" w:eastAsiaTheme="majorEastAsia"/>
                <w:kern w:val="0"/>
                <w:szCs w:val="21"/>
              </w:rPr>
              <w:t>信创路由与交换设备</w:t>
            </w:r>
          </w:p>
        </w:tc>
        <w:tc>
          <w:tcPr>
            <w:tcW w:w="2122" w:type="dxa"/>
            <w:shd w:val="clear" w:color="auto" w:fill="auto"/>
            <w:vAlign w:val="center"/>
          </w:tcPr>
          <w:p>
            <w:pPr>
              <w:jc w:val="left"/>
              <w:rPr>
                <w:rFonts w:ascii="Times New Roman" w:hAnsi="Times New Roman" w:eastAsiaTheme="majorEastAsia"/>
                <w:kern w:val="0"/>
                <w:szCs w:val="21"/>
              </w:rPr>
            </w:pPr>
            <w:r>
              <w:rPr>
                <w:rFonts w:ascii="Times New Roman" w:hAnsi="Times New Roman" w:eastAsiaTheme="majorEastAsia"/>
                <w:kern w:val="0"/>
                <w:szCs w:val="21"/>
              </w:rPr>
              <w:t>信创 路由交换机（48个GE RJ45电接口 + 6个10G SFP+光接口），主机内置双AC电源</w:t>
            </w:r>
          </w:p>
        </w:tc>
        <w:tc>
          <w:tcPr>
            <w:tcW w:w="1356" w:type="dxa"/>
            <w:shd w:val="clear" w:color="auto" w:fill="auto"/>
            <w:vAlign w:val="center"/>
          </w:tcPr>
          <w:p>
            <w:pPr>
              <w:ind w:firstLine="480"/>
              <w:jc w:val="left"/>
              <w:rPr>
                <w:rFonts w:ascii="Times New Roman" w:hAnsi="Times New Roman" w:eastAsiaTheme="majorEastAsia"/>
                <w:kern w:val="0"/>
                <w:szCs w:val="21"/>
              </w:rPr>
            </w:pPr>
            <w:r>
              <w:rPr>
                <w:rFonts w:ascii="Times New Roman" w:hAnsi="Times New Roman" w:eastAsiaTheme="majorEastAsia"/>
                <w:kern w:val="0"/>
                <w:szCs w:val="21"/>
              </w:rPr>
              <w:t>3</w:t>
            </w:r>
          </w:p>
        </w:tc>
        <w:tc>
          <w:tcPr>
            <w:tcW w:w="1244" w:type="dxa"/>
            <w:shd w:val="clear" w:color="auto" w:fill="auto"/>
            <w:vAlign w:val="center"/>
          </w:tcPr>
          <w:p>
            <w:pPr>
              <w:ind w:firstLine="480"/>
              <w:rPr>
                <w:rFonts w:ascii="Times New Roman" w:hAnsi="Times New Roman" w:eastAsiaTheme="majorEastAsia"/>
                <w:szCs w:val="21"/>
              </w:rPr>
            </w:pPr>
          </w:p>
        </w:tc>
      </w:tr>
    </w:tbl>
    <w:p>
      <w:pPr>
        <w:pStyle w:val="2"/>
        <w:spacing w:before="156" w:beforeLines="50" w:after="156" w:afterLines="50"/>
        <w:rPr>
          <w:rFonts w:hint="eastAsia" w:ascii="仿宋" w:hAnsi="仿宋" w:eastAsia="仿宋" w:cs="仿宋"/>
          <w:sz w:val="30"/>
          <w:szCs w:val="30"/>
        </w:rPr>
      </w:pPr>
      <w:r>
        <w:rPr>
          <w:rFonts w:ascii="仿宋" w:hAnsi="仿宋" w:eastAsia="仿宋" w:cs="仿宋"/>
          <w:sz w:val="30"/>
          <w:szCs w:val="30"/>
        </w:rPr>
        <w:t>软件及网络</w:t>
      </w:r>
      <w:r>
        <w:rPr>
          <w:rFonts w:hint="eastAsia" w:ascii="仿宋" w:hAnsi="仿宋" w:eastAsia="仿宋" w:cs="仿宋"/>
          <w:sz w:val="30"/>
          <w:szCs w:val="30"/>
        </w:rPr>
        <w:t>需求表：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5062"/>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bCs/>
                <w:sz w:val="24"/>
              </w:rPr>
            </w:pPr>
            <w:r>
              <w:rPr>
                <w:rFonts w:ascii="仿宋" w:hAnsi="仿宋" w:eastAsia="仿宋" w:cs="等线"/>
                <w:b/>
                <w:bCs/>
                <w:sz w:val="24"/>
              </w:rPr>
              <w:t>软件及网络</w:t>
            </w:r>
          </w:p>
        </w:tc>
        <w:tc>
          <w:tcPr>
            <w:tcW w:w="5062" w:type="dxa"/>
            <w:tcBorders>
              <w:top w:val="single" w:color="auto" w:sz="4" w:space="0"/>
              <w:left w:val="single" w:color="auto" w:sz="4" w:space="0"/>
              <w:bottom w:val="single" w:color="auto" w:sz="4" w:space="0"/>
              <w:right w:val="single" w:color="auto" w:sz="4" w:space="0"/>
            </w:tcBorders>
            <w:vAlign w:val="center"/>
          </w:tcPr>
          <w:p>
            <w:pPr>
              <w:ind w:firstLine="482"/>
              <w:jc w:val="center"/>
              <w:rPr>
                <w:rFonts w:hint="eastAsia" w:ascii="仿宋" w:hAnsi="仿宋" w:eastAsia="仿宋" w:cs="等线"/>
                <w:b/>
                <w:bCs/>
                <w:sz w:val="24"/>
              </w:rPr>
            </w:pPr>
            <w:r>
              <w:rPr>
                <w:rFonts w:hint="eastAsia" w:ascii="仿宋" w:hAnsi="仿宋" w:eastAsia="仿宋" w:cs="等线"/>
                <w:b/>
                <w:bCs/>
                <w:sz w:val="24"/>
              </w:rPr>
              <w:t>参数要求</w:t>
            </w:r>
          </w:p>
        </w:tc>
        <w:tc>
          <w:tcPr>
            <w:tcW w:w="1497" w:type="dxa"/>
            <w:tcBorders>
              <w:top w:val="single" w:color="auto" w:sz="4" w:space="0"/>
              <w:left w:val="single" w:color="auto" w:sz="4" w:space="0"/>
              <w:bottom w:val="single" w:color="auto" w:sz="4" w:space="0"/>
              <w:right w:val="single" w:color="auto" w:sz="4" w:space="0"/>
            </w:tcBorders>
            <w:vAlign w:val="center"/>
          </w:tcPr>
          <w:p>
            <w:pPr>
              <w:ind w:firstLine="482"/>
              <w:jc w:val="center"/>
              <w:rPr>
                <w:rFonts w:hint="eastAsia" w:ascii="仿宋" w:hAnsi="仿宋" w:eastAsia="仿宋" w:cs="等线"/>
                <w:b/>
                <w:bCs/>
                <w:sz w:val="24"/>
              </w:rPr>
            </w:pPr>
            <w:r>
              <w:rPr>
                <w:rFonts w:hint="eastAsia" w:ascii="仿宋" w:hAnsi="仿宋" w:eastAsia="仿宋" w:cs="等线"/>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37"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Theme="majorEastAsia"/>
                <w:kern w:val="0"/>
                <w:szCs w:val="21"/>
              </w:rPr>
            </w:pPr>
            <w:r>
              <w:rPr>
                <w:rFonts w:hint="eastAsia" w:ascii="Times New Roman" w:hAnsi="Times New Roman" w:eastAsiaTheme="majorEastAsia"/>
                <w:kern w:val="0"/>
                <w:szCs w:val="21"/>
              </w:rPr>
              <w:t>操作系统</w:t>
            </w:r>
          </w:p>
        </w:tc>
        <w:tc>
          <w:tcPr>
            <w:tcW w:w="5062"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Theme="majorEastAsia"/>
                <w:kern w:val="0"/>
                <w:szCs w:val="21"/>
              </w:rPr>
            </w:pPr>
            <w:r>
              <w:rPr>
                <w:rFonts w:hint="eastAsia" w:ascii="Times New Roman" w:hAnsi="Times New Roman" w:eastAsiaTheme="majorEastAsia"/>
                <w:kern w:val="0"/>
                <w:szCs w:val="21"/>
              </w:rPr>
              <w:t>麒麟桌面版V10</w:t>
            </w:r>
          </w:p>
        </w:tc>
        <w:tc>
          <w:tcPr>
            <w:tcW w:w="0" w:type="auto"/>
            <w:vMerge w:val="restar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737"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Theme="majorEastAsia"/>
                <w:kern w:val="0"/>
                <w:szCs w:val="21"/>
              </w:rPr>
            </w:pPr>
            <w:r>
              <w:rPr>
                <w:rFonts w:hint="eastAsia" w:ascii="Times New Roman" w:hAnsi="Times New Roman" w:eastAsiaTheme="majorEastAsia"/>
                <w:kern w:val="0"/>
                <w:szCs w:val="21"/>
              </w:rPr>
              <w:t>接入网络</w:t>
            </w:r>
          </w:p>
        </w:tc>
        <w:tc>
          <w:tcPr>
            <w:tcW w:w="506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imes New Roman" w:hAnsi="Times New Roman" w:eastAsiaTheme="majorEastAsia"/>
                <w:kern w:val="0"/>
                <w:szCs w:val="21"/>
              </w:rPr>
            </w:pPr>
            <w:r>
              <w:rPr>
                <w:rFonts w:hint="eastAsia" w:ascii="Times New Roman" w:hAnsi="Times New Roman" w:eastAsiaTheme="majorEastAsia"/>
                <w:kern w:val="0"/>
                <w:szCs w:val="21"/>
              </w:rPr>
              <w:t>可正常访问互联网，带宽1</w:t>
            </w:r>
            <w:r>
              <w:rPr>
                <w:rFonts w:ascii="Times New Roman" w:hAnsi="Times New Roman" w:eastAsiaTheme="majorEastAsia"/>
                <w:kern w:val="0"/>
                <w:szCs w:val="21"/>
              </w:rPr>
              <w:t>00</w:t>
            </w:r>
            <w:r>
              <w:rPr>
                <w:rFonts w:hint="eastAsia" w:ascii="Times New Roman" w:hAnsi="Times New Roman" w:eastAsiaTheme="majorEastAsia"/>
                <w:kern w:val="0"/>
                <w:szCs w:val="21"/>
              </w:rPr>
              <w:t>Mbps以上，PING包丢包率3%以下，时延100ms以下</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heme="maj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37"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Theme="majorEastAsia"/>
                <w:kern w:val="0"/>
                <w:szCs w:val="21"/>
              </w:rPr>
            </w:pPr>
            <w:r>
              <w:rPr>
                <w:rFonts w:hint="eastAsia" w:ascii="Times New Roman" w:hAnsi="Times New Roman" w:eastAsiaTheme="majorEastAsia"/>
                <w:kern w:val="0"/>
                <w:szCs w:val="21"/>
              </w:rPr>
              <w:t>工具软件</w:t>
            </w:r>
          </w:p>
        </w:tc>
        <w:tc>
          <w:tcPr>
            <w:tcW w:w="506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Theme="majorEastAsia"/>
                <w:kern w:val="0"/>
                <w:szCs w:val="21"/>
              </w:rPr>
            </w:pPr>
            <w:r>
              <w:rPr>
                <w:rFonts w:hint="eastAsia" w:ascii="Times New Roman" w:hAnsi="Times New Roman" w:eastAsiaTheme="majorEastAsia"/>
                <w:kern w:val="0"/>
                <w:szCs w:val="21"/>
              </w:rPr>
              <w:t>腾讯会议</w:t>
            </w:r>
          </w:p>
          <w:p>
            <w:pPr>
              <w:rPr>
                <w:rFonts w:hint="eastAsia" w:ascii="Times New Roman" w:hAnsi="Times New Roman" w:eastAsiaTheme="majorEastAsia"/>
                <w:kern w:val="0"/>
                <w:szCs w:val="21"/>
              </w:rPr>
            </w:pPr>
            <w:r>
              <w:rPr>
                <w:rFonts w:hint="eastAsia" w:ascii="Times New Roman" w:hAnsi="Times New Roman" w:eastAsiaTheme="majorEastAsia"/>
                <w:kern w:val="0"/>
                <w:szCs w:val="21"/>
              </w:rPr>
              <w:t>录屏软件(vokoscreen、EV等</w:t>
            </w:r>
            <w:r>
              <w:rPr>
                <w:rFonts w:ascii="Times New Roman" w:hAnsi="Times New Roman" w:eastAsiaTheme="majorEastAsia"/>
                <w:kern w:val="0"/>
                <w:szCs w:val="21"/>
              </w:rPr>
              <w:t>)</w:t>
            </w:r>
          </w:p>
          <w:p>
            <w:pPr>
              <w:rPr>
                <w:rFonts w:hint="eastAsia" w:ascii="Times New Roman" w:hAnsi="Times New Roman" w:eastAsiaTheme="majorEastAsia"/>
                <w:kern w:val="0"/>
                <w:szCs w:val="21"/>
              </w:rPr>
            </w:pPr>
            <w:r>
              <w:rPr>
                <w:rFonts w:hint="eastAsia" w:ascii="Times New Roman" w:hAnsi="Times New Roman" w:eastAsiaTheme="majorEastAsia"/>
                <w:kern w:val="0"/>
                <w:szCs w:val="21"/>
              </w:rPr>
              <w:t>Chrome浏览器</w:t>
            </w:r>
          </w:p>
          <w:p>
            <w:pPr>
              <w:rPr>
                <w:rFonts w:hint="eastAsia" w:ascii="Times New Roman" w:hAnsi="Times New Roman" w:eastAsiaTheme="majorEastAsia"/>
                <w:kern w:val="0"/>
                <w:szCs w:val="21"/>
              </w:rPr>
            </w:pPr>
            <w:r>
              <w:rPr>
                <w:rFonts w:hint="eastAsia" w:ascii="Times New Roman" w:hAnsi="Times New Roman" w:eastAsiaTheme="majorEastAsia"/>
                <w:kern w:val="0"/>
                <w:szCs w:val="21"/>
              </w:rPr>
              <w:t>百度网盘版</w:t>
            </w:r>
          </w:p>
        </w:tc>
        <w:tc>
          <w:tcPr>
            <w:tcW w:w="1497"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Theme="majorEastAsia"/>
                <w:kern w:val="0"/>
                <w:szCs w:val="21"/>
              </w:rPr>
            </w:pPr>
            <w:r>
              <w:rPr>
                <w:rFonts w:hint="eastAsia" w:ascii="Times New Roman" w:hAnsi="Times New Roman" w:eastAsiaTheme="majorEastAsia"/>
                <w:kern w:val="0"/>
                <w:szCs w:val="21"/>
              </w:rPr>
              <w:t>腾讯会议安装至环境监控终端上，谷歌浏览器设置为默认浏览器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37"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Theme="majorEastAsia"/>
                <w:kern w:val="0"/>
                <w:szCs w:val="21"/>
              </w:rPr>
            </w:pPr>
            <w:r>
              <w:rPr>
                <w:rFonts w:hint="eastAsia" w:ascii="Times New Roman" w:hAnsi="Times New Roman" w:eastAsiaTheme="majorEastAsia"/>
                <w:kern w:val="0"/>
                <w:szCs w:val="21"/>
              </w:rPr>
              <w:t>录制手机</w:t>
            </w:r>
          </w:p>
        </w:tc>
        <w:tc>
          <w:tcPr>
            <w:tcW w:w="5062"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Theme="majorEastAsia"/>
                <w:kern w:val="0"/>
                <w:szCs w:val="21"/>
              </w:rPr>
            </w:pPr>
            <w:r>
              <w:rPr>
                <w:rFonts w:hint="eastAsia" w:ascii="Times New Roman" w:hAnsi="Times New Roman" w:eastAsiaTheme="majorEastAsia"/>
                <w:kern w:val="0"/>
                <w:szCs w:val="21"/>
              </w:rPr>
              <w:t>需安装腾讯会议</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Theme="majorEastAsia"/>
                <w:kern w:val="0"/>
                <w:szCs w:val="21"/>
              </w:rPr>
            </w:pPr>
          </w:p>
        </w:tc>
      </w:tr>
    </w:tbl>
    <w:p>
      <w:pPr>
        <w:pStyle w:val="2"/>
        <w:rPr>
          <w:rFonts w:hint="eastAsia"/>
        </w:rPr>
      </w:pPr>
    </w:p>
    <w:p>
      <w:pPr>
        <w:rPr>
          <w:rFonts w:ascii="Times New Roman" w:hAnsi="Times New Roman" w:eastAsia="仿宋"/>
          <w:sz w:val="30"/>
          <w:szCs w:val="30"/>
        </w:rPr>
      </w:pPr>
      <w:r>
        <w:rPr>
          <w:rFonts w:ascii="Times New Roman" w:hAnsi="Times New Roman" w:eastAsia="仿宋"/>
          <w:sz w:val="30"/>
          <w:szCs w:val="30"/>
        </w:rPr>
        <w:t>检查验收表：</w:t>
      </w:r>
    </w:p>
    <w:tbl>
      <w:tblPr>
        <w:tblStyle w:val="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Times New Roman" w:hAnsi="Times New Roman" w:eastAsia="仿宋"/>
                <w:b/>
                <w:sz w:val="28"/>
                <w:szCs w:val="28"/>
              </w:rPr>
            </w:pPr>
            <w:r>
              <w:rPr>
                <w:rFonts w:ascii="Times New Roman" w:hAnsi="Times New Roman" w:eastAsia="仿宋"/>
                <w:b/>
                <w:sz w:val="28"/>
                <w:szCs w:val="28"/>
              </w:rPr>
              <w:t>项目</w:t>
            </w:r>
          </w:p>
        </w:tc>
        <w:tc>
          <w:tcPr>
            <w:tcW w:w="3119" w:type="dxa"/>
            <w:shd w:val="clear" w:color="auto" w:fill="auto"/>
          </w:tcPr>
          <w:p>
            <w:pPr>
              <w:jc w:val="center"/>
              <w:rPr>
                <w:rFonts w:ascii="Times New Roman" w:hAnsi="Times New Roman" w:eastAsia="仿宋"/>
                <w:b/>
                <w:sz w:val="28"/>
                <w:szCs w:val="28"/>
              </w:rPr>
            </w:pPr>
            <w:r>
              <w:rPr>
                <w:rFonts w:ascii="Times New Roman" w:hAnsi="Times New Roman" w:eastAsia="仿宋"/>
                <w:b/>
                <w:sz w:val="28"/>
                <w:szCs w:val="28"/>
              </w:rPr>
              <w:t>参赛队表述内容</w:t>
            </w:r>
          </w:p>
        </w:tc>
        <w:tc>
          <w:tcPr>
            <w:tcW w:w="1700" w:type="dxa"/>
            <w:shd w:val="clear" w:color="auto" w:fill="auto"/>
          </w:tcPr>
          <w:p>
            <w:pPr>
              <w:jc w:val="center"/>
              <w:rPr>
                <w:rFonts w:ascii="Times New Roman" w:hAnsi="Times New Roman" w:eastAsia="仿宋"/>
                <w:b/>
                <w:sz w:val="28"/>
                <w:szCs w:val="28"/>
              </w:rPr>
            </w:pPr>
            <w:r>
              <w:rPr>
                <w:rFonts w:ascii="Times New Roman" w:hAnsi="Times New Roman" w:eastAsia="仿宋"/>
                <w:b/>
                <w:sz w:val="28"/>
                <w:szCs w:val="28"/>
              </w:rPr>
              <w:t>联络员意见</w:t>
            </w:r>
          </w:p>
        </w:tc>
        <w:tc>
          <w:tcPr>
            <w:tcW w:w="1701" w:type="dxa"/>
            <w:shd w:val="clear" w:color="auto" w:fill="auto"/>
          </w:tcPr>
          <w:p>
            <w:pPr>
              <w:jc w:val="center"/>
              <w:rPr>
                <w:rFonts w:ascii="Times New Roman" w:hAnsi="Times New Roman" w:eastAsia="仿宋"/>
                <w:b/>
                <w:sz w:val="28"/>
                <w:szCs w:val="28"/>
              </w:rPr>
            </w:pPr>
            <w:r>
              <w:rPr>
                <w:rFonts w:ascii="Times New Roman" w:hAnsi="Times New Roman" w:eastAsia="仿宋"/>
                <w:b/>
                <w:sz w:val="28"/>
                <w:szCs w:val="28"/>
              </w:rPr>
              <w:t>保障组意见</w:t>
            </w:r>
          </w:p>
        </w:tc>
        <w:tc>
          <w:tcPr>
            <w:tcW w:w="1276" w:type="dxa"/>
            <w:shd w:val="clear" w:color="auto" w:fill="auto"/>
          </w:tcPr>
          <w:p>
            <w:pPr>
              <w:jc w:val="center"/>
              <w:rPr>
                <w:rFonts w:ascii="Times New Roman" w:hAnsi="Times New Roman" w:eastAsia="仿宋"/>
                <w:b/>
                <w:sz w:val="28"/>
                <w:szCs w:val="28"/>
              </w:rPr>
            </w:pPr>
            <w:r>
              <w:rPr>
                <w:rFonts w:ascii="Times New Roman" w:hAnsi="Times New Roman"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仿宋"/>
                <w:sz w:val="28"/>
                <w:szCs w:val="28"/>
              </w:rPr>
            </w:pPr>
            <w:r>
              <w:rPr>
                <w:rFonts w:ascii="Times New Roman" w:hAnsi="Times New Roman" w:eastAsia="仿宋"/>
                <w:sz w:val="28"/>
                <w:szCs w:val="28"/>
              </w:rPr>
              <w:t>场所</w:t>
            </w:r>
          </w:p>
        </w:tc>
        <w:tc>
          <w:tcPr>
            <w:tcW w:w="3119" w:type="dxa"/>
          </w:tcPr>
          <w:p>
            <w:pPr>
              <w:rPr>
                <w:rFonts w:ascii="Times New Roman" w:hAnsi="Times New Roman" w:eastAsia="仿宋"/>
                <w:sz w:val="28"/>
                <w:szCs w:val="28"/>
              </w:rPr>
            </w:pPr>
          </w:p>
        </w:tc>
        <w:tc>
          <w:tcPr>
            <w:tcW w:w="1700" w:type="dxa"/>
          </w:tcPr>
          <w:p>
            <w:pPr>
              <w:rPr>
                <w:rFonts w:ascii="Times New Roman" w:hAnsi="Times New Roman" w:eastAsia="仿宋"/>
                <w:sz w:val="28"/>
                <w:szCs w:val="28"/>
              </w:rPr>
            </w:pPr>
          </w:p>
        </w:tc>
        <w:tc>
          <w:tcPr>
            <w:tcW w:w="1701" w:type="dxa"/>
          </w:tcPr>
          <w:p>
            <w:pPr>
              <w:rPr>
                <w:rFonts w:ascii="Times New Roman" w:hAnsi="Times New Roman" w:eastAsia="仿宋"/>
                <w:sz w:val="28"/>
                <w:szCs w:val="28"/>
              </w:rPr>
            </w:pPr>
          </w:p>
        </w:tc>
        <w:tc>
          <w:tcPr>
            <w:tcW w:w="1276"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仿宋"/>
                <w:sz w:val="28"/>
                <w:szCs w:val="28"/>
              </w:rPr>
            </w:pPr>
            <w:r>
              <w:rPr>
                <w:rFonts w:ascii="Times New Roman" w:hAnsi="Times New Roman" w:eastAsia="仿宋"/>
                <w:sz w:val="28"/>
                <w:szCs w:val="28"/>
              </w:rPr>
              <w:t>设备</w:t>
            </w:r>
          </w:p>
        </w:tc>
        <w:tc>
          <w:tcPr>
            <w:tcW w:w="3119" w:type="dxa"/>
          </w:tcPr>
          <w:p>
            <w:pPr>
              <w:rPr>
                <w:rFonts w:ascii="Times New Roman" w:hAnsi="Times New Roman" w:eastAsia="仿宋"/>
                <w:sz w:val="28"/>
                <w:szCs w:val="28"/>
              </w:rPr>
            </w:pPr>
          </w:p>
        </w:tc>
        <w:tc>
          <w:tcPr>
            <w:tcW w:w="1700" w:type="dxa"/>
          </w:tcPr>
          <w:p>
            <w:pPr>
              <w:rPr>
                <w:rFonts w:ascii="Times New Roman" w:hAnsi="Times New Roman" w:eastAsia="仿宋"/>
                <w:sz w:val="28"/>
                <w:szCs w:val="28"/>
              </w:rPr>
            </w:pPr>
          </w:p>
        </w:tc>
        <w:tc>
          <w:tcPr>
            <w:tcW w:w="1701" w:type="dxa"/>
          </w:tcPr>
          <w:p>
            <w:pPr>
              <w:rPr>
                <w:rFonts w:ascii="Times New Roman" w:hAnsi="Times New Roman" w:eastAsia="仿宋"/>
                <w:sz w:val="28"/>
                <w:szCs w:val="28"/>
              </w:rPr>
            </w:pPr>
          </w:p>
        </w:tc>
        <w:tc>
          <w:tcPr>
            <w:tcW w:w="1276"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仿宋"/>
                <w:sz w:val="28"/>
                <w:szCs w:val="28"/>
              </w:rPr>
            </w:pPr>
            <w:r>
              <w:rPr>
                <w:rFonts w:ascii="Times New Roman" w:hAnsi="Times New Roman" w:eastAsia="仿宋"/>
                <w:sz w:val="28"/>
                <w:szCs w:val="28"/>
              </w:rPr>
              <w:t>布局</w:t>
            </w:r>
          </w:p>
        </w:tc>
        <w:tc>
          <w:tcPr>
            <w:tcW w:w="3119" w:type="dxa"/>
          </w:tcPr>
          <w:p>
            <w:pPr>
              <w:rPr>
                <w:rFonts w:ascii="Times New Roman" w:hAnsi="Times New Roman" w:eastAsia="仿宋"/>
                <w:sz w:val="28"/>
                <w:szCs w:val="28"/>
              </w:rPr>
            </w:pPr>
          </w:p>
        </w:tc>
        <w:tc>
          <w:tcPr>
            <w:tcW w:w="1700" w:type="dxa"/>
          </w:tcPr>
          <w:p>
            <w:pPr>
              <w:rPr>
                <w:rFonts w:ascii="Times New Roman" w:hAnsi="Times New Roman" w:eastAsia="仿宋"/>
                <w:sz w:val="28"/>
                <w:szCs w:val="28"/>
              </w:rPr>
            </w:pPr>
          </w:p>
        </w:tc>
        <w:tc>
          <w:tcPr>
            <w:tcW w:w="1701" w:type="dxa"/>
          </w:tcPr>
          <w:p>
            <w:pPr>
              <w:rPr>
                <w:rFonts w:ascii="Times New Roman" w:hAnsi="Times New Roman" w:eastAsia="仿宋"/>
                <w:sz w:val="28"/>
                <w:szCs w:val="28"/>
              </w:rPr>
            </w:pPr>
          </w:p>
        </w:tc>
        <w:tc>
          <w:tcPr>
            <w:tcW w:w="1276"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仿宋"/>
                <w:sz w:val="28"/>
                <w:szCs w:val="28"/>
              </w:rPr>
            </w:pPr>
            <w:r>
              <w:rPr>
                <w:rFonts w:ascii="Times New Roman" w:hAnsi="Times New Roman" w:eastAsia="仿宋"/>
                <w:sz w:val="28"/>
                <w:szCs w:val="28"/>
              </w:rPr>
              <w:t>连线</w:t>
            </w:r>
          </w:p>
        </w:tc>
        <w:tc>
          <w:tcPr>
            <w:tcW w:w="3119" w:type="dxa"/>
          </w:tcPr>
          <w:p>
            <w:pPr>
              <w:rPr>
                <w:rFonts w:ascii="Times New Roman" w:hAnsi="Times New Roman" w:eastAsia="仿宋"/>
                <w:sz w:val="28"/>
                <w:szCs w:val="28"/>
              </w:rPr>
            </w:pPr>
          </w:p>
        </w:tc>
        <w:tc>
          <w:tcPr>
            <w:tcW w:w="1700" w:type="dxa"/>
          </w:tcPr>
          <w:p>
            <w:pPr>
              <w:rPr>
                <w:rFonts w:ascii="Times New Roman" w:hAnsi="Times New Roman" w:eastAsia="仿宋"/>
                <w:sz w:val="28"/>
                <w:szCs w:val="28"/>
              </w:rPr>
            </w:pPr>
          </w:p>
        </w:tc>
        <w:tc>
          <w:tcPr>
            <w:tcW w:w="1701" w:type="dxa"/>
          </w:tcPr>
          <w:p>
            <w:pPr>
              <w:rPr>
                <w:rFonts w:ascii="Times New Roman" w:hAnsi="Times New Roman" w:eastAsia="仿宋"/>
                <w:sz w:val="28"/>
                <w:szCs w:val="28"/>
              </w:rPr>
            </w:pPr>
          </w:p>
        </w:tc>
        <w:tc>
          <w:tcPr>
            <w:tcW w:w="1276" w:type="dxa"/>
          </w:tcPr>
          <w:p>
            <w:pP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Times New Roman" w:hAnsi="Times New Roman" w:eastAsia="仿宋"/>
                <w:sz w:val="28"/>
                <w:szCs w:val="28"/>
              </w:rPr>
            </w:pPr>
            <w:r>
              <w:rPr>
                <w:rFonts w:ascii="Times New Roman" w:hAnsi="Times New Roman" w:eastAsia="仿宋"/>
                <w:sz w:val="28"/>
                <w:szCs w:val="28"/>
              </w:rPr>
              <w:t>其他</w:t>
            </w:r>
          </w:p>
        </w:tc>
        <w:tc>
          <w:tcPr>
            <w:tcW w:w="3119" w:type="dxa"/>
          </w:tcPr>
          <w:p>
            <w:pPr>
              <w:rPr>
                <w:rFonts w:ascii="Times New Roman" w:hAnsi="Times New Roman" w:eastAsia="仿宋"/>
                <w:sz w:val="28"/>
                <w:szCs w:val="28"/>
              </w:rPr>
            </w:pPr>
          </w:p>
        </w:tc>
        <w:tc>
          <w:tcPr>
            <w:tcW w:w="1700" w:type="dxa"/>
          </w:tcPr>
          <w:p>
            <w:pPr>
              <w:rPr>
                <w:rFonts w:ascii="Times New Roman" w:hAnsi="Times New Roman" w:eastAsia="仿宋"/>
                <w:sz w:val="28"/>
                <w:szCs w:val="28"/>
              </w:rPr>
            </w:pPr>
          </w:p>
        </w:tc>
        <w:tc>
          <w:tcPr>
            <w:tcW w:w="1701" w:type="dxa"/>
          </w:tcPr>
          <w:p>
            <w:pPr>
              <w:rPr>
                <w:rFonts w:ascii="Times New Roman" w:hAnsi="Times New Roman" w:eastAsia="仿宋"/>
                <w:sz w:val="28"/>
                <w:szCs w:val="28"/>
              </w:rPr>
            </w:pPr>
          </w:p>
        </w:tc>
        <w:tc>
          <w:tcPr>
            <w:tcW w:w="1276" w:type="dxa"/>
          </w:tcPr>
          <w:p>
            <w:pPr>
              <w:rPr>
                <w:rFonts w:ascii="Times New Roman" w:hAnsi="Times New Roman" w:eastAsia="仿宋"/>
                <w:sz w:val="28"/>
                <w:szCs w:val="28"/>
              </w:rPr>
            </w:pPr>
          </w:p>
        </w:tc>
      </w:tr>
    </w:tbl>
    <w:p>
      <w:pPr>
        <w:numPr>
          <w:ilvl w:val="255"/>
          <w:numId w:val="0"/>
        </w:numPr>
        <w:rPr>
          <w:rFonts w:ascii="Times New Roman" w:hAnsi="Times New Roman" w:eastAsia="仿宋"/>
          <w:b/>
          <w:bCs/>
          <w:sz w:val="30"/>
          <w:szCs w:val="30"/>
        </w:rPr>
      </w:pPr>
      <w:r>
        <w:rPr>
          <w:rFonts w:ascii="Times New Roman" w:hAnsi="Times New Roman" w:eastAsia="仿宋"/>
          <w:b/>
          <w:bCs/>
          <w:sz w:val="30"/>
          <w:szCs w:val="30"/>
        </w:rPr>
        <w:t>三、现场设备布局图</w:t>
      </w:r>
      <w:bookmarkStart w:id="30" w:name="pindex265"/>
      <w:bookmarkEnd w:id="30"/>
    </w:p>
    <w:p>
      <w:pPr>
        <w:ind w:firstLine="600" w:firstLineChars="200"/>
        <w:jc w:val="left"/>
        <w:rPr>
          <w:rFonts w:ascii="Times New Roman" w:hAnsi="Times New Roman" w:eastAsia="仿宋"/>
          <w:sz w:val="30"/>
          <w:szCs w:val="30"/>
        </w:rPr>
      </w:pPr>
      <w:r>
        <w:rPr>
          <w:rFonts w:ascii="Times New Roman" w:hAnsi="Times New Roman" w:eastAsia="仿宋"/>
          <w:sz w:val="30"/>
          <w:szCs w:val="30"/>
        </w:rPr>
        <w:t>请绘制现场设备布局图，包括工位、竞赛设备、摄像设备等。</w:t>
      </w:r>
      <w:bookmarkStart w:id="31" w:name="pindex268"/>
      <w:bookmarkEnd w:id="31"/>
    </w:p>
    <w:p>
      <w:pPr>
        <w:pStyle w:val="16"/>
        <w:numPr>
          <w:ilvl w:val="0"/>
          <w:numId w:val="5"/>
        </w:numPr>
        <w:ind w:firstLineChars="0"/>
        <w:rPr>
          <w:rFonts w:ascii="Times New Roman" w:hAnsi="Times New Roman" w:eastAsia="仿宋"/>
          <w:sz w:val="30"/>
          <w:szCs w:val="30"/>
        </w:rPr>
      </w:pPr>
      <w:r>
        <w:rPr>
          <w:rFonts w:ascii="Times New Roman" w:hAnsi="Times New Roman" w:eastAsia="仿宋"/>
          <w:sz w:val="30"/>
          <w:szCs w:val="30"/>
        </w:rPr>
        <w:t>摄像采集要求</w:t>
      </w:r>
    </w:p>
    <w:p>
      <w:pPr>
        <w:ind w:firstLine="600" w:firstLineChars="200"/>
        <w:rPr>
          <w:rFonts w:ascii="Times New Roman" w:hAnsi="Times New Roman" w:eastAsia="仿宋"/>
          <w:sz w:val="30"/>
          <w:szCs w:val="30"/>
        </w:rPr>
      </w:pPr>
      <w:r>
        <w:rPr>
          <w:rFonts w:ascii="Times New Roman" w:hAnsi="Times New Roman" w:eastAsia="仿宋"/>
          <w:sz w:val="30"/>
          <w:szCs w:val="30"/>
        </w:rPr>
        <w:t>为确保竞赛的公开公平公正，竞赛全程要求对竞赛选手及周边环境进行声音和图像采集，个人参赛选手应确保比赛过程中个人及比赛电脑周围至少1米范围内的声音和图像能清晰采集。采集的有效身份证件为学生身份证（护照）+学生证和教师身份证+教师工作证。</w:t>
      </w:r>
    </w:p>
    <w:p>
      <w:pPr>
        <w:jc w:val="left"/>
        <w:rPr>
          <w:rFonts w:ascii="Times New Roman" w:hAnsi="Times New Roman" w:eastAsia="仿宋"/>
          <w:sz w:val="24"/>
        </w:rPr>
      </w:pPr>
      <w:r>
        <w:rPr>
          <w:rFonts w:ascii="Times New Roman" w:hAnsi="Times New Roman" w:eastAsia="仿宋"/>
          <w:sz w:val="24"/>
        </w:rPr>
        <w:drawing>
          <wp:inline distT="0" distB="0" distL="0" distR="0">
            <wp:extent cx="5272405" cy="2606040"/>
            <wp:effectExtent l="0" t="0" r="4445" b="3810"/>
            <wp:docPr id="7"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图片1"/>
                    <pic:cNvPicPr>
                      <a:picLocks noChangeAspect="1" noChangeArrowheads="1"/>
                    </pic:cNvPicPr>
                  </pic:nvPicPr>
                  <pic:blipFill>
                    <a:blip r:embed="rId5" cstate="print"/>
                    <a:srcRect/>
                    <a:stretch>
                      <a:fillRect/>
                    </a:stretch>
                  </pic:blipFill>
                  <pic:spPr>
                    <a:xfrm>
                      <a:off x="0" y="0"/>
                      <a:ext cx="5272405" cy="2606040"/>
                    </a:xfrm>
                    <a:prstGeom prst="rect">
                      <a:avLst/>
                    </a:prstGeom>
                    <a:noFill/>
                    <a:ln w="9525">
                      <a:noFill/>
                      <a:miter lim="800000"/>
                      <a:headEnd/>
                      <a:tailEnd/>
                    </a:ln>
                  </pic:spPr>
                </pic:pic>
              </a:graphicData>
            </a:graphic>
          </wp:inline>
        </w:drawing>
      </w:r>
    </w:p>
    <w:p>
      <w:pPr>
        <w:numPr>
          <w:ilvl w:val="255"/>
          <w:numId w:val="0"/>
        </w:numPr>
        <w:ind w:firstLine="480"/>
        <w:jc w:val="left"/>
        <w:rPr>
          <w:rFonts w:ascii="Times New Roman" w:hAnsi="Times New Roman" w:eastAsia="仿宋"/>
          <w:sz w:val="30"/>
          <w:szCs w:val="30"/>
        </w:rPr>
      </w:pPr>
      <w:r>
        <w:rPr>
          <w:rFonts w:ascii="Times New Roman" w:hAnsi="Times New Roman" w:eastAsia="仿宋"/>
          <w:sz w:val="30"/>
          <w:szCs w:val="30"/>
        </w:rPr>
        <w:t>学校统一组织考点的学校应确保比赛过程中个人及比赛电脑周围至少1米范围内的声音和图像能清晰采集。手持身份证（护照）、学生证、教师工作证示意图如下所示。</w:t>
      </w:r>
    </w:p>
    <w:p>
      <w:pPr>
        <w:rPr>
          <w:rFonts w:ascii="Times New Roman" w:hAnsi="Times New Roman" w:eastAsia="仿宋"/>
          <w:sz w:val="24"/>
        </w:rPr>
      </w:pPr>
      <w:r>
        <w:rPr>
          <w:rFonts w:ascii="Times New Roman" w:hAnsi="Times New Roman" w:eastAsia="仿宋"/>
          <w:sz w:val="24"/>
        </w:rPr>
        <w:drawing>
          <wp:inline distT="0" distB="0" distL="0" distR="0">
            <wp:extent cx="5272405" cy="2392680"/>
            <wp:effectExtent l="0" t="0" r="4445" b="7620"/>
            <wp:docPr id="2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1"/>
                    <pic:cNvPicPr>
                      <a:picLocks noChangeAspect="1" noChangeArrowheads="1"/>
                    </pic:cNvPicPr>
                  </pic:nvPicPr>
                  <pic:blipFill>
                    <a:blip r:embed="rId6" cstate="print"/>
                    <a:srcRect/>
                    <a:stretch>
                      <a:fillRect/>
                    </a:stretch>
                  </pic:blipFill>
                  <pic:spPr>
                    <a:xfrm>
                      <a:off x="0" y="0"/>
                      <a:ext cx="5272405" cy="2392680"/>
                    </a:xfrm>
                    <a:prstGeom prst="rect">
                      <a:avLst/>
                    </a:prstGeom>
                    <a:noFill/>
                    <a:ln w="9525">
                      <a:noFill/>
                      <a:miter lim="800000"/>
                      <a:headEnd/>
                      <a:tailEnd/>
                    </a:ln>
                  </pic:spPr>
                </pic:pic>
              </a:graphicData>
            </a:graphic>
          </wp:inline>
        </w:drawing>
      </w:r>
    </w:p>
    <w:p>
      <w:pPr>
        <w:jc w:val="left"/>
        <w:rPr>
          <w:rFonts w:ascii="Times New Roman" w:hAnsi="Times New Roman" w:eastAsia="仿宋"/>
          <w:sz w:val="30"/>
          <w:szCs w:val="30"/>
        </w:rPr>
      </w:pPr>
      <w:r>
        <w:rPr>
          <w:rFonts w:ascii="Times New Roman" w:hAnsi="Times New Roman" w:eastAsia="仿宋"/>
          <w:sz w:val="24"/>
        </w:rPr>
        <w:drawing>
          <wp:inline distT="0" distB="0" distL="0" distR="0">
            <wp:extent cx="5272405" cy="3277870"/>
            <wp:effectExtent l="0" t="0" r="635" b="13970"/>
            <wp:docPr id="27"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 descr="图片1"/>
                    <pic:cNvPicPr>
                      <a:picLocks noChangeAspect="1" noChangeArrowheads="1"/>
                    </pic:cNvPicPr>
                  </pic:nvPicPr>
                  <pic:blipFill>
                    <a:blip r:embed="rId7" cstate="print"/>
                    <a:srcRect/>
                    <a:stretch>
                      <a:fillRect/>
                    </a:stretch>
                  </pic:blipFill>
                  <pic:spPr>
                    <a:xfrm>
                      <a:off x="0" y="0"/>
                      <a:ext cx="5272405" cy="3277870"/>
                    </a:xfrm>
                    <a:prstGeom prst="rect">
                      <a:avLst/>
                    </a:prstGeom>
                    <a:noFill/>
                    <a:ln w="9525">
                      <a:noFill/>
                      <a:miter lim="800000"/>
                      <a:headEnd/>
                      <a:tailEnd/>
                    </a:ln>
                  </pic:spPr>
                </pic:pic>
              </a:graphicData>
            </a:graphic>
          </wp:inline>
        </w:drawing>
      </w:r>
    </w:p>
    <w:p>
      <w:pPr>
        <w:spacing w:line="560" w:lineRule="exact"/>
        <w:ind w:firstLine="482"/>
        <w:outlineLvl w:val="1"/>
        <w:rPr>
          <w:rFonts w:ascii="Times New Roman" w:hAnsi="Times New Roman" w:eastAsia="仿宋"/>
          <w:sz w:val="30"/>
          <w:szCs w:val="30"/>
        </w:rPr>
      </w:pPr>
      <w:r>
        <w:rPr>
          <w:rFonts w:ascii="Times New Roman" w:hAnsi="Times New Roman" w:eastAsia="仿宋"/>
          <w:b/>
          <w:bCs/>
          <w:sz w:val="30"/>
          <w:szCs w:val="30"/>
        </w:rPr>
        <w:t xml:space="preserve">2. </w:t>
      </w:r>
      <w:r>
        <w:rPr>
          <w:rFonts w:ascii="Times New Roman" w:hAnsi="Times New Roman" w:eastAsia="仿宋"/>
          <w:sz w:val="30"/>
          <w:szCs w:val="30"/>
        </w:rPr>
        <w:t>录屏要求</w:t>
      </w:r>
    </w:p>
    <w:p>
      <w:pPr>
        <w:numPr>
          <w:ilvl w:val="255"/>
          <w:numId w:val="0"/>
        </w:numPr>
        <w:ind w:firstLine="480"/>
        <w:jc w:val="left"/>
        <w:rPr>
          <w:rFonts w:ascii="Times New Roman" w:hAnsi="Times New Roman" w:eastAsia="仿宋"/>
          <w:sz w:val="30"/>
          <w:szCs w:val="30"/>
        </w:rPr>
      </w:pPr>
      <w:r>
        <w:rPr>
          <w:rFonts w:ascii="Times New Roman" w:hAnsi="Times New Roman" w:eastAsia="仿宋"/>
          <w:sz w:val="30"/>
          <w:szCs w:val="30"/>
        </w:rPr>
        <w:t>参赛选手录屏</w:t>
      </w:r>
      <w:r>
        <w:rPr>
          <w:rFonts w:hint="eastAsia" w:ascii="Times New Roman" w:hAnsi="Times New Roman" w:eastAsia="仿宋"/>
          <w:sz w:val="30"/>
          <w:szCs w:val="30"/>
        </w:rPr>
        <w:t>时</w:t>
      </w:r>
      <w:r>
        <w:rPr>
          <w:rFonts w:ascii="Times New Roman" w:hAnsi="Times New Roman" w:eastAsia="仿宋"/>
          <w:sz w:val="30"/>
          <w:szCs w:val="30"/>
        </w:rPr>
        <w:t>须设置如下：</w:t>
      </w:r>
    </w:p>
    <w:p>
      <w:pPr>
        <w:rPr>
          <w:rFonts w:ascii="Times New Roman" w:hAnsi="Times New Roman" w:eastAsia="仿宋"/>
          <w:sz w:val="24"/>
        </w:rPr>
      </w:pPr>
      <w:r>
        <w:rPr>
          <w:rFonts w:ascii="Times New Roman" w:hAnsi="Times New Roman" w:eastAsia="仿宋"/>
          <w:sz w:val="24"/>
        </w:rPr>
        <w:drawing>
          <wp:inline distT="0" distB="0" distL="0" distR="0">
            <wp:extent cx="5219700" cy="3333750"/>
            <wp:effectExtent l="0" t="0" r="762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8"/>
                    <a:stretch>
                      <a:fillRect/>
                    </a:stretch>
                  </pic:blipFill>
                  <pic:spPr>
                    <a:xfrm>
                      <a:off x="0" y="0"/>
                      <a:ext cx="5219968" cy="3333921"/>
                    </a:xfrm>
                    <a:prstGeom prst="rect">
                      <a:avLst/>
                    </a:prstGeom>
                  </pic:spPr>
                </pic:pic>
              </a:graphicData>
            </a:graphic>
          </wp:inline>
        </w:drawing>
      </w:r>
    </w:p>
    <w:p>
      <w:pPr>
        <w:ind w:firstLine="480"/>
        <w:rPr>
          <w:rFonts w:ascii="Times New Roman" w:hAnsi="Times New Roman" w:eastAsia="仿宋"/>
          <w:sz w:val="24"/>
        </w:rPr>
      </w:pPr>
    </w:p>
    <w:p>
      <w:pPr>
        <w:ind w:firstLine="480"/>
        <w:jc w:val="left"/>
        <w:rPr>
          <w:rFonts w:ascii="Times New Roman" w:hAnsi="Times New Roman" w:eastAsia="仿宋"/>
          <w:sz w:val="30"/>
          <w:szCs w:val="30"/>
        </w:rPr>
      </w:pPr>
      <w:r>
        <w:rPr>
          <w:rFonts w:ascii="Times New Roman" w:hAnsi="Times New Roman" w:eastAsia="仿宋"/>
          <w:sz w:val="30"/>
          <w:szCs w:val="30"/>
        </w:rPr>
        <w:t>3.其他要求：</w:t>
      </w:r>
    </w:p>
    <w:p>
      <w:pPr>
        <w:ind w:firstLine="480"/>
        <w:jc w:val="left"/>
        <w:rPr>
          <w:rFonts w:ascii="Times New Roman" w:hAnsi="Times New Roman" w:eastAsia="仿宋"/>
          <w:sz w:val="30"/>
          <w:szCs w:val="30"/>
        </w:rPr>
      </w:pPr>
      <w:r>
        <w:rPr>
          <w:rFonts w:ascii="Times New Roman" w:hAnsi="Times New Roman" w:eastAsia="仿宋"/>
          <w:sz w:val="30"/>
          <w:szCs w:val="30"/>
        </w:rPr>
        <w:t>(1) 电脑端、手机端连入腾讯会议，开启电脑摄像头、手机前置摄像头，电脑端作为主机位，手机端作为辅机位。</w:t>
      </w:r>
    </w:p>
    <w:p>
      <w:pPr>
        <w:ind w:firstLine="480"/>
        <w:jc w:val="left"/>
        <w:rPr>
          <w:rFonts w:ascii="Times New Roman" w:hAnsi="Times New Roman" w:eastAsia="仿宋"/>
          <w:sz w:val="30"/>
          <w:szCs w:val="30"/>
        </w:rPr>
      </w:pPr>
      <w:r>
        <w:rPr>
          <w:rFonts w:ascii="Times New Roman" w:hAnsi="Times New Roman" w:eastAsia="仿宋"/>
          <w:sz w:val="30"/>
          <w:szCs w:val="30"/>
        </w:rPr>
        <w:t>(2) 主机位要求能完整看到选手的脸。</w:t>
      </w:r>
    </w:p>
    <w:p>
      <w:pPr>
        <w:ind w:firstLine="480"/>
        <w:jc w:val="left"/>
        <w:rPr>
          <w:rFonts w:ascii="Times New Roman" w:hAnsi="Times New Roman" w:eastAsia="仿宋"/>
          <w:sz w:val="30"/>
          <w:szCs w:val="30"/>
        </w:rPr>
      </w:pPr>
      <w:r>
        <w:rPr>
          <w:rFonts w:ascii="Times New Roman" w:hAnsi="Times New Roman" w:eastAsia="仿宋"/>
          <w:sz w:val="30"/>
          <w:szCs w:val="30"/>
        </w:rPr>
        <w:t>(3) 辅机位要求能够看到选手上半身、选手双手、文具、选手证件、以及电脑界面。</w:t>
      </w:r>
    </w:p>
    <w:p>
      <w:pPr>
        <w:ind w:firstLine="480"/>
        <w:jc w:val="left"/>
        <w:rPr>
          <w:rFonts w:ascii="Times New Roman" w:hAnsi="Times New Roman" w:eastAsia="仿宋"/>
          <w:sz w:val="30"/>
          <w:szCs w:val="30"/>
        </w:rPr>
      </w:pPr>
      <w:r>
        <w:rPr>
          <w:rFonts w:ascii="Times New Roman" w:hAnsi="Times New Roman" w:eastAsia="仿宋"/>
          <w:sz w:val="30"/>
          <w:szCs w:val="30"/>
        </w:rPr>
        <w:t>(4) 画面不得模糊、遮挡，否则以0分处理。</w:t>
      </w:r>
    </w:p>
    <w:p>
      <w:pPr>
        <w:ind w:firstLine="602" w:firstLineChars="200"/>
        <w:jc w:val="left"/>
        <w:rPr>
          <w:rFonts w:ascii="Times New Roman" w:hAnsi="Times New Roman" w:eastAsia="仿宋"/>
          <w:b/>
          <w:bCs/>
          <w:sz w:val="30"/>
          <w:szCs w:val="30"/>
        </w:rPr>
      </w:pPr>
      <w:r>
        <w:rPr>
          <w:rFonts w:ascii="Times New Roman" w:hAnsi="Times New Roman" w:eastAsia="仿宋"/>
          <w:b/>
          <w:bCs/>
          <w:sz w:val="30"/>
          <w:szCs w:val="30"/>
        </w:rPr>
        <w:t>四、流程要求</w:t>
      </w:r>
      <w:bookmarkStart w:id="32" w:name="pindex269"/>
      <w:bookmarkEnd w:id="32"/>
    </w:p>
    <w:p>
      <w:pPr>
        <w:ind w:firstLine="600" w:firstLineChars="200"/>
        <w:jc w:val="left"/>
        <w:rPr>
          <w:rFonts w:ascii="Times New Roman" w:hAnsi="Times New Roman" w:eastAsia="仿宋"/>
          <w:sz w:val="30"/>
          <w:szCs w:val="30"/>
        </w:rPr>
      </w:pPr>
      <w:r>
        <w:rPr>
          <w:rFonts w:ascii="Times New Roman" w:hAnsi="Times New Roman" w:eastAsia="仿宋"/>
          <w:sz w:val="30"/>
          <w:szCs w:val="30"/>
        </w:rPr>
        <w:t>1. 进场准备</w:t>
      </w:r>
      <w:bookmarkStart w:id="33" w:name="pindex270"/>
      <w:bookmarkEnd w:id="33"/>
    </w:p>
    <w:p>
      <w:pPr>
        <w:ind w:firstLine="600" w:firstLineChars="200"/>
        <w:rPr>
          <w:rFonts w:ascii="Times New Roman" w:hAnsi="Times New Roman" w:eastAsia="仿宋"/>
          <w:sz w:val="30"/>
          <w:szCs w:val="30"/>
        </w:rPr>
      </w:pPr>
      <w:r>
        <w:rPr>
          <w:rFonts w:ascii="Times New Roman" w:hAnsi="Times New Roman" w:eastAsia="仿宋"/>
          <w:sz w:val="30"/>
          <w:szCs w:val="30"/>
        </w:rPr>
        <w:t>比赛当天规定时间（上午8时）前，各参赛校及相关人员进入比赛场地，保障组工作人员创建本评审组腾讯会议，用短信通知本评审组参赛队联络员腾讯会议号。参赛队联络员回复指定手机号码确认：“信息技术应用创新赛项XXX（学校名称）参赛队已收到信息技术应用创新赛项腾讯会议号：※※※ ※※※ ※※※，X月XX日上午/下午X时前，做好一切准备。特此确认。” 在现场裁判的监督下开封</w:t>
      </w:r>
      <w:r>
        <w:rPr>
          <w:rFonts w:hint="eastAsia" w:ascii="Times New Roman" w:hAnsi="Times New Roman" w:eastAsia="仿宋"/>
          <w:sz w:val="30"/>
          <w:szCs w:val="30"/>
        </w:rPr>
        <w:t>赛题</w:t>
      </w:r>
      <w:r>
        <w:rPr>
          <w:rFonts w:ascii="Times New Roman" w:hAnsi="Times New Roman" w:eastAsia="仿宋"/>
          <w:sz w:val="30"/>
          <w:szCs w:val="30"/>
        </w:rPr>
        <w:t>并录制视频，通过腾讯会议进入相应评审组并调试好所有设备。场内除了参赛选手、现场裁判、合作企业技术支持工程师、视频拍摄、转换、上传技术人员和腾讯会议视频连线技术人员之外，不得有其他人员在场；始终保持腾讯会议视频连线，并能全程监视决赛场所。参赛队按时用视频连线电脑登录腾讯会议，将成员名改为赛位号+队员编号。开启外接广角摄像头（一直到比赛全部事宜结束），由保障组工作人员、现场裁判、监督仲裁组人员等检查场所、场内人员。</w:t>
      </w:r>
    </w:p>
    <w:p>
      <w:pPr>
        <w:pStyle w:val="16"/>
        <w:numPr>
          <w:ilvl w:val="0"/>
          <w:numId w:val="5"/>
        </w:numPr>
        <w:ind w:firstLineChars="0"/>
        <w:rPr>
          <w:rFonts w:ascii="Times New Roman" w:hAnsi="Times New Roman" w:eastAsia="仿宋"/>
          <w:sz w:val="30"/>
          <w:szCs w:val="30"/>
        </w:rPr>
      </w:pPr>
      <w:r>
        <w:rPr>
          <w:rFonts w:ascii="Times New Roman" w:hAnsi="Times New Roman" w:eastAsia="仿宋"/>
          <w:sz w:val="30"/>
          <w:szCs w:val="30"/>
        </w:rPr>
        <w:t>身份核验</w:t>
      </w:r>
      <w:bookmarkStart w:id="34" w:name="pindex271"/>
      <w:bookmarkEnd w:id="34"/>
    </w:p>
    <w:p>
      <w:pPr>
        <w:ind w:firstLine="600" w:firstLineChars="200"/>
        <w:rPr>
          <w:rFonts w:ascii="Times New Roman" w:hAnsi="Times New Roman"/>
        </w:rPr>
      </w:pPr>
      <w:r>
        <w:rPr>
          <w:rFonts w:ascii="Times New Roman" w:hAnsi="Times New Roman" w:eastAsia="仿宋"/>
          <w:sz w:val="30"/>
          <w:szCs w:val="30"/>
        </w:rPr>
        <w:t>比赛当天8时，每个参赛队在规定时间内，通过腾讯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Times New Roman" w:hAnsi="Times New Roman" w:eastAsia="仿宋"/>
          <w:sz w:val="30"/>
          <w:szCs w:val="30"/>
        </w:rPr>
      </w:pPr>
      <w:r>
        <w:rPr>
          <w:rFonts w:ascii="Times New Roman" w:hAnsi="Times New Roman" w:eastAsia="仿宋"/>
          <w:sz w:val="30"/>
          <w:szCs w:val="30"/>
        </w:rPr>
        <w:t>3. 抽定赛位号</w:t>
      </w:r>
    </w:p>
    <w:p>
      <w:pPr>
        <w:ind w:firstLine="600" w:firstLineChars="200"/>
        <w:rPr>
          <w:rFonts w:ascii="Times New Roman" w:hAnsi="Times New Roman" w:eastAsia="仿宋"/>
          <w:sz w:val="30"/>
          <w:szCs w:val="30"/>
        </w:rPr>
      </w:pPr>
      <w:r>
        <w:rPr>
          <w:rFonts w:ascii="Times New Roman" w:hAnsi="Times New Roman" w:eastAsia="仿宋"/>
          <w:sz w:val="30"/>
          <w:szCs w:val="30"/>
        </w:rPr>
        <w:t>加密裁判按参赛队联络员姓氏笔画为序，在监督仲裁组的监督下，抽签决定参赛队的赛位号；每个参赛队使用赛位号进入竞赛专用腾讯会议。参赛团队负责人回复短信确认。抽定赛位号</w:t>
      </w:r>
      <w:bookmarkStart w:id="35" w:name="pindex272"/>
      <w:bookmarkEnd w:id="35"/>
    </w:p>
    <w:p>
      <w:pPr>
        <w:ind w:firstLine="600" w:firstLineChars="200"/>
        <w:rPr>
          <w:rFonts w:ascii="Times New Roman" w:hAnsi="Times New Roman" w:eastAsia="仿宋"/>
          <w:sz w:val="30"/>
          <w:szCs w:val="30"/>
        </w:rPr>
      </w:pPr>
      <w:r>
        <w:rPr>
          <w:rFonts w:ascii="Times New Roman" w:hAnsi="Times New Roman" w:eastAsia="仿宋"/>
          <w:sz w:val="30"/>
          <w:szCs w:val="30"/>
        </w:rPr>
        <w:t>4. 实时录制</w:t>
      </w:r>
      <w:bookmarkStart w:id="36" w:name="pindex273"/>
      <w:bookmarkEnd w:id="36"/>
    </w:p>
    <w:p>
      <w:pPr>
        <w:ind w:firstLine="600" w:firstLineChars="200"/>
        <w:rPr>
          <w:rFonts w:ascii="Times New Roman" w:hAnsi="Times New Roman" w:eastAsia="仿宋"/>
          <w:sz w:val="30"/>
          <w:szCs w:val="30"/>
        </w:rPr>
      </w:pPr>
      <w:r>
        <w:rPr>
          <w:rFonts w:ascii="Times New Roman" w:hAnsi="Times New Roman" w:eastAsia="仿宋"/>
          <w:sz w:val="30"/>
          <w:szCs w:val="30"/>
        </w:rPr>
        <w:t>由保障组工作人员在统一的时间点连线公布“比赛特定标识”，由各参赛校固定张贴（或书写）在视频录制始终可见位置。</w:t>
      </w:r>
    </w:p>
    <w:p>
      <w:pPr>
        <w:ind w:firstLine="600" w:firstLineChars="200"/>
        <w:rPr>
          <w:rFonts w:ascii="Times New Roman" w:hAnsi="Times New Roman" w:eastAsia="仿宋"/>
          <w:sz w:val="30"/>
          <w:szCs w:val="30"/>
        </w:rPr>
      </w:pPr>
      <w:r>
        <w:rPr>
          <w:rFonts w:ascii="Times New Roman" w:hAnsi="Times New Roman" w:eastAsia="仿宋"/>
          <w:sz w:val="30"/>
          <w:szCs w:val="30"/>
        </w:rPr>
        <w:t>5. 竞赛报告单上传</w:t>
      </w:r>
      <w:bookmarkStart w:id="37" w:name="pindex274"/>
      <w:bookmarkEnd w:id="37"/>
    </w:p>
    <w:p>
      <w:pPr>
        <w:ind w:firstLine="600" w:firstLineChars="200"/>
        <w:rPr>
          <w:rFonts w:ascii="Times New Roman" w:hAnsi="Times New Roman" w:eastAsia="仿宋"/>
          <w:sz w:val="30"/>
          <w:szCs w:val="30"/>
        </w:rPr>
      </w:pPr>
      <w:r>
        <w:rPr>
          <w:rFonts w:ascii="Times New Roman" w:hAnsi="Times New Roman" w:eastAsia="仿宋"/>
          <w:sz w:val="30"/>
          <w:szCs w:val="30"/>
        </w:rPr>
        <w:t>比赛结束后按题目要求将竞赛报告单在规定时间内上传至指定地址。</w:t>
      </w:r>
    </w:p>
    <w:p>
      <w:pPr>
        <w:ind w:firstLine="600" w:firstLineChars="200"/>
        <w:rPr>
          <w:rFonts w:ascii="Times New Roman" w:hAnsi="Times New Roman" w:eastAsia="仿宋"/>
          <w:sz w:val="30"/>
          <w:szCs w:val="30"/>
        </w:rPr>
      </w:pPr>
      <w:r>
        <w:rPr>
          <w:rFonts w:ascii="Times New Roman" w:hAnsi="Times New Roman" w:eastAsia="仿宋"/>
          <w:sz w:val="30"/>
          <w:szCs w:val="30"/>
        </w:rPr>
        <w:t>6. 录屏上传</w:t>
      </w:r>
      <w:bookmarkStart w:id="38" w:name="pindex275"/>
      <w:bookmarkEnd w:id="38"/>
    </w:p>
    <w:p>
      <w:pPr>
        <w:ind w:firstLine="600" w:firstLineChars="200"/>
        <w:rPr>
          <w:rFonts w:ascii="Times New Roman" w:hAnsi="Times New Roman" w:eastAsia="仿宋"/>
          <w:sz w:val="30"/>
          <w:szCs w:val="30"/>
        </w:rPr>
      </w:pPr>
      <w:r>
        <w:rPr>
          <w:rFonts w:ascii="Times New Roman" w:hAnsi="Times New Roman" w:eastAsia="仿宋"/>
          <w:sz w:val="30"/>
          <w:szCs w:val="30"/>
        </w:rPr>
        <w:t>录制好的视频文件分别以“赛项编号+赛项名称+模块号+加密代号.mp4”命名，采用MP4格式封装，不允许另行剪辑及配音，视频录制软件不限，采用H.264/AVC（MPEG-4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比赛官网（使用新的用户名、密码），上传完成后利用预览功能自行检查所传视频完整性。同时发送到赛项指定邮箱（承办校负责）。上传截止时间为第一阶段结束后50分钟内；封闭和开封赛场录制视频上传为比赛日当天12点前。</w:t>
      </w:r>
    </w:p>
    <w:p>
      <w:pPr>
        <w:ind w:firstLine="600" w:firstLineChars="200"/>
        <w:rPr>
          <w:rFonts w:ascii="Times New Roman" w:hAnsi="Times New Roman" w:eastAsia="仿宋"/>
          <w:sz w:val="30"/>
          <w:szCs w:val="30"/>
        </w:rPr>
      </w:pPr>
      <w:r>
        <w:rPr>
          <w:rFonts w:ascii="Times New Roman" w:hAnsi="Times New Roman" w:eastAsia="仿宋"/>
          <w:sz w:val="30"/>
          <w:szCs w:val="30"/>
        </w:rPr>
        <w:t>7.完成竞赛</w:t>
      </w:r>
      <w:bookmarkStart w:id="39" w:name="pindex276"/>
      <w:bookmarkEnd w:id="39"/>
    </w:p>
    <w:p>
      <w:pPr>
        <w:ind w:firstLine="600" w:firstLineChars="200"/>
        <w:rPr>
          <w:rFonts w:ascii="Times New Roman" w:hAnsi="Times New Roman" w:eastAsia="仿宋"/>
          <w:sz w:val="30"/>
          <w:szCs w:val="30"/>
        </w:rPr>
      </w:pPr>
      <w:r>
        <w:rPr>
          <w:rFonts w:ascii="Times New Roman" w:hAnsi="Times New Roman" w:eastAsia="仿宋"/>
          <w:sz w:val="30"/>
          <w:szCs w:val="30"/>
        </w:rPr>
        <w:t>各参赛队在完成比赛全部事宜，并确认视频上传无误后，参赛队负责人回复指定手机号码确认：“信息技术应用创新赛项XXX（赛位号）参赛队已经完成比赛，特此确认。”</w:t>
      </w:r>
    </w:p>
    <w:p>
      <w:pPr>
        <w:ind w:firstLine="600" w:firstLineChars="200"/>
        <w:rPr>
          <w:rFonts w:ascii="Times New Roman" w:hAnsi="Times New Roman" w:eastAsia="仿宋"/>
          <w:sz w:val="30"/>
          <w:szCs w:val="30"/>
        </w:rPr>
      </w:pPr>
      <w:r>
        <w:rPr>
          <w:rFonts w:ascii="Times New Roman" w:hAnsi="Times New Roman" w:eastAsia="仿宋"/>
          <w:sz w:val="30"/>
          <w:szCs w:val="30"/>
        </w:rPr>
        <w:t>8.评审</w:t>
      </w:r>
      <w:bookmarkStart w:id="40" w:name="pindex277"/>
      <w:bookmarkEnd w:id="40"/>
    </w:p>
    <w:p>
      <w:pPr>
        <w:ind w:firstLine="600" w:firstLineChars="200"/>
        <w:rPr>
          <w:rFonts w:ascii="Times New Roman" w:hAnsi="Times New Roman" w:eastAsia="仿宋"/>
          <w:sz w:val="30"/>
          <w:szCs w:val="30"/>
        </w:rPr>
      </w:pPr>
      <w:r>
        <w:rPr>
          <w:rFonts w:ascii="Times New Roman" w:hAnsi="Times New Roman" w:eastAsia="仿宋"/>
          <w:sz w:val="30"/>
          <w:szCs w:val="30"/>
        </w:rPr>
        <w:t>根据比赛阶段流程要求，线下评审-现场裁判根据评分标准完成成绩评定；线上评审-裁判组通过网络评审各参赛队提交竞赛报告单，按照评审要求，依据评分标准打分（含机评-系统自动评分）。线下评审成绩和线上评审成绩由裁判长统计汇总。</w:t>
      </w:r>
    </w:p>
    <w:p>
      <w:pPr>
        <w:ind w:firstLine="600" w:firstLineChars="200"/>
        <w:rPr>
          <w:rFonts w:ascii="Times New Roman" w:hAnsi="Times New Roman" w:eastAsia="仿宋"/>
          <w:sz w:val="30"/>
          <w:szCs w:val="30"/>
        </w:rPr>
      </w:pPr>
      <w:r>
        <w:rPr>
          <w:rFonts w:ascii="Times New Roman" w:hAnsi="Times New Roman" w:eastAsia="仿宋"/>
          <w:sz w:val="30"/>
          <w:szCs w:val="30"/>
        </w:rPr>
        <w:t>9.成绩计算及公示</w:t>
      </w:r>
      <w:bookmarkStart w:id="41" w:name="pindex278"/>
      <w:bookmarkEnd w:id="41"/>
    </w:p>
    <w:p>
      <w:pPr>
        <w:ind w:firstLine="600" w:firstLineChars="200"/>
        <w:rPr>
          <w:rFonts w:ascii="Times New Roman" w:hAnsi="Times New Roman" w:eastAsia="仿宋"/>
          <w:sz w:val="30"/>
          <w:szCs w:val="30"/>
        </w:rPr>
      </w:pPr>
      <w:r>
        <w:rPr>
          <w:rFonts w:ascii="Times New Roman" w:hAnsi="Times New Roman" w:eastAsia="仿宋"/>
          <w:sz w:val="30"/>
          <w:szCs w:val="30"/>
        </w:rPr>
        <w:t>根据既定规则确定最终成绩，成绩评定方法依照赛项规程，并由监督仲裁组进行成绩复核。成绩公示时间为2小时。</w:t>
      </w:r>
    </w:p>
    <w:p>
      <w:pPr>
        <w:ind w:firstLine="600" w:firstLineChars="200"/>
        <w:rPr>
          <w:rFonts w:ascii="Times New Roman" w:hAnsi="Times New Roman" w:eastAsia="仿宋"/>
          <w:sz w:val="30"/>
          <w:szCs w:val="30"/>
        </w:rPr>
      </w:pPr>
      <w:r>
        <w:rPr>
          <w:rFonts w:ascii="Times New Roman" w:hAnsi="Times New Roman" w:eastAsia="仿宋"/>
          <w:sz w:val="30"/>
          <w:szCs w:val="30"/>
        </w:rPr>
        <w:t>10.成绩公布</w:t>
      </w:r>
      <w:bookmarkStart w:id="42" w:name="pindex279"/>
      <w:bookmarkEnd w:id="42"/>
    </w:p>
    <w:p>
      <w:pPr>
        <w:pStyle w:val="2"/>
        <w:ind w:firstLine="600" w:firstLineChars="200"/>
        <w:rPr>
          <w:rFonts w:ascii="Times New Roman" w:hAnsi="Times New Roman"/>
        </w:rPr>
      </w:pPr>
      <w:r>
        <w:rPr>
          <w:rFonts w:ascii="Times New Roman" w:hAnsi="Times New Roman" w:eastAsia="仿宋"/>
          <w:sz w:val="30"/>
          <w:szCs w:val="30"/>
        </w:rPr>
        <w:t>闭幕式公布成绩并颁奖。</w:t>
      </w:r>
    </w:p>
    <w:p>
      <w:pPr>
        <w:ind w:firstLine="600" w:firstLineChars="200"/>
        <w:rPr>
          <w:rFonts w:ascii="Times New Roman" w:hAnsi="Times New Roman"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C3B62F"/>
    <w:multiLevelType w:val="singleLevel"/>
    <w:tmpl w:val="ABC3B62F"/>
    <w:lvl w:ilvl="0" w:tentative="0">
      <w:start w:val="2"/>
      <w:numFmt w:val="decimal"/>
      <w:lvlText w:val="%1."/>
      <w:lvlJc w:val="left"/>
      <w:pPr>
        <w:tabs>
          <w:tab w:val="left" w:pos="312"/>
        </w:tabs>
      </w:pPr>
    </w:lvl>
  </w:abstractNum>
  <w:abstractNum w:abstractNumId="1">
    <w:nsid w:val="B69CA830"/>
    <w:multiLevelType w:val="singleLevel"/>
    <w:tmpl w:val="B69CA830"/>
    <w:lvl w:ilvl="0" w:tentative="0">
      <w:start w:val="1"/>
      <w:numFmt w:val="chineseCounting"/>
      <w:suff w:val="nothing"/>
      <w:lvlText w:val="%1、"/>
      <w:lvlJc w:val="left"/>
      <w:rPr>
        <w:rFonts w:hint="eastAsia"/>
      </w:rPr>
    </w:lvl>
  </w:abstractNum>
  <w:abstractNum w:abstractNumId="2">
    <w:nsid w:val="248D635D"/>
    <w:multiLevelType w:val="multilevel"/>
    <w:tmpl w:val="248D635D"/>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41B44D8B"/>
    <w:multiLevelType w:val="singleLevel"/>
    <w:tmpl w:val="41B44D8B"/>
    <w:lvl w:ilvl="0" w:tentative="0">
      <w:start w:val="5"/>
      <w:numFmt w:val="chineseCounting"/>
      <w:suff w:val="nothing"/>
      <w:lvlText w:val="%1、"/>
      <w:lvlJc w:val="left"/>
      <w:rPr>
        <w:rFonts w:hint="eastAsia"/>
      </w:rPr>
    </w:lvl>
  </w:abstractNum>
  <w:abstractNum w:abstractNumId="4">
    <w:nsid w:val="619C9C83"/>
    <w:multiLevelType w:val="singleLevel"/>
    <w:tmpl w:val="619C9C83"/>
    <w:lvl w:ilvl="0" w:tentative="0">
      <w:start w:val="2"/>
      <w:numFmt w:val="decimal"/>
      <w:lvlText w:val="%1."/>
      <w:lvlJc w:val="left"/>
      <w:pPr>
        <w:tabs>
          <w:tab w:val="left" w:pos="312"/>
        </w:tabs>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ZjE2ODUzYWZkYjZlODgwYTFhMmQ3NThmODhkNDUifQ=="/>
  </w:docVars>
  <w:rsids>
    <w:rsidRoot w:val="00172A27"/>
    <w:rsid w:val="00002E1A"/>
    <w:rsid w:val="000419BA"/>
    <w:rsid w:val="00050370"/>
    <w:rsid w:val="0005661A"/>
    <w:rsid w:val="00057ECE"/>
    <w:rsid w:val="000D7D2A"/>
    <w:rsid w:val="000E4EDE"/>
    <w:rsid w:val="000E7D8B"/>
    <w:rsid w:val="00107315"/>
    <w:rsid w:val="001214FF"/>
    <w:rsid w:val="00130069"/>
    <w:rsid w:val="0013635C"/>
    <w:rsid w:val="00137DF8"/>
    <w:rsid w:val="00143C8D"/>
    <w:rsid w:val="00145AB0"/>
    <w:rsid w:val="001468D2"/>
    <w:rsid w:val="00172A27"/>
    <w:rsid w:val="00194A38"/>
    <w:rsid w:val="001F144F"/>
    <w:rsid w:val="001F6FA9"/>
    <w:rsid w:val="00237AC6"/>
    <w:rsid w:val="002505DF"/>
    <w:rsid w:val="00253AB0"/>
    <w:rsid w:val="00276147"/>
    <w:rsid w:val="002A6950"/>
    <w:rsid w:val="002E6468"/>
    <w:rsid w:val="002F7762"/>
    <w:rsid w:val="00304461"/>
    <w:rsid w:val="00305F7E"/>
    <w:rsid w:val="00314603"/>
    <w:rsid w:val="00332AE2"/>
    <w:rsid w:val="00350425"/>
    <w:rsid w:val="00373CFC"/>
    <w:rsid w:val="00384B7C"/>
    <w:rsid w:val="00386C61"/>
    <w:rsid w:val="003C37A7"/>
    <w:rsid w:val="003D058B"/>
    <w:rsid w:val="003D4AB2"/>
    <w:rsid w:val="003E4F99"/>
    <w:rsid w:val="003F6D71"/>
    <w:rsid w:val="004108C3"/>
    <w:rsid w:val="00412ADB"/>
    <w:rsid w:val="004302C1"/>
    <w:rsid w:val="00437BB1"/>
    <w:rsid w:val="00463768"/>
    <w:rsid w:val="0046388C"/>
    <w:rsid w:val="0047303C"/>
    <w:rsid w:val="00475F9B"/>
    <w:rsid w:val="004760C7"/>
    <w:rsid w:val="00476B4E"/>
    <w:rsid w:val="00477B75"/>
    <w:rsid w:val="004B4C5E"/>
    <w:rsid w:val="004B4F1B"/>
    <w:rsid w:val="004D35C9"/>
    <w:rsid w:val="004D4452"/>
    <w:rsid w:val="004F362A"/>
    <w:rsid w:val="004F452F"/>
    <w:rsid w:val="005109FA"/>
    <w:rsid w:val="00526B2F"/>
    <w:rsid w:val="00572489"/>
    <w:rsid w:val="0061280F"/>
    <w:rsid w:val="00631487"/>
    <w:rsid w:val="00634762"/>
    <w:rsid w:val="00635EAA"/>
    <w:rsid w:val="00641336"/>
    <w:rsid w:val="00646424"/>
    <w:rsid w:val="006542EE"/>
    <w:rsid w:val="00665AC1"/>
    <w:rsid w:val="00670AFD"/>
    <w:rsid w:val="006C4D4F"/>
    <w:rsid w:val="006F23EA"/>
    <w:rsid w:val="006F2F3D"/>
    <w:rsid w:val="0072094A"/>
    <w:rsid w:val="007407FC"/>
    <w:rsid w:val="007507C6"/>
    <w:rsid w:val="0076779D"/>
    <w:rsid w:val="00784301"/>
    <w:rsid w:val="007C2907"/>
    <w:rsid w:val="0080584E"/>
    <w:rsid w:val="0081304D"/>
    <w:rsid w:val="00813CA5"/>
    <w:rsid w:val="00815ED1"/>
    <w:rsid w:val="00870FA9"/>
    <w:rsid w:val="00874612"/>
    <w:rsid w:val="00894626"/>
    <w:rsid w:val="008B7E3A"/>
    <w:rsid w:val="008C2A50"/>
    <w:rsid w:val="008D499B"/>
    <w:rsid w:val="008F53FE"/>
    <w:rsid w:val="008F7400"/>
    <w:rsid w:val="00920EEA"/>
    <w:rsid w:val="0093552F"/>
    <w:rsid w:val="00935E5C"/>
    <w:rsid w:val="00956054"/>
    <w:rsid w:val="00961568"/>
    <w:rsid w:val="00975220"/>
    <w:rsid w:val="00980922"/>
    <w:rsid w:val="009F4081"/>
    <w:rsid w:val="00A44410"/>
    <w:rsid w:val="00A57129"/>
    <w:rsid w:val="00A63A53"/>
    <w:rsid w:val="00A7571C"/>
    <w:rsid w:val="00AA345A"/>
    <w:rsid w:val="00AA39E4"/>
    <w:rsid w:val="00AB4F8B"/>
    <w:rsid w:val="00B00557"/>
    <w:rsid w:val="00B01C3F"/>
    <w:rsid w:val="00B02EC8"/>
    <w:rsid w:val="00B310AD"/>
    <w:rsid w:val="00B36E77"/>
    <w:rsid w:val="00B943EF"/>
    <w:rsid w:val="00B94EF1"/>
    <w:rsid w:val="00BA3E85"/>
    <w:rsid w:val="00BA7A1C"/>
    <w:rsid w:val="00C340CC"/>
    <w:rsid w:val="00C5159E"/>
    <w:rsid w:val="00CD5CD0"/>
    <w:rsid w:val="00CD6315"/>
    <w:rsid w:val="00CE0760"/>
    <w:rsid w:val="00CE2EBD"/>
    <w:rsid w:val="00CF1E87"/>
    <w:rsid w:val="00CF68BD"/>
    <w:rsid w:val="00D2388A"/>
    <w:rsid w:val="00D24957"/>
    <w:rsid w:val="00D762C4"/>
    <w:rsid w:val="00D80250"/>
    <w:rsid w:val="00E25575"/>
    <w:rsid w:val="00E52F32"/>
    <w:rsid w:val="00E55C8E"/>
    <w:rsid w:val="00E87B0B"/>
    <w:rsid w:val="00ED2026"/>
    <w:rsid w:val="00ED388A"/>
    <w:rsid w:val="00F15952"/>
    <w:rsid w:val="00F244C6"/>
    <w:rsid w:val="00F32523"/>
    <w:rsid w:val="00F82287"/>
    <w:rsid w:val="00FA5683"/>
    <w:rsid w:val="00FB48C2"/>
    <w:rsid w:val="00FD4E4D"/>
    <w:rsid w:val="00FE270B"/>
    <w:rsid w:val="00FF7EE5"/>
    <w:rsid w:val="081B7ED7"/>
    <w:rsid w:val="084F27E4"/>
    <w:rsid w:val="08615A1D"/>
    <w:rsid w:val="0CF46ECE"/>
    <w:rsid w:val="0ED0266B"/>
    <w:rsid w:val="0FC378B5"/>
    <w:rsid w:val="10A4691A"/>
    <w:rsid w:val="11E3402C"/>
    <w:rsid w:val="12E66CFD"/>
    <w:rsid w:val="1885048C"/>
    <w:rsid w:val="1B521211"/>
    <w:rsid w:val="1BB45DF2"/>
    <w:rsid w:val="1E035DAE"/>
    <w:rsid w:val="1ECB2E08"/>
    <w:rsid w:val="241366D0"/>
    <w:rsid w:val="277DB96B"/>
    <w:rsid w:val="2DFB04FF"/>
    <w:rsid w:val="2E9861CF"/>
    <w:rsid w:val="31592A40"/>
    <w:rsid w:val="31F46EC7"/>
    <w:rsid w:val="35DD743F"/>
    <w:rsid w:val="377A5E40"/>
    <w:rsid w:val="3A1A4327"/>
    <w:rsid w:val="3ABA60F4"/>
    <w:rsid w:val="3BE16681"/>
    <w:rsid w:val="3EA03F0B"/>
    <w:rsid w:val="4049137C"/>
    <w:rsid w:val="42CB1753"/>
    <w:rsid w:val="43342414"/>
    <w:rsid w:val="44EA717F"/>
    <w:rsid w:val="46672E81"/>
    <w:rsid w:val="46F36134"/>
    <w:rsid w:val="47E93FB4"/>
    <w:rsid w:val="50BD4C8C"/>
    <w:rsid w:val="535202BB"/>
    <w:rsid w:val="59394624"/>
    <w:rsid w:val="5A772B48"/>
    <w:rsid w:val="5DA07197"/>
    <w:rsid w:val="5FFB2881"/>
    <w:rsid w:val="621722B6"/>
    <w:rsid w:val="64892207"/>
    <w:rsid w:val="66D04F6D"/>
    <w:rsid w:val="688433C8"/>
    <w:rsid w:val="689F6036"/>
    <w:rsid w:val="68C47AD3"/>
    <w:rsid w:val="69BF6070"/>
    <w:rsid w:val="6DF73173"/>
    <w:rsid w:val="6F1E029F"/>
    <w:rsid w:val="710866F3"/>
    <w:rsid w:val="71670D1F"/>
    <w:rsid w:val="720A50CC"/>
    <w:rsid w:val="72DF049D"/>
    <w:rsid w:val="75EB456E"/>
    <w:rsid w:val="763B4332"/>
    <w:rsid w:val="76FD3998"/>
    <w:rsid w:val="78FD58FD"/>
    <w:rsid w:val="7AFB607C"/>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4"/>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8"/>
    <w:qFormat/>
    <w:uiPriority w:val="99"/>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563C1"/>
      <w:u w:val="single"/>
    </w:rPr>
  </w:style>
  <w:style w:type="paragraph" w:customStyle="1" w:styleId="10">
    <w:name w:val="修订1"/>
    <w:hidden/>
    <w:semiHidden/>
    <w:qFormat/>
    <w:uiPriority w:val="99"/>
    <w:rPr>
      <w:rFonts w:ascii="Calibri" w:hAnsi="Calibri" w:eastAsia="宋体" w:cs="Times New Roman"/>
      <w:kern w:val="2"/>
      <w:sz w:val="21"/>
      <w:szCs w:val="24"/>
      <w:lang w:val="en-US" w:eastAsia="zh-CN" w:bidi="ar-SA"/>
    </w:rPr>
  </w:style>
  <w:style w:type="paragraph" w:customStyle="1" w:styleId="11">
    <w:name w:val="修订2"/>
    <w:hidden/>
    <w:semiHidden/>
    <w:qFormat/>
    <w:uiPriority w:val="99"/>
    <w:rPr>
      <w:rFonts w:ascii="Calibri" w:hAnsi="Calibri" w:eastAsia="宋体" w:cs="Times New Roman"/>
      <w:kern w:val="2"/>
      <w:sz w:val="21"/>
      <w:szCs w:val="24"/>
      <w:lang w:val="en-US" w:eastAsia="zh-CN" w:bidi="ar-SA"/>
    </w:rPr>
  </w:style>
  <w:style w:type="paragraph" w:styleId="12">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3">
    <w:name w:val="标题 3 字符"/>
    <w:basedOn w:val="8"/>
    <w:semiHidden/>
    <w:qFormat/>
    <w:uiPriority w:val="0"/>
    <w:rPr>
      <w:rFonts w:ascii="Calibri" w:hAnsi="Calibri" w:eastAsia="宋体" w:cs="Times New Roman"/>
      <w:b/>
      <w:bCs/>
      <w:kern w:val="2"/>
      <w:sz w:val="32"/>
      <w:szCs w:val="32"/>
    </w:rPr>
  </w:style>
  <w:style w:type="character" w:customStyle="1" w:styleId="14">
    <w:name w:val="标题 3 字符1"/>
    <w:link w:val="3"/>
    <w:qFormat/>
    <w:uiPriority w:val="0"/>
    <w:rPr>
      <w:b/>
      <w:bCs/>
      <w:kern w:val="2"/>
      <w:sz w:val="32"/>
      <w:szCs w:val="32"/>
      <w:lang w:val="zh-CN" w:eastAsia="zh-CN"/>
    </w:rPr>
  </w:style>
  <w:style w:type="paragraph" w:customStyle="1" w:styleId="15">
    <w:name w:val="修订3"/>
    <w:hidden/>
    <w:semiHidden/>
    <w:qFormat/>
    <w:uiPriority w:val="99"/>
    <w:rPr>
      <w:rFonts w:ascii="Calibri" w:hAnsi="Calibri" w:eastAsia="宋体" w:cs="Times New Roman"/>
      <w:kern w:val="2"/>
      <w:sz w:val="21"/>
      <w:szCs w:val="24"/>
      <w:lang w:val="en-US" w:eastAsia="zh-CN" w:bidi="ar-SA"/>
    </w:rPr>
  </w:style>
  <w:style w:type="paragraph" w:styleId="16">
    <w:name w:val="List Paragraph"/>
    <w:basedOn w:val="1"/>
    <w:qFormat/>
    <w:uiPriority w:val="99"/>
    <w:pPr>
      <w:ind w:firstLine="420" w:firstLineChars="200"/>
    </w:pPr>
  </w:style>
  <w:style w:type="paragraph" w:customStyle="1" w:styleId="17">
    <w:name w:val="No Spacing1"/>
    <w:basedOn w:val="1"/>
    <w:qFormat/>
    <w:uiPriority w:val="0"/>
    <w:rPr>
      <w:rFonts w:ascii="Times New Roman" w:hAnsi="Times New Roman" w:eastAsia="仿宋_GB2312"/>
      <w:sz w:val="24"/>
    </w:rPr>
  </w:style>
  <w:style w:type="character" w:customStyle="1" w:styleId="18">
    <w:name w:val="页脚 字符"/>
    <w:basedOn w:val="8"/>
    <w:link w:val="2"/>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9115</Words>
  <Characters>9694</Characters>
  <Lines>73</Lines>
  <Paragraphs>20</Paragraphs>
  <TotalTime>0</TotalTime>
  <ScaleCrop>false</ScaleCrop>
  <LinksUpToDate>false</LinksUpToDate>
  <CharactersWithSpaces>9731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2022-06-09T20:54:00Z</dcterms:created>
  <dc:creator>HEP</dc:creator>
  <cp:lastModifiedBy>于海宁</cp:lastModifiedBy>
  <dcterms:modified xsi:type="dcterms:W3CDTF">2022-07-14T02:39:26Z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3F7DA34A69AC432EB5755D69C1BB4516</vt:lpwstr>
  </property>
</Properties>
</file>