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首届世界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职业院校技能大赛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天津赛区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赛项意向承办校和合作企业需求信息统计表（竞赛类）</w:t>
      </w:r>
    </w:p>
    <w:tbl>
      <w:tblPr>
        <w:tblStyle w:val="2"/>
        <w:tblpPr w:leftFromText="180" w:rightFromText="180" w:vertAnchor="text" w:horzAnchor="page" w:tblpX="992" w:tblpY="563"/>
        <w:tblOverlap w:val="never"/>
        <w:tblW w:w="52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16"/>
        <w:gridCol w:w="850"/>
        <w:gridCol w:w="1420"/>
        <w:gridCol w:w="1480"/>
        <w:gridCol w:w="1020"/>
        <w:gridCol w:w="1247"/>
        <w:gridCol w:w="1683"/>
        <w:gridCol w:w="5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申办校联系人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合作企业要求信息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机电一体化项目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电气学院书记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13821184163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3.合作企业能保证竞赛器材供应，技术平台须与申报赛项相匹配且运行安全、稳定、可靠，提供的设备技术先进、质量稳定，设备价格合理；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智能产线安装与调试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姜颖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电气自动化教研室主任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13820223363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3.合作企业能保证竞赛器材供应，技术平台须与申报赛项相匹配且运行安全、稳定、可靠，提供的设备技术先进、质量稳定，设备价格合理；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机器人教研室主任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13702107009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3.合作企业能保证竞赛器材供应，技术平台须与申报赛项相匹配且运行安全、稳定、可靠，提供的设备技术先进、质量稳定，设备价格合理；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13802034480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2.企业信用资质良好，有较强的技术服务团队；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3.合作企业能保证竞赛器材供应，技术平台须与申报赛项相匹配且运行安全、稳定、可靠，提供的设备技术先进、质量稳定，设备价格合理；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5.有参与国际合作项目的经历。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软件企业：三维实体建模软件、3D分层软件、实体仿真、测量软件；硬件企业：可拆装FDM3D打印机、桌面FDM打印机及桌面SLA打印机企业。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无人机维修与应用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智能工程学院院长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13682132190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2.合作企业是规模以上企业或省级以上产教融合型企业，应有广泛、深度的校企合作基础；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4.合作企业能保证竞赛器材供应，技术平台须与申报赛项相匹配且运行安全、稳定、可靠，提供的设备技术先进、质量稳定，且评价良好；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信息技术应用创新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天津电子信息职业技术学院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傅连祺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教务处干部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18622338108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2.企业信用资质良好，有较强的技术服务团队；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3.合作企业能保证竞赛器材供应，技术平台须与申报赛项相匹配且运行安全、稳定、可靠，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具有中外职业教育项目合作和国内外技能竞赛技术支持经验，可提供稳定可靠的竞赛平台。；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18920365769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天津城市职业学院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教学副院长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18622596788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6.提供的赛项技术平台须满足规程要求，软件具有自主知识产权，支持中英文两种语言；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7.技术平台采用集群技术，满足稳定性与可靠性要求。单个赛位软、硬件满足技术参数要求，支持自动判分。通用软件和工具满足版本要求。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通信网络管理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软件与通信学院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通信系系主任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15620926610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3.合作企业须是有广泛、深度的校企合作基础，应是以通信为主要代表的、在移动通信领域的自主创新型企业，在5G技术、标准、产业上具有重要贡献；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4.合作企业须为生产性、服务性实体企业。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5.合作企业能保证竞赛器材供应，技术平台须与申报赛项相匹配；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迷宫机器人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郑勇峰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机电工程学院院长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13821646635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装备制造大类、交通运输大类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天津交通职业学院、天津市东丽区职业教育中心学校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 处长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13072271595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轨道交通驾驶技术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处长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13902133882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王春艳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国际贸易学院副院长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18920819359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3.合作企业能保证竞赛器材供应，技术平台须与申报赛项相匹配且具有自主知识产权，至少具有中英两种语言版本；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碳中和可再生能源工程技术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电子信息与自动化学院院长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18630859260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1.合作企业须是独立法人，能够提供满足赛项所需的产品和服务；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2.企业信用资质良好，有较强的技术服务团队；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3.合作企业能保证竞赛器材供应，技术平台须与申报赛项相匹配且运行安全、稳定、可靠，提供的设备技术先进、质量稳定，设备价格合理；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4.有参与职业院校技能竞赛(国赛、省赛或行业赛等)的合作经历；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5.有参与国际合作项目的经历。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注：此统计表信息公告期为三个工作日，公告期从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5月11</w:t>
      </w:r>
      <w:r>
        <w:rPr>
          <w:rFonts w:hint="eastAsia" w:ascii="仿宋" w:hAnsi="仿宋" w:eastAsia="仿宋" w:cs="仿宋"/>
          <w:sz w:val="24"/>
          <w:szCs w:val="24"/>
        </w:rPr>
        <w:t>日开始</w:t>
      </w:r>
    </w:p>
    <w:p>
      <w:pPr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</w:p>
    <w:p/>
    <w:p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2022-05-11T08:53:41Z</dcterms:created>
  <dc:creator>dell</dc:creator>
  <cp:lastModifiedBy>于海宁</cp:lastModifiedBy>
  <dcterms:modified xsi:type="dcterms:W3CDTF">2022-05-11T08:54:35Z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D242D3A551D64B2BA208BDE5EED226E0</vt:lpwstr>
  </property>
</Properties>
</file>