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D2" w:rsidRPr="00757F82" w:rsidRDefault="00785FEA">
      <w:pPr>
        <w:rPr>
          <w:rFonts w:ascii="黑体" w:eastAsia="黑体" w:hAnsi="黑体"/>
          <w:bCs/>
          <w:sz w:val="30"/>
          <w:szCs w:val="30"/>
        </w:rPr>
      </w:pPr>
      <w:r w:rsidRPr="00757F82">
        <w:rPr>
          <w:rFonts w:ascii="黑体" w:eastAsia="黑体" w:hAnsi="黑体" w:hint="eastAsia"/>
          <w:bCs/>
          <w:sz w:val="30"/>
          <w:szCs w:val="30"/>
        </w:rPr>
        <w:t>附件</w:t>
      </w:r>
      <w:r w:rsidR="00B9191C" w:rsidRPr="00757F82">
        <w:rPr>
          <w:rFonts w:ascii="黑体" w:eastAsia="黑体" w:hAnsi="黑体" w:hint="eastAsia"/>
          <w:bCs/>
          <w:sz w:val="30"/>
          <w:szCs w:val="30"/>
        </w:rPr>
        <w:t>4</w:t>
      </w:r>
    </w:p>
    <w:p w:rsidR="00AB62D2" w:rsidRPr="007132B3" w:rsidRDefault="00785FEA">
      <w:pPr>
        <w:jc w:val="center"/>
        <w:rPr>
          <w:rFonts w:ascii="方正小标宋简体" w:eastAsia="方正小标宋简体"/>
          <w:sz w:val="40"/>
          <w:szCs w:val="36"/>
        </w:rPr>
      </w:pPr>
      <w:r w:rsidRPr="007132B3">
        <w:rPr>
          <w:rFonts w:ascii="方正小标宋简体" w:eastAsia="方正小标宋简体" w:hint="eastAsia"/>
          <w:sz w:val="40"/>
          <w:szCs w:val="36"/>
        </w:rPr>
        <w:t>2022年全国职业院校技能大赛赛项</w:t>
      </w:r>
      <w:r w:rsidR="00527B4A" w:rsidRPr="007132B3">
        <w:rPr>
          <w:rFonts w:ascii="方正小标宋简体" w:eastAsia="方正小标宋简体" w:hint="eastAsia"/>
          <w:sz w:val="40"/>
          <w:szCs w:val="36"/>
        </w:rPr>
        <w:t>意向承办校和</w:t>
      </w:r>
      <w:r w:rsidRPr="007132B3">
        <w:rPr>
          <w:rFonts w:ascii="方正小标宋简体" w:eastAsia="方正小标宋简体" w:hint="eastAsia"/>
          <w:sz w:val="40"/>
          <w:szCs w:val="36"/>
        </w:rPr>
        <w:t>合作企业需求信息统计表</w:t>
      </w:r>
    </w:p>
    <w:p w:rsidR="00AB62D2" w:rsidRPr="007132B3" w:rsidRDefault="00AB62D2">
      <w:pPr>
        <w:rPr>
          <w:sz w:val="24"/>
        </w:rPr>
      </w:pPr>
    </w:p>
    <w:tbl>
      <w:tblPr>
        <w:tblStyle w:val="a7"/>
        <w:tblW w:w="14169" w:type="dxa"/>
        <w:jc w:val="center"/>
        <w:tblLook w:val="04A0" w:firstRow="1" w:lastRow="0" w:firstColumn="1" w:lastColumn="0" w:noHBand="0" w:noVBand="1"/>
      </w:tblPr>
      <w:tblGrid>
        <w:gridCol w:w="549"/>
        <w:gridCol w:w="864"/>
        <w:gridCol w:w="1235"/>
        <w:gridCol w:w="1202"/>
        <w:gridCol w:w="1610"/>
        <w:gridCol w:w="1609"/>
        <w:gridCol w:w="1778"/>
        <w:gridCol w:w="2089"/>
        <w:gridCol w:w="3233"/>
      </w:tblGrid>
      <w:tr w:rsidR="00AB62D2" w:rsidTr="00F6691C">
        <w:trPr>
          <w:trHeight w:val="639"/>
          <w:jc w:val="center"/>
        </w:trPr>
        <w:tc>
          <w:tcPr>
            <w:tcW w:w="549" w:type="dxa"/>
            <w:vAlign w:val="center"/>
          </w:tcPr>
          <w:p w:rsidR="00AB62D2" w:rsidRDefault="00785FE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" w:type="dxa"/>
            <w:vAlign w:val="center"/>
          </w:tcPr>
          <w:p w:rsidR="00AB62D2" w:rsidRDefault="00785FE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235" w:type="dxa"/>
            <w:vAlign w:val="center"/>
          </w:tcPr>
          <w:p w:rsidR="00AB62D2" w:rsidRDefault="00785FEA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1202" w:type="dxa"/>
            <w:vAlign w:val="center"/>
          </w:tcPr>
          <w:p w:rsidR="00AB62D2" w:rsidRDefault="00785FE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赛项编号</w:t>
            </w:r>
          </w:p>
        </w:tc>
        <w:tc>
          <w:tcPr>
            <w:tcW w:w="1610" w:type="dxa"/>
            <w:vAlign w:val="center"/>
          </w:tcPr>
          <w:p w:rsidR="00AB62D2" w:rsidRDefault="00785FE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赛项名称</w:t>
            </w:r>
          </w:p>
        </w:tc>
        <w:tc>
          <w:tcPr>
            <w:tcW w:w="1609" w:type="dxa"/>
            <w:vAlign w:val="center"/>
          </w:tcPr>
          <w:p w:rsidR="00AB62D2" w:rsidRDefault="00785FE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申办校</w:t>
            </w:r>
          </w:p>
        </w:tc>
        <w:tc>
          <w:tcPr>
            <w:tcW w:w="1778" w:type="dxa"/>
            <w:vAlign w:val="center"/>
          </w:tcPr>
          <w:p w:rsidR="00AB62D2" w:rsidRDefault="00785FEA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申办校联系人</w:t>
            </w:r>
          </w:p>
        </w:tc>
        <w:tc>
          <w:tcPr>
            <w:tcW w:w="2089" w:type="dxa"/>
            <w:vAlign w:val="center"/>
          </w:tcPr>
          <w:p w:rsidR="00AB62D2" w:rsidRDefault="00785FEA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申办校联系方式</w:t>
            </w:r>
          </w:p>
        </w:tc>
        <w:tc>
          <w:tcPr>
            <w:tcW w:w="3233" w:type="dxa"/>
            <w:vAlign w:val="center"/>
          </w:tcPr>
          <w:p w:rsidR="00AB62D2" w:rsidRDefault="00785FEA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合作企业需求信息</w:t>
            </w:r>
          </w:p>
        </w:tc>
      </w:tr>
      <w:tr w:rsidR="00FB563D" w:rsidTr="00357CA8">
        <w:trPr>
          <w:trHeight w:val="1358"/>
          <w:jc w:val="center"/>
        </w:trPr>
        <w:tc>
          <w:tcPr>
            <w:tcW w:w="549" w:type="dxa"/>
            <w:vAlign w:val="center"/>
          </w:tcPr>
          <w:p w:rsidR="00FB563D" w:rsidRDefault="00FB563D" w:rsidP="00FB56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FB563D" w:rsidRDefault="00FB563D" w:rsidP="00FB56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高职</w:t>
            </w:r>
          </w:p>
        </w:tc>
        <w:tc>
          <w:tcPr>
            <w:tcW w:w="1235" w:type="dxa"/>
            <w:vAlign w:val="center"/>
          </w:tcPr>
          <w:p w:rsidR="00FB563D" w:rsidRDefault="00FB563D" w:rsidP="00FB56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财经商贸</w:t>
            </w:r>
          </w:p>
        </w:tc>
        <w:tc>
          <w:tcPr>
            <w:tcW w:w="1202" w:type="dxa"/>
            <w:vAlign w:val="center"/>
          </w:tcPr>
          <w:p w:rsidR="00FB563D" w:rsidRDefault="00FB563D" w:rsidP="00FB563D">
            <w:pPr>
              <w:rPr>
                <w:rFonts w:ascii="仿宋_GB2312" w:eastAsia="仿宋_GB2312"/>
                <w:sz w:val="24"/>
              </w:rPr>
            </w:pPr>
            <w:r w:rsidRPr="002B2D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GZ-2022050</w:t>
            </w:r>
          </w:p>
        </w:tc>
        <w:tc>
          <w:tcPr>
            <w:tcW w:w="1610" w:type="dxa"/>
            <w:vAlign w:val="center"/>
          </w:tcPr>
          <w:p w:rsidR="00FB563D" w:rsidRDefault="00FB563D" w:rsidP="00FB563D">
            <w:pPr>
              <w:jc w:val="center"/>
              <w:rPr>
                <w:rFonts w:ascii="仿宋_GB2312" w:eastAsia="仿宋_GB2312"/>
                <w:sz w:val="24"/>
              </w:rPr>
            </w:pPr>
            <w:r w:rsidRPr="002B2D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智慧物流作业方案设计与实施</w:t>
            </w:r>
          </w:p>
        </w:tc>
        <w:tc>
          <w:tcPr>
            <w:tcW w:w="1609" w:type="dxa"/>
            <w:vAlign w:val="center"/>
          </w:tcPr>
          <w:p w:rsidR="00FB563D" w:rsidRDefault="00FB563D" w:rsidP="00FB56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天津交通职业学院</w:t>
            </w:r>
          </w:p>
        </w:tc>
        <w:tc>
          <w:tcPr>
            <w:tcW w:w="1778" w:type="dxa"/>
            <w:vAlign w:val="center"/>
          </w:tcPr>
          <w:p w:rsidR="00FB563D" w:rsidRDefault="00FB563D" w:rsidP="00FB56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王文杰</w:t>
            </w:r>
          </w:p>
        </w:tc>
        <w:tc>
          <w:tcPr>
            <w:tcW w:w="2089" w:type="dxa"/>
            <w:vAlign w:val="center"/>
          </w:tcPr>
          <w:p w:rsidR="00FB563D" w:rsidRDefault="00FB563D" w:rsidP="00FB56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3821179574</w:t>
            </w:r>
          </w:p>
        </w:tc>
        <w:tc>
          <w:tcPr>
            <w:tcW w:w="3233" w:type="dxa"/>
          </w:tcPr>
          <w:p w:rsidR="00464DE9" w:rsidRDefault="00464DE9" w:rsidP="001A45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1、合作企业比赛期间需免费提供竞赛规程中规定的软件平台，并负责与赛规要求的硬件设备进行集成对接，比赛期间提供符合要求的技术保障服务。</w:t>
            </w:r>
          </w:p>
          <w:p w:rsidR="00464DE9" w:rsidRDefault="00464DE9" w:rsidP="001A45C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2、合作企业能够配合承办校赛前、赛中、赛后各项技术支持服务，如赛前培训会、赛中技术支持、赛后成果转换等。</w:t>
            </w:r>
          </w:p>
          <w:p w:rsidR="00FB563D" w:rsidRDefault="00464DE9" w:rsidP="001A45C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3、合作企业提供的软硬件及技术平台应符合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大赛官网公布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的2022年全国职业院校技能大赛“智慧物流作业方案设计与实施”赛项及相关技术文件的要求。</w:t>
            </w:r>
          </w:p>
        </w:tc>
      </w:tr>
      <w:tr w:rsidR="00FF19EA" w:rsidTr="00575771">
        <w:trPr>
          <w:trHeight w:val="824"/>
          <w:jc w:val="center"/>
        </w:trPr>
        <w:tc>
          <w:tcPr>
            <w:tcW w:w="549" w:type="dxa"/>
            <w:vAlign w:val="center"/>
          </w:tcPr>
          <w:p w:rsidR="00FF19EA" w:rsidRDefault="00FF19EA" w:rsidP="00FF19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FF19EA" w:rsidRPr="00BC7518" w:rsidRDefault="00FF19EA" w:rsidP="00FF19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C751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235" w:type="dxa"/>
            <w:vAlign w:val="center"/>
          </w:tcPr>
          <w:p w:rsidR="00FF19EA" w:rsidRPr="00BC7518" w:rsidRDefault="00FF19EA" w:rsidP="00FF19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C751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能源动力与材料</w:t>
            </w:r>
          </w:p>
        </w:tc>
        <w:tc>
          <w:tcPr>
            <w:tcW w:w="1202" w:type="dxa"/>
            <w:vAlign w:val="center"/>
          </w:tcPr>
          <w:p w:rsidR="00FF19EA" w:rsidRPr="00BC7518" w:rsidRDefault="00FF19EA" w:rsidP="00FF19EA">
            <w:pPr>
              <w:rPr>
                <w:rFonts w:ascii="仿宋_GB2312" w:eastAsia="仿宋_GB2312"/>
                <w:kern w:val="0"/>
                <w:sz w:val="24"/>
              </w:rPr>
            </w:pPr>
            <w:r w:rsidRPr="00BC751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GZ-2022010</w:t>
            </w:r>
          </w:p>
        </w:tc>
        <w:tc>
          <w:tcPr>
            <w:tcW w:w="1610" w:type="dxa"/>
            <w:vAlign w:val="center"/>
          </w:tcPr>
          <w:p w:rsidR="00FF19EA" w:rsidRPr="00BC7518" w:rsidRDefault="00FF19EA" w:rsidP="00FF19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C751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金属冶炼与设备检修</w:t>
            </w:r>
          </w:p>
        </w:tc>
        <w:tc>
          <w:tcPr>
            <w:tcW w:w="1609" w:type="dxa"/>
            <w:vAlign w:val="center"/>
          </w:tcPr>
          <w:p w:rsidR="00FF19EA" w:rsidRPr="00BC7518" w:rsidRDefault="00FF19EA" w:rsidP="00FF19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C7518">
              <w:rPr>
                <w:rFonts w:ascii="仿宋_GB2312" w:eastAsia="仿宋_GB2312" w:hint="eastAsia"/>
                <w:kern w:val="0"/>
                <w:sz w:val="24"/>
              </w:rPr>
              <w:t>天津工业职业学院</w:t>
            </w:r>
          </w:p>
        </w:tc>
        <w:tc>
          <w:tcPr>
            <w:tcW w:w="1778" w:type="dxa"/>
            <w:vAlign w:val="center"/>
          </w:tcPr>
          <w:p w:rsidR="00FF19EA" w:rsidRPr="00BC7518" w:rsidRDefault="00FF19EA" w:rsidP="00FF19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C7518">
              <w:rPr>
                <w:rFonts w:ascii="仿宋_GB2312" w:eastAsia="仿宋_GB2312" w:hint="eastAsia"/>
                <w:kern w:val="0"/>
                <w:sz w:val="24"/>
              </w:rPr>
              <w:t>梁国勇</w:t>
            </w:r>
          </w:p>
        </w:tc>
        <w:tc>
          <w:tcPr>
            <w:tcW w:w="2089" w:type="dxa"/>
            <w:vAlign w:val="center"/>
          </w:tcPr>
          <w:p w:rsidR="00FF19EA" w:rsidRPr="00BC7518" w:rsidRDefault="00FF19EA" w:rsidP="00FF19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C7518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Pr="00BC7518">
              <w:rPr>
                <w:rFonts w:ascii="仿宋_GB2312" w:eastAsia="仿宋_GB2312"/>
                <w:kern w:val="0"/>
                <w:sz w:val="24"/>
              </w:rPr>
              <w:t>3702003818</w:t>
            </w:r>
          </w:p>
        </w:tc>
        <w:tc>
          <w:tcPr>
            <w:tcW w:w="3233" w:type="dxa"/>
          </w:tcPr>
          <w:p w:rsidR="00FF19EA" w:rsidRPr="00BC7518" w:rsidRDefault="00FF19EA" w:rsidP="00FF19EA">
            <w:pPr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BC751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提供满足赛项规程和相关标准的竞赛平台，按照竞赛模块划分为：</w:t>
            </w:r>
          </w:p>
          <w:p w:rsidR="00FF19EA" w:rsidRPr="00BC7518" w:rsidRDefault="00FF19EA" w:rsidP="00FF19EA">
            <w:pPr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BC751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1.氧气顶底复吹转炉炼钢模块：转炉炼钢仿真系统</w:t>
            </w:r>
          </w:p>
          <w:p w:rsidR="00FF19EA" w:rsidRPr="00BC7518" w:rsidRDefault="00FF19EA" w:rsidP="00FF19EA">
            <w:pPr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BC751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2.铜火</w:t>
            </w:r>
            <w:proofErr w:type="gramStart"/>
            <w:r w:rsidRPr="00BC751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法冶</w:t>
            </w:r>
            <w:proofErr w:type="gramEnd"/>
            <w:r w:rsidRPr="00BC751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炼模块：转炉炼</w:t>
            </w:r>
            <w:r w:rsidRPr="00BC751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lastRenderedPageBreak/>
              <w:t>铜仿真系统和阳极炉仿真系统</w:t>
            </w:r>
          </w:p>
          <w:p w:rsidR="00FF19EA" w:rsidRPr="00BC7518" w:rsidRDefault="00FF19EA" w:rsidP="00FF19EA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C751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3.设备检修与职业素养模块：设备检修装置与考核系统</w:t>
            </w:r>
          </w:p>
        </w:tc>
      </w:tr>
      <w:tr w:rsidR="00FF19EA" w:rsidTr="006C2E17">
        <w:trPr>
          <w:trHeight w:val="1045"/>
          <w:jc w:val="center"/>
        </w:trPr>
        <w:tc>
          <w:tcPr>
            <w:tcW w:w="549" w:type="dxa"/>
            <w:vAlign w:val="center"/>
          </w:tcPr>
          <w:p w:rsidR="00FF19EA" w:rsidRDefault="00FF19EA" w:rsidP="00FF19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4" w:type="dxa"/>
            <w:vAlign w:val="center"/>
          </w:tcPr>
          <w:p w:rsidR="00FF19EA" w:rsidRDefault="00FF19EA" w:rsidP="00FF19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235" w:type="dxa"/>
            <w:vAlign w:val="center"/>
          </w:tcPr>
          <w:p w:rsidR="00FF19EA" w:rsidRDefault="00FF19EA" w:rsidP="00FF19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公共管理与服务</w:t>
            </w:r>
          </w:p>
        </w:tc>
        <w:tc>
          <w:tcPr>
            <w:tcW w:w="1202" w:type="dxa"/>
            <w:vAlign w:val="center"/>
          </w:tcPr>
          <w:p w:rsidR="00FF19EA" w:rsidRDefault="00FF19EA" w:rsidP="00FF19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GZ-2022062</w:t>
            </w:r>
          </w:p>
        </w:tc>
        <w:tc>
          <w:tcPr>
            <w:tcW w:w="1610" w:type="dxa"/>
            <w:vAlign w:val="center"/>
          </w:tcPr>
          <w:p w:rsidR="00FF19EA" w:rsidRDefault="00FF19EA" w:rsidP="00FF19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健康与社会照护</w:t>
            </w:r>
          </w:p>
        </w:tc>
        <w:tc>
          <w:tcPr>
            <w:tcW w:w="1609" w:type="dxa"/>
            <w:vAlign w:val="center"/>
          </w:tcPr>
          <w:p w:rsidR="00FF19EA" w:rsidRDefault="00FF19EA" w:rsidP="00FF19EA">
            <w:pPr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lang w:eastAsia="zh-Hans"/>
              </w:rPr>
              <w:t>天津医学高等专科学校</w:t>
            </w:r>
          </w:p>
        </w:tc>
        <w:tc>
          <w:tcPr>
            <w:tcW w:w="1778" w:type="dxa"/>
            <w:vAlign w:val="center"/>
          </w:tcPr>
          <w:p w:rsidR="00FF19EA" w:rsidRDefault="00FF19EA" w:rsidP="00FF19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徐金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金</w:t>
            </w:r>
            <w:proofErr w:type="gramEnd"/>
          </w:p>
        </w:tc>
        <w:tc>
          <w:tcPr>
            <w:tcW w:w="2089" w:type="dxa"/>
            <w:vAlign w:val="center"/>
          </w:tcPr>
          <w:p w:rsidR="00FF19EA" w:rsidRDefault="00FF19EA" w:rsidP="00FF19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13820079187</w:t>
            </w:r>
          </w:p>
        </w:tc>
        <w:tc>
          <w:tcPr>
            <w:tcW w:w="3233" w:type="dxa"/>
          </w:tcPr>
          <w:p w:rsidR="00FF19EA" w:rsidRDefault="00E51C51" w:rsidP="00E51C51">
            <w:pPr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lang w:eastAsia="zh-Hans"/>
              </w:rPr>
              <w:t>无</w:t>
            </w:r>
          </w:p>
        </w:tc>
      </w:tr>
    </w:tbl>
    <w:p w:rsidR="00A12633" w:rsidRDefault="00A12633" w:rsidP="00A12633">
      <w:pPr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此统计表信息公告期为三个工作日，公告期从2022年5月</w:t>
      </w:r>
      <w:r w:rsidR="008068EF">
        <w:rPr>
          <w:rFonts w:ascii="仿宋_GB2312" w:eastAsia="仿宋_GB2312" w:hAnsi="仿宋_GB2312" w:cs="仿宋_GB2312" w:hint="eastAsia"/>
          <w:sz w:val="24"/>
          <w:szCs w:val="28"/>
        </w:rPr>
        <w:t>1</w:t>
      </w:r>
      <w:r w:rsidR="00D55CD1">
        <w:rPr>
          <w:rFonts w:ascii="仿宋_GB2312" w:eastAsia="仿宋_GB2312" w:hAnsi="仿宋_GB2312" w:cs="仿宋_GB2312" w:hint="eastAsia"/>
          <w:sz w:val="24"/>
          <w:szCs w:val="28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  <w:szCs w:val="28"/>
        </w:rPr>
        <w:t>日开始。</w:t>
      </w:r>
    </w:p>
    <w:p w:rsidR="00AB62D2" w:rsidRPr="00A12633" w:rsidRDefault="00AB62D2"/>
    <w:sectPr w:rsidR="00AB62D2" w:rsidRPr="00A12633">
      <w:footerReference w:type="default" r:id="rId8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F4" w:rsidRDefault="000247F4">
      <w:r>
        <w:separator/>
      </w:r>
    </w:p>
  </w:endnote>
  <w:endnote w:type="continuationSeparator" w:id="0">
    <w:p w:rsidR="000247F4" w:rsidRDefault="0002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D2" w:rsidRDefault="00785FE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62D2" w:rsidRDefault="00785FE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55CD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B62D2" w:rsidRDefault="00785FE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55CD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F4" w:rsidRDefault="000247F4">
      <w:r>
        <w:separator/>
      </w:r>
    </w:p>
  </w:footnote>
  <w:footnote w:type="continuationSeparator" w:id="0">
    <w:p w:rsidR="000247F4" w:rsidRDefault="0002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683B1"/>
    <w:multiLevelType w:val="singleLevel"/>
    <w:tmpl w:val="627683B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4B"/>
    <w:rsid w:val="000247F4"/>
    <w:rsid w:val="00041F92"/>
    <w:rsid w:val="00102E0D"/>
    <w:rsid w:val="001A45CA"/>
    <w:rsid w:val="001B7162"/>
    <w:rsid w:val="001E5582"/>
    <w:rsid w:val="002025F6"/>
    <w:rsid w:val="002C37DE"/>
    <w:rsid w:val="0033687E"/>
    <w:rsid w:val="003603F7"/>
    <w:rsid w:val="00361404"/>
    <w:rsid w:val="003A2635"/>
    <w:rsid w:val="003E6846"/>
    <w:rsid w:val="003F51EF"/>
    <w:rsid w:val="00415228"/>
    <w:rsid w:val="0042660B"/>
    <w:rsid w:val="00433B87"/>
    <w:rsid w:val="00464DE9"/>
    <w:rsid w:val="004B2680"/>
    <w:rsid w:val="004C1A58"/>
    <w:rsid w:val="004E234B"/>
    <w:rsid w:val="0051168F"/>
    <w:rsid w:val="005279D3"/>
    <w:rsid w:val="00527B4A"/>
    <w:rsid w:val="00581655"/>
    <w:rsid w:val="005D3230"/>
    <w:rsid w:val="007132B3"/>
    <w:rsid w:val="0074203B"/>
    <w:rsid w:val="00757F82"/>
    <w:rsid w:val="00765176"/>
    <w:rsid w:val="00785FEA"/>
    <w:rsid w:val="008045A2"/>
    <w:rsid w:val="008068EF"/>
    <w:rsid w:val="008268AC"/>
    <w:rsid w:val="00833C09"/>
    <w:rsid w:val="008462BB"/>
    <w:rsid w:val="008C0F8D"/>
    <w:rsid w:val="008D0591"/>
    <w:rsid w:val="0094497B"/>
    <w:rsid w:val="009C57D6"/>
    <w:rsid w:val="00A05D17"/>
    <w:rsid w:val="00A06E65"/>
    <w:rsid w:val="00A12633"/>
    <w:rsid w:val="00A44939"/>
    <w:rsid w:val="00A97626"/>
    <w:rsid w:val="00AA1DA2"/>
    <w:rsid w:val="00AB62D2"/>
    <w:rsid w:val="00AD2EC8"/>
    <w:rsid w:val="00AF6ECB"/>
    <w:rsid w:val="00B634C8"/>
    <w:rsid w:val="00B8497C"/>
    <w:rsid w:val="00B9191C"/>
    <w:rsid w:val="00BE5B09"/>
    <w:rsid w:val="00C5635E"/>
    <w:rsid w:val="00C62D85"/>
    <w:rsid w:val="00C81FFF"/>
    <w:rsid w:val="00CB5347"/>
    <w:rsid w:val="00CE72C5"/>
    <w:rsid w:val="00D11766"/>
    <w:rsid w:val="00D55CD1"/>
    <w:rsid w:val="00DE73CD"/>
    <w:rsid w:val="00E23FDD"/>
    <w:rsid w:val="00E35EBA"/>
    <w:rsid w:val="00E51C51"/>
    <w:rsid w:val="00E549A4"/>
    <w:rsid w:val="00E94A69"/>
    <w:rsid w:val="00F01138"/>
    <w:rsid w:val="00F02C76"/>
    <w:rsid w:val="00F6290C"/>
    <w:rsid w:val="00F6691C"/>
    <w:rsid w:val="00F80DBF"/>
    <w:rsid w:val="00F87325"/>
    <w:rsid w:val="00FB563D"/>
    <w:rsid w:val="00FF19EA"/>
    <w:rsid w:val="10F002F8"/>
    <w:rsid w:val="2B9B6BAB"/>
    <w:rsid w:val="412A10DF"/>
    <w:rsid w:val="4623330E"/>
    <w:rsid w:val="5CE029ED"/>
    <w:rsid w:val="659A1297"/>
    <w:rsid w:val="6FC33F53"/>
    <w:rsid w:val="72377F63"/>
    <w:rsid w:val="7729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B23E7C-81F5-4B7A-BAAC-6C842B7D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陈斌</dc:creator>
  <cp:lastModifiedBy>Windows User</cp:lastModifiedBy>
  <cp:revision>33</cp:revision>
  <cp:lastPrinted>2022-04-20T06:40:00Z</cp:lastPrinted>
  <dcterms:created xsi:type="dcterms:W3CDTF">2020-10-22T03:53:00Z</dcterms:created>
  <dcterms:modified xsi:type="dcterms:W3CDTF">2022-05-10T08:36:00Z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B44A1540FE294BEC9F80A664CCE2A9C8</vt:lpwstr>
  </property>
</Properties>
</file>