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2022年全国职业院校技能大赛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山西赛区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赛项意向承办校和合作企业需求信息统计表</w:t>
      </w:r>
    </w:p>
    <w:p>
      <w:pPr>
        <w:rPr>
          <w:sz w:val="24"/>
        </w:rPr>
      </w:pPr>
    </w:p>
    <w:tbl>
      <w:tblPr>
        <w:tblStyle w:val="5"/>
        <w:tblW w:w="13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711"/>
        <w:gridCol w:w="1019"/>
        <w:gridCol w:w="1416"/>
        <w:gridCol w:w="1579"/>
        <w:gridCol w:w="1508"/>
        <w:gridCol w:w="969"/>
        <w:gridCol w:w="1699"/>
        <w:gridCol w:w="4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专业大类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赛项编号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赛项名称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申办校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申办校联系人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申办校联系方式</w:t>
            </w:r>
          </w:p>
        </w:tc>
        <w:tc>
          <w:tcPr>
            <w:tcW w:w="4462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  <w:szCs w:val="24"/>
              </w:rPr>
              <w:t>合作企业需求信息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中职组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电子与信息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ZZ-</w:t>
            </w: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022025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物联网技术应用与维护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晋中市职业中专学校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冯学萍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15935691575</w:t>
            </w:r>
          </w:p>
        </w:tc>
        <w:tc>
          <w:tcPr>
            <w:tcW w:w="446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1.合作企业有参与职业院校技能竞赛（国赛、省赛或行业赛等）物联网技术应用与维护赛项的合作经历，提供的设备技术先进、质量稳定，设备价格合理。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.合作企业提供的大赛技术平台可以满足赛项技术规程的要求。</w:t>
            </w:r>
          </w:p>
          <w:p>
            <w:pPr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3.合作企业应具有广泛的校企合作基础，重合同、重质量、重服务、守信用。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中职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装备制造类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ZZ-2022014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电梯维修保养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晋中市职业中专学校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冯学萍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15935691575</w:t>
            </w:r>
          </w:p>
        </w:tc>
        <w:tc>
          <w:tcPr>
            <w:tcW w:w="4462" w:type="dxa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1.合作企业有参与职业院校技能竞赛（国赛、省赛或行业赛等）电梯维修保养赛项的合作经历，提供的设备技术先进、质量稳定，设备价格合理。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.合作企业提供的大赛技术平台可以满足赛项技术规程的要求。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3.合作企业应具有广泛的校企合作基础，重合同、重质量、重服务、守信用。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高职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装备制造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GZ-202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现代电气控制系统安装与调试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山西水利职业技术学院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王红霞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18636801387</w:t>
            </w:r>
          </w:p>
        </w:tc>
        <w:tc>
          <w:tcPr>
            <w:tcW w:w="4462" w:type="dxa"/>
            <w:vAlign w:val="center"/>
          </w:tcPr>
          <w:p>
            <w:pPr>
              <w:pStyle w:val="10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1.需要无偿提供6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套符合赛项竞赛规程所要求的竞赛设备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技术平台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包含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主设备硬件；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（2）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完成竞赛任务所需要的辅助软件工具；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完成竞赛任务所需要的备品及耗材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pStyle w:val="10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2.正式比赛期间需要提供满足竞赛需要的技术保障，包括技术支持等服务。</w:t>
            </w:r>
          </w:p>
          <w:p>
            <w:pPr>
              <w:pStyle w:val="10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3.能够配合承办校完成赛前、赛中和赛后各项承办任务。如赛前说明会、赛后资源转化等。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126" w:rightChars="-60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有参与职业院校技能竞赛（国赛、省赛或行业赛等）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合作经验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注：  此统计表信息公告期为三个工作日，公告期从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日开始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。</w:t>
      </w:r>
    </w:p>
    <w:p/>
    <w:sectPr>
      <w:foot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iN2NkYjBmZDc3YTdmZTBkYmExMmViMmE0ZWU1NzQifQ=="/>
  </w:docVars>
  <w:rsids>
    <w:rsidRoot w:val="004E234B"/>
    <w:rsid w:val="0000443C"/>
    <w:rsid w:val="00041F92"/>
    <w:rsid w:val="00102E0D"/>
    <w:rsid w:val="001B7162"/>
    <w:rsid w:val="001E5582"/>
    <w:rsid w:val="002025F6"/>
    <w:rsid w:val="002C37DE"/>
    <w:rsid w:val="0033687E"/>
    <w:rsid w:val="003603F7"/>
    <w:rsid w:val="00361404"/>
    <w:rsid w:val="003A2635"/>
    <w:rsid w:val="003B2B81"/>
    <w:rsid w:val="003E2E33"/>
    <w:rsid w:val="003E6846"/>
    <w:rsid w:val="003F51EF"/>
    <w:rsid w:val="00415228"/>
    <w:rsid w:val="004B2680"/>
    <w:rsid w:val="004C1A58"/>
    <w:rsid w:val="004C1D1B"/>
    <w:rsid w:val="004E234B"/>
    <w:rsid w:val="0051168F"/>
    <w:rsid w:val="005279D3"/>
    <w:rsid w:val="00527B4A"/>
    <w:rsid w:val="00581655"/>
    <w:rsid w:val="005D3230"/>
    <w:rsid w:val="00631845"/>
    <w:rsid w:val="00666680"/>
    <w:rsid w:val="00672E67"/>
    <w:rsid w:val="007132B3"/>
    <w:rsid w:val="00741765"/>
    <w:rsid w:val="0074203B"/>
    <w:rsid w:val="00744492"/>
    <w:rsid w:val="00757F82"/>
    <w:rsid w:val="00765176"/>
    <w:rsid w:val="00785FEA"/>
    <w:rsid w:val="00824AEE"/>
    <w:rsid w:val="008268AC"/>
    <w:rsid w:val="00833C09"/>
    <w:rsid w:val="008462BB"/>
    <w:rsid w:val="008C0F8D"/>
    <w:rsid w:val="0094497B"/>
    <w:rsid w:val="00A05D17"/>
    <w:rsid w:val="00A06E65"/>
    <w:rsid w:val="00A44939"/>
    <w:rsid w:val="00AA02A6"/>
    <w:rsid w:val="00AB62D2"/>
    <w:rsid w:val="00AD2EC8"/>
    <w:rsid w:val="00AF6ECB"/>
    <w:rsid w:val="00B634C8"/>
    <w:rsid w:val="00B650FE"/>
    <w:rsid w:val="00B8497C"/>
    <w:rsid w:val="00B9191C"/>
    <w:rsid w:val="00BE5B09"/>
    <w:rsid w:val="00BF0B64"/>
    <w:rsid w:val="00C500B3"/>
    <w:rsid w:val="00C5635E"/>
    <w:rsid w:val="00C62D85"/>
    <w:rsid w:val="00C81FFF"/>
    <w:rsid w:val="00CB5347"/>
    <w:rsid w:val="00CE72C5"/>
    <w:rsid w:val="00D11766"/>
    <w:rsid w:val="00D15685"/>
    <w:rsid w:val="00DD73BC"/>
    <w:rsid w:val="00DE73CD"/>
    <w:rsid w:val="00E23FDD"/>
    <w:rsid w:val="00E35EBA"/>
    <w:rsid w:val="00E94A69"/>
    <w:rsid w:val="00F01138"/>
    <w:rsid w:val="00F02C76"/>
    <w:rsid w:val="00F6691C"/>
    <w:rsid w:val="00F87325"/>
    <w:rsid w:val="020D69EB"/>
    <w:rsid w:val="10F002F8"/>
    <w:rsid w:val="20DC0605"/>
    <w:rsid w:val="2B9B6BAB"/>
    <w:rsid w:val="412A10DF"/>
    <w:rsid w:val="4623330E"/>
    <w:rsid w:val="5CE029ED"/>
    <w:rsid w:val="5FFFEA0A"/>
    <w:rsid w:val="659A1297"/>
    <w:rsid w:val="6FC33F53"/>
    <w:rsid w:val="72377F63"/>
    <w:rsid w:val="77294411"/>
    <w:rsid w:val="7FFD37D8"/>
    <w:rsid w:val="D75F4E9B"/>
    <w:rsid w:val="FF6FE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0">
    <w:name w:val="缩进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643</Words>
  <Characters>714</Characters>
  <Lines>3</Lines>
  <Paragraphs>1</Paragraphs>
  <TotalTime>3</TotalTime>
  <ScaleCrop>false</ScaleCrop>
  <LinksUpToDate>false</LinksUpToDate>
  <CharactersWithSpaces>716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2022-05-06T00:00:00Z</dcterms:created>
  <dc:creator>陈斌</dc:creator>
  <cp:lastModifiedBy>冰山一角</cp:lastModifiedBy>
  <cp:lastPrinted>2022-04-20T22:40:00Z</cp:lastPrinted>
  <dcterms:modified xsi:type="dcterms:W3CDTF">2022-05-06T02:56:32Z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B44A1540FE294BEC9F80A664CCE2A9C8</vt:lpwstr>
  </property>
</Properties>
</file>