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rPr>
          <w:sz w:val="24"/>
        </w:rPr>
      </w:pPr>
    </w:p>
    <w:tbl>
      <w:tblPr>
        <w:tblStyle w:val="5"/>
        <w:tblW w:w="14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52"/>
        <w:gridCol w:w="1213"/>
        <w:gridCol w:w="1416"/>
        <w:gridCol w:w="1591"/>
        <w:gridCol w:w="1576"/>
        <w:gridCol w:w="1085"/>
        <w:gridCol w:w="1636"/>
        <w:gridCol w:w="4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6" w:type="dxa"/>
            <w:vAlign w:val="center"/>
          </w:tcPr>
          <w:p>
            <w:pPr>
              <w:jc w:val="center"/>
              <w:rPr>
                <w:rFonts w:ascii="仿宋_GB2312" w:hAnsi="黑体" w:eastAsia="仿宋_GB2312"/>
                <w:b/>
                <w:bCs/>
                <w:sz w:val="24"/>
                <w:szCs w:val="24"/>
              </w:rPr>
            </w:pPr>
            <w:r>
              <w:rPr>
                <w:rFonts w:hint="eastAsia" w:ascii="仿宋_GB2312" w:hAnsi="黑体" w:eastAsia="仿宋_GB2312" w:cs="宋体"/>
                <w:b/>
                <w:bCs/>
                <w:color w:val="000000"/>
                <w:kern w:val="0"/>
                <w:sz w:val="24"/>
                <w:szCs w:val="24"/>
              </w:rPr>
              <w:t>序号</w:t>
            </w:r>
          </w:p>
        </w:tc>
        <w:tc>
          <w:tcPr>
            <w:tcW w:w="852" w:type="dxa"/>
            <w:vAlign w:val="center"/>
          </w:tcPr>
          <w:p>
            <w:pPr>
              <w:jc w:val="center"/>
              <w:rPr>
                <w:rFonts w:ascii="仿宋_GB2312" w:hAnsi="黑体" w:eastAsia="仿宋_GB2312"/>
                <w:b/>
                <w:bCs/>
                <w:sz w:val="24"/>
                <w:szCs w:val="24"/>
              </w:rPr>
            </w:pPr>
            <w:r>
              <w:rPr>
                <w:rFonts w:hint="eastAsia" w:ascii="仿宋_GB2312" w:hAnsi="黑体" w:eastAsia="仿宋_GB2312" w:cs="宋体"/>
                <w:b/>
                <w:bCs/>
                <w:color w:val="000000"/>
                <w:kern w:val="0"/>
                <w:sz w:val="24"/>
                <w:szCs w:val="24"/>
              </w:rPr>
              <w:t>组别</w:t>
            </w:r>
          </w:p>
        </w:tc>
        <w:tc>
          <w:tcPr>
            <w:tcW w:w="1213" w:type="dxa"/>
            <w:vAlign w:val="center"/>
          </w:tcPr>
          <w:p>
            <w:pPr>
              <w:jc w:val="center"/>
              <w:rPr>
                <w:rFonts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专业大类</w:t>
            </w:r>
          </w:p>
        </w:tc>
        <w:tc>
          <w:tcPr>
            <w:tcW w:w="1416" w:type="dxa"/>
            <w:vAlign w:val="center"/>
          </w:tcPr>
          <w:p>
            <w:pPr>
              <w:jc w:val="center"/>
              <w:rPr>
                <w:rFonts w:ascii="仿宋_GB2312" w:hAnsi="黑体" w:eastAsia="仿宋_GB2312"/>
                <w:b/>
                <w:bCs/>
                <w:sz w:val="24"/>
                <w:szCs w:val="24"/>
              </w:rPr>
            </w:pPr>
            <w:r>
              <w:rPr>
                <w:rFonts w:hint="eastAsia" w:ascii="仿宋_GB2312" w:hAnsi="黑体" w:eastAsia="仿宋_GB2312" w:cs="宋体"/>
                <w:b/>
                <w:bCs/>
                <w:color w:val="000000"/>
                <w:kern w:val="0"/>
                <w:sz w:val="24"/>
                <w:szCs w:val="24"/>
              </w:rPr>
              <w:t>赛项编号</w:t>
            </w:r>
          </w:p>
        </w:tc>
        <w:tc>
          <w:tcPr>
            <w:tcW w:w="1591" w:type="dxa"/>
            <w:vAlign w:val="center"/>
          </w:tcPr>
          <w:p>
            <w:pPr>
              <w:jc w:val="center"/>
              <w:rPr>
                <w:rFonts w:ascii="仿宋_GB2312" w:hAnsi="黑体" w:eastAsia="仿宋_GB2312"/>
                <w:b/>
                <w:bCs/>
                <w:sz w:val="24"/>
                <w:szCs w:val="24"/>
              </w:rPr>
            </w:pPr>
            <w:r>
              <w:rPr>
                <w:rFonts w:hint="eastAsia" w:ascii="仿宋_GB2312" w:hAnsi="黑体" w:eastAsia="仿宋_GB2312" w:cs="宋体"/>
                <w:b/>
                <w:bCs/>
                <w:color w:val="000000"/>
                <w:kern w:val="0"/>
                <w:sz w:val="24"/>
                <w:szCs w:val="24"/>
              </w:rPr>
              <w:t>赛项名称</w:t>
            </w:r>
          </w:p>
        </w:tc>
        <w:tc>
          <w:tcPr>
            <w:tcW w:w="1576" w:type="dxa"/>
            <w:vAlign w:val="center"/>
          </w:tcPr>
          <w:p>
            <w:pPr>
              <w:jc w:val="center"/>
              <w:rPr>
                <w:rFonts w:ascii="仿宋_GB2312" w:hAnsi="黑体" w:eastAsia="仿宋_GB2312"/>
                <w:b/>
                <w:bCs/>
                <w:sz w:val="24"/>
                <w:szCs w:val="24"/>
              </w:rPr>
            </w:pPr>
            <w:r>
              <w:rPr>
                <w:rFonts w:hint="eastAsia" w:ascii="仿宋_GB2312" w:hAnsi="黑体" w:eastAsia="仿宋_GB2312" w:cs="宋体"/>
                <w:b/>
                <w:bCs/>
                <w:color w:val="000000"/>
                <w:kern w:val="0"/>
                <w:sz w:val="24"/>
                <w:szCs w:val="24"/>
              </w:rPr>
              <w:t>申办校</w:t>
            </w:r>
          </w:p>
        </w:tc>
        <w:tc>
          <w:tcPr>
            <w:tcW w:w="1085" w:type="dxa"/>
            <w:vAlign w:val="center"/>
          </w:tcPr>
          <w:p>
            <w:pPr>
              <w:jc w:val="center"/>
              <w:rPr>
                <w:rFonts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申办校联系人</w:t>
            </w:r>
          </w:p>
        </w:tc>
        <w:tc>
          <w:tcPr>
            <w:tcW w:w="1636" w:type="dxa"/>
            <w:vAlign w:val="center"/>
          </w:tcPr>
          <w:p>
            <w:pPr>
              <w:jc w:val="center"/>
              <w:rPr>
                <w:rFonts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申办校联系方式</w:t>
            </w:r>
          </w:p>
        </w:tc>
        <w:tc>
          <w:tcPr>
            <w:tcW w:w="4863" w:type="dxa"/>
            <w:vAlign w:val="center"/>
          </w:tcPr>
          <w:p>
            <w:pPr>
              <w:jc w:val="center"/>
              <w:rPr>
                <w:rFonts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仿宋_GB2312" w:eastAsia="仿宋_GB2312"/>
                <w:sz w:val="21"/>
                <w:szCs w:val="21"/>
              </w:rPr>
            </w:pPr>
            <w:r>
              <w:rPr>
                <w:rFonts w:hint="eastAsia" w:ascii="仿宋_GB2312" w:hAnsi="宋体" w:eastAsia="仿宋_GB2312" w:cs="宋体"/>
                <w:kern w:val="0"/>
                <w:sz w:val="21"/>
                <w:szCs w:val="21"/>
              </w:rPr>
              <w:t>1</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高职组</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电子信息</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ascii="仿宋_GB2312" w:eastAsia="仿宋_GB2312"/>
                <w:sz w:val="21"/>
                <w:szCs w:val="21"/>
              </w:rPr>
            </w:pPr>
            <w:r>
              <w:rPr>
                <w:rFonts w:hint="eastAsia" w:ascii="仿宋_GB2312" w:eastAsia="仿宋_GB2312"/>
                <w:sz w:val="21"/>
                <w:szCs w:val="21"/>
              </w:rPr>
              <w:t>GZ-2022037</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仿宋_GB2312" w:eastAsia="仿宋_GB2312"/>
                <w:sz w:val="21"/>
                <w:szCs w:val="21"/>
                <w:lang w:val="en-US" w:eastAsia="zh-CN"/>
              </w:rPr>
            </w:pPr>
            <w:r>
              <w:rPr>
                <w:rFonts w:hint="eastAsia" w:ascii="仿宋_GB2312" w:eastAsia="仿宋_GB2312"/>
                <w:sz w:val="21"/>
                <w:szCs w:val="21"/>
                <w:lang w:eastAsia="zh-CN"/>
              </w:rPr>
              <w:t>虚拟现实（</w:t>
            </w:r>
            <w:r>
              <w:rPr>
                <w:rFonts w:hint="eastAsia" w:ascii="仿宋_GB2312" w:eastAsia="仿宋_GB2312"/>
                <w:sz w:val="21"/>
                <w:szCs w:val="21"/>
                <w:lang w:val="en-US" w:eastAsia="zh-CN"/>
              </w:rPr>
              <w:t>VR）设计与制作</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福建船政交通职业学院</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lang w:eastAsia="zh-CN"/>
              </w:rPr>
              <w:t>黄炳乐</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仿宋_GB2312" w:eastAsia="仿宋_GB2312"/>
                <w:sz w:val="21"/>
                <w:szCs w:val="21"/>
                <w:lang w:val="en-US" w:eastAsia="zh-CN"/>
              </w:rPr>
            </w:pPr>
            <w:r>
              <w:rPr>
                <w:rFonts w:hint="eastAsia" w:ascii="仿宋_GB2312" w:eastAsia="仿宋_GB2312"/>
                <w:sz w:val="21"/>
                <w:szCs w:val="21"/>
                <w:lang w:val="en-US" w:eastAsia="zh-CN"/>
              </w:rPr>
              <w:t>13950391949</w:t>
            </w:r>
          </w:p>
        </w:tc>
        <w:tc>
          <w:tcPr>
            <w:tcW w:w="4863" w:type="dxa"/>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1、符合企业准入条件；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2、</w:t>
            </w:r>
            <w:r>
              <w:rPr>
                <w:rFonts w:hint="eastAsia" w:ascii="仿宋_GB2312" w:eastAsia="仿宋_GB2312"/>
                <w:sz w:val="21"/>
                <w:szCs w:val="21"/>
                <w:lang w:val="en-US" w:eastAsia="zh-CN"/>
              </w:rPr>
              <w:t>提供的技术平台必须满足赛项规程规定的技术要求</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3、</w:t>
            </w:r>
            <w:r>
              <w:rPr>
                <w:rFonts w:hint="eastAsia" w:ascii="仿宋_GB2312" w:eastAsia="仿宋_GB2312"/>
                <w:sz w:val="21"/>
                <w:szCs w:val="21"/>
                <w:lang w:val="en-US" w:eastAsia="zh-CN"/>
              </w:rPr>
              <w:t>提供的技术平台必须与申报赛项相匹配且运行安全、稳定、可靠</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4、</w:t>
            </w:r>
            <w:r>
              <w:rPr>
                <w:rFonts w:hint="eastAsia" w:ascii="仿宋_GB2312" w:eastAsia="仿宋_GB2312"/>
                <w:sz w:val="21"/>
                <w:szCs w:val="21"/>
                <w:lang w:val="en-US" w:eastAsia="zh-CN"/>
              </w:rPr>
              <w:t>必须保证竞赛器材供应及时</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高职组</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财经商贸</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GZ-2022047</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关务技能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厦门城市职业学院</w:t>
            </w:r>
          </w:p>
        </w:tc>
        <w:tc>
          <w:tcPr>
            <w:tcW w:w="1085"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eastAsia="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eastAsia="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柯庆辉</w:t>
            </w:r>
          </w:p>
        </w:tc>
        <w:tc>
          <w:tcPr>
            <w:tcW w:w="1636"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eastAsia="zh-CN"/>
              </w:rPr>
              <w:t>13779942600</w:t>
            </w:r>
          </w:p>
        </w:tc>
        <w:tc>
          <w:tcPr>
            <w:tcW w:w="4863"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highlight w:val="yellow"/>
                <w:lang w:eastAsia="zh-CN"/>
              </w:rPr>
            </w:pPr>
            <w:r>
              <w:rPr>
                <w:rFonts w:hint="eastAsia" w:ascii="仿宋_GB2312" w:eastAsia="仿宋_GB2312"/>
                <w:sz w:val="21"/>
                <w:szCs w:val="21"/>
                <w:lang w:eastAsia="zh-CN"/>
              </w:rPr>
              <w:t>1、实际报关报</w:t>
            </w:r>
            <w:r>
              <w:rPr>
                <w:rFonts w:hint="eastAsia" w:ascii="仿宋_GB2312" w:eastAsia="仿宋_GB2312"/>
                <w:sz w:val="21"/>
                <w:szCs w:val="21"/>
                <w:highlight w:val="none"/>
                <w:lang w:eastAsia="zh-CN"/>
              </w:rPr>
              <w:t>检企业，年报关报检服务收入1000万元以上。</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eastAsia="仿宋_GB2312"/>
                <w:sz w:val="21"/>
                <w:szCs w:val="21"/>
                <w:lang w:eastAsia="zh-CN"/>
              </w:rPr>
            </w:pPr>
            <w:r>
              <w:rPr>
                <w:rFonts w:hint="eastAsia" w:ascii="仿宋_GB2312" w:eastAsia="仿宋_GB2312"/>
                <w:sz w:val="21"/>
                <w:szCs w:val="21"/>
                <w:lang w:eastAsia="zh-CN"/>
              </w:rPr>
              <w:t>2、具备多年的报关培训经历，并拥有关务培训教学与竞赛软件平台，承担过省级以上关务大赛。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ascii="仿宋_GB2312" w:eastAsia="仿宋_GB2312"/>
                <w:sz w:val="21"/>
                <w:szCs w:val="21"/>
              </w:rPr>
              <w:t>中职组</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rPr>
              <w:t>土木建筑类</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eastAsia="仿宋_GB2312"/>
                <w:sz w:val="21"/>
                <w:szCs w:val="21"/>
              </w:rPr>
            </w:pPr>
            <w:r>
              <w:rPr>
                <w:rFonts w:hint="eastAsia" w:ascii="Times New Roman" w:hAnsi="Times New Roman" w:eastAsia="仿宋_GB2312" w:cs="仿宋_GB2312"/>
                <w:spacing w:val="-4"/>
                <w:kern w:val="0"/>
                <w:sz w:val="21"/>
                <w:szCs w:val="21"/>
                <w:lang w:bidi="zh-CN"/>
              </w:rPr>
              <w:t>ZZ-2022006</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rPr>
              <w:t>建筑智能化系统安装与调试</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rPr>
              <w:t>漳州高新职业技术学校</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eastAsia="zh-CN"/>
              </w:rPr>
            </w:pPr>
            <w:r>
              <w:rPr>
                <w:rFonts w:hint="eastAsia" w:ascii="仿宋_GB2312" w:eastAsia="仿宋_GB2312"/>
                <w:sz w:val="21"/>
                <w:szCs w:val="21"/>
              </w:rPr>
              <w:t>纪霖</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eastAsia="仿宋_GB2312"/>
                <w:sz w:val="21"/>
                <w:szCs w:val="21"/>
                <w:lang w:val="en-US" w:eastAsia="zh-CN"/>
              </w:rPr>
            </w:pPr>
            <w:r>
              <w:rPr>
                <w:rFonts w:ascii="仿宋_GB2312" w:eastAsia="仿宋_GB2312"/>
                <w:sz w:val="21"/>
                <w:szCs w:val="21"/>
              </w:rPr>
              <w:t>15859695648</w:t>
            </w:r>
          </w:p>
        </w:tc>
        <w:tc>
          <w:tcPr>
            <w:tcW w:w="48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仿宋_GB2312" w:eastAsia="仿宋_GB2312"/>
                <w:sz w:val="21"/>
                <w:szCs w:val="21"/>
                <w:lang w:eastAsia="zh-CN"/>
              </w:rPr>
            </w:pPr>
            <w:r>
              <w:rPr>
                <w:rFonts w:hint="eastAsia" w:ascii="仿宋_GB2312" w:eastAsia="仿宋_GB2312"/>
                <w:b/>
                <w:bCs/>
                <w:sz w:val="21"/>
                <w:szCs w:val="21"/>
              </w:rPr>
              <w:t>1.</w:t>
            </w:r>
            <w:r>
              <w:rPr>
                <w:rFonts w:hint="eastAsia" w:ascii="仿宋_GB2312" w:eastAsia="仿宋_GB2312"/>
                <w:sz w:val="21"/>
                <w:szCs w:val="21"/>
              </w:rPr>
              <w:t>合作企业须是独立法人，能够提供满足赛项所需的产品和服务。</w:t>
            </w:r>
            <w:r>
              <w:rPr>
                <w:rFonts w:hint="eastAsia" w:ascii="仿宋_GB2312" w:eastAsia="仿宋_GB2312"/>
                <w:b/>
                <w:bCs/>
                <w:sz w:val="21"/>
                <w:szCs w:val="21"/>
              </w:rPr>
              <w:t>2.</w:t>
            </w:r>
            <w:r>
              <w:rPr>
                <w:rFonts w:hint="eastAsia" w:ascii="仿宋_GB2312" w:eastAsia="仿宋_GB2312"/>
                <w:sz w:val="21"/>
                <w:szCs w:val="21"/>
              </w:rPr>
              <w:t>合作企业须注册三年及以上，是规模以上或省级以上产教融合型企业，有广泛、深度的校企合作基础，原则上是生产性、服务性实体企业。</w:t>
            </w:r>
            <w:r>
              <w:rPr>
                <w:rFonts w:hint="eastAsia" w:ascii="仿宋_GB2312" w:eastAsia="仿宋_GB2312"/>
                <w:b/>
                <w:bCs/>
                <w:sz w:val="21"/>
                <w:szCs w:val="21"/>
              </w:rPr>
              <w:t>3.</w:t>
            </w:r>
            <w:r>
              <w:rPr>
                <w:rFonts w:hint="eastAsia" w:ascii="仿宋_GB2312" w:eastAsia="仿宋_GB2312"/>
                <w:sz w:val="21"/>
                <w:szCs w:val="21"/>
              </w:rPr>
              <w:t>合作企业须有较好的资信，运营良好，无不良借贷记录、无重大经济和知识产权纠纷、无恶意拖欠款等行为。</w:t>
            </w:r>
            <w:r>
              <w:rPr>
                <w:rFonts w:hint="eastAsia" w:ascii="仿宋_GB2312" w:eastAsia="仿宋_GB2312"/>
                <w:b/>
                <w:bCs/>
                <w:sz w:val="21"/>
                <w:szCs w:val="21"/>
              </w:rPr>
              <w:t>4.</w:t>
            </w:r>
            <w:r>
              <w:rPr>
                <w:rFonts w:hint="eastAsia" w:ascii="仿宋_GB2312" w:eastAsia="仿宋_GB2312"/>
                <w:sz w:val="21"/>
                <w:szCs w:val="21"/>
              </w:rPr>
              <w:t>合作企业须近三年在经营活动和参与全国职业院校技</w:t>
            </w:r>
            <w:bookmarkStart w:id="0" w:name="_GoBack"/>
            <w:bookmarkEnd w:id="0"/>
            <w:r>
              <w:rPr>
                <w:rFonts w:hint="eastAsia" w:ascii="仿宋_GB2312" w:eastAsia="仿宋_GB2312"/>
                <w:sz w:val="21"/>
                <w:szCs w:val="21"/>
              </w:rPr>
              <w:t>能大赛中，没有违法违规和失信记录，没有违反大赛制度等行为。</w:t>
            </w:r>
            <w:r>
              <w:rPr>
                <w:rFonts w:hint="eastAsia" w:ascii="仿宋_GB2312" w:eastAsia="仿宋_GB2312"/>
                <w:b/>
                <w:bCs/>
                <w:sz w:val="21"/>
                <w:szCs w:val="21"/>
              </w:rPr>
              <w:t>5.</w:t>
            </w:r>
            <w:r>
              <w:rPr>
                <w:rFonts w:hint="eastAsia" w:ascii="仿宋_GB2312" w:eastAsia="仿宋_GB2312"/>
                <w:sz w:val="21"/>
                <w:szCs w:val="21"/>
              </w:rPr>
              <w:t>合作企业有参与全国职业院校技能大赛中职组“建筑智能化系统安装与调试”赛项国赛和省赛的合作经历，提供的设备技术先进、质量稳定，设备价格合理，技术平台满足竞赛规程的技术要求。</w:t>
            </w:r>
            <w:r>
              <w:rPr>
                <w:rFonts w:hint="eastAsia" w:ascii="仿宋_GB2312" w:eastAsia="仿宋_GB2312"/>
                <w:b/>
                <w:bCs/>
                <w:sz w:val="21"/>
                <w:szCs w:val="21"/>
              </w:rPr>
              <w:t>6.</w:t>
            </w:r>
            <w:r>
              <w:rPr>
                <w:rFonts w:hint="eastAsia" w:ascii="仿宋_GB2312" w:eastAsia="仿宋_GB2312"/>
                <w:sz w:val="21"/>
                <w:szCs w:val="21"/>
              </w:rPr>
              <w:t>竞赛技术平台须具有自主知识产权或依法享有知识产权的独占权与授予权，无法院未审结的知识产权纠纷案。</w:t>
            </w:r>
            <w:r>
              <w:rPr>
                <w:rFonts w:hint="eastAsia" w:ascii="仿宋_GB2312" w:eastAsia="仿宋_GB2312"/>
                <w:b/>
                <w:bCs/>
                <w:sz w:val="21"/>
                <w:szCs w:val="21"/>
              </w:rPr>
              <w:t>7.</w:t>
            </w:r>
            <w:r>
              <w:rPr>
                <w:rFonts w:hint="eastAsia" w:ascii="仿宋_GB2312" w:eastAsia="仿宋_GB2312"/>
                <w:sz w:val="21"/>
                <w:szCs w:val="21"/>
              </w:rPr>
              <w:t>竞赛技术平台与设备在院校使用的普及度高。</w:t>
            </w:r>
          </w:p>
        </w:tc>
      </w:tr>
    </w:tbl>
    <w:p>
      <w:pPr>
        <w:rPr>
          <w:rFonts w:hint="eastAsia" w:eastAsia="宋体"/>
          <w:lang w:eastAsia="zh-CN"/>
        </w:rPr>
      </w:pPr>
      <w:r>
        <w:rPr>
          <w:rFonts w:ascii="宋体" w:hAnsi="宋体" w:eastAsia="宋体" w:cs="宋体"/>
          <w:sz w:val="24"/>
          <w:szCs w:val="24"/>
        </w:rPr>
        <w:t>此统计表信息公告期为三个工作日，公告期从</w:t>
      </w:r>
      <w:r>
        <w:rPr>
          <w:rFonts w:hint="eastAsia" w:ascii="宋体" w:hAnsi="宋体" w:eastAsia="宋体" w:cs="宋体"/>
          <w:sz w:val="24"/>
          <w:szCs w:val="24"/>
          <w:lang w:val="en-US" w:eastAsia="zh-CN"/>
        </w:rPr>
        <w:t>2022年5月5</w:t>
      </w:r>
      <w:r>
        <w:rPr>
          <w:rFonts w:ascii="宋体" w:hAnsi="宋体" w:eastAsia="宋体" w:cs="宋体"/>
          <w:sz w:val="24"/>
          <w:szCs w:val="24"/>
        </w:rPr>
        <w:t>日开始</w:t>
      </w:r>
      <w:r>
        <w:rPr>
          <w:rFonts w:hint="eastAsia" w:ascii="宋体" w:hAnsi="宋体" w:eastAsia="宋体" w:cs="宋体"/>
          <w:sz w:val="24"/>
          <w:szCs w:val="24"/>
          <w:lang w:eastAsia="zh-CN"/>
        </w:rPr>
        <w:t>。</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OWE4N2I1Y2IwYzY2YjM1MDZhYTBjMjk5YmQ0OGYifQ=="/>
  </w:docVars>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3650371"/>
    <w:rsid w:val="10F002F8"/>
    <w:rsid w:val="204747AC"/>
    <w:rsid w:val="21186DAE"/>
    <w:rsid w:val="2A7F0B87"/>
    <w:rsid w:val="2B9B6BAB"/>
    <w:rsid w:val="412A10DF"/>
    <w:rsid w:val="4623330E"/>
    <w:rsid w:val="4B52182A"/>
    <w:rsid w:val="4E53794F"/>
    <w:rsid w:val="5CE029ED"/>
    <w:rsid w:val="6049628C"/>
    <w:rsid w:val="659A1297"/>
    <w:rsid w:val="6FC33F53"/>
    <w:rsid w:val="72377F63"/>
    <w:rsid w:val="77294411"/>
    <w:rsid w:val="7D4D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Words>
  <Characters>106</Characters>
  <Lines>1</Lines>
  <Paragraphs>1</Paragraphs>
  <TotalTime>6</TotalTime>
  <ScaleCrop>false</ScaleCrop>
  <LinksUpToDate>false</LinksUpToDate>
  <CharactersWithSpaces>123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刘晓辉</cp:lastModifiedBy>
  <cp:lastPrinted>2022-04-27T06:29:00Z</cp:lastPrinted>
  <dcterms:modified xsi:type="dcterms:W3CDTF">2022-05-05T02:00:39Z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ies>
</file>