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8C458C5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4D3B7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07AC6FCB" w14:textId="547A70B2" w:rsidR="00CB72D9" w:rsidRDefault="00CB72D9" w:rsidP="00CB72D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C45825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1B1F" w14:textId="77777777" w:rsidR="00863674" w:rsidRDefault="00863674" w:rsidP="00A87C9F">
      <w:r>
        <w:separator/>
      </w:r>
    </w:p>
  </w:endnote>
  <w:endnote w:type="continuationSeparator" w:id="0">
    <w:p w14:paraId="06889913" w14:textId="77777777" w:rsidR="00863674" w:rsidRDefault="00863674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8096" w14:textId="77777777" w:rsidR="00863674" w:rsidRDefault="00863674" w:rsidP="00A87C9F">
      <w:r>
        <w:separator/>
      </w:r>
    </w:p>
  </w:footnote>
  <w:footnote w:type="continuationSeparator" w:id="0">
    <w:p w14:paraId="155C9CF5" w14:textId="77777777" w:rsidR="00863674" w:rsidRDefault="00863674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B79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3B8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63674"/>
    <w:rsid w:val="008701E3"/>
    <w:rsid w:val="00871867"/>
    <w:rsid w:val="00880A93"/>
    <w:rsid w:val="0088396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45825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B72D9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2021-12-06T18:04:00Z</dcterms:modified>
</cp:coreProperties>
</file>