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3B5C2E85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AD4D65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7CEE6DCF" w14:textId="77777777" w:rsidR="003E7644" w:rsidRPr="0043356F" w:rsidRDefault="003E7644" w:rsidP="003E764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43356F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(样题5)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7037C" w14:textId="77777777" w:rsidR="00326F2B" w:rsidRDefault="00326F2B" w:rsidP="00A87C9F">
      <w:r>
        <w:separator/>
      </w:r>
    </w:p>
  </w:endnote>
  <w:endnote w:type="continuationSeparator" w:id="0">
    <w:p w14:paraId="5300A99C" w14:textId="77777777" w:rsidR="00326F2B" w:rsidRDefault="00326F2B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C91CE" w14:textId="77777777" w:rsidR="00326F2B" w:rsidRDefault="00326F2B" w:rsidP="00A87C9F">
      <w:r>
        <w:separator/>
      </w:r>
    </w:p>
  </w:footnote>
  <w:footnote w:type="continuationSeparator" w:id="0">
    <w:p w14:paraId="328E7EED" w14:textId="77777777" w:rsidR="00326F2B" w:rsidRDefault="00326F2B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699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26F2B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3E04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E7644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D4D65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DF37C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2021-12-06T17:55:00Z</dcterms:modified>
</cp:coreProperties>
</file>