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 w:cs="仿宋_GB2312"/>
          <w:b/>
          <w:bCs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sz w:val="36"/>
          <w:szCs w:val="36"/>
        </w:rPr>
        <w:t>关于2019年全国职业院校技能大赛</w:t>
      </w:r>
    </w:p>
    <w:p>
      <w:pPr>
        <w:spacing w:line="540" w:lineRule="exact"/>
        <w:jc w:val="center"/>
        <w:rPr>
          <w:rFonts w:ascii="黑体" w:hAnsi="黑体" w:eastAsia="黑体" w:cs="仿宋_GB2312"/>
          <w:b/>
          <w:bCs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sz w:val="36"/>
          <w:szCs w:val="36"/>
        </w:rPr>
        <w:t>金属冶炼与设备检修</w:t>
      </w:r>
    </w:p>
    <w:p>
      <w:pPr>
        <w:spacing w:line="540" w:lineRule="exact"/>
        <w:jc w:val="center"/>
        <w:rPr>
          <w:rFonts w:ascii="黑体" w:hAnsi="黑体" w:eastAsia="黑体" w:cs="仿宋_GB2312"/>
          <w:b/>
          <w:bCs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sz w:val="36"/>
          <w:szCs w:val="36"/>
        </w:rPr>
        <w:t>赛项</w:t>
      </w:r>
      <w:r>
        <w:rPr>
          <w:rFonts w:hint="eastAsia" w:ascii="黑体" w:hAnsi="黑体" w:eastAsia="黑体" w:cs="仿宋"/>
          <w:b/>
          <w:color w:val="000000"/>
          <w:sz w:val="36"/>
          <w:szCs w:val="36"/>
        </w:rPr>
        <w:t>（高职组）</w:t>
      </w:r>
      <w:r>
        <w:rPr>
          <w:rFonts w:hint="eastAsia" w:ascii="黑体" w:hAnsi="黑体" w:eastAsia="黑体" w:cs="仿宋_GB2312"/>
          <w:b/>
          <w:bCs/>
          <w:sz w:val="36"/>
          <w:szCs w:val="36"/>
        </w:rPr>
        <w:t>比赛（报到）的通知</w:t>
      </w:r>
    </w:p>
    <w:p>
      <w:pPr>
        <w:pStyle w:val="5"/>
        <w:widowControl/>
        <w:spacing w:before="0" w:beforeAutospacing="0" w:after="0" w:afterAutospacing="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各省、自治区、直辖市教育厅（教委），各计划单列市教育局，新疆生产建设兵团教育局：</w:t>
      </w:r>
    </w:p>
    <w:p>
      <w:pPr>
        <w:pStyle w:val="5"/>
        <w:widowControl/>
        <w:spacing w:before="0" w:beforeAutospacing="0" w:after="0" w:afterAutospacing="0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2019年全国职业院校技能大赛金属冶炼与设备检修赛项（高职组）将于2019年5月17-18日在天津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工业职业学院举行，现将有关事宜通知如下：</w:t>
      </w:r>
    </w:p>
    <w:p>
      <w:pPr>
        <w:pStyle w:val="5"/>
        <w:widowControl/>
        <w:numPr>
          <w:ilvl w:val="0"/>
          <w:numId w:val="1"/>
        </w:numPr>
        <w:spacing w:before="0" w:beforeAutospacing="0" w:after="0" w:afterAutospacing="0"/>
        <w:ind w:firstLine="602" w:firstLineChars="200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报到时间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报到时间：</w:t>
      </w:r>
      <w:r>
        <w:rPr>
          <w:rFonts w:hint="eastAsia" w:ascii="仿宋" w:hAnsi="仿宋" w:eastAsia="仿宋" w:cs="仿宋"/>
          <w:sz w:val="30"/>
          <w:szCs w:val="30"/>
        </w:rPr>
        <w:t>5月16日14点之前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到达天津万源龙顺度假庄园接待中心。</w:t>
      </w:r>
    </w:p>
    <w:p>
      <w:pPr>
        <w:numPr>
          <w:ilvl w:val="0"/>
          <w:numId w:val="1"/>
        </w:numPr>
        <w:ind w:firstLine="602" w:firstLineChars="200"/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报到地点</w:t>
      </w:r>
    </w:p>
    <w:p>
      <w:pPr>
        <w:ind w:firstLine="426" w:firstLineChars="142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报到地点：天津万源龙顺度假庄园接待中心</w:t>
      </w:r>
    </w:p>
    <w:p>
      <w:pPr>
        <w:ind w:firstLine="426" w:firstLineChars="142"/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电    话：022-26981918。</w:t>
      </w:r>
    </w:p>
    <w:p>
      <w:pPr>
        <w:numPr>
          <w:ilvl w:val="0"/>
          <w:numId w:val="1"/>
        </w:numPr>
        <w:ind w:firstLine="602" w:firstLineChars="200"/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比赛时间安排</w:t>
      </w:r>
    </w:p>
    <w:p>
      <w:pPr>
        <w:ind w:left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报到时间：5月16日14点之前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报到时参赛选手务必携带身份证、学生证原件、人身意外伤害保险保单复印件或提供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学校</w:t>
      </w:r>
      <w:r>
        <w:rPr>
          <w:rFonts w:hint="eastAsia" w:ascii="仿宋" w:hAnsi="仿宋" w:eastAsia="仿宋" w:cs="仿宋"/>
          <w:sz w:val="30"/>
          <w:szCs w:val="30"/>
        </w:rPr>
        <w:t>开具的参赛选手人身意外伤害保险有效证明文件。</w:t>
      </w:r>
    </w:p>
    <w:p>
      <w:pPr>
        <w:ind w:left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熟悉赛场：5月16日14:30-16:00</w:t>
      </w:r>
    </w:p>
    <w:p>
      <w:pPr>
        <w:ind w:left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领队会：5月16日15:30-17:00</w:t>
      </w:r>
    </w:p>
    <w:p>
      <w:pPr>
        <w:ind w:left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开赛式及比赛：5月17日8:30-16:30</w:t>
      </w:r>
    </w:p>
    <w:p>
      <w:pPr>
        <w:ind w:left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颁奖仪式：5月18日14:30-15:30</w:t>
      </w:r>
    </w:p>
    <w:p>
      <w:pPr>
        <w:numPr>
          <w:ilvl w:val="0"/>
          <w:numId w:val="1"/>
        </w:numPr>
        <w:ind w:firstLine="602" w:firstLineChars="200"/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食宿及交通安排</w:t>
      </w:r>
    </w:p>
    <w:p>
      <w:pPr>
        <w:pStyle w:val="5"/>
        <w:widowControl/>
        <w:spacing w:before="0" w:beforeAutospacing="0" w:after="0" w:afterAutospacing="0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1.食宿安排</w:t>
      </w:r>
    </w:p>
    <w:p>
      <w:pPr>
        <w:pStyle w:val="5"/>
        <w:widowControl/>
        <w:spacing w:before="0" w:beforeAutospacing="0" w:after="0" w:afterAutospacing="0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领队、指导教师及参赛队员住宿地点：天津万源龙顺度假庄园。就餐地点：庄园内御水龙宫酒店。</w:t>
      </w:r>
    </w:p>
    <w:p>
      <w:pPr>
        <w:pStyle w:val="5"/>
        <w:widowControl/>
        <w:spacing w:before="0" w:beforeAutospacing="0" w:after="0" w:afterAutospacing="0"/>
        <w:ind w:firstLine="562" w:firstLineChars="200"/>
        <w:jc w:val="both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注：领队、指导教师及参赛队员食宿标准：480元/标间/天。</w:t>
      </w:r>
    </w:p>
    <w:p>
      <w:pPr>
        <w:pStyle w:val="5"/>
        <w:widowControl/>
        <w:spacing w:before="0" w:beforeAutospacing="0" w:after="0" w:afterAutospacing="0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2.交通安排</w:t>
      </w:r>
    </w:p>
    <w:p>
      <w:pPr>
        <w:pStyle w:val="5"/>
        <w:widowControl/>
        <w:spacing w:before="0" w:beforeAutospacing="0" w:after="0" w:afterAutospacing="0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2019年全国职业院校技能大赛金属冶炼与设备检修赛项（高职组）比赛接站安排在机场、天津站和天津西站。接站时间为5月16日8:30—14:00（机场接站时间为9:00—14:00）。</w:t>
      </w:r>
    </w:p>
    <w:p>
      <w:pPr>
        <w:pStyle w:val="5"/>
        <w:widowControl/>
        <w:spacing w:before="0" w:beforeAutospacing="0" w:after="0" w:afterAutospacing="0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联系人：张浩，联系电话：13920111005。</w:t>
      </w:r>
    </w:p>
    <w:p>
      <w:pPr>
        <w:pStyle w:val="5"/>
        <w:widowControl/>
        <w:spacing w:before="0" w:beforeAutospacing="0" w:after="0" w:afterAutospacing="0"/>
        <w:ind w:firstLine="600" w:firstLineChars="2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若自行乘车到报到处，路线如下：</w:t>
      </w:r>
    </w:p>
    <w:p>
      <w:pPr>
        <w:widowControl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ab/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>（一）天津工业职业学院步行至万源龙顺度假庄园，约2.5公里。</w:t>
      </w:r>
    </w:p>
    <w:p>
      <w:pPr>
        <w:widowControl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ab/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>（二）天津站出发</w:t>
      </w:r>
    </w:p>
    <w:p>
      <w:pPr>
        <w:widowControl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ab/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>1.出租车约80元。</w:t>
      </w:r>
    </w:p>
    <w:p>
      <w:pPr>
        <w:widowControl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ab/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>2.公交路线：</w:t>
      </w:r>
    </w:p>
    <w:p>
      <w:pPr>
        <w:widowControl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ab/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>天津站后广场乘坐607路至双街新家园下车，步行1.8公里至万源龙顺度假庄园。</w:t>
      </w:r>
    </w:p>
    <w:p>
      <w:pPr>
        <w:widowControl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ab/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>（三）天津西站出发</w:t>
      </w:r>
    </w:p>
    <w:p>
      <w:pPr>
        <w:widowControl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ab/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>1.出租车约50元。</w:t>
      </w:r>
    </w:p>
    <w:p>
      <w:pPr>
        <w:widowControl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ab/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>2.公交线路:</w:t>
      </w:r>
    </w:p>
    <w:p>
      <w:pPr>
        <w:widowControl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ab/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>路线1：乘坐公交810路至御龙园站下车，步行1.3公里至万源龙顺度假庄园。</w:t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ab/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>路线2：乘坐地铁1号线至刘园站下车,换乘公交725路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/</w:t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>752路至至双街新家园下车，步行1.8公里至万源龙顺度假庄园。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（四）天津南站出发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1.出租车约120元。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2.公交线路：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乘坐地铁3号线至营口道站下车，换乘地铁1号线至刘园站下车，换乘公交742路到达双街新屯站下车，步行1.4公里至万源龙顺度假庄园。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（五）天津机场出发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1.出租车约160元。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2.公交线路：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乘坐地铁2号线至西南角站下车，换乘地铁1号线至刘园站下车，换乘公交742路到达双街新屯站下车，步行1.4公里至万源龙顺度假庄园。</w:t>
      </w:r>
    </w:p>
    <w:p>
      <w:pPr>
        <w:ind w:firstLine="602" w:firstLineChars="200"/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五、比赛内容</w:t>
      </w:r>
    </w:p>
    <w:p>
      <w:pPr>
        <w:snapToGrid w:val="0"/>
        <w:spacing w:line="520" w:lineRule="exact"/>
        <w:ind w:firstLine="600" w:firstLineChars="200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本赛项竞赛内容包括</w:t>
      </w:r>
      <w:r>
        <w:rPr>
          <w:rFonts w:hint="eastAsia" w:ascii="仿宋" w:hAnsi="仿宋" w:eastAsia="仿宋" w:cs="仿宋"/>
          <w:kern w:val="0"/>
          <w:sz w:val="30"/>
          <w:szCs w:val="30"/>
        </w:rPr>
        <w:t>冶金设备电气排故（行车）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、铜火法冶炼、氧气顶底复吹转炉炼钢三个部分，详见国赛官网公布的2019年全国职业院校技能大赛（高职组）“金属冶炼与设备检修”赛项规程。</w:t>
      </w:r>
    </w:p>
    <w:p>
      <w:pPr>
        <w:ind w:firstLine="602" w:firstLineChars="200"/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六、组队与报名</w:t>
      </w:r>
    </w:p>
    <w:p>
      <w:pPr>
        <w:snapToGrid w:val="0"/>
        <w:spacing w:line="520" w:lineRule="exact"/>
        <w:ind w:firstLine="600" w:firstLineChars="200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本赛项为团体赛。每个参赛队由3名2019年在籍高职同校学生组成，性别不限</w:t>
      </w:r>
      <w:r>
        <w:rPr>
          <w:rFonts w:hint="eastAsia" w:ascii="仿宋" w:hAnsi="仿宋" w:eastAsia="仿宋" w:cs="仿宋"/>
          <w:kern w:val="0"/>
          <w:sz w:val="30"/>
          <w:szCs w:val="30"/>
        </w:rPr>
        <w:t>，每校限报一支参赛队，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每支参赛队可配备指导教师2名。</w:t>
      </w:r>
    </w:p>
    <w:p>
      <w:pPr>
        <w:snapToGrid w:val="0"/>
        <w:spacing w:line="520" w:lineRule="exact"/>
        <w:ind w:firstLine="600" w:firstLineChars="200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报名方式按照大赛执委会《关于开展2019年全国职业院校技能大赛网上报名工作的通知》的要求，通过全国职业院校技能大赛网络报名系统报名。</w:t>
      </w:r>
    </w:p>
    <w:p>
      <w:pPr>
        <w:numPr>
          <w:ilvl w:val="0"/>
          <w:numId w:val="2"/>
        </w:numPr>
        <w:ind w:firstLine="602" w:firstLineChars="200"/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赛事观摩</w:t>
      </w:r>
    </w:p>
    <w:p>
      <w:pPr>
        <w:snapToGrid w:val="0"/>
        <w:spacing w:line="520" w:lineRule="exact"/>
        <w:ind w:firstLine="600" w:firstLineChars="200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比赛期间安排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学院5号楼合二教室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为直播观摩室，领队、指导教师可在直播观摩室通过直播视频全程观摩。</w:t>
      </w:r>
    </w:p>
    <w:p>
      <w:pPr>
        <w:numPr>
          <w:ilvl w:val="0"/>
          <w:numId w:val="2"/>
        </w:numPr>
        <w:ind w:firstLine="602" w:firstLineChars="200"/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其他注意事项</w:t>
      </w:r>
    </w:p>
    <w:p>
      <w:pPr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kern w:val="0"/>
          <w:sz w:val="30"/>
          <w:szCs w:val="30"/>
        </w:rPr>
        <w:t>选手身份信息、团队角色（行车、铜冶炼、炼钢）信息必须与网上报名信息一致，否则不允许参赛。如有变更</w:t>
      </w:r>
      <w:r>
        <w:rPr>
          <w:sz w:val="30"/>
          <w:szCs w:val="30"/>
        </w:rPr>
        <w:t>，</w:t>
      </w:r>
      <w:r>
        <w:rPr>
          <w:rFonts w:ascii="仿宋" w:hAnsi="仿宋" w:eastAsia="仿宋" w:cs="仿宋"/>
          <w:kern w:val="0"/>
          <w:sz w:val="30"/>
          <w:szCs w:val="30"/>
        </w:rPr>
        <w:t>须由省级教育行政部门于赛项开赛10个工作日之前出具书面说明，报大赛执委会备案。</w:t>
      </w:r>
      <w:r>
        <w:rPr>
          <w:rFonts w:hint="eastAsia" w:ascii="仿宋" w:hAnsi="仿宋" w:eastAsia="仿宋" w:cs="仿宋"/>
          <w:kern w:val="0"/>
          <w:sz w:val="30"/>
          <w:szCs w:val="30"/>
        </w:rPr>
        <w:t>参赛选手报到时须携带身份证、学生证，以便核实参赛资格。</w:t>
      </w:r>
    </w:p>
    <w:p>
      <w:pPr>
        <w:ind w:firstLine="600" w:firstLineChars="200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根据2019年全国职业院校技能大赛安全管理规定，各参赛院校须为每位参赛选手办理人身意外伤害保险。</w:t>
      </w:r>
      <w:r>
        <w:rPr>
          <w:rFonts w:hint="eastAsia" w:ascii="仿宋" w:hAnsi="仿宋" w:eastAsia="仿宋" w:cs="仿宋"/>
          <w:sz w:val="30"/>
          <w:szCs w:val="30"/>
        </w:rPr>
        <w:t>报到时参赛选手务必携带人身意外伤害保险保单复印件或提供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学校</w:t>
      </w:r>
      <w:r>
        <w:rPr>
          <w:rFonts w:hint="eastAsia" w:ascii="仿宋" w:hAnsi="仿宋" w:eastAsia="仿宋" w:cs="仿宋"/>
          <w:sz w:val="30"/>
          <w:szCs w:val="30"/>
        </w:rPr>
        <w:t>开具的参赛选手人身意外伤害保险有效证明文件。</w:t>
      </w:r>
    </w:p>
    <w:p>
      <w:pPr>
        <w:widowControl/>
        <w:jc w:val="center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参赛选手、指导教师、领队服装由大赛统一发放（半袖T恤衫）。参加开赛式、颁奖仪式时，各参赛队选手、领队和指导教师统一穿着大赛服装。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请自备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劳保用品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并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按竞赛规程要求穿戴。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.请各参赛院校于报到时带2号校旗一面，用于竞赛期间</w:t>
      </w: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宣传展示，竞赛结束后返还。</w:t>
      </w:r>
    </w:p>
    <w:p>
      <w:pPr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0"/>
          <w:szCs w:val="30"/>
        </w:rPr>
        <w:t>.赛务事宜请与承办校赛务组白俊丽老师联系，联系电话：18202538576</w:t>
      </w:r>
    </w:p>
    <w:p>
      <w:pPr>
        <w:ind w:firstLine="600" w:firstLineChars="200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接待事宜请与承办校接待组穆银虎老师联系，联系电话：022-26983789，17602686168。</w:t>
      </w:r>
    </w:p>
    <w:p>
      <w:pPr>
        <w:ind w:left="420" w:leftChars="200" w:firstLine="300" w:firstLineChars="100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附件：</w:t>
      </w:r>
    </w:p>
    <w:p>
      <w:pPr>
        <w:ind w:firstLine="600" w:firstLineChars="200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2019年全国职业院校技能大赛金属冶炼与设备检修赛项抵、离津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服装信息表</w:t>
      </w:r>
    </w:p>
    <w:p>
      <w:pPr>
        <w:ind w:left="420" w:leftChars="200" w:firstLine="300" w:firstLineChars="1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ind w:left="420" w:leftChars="200"/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</w:p>
    <w:p>
      <w:pPr>
        <w:ind w:left="420" w:leftChars="200"/>
        <w:jc w:val="left"/>
        <w:rPr>
          <w:rFonts w:ascii="仿宋" w:hAnsi="仿宋" w:eastAsia="仿宋" w:cs="仿宋"/>
          <w:b/>
          <w:color w:val="000000"/>
          <w:sz w:val="30"/>
          <w:szCs w:val="30"/>
        </w:rPr>
      </w:pPr>
    </w:p>
    <w:p>
      <w:pPr>
        <w:ind w:firstLine="60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pStyle w:val="5"/>
        <w:widowControl/>
        <w:spacing w:before="0" w:beforeAutospacing="0" w:after="0" w:afterAutospacing="0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                   2019年全国职业院校技能大赛</w:t>
      </w:r>
    </w:p>
    <w:p>
      <w:pPr>
        <w:pStyle w:val="5"/>
        <w:widowControl/>
        <w:spacing w:before="0" w:beforeAutospacing="0" w:after="0" w:afterAutospacing="0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　　                   金属冶炼与设备检修赛项执委会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　　                             2019年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附件：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2019年全国职业院校技能大赛金属冶炼与设备检修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赛项抵、离津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/>
          <w:sz w:val="32"/>
          <w:szCs w:val="32"/>
        </w:rPr>
        <w:t>服装信息表</w:t>
      </w:r>
    </w:p>
    <w:p>
      <w:pPr>
        <w:adjustRightInd w:val="0"/>
        <w:snapToGrid w:val="0"/>
        <w:spacing w:line="312" w:lineRule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学校名称：        </w:t>
      </w:r>
    </w:p>
    <w:p>
      <w:pPr>
        <w:adjustRightInd w:val="0"/>
        <w:snapToGrid w:val="0"/>
        <w:spacing w:line="312" w:lineRule="auto"/>
        <w:jc w:val="center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教师部分</w:t>
      </w:r>
    </w:p>
    <w:tbl>
      <w:tblPr>
        <w:tblStyle w:val="6"/>
        <w:tblW w:w="11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684"/>
        <w:gridCol w:w="933"/>
        <w:gridCol w:w="870"/>
        <w:gridCol w:w="702"/>
        <w:gridCol w:w="852"/>
        <w:gridCol w:w="1250"/>
        <w:gridCol w:w="1273"/>
        <w:gridCol w:w="1050"/>
        <w:gridCol w:w="886"/>
        <w:gridCol w:w="710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6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姓名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部门及职务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性别</w:t>
            </w: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民族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服装号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联系方式（手机）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领队/指导教师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到达时间、地点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航班/车次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返程时间</w:t>
            </w: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返程航班/车次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adjustRightInd w:val="0"/>
        <w:snapToGrid w:val="0"/>
        <w:spacing w:line="312" w:lineRule="auto"/>
        <w:jc w:val="center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12" w:lineRule="auto"/>
        <w:jc w:val="center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学生部分</w:t>
      </w:r>
    </w:p>
    <w:tbl>
      <w:tblPr>
        <w:tblStyle w:val="6"/>
        <w:tblpPr w:leftFromText="180" w:rightFromText="180" w:vertAnchor="text" w:horzAnchor="page" w:tblpXSpec="center" w:tblpY="370"/>
        <w:tblW w:w="10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648"/>
        <w:gridCol w:w="721"/>
        <w:gridCol w:w="980"/>
        <w:gridCol w:w="1507"/>
        <w:gridCol w:w="1080"/>
        <w:gridCol w:w="1241"/>
        <w:gridCol w:w="108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服装号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报名工种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到达时间、地点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航班/车次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返程时间</w:t>
            </w:r>
          </w:p>
        </w:tc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返程航班/车次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312" w:lineRule="auto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12" w:lineRule="auto"/>
        <w:jc w:val="center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服装参考号码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087"/>
        <w:gridCol w:w="1087"/>
        <w:gridCol w:w="1087"/>
        <w:gridCol w:w="1087"/>
        <w:gridCol w:w="1087"/>
        <w:gridCol w:w="1087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88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身高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160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165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170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175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180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185</w:t>
            </w:r>
          </w:p>
        </w:tc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88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号码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M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L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XL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XXL</w:t>
            </w:r>
          </w:p>
        </w:tc>
        <w:tc>
          <w:tcPr>
            <w:tcW w:w="108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XXXL</w:t>
            </w:r>
          </w:p>
        </w:tc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XXXXL</w:t>
            </w:r>
          </w:p>
        </w:tc>
      </w:tr>
    </w:tbl>
    <w:p>
      <w:pPr>
        <w:adjustRightInd w:val="0"/>
        <w:snapToGrid w:val="0"/>
        <w:spacing w:line="312" w:lineRule="auto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12" w:lineRule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联系人：                  联系电话（手机）：</w:t>
      </w:r>
    </w:p>
    <w:p>
      <w:pPr>
        <w:adjustRightInd w:val="0"/>
        <w:snapToGrid w:val="0"/>
        <w:spacing w:line="312" w:lineRule="auto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12" w:lineRule="auto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12" w:lineRule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注：此表请于2019年</w:t>
      </w:r>
      <w:r>
        <w:rPr>
          <w:rFonts w:ascii="仿宋_GB2312" w:hAnsi="宋体" w:eastAsia="仿宋_GB2312"/>
          <w:color w:val="000000"/>
          <w:sz w:val="28"/>
          <w:szCs w:val="28"/>
        </w:rPr>
        <w:t>5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日前发至天津工业职业学院“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2019金属冶炼参赛群”（QQ群号：431335084）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，以便安排接站。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1703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ADE6D2"/>
    <w:multiLevelType w:val="singleLevel"/>
    <w:tmpl w:val="F0ADE6D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2C03134"/>
    <w:multiLevelType w:val="singleLevel"/>
    <w:tmpl w:val="F2C031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878C1"/>
    <w:rsid w:val="000522EC"/>
    <w:rsid w:val="000737D0"/>
    <w:rsid w:val="00074491"/>
    <w:rsid w:val="00196BC4"/>
    <w:rsid w:val="001F20AC"/>
    <w:rsid w:val="0021006F"/>
    <w:rsid w:val="0024029E"/>
    <w:rsid w:val="002C0AF9"/>
    <w:rsid w:val="002C129B"/>
    <w:rsid w:val="002F12C4"/>
    <w:rsid w:val="0030250F"/>
    <w:rsid w:val="003979F2"/>
    <w:rsid w:val="00413763"/>
    <w:rsid w:val="00455C65"/>
    <w:rsid w:val="00485E86"/>
    <w:rsid w:val="004C3A66"/>
    <w:rsid w:val="00526CD8"/>
    <w:rsid w:val="00580382"/>
    <w:rsid w:val="005D252B"/>
    <w:rsid w:val="006157A4"/>
    <w:rsid w:val="00633919"/>
    <w:rsid w:val="00652FE4"/>
    <w:rsid w:val="0067657F"/>
    <w:rsid w:val="006D50BE"/>
    <w:rsid w:val="006E22F8"/>
    <w:rsid w:val="00714D3C"/>
    <w:rsid w:val="00723C8A"/>
    <w:rsid w:val="00727FF0"/>
    <w:rsid w:val="0073082B"/>
    <w:rsid w:val="007460C9"/>
    <w:rsid w:val="007479A7"/>
    <w:rsid w:val="00791679"/>
    <w:rsid w:val="007A0768"/>
    <w:rsid w:val="00854946"/>
    <w:rsid w:val="00875C6F"/>
    <w:rsid w:val="008E03AC"/>
    <w:rsid w:val="008F2231"/>
    <w:rsid w:val="00960B49"/>
    <w:rsid w:val="009A4F40"/>
    <w:rsid w:val="009A7BF6"/>
    <w:rsid w:val="00A336CE"/>
    <w:rsid w:val="00AB2D8F"/>
    <w:rsid w:val="00AE7135"/>
    <w:rsid w:val="00B37916"/>
    <w:rsid w:val="00B47CF4"/>
    <w:rsid w:val="00BB34A8"/>
    <w:rsid w:val="00BF54E5"/>
    <w:rsid w:val="00C028E9"/>
    <w:rsid w:val="00C13F35"/>
    <w:rsid w:val="00C31C7B"/>
    <w:rsid w:val="00C73A00"/>
    <w:rsid w:val="00C82D89"/>
    <w:rsid w:val="00C96351"/>
    <w:rsid w:val="00CA4F34"/>
    <w:rsid w:val="00CC43B8"/>
    <w:rsid w:val="00CD6948"/>
    <w:rsid w:val="00CF5859"/>
    <w:rsid w:val="00D72255"/>
    <w:rsid w:val="00D76E79"/>
    <w:rsid w:val="00D93607"/>
    <w:rsid w:val="00D95D97"/>
    <w:rsid w:val="00DE2AC9"/>
    <w:rsid w:val="00DF4C7A"/>
    <w:rsid w:val="00E34412"/>
    <w:rsid w:val="00E719F2"/>
    <w:rsid w:val="00E962E3"/>
    <w:rsid w:val="00EC1040"/>
    <w:rsid w:val="00F22F5A"/>
    <w:rsid w:val="00F6508A"/>
    <w:rsid w:val="00F67DB5"/>
    <w:rsid w:val="00FD06CE"/>
    <w:rsid w:val="00FE3C8D"/>
    <w:rsid w:val="00FF3CB5"/>
    <w:rsid w:val="0A376348"/>
    <w:rsid w:val="0EF932F9"/>
    <w:rsid w:val="13415D17"/>
    <w:rsid w:val="19A579A1"/>
    <w:rsid w:val="23D878C1"/>
    <w:rsid w:val="2B686E1D"/>
    <w:rsid w:val="37A66EA9"/>
    <w:rsid w:val="44665910"/>
    <w:rsid w:val="58D33F01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unhideWhenUsed/>
    <w:qFormat/>
    <w:uiPriority w:val="99"/>
    <w:rPr>
      <w:color w:val="000000"/>
      <w:u w:val="none"/>
    </w:rPr>
  </w:style>
  <w:style w:type="character" w:customStyle="1" w:styleId="10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字符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z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6</Pages>
  <Words>382</Words>
  <Characters>2183</Characters>
  <Lines>18</Lines>
  <Paragraphs>5</Paragraphs>
  <TotalTime>2</TotalTime>
  <ScaleCrop>false</ScaleCrop>
  <LinksUpToDate>false</LinksUpToDate>
  <CharactersWithSpaces>2560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2018-05-21T05:26:00Z</dcterms:created>
  <dc:creator>咖啡杯里的茶 </dc:creator>
  <cp:lastModifiedBy>user</cp:lastModifiedBy>
  <cp:lastPrinted>2019-04-26T00:12:00Z</cp:lastPrinted>
  <dcterms:modified xsi:type="dcterms:W3CDTF">2019-05-01T04:14:13Z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