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z w:val="72"/>
          <w:szCs w:val="72"/>
        </w:rPr>
      </w:pPr>
    </w:p>
    <w:p>
      <w:pPr>
        <w:jc w:val="center"/>
        <w:rPr>
          <w:rFonts w:hint="eastAsia" w:ascii="方正小标宋简体" w:eastAsia="方正小标宋简体"/>
          <w:color w:val="FF0000"/>
          <w:sz w:val="76"/>
          <w:szCs w:val="76"/>
        </w:rPr>
      </w:pPr>
    </w:p>
    <w:p>
      <w:pPr>
        <w:pStyle w:val="6"/>
        <w:jc w:val="center"/>
        <w:rPr>
          <w:rFonts w:hint="eastAsia" w:ascii="仿宋_GB2312" w:hAnsi="仿宋_GB2312" w:eastAsia="仿宋_GB2312" w:cs="宋体"/>
          <w:color w:val="auto"/>
          <w:kern w:val="2"/>
          <w:sz w:val="32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宋体"/>
          <w:color w:val="auto"/>
          <w:kern w:val="2"/>
          <w:sz w:val="32"/>
          <w:szCs w:val="24"/>
          <w:u w:val="none"/>
          <w:lang w:val="en-US" w:eastAsia="zh-CN" w:bidi="ar"/>
        </w:rPr>
        <w:t>建教协[2019]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宋体"/>
          <w:color w:val="auto"/>
          <w:kern w:val="2"/>
          <w:sz w:val="32"/>
          <w:szCs w:val="24"/>
          <w:u w:val="none"/>
          <w:lang w:val="en-US" w:eastAsia="zh-CN" w:bidi="ar"/>
        </w:rPr>
        <w:t>号</w:t>
      </w:r>
    </w:p>
    <w:p>
      <w:pPr>
        <w:tabs>
          <w:tab w:val="left" w:pos="1390"/>
          <w:tab w:val="center" w:pos="5233"/>
        </w:tabs>
        <w:spacing w:line="240" w:lineRule="auto"/>
        <w:jc w:val="center"/>
        <w:rPr>
          <w:rFonts w:hint="eastAsia" w:ascii="方正小标宋简体" w:eastAsia="方正小标宋简体"/>
          <w:color w:val="FF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关于举办201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年全国职业院校技能大赛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中职组工程测量赛项说明会的通知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按照全国职业院校技能大赛执委会的相关要求，为提升各赛项办赛水平与办赛质量，切实做好本次赛事，推进各地筹备工作，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中国建设教育协会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决定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在江苏城乡建设职业学院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举办中职组工程测量赛项说明会。现将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关事宜通知如下：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参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（一）各省、自治区、直辖市、计划单列市、新疆生产建设兵团等地区参加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工程测量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赛项的参赛队指导教师（每支参赛队可选派不超过2名指导教师参会）。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工程测量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专家组成员代表。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工程测量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赛项承办校代表。</w:t>
      </w:r>
    </w:p>
    <w:p>
      <w:pPr>
        <w:widowControl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工程测量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赛项合作企业代表。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二、会议时间、地点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会议时间：201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年4月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:00-1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:00）,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日报到。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报到地点：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常州阳光国际大酒店(钟楼区怀德北路35号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会议地点：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江苏城乡建设职业学院（钟楼区殷村职教园学府路）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酒店至学院统一接送,其他参会人员请19日8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40到学院参会。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 xml:space="preserve"> 三、会议内容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介绍比赛总体方案；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宣讲各赛项的比赛规程；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比赛事务及技术答疑。</w:t>
      </w:r>
    </w:p>
    <w:p>
      <w:pPr>
        <w:widowControl/>
        <w:spacing w:line="560" w:lineRule="exact"/>
        <w:ind w:firstLine="602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 xml:space="preserve"> 四、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会议报名</w:t>
      </w:r>
    </w:p>
    <w:p>
      <w:pPr>
        <w:widowControl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请参会人员于4月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16前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，以便安排会务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及后续通知发放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网站报名：https://www.wjx.top/jq/36943222.aspx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微信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关注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中国建设教育协会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在活动报名中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。</w:t>
      </w:r>
    </w:p>
    <w:p>
      <w:pPr>
        <w:spacing w:line="560" w:lineRule="exact"/>
        <w:ind w:firstLine="590" w:firstLineChars="196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shd w:val="clear" w:color="auto" w:fill="FFFFFF"/>
        </w:rPr>
        <w:t>、其他事项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）会议严格遵守党的廉政纪律和中央八项规定有关要求，严格执行大赛有关规章制度，不准搞与大赛无关的任何活动。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  <w:t>）会议不收取费用，参会人员食宿统一安排，费用自理，标准严格遵守国家出差报销管理有关规定。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00" w:firstLineChars="1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  <w:t>六、联系方式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无法参加说明会教师及后期问题解答交流请实名加入QQ群：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建筑装饰技能 （627405407）；工程测量（171400143）；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建筑智能化系统安装与调试（640053352）；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建筑设备安装与调控（给排水）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627404904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中国建设教育协会     丁  乐   13911578826（微信）  </w:t>
      </w:r>
    </w:p>
    <w:p>
      <w:pPr>
        <w:ind w:left="420" w:leftChars="200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江苏城乡建设职业学院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袁建刚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13601505382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</w:t>
      </w:r>
    </w:p>
    <w:p>
      <w:pPr>
        <w:ind w:firstLine="2100" w:firstLineChars="7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附件：酒店相关路线介绍</w:t>
      </w:r>
    </w:p>
    <w:p>
      <w:pPr>
        <w:ind w:firstLine="2100" w:firstLineChars="7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spacing w:line="300" w:lineRule="exact"/>
        <w:jc w:val="left"/>
        <w:outlineLvl w:val="0"/>
        <w:rPr>
          <w:rFonts w:hint="eastAsia" w:ascii="Times New Roman" w:hAnsi="Times New Roman" w:eastAsia="宋体" w:cs="Times New Roman"/>
          <w:b/>
          <w:bCs/>
          <w:kern w:val="1"/>
          <w:sz w:val="24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857250</wp:posOffset>
            </wp:positionV>
            <wp:extent cx="5745480" cy="4163060"/>
            <wp:effectExtent l="0" t="0" r="7620" b="889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exact"/>
        <w:jc w:val="left"/>
        <w:outlineLvl w:val="0"/>
        <w:rPr>
          <w:rFonts w:hint="eastAsia" w:ascii="Times New Roman" w:hAnsi="Times New Roman" w:cs="Times New Roman"/>
          <w:b/>
          <w:bCs/>
          <w:kern w:val="1"/>
          <w:sz w:val="24"/>
          <w:lang w:val="zh-CN"/>
        </w:rPr>
      </w:pPr>
      <w:r>
        <w:rPr>
          <w:rFonts w:hint="eastAsia" w:ascii="Times New Roman" w:hAnsi="Times New Roman" w:cs="Times New Roman"/>
          <w:b/>
          <w:bCs/>
          <w:kern w:val="1"/>
          <w:sz w:val="24"/>
          <w:lang w:val="zh-CN"/>
        </w:rPr>
        <w:t>酒店相关路线介绍</w:t>
      </w:r>
    </w:p>
    <w:p>
      <w:pPr>
        <w:spacing w:line="300" w:lineRule="exact"/>
        <w:jc w:val="left"/>
        <w:outlineLvl w:val="0"/>
        <w:rPr>
          <w:rFonts w:hint="eastAsia" w:ascii="Times New Roman" w:hAnsi="Times New Roman" w:cs="Times New Roman"/>
          <w:b/>
          <w:bCs/>
          <w:kern w:val="1"/>
          <w:sz w:val="24"/>
          <w:lang w:val="zh-CN"/>
        </w:rPr>
      </w:pPr>
    </w:p>
    <w:p>
      <w:pPr>
        <w:spacing w:line="300" w:lineRule="exact"/>
        <w:jc w:val="left"/>
        <w:outlineLvl w:val="0"/>
        <w:rPr>
          <w:rFonts w:hint="eastAsia" w:ascii="Times New Roman" w:hAnsi="Times New Roman" w:cs="Times New Roman"/>
          <w:b/>
          <w:bCs/>
          <w:kern w:val="1"/>
          <w:sz w:val="24"/>
          <w:lang w:val="zh-CN"/>
        </w:rPr>
      </w:pPr>
    </w:p>
    <w:p>
      <w:pPr>
        <w:spacing w:line="300" w:lineRule="exact"/>
        <w:jc w:val="left"/>
        <w:rPr>
          <w:rFonts w:hint="eastAsia" w:ascii="Times New Roman" w:hAnsi="Times New Roman" w:cs="Times New Roman"/>
          <w:kern w:val="1"/>
          <w:sz w:val="24"/>
          <w:lang w:val="zh-CN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酒店地理位置示意图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114300" distR="114300">
            <wp:extent cx="5601970" cy="4841875"/>
            <wp:effectExtent l="0" t="0" r="17780" b="15875"/>
            <wp:docPr id="1" name="图片 1" descr="地图6公里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6公里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48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常州奔牛机场----常州阳光国际大酒店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交通方式：机场大巴+出租车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下机后取完行李，可以在出口处乘民航巴士到市中心火车站北广场出口，打车15元左右即可到达酒店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交通方式：出租车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下机后取完行李，可以在出口处乘坐出租车到常州阳光国际大酒店，费用为人民币70元左右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常州火车站----常州阳光国际大酒店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交通方式：公交车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火车站北广场出站口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310路、328路：步行到客运中心（约250米）——乘310路、328路到江南商场下车——步行到常州阳光国际大酒店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B22路：步行到客运中心（约250米）——乘B22路到瞿秋白纪念馆下车——步行到常州阳光国际大酒店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火车站南广场出站口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1路、39路：步行到火车站（约150米）——乘1路、39路到江南商场下车——步行到常州阳光国际大酒店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交通方式：出租车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下车后，可以在出口处乘坐出租车到常州阳光国际大酒店，费用为人民币15元左右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常州汽车站----常州阳光国际大酒店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线路同火车站北广场出站口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常州北站----常州阳光国际大酒店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交通方式：公交车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B1路：乘B1路到怀德路延陵路下——步行到常州阳光国际大酒店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交通方式：出租车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下车后取完行李，可以在出口处乘坐出租车到常州阳光国际大酒店，费用为人民币50元左右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上海----常州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Style w:val="7"/>
          <w:rFonts w:hint="eastAsia" w:ascii="宋体" w:hAnsi="宋体"/>
          <w:b/>
          <w:bCs/>
          <w:kern w:val="36"/>
          <w:sz w:val="24"/>
        </w:rPr>
      </w:pPr>
      <w:r>
        <w:rPr>
          <w:rStyle w:val="7"/>
          <w:rFonts w:ascii="宋体" w:hAnsi="宋体"/>
          <w:b/>
          <w:bCs/>
          <w:kern w:val="36"/>
          <w:sz w:val="24"/>
        </w:rPr>
        <w:t>上海虹桥机场到</w:t>
      </w:r>
      <w:r>
        <w:rPr>
          <w:rStyle w:val="7"/>
          <w:rFonts w:hint="eastAsia" w:ascii="宋体" w:hAnsi="宋体"/>
          <w:b/>
          <w:bCs/>
          <w:kern w:val="36"/>
          <w:sz w:val="24"/>
        </w:rPr>
        <w:t>上海</w:t>
      </w:r>
      <w:r>
        <w:rPr>
          <w:rStyle w:val="7"/>
          <w:rFonts w:ascii="宋体" w:hAnsi="宋体"/>
          <w:b/>
          <w:bCs/>
          <w:kern w:val="36"/>
          <w:sz w:val="24"/>
        </w:rPr>
        <w:t>火车站</w:t>
      </w:r>
    </w:p>
    <w:p>
      <w:pPr>
        <w:pStyle w:val="3"/>
        <w:tabs>
          <w:tab w:val="left" w:pos="8305"/>
          <w:tab w:val="clear" w:pos="9160"/>
        </w:tabs>
        <w:spacing w:line="330" w:lineRule="atLeas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地铁：</w:t>
      </w:r>
      <w:r>
        <w:rPr>
          <w:rFonts w:hint="eastAsia" w:ascii="宋体" w:hAnsi="宋体" w:eastAsia="宋体"/>
          <w:sz w:val="24"/>
          <w:szCs w:val="24"/>
        </w:rPr>
        <w:t>步行到虹桥1号航站楼——乘地铁10号线（开往：新江湾城）——陕西南路换乘1号线（开往：富锦路）——上海火车站下</w:t>
      </w:r>
    </w:p>
    <w:p>
      <w:pPr>
        <w:pStyle w:val="3"/>
        <w:tabs>
          <w:tab w:val="left" w:pos="8305"/>
          <w:tab w:val="clear" w:pos="9160"/>
        </w:tabs>
        <w:spacing w:line="330" w:lineRule="atLeas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941路：</w:t>
      </w:r>
      <w:r>
        <w:rPr>
          <w:rFonts w:hint="eastAsia" w:ascii="宋体" w:hAnsi="宋体" w:eastAsia="宋体"/>
          <w:sz w:val="24"/>
          <w:szCs w:val="24"/>
        </w:rPr>
        <w:t>步行到友乐路迎宾一路——941路（开往上海火车站南广场）</w:t>
      </w:r>
    </w:p>
    <w:p>
      <w:pPr>
        <w:pStyle w:val="3"/>
        <w:tabs>
          <w:tab w:val="left" w:pos="8305"/>
          <w:tab w:val="clear" w:pos="9160"/>
        </w:tabs>
        <w:spacing w:line="330" w:lineRule="atLeast"/>
        <w:rPr>
          <w:rFonts w:hint="eastAsia" w:ascii="宋体" w:hAnsi="宋体" w:eastAsia="宋体"/>
          <w:sz w:val="24"/>
          <w:szCs w:val="24"/>
        </w:rPr>
      </w:pPr>
    </w:p>
    <w:p>
      <w:pPr>
        <w:rPr>
          <w:rStyle w:val="7"/>
          <w:rFonts w:hint="eastAsia" w:ascii="宋体" w:hAnsi="宋体"/>
          <w:b/>
          <w:bCs/>
          <w:kern w:val="36"/>
          <w:sz w:val="24"/>
        </w:rPr>
      </w:pPr>
      <w:r>
        <w:rPr>
          <w:rStyle w:val="7"/>
          <w:rFonts w:ascii="宋体" w:hAnsi="宋体"/>
          <w:b/>
          <w:bCs/>
          <w:kern w:val="36"/>
          <w:sz w:val="24"/>
        </w:rPr>
        <w:t>上海浦东机场到</w:t>
      </w:r>
      <w:r>
        <w:rPr>
          <w:rStyle w:val="7"/>
          <w:rFonts w:hint="eastAsia" w:ascii="宋体" w:hAnsi="宋体"/>
          <w:b/>
          <w:bCs/>
          <w:kern w:val="36"/>
          <w:sz w:val="24"/>
        </w:rPr>
        <w:t>上海</w:t>
      </w:r>
      <w:r>
        <w:rPr>
          <w:rStyle w:val="7"/>
          <w:rFonts w:ascii="宋体" w:hAnsi="宋体"/>
          <w:b/>
          <w:bCs/>
          <w:kern w:val="36"/>
          <w:sz w:val="24"/>
        </w:rPr>
        <w:t>火车站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在机场直接做机场五线</w:t>
      </w:r>
      <w:r>
        <w:rPr>
          <w:rFonts w:hint="eastAsia" w:ascii="宋体" w:hAnsi="宋体"/>
          <w:sz w:val="24"/>
        </w:rPr>
        <w:t>直达</w:t>
      </w:r>
      <w:r>
        <w:rPr>
          <w:rFonts w:ascii="宋体" w:hAnsi="宋体"/>
          <w:sz w:val="24"/>
        </w:rPr>
        <w:t>到上海火车站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上海火车站到常州火车站的列车基本上20分种左右一班车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驾车路线：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由沪宁高速常州江阴出口—常澄路—通江中路—通江南路—怀德北路与泰安里交汇处即到常州阳光国际大酒店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常州薛家高速出口—高架运河路出口—运河路—新市路—怀德北路—常州阳光国际大酒店</w:t>
      </w:r>
    </w:p>
    <w:p/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会议负责人：顾蒙        电话：13584314431</w:t>
      </w:r>
    </w:p>
    <w:p>
      <w:pPr>
        <w:ind w:firstLine="2100" w:firstLineChars="700"/>
        <w:jc w:val="both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AD51CC"/>
    <w:multiLevelType w:val="singleLevel"/>
    <w:tmpl w:val="D3AD51CC"/>
    <w:lvl w:ilvl="0" w:tentative="0">
      <w:start w:val="1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124B6"/>
    <w:rsid w:val="1ABC2697"/>
    <w:rsid w:val="73632EE7"/>
    <w:rsid w:val="7C3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7">
    <w:name w:val="question-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2019-04-10T04:37:00Z</dcterms:created>
  <dc:creator>丁樂</dc:creator>
  <cp:lastModifiedBy>丁樂</cp:lastModifiedBy>
  <dcterms:modified xsi:type="dcterms:W3CDTF">2019-04-10T05:33:24Z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