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rPr>
          <w:rFonts w:hint="eastAsia" w:ascii="黑体" w:hAnsi="黑体" w:eastAsia="黑体" w:cs="黑体"/>
          <w:b/>
          <w:sz w:val="36"/>
          <w:szCs w:val="36"/>
        </w:rPr>
      </w:pPr>
      <w:r>
        <w:rPr>
          <w:rFonts w:hint="eastAsia" w:ascii="黑体" w:hAnsi="黑体" w:eastAsia="黑体" w:cs="黑体"/>
          <w:b/>
          <w:sz w:val="36"/>
          <w:szCs w:val="36"/>
        </w:rPr>
        <w:t>2019年全国职业院校技能大赛</w:t>
      </w:r>
    </w:p>
    <w:p>
      <w:pPr>
        <w:snapToGrid w:val="0"/>
        <w:spacing w:line="540" w:lineRule="exact"/>
        <w:jc w:val="center"/>
        <w:rPr>
          <w:rFonts w:ascii="Arial Narrow" w:hAnsi="Arial Narrow" w:eastAsia="仿宋_GB2312"/>
          <w:sz w:val="30"/>
          <w:szCs w:val="30"/>
        </w:rPr>
      </w:pPr>
      <w:r>
        <w:rPr>
          <w:rFonts w:hint="eastAsia" w:ascii="黑体" w:hAnsi="黑体" w:eastAsia="黑体" w:cs="黑体"/>
          <w:b/>
          <w:sz w:val="36"/>
          <w:szCs w:val="36"/>
        </w:rPr>
        <w:t>赛项规程</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一、赛项名称</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赛项编号：ZZ-2019002</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赛项名称：农机维修</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英</w:t>
      </w:r>
      <w:r>
        <w:rPr>
          <w:rFonts w:hint="eastAsia" w:ascii="仿宋_GB2312" w:hAnsi="仿宋_GB2312" w:eastAsia="仿宋_GB2312" w:cs="仿宋_GB2312"/>
          <w:b w:val="0"/>
          <w:bCs/>
          <w:sz w:val="28"/>
          <w:szCs w:val="28"/>
          <w:lang w:val="en-US" w:eastAsia="zh-CN"/>
        </w:rPr>
        <w:t>文</w:t>
      </w:r>
      <w:r>
        <w:rPr>
          <w:rFonts w:hint="eastAsia" w:ascii="仿宋_GB2312" w:hAnsi="仿宋_GB2312" w:eastAsia="仿宋_GB2312" w:cs="仿宋_GB2312"/>
          <w:b w:val="0"/>
          <w:bCs/>
          <w:sz w:val="28"/>
          <w:szCs w:val="28"/>
        </w:rPr>
        <w:t>名称：Agricultural Machinery Repair</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赛项组别：中职组</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赛项归属：农林牧渔类</w:t>
      </w:r>
      <w:bookmarkStart w:id="6" w:name="_GoBack"/>
      <w:bookmarkEnd w:id="6"/>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二、竞赛目的</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通过本项目比赛，检验选手对大型轮式拖拉机悬挂秸秆还田机及履带自走式全喂入联合收割机等设备故障诊断与排除能力，为农业机械使用与维护及相关专业学生提供技能展示平台，提高学生的理论知识水平与实际操作技能水平，同时推动职业学校农机专业教育教学改革，加快工学结合人才培养模式的创新步伐，促进“双师型”师资队伍培养和专业实训基地建设，为我国乡村振兴战略选拔输送技术技能型专业人才提供强有力支撑。</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三、竞赛内容</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赛项只进行技能竞赛。竞赛内容分为两个项目，在两个不同的工位上进行竞赛，项目一为大型轮式拖拉机悬挂秸秆还田机综合故障诊断与排除，竞赛时间为70分钟，竞赛成绩占总成绩的64%；项目二为履带自走式全喂入联合收割机综合故障诊断与排除，竞赛时间为40分钟，竞赛成绩占总成绩的36%。</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比赛时联合收割机、拖拉机不允许移动，联合收割机不允许传动。</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（一）项目一大型轮式拖拉机悬挂秸秆还田机综合故障诊断与排除竞赛内容</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1.拖拉机底盘传动系统、行走系统、转向系统、制动系统故障诊断与排除</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2.启动前的检查，电路系统的故障诊断与排除；</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3.柴油机电控高压共轨系统的检测与故障排除；</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4.油机排放污染物烟度值的检测；</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5.拖拉机液压系统测试。</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（二）项目二履带自走式全喂入联合收割机综合故障诊断与排除竞赛内容</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1.底盘部分故障与排除</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2.割台部分故障诊断与排除；</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3.脱粒清选部分故障诊断与排除；</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4.动力传动部分故障诊断与排除。</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四、竞赛方式</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1.本赛项为个人赛</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参赛选手须为</w:t>
      </w:r>
      <w:r>
        <w:rPr>
          <w:rFonts w:hint="eastAsia" w:ascii="仿宋_GB2312" w:hAnsi="仿宋_GB2312" w:eastAsia="仿宋_GB2312" w:cs="仿宋_GB2312"/>
          <w:sz w:val="28"/>
          <w:szCs w:val="28"/>
        </w:rPr>
        <w:t>中等职业学校全日制、五年制高职一至三年级（含三年级）农机及相关专业在籍学生。</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2.组队方式：由各省、自治区、直辖市，计划单列市和新疆生产建设兵团组队参赛；每代表队领队1名，同一学校的选手不能超过2名，每名选手限报1名指导教师。</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3.赛前领队会上组织抽签，确定两个比赛项目组别号，每个项目比赛前30分钟选手现场抽签，确定工位号。</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4.凡在往届全国职业院校技能大赛中获农机维修赛项一等奖的选手，不再参加本项目的比赛。</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5.本赛项不邀请境外代表队参赛。</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五、竞赛流程</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各参赛队的参赛日程及竞赛顺序由赛前抽签决定，竞赛日程安排如表1所示。</w:t>
      </w:r>
    </w:p>
    <w:p>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表1 竞赛日程安排</w:t>
      </w:r>
    </w:p>
    <w:tbl>
      <w:tblPr>
        <w:tblStyle w:val="10"/>
        <w:tblpPr w:leftFromText="180" w:rightFromText="180" w:vertAnchor="text" w:horzAnchor="margin" w:tblpY="417"/>
        <w:tblOverlap w:val="never"/>
        <w:tblW w:w="8880" w:type="dxa"/>
        <w:tblInd w:w="0" w:type="dxa"/>
        <w:tblBorders>
          <w:top w:val="single" w:color="auto" w:sz="4" w:space="0"/>
          <w:left w:val="single" w:color="auto" w:sz="4"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64"/>
        <w:gridCol w:w="1838"/>
        <w:gridCol w:w="6078"/>
      </w:tblGrid>
      <w:tr>
        <w:tblPrEx>
          <w:tblBorders>
            <w:top w:val="single" w:color="auto" w:sz="4" w:space="0"/>
            <w:left w:val="single" w:color="auto" w:sz="4"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62" w:hRule="exact"/>
        </w:trPr>
        <w:tc>
          <w:tcPr>
            <w:tcW w:w="96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日期</w:t>
            </w:r>
          </w:p>
        </w:tc>
        <w:tc>
          <w:tcPr>
            <w:tcW w:w="183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时间</w:t>
            </w:r>
          </w:p>
        </w:tc>
        <w:tc>
          <w:tcPr>
            <w:tcW w:w="607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工作内容</w:t>
            </w:r>
          </w:p>
        </w:tc>
      </w:tr>
      <w:tr>
        <w:tblPrEx>
          <w:tblBorders>
            <w:top w:val="single" w:color="auto" w:sz="4" w:space="0"/>
            <w:left w:val="single" w:color="auto" w:sz="4"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73" w:hRule="exact"/>
        </w:trPr>
        <w:tc>
          <w:tcPr>
            <w:tcW w:w="964" w:type="dxa"/>
            <w:vMerge w:val="restart"/>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第1天</w:t>
            </w:r>
          </w:p>
        </w:tc>
        <w:tc>
          <w:tcPr>
            <w:tcW w:w="183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9:00～12:00</w:t>
            </w:r>
          </w:p>
        </w:tc>
        <w:tc>
          <w:tcPr>
            <w:tcW w:w="607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参赛代表队报到</w:t>
            </w:r>
          </w:p>
        </w:tc>
      </w:tr>
      <w:tr>
        <w:tblPrEx>
          <w:tblBorders>
            <w:top w:val="single" w:color="auto" w:sz="4" w:space="0"/>
            <w:left w:val="single" w:color="auto" w:sz="4"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56" w:hRule="exact"/>
        </w:trPr>
        <w:tc>
          <w:tcPr>
            <w:tcW w:w="964" w:type="dxa"/>
            <w:vMerge w:val="continue"/>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p>
        </w:tc>
        <w:tc>
          <w:tcPr>
            <w:tcW w:w="183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14:00～16:00</w:t>
            </w:r>
          </w:p>
        </w:tc>
        <w:tc>
          <w:tcPr>
            <w:tcW w:w="607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参赛代表队领队会议抽签确定组别号</w:t>
            </w:r>
          </w:p>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参赛代表队熟悉场地</w:t>
            </w:r>
          </w:p>
        </w:tc>
      </w:tr>
      <w:tr>
        <w:tblPrEx>
          <w:tblBorders>
            <w:top w:val="single" w:color="auto" w:sz="4" w:space="0"/>
            <w:left w:val="single" w:color="auto" w:sz="4"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56" w:hRule="exact"/>
        </w:trPr>
        <w:tc>
          <w:tcPr>
            <w:tcW w:w="964" w:type="dxa"/>
            <w:vMerge w:val="continue"/>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p>
        </w:tc>
        <w:tc>
          <w:tcPr>
            <w:tcW w:w="183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19：00～19:30</w:t>
            </w:r>
          </w:p>
        </w:tc>
        <w:tc>
          <w:tcPr>
            <w:tcW w:w="607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开幕式</w:t>
            </w:r>
          </w:p>
        </w:tc>
      </w:tr>
      <w:tr>
        <w:tblPrEx>
          <w:tblBorders>
            <w:top w:val="single" w:color="auto" w:sz="4" w:space="0"/>
            <w:left w:val="single" w:color="auto" w:sz="4"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62" w:hRule="exact"/>
        </w:trPr>
        <w:tc>
          <w:tcPr>
            <w:tcW w:w="964" w:type="dxa"/>
            <w:vMerge w:val="restart"/>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第2天</w:t>
            </w:r>
          </w:p>
        </w:tc>
        <w:tc>
          <w:tcPr>
            <w:tcW w:w="183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8:00～9:00</w:t>
            </w:r>
          </w:p>
        </w:tc>
        <w:tc>
          <w:tcPr>
            <w:tcW w:w="607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机器故障设置</w:t>
            </w:r>
          </w:p>
        </w:tc>
      </w:tr>
      <w:tr>
        <w:tblPrEx>
          <w:tblBorders>
            <w:top w:val="single" w:color="auto" w:sz="4" w:space="0"/>
            <w:left w:val="single" w:color="auto" w:sz="4"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62" w:hRule="exact"/>
        </w:trPr>
        <w:tc>
          <w:tcPr>
            <w:tcW w:w="964" w:type="dxa"/>
            <w:vMerge w:val="continue"/>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p>
        </w:tc>
        <w:tc>
          <w:tcPr>
            <w:tcW w:w="183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8:30～9:00</w:t>
            </w:r>
          </w:p>
        </w:tc>
        <w:tc>
          <w:tcPr>
            <w:tcW w:w="607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检录抽签</w:t>
            </w:r>
          </w:p>
        </w:tc>
      </w:tr>
      <w:tr>
        <w:tblPrEx>
          <w:tblBorders>
            <w:top w:val="single" w:color="auto" w:sz="4" w:space="0"/>
            <w:left w:val="single" w:color="auto" w:sz="4"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62" w:hRule="exact"/>
        </w:trPr>
        <w:tc>
          <w:tcPr>
            <w:tcW w:w="964" w:type="dxa"/>
            <w:vMerge w:val="continue"/>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p>
        </w:tc>
        <w:tc>
          <w:tcPr>
            <w:tcW w:w="183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9:00～10:10</w:t>
            </w:r>
          </w:p>
        </w:tc>
        <w:tc>
          <w:tcPr>
            <w:tcW w:w="6078" w:type="dxa"/>
            <w:vAlign w:val="center"/>
          </w:tcPr>
          <w:p>
            <w:pPr>
              <w:keepNext w:val="0"/>
              <w:keepLines w:val="0"/>
              <w:pageBreakBefore w:val="0"/>
              <w:widowControl w:val="0"/>
              <w:kinsoku/>
              <w:wordWrap/>
              <w:overflowPunct/>
              <w:topLinePunct w:val="0"/>
              <w:autoSpaceDE/>
              <w:autoSpaceDN/>
              <w:bidi w:val="0"/>
              <w:spacing w:line="240" w:lineRule="auto"/>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A组：拖拉机悬挂秸秆还田机综合故障诊断与排除</w:t>
            </w:r>
          </w:p>
        </w:tc>
      </w:tr>
      <w:tr>
        <w:tblPrEx>
          <w:tblBorders>
            <w:top w:val="single" w:color="auto" w:sz="4" w:space="0"/>
            <w:left w:val="single" w:color="auto" w:sz="4"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62" w:hRule="exact"/>
        </w:trPr>
        <w:tc>
          <w:tcPr>
            <w:tcW w:w="964" w:type="dxa"/>
            <w:vMerge w:val="continue"/>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p>
        </w:tc>
        <w:tc>
          <w:tcPr>
            <w:tcW w:w="183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11:00～12:10</w:t>
            </w:r>
          </w:p>
        </w:tc>
        <w:tc>
          <w:tcPr>
            <w:tcW w:w="6078" w:type="dxa"/>
            <w:vAlign w:val="center"/>
          </w:tcPr>
          <w:p>
            <w:pPr>
              <w:keepNext w:val="0"/>
              <w:keepLines w:val="0"/>
              <w:pageBreakBefore w:val="0"/>
              <w:widowControl w:val="0"/>
              <w:kinsoku/>
              <w:wordWrap/>
              <w:overflowPunct/>
              <w:topLinePunct w:val="0"/>
              <w:autoSpaceDE/>
              <w:autoSpaceDN/>
              <w:bidi w:val="0"/>
              <w:spacing w:line="240" w:lineRule="auto"/>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B组：拖拉机悬挂秸秆还田机综合故障诊断与排除</w:t>
            </w:r>
          </w:p>
        </w:tc>
      </w:tr>
      <w:tr>
        <w:tblPrEx>
          <w:tblBorders>
            <w:top w:val="single" w:color="auto" w:sz="4" w:space="0"/>
            <w:left w:val="single" w:color="auto" w:sz="4"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62" w:hRule="exact"/>
        </w:trPr>
        <w:tc>
          <w:tcPr>
            <w:tcW w:w="964" w:type="dxa"/>
            <w:vMerge w:val="continue"/>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p>
        </w:tc>
        <w:tc>
          <w:tcPr>
            <w:tcW w:w="183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13:00～14:10</w:t>
            </w:r>
          </w:p>
        </w:tc>
        <w:tc>
          <w:tcPr>
            <w:tcW w:w="6078" w:type="dxa"/>
            <w:vAlign w:val="center"/>
          </w:tcPr>
          <w:p>
            <w:pPr>
              <w:keepNext w:val="0"/>
              <w:keepLines w:val="0"/>
              <w:pageBreakBefore w:val="0"/>
              <w:widowControl w:val="0"/>
              <w:kinsoku/>
              <w:wordWrap/>
              <w:overflowPunct/>
              <w:topLinePunct w:val="0"/>
              <w:autoSpaceDE/>
              <w:autoSpaceDN/>
              <w:bidi w:val="0"/>
              <w:spacing w:line="240" w:lineRule="auto"/>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C组：拖拉机悬挂秸秆还田机综合故障诊断与排除</w:t>
            </w:r>
          </w:p>
        </w:tc>
      </w:tr>
      <w:tr>
        <w:tblPrEx>
          <w:tblBorders>
            <w:top w:val="single" w:color="auto" w:sz="4" w:space="0"/>
            <w:left w:val="single" w:color="auto" w:sz="4"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62" w:hRule="exact"/>
        </w:trPr>
        <w:tc>
          <w:tcPr>
            <w:tcW w:w="964" w:type="dxa"/>
            <w:vMerge w:val="continue"/>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p>
        </w:tc>
        <w:tc>
          <w:tcPr>
            <w:tcW w:w="183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14:40～15:50</w:t>
            </w:r>
          </w:p>
        </w:tc>
        <w:tc>
          <w:tcPr>
            <w:tcW w:w="607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D组：拖拉机悬挂秸秆还田机综合故障诊断与排除</w:t>
            </w:r>
          </w:p>
        </w:tc>
      </w:tr>
      <w:tr>
        <w:tblPrEx>
          <w:tblBorders>
            <w:top w:val="single" w:color="auto" w:sz="4" w:space="0"/>
            <w:left w:val="single" w:color="auto" w:sz="4"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62" w:hRule="exact"/>
        </w:trPr>
        <w:tc>
          <w:tcPr>
            <w:tcW w:w="964" w:type="dxa"/>
            <w:vMerge w:val="continue"/>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p>
        </w:tc>
        <w:tc>
          <w:tcPr>
            <w:tcW w:w="183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16:20～17:30</w:t>
            </w:r>
          </w:p>
        </w:tc>
        <w:tc>
          <w:tcPr>
            <w:tcW w:w="607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E组：拖拉机悬挂秸秆还田机综合故障诊断与排除</w:t>
            </w:r>
          </w:p>
        </w:tc>
      </w:tr>
      <w:tr>
        <w:tblPrEx>
          <w:tblBorders>
            <w:top w:val="single" w:color="auto" w:sz="4" w:space="0"/>
            <w:left w:val="single" w:color="auto" w:sz="4"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62" w:hRule="exact"/>
        </w:trPr>
        <w:tc>
          <w:tcPr>
            <w:tcW w:w="964" w:type="dxa"/>
            <w:vMerge w:val="restart"/>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第3天</w:t>
            </w:r>
          </w:p>
        </w:tc>
        <w:tc>
          <w:tcPr>
            <w:tcW w:w="183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8:00～9:00</w:t>
            </w:r>
          </w:p>
        </w:tc>
        <w:tc>
          <w:tcPr>
            <w:tcW w:w="607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机器故障设置</w:t>
            </w:r>
          </w:p>
        </w:tc>
      </w:tr>
      <w:tr>
        <w:tblPrEx>
          <w:tblBorders>
            <w:top w:val="single" w:color="auto" w:sz="4" w:space="0"/>
            <w:left w:val="single" w:color="auto" w:sz="4"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62" w:hRule="exact"/>
        </w:trPr>
        <w:tc>
          <w:tcPr>
            <w:tcW w:w="964" w:type="dxa"/>
            <w:vMerge w:val="continue"/>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p>
        </w:tc>
        <w:tc>
          <w:tcPr>
            <w:tcW w:w="183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8:30～9;00</w:t>
            </w:r>
          </w:p>
        </w:tc>
        <w:tc>
          <w:tcPr>
            <w:tcW w:w="607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检录抽签</w:t>
            </w:r>
          </w:p>
        </w:tc>
      </w:tr>
      <w:tr>
        <w:tblPrEx>
          <w:tblBorders>
            <w:top w:val="single" w:color="auto" w:sz="4" w:space="0"/>
            <w:left w:val="single" w:color="auto" w:sz="4"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62" w:hRule="exact"/>
        </w:trPr>
        <w:tc>
          <w:tcPr>
            <w:tcW w:w="964" w:type="dxa"/>
            <w:vMerge w:val="continue"/>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p>
        </w:tc>
        <w:tc>
          <w:tcPr>
            <w:tcW w:w="183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9:00～9:40</w:t>
            </w:r>
          </w:p>
        </w:tc>
        <w:tc>
          <w:tcPr>
            <w:tcW w:w="6078" w:type="dxa"/>
            <w:vAlign w:val="center"/>
          </w:tcPr>
          <w:p>
            <w:pPr>
              <w:keepNext w:val="0"/>
              <w:keepLines w:val="0"/>
              <w:pageBreakBefore w:val="0"/>
              <w:widowControl w:val="0"/>
              <w:kinsoku/>
              <w:wordWrap/>
              <w:overflowPunct/>
              <w:topLinePunct w:val="0"/>
              <w:autoSpaceDE/>
              <w:autoSpaceDN/>
              <w:bidi w:val="0"/>
              <w:spacing w:line="240" w:lineRule="auto"/>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A组：履带自走式全喂入联合收割机综合故障诊断与排除</w:t>
            </w:r>
          </w:p>
        </w:tc>
      </w:tr>
      <w:tr>
        <w:tblPrEx>
          <w:tblBorders>
            <w:top w:val="single" w:color="auto" w:sz="4" w:space="0"/>
            <w:left w:val="single" w:color="auto" w:sz="4"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62" w:hRule="exact"/>
        </w:trPr>
        <w:tc>
          <w:tcPr>
            <w:tcW w:w="964" w:type="dxa"/>
            <w:vMerge w:val="continue"/>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p>
        </w:tc>
        <w:tc>
          <w:tcPr>
            <w:tcW w:w="183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10:10～10:50</w:t>
            </w:r>
          </w:p>
        </w:tc>
        <w:tc>
          <w:tcPr>
            <w:tcW w:w="6078" w:type="dxa"/>
            <w:vAlign w:val="center"/>
          </w:tcPr>
          <w:p>
            <w:pPr>
              <w:keepNext w:val="0"/>
              <w:keepLines w:val="0"/>
              <w:pageBreakBefore w:val="0"/>
              <w:widowControl w:val="0"/>
              <w:kinsoku/>
              <w:wordWrap/>
              <w:overflowPunct/>
              <w:topLinePunct w:val="0"/>
              <w:autoSpaceDE/>
              <w:autoSpaceDN/>
              <w:bidi w:val="0"/>
              <w:spacing w:line="240" w:lineRule="auto"/>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B组：履带自走式全喂入联合收割机综合故障诊断与排除</w:t>
            </w:r>
          </w:p>
        </w:tc>
      </w:tr>
      <w:tr>
        <w:tblPrEx>
          <w:tblBorders>
            <w:top w:val="single" w:color="auto" w:sz="4" w:space="0"/>
            <w:left w:val="single" w:color="auto" w:sz="4"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62" w:hRule="exact"/>
        </w:trPr>
        <w:tc>
          <w:tcPr>
            <w:tcW w:w="964" w:type="dxa"/>
            <w:vMerge w:val="continue"/>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p>
        </w:tc>
        <w:tc>
          <w:tcPr>
            <w:tcW w:w="183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11:20～12:00</w:t>
            </w:r>
          </w:p>
        </w:tc>
        <w:tc>
          <w:tcPr>
            <w:tcW w:w="6078" w:type="dxa"/>
            <w:vAlign w:val="center"/>
          </w:tcPr>
          <w:p>
            <w:pPr>
              <w:keepNext w:val="0"/>
              <w:keepLines w:val="0"/>
              <w:pageBreakBefore w:val="0"/>
              <w:widowControl w:val="0"/>
              <w:kinsoku/>
              <w:wordWrap/>
              <w:overflowPunct/>
              <w:topLinePunct w:val="0"/>
              <w:autoSpaceDE/>
              <w:autoSpaceDN/>
              <w:bidi w:val="0"/>
              <w:spacing w:line="240" w:lineRule="auto"/>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C组：履带自走式全喂入联合收割机综合故障诊断与排除</w:t>
            </w:r>
          </w:p>
        </w:tc>
      </w:tr>
      <w:tr>
        <w:tblPrEx>
          <w:tblBorders>
            <w:top w:val="single" w:color="auto" w:sz="4" w:space="0"/>
            <w:left w:val="single" w:color="auto" w:sz="4"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9" w:hRule="exact"/>
        </w:trPr>
        <w:tc>
          <w:tcPr>
            <w:tcW w:w="964" w:type="dxa"/>
            <w:vMerge w:val="continue"/>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p>
        </w:tc>
        <w:tc>
          <w:tcPr>
            <w:tcW w:w="183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12:50-13:30</w:t>
            </w:r>
          </w:p>
        </w:tc>
        <w:tc>
          <w:tcPr>
            <w:tcW w:w="6078" w:type="dxa"/>
            <w:vAlign w:val="center"/>
          </w:tcPr>
          <w:p>
            <w:pPr>
              <w:keepNext w:val="0"/>
              <w:keepLines w:val="0"/>
              <w:pageBreakBefore w:val="0"/>
              <w:widowControl w:val="0"/>
              <w:kinsoku/>
              <w:wordWrap/>
              <w:overflowPunct/>
              <w:topLinePunct w:val="0"/>
              <w:autoSpaceDE/>
              <w:autoSpaceDN/>
              <w:bidi w:val="0"/>
              <w:spacing w:line="240" w:lineRule="auto"/>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D组：履带自走式全喂入联合收割机综合故障诊断与排除</w:t>
            </w:r>
          </w:p>
        </w:tc>
      </w:tr>
      <w:tr>
        <w:tblPrEx>
          <w:tblBorders>
            <w:top w:val="single" w:color="auto" w:sz="4" w:space="0"/>
            <w:left w:val="single" w:color="auto" w:sz="4"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9" w:hRule="exact"/>
        </w:trPr>
        <w:tc>
          <w:tcPr>
            <w:tcW w:w="964" w:type="dxa"/>
            <w:vMerge w:val="continue"/>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p>
        </w:tc>
        <w:tc>
          <w:tcPr>
            <w:tcW w:w="1838" w:type="dxa"/>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14:00-14:40</w:t>
            </w:r>
          </w:p>
        </w:tc>
        <w:tc>
          <w:tcPr>
            <w:tcW w:w="6078" w:type="dxa"/>
            <w:vAlign w:val="center"/>
          </w:tcPr>
          <w:p>
            <w:pPr>
              <w:keepNext w:val="0"/>
              <w:keepLines w:val="0"/>
              <w:pageBreakBefore w:val="0"/>
              <w:widowControl w:val="0"/>
              <w:kinsoku/>
              <w:wordWrap/>
              <w:overflowPunct/>
              <w:topLinePunct w:val="0"/>
              <w:autoSpaceDE/>
              <w:autoSpaceDN/>
              <w:bidi w:val="0"/>
              <w:spacing w:line="240" w:lineRule="auto"/>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E组：履带自走式全喂入联合收割机综合故障诊断与排除</w:t>
            </w:r>
          </w:p>
        </w:tc>
      </w:tr>
      <w:tr>
        <w:tblPrEx>
          <w:tblBorders>
            <w:top w:val="single" w:color="auto" w:sz="4" w:space="0"/>
            <w:left w:val="single" w:color="auto" w:sz="4"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95" w:hRule="exact"/>
        </w:trPr>
        <w:tc>
          <w:tcPr>
            <w:tcW w:w="964" w:type="dxa"/>
            <w:vMerge w:val="continue"/>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p>
        </w:tc>
        <w:tc>
          <w:tcPr>
            <w:tcW w:w="1838" w:type="dxa"/>
            <w:tcBorders>
              <w:bottom w:val="single" w:color="auto" w:sz="4" w:space="0"/>
            </w:tcBorders>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20:30～21:30</w:t>
            </w:r>
          </w:p>
        </w:tc>
        <w:tc>
          <w:tcPr>
            <w:tcW w:w="6078" w:type="dxa"/>
            <w:tcBorders>
              <w:bottom w:val="single" w:color="auto" w:sz="4" w:space="0"/>
            </w:tcBorders>
            <w:vAlign w:val="center"/>
          </w:tcPr>
          <w:p>
            <w:pPr>
              <w:keepNext w:val="0"/>
              <w:keepLines w:val="0"/>
              <w:pageBreakBefore w:val="0"/>
              <w:widowControl w:val="0"/>
              <w:kinsoku/>
              <w:wordWrap/>
              <w:overflowPunct/>
              <w:topLinePunct w:val="0"/>
              <w:autoSpaceDE/>
              <w:autoSpaceDN/>
              <w:bidi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闭幕式</w:t>
            </w:r>
          </w:p>
        </w:tc>
      </w:tr>
    </w:tbl>
    <w:tbl>
      <w:tblPr>
        <w:tblStyle w:val="10"/>
        <w:tblW w:w="8897"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97"/>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0" w:hRule="atLeast"/>
        </w:trPr>
        <w:tc>
          <w:tcPr>
            <w:tcW w:w="8897" w:type="dxa"/>
          </w:tcPr>
          <w:p>
            <w:pPr>
              <w:keepNext w:val="0"/>
              <w:keepLines w:val="0"/>
              <w:pageBreakBefore w:val="0"/>
              <w:widowControl w:val="0"/>
              <w:kinsoku/>
              <w:wordWrap/>
              <w:overflowPunct/>
              <w:topLinePunct w:val="0"/>
              <w:autoSpaceDE/>
              <w:autoSpaceDN/>
              <w:bidi w:val="0"/>
              <w:spacing w:line="240" w:lineRule="auto"/>
              <w:rPr>
                <w:rFonts w:hint="eastAsia" w:ascii="仿宋_GB2312" w:hAnsi="仿宋_GB2312" w:eastAsia="仿宋_GB2312" w:cs="仿宋_GB2312"/>
                <w:sz w:val="24"/>
                <w:szCs w:val="24"/>
              </w:rPr>
            </w:pPr>
          </w:p>
        </w:tc>
      </w:tr>
    </w:tbl>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六、竞赛赛卷</w:t>
      </w:r>
    </w:p>
    <w:p>
      <w:pPr>
        <w:keepNext w:val="0"/>
        <w:keepLines w:val="0"/>
        <w:pageBreakBefore w:val="0"/>
        <w:kinsoku/>
        <w:wordWrap/>
        <w:overflowPunct/>
        <w:autoSpaceDE/>
        <w:autoSpaceDN/>
        <w:bidi w:val="0"/>
        <w:spacing w:line="560" w:lineRule="exact"/>
        <w:ind w:firstLine="560" w:firstLineChars="20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农机维修（中职组）样卷</w:t>
      </w:r>
    </w:p>
    <w:p>
      <w:pPr>
        <w:keepNext w:val="0"/>
        <w:keepLines w:val="0"/>
        <w:pageBreakBefore w:val="0"/>
        <w:kinsoku/>
        <w:wordWrap/>
        <w:overflowPunct/>
        <w:autoSpaceDE/>
        <w:autoSpaceDN/>
        <w:bidi w:val="0"/>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（一）样题一 大型轮式拖拉机悬挂秸秆还田机综合故障诊断与排除</w:t>
      </w:r>
    </w:p>
    <w:p>
      <w:pPr>
        <w:keepNext w:val="0"/>
        <w:keepLines w:val="0"/>
        <w:pageBreakBefore w:val="0"/>
        <w:kinsoku/>
        <w:wordWrap/>
        <w:overflowPunct/>
        <w:autoSpaceDE/>
        <w:autoSpaceDN/>
        <w:bidi w:val="0"/>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拖拉机的驾驶室地板胶垫、仪表盘下部挡板、风扇侧挡板已拆除，在固定的工位上操作，拖拉机不允许移动。</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竞赛时严禁拆卸燃油供给系统。</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竞赛选手在固定的工位上70分钟内独立完成DF-1004拖拉机底盘传动系、制动系的检查调整；电路故障排除；电控高压共轨系统的测试、诊断与排除；液压系统油压测试；柴油机排放污染物烟度值的测试。并填写记录表2至表7。</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1.判断排除拖拉机底盘故障</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sz w:val="28"/>
          <w:szCs w:val="28"/>
        </w:rPr>
        <w:t>（1）调整主离合器踏板自由行程，符合技术要求。</w:t>
      </w:r>
    </w:p>
    <w:p>
      <w:pPr>
        <w:keepNext w:val="0"/>
        <w:keepLines w:val="0"/>
        <w:pageBreakBefore w:val="0"/>
        <w:kinsoku/>
        <w:wordWrap/>
        <w:overflowPunct/>
        <w:autoSpaceDE/>
        <w:autoSpaceDN/>
        <w:bidi w:val="0"/>
        <w:adjustRightInd w:val="0"/>
        <w:snapToGrid w:val="0"/>
        <w:spacing w:line="560" w:lineRule="exact"/>
        <w:jc w:val="center"/>
        <w:textAlignment w:val="baseline"/>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表2离合器调整记录表</w:t>
      </w:r>
    </w:p>
    <w:tbl>
      <w:tblPr>
        <w:tblStyle w:val="10"/>
        <w:tblW w:w="78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7"/>
        <w:gridCol w:w="5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2057"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项  目</w:t>
            </w:r>
          </w:p>
        </w:tc>
        <w:tc>
          <w:tcPr>
            <w:tcW w:w="576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主离合器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2057"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576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踏板自由行程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1" w:hRule="atLeast"/>
          <w:jc w:val="center"/>
        </w:trPr>
        <w:tc>
          <w:tcPr>
            <w:tcW w:w="205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调整参数值（mm）</w:t>
            </w:r>
          </w:p>
        </w:tc>
        <w:tc>
          <w:tcPr>
            <w:tcW w:w="576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bl>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（2）调整行车制动器踏板自由行程，符合技术要求，并填写记录表。</w:t>
      </w:r>
    </w:p>
    <w:p>
      <w:pPr>
        <w:keepNext w:val="0"/>
        <w:keepLines w:val="0"/>
        <w:pageBreakBefore w:val="0"/>
        <w:kinsoku/>
        <w:wordWrap/>
        <w:overflowPunct/>
        <w:autoSpaceDE/>
        <w:autoSpaceDN/>
        <w:bidi w:val="0"/>
        <w:adjustRightInd w:val="0"/>
        <w:snapToGrid w:val="0"/>
        <w:spacing w:line="560" w:lineRule="exact"/>
        <w:jc w:val="center"/>
        <w:textAlignment w:val="baseline"/>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表3制动器调整记录表</w:t>
      </w:r>
    </w:p>
    <w:tbl>
      <w:tblPr>
        <w:tblStyle w:val="10"/>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1599"/>
        <w:gridCol w:w="2225"/>
        <w:gridCol w:w="1213"/>
        <w:gridCol w:w="14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2052"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  目</w:t>
            </w:r>
          </w:p>
        </w:tc>
        <w:tc>
          <w:tcPr>
            <w:tcW w:w="6468" w:type="dxa"/>
            <w:gridSpan w:val="4"/>
            <w:tcBorders>
              <w:bottom w:val="single" w:color="auto" w:sz="4" w:space="0"/>
            </w:tcBorders>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制动器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2052" w:type="dxa"/>
            <w:vMerge w:val="continue"/>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3824" w:type="dxa"/>
            <w:gridSpan w:val="2"/>
            <w:tcBorders>
              <w:top w:val="single" w:color="auto" w:sz="4" w:space="0"/>
            </w:tcBorders>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制动限位螺钉与制动泵之间间隙</w:t>
            </w:r>
          </w:p>
        </w:tc>
        <w:tc>
          <w:tcPr>
            <w:tcW w:w="2644" w:type="dxa"/>
            <w:gridSpan w:val="2"/>
            <w:tcBorders>
              <w:top w:val="single" w:color="auto" w:sz="4" w:space="0"/>
            </w:tcBorders>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踏板自由行程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2052" w:type="dxa"/>
            <w:vMerge w:val="continue"/>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599"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左</w:t>
            </w:r>
          </w:p>
        </w:tc>
        <w:tc>
          <w:tcPr>
            <w:tcW w:w="2225"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右</w:t>
            </w:r>
          </w:p>
        </w:tc>
        <w:tc>
          <w:tcPr>
            <w:tcW w:w="1213"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左</w:t>
            </w:r>
          </w:p>
        </w:tc>
        <w:tc>
          <w:tcPr>
            <w:tcW w:w="1431"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5" w:hRule="atLeast"/>
        </w:trPr>
        <w:tc>
          <w:tcPr>
            <w:tcW w:w="2052"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调整参数值（mm）</w:t>
            </w:r>
          </w:p>
        </w:tc>
        <w:tc>
          <w:tcPr>
            <w:tcW w:w="1599"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225"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213"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31"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bl>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2.判断排除电路故障</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（1）电源电路故障</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（2）启动电路故障</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（3）照明、仪表、信号及控制电路故障</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使用诊断仪对电控高压共轨系统进行测试、诊断，排除故障后发动机应运转正常并填写数据记录表。</w:t>
      </w:r>
    </w:p>
    <w:p>
      <w:pPr>
        <w:keepNext w:val="0"/>
        <w:keepLines w:val="0"/>
        <w:pageBreakBefore w:val="0"/>
        <w:tabs>
          <w:tab w:val="left" w:pos="2373"/>
          <w:tab w:val="center" w:pos="4213"/>
        </w:tabs>
        <w:kinsoku/>
        <w:wordWrap/>
        <w:overflowPunct/>
        <w:autoSpaceDE/>
        <w:autoSpaceDN/>
        <w:bidi w:val="0"/>
        <w:spacing w:line="560" w:lineRule="exact"/>
        <w:jc w:val="left"/>
        <w:rPr>
          <w:rFonts w:hint="eastAsia" w:ascii="仿宋_GB2312" w:hAnsi="仿宋_GB2312" w:eastAsia="仿宋_GB2312" w:cs="仿宋_GB2312"/>
          <w:b/>
          <w:bCs/>
          <w:sz w:val="28"/>
          <w:szCs w:val="28"/>
        </w:rPr>
      </w:pPr>
      <w:r>
        <w:rPr>
          <w:rFonts w:hint="eastAsia" w:ascii="仿宋_GB2312" w:hAnsi="仿宋_GB2312" w:eastAsia="仿宋_GB2312" w:cs="仿宋_GB2312"/>
          <w:b/>
          <w:sz w:val="28"/>
          <w:szCs w:val="28"/>
        </w:rPr>
        <w:tab/>
      </w:r>
      <w:r>
        <w:rPr>
          <w:rFonts w:hint="eastAsia" w:ascii="仿宋_GB2312" w:hAnsi="仿宋_GB2312" w:eastAsia="仿宋_GB2312" w:cs="仿宋_GB2312"/>
          <w:b/>
          <w:bCs/>
          <w:sz w:val="28"/>
          <w:szCs w:val="28"/>
        </w:rPr>
        <w:t>表4 诊断仪测试数据流记录</w:t>
      </w:r>
    </w:p>
    <w:p>
      <w:pPr>
        <w:keepNext w:val="0"/>
        <w:keepLines w:val="0"/>
        <w:pageBreakBefore w:val="0"/>
        <w:kinsoku/>
        <w:wordWrap/>
        <w:overflowPunct/>
        <w:autoSpaceDE/>
        <w:autoSpaceDN/>
        <w:bidi w:val="0"/>
        <w:spacing w:line="560" w:lineRule="exact"/>
        <w:jc w:val="left"/>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测试工况：</w:t>
      </w:r>
      <w:r>
        <w:rPr>
          <w:rFonts w:hint="eastAsia" w:ascii="仿宋_GB2312" w:hAnsi="仿宋_GB2312" w:eastAsia="仿宋_GB2312" w:cs="仿宋_GB2312"/>
          <w:sz w:val="28"/>
          <w:szCs w:val="28"/>
          <w:u w:val="single"/>
        </w:rPr>
        <w:t xml:space="preserve">                  </w:t>
      </w:r>
    </w:p>
    <w:tbl>
      <w:tblPr>
        <w:tblStyle w:val="11"/>
        <w:tblW w:w="84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2245"/>
        <w:gridCol w:w="1694"/>
        <w:gridCol w:w="1790"/>
        <w:gridCol w:w="19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trPr>
        <w:tc>
          <w:tcPr>
            <w:tcW w:w="82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224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监控量名称</w:t>
            </w:r>
          </w:p>
        </w:tc>
        <w:tc>
          <w:tcPr>
            <w:tcW w:w="169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监控量值</w:t>
            </w:r>
          </w:p>
        </w:tc>
        <w:tc>
          <w:tcPr>
            <w:tcW w:w="179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监控量单位</w:t>
            </w:r>
          </w:p>
        </w:tc>
        <w:tc>
          <w:tcPr>
            <w:tcW w:w="192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备註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trPr>
        <w:tc>
          <w:tcPr>
            <w:tcW w:w="82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224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电池电压</w:t>
            </w:r>
          </w:p>
        </w:tc>
        <w:tc>
          <w:tcPr>
            <w:tcW w:w="169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9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v</w:t>
            </w:r>
          </w:p>
        </w:tc>
        <w:tc>
          <w:tcPr>
            <w:tcW w:w="192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trPr>
        <w:tc>
          <w:tcPr>
            <w:tcW w:w="82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224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发动机转速</w:t>
            </w:r>
          </w:p>
        </w:tc>
        <w:tc>
          <w:tcPr>
            <w:tcW w:w="169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9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rpm</w:t>
            </w:r>
          </w:p>
        </w:tc>
        <w:tc>
          <w:tcPr>
            <w:tcW w:w="192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trPr>
        <w:tc>
          <w:tcPr>
            <w:tcW w:w="82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224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喷油量设定值</w:t>
            </w:r>
          </w:p>
        </w:tc>
        <w:tc>
          <w:tcPr>
            <w:tcW w:w="169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9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mg/stroke</w:t>
            </w:r>
          </w:p>
        </w:tc>
        <w:tc>
          <w:tcPr>
            <w:tcW w:w="192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trPr>
        <w:tc>
          <w:tcPr>
            <w:tcW w:w="82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224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当前喷油量</w:t>
            </w:r>
          </w:p>
        </w:tc>
        <w:tc>
          <w:tcPr>
            <w:tcW w:w="169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9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mg/stroke</w:t>
            </w:r>
          </w:p>
        </w:tc>
        <w:tc>
          <w:tcPr>
            <w:tcW w:w="192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trPr>
        <w:tc>
          <w:tcPr>
            <w:tcW w:w="82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224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轨压峰值</w:t>
            </w:r>
          </w:p>
        </w:tc>
        <w:tc>
          <w:tcPr>
            <w:tcW w:w="169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9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hpa</w:t>
            </w:r>
          </w:p>
        </w:tc>
        <w:tc>
          <w:tcPr>
            <w:tcW w:w="192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trPr>
        <w:tc>
          <w:tcPr>
            <w:tcW w:w="82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224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冷却液温度</w:t>
            </w:r>
          </w:p>
        </w:tc>
        <w:tc>
          <w:tcPr>
            <w:tcW w:w="169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9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degC</w:t>
            </w:r>
          </w:p>
        </w:tc>
        <w:tc>
          <w:tcPr>
            <w:tcW w:w="192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trPr>
        <w:tc>
          <w:tcPr>
            <w:tcW w:w="82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w:t>
            </w:r>
          </w:p>
        </w:tc>
        <w:tc>
          <w:tcPr>
            <w:tcW w:w="224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大气压力</w:t>
            </w:r>
          </w:p>
        </w:tc>
        <w:tc>
          <w:tcPr>
            <w:tcW w:w="169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9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hpa</w:t>
            </w:r>
          </w:p>
        </w:tc>
        <w:tc>
          <w:tcPr>
            <w:tcW w:w="192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trPr>
        <w:tc>
          <w:tcPr>
            <w:tcW w:w="82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w:t>
            </w:r>
          </w:p>
        </w:tc>
        <w:tc>
          <w:tcPr>
            <w:tcW w:w="224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机油温度</w:t>
            </w:r>
          </w:p>
        </w:tc>
        <w:tc>
          <w:tcPr>
            <w:tcW w:w="169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9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degC</w:t>
            </w:r>
          </w:p>
        </w:tc>
        <w:tc>
          <w:tcPr>
            <w:tcW w:w="192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trPr>
        <w:tc>
          <w:tcPr>
            <w:tcW w:w="82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w:t>
            </w:r>
          </w:p>
        </w:tc>
        <w:tc>
          <w:tcPr>
            <w:tcW w:w="224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进气压力</w:t>
            </w:r>
          </w:p>
        </w:tc>
        <w:tc>
          <w:tcPr>
            <w:tcW w:w="169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9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hpa</w:t>
            </w:r>
          </w:p>
        </w:tc>
        <w:tc>
          <w:tcPr>
            <w:tcW w:w="192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rPr>
        <w:tc>
          <w:tcPr>
            <w:tcW w:w="82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w:t>
            </w:r>
          </w:p>
        </w:tc>
        <w:tc>
          <w:tcPr>
            <w:tcW w:w="224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进气温度</w:t>
            </w:r>
          </w:p>
        </w:tc>
        <w:tc>
          <w:tcPr>
            <w:tcW w:w="169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9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degC</w:t>
            </w:r>
          </w:p>
        </w:tc>
        <w:tc>
          <w:tcPr>
            <w:tcW w:w="192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bl>
    <w:p>
      <w:pPr>
        <w:keepNext w:val="0"/>
        <w:keepLines w:val="0"/>
        <w:pageBreakBefore w:val="0"/>
        <w:tabs>
          <w:tab w:val="left" w:pos="2373"/>
          <w:tab w:val="center" w:pos="4213"/>
        </w:tabs>
        <w:kinsoku/>
        <w:wordWrap/>
        <w:overflowPunct/>
        <w:autoSpaceDE/>
        <w:autoSpaceDN/>
        <w:bidi w:val="0"/>
        <w:spacing w:line="56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表5 电控高压共轨系统检测数据</w:t>
      </w:r>
    </w:p>
    <w:tbl>
      <w:tblPr>
        <w:tblStyle w:val="10"/>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4"/>
        <w:gridCol w:w="1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元件名称</w:t>
            </w:r>
          </w:p>
        </w:tc>
        <w:tc>
          <w:tcPr>
            <w:tcW w:w="170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工况</w:t>
            </w:r>
          </w:p>
        </w:tc>
        <w:tc>
          <w:tcPr>
            <w:tcW w:w="170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电阻值(Ω)</w:t>
            </w:r>
          </w:p>
        </w:tc>
        <w:tc>
          <w:tcPr>
            <w:tcW w:w="170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数据流读数</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电压值(V)</w:t>
            </w:r>
          </w:p>
        </w:tc>
        <w:tc>
          <w:tcPr>
            <w:tcW w:w="170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数据流读数（℃）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704"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水温传感器</w:t>
            </w:r>
          </w:p>
        </w:tc>
        <w:tc>
          <w:tcPr>
            <w:tcW w:w="170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怠速工况（    ）r/min</w:t>
            </w:r>
          </w:p>
        </w:tc>
        <w:tc>
          <w:tcPr>
            <w:tcW w:w="170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0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0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704"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0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运转工况（    ）r/min</w:t>
            </w:r>
          </w:p>
        </w:tc>
        <w:tc>
          <w:tcPr>
            <w:tcW w:w="170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0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0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4" w:hRule="atLeast"/>
        </w:trPr>
        <w:tc>
          <w:tcPr>
            <w:tcW w:w="3408" w:type="dxa"/>
            <w:gridSpan w:val="2"/>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分析结论</w:t>
            </w:r>
          </w:p>
        </w:tc>
        <w:tc>
          <w:tcPr>
            <w:tcW w:w="5112" w:type="dxa"/>
            <w:gridSpan w:val="3"/>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bl>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3.使用油压表对液压系统压力进行测试</w:t>
      </w:r>
    </w:p>
    <w:p>
      <w:pPr>
        <w:keepNext w:val="0"/>
        <w:keepLines w:val="0"/>
        <w:pageBreakBefore w:val="0"/>
        <w:tabs>
          <w:tab w:val="left" w:pos="2373"/>
          <w:tab w:val="center" w:pos="4213"/>
        </w:tabs>
        <w:kinsoku/>
        <w:wordWrap/>
        <w:overflowPunct/>
        <w:autoSpaceDE/>
        <w:autoSpaceDN/>
        <w:bidi w:val="0"/>
        <w:spacing w:line="56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表6 液压系统压力测试</w:t>
      </w:r>
    </w:p>
    <w:p>
      <w:pPr>
        <w:keepNext w:val="0"/>
        <w:keepLines w:val="0"/>
        <w:pageBreakBefore w:val="0"/>
        <w:kinsoku/>
        <w:wordWrap/>
        <w:overflowPunct/>
        <w:autoSpaceDE/>
        <w:autoSpaceDN/>
        <w:bidi w:val="0"/>
        <w:spacing w:line="560" w:lineRule="exact"/>
        <w:jc w:val="left"/>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测试工况：</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                             </w:t>
      </w:r>
    </w:p>
    <w:tbl>
      <w:tblPr>
        <w:tblStyle w:val="1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1"/>
        <w:gridCol w:w="2431"/>
        <w:gridCol w:w="2410"/>
        <w:gridCol w:w="2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w:t>
            </w:r>
          </w:p>
        </w:tc>
        <w:tc>
          <w:tcPr>
            <w:tcW w:w="7301" w:type="dxa"/>
            <w:gridSpan w:val="3"/>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43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41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4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检测值</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（MPa）</w:t>
            </w:r>
          </w:p>
        </w:tc>
        <w:tc>
          <w:tcPr>
            <w:tcW w:w="243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41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4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测试位置</w:t>
            </w:r>
          </w:p>
        </w:tc>
        <w:tc>
          <w:tcPr>
            <w:tcW w:w="243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41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4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bl>
    <w:p>
      <w:pPr>
        <w:pStyle w:val="3"/>
        <w:keepNext w:val="0"/>
        <w:keepLines w:val="0"/>
        <w:pageBreakBefore w:val="0"/>
        <w:kinsoku/>
        <w:wordWrap/>
        <w:overflowPunct/>
        <w:autoSpaceDE/>
        <w:autoSpaceDN/>
        <w:bidi w:val="0"/>
        <w:snapToGrid w:val="0"/>
        <w:spacing w:line="560" w:lineRule="exact"/>
        <w:jc w:val="left"/>
        <w:rPr>
          <w:rFonts w:hint="eastAsia" w:ascii="仿宋_GB2312" w:hAnsi="仿宋_GB2312" w:eastAsia="仿宋_GB2312" w:cs="仿宋_GB2312"/>
          <w:sz w:val="28"/>
          <w:szCs w:val="28"/>
        </w:rPr>
      </w:pP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4.使用烟度计测试柴油机排放污染物烟度限值。</w:t>
      </w:r>
    </w:p>
    <w:p>
      <w:pPr>
        <w:keepNext w:val="0"/>
        <w:keepLines w:val="0"/>
        <w:pageBreakBefore w:val="0"/>
        <w:tabs>
          <w:tab w:val="left" w:pos="2373"/>
          <w:tab w:val="center" w:pos="4213"/>
        </w:tabs>
        <w:kinsoku/>
        <w:wordWrap/>
        <w:overflowPunct/>
        <w:autoSpaceDE/>
        <w:autoSpaceDN/>
        <w:bidi w:val="0"/>
        <w:spacing w:line="56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表7柴油机排气烟度限值测试记录表</w:t>
      </w:r>
    </w:p>
    <w:p>
      <w:pPr>
        <w:keepNext w:val="0"/>
        <w:keepLines w:val="0"/>
        <w:pageBreakBefore w:val="0"/>
        <w:tabs>
          <w:tab w:val="left" w:pos="2373"/>
          <w:tab w:val="center" w:pos="4213"/>
        </w:tabs>
        <w:kinsoku/>
        <w:wordWrap/>
        <w:overflowPunct/>
        <w:autoSpaceDE/>
        <w:autoSpaceDN/>
        <w:bidi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测试方法_____________________   烟度计型号________________________</w:t>
      </w:r>
    </w:p>
    <w:tbl>
      <w:tblPr>
        <w:tblStyle w:val="10"/>
        <w:tblW w:w="8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0"/>
        <w:gridCol w:w="1060"/>
        <w:gridCol w:w="1059"/>
        <w:gridCol w:w="1060"/>
        <w:gridCol w:w="1060"/>
        <w:gridCol w:w="1060"/>
        <w:gridCol w:w="1060"/>
        <w:gridCol w:w="1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trPr>
        <w:tc>
          <w:tcPr>
            <w:tcW w:w="1060"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机 型</w:t>
            </w:r>
          </w:p>
        </w:tc>
        <w:tc>
          <w:tcPr>
            <w:tcW w:w="1060"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发动机</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型号</w:t>
            </w:r>
          </w:p>
        </w:tc>
        <w:tc>
          <w:tcPr>
            <w:tcW w:w="1059"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起始转速（    ）rpm</w:t>
            </w:r>
          </w:p>
        </w:tc>
        <w:tc>
          <w:tcPr>
            <w:tcW w:w="1060"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终止转速（    ）rpm</w:t>
            </w:r>
          </w:p>
        </w:tc>
        <w:tc>
          <w:tcPr>
            <w:tcW w:w="3180" w:type="dxa"/>
            <w:gridSpan w:val="3"/>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烟度Rb</w:t>
            </w:r>
          </w:p>
        </w:tc>
        <w:tc>
          <w:tcPr>
            <w:tcW w:w="106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平均值</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6" w:hRule="atLeast"/>
        </w:trPr>
        <w:tc>
          <w:tcPr>
            <w:tcW w:w="1060"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060"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059"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060"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0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0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0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106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10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测试值</w:t>
            </w:r>
          </w:p>
        </w:tc>
        <w:tc>
          <w:tcPr>
            <w:tcW w:w="10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059"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0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0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0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0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0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92" w:hRule="atLeast"/>
        </w:trPr>
        <w:tc>
          <w:tcPr>
            <w:tcW w:w="10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结 论</w:t>
            </w:r>
          </w:p>
        </w:tc>
        <w:tc>
          <w:tcPr>
            <w:tcW w:w="7420" w:type="dxa"/>
            <w:gridSpan w:val="7"/>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bl>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（二）样题二 履带自走式全喂入联合收割机综合故障诊断与排除</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DH 4LZ-4.0Z全喂入联合收割机的粮仓箱螺丝、脱粒箱上盖螺丝、割台安全防护罩、清选室 左侧挡板已拆除。要求选手在固定的工位上操作，收割机不允许移动、不允许传动、允许升降割台、允许升降拨禾轮。</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竞赛选手在固定的工位上40分钟内独立完成以下内容，并填写记录表8至表11。</w:t>
      </w:r>
    </w:p>
    <w:p>
      <w:pPr>
        <w:keepNext w:val="0"/>
        <w:keepLines w:val="0"/>
        <w:pageBreakBefore w:val="0"/>
        <w:kinsoku/>
        <w:wordWrap/>
        <w:overflowPunct/>
        <w:autoSpaceDE/>
        <w:autoSpaceDN/>
        <w:bidi w:val="0"/>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1.底盘部分的检查与调整</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调整制动踏板的自由行程为20mm，并填写记录表。</w:t>
      </w:r>
    </w:p>
    <w:p>
      <w:pPr>
        <w:keepNext w:val="0"/>
        <w:keepLines w:val="0"/>
        <w:pageBreakBefore w:val="0"/>
        <w:kinsoku/>
        <w:wordWrap/>
        <w:overflowPunct/>
        <w:autoSpaceDE/>
        <w:autoSpaceDN/>
        <w:bidi w:val="0"/>
        <w:spacing w:line="560" w:lineRule="exact"/>
        <w:ind w:firstLine="422" w:firstLineChars="15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表8收割机制动踏板自由行程检查调整记录表</w:t>
      </w:r>
    </w:p>
    <w:tbl>
      <w:tblPr>
        <w:tblStyle w:val="1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40"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  目</w:t>
            </w:r>
          </w:p>
        </w:tc>
        <w:tc>
          <w:tcPr>
            <w:tcW w:w="2841"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调整前</w:t>
            </w:r>
          </w:p>
        </w:tc>
        <w:tc>
          <w:tcPr>
            <w:tcW w:w="2841"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调整后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40"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检查参数值（    ）</w:t>
            </w:r>
          </w:p>
        </w:tc>
        <w:tc>
          <w:tcPr>
            <w:tcW w:w="2841"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841"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bl>
    <w:p>
      <w:pPr>
        <w:keepNext w:val="0"/>
        <w:keepLines w:val="0"/>
        <w:pageBreakBefore w:val="0"/>
        <w:kinsoku/>
        <w:wordWrap/>
        <w:overflowPunct/>
        <w:autoSpaceDE/>
        <w:autoSpaceDN/>
        <w:bidi w:val="0"/>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2.割台部分故障诊断与排除</w:t>
      </w:r>
    </w:p>
    <w:p>
      <w:pPr>
        <w:keepNext w:val="0"/>
        <w:keepLines w:val="0"/>
        <w:pageBreakBefore w:val="0"/>
        <w:kinsoku/>
        <w:wordWrap/>
        <w:overflowPunct/>
        <w:autoSpaceDE/>
        <w:autoSpaceDN/>
        <w:bidi w:val="0"/>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（1）检查各护刃器尖端直线度；</w:t>
      </w:r>
    </w:p>
    <w:p>
      <w:pPr>
        <w:keepNext w:val="0"/>
        <w:keepLines w:val="0"/>
        <w:pageBreakBefore w:val="0"/>
        <w:kinsoku/>
        <w:wordWrap/>
        <w:overflowPunct/>
        <w:autoSpaceDE/>
        <w:autoSpaceDN/>
        <w:bidi w:val="0"/>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（2）检查调整割刀行程（整列对中调整）符合技术要求；</w:t>
      </w:r>
    </w:p>
    <w:p>
      <w:pPr>
        <w:keepNext w:val="0"/>
        <w:keepLines w:val="0"/>
        <w:pageBreakBefore w:val="0"/>
        <w:kinsoku/>
        <w:wordWrap/>
        <w:overflowPunct/>
        <w:autoSpaceDE/>
        <w:autoSpaceDN/>
        <w:bidi w:val="0"/>
        <w:spacing w:line="560" w:lineRule="exact"/>
        <w:ind w:firstLine="57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（3）检查割刀间隙和压刃器间隙（指定的左、中、右三处）；</w:t>
      </w:r>
    </w:p>
    <w:p>
      <w:pPr>
        <w:keepNext w:val="0"/>
        <w:keepLines w:val="0"/>
        <w:pageBreakBefore w:val="0"/>
        <w:kinsoku/>
        <w:wordWrap/>
        <w:overflowPunct/>
        <w:autoSpaceDE/>
        <w:autoSpaceDN/>
        <w:bidi w:val="0"/>
        <w:spacing w:line="560" w:lineRule="exact"/>
        <w:ind w:firstLine="57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完成任务后填写记录表。</w:t>
      </w:r>
    </w:p>
    <w:p>
      <w:pPr>
        <w:keepNext w:val="0"/>
        <w:keepLines w:val="0"/>
        <w:pageBreakBefore w:val="0"/>
        <w:kinsoku/>
        <w:wordWrap/>
        <w:overflowPunct/>
        <w:autoSpaceDE/>
        <w:autoSpaceDN/>
        <w:bidi w:val="0"/>
        <w:spacing w:line="560" w:lineRule="exact"/>
        <w:ind w:firstLine="422" w:firstLineChars="15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表9护刃器尖端直线度、割刀及压刃器间隙检查记录表</w:t>
      </w:r>
    </w:p>
    <w:tbl>
      <w:tblPr>
        <w:tblStyle w:val="10"/>
        <w:tblW w:w="8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0"/>
        <w:gridCol w:w="413"/>
        <w:gridCol w:w="1413"/>
        <w:gridCol w:w="1413"/>
        <w:gridCol w:w="1413"/>
        <w:gridCol w:w="1414"/>
        <w:gridCol w:w="14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2" w:hRule="atLeast"/>
        </w:trPr>
        <w:tc>
          <w:tcPr>
            <w:tcW w:w="1413" w:type="dxa"/>
            <w:gridSpan w:val="2"/>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  目</w:t>
            </w:r>
          </w:p>
        </w:tc>
        <w:tc>
          <w:tcPr>
            <w:tcW w:w="4239" w:type="dxa"/>
            <w:gridSpan w:val="3"/>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割刀间隙</w:t>
            </w:r>
          </w:p>
        </w:tc>
        <w:tc>
          <w:tcPr>
            <w:tcW w:w="1414"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压刃器与动刀片间隙</w:t>
            </w:r>
          </w:p>
        </w:tc>
        <w:tc>
          <w:tcPr>
            <w:tcW w:w="1414"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各护刃器</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尖端直线</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偏差值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2" w:hRule="atLeast"/>
        </w:trPr>
        <w:tc>
          <w:tcPr>
            <w:tcW w:w="1413" w:type="dxa"/>
            <w:gridSpan w:val="2"/>
            <w:vMerge w:val="continue"/>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13"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826" w:type="dxa"/>
            <w:gridSpan w:val="2"/>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14" w:type="dxa"/>
            <w:vMerge w:val="continue"/>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14" w:type="dxa"/>
            <w:vMerge w:val="continue"/>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2" w:hRule="atLeast"/>
        </w:trPr>
        <w:tc>
          <w:tcPr>
            <w:tcW w:w="1413" w:type="dxa"/>
            <w:gridSpan w:val="2"/>
            <w:vMerge w:val="continue"/>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13" w:type="dxa"/>
            <w:vMerge w:val="continue"/>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13"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13"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14" w:type="dxa"/>
            <w:vMerge w:val="continue"/>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14" w:type="dxa"/>
            <w:vMerge w:val="continue"/>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2" w:hRule="atLeast"/>
        </w:trPr>
        <w:tc>
          <w:tcPr>
            <w:tcW w:w="1000"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检查参数值（mm）</w:t>
            </w:r>
          </w:p>
        </w:tc>
        <w:tc>
          <w:tcPr>
            <w:tcW w:w="41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13"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13"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13"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14"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14" w:type="dxa"/>
            <w:vMerge w:val="restart"/>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2" w:hRule="atLeast"/>
        </w:trPr>
        <w:tc>
          <w:tcPr>
            <w:tcW w:w="1000" w:type="dxa"/>
            <w:vMerge w:val="continue"/>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413"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13"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13"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13"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14"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14" w:type="dxa"/>
            <w:vMerge w:val="continue"/>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2" w:hRule="atLeast"/>
        </w:trPr>
        <w:tc>
          <w:tcPr>
            <w:tcW w:w="1000" w:type="dxa"/>
            <w:vMerge w:val="continue"/>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413"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13"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13"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13"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14"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14" w:type="dxa"/>
            <w:vMerge w:val="continue"/>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22" w:hRule="atLeast"/>
        </w:trPr>
        <w:tc>
          <w:tcPr>
            <w:tcW w:w="1413" w:type="dxa"/>
            <w:gridSpan w:val="2"/>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结  论</w:t>
            </w:r>
          </w:p>
        </w:tc>
        <w:tc>
          <w:tcPr>
            <w:tcW w:w="4239" w:type="dxa"/>
            <w:gridSpan w:val="3"/>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14"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414"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bl>
    <w:p>
      <w:pPr>
        <w:keepNext w:val="0"/>
        <w:keepLines w:val="0"/>
        <w:pageBreakBefore w:val="0"/>
        <w:kinsoku/>
        <w:wordWrap/>
        <w:overflowPunct/>
        <w:autoSpaceDE/>
        <w:autoSpaceDN/>
        <w:bidi w:val="0"/>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（4）割台喂入搅龙叶片与割台底板间隙调整至12mm</w:t>
      </w:r>
    </w:p>
    <w:p>
      <w:pPr>
        <w:keepNext w:val="0"/>
        <w:keepLines w:val="0"/>
        <w:pageBreakBefore w:val="0"/>
        <w:kinsoku/>
        <w:wordWrap/>
        <w:overflowPunct/>
        <w:autoSpaceDE/>
        <w:autoSpaceDN/>
        <w:bidi w:val="0"/>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（5）割台伸缩杆与割台底板间隙调整至10～15mm</w:t>
      </w:r>
    </w:p>
    <w:p>
      <w:pPr>
        <w:keepNext w:val="0"/>
        <w:keepLines w:val="0"/>
        <w:pageBreakBefore w:val="0"/>
        <w:kinsoku/>
        <w:wordWrap/>
        <w:overflowPunct/>
        <w:autoSpaceDE/>
        <w:autoSpaceDN/>
        <w:bidi w:val="0"/>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（6）检查调整拨禾轮，符合正常情况下收割直立作物的技术要求。</w:t>
      </w:r>
    </w:p>
    <w:p>
      <w:pPr>
        <w:keepNext w:val="0"/>
        <w:keepLines w:val="0"/>
        <w:pageBreakBefore w:val="0"/>
        <w:kinsoku/>
        <w:wordWrap/>
        <w:overflowPunct/>
        <w:autoSpaceDE/>
        <w:autoSpaceDN/>
        <w:bidi w:val="0"/>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3.脱粒清选部分故障诊断与排除</w:t>
      </w:r>
    </w:p>
    <w:p>
      <w:pPr>
        <w:keepNext w:val="0"/>
        <w:keepLines w:val="0"/>
        <w:pageBreakBefore w:val="0"/>
        <w:kinsoku/>
        <w:wordWrap/>
        <w:overflowPunct/>
        <w:autoSpaceDE/>
        <w:autoSpaceDN/>
        <w:bidi w:val="0"/>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检查脱粒滚筒脱粒齿与凹板筛前、后、左、右四处间隙，并填写记录表。</w:t>
      </w:r>
    </w:p>
    <w:p>
      <w:pPr>
        <w:keepNext w:val="0"/>
        <w:keepLines w:val="0"/>
        <w:pageBreakBefore w:val="0"/>
        <w:kinsoku/>
        <w:wordWrap/>
        <w:overflowPunct/>
        <w:autoSpaceDE/>
        <w:autoSpaceDN/>
        <w:bidi w:val="0"/>
        <w:spacing w:line="560" w:lineRule="exact"/>
        <w:ind w:firstLine="422" w:firstLineChars="15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表10 脱粒滚筒间隙检查记录表</w:t>
      </w:r>
    </w:p>
    <w:p>
      <w:pPr>
        <w:keepNext w:val="0"/>
        <w:keepLines w:val="0"/>
        <w:pageBreakBefore w:val="0"/>
        <w:kinsoku/>
        <w:wordWrap/>
        <w:overflowPunct/>
        <w:autoSpaceDE/>
        <w:autoSpaceDN/>
        <w:bidi w:val="0"/>
        <w:spacing w:line="560" w:lineRule="exact"/>
        <w:ind w:firstLine="420" w:firstLineChars="1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标准参数值（mm）：</w:t>
      </w:r>
      <w:r>
        <w:rPr>
          <w:rFonts w:hint="eastAsia" w:ascii="仿宋_GB2312" w:hAnsi="仿宋_GB2312" w:eastAsia="仿宋_GB2312" w:cs="仿宋_GB2312"/>
          <w:sz w:val="28"/>
          <w:szCs w:val="28"/>
          <w:u w:val="single"/>
        </w:rPr>
        <w:t xml:space="preserve">                        </w:t>
      </w:r>
    </w:p>
    <w:tbl>
      <w:tblPr>
        <w:tblStyle w:val="10"/>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1700"/>
        <w:gridCol w:w="1699"/>
        <w:gridCol w:w="1700"/>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 w:hRule="atLeast"/>
        </w:trPr>
        <w:tc>
          <w:tcPr>
            <w:tcW w:w="1700"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  目</w:t>
            </w:r>
          </w:p>
        </w:tc>
        <w:tc>
          <w:tcPr>
            <w:tcW w:w="6800" w:type="dxa"/>
            <w:gridSpan w:val="4"/>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脱粒滚筒间隙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 w:hRule="atLeast"/>
        </w:trPr>
        <w:tc>
          <w:tcPr>
            <w:tcW w:w="1700"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3399" w:type="dxa"/>
            <w:gridSpan w:val="2"/>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前  端</w:t>
            </w:r>
          </w:p>
        </w:tc>
        <w:tc>
          <w:tcPr>
            <w:tcW w:w="3401" w:type="dxa"/>
            <w:gridSpan w:val="2"/>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后  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 w:hRule="atLeast"/>
        </w:trPr>
        <w:tc>
          <w:tcPr>
            <w:tcW w:w="1700"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0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699"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0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0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170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检查参数值（mm）</w:t>
            </w:r>
          </w:p>
        </w:tc>
        <w:tc>
          <w:tcPr>
            <w:tcW w:w="170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699"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0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0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8" w:hRule="atLeast"/>
        </w:trPr>
        <w:tc>
          <w:tcPr>
            <w:tcW w:w="170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结  论</w:t>
            </w:r>
          </w:p>
        </w:tc>
        <w:tc>
          <w:tcPr>
            <w:tcW w:w="6800" w:type="dxa"/>
            <w:gridSpan w:val="4"/>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bl>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4.动力传动部分故障诊断与排除</w:t>
      </w:r>
    </w:p>
    <w:p>
      <w:pPr>
        <w:keepNext w:val="0"/>
        <w:keepLines w:val="0"/>
        <w:pageBreakBefore w:val="0"/>
        <w:kinsoku/>
        <w:wordWrap/>
        <w:overflowPunct/>
        <w:autoSpaceDE/>
        <w:autoSpaceDN/>
        <w:bidi w:val="0"/>
        <w:spacing w:line="560" w:lineRule="exact"/>
        <w:rPr>
          <w:rFonts w:hint="eastAsia" w:ascii="仿宋_GB2312" w:hAnsi="仿宋_GB2312" w:eastAsia="仿宋_GB2312" w:cs="仿宋_GB2312"/>
          <w:b/>
          <w:bCs/>
          <w:sz w:val="28"/>
          <w:szCs w:val="28"/>
        </w:rPr>
      </w:pPr>
      <w:r>
        <w:rPr>
          <w:rFonts w:hint="eastAsia" w:ascii="仿宋_GB2312" w:hAnsi="仿宋_GB2312" w:eastAsia="仿宋_GB2312" w:cs="仿宋_GB2312"/>
          <w:sz w:val="28"/>
          <w:szCs w:val="28"/>
        </w:rPr>
        <w:t xml:space="preserve">    更换收割驱动（割台输入）皮带，并填写记录表。</w:t>
      </w:r>
    </w:p>
    <w:p>
      <w:pPr>
        <w:keepNext w:val="0"/>
        <w:keepLines w:val="0"/>
        <w:pageBreakBefore w:val="0"/>
        <w:kinsoku/>
        <w:wordWrap/>
        <w:overflowPunct/>
        <w:autoSpaceDE/>
        <w:autoSpaceDN/>
        <w:bidi w:val="0"/>
        <w:spacing w:line="560" w:lineRule="exact"/>
        <w:ind w:firstLine="422" w:firstLineChars="150"/>
        <w:jc w:val="center"/>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表11传动皮带张紧度调整记录表</w:t>
      </w:r>
    </w:p>
    <w:tbl>
      <w:tblPr>
        <w:tblStyle w:val="10"/>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9"/>
        <w:gridCol w:w="2841"/>
        <w:gridCol w:w="2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4" w:hRule="atLeast"/>
        </w:trPr>
        <w:tc>
          <w:tcPr>
            <w:tcW w:w="2839"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皮带名称</w:t>
            </w:r>
          </w:p>
        </w:tc>
        <w:tc>
          <w:tcPr>
            <w:tcW w:w="2841"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检查部位</w:t>
            </w:r>
          </w:p>
        </w:tc>
        <w:tc>
          <w:tcPr>
            <w:tcW w:w="2840"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挠度（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trPr>
        <w:tc>
          <w:tcPr>
            <w:tcW w:w="2839"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841"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840"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trPr>
        <w:tc>
          <w:tcPr>
            <w:tcW w:w="2839"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841"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840"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bl>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七、竞赛规则</w:t>
      </w:r>
    </w:p>
    <w:p>
      <w:pPr>
        <w:keepNext w:val="0"/>
        <w:keepLines w:val="0"/>
        <w:pageBreakBefore w:val="0"/>
        <w:kinsoku/>
        <w:wordWrap/>
        <w:overflowPunct/>
        <w:autoSpaceDE/>
        <w:autoSpaceDN/>
        <w:bidi w:val="0"/>
        <w:spacing w:line="560" w:lineRule="exact"/>
        <w:ind w:firstLine="280" w:firstLineChars="1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1.参赛选手必须为中等职业学校、五年制高职一至三年级（含三年级）全日制农机及相关专业在籍学生（参赛选手年龄不超过21周岁），年龄计算时间截止2019年5月1日。凡在往届全国职业院校技能大赛农机维修赛项获一等奖的选手，不能再参</w:t>
      </w:r>
      <w:r>
        <w:rPr>
          <w:rFonts w:hint="eastAsia" w:ascii="仿宋_GB2312" w:hAnsi="仿宋_GB2312" w:eastAsia="仿宋_GB2312" w:cs="仿宋_GB2312"/>
          <w:bCs/>
          <w:color w:val="000000" w:themeColor="text1"/>
          <w:sz w:val="28"/>
          <w:szCs w:val="28"/>
        </w:rPr>
        <w:t>加同一项目同一组别的</w:t>
      </w:r>
      <w:r>
        <w:rPr>
          <w:rFonts w:hint="eastAsia" w:ascii="仿宋_GB2312" w:hAnsi="仿宋_GB2312" w:eastAsia="仿宋_GB2312" w:cs="仿宋_GB2312"/>
          <w:bCs/>
          <w:sz w:val="28"/>
          <w:szCs w:val="28"/>
        </w:rPr>
        <w:t>赛项。</w:t>
      </w:r>
    </w:p>
    <w:p>
      <w:pPr>
        <w:keepNext w:val="0"/>
        <w:keepLines w:val="0"/>
        <w:pageBreakBefore w:val="0"/>
        <w:kinsoku/>
        <w:wordWrap/>
        <w:overflowPunct/>
        <w:autoSpaceDE/>
        <w:autoSpaceDN/>
        <w:bidi w:val="0"/>
        <w:spacing w:line="560" w:lineRule="exact"/>
        <w:ind w:firstLine="280" w:firstLineChars="1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2.参赛选手和指导教师报名获得确认后不得随意更换。如比赛前参赛选手和指导教师因故无法参赛，须由省级教育行政部门于本赛项开赛10个工作日之前出具书面说明，经大赛执委会办公室核实后予以更换。竞赛开始后，参赛队不得更换参赛队员。</w:t>
      </w:r>
    </w:p>
    <w:p>
      <w:pPr>
        <w:keepNext w:val="0"/>
        <w:keepLines w:val="0"/>
        <w:pageBreakBefore w:val="0"/>
        <w:kinsoku/>
        <w:wordWrap/>
        <w:overflowPunct/>
        <w:autoSpaceDE/>
        <w:autoSpaceDN/>
        <w:bidi w:val="0"/>
        <w:spacing w:line="56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3.比赛前一天安排参赛队熟悉比赛场地，召开领队会议，抽签确定各参赛队的组别。参赛选手出场顺序、位置、比赛所用器材等均由抽签决定，不得擅自变更、调整。</w:t>
      </w:r>
    </w:p>
    <w:p>
      <w:pPr>
        <w:keepNext w:val="0"/>
        <w:keepLines w:val="0"/>
        <w:pageBreakBefore w:val="0"/>
        <w:kinsoku/>
        <w:wordWrap/>
        <w:overflowPunct/>
        <w:autoSpaceDE/>
        <w:autoSpaceDN/>
        <w:bidi w:val="0"/>
        <w:spacing w:line="560" w:lineRule="exact"/>
        <w:ind w:firstLine="280" w:firstLineChars="1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4.参赛选手提前30分钟检录进入赛场，按照抽签的工位号参加比赛，竞赛开始后迟到15分钟以上者取消比赛资格；开赛30分钟后，选手方可离开赛场。</w:t>
      </w:r>
    </w:p>
    <w:p>
      <w:pPr>
        <w:keepNext w:val="0"/>
        <w:keepLines w:val="0"/>
        <w:pageBreakBefore w:val="0"/>
        <w:kinsoku/>
        <w:wordWrap/>
        <w:overflowPunct/>
        <w:autoSpaceDE/>
        <w:autoSpaceDN/>
        <w:bidi w:val="0"/>
        <w:spacing w:line="560" w:lineRule="exact"/>
        <w:ind w:firstLine="280" w:firstLineChars="1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5.参赛选手进入赛场必须听从现场裁判人员的统一布置和安排，比赛期间必须严格遵守安全操作规程，确保人身和设备安全。</w:t>
      </w:r>
    </w:p>
    <w:p>
      <w:pPr>
        <w:keepNext w:val="0"/>
        <w:keepLines w:val="0"/>
        <w:pageBreakBefore w:val="0"/>
        <w:kinsoku/>
        <w:wordWrap/>
        <w:overflowPunct/>
        <w:autoSpaceDE/>
        <w:autoSpaceDN/>
        <w:bidi w:val="0"/>
        <w:spacing w:line="560" w:lineRule="exact"/>
        <w:ind w:firstLine="280" w:firstLineChars="1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6.赛场提供竞赛指定的专用材料与工具，参赛选手不可自带工具。参赛选手应认真阅读竞赛须知，自觉遵守赛场纪律，按竞赛规则、项目与赛场要求进行竞赛，不得携带任何通讯及存储设备、纸质材料等物品进入赛场，赛场内提供必需用品。</w:t>
      </w:r>
    </w:p>
    <w:p>
      <w:pPr>
        <w:keepNext w:val="0"/>
        <w:keepLines w:val="0"/>
        <w:pageBreakBefore w:val="0"/>
        <w:kinsoku/>
        <w:wordWrap/>
        <w:overflowPunct/>
        <w:autoSpaceDE/>
        <w:autoSpaceDN/>
        <w:bidi w:val="0"/>
        <w:spacing w:line="560" w:lineRule="exact"/>
        <w:ind w:firstLine="280" w:firstLineChars="1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7.任何人不得以任何方式公开参赛队及个人信息。</w:t>
      </w:r>
    </w:p>
    <w:p>
      <w:pPr>
        <w:keepNext w:val="0"/>
        <w:keepLines w:val="0"/>
        <w:pageBreakBefore w:val="0"/>
        <w:kinsoku/>
        <w:wordWrap/>
        <w:overflowPunct/>
        <w:autoSpaceDE/>
        <w:autoSpaceDN/>
        <w:bidi w:val="0"/>
        <w:spacing w:line="560" w:lineRule="exact"/>
        <w:ind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bCs/>
          <w:sz w:val="28"/>
          <w:szCs w:val="28"/>
        </w:rPr>
        <w:t xml:space="preserve">  8.竞赛过程中如因材料、设备等原因发生故障，应由项目裁判长进行评判；若因选手个人原因造成设备故障而无法继续比赛，裁判长</w:t>
      </w:r>
      <w:r>
        <w:rPr>
          <w:rFonts w:hint="eastAsia" w:ascii="仿宋_GB2312" w:hAnsi="仿宋_GB2312" w:eastAsia="仿宋_GB2312" w:cs="仿宋_GB2312"/>
          <w:sz w:val="28"/>
          <w:szCs w:val="28"/>
        </w:rPr>
        <w:t>有权决定终止该选手或该队比赛，若非选手原因造成设备故障的，由裁判长视具体情况做出裁决，如果裁判长确定为设备故障问题，将给参赛选手补足技术支持人员排除设备故障所耽误的竞赛时间。</w:t>
      </w:r>
    </w:p>
    <w:p>
      <w:pPr>
        <w:keepNext w:val="0"/>
        <w:keepLines w:val="0"/>
        <w:pageBreakBefore w:val="0"/>
        <w:kinsoku/>
        <w:wordWrap/>
        <w:overflowPunct/>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9.比赛结束前10分钟，裁判长提醒一次考生比赛时间，当裁判长宣布比赛结束后，参赛选手必须马上停止一切操作，按要求位置站立等候撤离比赛指令。</w:t>
      </w:r>
    </w:p>
    <w:p>
      <w:pPr>
        <w:keepNext w:val="0"/>
        <w:keepLines w:val="0"/>
        <w:pageBreakBefore w:val="0"/>
        <w:kinsoku/>
        <w:wordWrap/>
        <w:overflowPunct/>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10.参赛选手若提前结束比赛，应由选手向裁判员举手示意，比赛终止时间由裁判员记录，选手结束比赛后不得再进行任何操作，并按要求撤离比赛现场。</w:t>
      </w:r>
    </w:p>
    <w:p>
      <w:pPr>
        <w:keepNext w:val="0"/>
        <w:keepLines w:val="0"/>
        <w:pageBreakBefore w:val="0"/>
        <w:kinsoku/>
        <w:wordWrap/>
        <w:overflowPunct/>
        <w:autoSpaceDE/>
        <w:autoSpaceDN/>
        <w:bidi w:val="0"/>
        <w:adjustRightInd w:val="0"/>
        <w:snapToGrid w:val="0"/>
        <w:spacing w:line="560" w:lineRule="exact"/>
        <w:ind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bCs/>
          <w:sz w:val="28"/>
          <w:szCs w:val="28"/>
        </w:rPr>
        <w:t xml:space="preserve">  11.大赛在赛项执委会领导下，裁判组严格按照评分标准负责赛项成绩评定，确保比赛成绩准确无误。竞赛成绩由裁判长、仲裁组长、监督组长审核签字后方可宣布。</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八、竞赛环境</w:t>
      </w:r>
    </w:p>
    <w:p>
      <w:pPr>
        <w:keepNext w:val="0"/>
        <w:keepLines w:val="0"/>
        <w:pageBreakBefore w:val="0"/>
        <w:kinsoku/>
        <w:wordWrap/>
        <w:overflowPunct/>
        <w:autoSpaceDE/>
        <w:autoSpaceDN/>
        <w:bidi w:val="0"/>
        <w:snapToGrid w:val="0"/>
        <w:spacing w:line="560" w:lineRule="exact"/>
        <w:ind w:firstLine="560" w:firstLineChars="200"/>
        <w:rPr>
          <w:rFonts w:hint="eastAsia" w:ascii="仿宋_GB2312" w:hAnsi="仿宋_GB2312" w:eastAsia="仿宋_GB2312" w:cs="仿宋_GB2312"/>
          <w:bCs/>
          <w:kern w:val="28"/>
          <w:sz w:val="28"/>
          <w:szCs w:val="28"/>
        </w:rPr>
      </w:pPr>
      <w:r>
        <w:rPr>
          <w:rFonts w:hint="eastAsia" w:ascii="仿宋_GB2312" w:hAnsi="仿宋_GB2312" w:eastAsia="仿宋_GB2312" w:cs="仿宋_GB2312"/>
          <w:bCs/>
          <w:kern w:val="28"/>
          <w:sz w:val="28"/>
          <w:szCs w:val="28"/>
        </w:rPr>
        <w:t>竞赛</w:t>
      </w:r>
      <w:r>
        <w:rPr>
          <w:rFonts w:hint="eastAsia" w:ascii="仿宋_GB2312" w:hAnsi="仿宋_GB2312" w:eastAsia="仿宋_GB2312" w:cs="仿宋_GB2312"/>
          <w:bCs/>
          <w:sz w:val="28"/>
          <w:szCs w:val="28"/>
        </w:rPr>
        <w:t>场地</w:t>
      </w:r>
      <w:r>
        <w:rPr>
          <w:rFonts w:hint="eastAsia" w:ascii="仿宋_GB2312" w:hAnsi="仿宋_GB2312" w:eastAsia="仿宋_GB2312" w:cs="仿宋_GB2312"/>
          <w:bCs/>
          <w:kern w:val="28"/>
          <w:sz w:val="28"/>
          <w:szCs w:val="28"/>
        </w:rPr>
        <w:t>在承办院校合格场地进行。两个项目在不同场地上进行，其竞赛</w:t>
      </w:r>
      <w:r>
        <w:rPr>
          <w:rFonts w:hint="eastAsia" w:ascii="仿宋_GB2312" w:hAnsi="仿宋_GB2312" w:eastAsia="仿宋_GB2312" w:cs="仿宋_GB2312"/>
          <w:bCs/>
          <w:sz w:val="28"/>
          <w:szCs w:val="28"/>
        </w:rPr>
        <w:t>场地面积</w:t>
      </w:r>
      <w:r>
        <w:rPr>
          <w:rFonts w:hint="eastAsia" w:ascii="仿宋_GB2312" w:hAnsi="仿宋_GB2312" w:eastAsia="仿宋_GB2312" w:cs="仿宋_GB2312"/>
          <w:bCs/>
          <w:kern w:val="28"/>
          <w:sz w:val="28"/>
          <w:szCs w:val="28"/>
        </w:rPr>
        <w:t>和比赛工位设置如下，具体见表12。</w:t>
      </w:r>
    </w:p>
    <w:p>
      <w:pPr>
        <w:keepNext w:val="0"/>
        <w:keepLines w:val="0"/>
        <w:pageBreakBefore w:val="0"/>
        <w:kinsoku/>
        <w:wordWrap/>
        <w:overflowPunct/>
        <w:autoSpaceDE/>
        <w:autoSpaceDN/>
        <w:bidi w:val="0"/>
        <w:spacing w:line="560" w:lineRule="exact"/>
        <w:jc w:val="center"/>
        <w:textAlignment w:val="baseline"/>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表12  项目占地面积及工位数</w:t>
      </w:r>
    </w:p>
    <w:tbl>
      <w:tblPr>
        <w:tblStyle w:val="10"/>
        <w:tblpPr w:leftFromText="180" w:rightFromText="180" w:vertAnchor="text" w:horzAnchor="margin" w:tblpXSpec="center" w:tblpY="68"/>
        <w:tblW w:w="83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76"/>
        <w:gridCol w:w="2385"/>
        <w:gridCol w:w="23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0" w:hRule="atLeast"/>
        </w:trPr>
        <w:tc>
          <w:tcPr>
            <w:tcW w:w="35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w:t>
            </w:r>
          </w:p>
        </w:tc>
        <w:tc>
          <w:tcPr>
            <w:tcW w:w="238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竞赛场地面积（㎡）</w:t>
            </w:r>
          </w:p>
        </w:tc>
        <w:tc>
          <w:tcPr>
            <w:tcW w:w="237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比赛工位（个）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0" w:hRule="atLeast"/>
        </w:trPr>
        <w:tc>
          <w:tcPr>
            <w:tcW w:w="35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拖拉机悬挂秸秆还田机综合故障诊断与排除</w:t>
            </w:r>
          </w:p>
        </w:tc>
        <w:tc>
          <w:tcPr>
            <w:tcW w:w="238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700</w:t>
            </w:r>
          </w:p>
        </w:tc>
        <w:tc>
          <w:tcPr>
            <w:tcW w:w="237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0" w:hRule="atLeast"/>
        </w:trPr>
        <w:tc>
          <w:tcPr>
            <w:tcW w:w="35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履带自走式全喂入联合收割机综合故障诊断与排除</w:t>
            </w:r>
          </w:p>
        </w:tc>
        <w:tc>
          <w:tcPr>
            <w:tcW w:w="238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700</w:t>
            </w:r>
          </w:p>
        </w:tc>
        <w:tc>
          <w:tcPr>
            <w:tcW w:w="237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14</w:t>
            </w:r>
          </w:p>
        </w:tc>
      </w:tr>
    </w:tbl>
    <w:p>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仿宋_GB2312" w:hAnsi="仿宋_GB2312" w:eastAsia="仿宋_GB2312" w:cs="仿宋_GB2312"/>
          <w:bCs/>
          <w:kern w:val="28"/>
          <w:sz w:val="28"/>
          <w:szCs w:val="28"/>
        </w:rPr>
      </w:pPr>
      <w:r>
        <w:rPr>
          <w:rFonts w:hint="eastAsia" w:ascii="仿宋_GB2312" w:hAnsi="仿宋_GB2312" w:eastAsia="仿宋_GB2312" w:cs="仿宋_GB2312"/>
          <w:bCs/>
          <w:kern w:val="28"/>
          <w:sz w:val="28"/>
          <w:szCs w:val="28"/>
        </w:rPr>
        <w:t>共14个比赛工位，包含1个备用工位。每个工位占地面积50㎡，设有尾气抽排通风装置，提供稳定的电、气源，场地采光、照明和通风良好。</w:t>
      </w:r>
      <w:bookmarkStart w:id="0" w:name="_Hlk3917138"/>
      <w:r>
        <w:rPr>
          <w:rFonts w:hint="eastAsia" w:ascii="仿宋_GB2312" w:hAnsi="仿宋_GB2312" w:eastAsia="仿宋_GB2312" w:cs="仿宋_GB2312"/>
          <w:bCs/>
          <w:kern w:val="28"/>
          <w:sz w:val="28"/>
          <w:szCs w:val="28"/>
        </w:rPr>
        <w:t>竞赛工位平面布局图</w:t>
      </w:r>
      <w:bookmarkEnd w:id="0"/>
      <w:r>
        <w:rPr>
          <w:rFonts w:hint="eastAsia" w:ascii="仿宋_GB2312" w:hAnsi="仿宋_GB2312" w:eastAsia="仿宋_GB2312" w:cs="仿宋_GB2312"/>
          <w:bCs/>
          <w:kern w:val="28"/>
          <w:sz w:val="28"/>
          <w:szCs w:val="28"/>
        </w:rPr>
        <w:t>如下。</w:t>
      </w:r>
    </w:p>
    <w:p>
      <w:pPr>
        <w:keepNext w:val="0"/>
        <w:keepLines w:val="0"/>
        <w:pageBreakBefore w:val="0"/>
        <w:kinsoku/>
        <w:wordWrap/>
        <w:overflowPunct/>
        <w:autoSpaceDE/>
        <w:autoSpaceDN/>
        <w:bidi w:val="0"/>
        <w:snapToGrid w:val="0"/>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drawing>
          <wp:anchor distT="0" distB="0" distL="114300" distR="114300" simplePos="0" relativeHeight="251659264" behindDoc="0" locked="0" layoutInCell="1" allowOverlap="1">
            <wp:simplePos x="0" y="0"/>
            <wp:positionH relativeFrom="column">
              <wp:posOffset>2762250</wp:posOffset>
            </wp:positionH>
            <wp:positionV relativeFrom="paragraph">
              <wp:posOffset>119380</wp:posOffset>
            </wp:positionV>
            <wp:extent cx="2449830" cy="2569845"/>
            <wp:effectExtent l="0" t="0" r="1270" b="8255"/>
            <wp:wrapNone/>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5" r:link="rId6" cstate="print"/>
                    <a:stretch>
                      <a:fillRect/>
                    </a:stretch>
                  </pic:blipFill>
                  <pic:spPr>
                    <a:xfrm>
                      <a:off x="0" y="0"/>
                      <a:ext cx="2449830" cy="2569845"/>
                    </a:xfrm>
                    <a:prstGeom prst="rect">
                      <a:avLst/>
                    </a:prstGeom>
                    <a:noFill/>
                    <a:ln w="9525">
                      <a:noFill/>
                    </a:ln>
                  </pic:spPr>
                </pic:pic>
              </a:graphicData>
            </a:graphic>
          </wp:anchor>
        </w:drawing>
      </w:r>
      <w:r>
        <w:rPr>
          <w:rFonts w:hint="eastAsia" w:ascii="仿宋_GB2312" w:hAnsi="仿宋_GB2312" w:eastAsia="仿宋_GB2312" w:cs="仿宋_GB2312"/>
          <w:sz w:val="28"/>
          <w:szCs w:val="28"/>
        </w:rPr>
        <w:drawing>
          <wp:anchor distT="0" distB="0" distL="114300" distR="114300" simplePos="0" relativeHeight="251658240" behindDoc="0" locked="0" layoutInCell="1" allowOverlap="1">
            <wp:simplePos x="0" y="0"/>
            <wp:positionH relativeFrom="column">
              <wp:posOffset>146050</wp:posOffset>
            </wp:positionH>
            <wp:positionV relativeFrom="paragraph">
              <wp:posOffset>138430</wp:posOffset>
            </wp:positionV>
            <wp:extent cx="2500630" cy="2617470"/>
            <wp:effectExtent l="0" t="0" r="1270" b="11430"/>
            <wp:wrapNone/>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7" r:link="rId8" cstate="print"/>
                    <a:stretch>
                      <a:fillRect/>
                    </a:stretch>
                  </pic:blipFill>
                  <pic:spPr>
                    <a:xfrm>
                      <a:off x="0" y="0"/>
                      <a:ext cx="2500630" cy="2617470"/>
                    </a:xfrm>
                    <a:prstGeom prst="rect">
                      <a:avLst/>
                    </a:prstGeom>
                    <a:noFill/>
                    <a:ln w="9525">
                      <a:noFill/>
                    </a:ln>
                  </pic:spPr>
                </pic:pic>
              </a:graphicData>
            </a:graphic>
          </wp:anchor>
        </w:drawing>
      </w:r>
    </w:p>
    <w:p>
      <w:pPr>
        <w:keepNext w:val="0"/>
        <w:keepLines w:val="0"/>
        <w:pageBreakBefore w:val="0"/>
        <w:kinsoku/>
        <w:wordWrap/>
        <w:overflowPunct/>
        <w:autoSpaceDE/>
        <w:autoSpaceDN/>
        <w:bidi w:val="0"/>
        <w:snapToGrid w:val="0"/>
        <w:spacing w:line="560" w:lineRule="exact"/>
        <w:jc w:val="center"/>
        <w:rPr>
          <w:rFonts w:hint="eastAsia" w:ascii="仿宋_GB2312" w:hAnsi="仿宋_GB2312" w:eastAsia="仿宋_GB2312" w:cs="仿宋_GB2312"/>
          <w:sz w:val="28"/>
          <w:szCs w:val="28"/>
        </w:rPr>
      </w:pPr>
    </w:p>
    <w:p>
      <w:pPr>
        <w:keepNext w:val="0"/>
        <w:keepLines w:val="0"/>
        <w:pageBreakBefore w:val="0"/>
        <w:kinsoku/>
        <w:wordWrap/>
        <w:overflowPunct/>
        <w:autoSpaceDE/>
        <w:autoSpaceDN/>
        <w:bidi w:val="0"/>
        <w:snapToGrid w:val="0"/>
        <w:spacing w:line="560" w:lineRule="exact"/>
        <w:jc w:val="center"/>
        <w:rPr>
          <w:rFonts w:hint="eastAsia" w:ascii="仿宋_GB2312" w:hAnsi="仿宋_GB2312" w:eastAsia="仿宋_GB2312" w:cs="仿宋_GB2312"/>
          <w:sz w:val="28"/>
          <w:szCs w:val="28"/>
        </w:rPr>
      </w:pPr>
    </w:p>
    <w:p>
      <w:pPr>
        <w:keepNext w:val="0"/>
        <w:keepLines w:val="0"/>
        <w:pageBreakBefore w:val="0"/>
        <w:kinsoku/>
        <w:wordWrap/>
        <w:overflowPunct/>
        <w:autoSpaceDE/>
        <w:autoSpaceDN/>
        <w:bidi w:val="0"/>
        <w:snapToGrid w:val="0"/>
        <w:spacing w:line="560" w:lineRule="exact"/>
        <w:jc w:val="center"/>
        <w:rPr>
          <w:rFonts w:hint="eastAsia" w:ascii="仿宋_GB2312" w:hAnsi="仿宋_GB2312" w:eastAsia="仿宋_GB2312" w:cs="仿宋_GB2312"/>
          <w:sz w:val="28"/>
          <w:szCs w:val="28"/>
        </w:rPr>
      </w:pPr>
    </w:p>
    <w:p>
      <w:pPr>
        <w:keepNext w:val="0"/>
        <w:keepLines w:val="0"/>
        <w:pageBreakBefore w:val="0"/>
        <w:kinsoku/>
        <w:wordWrap/>
        <w:overflowPunct/>
        <w:autoSpaceDE/>
        <w:autoSpaceDN/>
        <w:bidi w:val="0"/>
        <w:snapToGrid w:val="0"/>
        <w:spacing w:line="560" w:lineRule="exact"/>
        <w:jc w:val="center"/>
        <w:rPr>
          <w:rFonts w:hint="eastAsia" w:ascii="仿宋_GB2312" w:hAnsi="仿宋_GB2312" w:eastAsia="仿宋_GB2312" w:cs="仿宋_GB2312"/>
          <w:sz w:val="28"/>
          <w:szCs w:val="28"/>
        </w:rPr>
      </w:pPr>
    </w:p>
    <w:p>
      <w:pPr>
        <w:keepNext w:val="0"/>
        <w:keepLines w:val="0"/>
        <w:pageBreakBefore w:val="0"/>
        <w:kinsoku/>
        <w:wordWrap/>
        <w:overflowPunct/>
        <w:autoSpaceDE/>
        <w:autoSpaceDN/>
        <w:bidi w:val="0"/>
        <w:snapToGrid w:val="0"/>
        <w:spacing w:line="560" w:lineRule="exact"/>
        <w:jc w:val="center"/>
        <w:rPr>
          <w:rFonts w:hint="eastAsia" w:ascii="仿宋_GB2312" w:hAnsi="仿宋_GB2312" w:eastAsia="仿宋_GB2312" w:cs="仿宋_GB2312"/>
          <w:sz w:val="28"/>
          <w:szCs w:val="28"/>
        </w:rPr>
      </w:pPr>
    </w:p>
    <w:p>
      <w:pPr>
        <w:keepNext w:val="0"/>
        <w:keepLines w:val="0"/>
        <w:pageBreakBefore w:val="0"/>
        <w:kinsoku/>
        <w:wordWrap/>
        <w:overflowPunct/>
        <w:autoSpaceDE/>
        <w:autoSpaceDN/>
        <w:bidi w:val="0"/>
        <w:snapToGrid w:val="0"/>
        <w:spacing w:line="560" w:lineRule="exact"/>
        <w:jc w:val="center"/>
        <w:rPr>
          <w:rFonts w:hint="eastAsia" w:ascii="仿宋_GB2312" w:hAnsi="仿宋_GB2312" w:eastAsia="仿宋_GB2312" w:cs="仿宋_GB2312"/>
          <w:sz w:val="28"/>
          <w:szCs w:val="28"/>
        </w:rPr>
      </w:pPr>
    </w:p>
    <w:p>
      <w:pPr>
        <w:keepNext w:val="0"/>
        <w:keepLines w:val="0"/>
        <w:pageBreakBefore w:val="0"/>
        <w:kinsoku/>
        <w:wordWrap/>
        <w:overflowPunct/>
        <w:autoSpaceDE/>
        <w:autoSpaceDN/>
        <w:bidi w:val="0"/>
        <w:snapToGrid w:val="0"/>
        <w:spacing w:line="560" w:lineRule="exact"/>
        <w:jc w:val="both"/>
        <w:rPr>
          <w:rFonts w:hint="eastAsia" w:ascii="仿宋_GB2312" w:hAnsi="仿宋_GB2312" w:eastAsia="仿宋_GB2312" w:cs="仿宋_GB2312"/>
          <w:bCs/>
          <w:kern w:val="28"/>
          <w:sz w:val="28"/>
          <w:szCs w:val="28"/>
        </w:rPr>
      </w:pPr>
    </w:p>
    <w:p>
      <w:pPr>
        <w:keepNext w:val="0"/>
        <w:keepLines w:val="0"/>
        <w:pageBreakBefore w:val="0"/>
        <w:kinsoku/>
        <w:wordWrap/>
        <w:overflowPunct/>
        <w:autoSpaceDE/>
        <w:autoSpaceDN/>
        <w:bidi w:val="0"/>
        <w:snapToGrid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bCs/>
          <w:kern w:val="28"/>
          <w:sz w:val="28"/>
          <w:szCs w:val="28"/>
        </w:rPr>
        <w:t>竞赛工位平面布局图</w:t>
      </w:r>
    </w:p>
    <w:p>
      <w:pPr>
        <w:keepNext w:val="0"/>
        <w:keepLines w:val="0"/>
        <w:pageBreakBefore w:val="0"/>
        <w:kinsoku/>
        <w:wordWrap/>
        <w:overflowPunct/>
        <w:autoSpaceDE/>
        <w:autoSpaceDN/>
        <w:bidi w:val="0"/>
        <w:snapToGrid w:val="0"/>
        <w:spacing w:line="560" w:lineRule="exact"/>
        <w:ind w:firstLine="560" w:firstLineChars="200"/>
        <w:rPr>
          <w:rFonts w:hint="eastAsia" w:ascii="仿宋_GB2312" w:hAnsi="仿宋_GB2312" w:eastAsia="仿宋_GB2312" w:cs="仿宋_GB2312"/>
          <w:bCs/>
          <w:kern w:val="28"/>
          <w:sz w:val="28"/>
          <w:szCs w:val="28"/>
        </w:rPr>
      </w:pPr>
      <w:r>
        <w:rPr>
          <w:rFonts w:hint="eastAsia" w:ascii="仿宋_GB2312" w:hAnsi="仿宋_GB2312" w:eastAsia="仿宋_GB2312" w:cs="仿宋_GB2312"/>
          <w:bCs/>
          <w:kern w:val="28"/>
          <w:sz w:val="28"/>
          <w:szCs w:val="28"/>
        </w:rPr>
        <w:t>赛场内安排有裁判工作区、休息区、仲裁室、专家室、医疗室、选手封闭室、卫生间等区域；裁判工作区、仲裁室、选手封闭区刚性隔离，配备志愿者，严禁外人进入；现场配备音响设备、计时器，准确把控竞赛时间；赛场准备机要室，严禁外人进入，钥匙由裁判长和监督组长分别掌握。</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九、技术规范</w:t>
      </w:r>
    </w:p>
    <w:p>
      <w:pPr>
        <w:keepNext w:val="0"/>
        <w:keepLines w:val="0"/>
        <w:pageBreakBefore w:val="0"/>
        <w:kinsoku/>
        <w:wordWrap/>
        <w:overflowPunct/>
        <w:autoSpaceDE/>
        <w:autoSpaceDN/>
        <w:bidi w:val="0"/>
        <w:snapToGrid w:val="0"/>
        <w:spacing w:line="560" w:lineRule="exact"/>
        <w:ind w:firstLine="560" w:firstLineChars="200"/>
        <w:rPr>
          <w:rFonts w:hint="eastAsia" w:ascii="仿宋_GB2312" w:hAnsi="仿宋_GB2312" w:eastAsia="仿宋_GB2312" w:cs="仿宋_GB2312"/>
          <w:bCs/>
          <w:kern w:val="28"/>
          <w:sz w:val="28"/>
          <w:szCs w:val="28"/>
        </w:rPr>
      </w:pPr>
      <w:r>
        <w:rPr>
          <w:rFonts w:hint="eastAsia" w:ascii="仿宋_GB2312" w:hAnsi="仿宋_GB2312" w:eastAsia="仿宋_GB2312" w:cs="仿宋_GB2312"/>
          <w:bCs/>
          <w:kern w:val="28"/>
          <w:sz w:val="28"/>
          <w:szCs w:val="28"/>
        </w:rPr>
        <w:t>（一）相关知识与技能</w:t>
      </w:r>
    </w:p>
    <w:p>
      <w:pPr>
        <w:keepNext w:val="0"/>
        <w:keepLines w:val="0"/>
        <w:pageBreakBefore w:val="0"/>
        <w:kinsoku/>
        <w:wordWrap/>
        <w:overflowPunct/>
        <w:autoSpaceDE/>
        <w:autoSpaceDN/>
        <w:bidi w:val="0"/>
        <w:snapToGrid w:val="0"/>
        <w:spacing w:line="560" w:lineRule="exact"/>
        <w:ind w:firstLine="560" w:firstLineChars="200"/>
        <w:rPr>
          <w:rFonts w:hint="eastAsia" w:ascii="仿宋_GB2312" w:hAnsi="仿宋_GB2312" w:eastAsia="仿宋_GB2312" w:cs="仿宋_GB2312"/>
          <w:bCs/>
          <w:kern w:val="28"/>
          <w:sz w:val="28"/>
          <w:szCs w:val="28"/>
        </w:rPr>
      </w:pPr>
      <w:r>
        <w:rPr>
          <w:rFonts w:hint="eastAsia" w:ascii="仿宋_GB2312" w:hAnsi="仿宋_GB2312" w:eastAsia="仿宋_GB2312" w:cs="仿宋_GB2312"/>
          <w:bCs/>
          <w:kern w:val="28"/>
          <w:sz w:val="28"/>
          <w:szCs w:val="28"/>
        </w:rPr>
        <w:t>工具的选用与正确使用；量具的选用与正确使用；钳工装配知识、维修设备（液压检测、尾气检测、故障诊断仪等）的使用方法。</w:t>
      </w:r>
    </w:p>
    <w:p>
      <w:pPr>
        <w:keepNext w:val="0"/>
        <w:keepLines w:val="0"/>
        <w:pageBreakBefore w:val="0"/>
        <w:kinsoku/>
        <w:wordWrap/>
        <w:overflowPunct/>
        <w:autoSpaceDE/>
        <w:autoSpaceDN/>
        <w:bidi w:val="0"/>
        <w:snapToGrid w:val="0"/>
        <w:spacing w:line="560" w:lineRule="exact"/>
        <w:ind w:firstLine="560" w:firstLineChars="200"/>
        <w:rPr>
          <w:rFonts w:hint="eastAsia" w:ascii="仿宋_GB2312" w:hAnsi="仿宋_GB2312" w:eastAsia="仿宋_GB2312" w:cs="仿宋_GB2312"/>
          <w:bCs/>
          <w:kern w:val="28"/>
          <w:sz w:val="28"/>
          <w:szCs w:val="28"/>
        </w:rPr>
      </w:pPr>
      <w:r>
        <w:rPr>
          <w:rFonts w:hint="eastAsia" w:ascii="仿宋_GB2312" w:hAnsi="仿宋_GB2312" w:eastAsia="仿宋_GB2312" w:cs="仿宋_GB2312"/>
          <w:bCs/>
          <w:kern w:val="28"/>
          <w:sz w:val="28"/>
          <w:szCs w:val="28"/>
        </w:rPr>
        <w:t>掌握拖拉机底盘离合器的检查与调整方法、拖拉机底盘制动系的检查与调整方法、液压系统压力的检测方法；掌握起动前准备及安全注意事项；判断排除电源、起动、照明、仪表及信号电路故障；判断排除发动机电控高压共轨系统的故障诊断、掌握柴油机排放烟度值的检测方法。</w:t>
      </w:r>
    </w:p>
    <w:p>
      <w:pPr>
        <w:keepNext w:val="0"/>
        <w:keepLines w:val="0"/>
        <w:pageBreakBefore w:val="0"/>
        <w:kinsoku/>
        <w:wordWrap/>
        <w:overflowPunct/>
        <w:autoSpaceDE/>
        <w:autoSpaceDN/>
        <w:bidi w:val="0"/>
        <w:snapToGrid w:val="0"/>
        <w:spacing w:line="560" w:lineRule="exact"/>
        <w:ind w:firstLine="560" w:firstLineChars="200"/>
        <w:rPr>
          <w:rFonts w:hint="eastAsia" w:ascii="仿宋_GB2312" w:hAnsi="仿宋_GB2312" w:eastAsia="仿宋_GB2312" w:cs="仿宋_GB2312"/>
          <w:bCs/>
          <w:kern w:val="28"/>
          <w:sz w:val="28"/>
          <w:szCs w:val="28"/>
        </w:rPr>
      </w:pPr>
      <w:r>
        <w:rPr>
          <w:rFonts w:hint="eastAsia" w:ascii="仿宋_GB2312" w:hAnsi="仿宋_GB2312" w:eastAsia="仿宋_GB2312" w:cs="仿宋_GB2312"/>
          <w:bCs/>
          <w:kern w:val="28"/>
          <w:sz w:val="28"/>
          <w:szCs w:val="28"/>
        </w:rPr>
        <w:t>掌握联合收割机底盘部分（行走系统、转向系统、制动系统）故障诊断与排除、割台部分检查与调整、掌握脱粒、清选装置的检查与调整、掌握动力传动系统的检查与调整方法。</w:t>
      </w:r>
    </w:p>
    <w:p>
      <w:pPr>
        <w:keepNext w:val="0"/>
        <w:keepLines w:val="0"/>
        <w:pageBreakBefore w:val="0"/>
        <w:kinsoku/>
        <w:wordWrap/>
        <w:overflowPunct/>
        <w:autoSpaceDE/>
        <w:autoSpaceDN/>
        <w:bidi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（二）技术</w:t>
      </w:r>
      <w:r>
        <w:rPr>
          <w:rFonts w:hint="eastAsia" w:ascii="仿宋_GB2312" w:hAnsi="仿宋_GB2312" w:eastAsia="仿宋_GB2312" w:cs="仿宋_GB2312"/>
          <w:bCs/>
          <w:kern w:val="28"/>
          <w:sz w:val="28"/>
          <w:szCs w:val="28"/>
        </w:rPr>
        <w:t>标准</w:t>
      </w:r>
    </w:p>
    <w:p>
      <w:pPr>
        <w:keepNext w:val="0"/>
        <w:keepLines w:val="0"/>
        <w:pageBreakBefore w:val="0"/>
        <w:kinsoku/>
        <w:wordWrap/>
        <w:overflowPunct/>
        <w:autoSpaceDE/>
        <w:autoSpaceDN/>
        <w:bidi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1.农机修理工职业标准（职业编码6-06-01-01）</w:t>
      </w:r>
    </w:p>
    <w:p>
      <w:pPr>
        <w:keepNext w:val="0"/>
        <w:keepLines w:val="0"/>
        <w:pageBreakBefore w:val="0"/>
        <w:kinsoku/>
        <w:wordWrap/>
        <w:overflowPunct/>
        <w:autoSpaceDE/>
        <w:autoSpaceDN/>
        <w:bidi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2.普通和窄V</w:t>
      </w:r>
      <w:r>
        <w:rPr>
          <w:rFonts w:hint="eastAsia" w:ascii="仿宋_GB2312" w:hAnsi="仿宋_GB2312" w:eastAsia="仿宋_GB2312" w:cs="仿宋_GB2312"/>
          <w:bCs/>
          <w:kern w:val="28"/>
          <w:sz w:val="28"/>
          <w:szCs w:val="28"/>
        </w:rPr>
        <w:t>带传动</w:t>
      </w:r>
      <w:r>
        <w:rPr>
          <w:rFonts w:hint="eastAsia" w:ascii="仿宋_GB2312" w:hAnsi="仿宋_GB2312" w:eastAsia="仿宋_GB2312" w:cs="仿宋_GB2312"/>
          <w:sz w:val="28"/>
          <w:szCs w:val="28"/>
        </w:rPr>
        <w:t xml:space="preserve"> 第1部分：基准宽度制GB/T  13575.1-2008</w:t>
      </w:r>
    </w:p>
    <w:p>
      <w:pPr>
        <w:keepNext w:val="0"/>
        <w:keepLines w:val="0"/>
        <w:pageBreakBefore w:val="0"/>
        <w:kinsoku/>
        <w:wordWrap/>
        <w:overflowPunct/>
        <w:autoSpaceDE/>
        <w:autoSpaceDN/>
        <w:bidi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3.机械安全 机械电气设备 第1部分 通用技术条件 GB5226.1-2008</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十、技术平台</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竞赛用拖拉机及配套农具和联合收割机由常州东风农机集团有限公司提供。拖拉机选用常州东风1004型方向盘轮式拖拉机(发动机采用潍柴电控高压共轨柴油机，型号：WP4.1G100E301)，配套农具选用常州东正1JH-200型秸秆粉碎还田机；联合收割机选用常州东华4LZ-4.0Z纵轴流多功能全喂入联合收割机，常州东风农机集团有限公司对该型号液压系统的分配器进行更换，由分体式改为整体式，将三个支路控制阀集中成一路控制阀。</w:t>
      </w:r>
    </w:p>
    <w:p>
      <w:pPr>
        <w:keepNext w:val="0"/>
        <w:keepLines w:val="0"/>
        <w:pageBreakBefore w:val="0"/>
        <w:kinsoku/>
        <w:wordWrap/>
        <w:overflowPunct/>
        <w:autoSpaceDE/>
        <w:autoSpaceDN/>
        <w:bidi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2.比赛用工具由力易得格林利（上海）有限公司提供。</w:t>
      </w:r>
    </w:p>
    <w:p>
      <w:pPr>
        <w:keepNext w:val="0"/>
        <w:keepLines w:val="0"/>
        <w:pageBreakBefore w:val="0"/>
        <w:kinsoku/>
        <w:wordWrap/>
        <w:overflowPunct/>
        <w:autoSpaceDE/>
        <w:autoSpaceDN/>
        <w:bidi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拖拉机比赛工位需配备柴油机故障诊断仪一套和烟度计一台。柴油机故障诊断仪选用潍柴智多星Ⅱ（智多星3.2版本）及数据线，配备电脑一台。烟度计选用山东科大微机应用研究所有限公司研制的FD-2型滤纸式烟度计。</w:t>
      </w:r>
    </w:p>
    <w:p>
      <w:pPr>
        <w:keepNext w:val="0"/>
        <w:keepLines w:val="0"/>
        <w:pageBreakBefore w:val="0"/>
        <w:kinsoku/>
        <w:wordWrap/>
        <w:overflowPunct/>
        <w:autoSpaceDE/>
        <w:autoSpaceDN/>
        <w:bidi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4.拖拉机比赛工位需配备启动电机、发电机（与东风1004拖拉机相配套）各一台。</w:t>
      </w:r>
    </w:p>
    <w:p>
      <w:pPr>
        <w:keepNext w:val="0"/>
        <w:keepLines w:val="0"/>
        <w:pageBreakBefore w:val="0"/>
        <w:kinsoku/>
        <w:wordWrap/>
        <w:overflowPunct/>
        <w:autoSpaceDE/>
        <w:autoSpaceDN/>
        <w:bidi w:val="0"/>
        <w:snapToGrid w:val="0"/>
        <w:spacing w:line="560" w:lineRule="exact"/>
        <w:ind w:firstLine="560" w:firstLineChars="200"/>
        <w:rPr>
          <w:rFonts w:hint="eastAsia" w:ascii="仿宋_GB2312" w:hAnsi="仿宋_GB2312" w:eastAsia="仿宋_GB2312" w:cs="仿宋_GB2312"/>
          <w:color w:val="FF0000"/>
          <w:sz w:val="28"/>
          <w:szCs w:val="28"/>
        </w:rPr>
      </w:pPr>
      <w:r>
        <w:rPr>
          <w:rFonts w:hint="eastAsia" w:ascii="仿宋_GB2312" w:hAnsi="仿宋_GB2312" w:eastAsia="仿宋_GB2312" w:cs="仿宋_GB2312"/>
          <w:sz w:val="28"/>
          <w:szCs w:val="28"/>
        </w:rPr>
        <w:t>竞赛每工位所需的设备、器具、材料见表13。</w:t>
      </w:r>
    </w:p>
    <w:p>
      <w:pPr>
        <w:keepNext w:val="0"/>
        <w:keepLines w:val="0"/>
        <w:pageBreakBefore w:val="0"/>
        <w:kinsoku/>
        <w:wordWrap/>
        <w:overflowPunct/>
        <w:autoSpaceDE/>
        <w:autoSpaceDN/>
        <w:bidi w:val="0"/>
        <w:spacing w:after="156" w:afterLines="50" w:line="560" w:lineRule="exact"/>
        <w:jc w:val="center"/>
        <w:textAlignment w:val="baseline"/>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表13 竞赛设备、器具、材料</w:t>
      </w:r>
    </w:p>
    <w:tbl>
      <w:tblPr>
        <w:tblStyle w:val="10"/>
        <w:tblW w:w="8724"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6"/>
        <w:gridCol w:w="2486"/>
        <w:gridCol w:w="2395"/>
        <w:gridCol w:w="850"/>
        <w:gridCol w:w="851"/>
        <w:gridCol w:w="12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6" w:hRule="atLeast"/>
          <w:jc w:val="center"/>
        </w:trPr>
        <w:tc>
          <w:tcPr>
            <w:tcW w:w="876"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2486"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设备、器具、材料</w:t>
            </w:r>
          </w:p>
        </w:tc>
        <w:tc>
          <w:tcPr>
            <w:tcW w:w="2395"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规格、型号</w:t>
            </w:r>
          </w:p>
        </w:tc>
        <w:tc>
          <w:tcPr>
            <w:tcW w:w="85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w:t>
            </w:r>
          </w:p>
        </w:tc>
        <w:tc>
          <w:tcPr>
            <w:tcW w:w="851" w:type="dxa"/>
            <w:tcBorders>
              <w:right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数量</w:t>
            </w:r>
          </w:p>
        </w:tc>
        <w:tc>
          <w:tcPr>
            <w:tcW w:w="1266" w:type="dxa"/>
            <w:tcBorders>
              <w:left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大型轮式拖拉机</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东风1004型</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台</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秸秆粉碎还田机</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东正1JH-200</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台</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纵轴流多功能全喂入联合收割机</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东华4LZ-4.0Z</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台</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柴油机故障诊断仪</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智多星Ⅱ、电脑</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套</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烟度计</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FD-2</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台</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液压系检测设备</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25Mpa压力表、三通接头、高压油管</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套</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不锈钢游标卡尺</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0～200mm，力易得E0512</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把</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工具车</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力易得E8150</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台</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综合工具组套</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120+2件，力易得E1208</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套</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11</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圆头锤</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力易得E7234</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把</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12</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扭力扳手</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力易得E0977</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把</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13</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数显万用表</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力易得E9241</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只</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指针式万用表</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力易得E9237</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只</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15</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启动电机跨接线</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副</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16</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电源测试线</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线径2.5mm2多股线，长度1m,两边带夹子</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根</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17</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测试线 </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线径1mm2，长度1m ，两边带夹子</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副</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18</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T型线</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带公、母插头，鲤鱼夹</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副</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19</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试灯笔</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力易得E6756</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只</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LED强光铝合金手电筒</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力易得E9327</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只</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21</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维修躺板</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力易得E9763</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台</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22</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活动扳手</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10"，力易得E2023</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只</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23</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活动扳手</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18"，力易得E2026</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只</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24</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扁錾、冲子、铁砧</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套</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25</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铆钉</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6mm*15mm</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若干</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26</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橡胶锤</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力易得E7234</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把</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27</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手提工具箱</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力易得E8135</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只</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28</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三角木</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长*宽*高：(260-300mm)*(10-160mm)*180-200mm)</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只</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29</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油压千斤顶（配若干垫木、垫块）</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5吨</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台</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1套</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30</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铅锤</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31</w:t>
            </w:r>
          </w:p>
        </w:tc>
        <w:tc>
          <w:tcPr>
            <w:tcW w:w="2486"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钢直尺</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150cm</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把</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32</w:t>
            </w:r>
          </w:p>
        </w:tc>
        <w:tc>
          <w:tcPr>
            <w:tcW w:w="2486"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300cm</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把</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33</w:t>
            </w:r>
          </w:p>
        </w:tc>
        <w:tc>
          <w:tcPr>
            <w:tcW w:w="2486"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L型水平直角尺</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长300mm</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把</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34</w:t>
            </w:r>
          </w:p>
        </w:tc>
        <w:tc>
          <w:tcPr>
            <w:tcW w:w="2486"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长600mm，配150mm游标卡尺</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副</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35</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卷尺</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力易得E8034</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把</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36</w:t>
            </w:r>
          </w:p>
        </w:tc>
        <w:tc>
          <w:tcPr>
            <w:tcW w:w="2486"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一字起</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力易得E6251 PH3x75mm</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把</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37</w:t>
            </w:r>
          </w:p>
        </w:tc>
        <w:tc>
          <w:tcPr>
            <w:tcW w:w="2486"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力易得E6256 PH5x75mm</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把</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38</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十字起</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力易得E6276 PH1x75mm</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把</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39</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双色柄美式尖嘴钳</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6"，力易得E5121A</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把</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40</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双色柄美式斜嘴钳</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5"，力易得E5222A</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把</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41</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双色柄美式钢丝钳</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6"，力易得E5321A</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把</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0"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42</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鲤鱼钳</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6"，力易得E5421</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把</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0"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43</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剥线钳</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6"，力易得E5803</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把</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44</w:t>
            </w:r>
          </w:p>
        </w:tc>
        <w:tc>
          <w:tcPr>
            <w:tcW w:w="2486"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全抛光铬钒钢两用扳手</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力易得E2615，15mm</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把</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45</w:t>
            </w:r>
          </w:p>
        </w:tc>
        <w:tc>
          <w:tcPr>
            <w:tcW w:w="2486"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力易得E2621，21mm</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把</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46</w:t>
            </w:r>
          </w:p>
        </w:tc>
        <w:tc>
          <w:tcPr>
            <w:tcW w:w="2486"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力易得E2622，22mm</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把</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47</w:t>
            </w:r>
          </w:p>
        </w:tc>
        <w:tc>
          <w:tcPr>
            <w:tcW w:w="2486"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力易得E2624，24mm</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把</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48</w:t>
            </w:r>
          </w:p>
        </w:tc>
        <w:tc>
          <w:tcPr>
            <w:tcW w:w="2486"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力易得E2627，27mm</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把</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49</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塞尺</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力易得E9732</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把</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50</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塑料塞尺</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普罗达可森15026，长度100mm，小头宽6mm，大头宽12mm;13片,其中：0.25mm，2片；0.5mm，3片，1.0mm，4片；2mm，4片； </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把</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40" w:hRule="atLeast"/>
          <w:jc w:val="center"/>
        </w:trPr>
        <w:tc>
          <w:tcPr>
            <w:tcW w:w="876"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51</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撬棒</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力易得E9824</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根</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52</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铜棒</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根</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53</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安全帽</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顶</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54</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防护眼镜</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副</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55</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线团</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线粗约0.5mm，长度大于5m</w:t>
            </w: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组</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56</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轮胎气压表</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只</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57</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生胶带</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8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匝</w:t>
            </w:r>
          </w:p>
        </w:tc>
        <w:tc>
          <w:tcPr>
            <w:tcW w:w="851"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58</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剪刀</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850"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把</w:t>
            </w:r>
          </w:p>
        </w:tc>
        <w:tc>
          <w:tcPr>
            <w:tcW w:w="851" w:type="dxa"/>
            <w:tcBorders>
              <w:right w:val="single" w:color="auto" w:sz="4" w:space="0"/>
            </w:tcBorders>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Borders>
              <w:left w:val="single" w:color="auto" w:sz="4" w:space="0"/>
            </w:tcBorders>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59</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笔（石笔、铅笔、记号笔、签字笔、粉笔）</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850"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851"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若干</w:t>
            </w:r>
          </w:p>
        </w:tc>
        <w:tc>
          <w:tcPr>
            <w:tcW w:w="1266"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60</w:t>
            </w:r>
          </w:p>
        </w:tc>
        <w:tc>
          <w:tcPr>
            <w:tcW w:w="248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计算器</w:t>
            </w:r>
          </w:p>
        </w:tc>
        <w:tc>
          <w:tcPr>
            <w:tcW w:w="239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850"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只</w:t>
            </w:r>
          </w:p>
        </w:tc>
        <w:tc>
          <w:tcPr>
            <w:tcW w:w="851"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6"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bl>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十一、成绩评定</w:t>
      </w:r>
    </w:p>
    <w:p>
      <w:pPr>
        <w:keepNext w:val="0"/>
        <w:keepLines w:val="0"/>
        <w:pageBreakBefore w:val="0"/>
        <w:kinsoku/>
        <w:wordWrap/>
        <w:overflowPunct/>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（一）评分</w:t>
      </w:r>
      <w:r>
        <w:rPr>
          <w:rFonts w:hint="eastAsia" w:ascii="仿宋_GB2312" w:hAnsi="仿宋_GB2312" w:eastAsia="仿宋_GB2312" w:cs="仿宋_GB2312"/>
          <w:bCs/>
          <w:sz w:val="28"/>
          <w:szCs w:val="28"/>
        </w:rPr>
        <w:t>标准</w:t>
      </w:r>
    </w:p>
    <w:p>
      <w:pPr>
        <w:keepNext w:val="0"/>
        <w:keepLines w:val="0"/>
        <w:pageBreakBefore w:val="0"/>
        <w:kinsoku/>
        <w:wordWrap/>
        <w:overflowPunct/>
        <w:autoSpaceDE/>
        <w:autoSpaceDN/>
        <w:bidi w:val="0"/>
        <w:adjustRightInd w:val="0"/>
        <w:snapToGrid w:val="0"/>
        <w:spacing w:line="56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1.评分原则及实施</w:t>
      </w:r>
    </w:p>
    <w:p>
      <w:pPr>
        <w:keepNext w:val="0"/>
        <w:keepLines w:val="0"/>
        <w:pageBreakBefore w:val="0"/>
        <w:kinsoku/>
        <w:wordWrap/>
        <w:overflowPunct/>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（1）采用过程评价与结果评价相结合的评价方式。</w:t>
      </w:r>
    </w:p>
    <w:p>
      <w:pPr>
        <w:keepNext w:val="0"/>
        <w:keepLines w:val="0"/>
        <w:pageBreakBefore w:val="0"/>
        <w:kinsoku/>
        <w:wordWrap/>
        <w:overflowPunct/>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（2）认真调试各考核工位车辆、仪器设备，保证考核条件一致。</w:t>
      </w:r>
    </w:p>
    <w:p>
      <w:pPr>
        <w:keepNext w:val="0"/>
        <w:keepLines w:val="0"/>
        <w:pageBreakBefore w:val="0"/>
        <w:kinsoku/>
        <w:wordWrap/>
        <w:overflowPunct/>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裁判队伍考前封闭竞赛预演培训，借用视频、图片等载体掌握操作过程的评判标准，借用诊断报告样品掌握诊断报告的评判标准，并对裁判的判罚进行分析对比，对不合理的判罚进行纠正，以保证裁判标准一致。</w:t>
      </w:r>
    </w:p>
    <w:p>
      <w:pPr>
        <w:keepNext w:val="0"/>
        <w:keepLines w:val="0"/>
        <w:pageBreakBefore w:val="0"/>
        <w:kinsoku/>
        <w:wordWrap/>
        <w:overflowPunct/>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（4）技能竞赛时，每个工位设2名工位裁判，具体进行评分工作，独立打分。每3个工位设1名现场裁判，监督工位裁判的评判工作，确保赛事能公平公正进行。</w:t>
      </w:r>
    </w:p>
    <w:p>
      <w:pPr>
        <w:keepNext w:val="0"/>
        <w:keepLines w:val="0"/>
        <w:pageBreakBefore w:val="0"/>
        <w:kinsoku/>
        <w:wordWrap/>
        <w:overflowPunct/>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bCs/>
          <w:sz w:val="28"/>
          <w:szCs w:val="28"/>
        </w:rPr>
        <w:t xml:space="preserve">2.评分细则  </w:t>
      </w:r>
    </w:p>
    <w:p>
      <w:pPr>
        <w:keepNext w:val="0"/>
        <w:keepLines w:val="0"/>
        <w:pageBreakBefore w:val="0"/>
        <w:kinsoku/>
        <w:wordWrap/>
        <w:overflowPunct/>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（1）“大型轮式拖拉机悬挂秸秆还田机综合故障诊断与排除”评分细则具体见表14。</w:t>
      </w:r>
    </w:p>
    <w:p>
      <w:pPr>
        <w:keepNext w:val="0"/>
        <w:keepLines w:val="0"/>
        <w:pageBreakBefore w:val="0"/>
        <w:kinsoku/>
        <w:wordWrap/>
        <w:overflowPunct/>
        <w:autoSpaceDE/>
        <w:autoSpaceDN/>
        <w:bidi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表14 大型轮式拖拉机悬挂秸秆还田机综合故障诊断与排除</w:t>
      </w:r>
    </w:p>
    <w:tbl>
      <w:tblPr>
        <w:tblStyle w:val="10"/>
        <w:tblW w:w="91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
        <w:gridCol w:w="1740"/>
        <w:gridCol w:w="2760"/>
        <w:gridCol w:w="705"/>
        <w:gridCol w:w="33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174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考核内容</w:t>
            </w:r>
          </w:p>
        </w:tc>
        <w:tc>
          <w:tcPr>
            <w:tcW w:w="27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考核要点</w:t>
            </w:r>
          </w:p>
        </w:tc>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要点分</w:t>
            </w:r>
          </w:p>
        </w:tc>
        <w:tc>
          <w:tcPr>
            <w:tcW w:w="33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53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74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准备工作</w:t>
            </w:r>
          </w:p>
        </w:tc>
        <w:tc>
          <w:tcPr>
            <w:tcW w:w="27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操作前准备，包括清洁、检查和备齐所需工量具等</w:t>
            </w:r>
          </w:p>
        </w:tc>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33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1.未检查扣2分,检查漏一项扣0.5分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2.未清洁扣2分,清洁漏一项扣0.5分,扣完为止</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740"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判断、排除底盘故障</w:t>
            </w:r>
          </w:p>
        </w:tc>
        <w:tc>
          <w:tcPr>
            <w:tcW w:w="27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1判断排除传动系故障</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3375" w:type="dxa"/>
            <w:vMerge w:val="restart"/>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1.工具、量具选用错误每次扣0.5分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2.工具、量具使用错误每次扣0.5分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3.故障判断不准确每项扣2分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4.测试部位不正确每处扣2分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5.测试方法不正确扣2分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6.调整结果有误每项扣2分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7.填写记录表遗漏一处扣1分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8.填写记录表内容错误一处扣1分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9.制动器两块踏板调整不一致扣1分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10.工具及零件脱手落地每次扣1分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（以下相同）</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11.量具脱手落地每次扣2分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（以下相同）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40" w:type="dxa"/>
            <w:vMerge w:val="continue"/>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7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判断排除制动系故障</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w:t>
            </w:r>
          </w:p>
        </w:tc>
        <w:tc>
          <w:tcPr>
            <w:tcW w:w="3375" w:type="dxa"/>
            <w:vMerge w:val="continue"/>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40" w:type="dxa"/>
            <w:vMerge w:val="continue"/>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7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3.判断排除行走系统故障</w:t>
            </w:r>
          </w:p>
        </w:tc>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w:t>
            </w:r>
          </w:p>
        </w:tc>
        <w:tc>
          <w:tcPr>
            <w:tcW w:w="3375"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40" w:type="dxa"/>
            <w:vMerge w:val="continue"/>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7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4.判断排除液压系故障（用油压表测试液压系主要性能参数）</w:t>
            </w:r>
          </w:p>
        </w:tc>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w:t>
            </w:r>
          </w:p>
        </w:tc>
        <w:tc>
          <w:tcPr>
            <w:tcW w:w="33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1.仪器调试不正确扣2分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2.仪器安装不正确扣2分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3.测量方法不正确扣2分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4.测试转速不正确扣2分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5.测试参数不正确每项扣2分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6.分析结论不正确扣2分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174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启动，了解故障征象</w:t>
            </w:r>
          </w:p>
        </w:tc>
        <w:tc>
          <w:tcPr>
            <w:tcW w:w="27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1.启动前的检查</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2.启动</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3.根据征象诊断故障</w:t>
            </w:r>
          </w:p>
        </w:tc>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33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 启动前的检查</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检查漏一项扣1分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2.启动</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启动操作错误，每项扣1分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3.诊断故障不准确每项扣2分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1740" w:type="dxa"/>
            <w:vMerge w:val="restart"/>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判断、排除电路故障</w:t>
            </w:r>
          </w:p>
        </w:tc>
        <w:tc>
          <w:tcPr>
            <w:tcW w:w="27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使用万用表对电路进行检查</w:t>
            </w:r>
          </w:p>
        </w:tc>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33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1.不使用万用表扣2分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2.不能正确使用万用表扣1分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40" w:type="dxa"/>
            <w:vMerge w:val="continue"/>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7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判断并排除电源电路故障</w:t>
            </w:r>
          </w:p>
        </w:tc>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3375"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1.工具、仪表选用错误每次扣0.5分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2.工具、仪表使用错误每次扣0.5分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3.故障判断不准确每项扣2分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40" w:type="dxa"/>
            <w:vMerge w:val="continue"/>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7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判断并排除启动电路故障</w:t>
            </w:r>
          </w:p>
        </w:tc>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w:t>
            </w:r>
          </w:p>
        </w:tc>
        <w:tc>
          <w:tcPr>
            <w:tcW w:w="3375"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40" w:type="dxa"/>
            <w:vMerge w:val="continue"/>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7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判断并排除照明、信号及仪表电路故障</w:t>
            </w:r>
          </w:p>
        </w:tc>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3375"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1740" w:type="dxa"/>
            <w:vMerge w:val="restart"/>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电控高压共轨系统检测、故障排除</w:t>
            </w:r>
          </w:p>
        </w:tc>
        <w:tc>
          <w:tcPr>
            <w:tcW w:w="27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1.使用诊断仪对电控高压共轨系统进行检测、判断故障点</w:t>
            </w:r>
          </w:p>
        </w:tc>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3375"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1.故障判断不准确每项扣2分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2.测试部位不正确每处扣2分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3.测试方法不正确每次扣2分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4.测试参数不正确每项扣2分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5.测试工况不正确扣3分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6.测试数据不正确扣2分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7.分析结论不正确2分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8.排除方法不正确扣1分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9.诊断仪连接操作不正确扣2分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40" w:type="dxa"/>
            <w:vMerge w:val="continue"/>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760"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2.检测传感器、执行器、ECU</w:t>
            </w:r>
          </w:p>
        </w:tc>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12</w:t>
            </w:r>
          </w:p>
        </w:tc>
        <w:tc>
          <w:tcPr>
            <w:tcW w:w="3375"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40" w:type="dxa"/>
            <w:vMerge w:val="continue"/>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760"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3.故障排除后，5秒内能顺利启动，发动机各缸燃烧正常</w:t>
            </w:r>
          </w:p>
        </w:tc>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3375"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1740" w:type="dxa"/>
            <w:vMerge w:val="restart"/>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柴油机排放污染物烟度值检测</w:t>
            </w:r>
          </w:p>
        </w:tc>
        <w:tc>
          <w:tcPr>
            <w:tcW w:w="2760"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正确安装烟度检测仪</w:t>
            </w:r>
          </w:p>
        </w:tc>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3375"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1.工具、选用错误每次扣0.5分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2.工具、使用错误每次扣0.5分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3.仪器调试不正确扣2分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4.仪器安装不正确扣2分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5.测量方法不正确扣2分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6.测试参数不正确每项扣2分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40" w:type="dxa"/>
            <w:vMerge w:val="continue"/>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760"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正确进行柴油机排放烟度检测</w:t>
            </w:r>
          </w:p>
        </w:tc>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3375"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740" w:type="dxa"/>
            <w:vMerge w:val="continue"/>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760"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正确读取检测数据</w:t>
            </w:r>
          </w:p>
        </w:tc>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3375"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w:t>
            </w:r>
          </w:p>
        </w:tc>
        <w:tc>
          <w:tcPr>
            <w:tcW w:w="174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安全文明生产</w:t>
            </w:r>
          </w:p>
        </w:tc>
        <w:tc>
          <w:tcPr>
            <w:tcW w:w="2760"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1.遵守安全操作规程</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2.整理、清洁作业现场</w:t>
            </w:r>
          </w:p>
        </w:tc>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33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1.非规范操作扣1分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2.操作现场不整洁扣1分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3.现场未整理扣1分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w:t>
            </w:r>
          </w:p>
        </w:tc>
        <w:tc>
          <w:tcPr>
            <w:tcW w:w="174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综合扣分项</w:t>
            </w:r>
          </w:p>
        </w:tc>
        <w:tc>
          <w:tcPr>
            <w:tcW w:w="6840" w:type="dxa"/>
            <w:gridSpan w:val="3"/>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1.工具及零件脱手落地每次扣1分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2．量具脱手落地每次扣2分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3．因操作失误造成零件及工量具损坏每次扣3分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4.违反安全操作规程每次扣1分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5.因违规操作发生重大人身或设备事故,全题按零分计</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6.上述每个项目配分扣完为止，未完成部分不得分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7．得分相同者按完成时间排序，用时少者列前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73" w:type="dxa"/>
            <w:gridSpan w:val="2"/>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合计</w:t>
            </w:r>
          </w:p>
        </w:tc>
        <w:tc>
          <w:tcPr>
            <w:tcW w:w="6840" w:type="dxa"/>
            <w:gridSpan w:val="3"/>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100</w:t>
            </w:r>
          </w:p>
        </w:tc>
      </w:tr>
    </w:tbl>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（2）“履带自走式全喂入联合收割机综合故障诊断与排除评分细则”见表15.</w:t>
      </w:r>
    </w:p>
    <w:p>
      <w:pPr>
        <w:keepNext w:val="0"/>
        <w:keepLines w:val="0"/>
        <w:pageBreakBefore w:val="0"/>
        <w:kinsoku/>
        <w:wordWrap/>
        <w:overflowPunct/>
        <w:autoSpaceDE/>
        <w:autoSpaceDN/>
        <w:bidi w:val="0"/>
        <w:spacing w:line="560" w:lineRule="exact"/>
        <w:ind w:left="420" w:leftChars="20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表15 履带自走式全喂入联合收割机综合故障诊断与排除</w:t>
      </w:r>
    </w:p>
    <w:tbl>
      <w:tblPr>
        <w:tblStyle w:val="10"/>
        <w:tblW w:w="90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3"/>
        <w:gridCol w:w="1770"/>
        <w:gridCol w:w="2760"/>
        <w:gridCol w:w="705"/>
        <w:gridCol w:w="3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177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考核内容</w:t>
            </w:r>
          </w:p>
        </w:tc>
        <w:tc>
          <w:tcPr>
            <w:tcW w:w="27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考核要点</w:t>
            </w:r>
          </w:p>
        </w:tc>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要点分</w:t>
            </w:r>
          </w:p>
        </w:tc>
        <w:tc>
          <w:tcPr>
            <w:tcW w:w="33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77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准备工作</w:t>
            </w:r>
          </w:p>
        </w:tc>
        <w:tc>
          <w:tcPr>
            <w:tcW w:w="27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包括清洁、检查和备齐所需工、量具与零件设备等</w:t>
            </w:r>
          </w:p>
        </w:tc>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33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1.未检查扣2分,检查漏一项扣0.5分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2.未清洁扣2分,清洁漏一项扣0.5分,配分扣完为止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77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底盘部分故障诊断与排除</w:t>
            </w:r>
          </w:p>
        </w:tc>
        <w:tc>
          <w:tcPr>
            <w:tcW w:w="27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判断排除底盘故障</w:t>
            </w:r>
          </w:p>
        </w:tc>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15</w:t>
            </w:r>
          </w:p>
        </w:tc>
        <w:tc>
          <w:tcPr>
            <w:tcW w:w="33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1.工具量具选用或使用错误每次扣0.5分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2.操作程序错误扣3分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3.操作方法错误扣2分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4.调整结果有误每项扣2分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12" w:hRule="atLeast"/>
        </w:trPr>
        <w:tc>
          <w:tcPr>
            <w:tcW w:w="50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1770"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割台部分故障诊断与排除</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7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1.判断排除割刀故障</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2.判断排除割台搅龙和伸缩齿故障</w:t>
            </w:r>
          </w:p>
        </w:tc>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40</w:t>
            </w:r>
          </w:p>
        </w:tc>
        <w:tc>
          <w:tcPr>
            <w:tcW w:w="33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1.工具量具选用或使用错误每次扣0.5分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2.操作程序错误扣3分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3.操作方法错误扣2分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4.调整结果有误每项扣2分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90" w:hRule="atLeast"/>
        </w:trPr>
        <w:tc>
          <w:tcPr>
            <w:tcW w:w="50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1770"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脱粒清选部分故障诊断与排除</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7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 判断排除脱粒滚筒故障</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 判断排除振动筛故障</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 判断排除清选风扇故障</w:t>
            </w:r>
          </w:p>
        </w:tc>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18</w:t>
            </w:r>
          </w:p>
        </w:tc>
        <w:tc>
          <w:tcPr>
            <w:tcW w:w="33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1.工具量具选用或使用错误每次扣0.5分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2.操作程序错误扣3分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3.操作方法错误扣2分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4.调整结果有误每项扣2分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03" w:hRule="atLeast"/>
        </w:trPr>
        <w:tc>
          <w:tcPr>
            <w:tcW w:w="50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1770"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动力传动部分故障诊断与排除</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7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 判断排除离合器故障</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 判断排除传动装置链及带的故障</w:t>
            </w:r>
          </w:p>
        </w:tc>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17</w:t>
            </w:r>
          </w:p>
        </w:tc>
        <w:tc>
          <w:tcPr>
            <w:tcW w:w="33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1.工具量具选用或使用错误每次扣0.5分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2.操作程序错误扣3分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3.操作方法错误扣2分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4.调整结果有误每项扣2分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177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安全文明生产</w:t>
            </w:r>
          </w:p>
        </w:tc>
        <w:tc>
          <w:tcPr>
            <w:tcW w:w="27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1.遵守安全操作规程</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2.整理、清洁作业现场</w:t>
            </w:r>
          </w:p>
        </w:tc>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336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未遵守操作规程、操作现场不整洁、作业后未整理现场分别扣分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w:t>
            </w:r>
          </w:p>
        </w:tc>
        <w:tc>
          <w:tcPr>
            <w:tcW w:w="177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综合扣分项</w:t>
            </w:r>
          </w:p>
        </w:tc>
        <w:tc>
          <w:tcPr>
            <w:tcW w:w="6825" w:type="dxa"/>
            <w:gridSpan w:val="3"/>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1.工具及零件脱手落地每次扣1分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2.量具脱手落地每次扣2分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3.因操作失误造成零件及工量具损坏,每次扣3分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4.违反安全操作规程每次扣1分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5.因违规操作发生重大人身或设备事故,全题按零分计</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6.上述每个项目配分扣完为止，未完成部分不得分</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7.得分相同者按完成时间排序，用时少者列前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73" w:type="dxa"/>
            <w:gridSpan w:val="2"/>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合计</w:t>
            </w:r>
          </w:p>
        </w:tc>
        <w:tc>
          <w:tcPr>
            <w:tcW w:w="6825" w:type="dxa"/>
            <w:gridSpan w:val="3"/>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100</w:t>
            </w:r>
          </w:p>
        </w:tc>
      </w:tr>
    </w:tbl>
    <w:p>
      <w:pPr>
        <w:keepNext w:val="0"/>
        <w:keepLines w:val="0"/>
        <w:pageBreakBefore w:val="0"/>
        <w:kinsoku/>
        <w:wordWrap/>
        <w:overflowPunct/>
        <w:autoSpaceDE/>
        <w:autoSpaceDN/>
        <w:bidi w:val="0"/>
        <w:adjustRightInd w:val="0"/>
        <w:snapToGrid w:val="0"/>
        <w:spacing w:line="56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sz w:val="28"/>
          <w:szCs w:val="28"/>
        </w:rPr>
        <w:t>（二）</w:t>
      </w:r>
      <w:r>
        <w:rPr>
          <w:rFonts w:hint="eastAsia" w:ascii="仿宋_GB2312" w:hAnsi="仿宋_GB2312" w:eastAsia="仿宋_GB2312" w:cs="仿宋_GB2312"/>
          <w:bCs/>
          <w:sz w:val="28"/>
          <w:szCs w:val="28"/>
        </w:rPr>
        <w:t>成绩构成</w:t>
      </w:r>
    </w:p>
    <w:p>
      <w:pPr>
        <w:keepNext w:val="0"/>
        <w:keepLines w:val="0"/>
        <w:pageBreakBefore w:val="0"/>
        <w:kinsoku/>
        <w:wordWrap/>
        <w:overflowPunct/>
        <w:autoSpaceDE/>
        <w:autoSpaceDN/>
        <w:bidi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两个项目满分均为100分，其中项目一、项目二分别占总成绩的64%、36%。竞赛成绩相同时，完成工作任务所用时间少的名次在前。</w:t>
      </w:r>
    </w:p>
    <w:p>
      <w:pPr>
        <w:keepNext w:val="0"/>
        <w:keepLines w:val="0"/>
        <w:pageBreakBefore w:val="0"/>
        <w:kinsoku/>
        <w:wordWrap/>
        <w:overflowPunct/>
        <w:autoSpaceDE/>
        <w:autoSpaceDN/>
        <w:bidi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（三）成绩审核</w:t>
      </w:r>
    </w:p>
    <w:p>
      <w:pPr>
        <w:keepNext w:val="0"/>
        <w:keepLines w:val="0"/>
        <w:pageBreakBefore w:val="0"/>
        <w:kinsoku/>
        <w:wordWrap/>
        <w:overflowPunct/>
        <w:autoSpaceDE/>
        <w:autoSpaceDN/>
        <w:bidi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保障成绩评判的准确性，监督组将对赛项总成绩排名前30%的所有参赛选手的成绩进行复核；对其余成绩进行抽检复核，抽检覆盖率不得低于15%。如发现成绩错误以书面方式及时告知裁判长，由裁判长更正成绩并签字确认。复核、抽检错误率超过5%的，裁判组将对所有成绩进行复核。</w:t>
      </w:r>
    </w:p>
    <w:p>
      <w:pPr>
        <w:keepNext w:val="0"/>
        <w:keepLines w:val="0"/>
        <w:pageBreakBefore w:val="0"/>
        <w:kinsoku/>
        <w:wordWrap/>
        <w:overflowPunct/>
        <w:autoSpaceDE/>
        <w:autoSpaceDN/>
        <w:bidi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（四）成绩公布</w:t>
      </w:r>
    </w:p>
    <w:p>
      <w:pPr>
        <w:keepNext w:val="0"/>
        <w:keepLines w:val="0"/>
        <w:pageBreakBefore w:val="0"/>
        <w:kinsoku/>
        <w:wordWrap/>
        <w:overflowPunct/>
        <w:autoSpaceDE/>
        <w:autoSpaceDN/>
        <w:bidi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选手成绩经复核无误，由裁判长、监督人员和仲裁人员签字确认后公布。</w:t>
      </w:r>
    </w:p>
    <w:p>
      <w:pPr>
        <w:keepNext w:val="0"/>
        <w:keepLines w:val="0"/>
        <w:pageBreakBefore w:val="0"/>
        <w:kinsoku/>
        <w:wordWrap/>
        <w:overflowPunct/>
        <w:autoSpaceDE/>
        <w:autoSpaceDN/>
        <w:bidi w:val="0"/>
        <w:snapToGrid w:val="0"/>
        <w:spacing w:line="56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（五）裁判构成</w:t>
      </w:r>
    </w:p>
    <w:p>
      <w:pPr>
        <w:keepNext w:val="0"/>
        <w:keepLines w:val="0"/>
        <w:pageBreakBefore w:val="0"/>
        <w:kinsoku/>
        <w:wordWrap/>
        <w:overflowPunct/>
        <w:autoSpaceDE/>
        <w:autoSpaceDN/>
        <w:bidi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以14个工位计算，裁判组共有36人，其中裁判长1人，加密裁判2人，工位裁判28人，现场裁判5人。</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十二、奖项设定</w:t>
      </w:r>
    </w:p>
    <w:p>
      <w:pPr>
        <w:keepNext w:val="0"/>
        <w:keepLines w:val="0"/>
        <w:pageBreakBefore w:val="0"/>
        <w:kinsoku/>
        <w:wordWrap/>
        <w:overflowPunct/>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w:t>
      </w:r>
      <w:r>
        <w:rPr>
          <w:rFonts w:hint="eastAsia" w:ascii="仿宋_GB2312" w:hAnsi="仿宋_GB2312" w:eastAsia="仿宋_GB2312" w:cs="仿宋_GB2312"/>
          <w:bCs/>
          <w:sz w:val="28"/>
          <w:szCs w:val="28"/>
        </w:rPr>
        <w:t>赛</w:t>
      </w:r>
      <w:r>
        <w:rPr>
          <w:rFonts w:hint="eastAsia" w:ascii="仿宋_GB2312" w:hAnsi="仿宋_GB2312" w:eastAsia="仿宋_GB2312" w:cs="仿宋_GB2312"/>
          <w:sz w:val="28"/>
          <w:szCs w:val="28"/>
        </w:rPr>
        <w:t>项设一、二、三等奖。以赛项实际参赛队总数为基数，一、二、三等奖获奖比例分别为10%、20%、30%（小数点后四舍五入）。获得奖项的选手，授予相应的荣誉证书。</w:t>
      </w:r>
    </w:p>
    <w:p>
      <w:pPr>
        <w:keepNext w:val="0"/>
        <w:keepLines w:val="0"/>
        <w:pageBreakBefore w:val="0"/>
        <w:kinsoku/>
        <w:wordWrap/>
        <w:overflowPunct/>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参赛队获得</w:t>
      </w:r>
      <w:r>
        <w:rPr>
          <w:rFonts w:hint="eastAsia" w:ascii="仿宋_GB2312" w:hAnsi="仿宋_GB2312" w:eastAsia="仿宋_GB2312" w:cs="仿宋_GB2312"/>
          <w:bCs/>
          <w:sz w:val="28"/>
          <w:szCs w:val="28"/>
        </w:rPr>
        <w:t>一等奖</w:t>
      </w:r>
      <w:r>
        <w:rPr>
          <w:rFonts w:hint="eastAsia" w:ascii="仿宋_GB2312" w:hAnsi="仿宋_GB2312" w:eastAsia="仿宋_GB2312" w:cs="仿宋_GB2312"/>
          <w:sz w:val="28"/>
          <w:szCs w:val="28"/>
        </w:rPr>
        <w:t>的指导教师由大赛组委会颁发优秀指导教师证书。</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十三、赛场预案</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按照2019年《全国职业院校技能大赛制度汇编》中相关制度要求执行。</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（一）竞赛设备移动应急预案</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竞赛中由于选手误操作，造成拖拉机或联合收割机移动，裁判或技术人员应立即予以制止，避免发生安全事故。</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（二）设备仪器损坏应急预案。</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赛场每个工位安排一名技术人员（由厂方提供），及时解决比赛中突发的设备故障，解决不了的，采用备用工位，保证竞赛正常进行。</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（三）电源保障预案</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1.承办单位事先协调当地供电部门，保证竞赛当天的正常供电；赛场双路供电，备用UPS，双保障，以保证赛场的正常供电。</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2.竞赛过程中出现设备掉电、故障等意外时，现场裁判需及时确认情况，安排技术支持人员进行处理，现场裁判登记详细情况，填写补时登记表，报裁判长批准后，可安排延长补足相应选手的比赛时间。</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3.赛场布置时，注意把计算机的电源插头做隐蔽处理，将电源插头放置在选手不容易碰到的位置，避免选手因不小心而将电源线踢掉的现象产生。</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bCs/>
          <w:kern w:val="0"/>
          <w:sz w:val="28"/>
          <w:szCs w:val="28"/>
        </w:rPr>
      </w:pPr>
      <w:r>
        <w:rPr>
          <w:rFonts w:hint="eastAsia" w:ascii="仿宋_GB2312" w:hAnsi="仿宋_GB2312" w:eastAsia="仿宋_GB2312" w:cs="仿宋_GB2312"/>
          <w:sz w:val="28"/>
          <w:szCs w:val="28"/>
        </w:rPr>
        <w:t>（四）</w:t>
      </w:r>
      <w:r>
        <w:rPr>
          <w:rFonts w:hint="eastAsia" w:ascii="仿宋_GB2312" w:hAnsi="仿宋_GB2312" w:eastAsia="仿宋_GB2312" w:cs="仿宋_GB2312"/>
          <w:bCs/>
          <w:kern w:val="0"/>
          <w:sz w:val="28"/>
          <w:szCs w:val="28"/>
        </w:rPr>
        <w:t>医疗及安全预案</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1.120急救车和供电车赛场外等候。</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2.赛场内设置医疗救护区，竞赛期间，安排医生随时处理突发的医疗事件。</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3.比赛期间发生大规模意外事故和安全问题，发现者应第一时间报告赛项执委会，赛项执委会应采取中止比赛、快速疏散人群等措施避免事态扩大，并第一时间报告赛区执委会。赛项出现重大安全问题可以停赛，是否停赛由赛区执委会决定。事后，赛区执委会应向大赛执委会报告详细情况。</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十四、赛项安全</w:t>
      </w:r>
    </w:p>
    <w:p>
      <w:pPr>
        <w:keepNext w:val="0"/>
        <w:keepLines w:val="0"/>
        <w:pageBreakBefore w:val="0"/>
        <w:kinsoku/>
        <w:wordWrap/>
        <w:overflowPunct/>
        <w:autoSpaceDE/>
        <w:autoSpaceDN/>
        <w:bidi w:val="0"/>
        <w:snapToGrid w:val="0"/>
        <w:spacing w:line="560" w:lineRule="exact"/>
        <w:ind w:firstLine="560" w:firstLineChars="200"/>
        <w:rPr>
          <w:rFonts w:hint="eastAsia" w:ascii="仿宋_GB2312" w:hAnsi="仿宋_GB2312" w:eastAsia="仿宋_GB2312" w:cs="仿宋_GB2312"/>
          <w:color w:val="000000"/>
          <w:sz w:val="28"/>
          <w:szCs w:val="28"/>
        </w:rPr>
      </w:pPr>
      <w:bookmarkStart w:id="1" w:name="_Toc361563584"/>
      <w:r>
        <w:rPr>
          <w:rFonts w:hint="eastAsia" w:ascii="仿宋_GB2312" w:hAnsi="仿宋_GB2312" w:eastAsia="仿宋_GB2312" w:cs="仿宋_GB2312"/>
          <w:color w:val="000000"/>
          <w:sz w:val="28"/>
          <w:szCs w:val="28"/>
        </w:rPr>
        <w:t>（一）比赛环境</w:t>
      </w:r>
      <w:bookmarkEnd w:id="1"/>
    </w:p>
    <w:p>
      <w:pPr>
        <w:pStyle w:val="14"/>
        <w:keepNext w:val="0"/>
        <w:keepLines w:val="0"/>
        <w:pageBreakBefore w:val="0"/>
        <w:tabs>
          <w:tab w:val="left" w:pos="851"/>
        </w:tabs>
        <w:kinsoku/>
        <w:wordWrap/>
        <w:overflowPunct/>
        <w:autoSpaceDE/>
        <w:autoSpaceDN/>
        <w:bidi w:val="0"/>
        <w:adjustRightInd w:val="0"/>
        <w:snapToGrid w:val="0"/>
        <w:spacing w:before="78" w:after="78" w:line="560" w:lineRule="exact"/>
        <w:ind w:firstLine="560"/>
        <w:rPr>
          <w:rFonts w:hint="eastAsia" w:ascii="仿宋_GB2312" w:hAnsi="仿宋_GB2312" w:eastAsia="仿宋_GB2312" w:cs="仿宋_GB2312"/>
          <w:color w:val="000000"/>
          <w:kern w:val="2"/>
          <w:sz w:val="28"/>
          <w:szCs w:val="28"/>
        </w:rPr>
      </w:pPr>
      <w:r>
        <w:rPr>
          <w:rFonts w:hint="eastAsia" w:ascii="仿宋_GB2312" w:hAnsi="仿宋_GB2312" w:eastAsia="仿宋_GB2312" w:cs="仿宋_GB2312"/>
          <w:color w:val="000000"/>
          <w:kern w:val="2"/>
          <w:sz w:val="28"/>
          <w:szCs w:val="28"/>
        </w:rPr>
        <w:t>1.执委会须在赛前组织专人对比赛现场、住宿场所和交通保障进行考察，并对安全工作提出明确要求。赛场的布置，赛场内的器材、设备，应符合国家有关安全规定。如有必要，也可进行赛场仿真模拟测试，以发现可能出现的问题。承办单位赛前须按照执委会要求排除安全隐患。</w:t>
      </w:r>
    </w:p>
    <w:p>
      <w:pPr>
        <w:pStyle w:val="14"/>
        <w:keepNext w:val="0"/>
        <w:keepLines w:val="0"/>
        <w:pageBreakBefore w:val="0"/>
        <w:tabs>
          <w:tab w:val="left" w:pos="851"/>
        </w:tabs>
        <w:kinsoku/>
        <w:wordWrap/>
        <w:overflowPunct/>
        <w:autoSpaceDE/>
        <w:autoSpaceDN/>
        <w:bidi w:val="0"/>
        <w:adjustRightInd w:val="0"/>
        <w:snapToGrid w:val="0"/>
        <w:spacing w:before="78" w:after="78" w:line="560" w:lineRule="exact"/>
        <w:ind w:firstLine="560"/>
        <w:rPr>
          <w:rFonts w:hint="eastAsia" w:ascii="仿宋_GB2312" w:hAnsi="仿宋_GB2312" w:eastAsia="仿宋_GB2312" w:cs="仿宋_GB2312"/>
          <w:color w:val="000000"/>
          <w:kern w:val="2"/>
          <w:sz w:val="28"/>
          <w:szCs w:val="28"/>
        </w:rPr>
      </w:pPr>
      <w:r>
        <w:rPr>
          <w:rFonts w:hint="eastAsia" w:ascii="仿宋_GB2312" w:hAnsi="仿宋_GB2312" w:eastAsia="仿宋_GB2312" w:cs="仿宋_GB2312"/>
          <w:color w:val="000000"/>
          <w:kern w:val="2"/>
          <w:sz w:val="28"/>
          <w:szCs w:val="28"/>
        </w:rPr>
        <w:t>2.赛场周围要设立警戒线，要求所有参赛人员必须凭执委会印发的有效证件进入场地，防止无关人员进入发生意外事件。比赛现场内应参照相关职业岗位的要求为选手提供必要的劳动保护。在具有危险性的操作环节，裁判员要严防选手出现错误操作。</w:t>
      </w:r>
    </w:p>
    <w:p>
      <w:pPr>
        <w:pStyle w:val="14"/>
        <w:keepNext w:val="0"/>
        <w:keepLines w:val="0"/>
        <w:pageBreakBefore w:val="0"/>
        <w:tabs>
          <w:tab w:val="left" w:pos="851"/>
        </w:tabs>
        <w:kinsoku/>
        <w:wordWrap/>
        <w:overflowPunct/>
        <w:autoSpaceDE/>
        <w:autoSpaceDN/>
        <w:bidi w:val="0"/>
        <w:adjustRightInd w:val="0"/>
        <w:snapToGrid w:val="0"/>
        <w:spacing w:before="78" w:after="78" w:line="560" w:lineRule="exact"/>
        <w:ind w:firstLine="560"/>
        <w:rPr>
          <w:rFonts w:hint="eastAsia" w:ascii="仿宋_GB2312" w:hAnsi="仿宋_GB2312" w:eastAsia="仿宋_GB2312" w:cs="仿宋_GB2312"/>
          <w:color w:val="000000"/>
          <w:kern w:val="2"/>
          <w:sz w:val="28"/>
          <w:szCs w:val="28"/>
        </w:rPr>
      </w:pPr>
      <w:r>
        <w:rPr>
          <w:rFonts w:hint="eastAsia" w:ascii="仿宋_GB2312" w:hAnsi="仿宋_GB2312" w:eastAsia="仿宋_GB2312" w:cs="仿宋_GB2312"/>
          <w:color w:val="000000"/>
          <w:kern w:val="2"/>
          <w:sz w:val="28"/>
          <w:szCs w:val="28"/>
        </w:rPr>
        <w:t>3.承办单位应提供保证应急预案实施的条件。对于比赛内容涉及高空作业、可能有坠物、大用电量、易发生火灾等情况的赛项，必须明确制度和预案，并配备急救人员与设施。</w:t>
      </w:r>
    </w:p>
    <w:p>
      <w:pPr>
        <w:pStyle w:val="14"/>
        <w:keepNext w:val="0"/>
        <w:keepLines w:val="0"/>
        <w:pageBreakBefore w:val="0"/>
        <w:tabs>
          <w:tab w:val="left" w:pos="851"/>
        </w:tabs>
        <w:kinsoku/>
        <w:wordWrap/>
        <w:overflowPunct/>
        <w:autoSpaceDE/>
        <w:autoSpaceDN/>
        <w:bidi w:val="0"/>
        <w:adjustRightInd w:val="0"/>
        <w:snapToGrid w:val="0"/>
        <w:spacing w:before="78" w:after="78" w:line="560" w:lineRule="exact"/>
        <w:ind w:firstLine="560"/>
        <w:rPr>
          <w:rFonts w:hint="eastAsia" w:ascii="仿宋_GB2312" w:hAnsi="仿宋_GB2312" w:eastAsia="仿宋_GB2312" w:cs="仿宋_GB2312"/>
          <w:color w:val="000000"/>
          <w:kern w:val="2"/>
          <w:sz w:val="28"/>
          <w:szCs w:val="28"/>
        </w:rPr>
      </w:pPr>
      <w:r>
        <w:rPr>
          <w:rFonts w:hint="eastAsia" w:ascii="仿宋_GB2312" w:hAnsi="仿宋_GB2312" w:eastAsia="仿宋_GB2312" w:cs="仿宋_GB2312"/>
          <w:color w:val="000000"/>
          <w:kern w:val="2"/>
          <w:sz w:val="28"/>
          <w:szCs w:val="28"/>
        </w:rPr>
        <w:t>4.严格控制与参赛无关的易燃易爆以及各类危险品进入比赛场地，不许随便携带书包进入赛场。</w:t>
      </w:r>
    </w:p>
    <w:p>
      <w:pPr>
        <w:pStyle w:val="14"/>
        <w:keepNext w:val="0"/>
        <w:keepLines w:val="0"/>
        <w:pageBreakBefore w:val="0"/>
        <w:tabs>
          <w:tab w:val="left" w:pos="851"/>
        </w:tabs>
        <w:kinsoku/>
        <w:wordWrap/>
        <w:overflowPunct/>
        <w:autoSpaceDE/>
        <w:autoSpaceDN/>
        <w:bidi w:val="0"/>
        <w:adjustRightInd w:val="0"/>
        <w:snapToGrid w:val="0"/>
        <w:spacing w:before="78" w:after="78" w:line="560" w:lineRule="exact"/>
        <w:ind w:firstLine="548" w:firstLineChars="196"/>
        <w:rPr>
          <w:rFonts w:hint="eastAsia" w:ascii="仿宋_GB2312" w:hAnsi="仿宋_GB2312" w:eastAsia="仿宋_GB2312" w:cs="仿宋_GB2312"/>
          <w:color w:val="000000"/>
          <w:kern w:val="2"/>
          <w:sz w:val="28"/>
          <w:szCs w:val="28"/>
        </w:rPr>
      </w:pPr>
      <w:r>
        <w:rPr>
          <w:rFonts w:hint="eastAsia" w:ascii="仿宋_GB2312" w:hAnsi="仿宋_GB2312" w:eastAsia="仿宋_GB2312" w:cs="仿宋_GB2312"/>
          <w:color w:val="000000"/>
          <w:kern w:val="2"/>
          <w:sz w:val="28"/>
          <w:szCs w:val="28"/>
        </w:rPr>
        <w:t>5.配备先进的仪器，防止有人利用电磁波干扰比赛秩序。大赛现场需对赛场进行网络安全控制，以免场内外信息交互，充分体现大赛的严肃、公平和公正性。</w:t>
      </w:r>
    </w:p>
    <w:p>
      <w:pPr>
        <w:pStyle w:val="14"/>
        <w:keepNext w:val="0"/>
        <w:keepLines w:val="0"/>
        <w:pageBreakBefore w:val="0"/>
        <w:tabs>
          <w:tab w:val="left" w:pos="851"/>
        </w:tabs>
        <w:kinsoku/>
        <w:wordWrap/>
        <w:overflowPunct/>
        <w:autoSpaceDE/>
        <w:autoSpaceDN/>
        <w:bidi w:val="0"/>
        <w:adjustRightInd w:val="0"/>
        <w:snapToGrid w:val="0"/>
        <w:spacing w:before="78" w:after="78" w:line="560" w:lineRule="exact"/>
        <w:ind w:firstLine="548" w:firstLineChars="196"/>
        <w:rPr>
          <w:rFonts w:hint="eastAsia" w:ascii="仿宋_GB2312" w:hAnsi="仿宋_GB2312" w:eastAsia="仿宋_GB2312" w:cs="仿宋_GB2312"/>
          <w:color w:val="000000"/>
          <w:kern w:val="2"/>
          <w:sz w:val="28"/>
          <w:szCs w:val="28"/>
        </w:rPr>
      </w:pPr>
      <w:r>
        <w:rPr>
          <w:rFonts w:hint="eastAsia" w:ascii="仿宋_GB2312" w:hAnsi="仿宋_GB2312" w:eastAsia="仿宋_GB2312" w:cs="仿宋_GB2312"/>
          <w:color w:val="000000"/>
          <w:kern w:val="2"/>
          <w:sz w:val="28"/>
          <w:szCs w:val="28"/>
        </w:rPr>
        <w:t>6.执委会须会同承办单位制定开放赛场和体验区的人员疏导方案。赛场环境中存在人员密集、车流人流交错的区域，除了设置齐全的指示标志外，须增加引导人员，并开辟备用通道。</w:t>
      </w:r>
    </w:p>
    <w:p>
      <w:pPr>
        <w:pStyle w:val="14"/>
        <w:keepNext w:val="0"/>
        <w:keepLines w:val="0"/>
        <w:pageBreakBefore w:val="0"/>
        <w:tabs>
          <w:tab w:val="left" w:pos="851"/>
        </w:tabs>
        <w:kinsoku/>
        <w:wordWrap/>
        <w:overflowPunct/>
        <w:autoSpaceDE/>
        <w:autoSpaceDN/>
        <w:bidi w:val="0"/>
        <w:adjustRightInd w:val="0"/>
        <w:snapToGrid w:val="0"/>
        <w:spacing w:before="78" w:after="78" w:line="560" w:lineRule="exact"/>
        <w:ind w:firstLine="548" w:firstLineChars="196"/>
        <w:rPr>
          <w:rFonts w:hint="eastAsia" w:ascii="仿宋_GB2312" w:hAnsi="仿宋_GB2312" w:eastAsia="仿宋_GB2312" w:cs="仿宋_GB2312"/>
          <w:color w:val="000000"/>
          <w:kern w:val="2"/>
          <w:sz w:val="28"/>
          <w:szCs w:val="28"/>
        </w:rPr>
      </w:pPr>
      <w:r>
        <w:rPr>
          <w:rFonts w:hint="eastAsia" w:ascii="仿宋_GB2312" w:hAnsi="仿宋_GB2312" w:eastAsia="仿宋_GB2312" w:cs="仿宋_GB2312"/>
          <w:color w:val="000000"/>
          <w:kern w:val="2"/>
          <w:sz w:val="28"/>
          <w:szCs w:val="28"/>
        </w:rPr>
        <w:t>7.大赛期间，承办单位须在赛场管理的关键岗位，增加力量，建立安全管理日志。</w:t>
      </w:r>
    </w:p>
    <w:p>
      <w:pPr>
        <w:keepNext w:val="0"/>
        <w:keepLines w:val="0"/>
        <w:pageBreakBefore w:val="0"/>
        <w:kinsoku/>
        <w:wordWrap/>
        <w:overflowPunct/>
        <w:autoSpaceDE/>
        <w:autoSpaceDN/>
        <w:bidi w:val="0"/>
        <w:snapToGrid w:val="0"/>
        <w:spacing w:line="560" w:lineRule="exact"/>
        <w:ind w:firstLine="560" w:firstLineChars="200"/>
        <w:rPr>
          <w:rFonts w:hint="eastAsia" w:ascii="仿宋_GB2312" w:hAnsi="仿宋_GB2312" w:eastAsia="仿宋_GB2312" w:cs="仿宋_GB2312"/>
          <w:color w:val="000000"/>
          <w:sz w:val="28"/>
          <w:szCs w:val="28"/>
        </w:rPr>
      </w:pPr>
      <w:bookmarkStart w:id="2" w:name="_Toc361563585"/>
      <w:r>
        <w:rPr>
          <w:rFonts w:hint="eastAsia" w:ascii="仿宋_GB2312" w:hAnsi="仿宋_GB2312" w:eastAsia="仿宋_GB2312" w:cs="仿宋_GB2312"/>
          <w:color w:val="000000"/>
          <w:sz w:val="28"/>
          <w:szCs w:val="28"/>
        </w:rPr>
        <w:t>（二）生活条件</w:t>
      </w:r>
      <w:bookmarkEnd w:id="2"/>
    </w:p>
    <w:p>
      <w:pPr>
        <w:pStyle w:val="14"/>
        <w:keepNext w:val="0"/>
        <w:keepLines w:val="0"/>
        <w:pageBreakBefore w:val="0"/>
        <w:numPr>
          <w:ilvl w:val="0"/>
          <w:numId w:val="1"/>
        </w:numPr>
        <w:tabs>
          <w:tab w:val="left" w:pos="0"/>
          <w:tab w:val="left" w:pos="851"/>
        </w:tabs>
        <w:kinsoku/>
        <w:wordWrap/>
        <w:overflowPunct/>
        <w:autoSpaceDE/>
        <w:autoSpaceDN/>
        <w:bidi w:val="0"/>
        <w:adjustRightInd w:val="0"/>
        <w:snapToGrid w:val="0"/>
        <w:spacing w:beforeLines="0" w:afterLines="0" w:line="560" w:lineRule="exact"/>
        <w:ind w:left="0" w:firstLine="565" w:firstLineChars="202"/>
        <w:rPr>
          <w:rFonts w:hint="eastAsia" w:ascii="仿宋_GB2312" w:hAnsi="仿宋_GB2312" w:eastAsia="仿宋_GB2312" w:cs="仿宋_GB2312"/>
          <w:color w:val="000000"/>
          <w:kern w:val="2"/>
          <w:sz w:val="28"/>
          <w:szCs w:val="28"/>
        </w:rPr>
      </w:pPr>
      <w:r>
        <w:rPr>
          <w:rFonts w:hint="eastAsia" w:ascii="仿宋_GB2312" w:hAnsi="仿宋_GB2312" w:eastAsia="仿宋_GB2312" w:cs="仿宋_GB2312"/>
          <w:color w:val="000000"/>
          <w:kern w:val="2"/>
          <w:sz w:val="28"/>
          <w:szCs w:val="28"/>
        </w:rPr>
        <w:t>比赛期间，原则上由执委会统一安排参赛选手和指导教师食宿。承办单位须尊重少数民族的信仰及文化，根据国家相关的民族政策，安排好少数民族选手和教师的饮食起居。</w:t>
      </w:r>
    </w:p>
    <w:p>
      <w:pPr>
        <w:pStyle w:val="14"/>
        <w:keepNext w:val="0"/>
        <w:keepLines w:val="0"/>
        <w:pageBreakBefore w:val="0"/>
        <w:numPr>
          <w:ilvl w:val="0"/>
          <w:numId w:val="1"/>
        </w:numPr>
        <w:tabs>
          <w:tab w:val="left" w:pos="0"/>
          <w:tab w:val="left" w:pos="851"/>
        </w:tabs>
        <w:kinsoku/>
        <w:wordWrap/>
        <w:overflowPunct/>
        <w:autoSpaceDE/>
        <w:autoSpaceDN/>
        <w:bidi w:val="0"/>
        <w:adjustRightInd w:val="0"/>
        <w:snapToGrid w:val="0"/>
        <w:spacing w:beforeLines="0" w:afterLines="0" w:line="560" w:lineRule="exact"/>
        <w:ind w:left="0" w:firstLine="565" w:firstLineChars="202"/>
        <w:rPr>
          <w:rFonts w:hint="eastAsia" w:ascii="仿宋_GB2312" w:hAnsi="仿宋_GB2312" w:eastAsia="仿宋_GB2312" w:cs="仿宋_GB2312"/>
          <w:color w:val="000000"/>
          <w:kern w:val="2"/>
          <w:sz w:val="28"/>
          <w:szCs w:val="28"/>
        </w:rPr>
      </w:pPr>
      <w:r>
        <w:rPr>
          <w:rFonts w:hint="eastAsia" w:ascii="仿宋_GB2312" w:hAnsi="仿宋_GB2312" w:eastAsia="仿宋_GB2312" w:cs="仿宋_GB2312"/>
          <w:color w:val="000000"/>
          <w:kern w:val="2"/>
          <w:sz w:val="28"/>
          <w:szCs w:val="28"/>
        </w:rPr>
        <w:t>比赛期间安排的住宿地应具有宾馆/住宿经营许可资质。以学校宿舍作为住宿地的，大赛期间的住宿、卫生、饮食安全等由执委会和提供宿舍的学校共同负责。</w:t>
      </w:r>
    </w:p>
    <w:p>
      <w:pPr>
        <w:pStyle w:val="14"/>
        <w:keepNext w:val="0"/>
        <w:keepLines w:val="0"/>
        <w:pageBreakBefore w:val="0"/>
        <w:numPr>
          <w:ilvl w:val="0"/>
          <w:numId w:val="1"/>
        </w:numPr>
        <w:tabs>
          <w:tab w:val="left" w:pos="0"/>
          <w:tab w:val="left" w:pos="851"/>
        </w:tabs>
        <w:kinsoku/>
        <w:wordWrap/>
        <w:overflowPunct/>
        <w:autoSpaceDE/>
        <w:autoSpaceDN/>
        <w:bidi w:val="0"/>
        <w:adjustRightInd w:val="0"/>
        <w:snapToGrid w:val="0"/>
        <w:spacing w:beforeLines="0" w:afterLines="0" w:line="560" w:lineRule="exact"/>
        <w:ind w:left="0" w:firstLine="565" w:firstLineChars="202"/>
        <w:rPr>
          <w:rFonts w:hint="eastAsia" w:ascii="仿宋_GB2312" w:hAnsi="仿宋_GB2312" w:eastAsia="仿宋_GB2312" w:cs="仿宋_GB2312"/>
          <w:color w:val="000000"/>
          <w:kern w:val="2"/>
          <w:sz w:val="28"/>
          <w:szCs w:val="28"/>
        </w:rPr>
      </w:pPr>
      <w:r>
        <w:rPr>
          <w:rFonts w:hint="eastAsia" w:ascii="仿宋_GB2312" w:hAnsi="仿宋_GB2312" w:eastAsia="仿宋_GB2312" w:cs="仿宋_GB2312"/>
          <w:color w:val="000000"/>
          <w:kern w:val="2"/>
          <w:sz w:val="28"/>
          <w:szCs w:val="28"/>
        </w:rPr>
        <w:t>大赛期间有组织的参观和观摩活动的交通安全由执委会负责。执委会和承办单位须保证比赛期间选手、指导教师和裁判员、工作人员的交通安全。</w:t>
      </w:r>
    </w:p>
    <w:p>
      <w:pPr>
        <w:pStyle w:val="14"/>
        <w:keepNext w:val="0"/>
        <w:keepLines w:val="0"/>
        <w:pageBreakBefore w:val="0"/>
        <w:numPr>
          <w:ilvl w:val="0"/>
          <w:numId w:val="1"/>
        </w:numPr>
        <w:tabs>
          <w:tab w:val="left" w:pos="0"/>
          <w:tab w:val="left" w:pos="851"/>
        </w:tabs>
        <w:kinsoku/>
        <w:wordWrap/>
        <w:overflowPunct/>
        <w:autoSpaceDE/>
        <w:autoSpaceDN/>
        <w:bidi w:val="0"/>
        <w:adjustRightInd w:val="0"/>
        <w:snapToGrid w:val="0"/>
        <w:spacing w:beforeLines="0" w:afterLines="0" w:line="560" w:lineRule="exact"/>
        <w:ind w:left="0" w:firstLine="565" w:firstLineChars="202"/>
        <w:rPr>
          <w:rFonts w:hint="eastAsia" w:ascii="仿宋_GB2312" w:hAnsi="仿宋_GB2312" w:eastAsia="仿宋_GB2312" w:cs="仿宋_GB2312"/>
          <w:color w:val="000000"/>
          <w:kern w:val="2"/>
          <w:sz w:val="28"/>
          <w:szCs w:val="28"/>
        </w:rPr>
      </w:pPr>
      <w:r>
        <w:rPr>
          <w:rFonts w:hint="eastAsia" w:ascii="仿宋_GB2312" w:hAnsi="仿宋_GB2312" w:eastAsia="仿宋_GB2312" w:cs="仿宋_GB2312"/>
          <w:color w:val="000000"/>
          <w:kern w:val="2"/>
          <w:sz w:val="28"/>
          <w:szCs w:val="28"/>
        </w:rPr>
        <w:t>各赛项的安全管理，除了可以采取必要的安全隔离措施外，应严格遵守国家相关法律法规，保护个人隐私和人身自由。</w:t>
      </w:r>
    </w:p>
    <w:p>
      <w:pPr>
        <w:keepNext w:val="0"/>
        <w:keepLines w:val="0"/>
        <w:pageBreakBefore w:val="0"/>
        <w:kinsoku/>
        <w:wordWrap/>
        <w:overflowPunct/>
        <w:autoSpaceDE/>
        <w:autoSpaceDN/>
        <w:bidi w:val="0"/>
        <w:snapToGrid w:val="0"/>
        <w:spacing w:line="560" w:lineRule="exact"/>
        <w:ind w:firstLine="420" w:firstLineChars="150"/>
        <w:rPr>
          <w:rFonts w:hint="eastAsia" w:ascii="仿宋_GB2312" w:hAnsi="仿宋_GB2312" w:eastAsia="仿宋_GB2312" w:cs="仿宋_GB2312"/>
          <w:color w:val="000000"/>
          <w:sz w:val="28"/>
          <w:szCs w:val="28"/>
        </w:rPr>
      </w:pPr>
      <w:bookmarkStart w:id="3" w:name="_Toc361563586"/>
      <w:r>
        <w:rPr>
          <w:rFonts w:hint="eastAsia" w:ascii="仿宋_GB2312" w:hAnsi="仿宋_GB2312" w:eastAsia="仿宋_GB2312" w:cs="仿宋_GB2312"/>
          <w:color w:val="000000"/>
          <w:sz w:val="28"/>
          <w:szCs w:val="28"/>
        </w:rPr>
        <w:t>（三）组队责任</w:t>
      </w:r>
      <w:bookmarkEnd w:id="3"/>
    </w:p>
    <w:p>
      <w:pPr>
        <w:pStyle w:val="14"/>
        <w:keepNext w:val="0"/>
        <w:keepLines w:val="0"/>
        <w:pageBreakBefore w:val="0"/>
        <w:kinsoku/>
        <w:wordWrap/>
        <w:overflowPunct/>
        <w:autoSpaceDE/>
        <w:autoSpaceDN/>
        <w:bidi w:val="0"/>
        <w:adjustRightInd w:val="0"/>
        <w:snapToGrid w:val="0"/>
        <w:spacing w:beforeLines="0" w:afterLines="0" w:line="560" w:lineRule="exact"/>
        <w:ind w:firstLine="560"/>
        <w:rPr>
          <w:rFonts w:hint="eastAsia" w:ascii="仿宋_GB2312" w:hAnsi="仿宋_GB2312" w:eastAsia="仿宋_GB2312" w:cs="仿宋_GB2312"/>
          <w:color w:val="000000"/>
          <w:kern w:val="2"/>
          <w:sz w:val="28"/>
          <w:szCs w:val="28"/>
        </w:rPr>
      </w:pPr>
      <w:r>
        <w:rPr>
          <w:rFonts w:hint="eastAsia" w:ascii="仿宋_GB2312" w:hAnsi="仿宋_GB2312" w:eastAsia="仿宋_GB2312" w:cs="仿宋_GB2312"/>
          <w:color w:val="000000"/>
          <w:kern w:val="2"/>
          <w:sz w:val="28"/>
          <w:szCs w:val="28"/>
        </w:rPr>
        <w:t>1.各学校组织代表队时，须安排为参赛选手购买大赛期间的人身意外伤害保险。</w:t>
      </w:r>
    </w:p>
    <w:p>
      <w:pPr>
        <w:pStyle w:val="14"/>
        <w:keepNext w:val="0"/>
        <w:keepLines w:val="0"/>
        <w:pageBreakBefore w:val="0"/>
        <w:kinsoku/>
        <w:wordWrap/>
        <w:overflowPunct/>
        <w:autoSpaceDE/>
        <w:autoSpaceDN/>
        <w:bidi w:val="0"/>
        <w:adjustRightInd w:val="0"/>
        <w:snapToGrid w:val="0"/>
        <w:spacing w:beforeLines="0" w:afterLines="0" w:line="560" w:lineRule="exact"/>
        <w:ind w:firstLine="560"/>
        <w:rPr>
          <w:rFonts w:hint="eastAsia" w:ascii="仿宋_GB2312" w:hAnsi="仿宋_GB2312" w:eastAsia="仿宋_GB2312" w:cs="仿宋_GB2312"/>
          <w:color w:val="000000"/>
          <w:kern w:val="2"/>
          <w:sz w:val="28"/>
          <w:szCs w:val="28"/>
        </w:rPr>
      </w:pPr>
      <w:r>
        <w:rPr>
          <w:rFonts w:hint="eastAsia" w:ascii="仿宋_GB2312" w:hAnsi="仿宋_GB2312" w:eastAsia="仿宋_GB2312" w:cs="仿宋_GB2312"/>
          <w:color w:val="000000"/>
          <w:kern w:val="2"/>
          <w:sz w:val="28"/>
          <w:szCs w:val="28"/>
        </w:rPr>
        <w:t>2.各学校代表队组成后，须制定相关管理制度，并对所有选手、指导教师进行安全教育。</w:t>
      </w:r>
    </w:p>
    <w:p>
      <w:pPr>
        <w:pStyle w:val="14"/>
        <w:keepNext w:val="0"/>
        <w:keepLines w:val="0"/>
        <w:pageBreakBefore w:val="0"/>
        <w:kinsoku/>
        <w:wordWrap/>
        <w:overflowPunct/>
        <w:autoSpaceDE/>
        <w:autoSpaceDN/>
        <w:bidi w:val="0"/>
        <w:adjustRightInd w:val="0"/>
        <w:snapToGrid w:val="0"/>
        <w:spacing w:beforeLines="0" w:afterLines="0" w:line="560" w:lineRule="exact"/>
        <w:ind w:firstLine="560"/>
        <w:rPr>
          <w:rFonts w:hint="eastAsia" w:ascii="仿宋_GB2312" w:hAnsi="仿宋_GB2312" w:eastAsia="仿宋_GB2312" w:cs="仿宋_GB2312"/>
          <w:color w:val="000000"/>
          <w:kern w:val="2"/>
          <w:sz w:val="28"/>
          <w:szCs w:val="28"/>
        </w:rPr>
      </w:pPr>
      <w:r>
        <w:rPr>
          <w:rFonts w:hint="eastAsia" w:ascii="仿宋_GB2312" w:hAnsi="仿宋_GB2312" w:eastAsia="仿宋_GB2312" w:cs="仿宋_GB2312"/>
          <w:color w:val="000000"/>
          <w:kern w:val="2"/>
          <w:sz w:val="28"/>
          <w:szCs w:val="28"/>
        </w:rPr>
        <w:t>3.各参赛队伍须加强对参与比赛人员的安全管理，实现与赛场安全管理的对接。</w:t>
      </w:r>
    </w:p>
    <w:p>
      <w:pPr>
        <w:keepNext w:val="0"/>
        <w:keepLines w:val="0"/>
        <w:pageBreakBefore w:val="0"/>
        <w:kinsoku/>
        <w:wordWrap/>
        <w:overflowPunct/>
        <w:autoSpaceDE/>
        <w:autoSpaceDN/>
        <w:bidi w:val="0"/>
        <w:snapToGrid w:val="0"/>
        <w:spacing w:line="560" w:lineRule="exact"/>
        <w:ind w:firstLine="560" w:firstLineChars="200"/>
        <w:rPr>
          <w:rFonts w:hint="eastAsia" w:ascii="仿宋_GB2312" w:hAnsi="仿宋_GB2312" w:eastAsia="仿宋_GB2312" w:cs="仿宋_GB2312"/>
          <w:color w:val="000000"/>
          <w:sz w:val="28"/>
          <w:szCs w:val="28"/>
        </w:rPr>
      </w:pPr>
      <w:bookmarkStart w:id="4" w:name="_Toc361563587"/>
      <w:r>
        <w:rPr>
          <w:rFonts w:hint="eastAsia" w:ascii="仿宋_GB2312" w:hAnsi="仿宋_GB2312" w:eastAsia="仿宋_GB2312" w:cs="仿宋_GB2312"/>
          <w:color w:val="000000"/>
          <w:sz w:val="28"/>
          <w:szCs w:val="28"/>
        </w:rPr>
        <w:t>（四）应急处理</w:t>
      </w:r>
      <w:bookmarkEnd w:id="4"/>
    </w:p>
    <w:p>
      <w:pPr>
        <w:pStyle w:val="14"/>
        <w:keepNext w:val="0"/>
        <w:keepLines w:val="0"/>
        <w:pageBreakBefore w:val="0"/>
        <w:kinsoku/>
        <w:wordWrap/>
        <w:overflowPunct/>
        <w:autoSpaceDE/>
        <w:autoSpaceDN/>
        <w:bidi w:val="0"/>
        <w:adjustRightInd w:val="0"/>
        <w:snapToGrid w:val="0"/>
        <w:spacing w:beforeLines="0" w:afterLines="0" w:line="560" w:lineRule="exact"/>
        <w:ind w:firstLine="560"/>
        <w:rPr>
          <w:rFonts w:hint="eastAsia" w:ascii="仿宋_GB2312" w:hAnsi="仿宋_GB2312" w:eastAsia="仿宋_GB2312" w:cs="仿宋_GB2312"/>
          <w:color w:val="000000"/>
          <w:kern w:val="2"/>
          <w:sz w:val="28"/>
          <w:szCs w:val="28"/>
        </w:rPr>
      </w:pPr>
      <w:r>
        <w:rPr>
          <w:rFonts w:hint="eastAsia" w:ascii="仿宋_GB2312" w:hAnsi="仿宋_GB2312" w:eastAsia="仿宋_GB2312" w:cs="仿宋_GB2312"/>
          <w:color w:val="000000"/>
          <w:kern w:val="2"/>
          <w:sz w:val="28"/>
          <w:szCs w:val="28"/>
        </w:rPr>
        <w:t>比赛期间发生意外事故，发现者应第一时间报告执委会，同时采取措施避免事态扩大。执委会应立即启动预案予以解决并报告组委会。赛项出现重大安全问题可以停赛，是否停赛由执委会决定。事后，执委会应向组委会报告详细情况。</w:t>
      </w:r>
    </w:p>
    <w:p>
      <w:pPr>
        <w:keepNext w:val="0"/>
        <w:keepLines w:val="0"/>
        <w:pageBreakBefore w:val="0"/>
        <w:kinsoku/>
        <w:wordWrap/>
        <w:overflowPunct/>
        <w:autoSpaceDE/>
        <w:autoSpaceDN/>
        <w:bidi w:val="0"/>
        <w:snapToGrid w:val="0"/>
        <w:spacing w:line="560" w:lineRule="exact"/>
        <w:ind w:firstLine="560" w:firstLineChars="200"/>
        <w:rPr>
          <w:rFonts w:hint="eastAsia" w:ascii="仿宋_GB2312" w:hAnsi="仿宋_GB2312" w:eastAsia="仿宋_GB2312" w:cs="仿宋_GB2312"/>
          <w:color w:val="000000"/>
          <w:sz w:val="28"/>
          <w:szCs w:val="28"/>
        </w:rPr>
      </w:pPr>
      <w:bookmarkStart w:id="5" w:name="_Toc361563588"/>
      <w:r>
        <w:rPr>
          <w:rFonts w:hint="eastAsia" w:ascii="仿宋_GB2312" w:hAnsi="仿宋_GB2312" w:eastAsia="仿宋_GB2312" w:cs="仿宋_GB2312"/>
          <w:color w:val="000000"/>
          <w:sz w:val="28"/>
          <w:szCs w:val="28"/>
        </w:rPr>
        <w:t>（五）处罚措施</w:t>
      </w:r>
      <w:bookmarkEnd w:id="5"/>
    </w:p>
    <w:p>
      <w:pPr>
        <w:pStyle w:val="14"/>
        <w:keepNext w:val="0"/>
        <w:keepLines w:val="0"/>
        <w:pageBreakBefore w:val="0"/>
        <w:kinsoku/>
        <w:wordWrap/>
        <w:overflowPunct/>
        <w:autoSpaceDE/>
        <w:autoSpaceDN/>
        <w:bidi w:val="0"/>
        <w:adjustRightInd w:val="0"/>
        <w:snapToGrid w:val="0"/>
        <w:spacing w:beforeLines="0" w:afterLines="0" w:line="560" w:lineRule="exact"/>
        <w:ind w:firstLine="560"/>
        <w:rPr>
          <w:rFonts w:hint="eastAsia" w:ascii="仿宋_GB2312" w:hAnsi="仿宋_GB2312" w:eastAsia="仿宋_GB2312" w:cs="仿宋_GB2312"/>
          <w:color w:val="000000"/>
          <w:kern w:val="2"/>
          <w:sz w:val="28"/>
          <w:szCs w:val="28"/>
        </w:rPr>
      </w:pPr>
      <w:r>
        <w:rPr>
          <w:rFonts w:hint="eastAsia" w:ascii="仿宋_GB2312" w:hAnsi="仿宋_GB2312" w:eastAsia="仿宋_GB2312" w:cs="仿宋_GB2312"/>
          <w:color w:val="000000"/>
          <w:kern w:val="2"/>
          <w:sz w:val="28"/>
          <w:szCs w:val="28"/>
        </w:rPr>
        <w:t>1.因参赛队伍原因造成重大安全事故的，取消其获奖资格。</w:t>
      </w:r>
    </w:p>
    <w:p>
      <w:pPr>
        <w:pStyle w:val="14"/>
        <w:keepNext w:val="0"/>
        <w:keepLines w:val="0"/>
        <w:pageBreakBefore w:val="0"/>
        <w:kinsoku/>
        <w:wordWrap/>
        <w:overflowPunct/>
        <w:autoSpaceDE/>
        <w:autoSpaceDN/>
        <w:bidi w:val="0"/>
        <w:adjustRightInd w:val="0"/>
        <w:snapToGrid w:val="0"/>
        <w:spacing w:beforeLines="0" w:afterLines="0" w:line="560" w:lineRule="exact"/>
        <w:ind w:firstLine="560"/>
        <w:rPr>
          <w:rFonts w:hint="eastAsia" w:ascii="仿宋_GB2312" w:hAnsi="仿宋_GB2312" w:eastAsia="仿宋_GB2312" w:cs="仿宋_GB2312"/>
          <w:color w:val="000000"/>
          <w:kern w:val="2"/>
          <w:sz w:val="28"/>
          <w:szCs w:val="28"/>
        </w:rPr>
      </w:pPr>
      <w:r>
        <w:rPr>
          <w:rFonts w:hint="eastAsia" w:ascii="仿宋_GB2312" w:hAnsi="仿宋_GB2312" w:eastAsia="仿宋_GB2312" w:cs="仿宋_GB2312"/>
          <w:color w:val="000000"/>
          <w:kern w:val="2"/>
          <w:sz w:val="28"/>
          <w:szCs w:val="28"/>
        </w:rPr>
        <w:t>2.参赛队伍有发生重大安全事故隐患，经赛场工作人员提示、警告无效的，可取消其继续比赛的资格。</w:t>
      </w:r>
    </w:p>
    <w:p>
      <w:pPr>
        <w:pStyle w:val="14"/>
        <w:keepNext w:val="0"/>
        <w:keepLines w:val="0"/>
        <w:pageBreakBefore w:val="0"/>
        <w:kinsoku/>
        <w:wordWrap/>
        <w:overflowPunct/>
        <w:autoSpaceDE/>
        <w:autoSpaceDN/>
        <w:bidi w:val="0"/>
        <w:adjustRightInd w:val="0"/>
        <w:snapToGrid w:val="0"/>
        <w:spacing w:beforeLines="0" w:afterLines="0" w:line="560" w:lineRule="exact"/>
        <w:ind w:firstLine="560"/>
        <w:rPr>
          <w:rFonts w:hint="eastAsia" w:ascii="仿宋_GB2312" w:hAnsi="仿宋_GB2312" w:eastAsia="仿宋_GB2312" w:cs="仿宋_GB2312"/>
          <w:color w:val="000000"/>
          <w:kern w:val="2"/>
          <w:sz w:val="28"/>
          <w:szCs w:val="28"/>
        </w:rPr>
      </w:pPr>
      <w:r>
        <w:rPr>
          <w:rFonts w:hint="eastAsia" w:ascii="仿宋_GB2312" w:hAnsi="仿宋_GB2312" w:eastAsia="仿宋_GB2312" w:cs="仿宋_GB2312"/>
          <w:color w:val="000000"/>
          <w:kern w:val="2"/>
          <w:sz w:val="28"/>
          <w:szCs w:val="28"/>
        </w:rPr>
        <w:t>3.赛事工作人员违规的，按照相应的制度追究责任。情节恶劣并造成重大安全事故的，由司法机关追究相应法律责任。</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十五、竞赛须知</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（一）参赛队须知</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1.</w:t>
      </w:r>
      <w:r>
        <w:rPr>
          <w:rFonts w:hint="eastAsia" w:ascii="仿宋_GB2312" w:hAnsi="仿宋_GB2312" w:eastAsia="仿宋_GB2312" w:cs="仿宋_GB2312"/>
          <w:sz w:val="28"/>
          <w:szCs w:val="28"/>
        </w:rPr>
        <w:t>参赛队名称统一使用规定的地区代表队名称。</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2.</w:t>
      </w:r>
      <w:r>
        <w:rPr>
          <w:rFonts w:hint="eastAsia" w:ascii="仿宋_GB2312" w:hAnsi="仿宋_GB2312" w:eastAsia="仿宋_GB2312" w:cs="仿宋_GB2312"/>
          <w:sz w:val="28"/>
          <w:szCs w:val="28"/>
        </w:rPr>
        <w:t>参赛选手和指导教师报名获得确认后不得随意更换。如比赛前参赛选手和指导教师因故无法参赛，须由省级教育行政部门于本赛项开赛</w:t>
      </w:r>
      <w:r>
        <w:rPr>
          <w:rFonts w:hint="eastAsia" w:ascii="仿宋_GB2312" w:hAnsi="仿宋_GB2312" w:eastAsia="仿宋_GB2312" w:cs="仿宋_GB2312"/>
          <w:color w:val="000000"/>
          <w:sz w:val="28"/>
          <w:szCs w:val="28"/>
        </w:rPr>
        <w:t>10</w:t>
      </w:r>
      <w:r>
        <w:rPr>
          <w:rFonts w:hint="eastAsia" w:ascii="仿宋_GB2312" w:hAnsi="仿宋_GB2312" w:eastAsia="仿宋_GB2312" w:cs="仿宋_GB2312"/>
          <w:sz w:val="28"/>
          <w:szCs w:val="28"/>
        </w:rPr>
        <w:t>个工作日之前出具书面说明，经大赛执委会办公室核实后予以更换。竞赛开始后，参赛队不得更换参赛队员。</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3.</w:t>
      </w:r>
      <w:r>
        <w:rPr>
          <w:rFonts w:hint="eastAsia" w:ascii="仿宋_GB2312" w:hAnsi="仿宋_GB2312" w:eastAsia="仿宋_GB2312" w:cs="仿宋_GB2312"/>
          <w:sz w:val="28"/>
          <w:szCs w:val="28"/>
        </w:rPr>
        <w:t>参赛队按照大赛赛程安排，凭大赛组委会颁发的参赛证和有效身份证件参加比赛及相关活动。</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4.</w:t>
      </w:r>
      <w:r>
        <w:rPr>
          <w:rFonts w:hint="eastAsia" w:ascii="仿宋_GB2312" w:hAnsi="仿宋_GB2312" w:eastAsia="仿宋_GB2312" w:cs="仿宋_GB2312"/>
          <w:sz w:val="28"/>
          <w:szCs w:val="28"/>
        </w:rPr>
        <w:t>参赛院校须为参赛队员购买保险。</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（二）指导教师须知</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1.</w:t>
      </w:r>
      <w:r>
        <w:rPr>
          <w:rFonts w:hint="eastAsia" w:ascii="仿宋_GB2312" w:hAnsi="仿宋_GB2312" w:eastAsia="仿宋_GB2312" w:cs="仿宋_GB2312"/>
          <w:sz w:val="28"/>
          <w:szCs w:val="28"/>
        </w:rPr>
        <w:t>各参赛代表队要发扬良好道德风尚，听从指挥，服从裁判，不弄虚作假。如发现弄虚作假者，取消参赛资格，名次无效。</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2.</w:t>
      </w:r>
      <w:r>
        <w:rPr>
          <w:rFonts w:hint="eastAsia" w:ascii="仿宋_GB2312" w:hAnsi="仿宋_GB2312" w:eastAsia="仿宋_GB2312" w:cs="仿宋_GB2312"/>
          <w:sz w:val="28"/>
          <w:szCs w:val="28"/>
        </w:rPr>
        <w:t>各代表队领队要坚决执行竞赛的各项规定，加强对参赛人员的管理，做好赛前准备工作，督促选手带好证件等竞赛相关材料。</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3.</w:t>
      </w:r>
      <w:r>
        <w:rPr>
          <w:rFonts w:hint="eastAsia" w:ascii="仿宋_GB2312" w:hAnsi="仿宋_GB2312" w:eastAsia="仿宋_GB2312" w:cs="仿宋_GB2312"/>
          <w:sz w:val="28"/>
          <w:szCs w:val="28"/>
        </w:rPr>
        <w:t>竞赛过程中，除参加当场次竞赛的选手、执行裁判员、现场工作人员和经批准的人员外，领队、指导教师及其他人员一律不得进入竞赛区域。</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4.</w:t>
      </w:r>
      <w:r>
        <w:rPr>
          <w:rFonts w:hint="eastAsia" w:ascii="仿宋_GB2312" w:hAnsi="仿宋_GB2312" w:eastAsia="仿宋_GB2312" w:cs="仿宋_GB2312"/>
          <w:sz w:val="28"/>
          <w:szCs w:val="28"/>
        </w:rPr>
        <w:t>参赛代表队若对竞赛过程有异议，在规定的时间内由领队向赛项仲裁工作组提出书面报告。</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5.</w:t>
      </w:r>
      <w:r>
        <w:rPr>
          <w:rFonts w:hint="eastAsia" w:ascii="仿宋_GB2312" w:hAnsi="仿宋_GB2312" w:eastAsia="仿宋_GB2312" w:cs="仿宋_GB2312"/>
          <w:sz w:val="28"/>
          <w:szCs w:val="28"/>
        </w:rPr>
        <w:t>对申诉的仲裁结果，领队、指导教师要带头服从和执行，并做好选手工作。参赛选手不得因申诉或对处理意见不服而停止竞赛，否则以弃权处理。</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6.</w:t>
      </w:r>
      <w:r>
        <w:rPr>
          <w:rFonts w:hint="eastAsia" w:ascii="仿宋_GB2312" w:hAnsi="仿宋_GB2312" w:eastAsia="仿宋_GB2312" w:cs="仿宋_GB2312"/>
          <w:sz w:val="28"/>
          <w:szCs w:val="28"/>
        </w:rPr>
        <w:t>指导老师应及时查看大赛专用网页有关赛项的通知和内容，认真研究和掌握本赛项竞赛的规程、技术规范和赛场要求，指导选手做好赛前的一切技术准备和竞赛准备。</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（三）参赛选手须知</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1.</w:t>
      </w:r>
      <w:r>
        <w:rPr>
          <w:rFonts w:hint="eastAsia" w:ascii="仿宋_GB2312" w:hAnsi="仿宋_GB2312" w:eastAsia="仿宋_GB2312" w:cs="仿宋_GB2312"/>
          <w:sz w:val="28"/>
          <w:szCs w:val="28"/>
        </w:rPr>
        <w:t>参赛选手应按有关要求如实填报个人信息，否则取消竞赛资格。</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2.</w:t>
      </w:r>
      <w:r>
        <w:rPr>
          <w:rFonts w:hint="eastAsia" w:ascii="仿宋_GB2312" w:hAnsi="仿宋_GB2312" w:eastAsia="仿宋_GB2312" w:cs="仿宋_GB2312"/>
          <w:sz w:val="28"/>
          <w:szCs w:val="28"/>
        </w:rPr>
        <w:t>参赛选手凭统一印制的参赛证和有效身份证件参加竞赛。</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3.</w:t>
      </w:r>
      <w:r>
        <w:rPr>
          <w:rFonts w:hint="eastAsia" w:ascii="仿宋_GB2312" w:hAnsi="仿宋_GB2312" w:eastAsia="仿宋_GB2312" w:cs="仿宋_GB2312"/>
          <w:sz w:val="28"/>
          <w:szCs w:val="28"/>
        </w:rPr>
        <w:t>参赛选手应认真学习领会本次竞赛相关文件，自觉遵守大赛纪律，服从指挥，听从安排，文明参赛。</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4.</w:t>
      </w:r>
      <w:r>
        <w:rPr>
          <w:rFonts w:hint="eastAsia" w:ascii="仿宋_GB2312" w:hAnsi="仿宋_GB2312" w:eastAsia="仿宋_GB2312" w:cs="仿宋_GB2312"/>
          <w:sz w:val="28"/>
          <w:szCs w:val="28"/>
        </w:rPr>
        <w:t>参赛选手请勿携带与竞赛无关的电子设备、通讯设备及其他资料与用品进入赛场。</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5.</w:t>
      </w:r>
      <w:r>
        <w:rPr>
          <w:rFonts w:hint="eastAsia" w:ascii="仿宋_GB2312" w:hAnsi="仿宋_GB2312" w:eastAsia="仿宋_GB2312" w:cs="仿宋_GB2312"/>
          <w:sz w:val="28"/>
          <w:szCs w:val="28"/>
        </w:rPr>
        <w:t>参赛选手应提前30分钟抵达赛场，凭参赛证、身份证件检录，按要求入场，不得迟到早退。竞赛开始后迟到15分钟以上者取消比赛资格；开赛30分钟后，选手方可离开赛场。</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6.</w:t>
      </w:r>
      <w:r>
        <w:rPr>
          <w:rFonts w:hint="eastAsia" w:ascii="仿宋_GB2312" w:hAnsi="仿宋_GB2312" w:eastAsia="仿宋_GB2312" w:cs="仿宋_GB2312"/>
          <w:sz w:val="28"/>
          <w:szCs w:val="28"/>
        </w:rPr>
        <w:t>参赛选手应按抽签结果在指定位置进行比赛。</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7.</w:t>
      </w:r>
      <w:r>
        <w:rPr>
          <w:rFonts w:hint="eastAsia" w:ascii="仿宋_GB2312" w:hAnsi="仿宋_GB2312" w:eastAsia="仿宋_GB2312" w:cs="仿宋_GB2312"/>
          <w:sz w:val="28"/>
          <w:szCs w:val="28"/>
        </w:rPr>
        <w:t>竞赛过程中，参赛选手必须严格遵守赛场纪律，不得在赛场内大声喧哗，不得作弊或弄虚作假；同时，必须严格遵守操作规程，确保设备和人身安全，并接受裁判员的监督和警示。若因选手因素造成设备故障或损坏，无法进行比赛，裁判长有权终止该队比赛；若因非选手个人因素造成设备故障的，由裁判长视具体情况做出裁决。</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8.</w:t>
      </w:r>
      <w:r>
        <w:rPr>
          <w:rFonts w:hint="eastAsia" w:ascii="仿宋_GB2312" w:hAnsi="仿宋_GB2312" w:eastAsia="仿宋_GB2312" w:cs="仿宋_GB2312"/>
          <w:sz w:val="28"/>
          <w:szCs w:val="28"/>
        </w:rPr>
        <w:t>各参赛选手必须按规范要求操作竞赛设备。一旦出现较严重的安全事故，经裁判长批准后可立即取消其参赛资格。</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9.</w:t>
      </w:r>
      <w:r>
        <w:rPr>
          <w:rFonts w:hint="eastAsia" w:ascii="仿宋_GB2312" w:hAnsi="仿宋_GB2312" w:eastAsia="仿宋_GB2312" w:cs="仿宋_GB2312"/>
          <w:sz w:val="28"/>
          <w:szCs w:val="28"/>
        </w:rPr>
        <w:t>竞赛时间终了，选手应立即结束操作。经现场指挥人员发出指令后，方可离开赛场。</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10.</w:t>
      </w:r>
      <w:r>
        <w:rPr>
          <w:rFonts w:hint="eastAsia" w:ascii="仿宋_GB2312" w:hAnsi="仿宋_GB2312" w:eastAsia="仿宋_GB2312" w:cs="仿宋_GB2312"/>
          <w:sz w:val="28"/>
          <w:szCs w:val="28"/>
        </w:rPr>
        <w:t>在竞赛期间，未经执委会的批准，参赛选手不得接受其他单位和个人进行的与竞赛内容相关的采访。参赛选手不得将竞赛的相关信息私自公布。</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（四）工作人员须知</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1.</w:t>
      </w:r>
      <w:r>
        <w:rPr>
          <w:rFonts w:hint="eastAsia" w:ascii="仿宋_GB2312" w:hAnsi="仿宋_GB2312" w:eastAsia="仿宋_GB2312" w:cs="仿宋_GB2312"/>
          <w:sz w:val="28"/>
          <w:szCs w:val="28"/>
        </w:rPr>
        <w:t>大赛全体工作人员必须服从组委会统一指挥，认真履行职责，做好比赛服务工作。</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2.</w:t>
      </w:r>
      <w:r>
        <w:rPr>
          <w:rFonts w:hint="eastAsia" w:ascii="仿宋_GB2312" w:hAnsi="仿宋_GB2312" w:eastAsia="仿宋_GB2312" w:cs="仿宋_GB2312"/>
          <w:sz w:val="28"/>
          <w:szCs w:val="28"/>
        </w:rPr>
        <w:t>全体工作人员要按分工准时到岗，尽职尽责做好份内各项工作，保证比赛顺利进行。</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3.</w:t>
      </w:r>
      <w:r>
        <w:rPr>
          <w:rFonts w:hint="eastAsia" w:ascii="仿宋_GB2312" w:hAnsi="仿宋_GB2312" w:eastAsia="仿宋_GB2312" w:cs="仿宋_GB2312"/>
          <w:sz w:val="28"/>
          <w:szCs w:val="28"/>
        </w:rPr>
        <w:t>认真检查、核准证件，非参赛选手不准进入赛场。同时，要安排好领队、指导教师休息。</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4.</w:t>
      </w:r>
      <w:r>
        <w:rPr>
          <w:rFonts w:hint="eastAsia" w:ascii="仿宋_GB2312" w:hAnsi="仿宋_GB2312" w:eastAsia="仿宋_GB2312" w:cs="仿宋_GB2312"/>
          <w:sz w:val="28"/>
          <w:szCs w:val="28"/>
        </w:rPr>
        <w:t>比赛出现技术问题（包括设备、器材等）时，应及时联系各项技术负责人，妥善处理；如需重新比赛，须得要得到组委会同意后方可进行。</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5.</w:t>
      </w:r>
      <w:r>
        <w:rPr>
          <w:rFonts w:hint="eastAsia" w:ascii="仿宋_GB2312" w:hAnsi="仿宋_GB2312" w:eastAsia="仿宋_GB2312" w:cs="仿宋_GB2312"/>
          <w:sz w:val="28"/>
          <w:szCs w:val="28"/>
        </w:rPr>
        <w:t>如遇突发事件，要及时向组委会报告，同时做好疏导工作，避免重大事故发生，确保大赛圆满成功。</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6.</w:t>
      </w:r>
      <w:r>
        <w:rPr>
          <w:rFonts w:hint="eastAsia" w:ascii="仿宋_GB2312" w:hAnsi="仿宋_GB2312" w:eastAsia="仿宋_GB2312" w:cs="仿宋_GB2312"/>
          <w:sz w:val="28"/>
          <w:szCs w:val="28"/>
        </w:rPr>
        <w:t>要认真组织好参赛选手的赛前准备工作，遇有重大问题及时与组委会联系协商解决办法。</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7.</w:t>
      </w:r>
      <w:r>
        <w:rPr>
          <w:rFonts w:hint="eastAsia" w:ascii="仿宋_GB2312" w:hAnsi="仿宋_GB2312" w:eastAsia="仿宋_GB2312" w:cs="仿宋_GB2312"/>
          <w:sz w:val="28"/>
          <w:szCs w:val="28"/>
        </w:rPr>
        <w:t>各项比赛的技术负责人，一定要坚守岗位，要对比赛技术操作的全过程负责。</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8.</w:t>
      </w:r>
      <w:r>
        <w:rPr>
          <w:rFonts w:hint="eastAsia" w:ascii="仿宋_GB2312" w:hAnsi="仿宋_GB2312" w:eastAsia="仿宋_GB2312" w:cs="仿宋_GB2312"/>
          <w:sz w:val="28"/>
          <w:szCs w:val="28"/>
        </w:rPr>
        <w:t>工作人员不要在赛场内接听或打电话，负责现场的人员在比赛期间一律关闭手机。</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十六、申诉与仲裁</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本赛项在比赛过程中若出现有失公正或有关人员违规等现象，参赛队领队可在比赛结束后</w:t>
      </w:r>
      <w:r>
        <w:rPr>
          <w:rFonts w:hint="eastAsia" w:ascii="仿宋_GB2312" w:hAnsi="仿宋_GB2312" w:eastAsia="仿宋_GB2312" w:cs="仿宋_GB2312"/>
          <w:color w:val="000000"/>
          <w:sz w:val="28"/>
          <w:szCs w:val="28"/>
        </w:rPr>
        <w:t>2</w:t>
      </w:r>
      <w:r>
        <w:rPr>
          <w:rFonts w:hint="eastAsia" w:ascii="仿宋_GB2312" w:hAnsi="仿宋_GB2312" w:eastAsia="仿宋_GB2312" w:cs="仿宋_GB2312"/>
          <w:sz w:val="28"/>
          <w:szCs w:val="28"/>
        </w:rPr>
        <w:t xml:space="preserve">小时之内向仲裁组提出书面申诉。      </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书面申诉应对申诉事件的现象、发生时间、涉及人员、申诉依据等进行充分、实事求是的叙述，并由领队亲笔签名。非书面申诉不予受理。 </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赛项仲裁工作组在接到申诉报告后</w:t>
      </w:r>
      <w:r>
        <w:rPr>
          <w:rFonts w:hint="eastAsia" w:ascii="仿宋_GB2312" w:hAnsi="仿宋_GB2312" w:eastAsia="仿宋_GB2312" w:cs="仿宋_GB2312"/>
          <w:color w:val="000000"/>
          <w:sz w:val="28"/>
          <w:szCs w:val="28"/>
        </w:rPr>
        <w:t>的2小</w:t>
      </w:r>
      <w:r>
        <w:rPr>
          <w:rFonts w:hint="eastAsia" w:ascii="仿宋_GB2312" w:hAnsi="仿宋_GB2312" w:eastAsia="仿宋_GB2312" w:cs="仿宋_GB2312"/>
          <w:sz w:val="28"/>
          <w:szCs w:val="28"/>
        </w:rPr>
        <w:t>时内组织复议，并及时将复议结果以书面形式告知申诉方。申诉方对复议结果仍有异议，可由省（市）领队向赛区仲裁委员会提出申诉。赛区仲裁委员会的仲裁结果为最终结果。</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十七、竞赛观摩</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赛场内设定观摩区域，向媒体、企业代表、院校师生及家长等社会公众开放。</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为保证大赛顺利进行，在观摩期间应遵循以下规则：</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1.除与竞赛直接有关工作人员、裁判员、参赛选手外，其余人员均为观摩观众。</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2.请勿在选手准备或比赛中交谈或欢呼；请勿对选手打手势，包括哑语沟通等明示、暗示行为，禁止鼓掌喝彩等发出声音的行为。</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3.请勿在观摩赛场地内使用相机、摄影机等一切对比赛正常进行造成干扰的带有闪光灯及快门音的设备。</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4.不得违反全国职业院校技能大赛规定的各项纪律。请站在规划的观摩席或者安全线以外观看比赛，并遵循赛场内工作人员和竞赛裁判人员的指挥，不得有围攻裁判员、选手或者其他工作人员的行为。</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5.请务必保持赛场清洁，将饮料食品包装、烟头及其他杂物扔进垃圾箱。</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6.观摩期间，严重违纪者除本人被逐出观摩赛场地外，还将视情况严重程度对所在代表队的选手的成绩进行扣分直至取消比赛资格。</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7.如果对裁判裁决产生质疑的，请通过各参赛队领队向赛项仲裁组提出，不得在比赛现场发言。</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十八、竞赛直播</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1.赛场内部署无盲点录像设备，能实时录制并播送赛场情况；</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2.赛场外有大屏幕或投影，同步显示赛场内竞赛状况；</w:t>
      </w:r>
    </w:p>
    <w:p>
      <w:pPr>
        <w:keepNext w:val="0"/>
        <w:keepLines w:val="0"/>
        <w:pageBreakBefore w:val="0"/>
        <w:kinsoku/>
        <w:wordWrap/>
        <w:overflowPunct/>
        <w:autoSpaceDE/>
        <w:autoSpaceDN/>
        <w:bidi w:val="0"/>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3．多机位拍摄开闭幕式，制作优秀选手采访等视频资料，突出赛项的技能重点与优势特色，为宣传、仲裁、资源转化提供全面的信息资料。</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4.条件允许时，可以进行网上直播。</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十九、资源转化</w:t>
      </w:r>
    </w:p>
    <w:p>
      <w:pPr>
        <w:keepNext w:val="0"/>
        <w:keepLines w:val="0"/>
        <w:pageBreakBefore w:val="0"/>
        <w:kinsoku/>
        <w:wordWrap/>
        <w:overflowPunct/>
        <w:autoSpaceDE/>
        <w:autoSpaceDN/>
        <w:bidi w:val="0"/>
        <w:spacing w:line="560" w:lineRule="exact"/>
        <w:ind w:firstLine="600" w:firstLineChars="200"/>
        <w:rPr>
          <w:rFonts w:hint="eastAsia" w:ascii="仿宋_GB2312" w:hAnsi="仿宋_GB2312" w:eastAsia="仿宋_GB2312" w:cs="仿宋_GB2312"/>
          <w:color w:val="000000"/>
          <w:spacing w:val="10"/>
          <w:sz w:val="28"/>
          <w:szCs w:val="28"/>
          <w:shd w:val="clear" w:color="auto" w:fill="FFFFFF"/>
        </w:rPr>
      </w:pPr>
      <w:r>
        <w:rPr>
          <w:rFonts w:hint="eastAsia" w:ascii="仿宋_GB2312" w:hAnsi="仿宋_GB2312" w:eastAsia="仿宋_GB2312" w:cs="仿宋_GB2312"/>
          <w:color w:val="000000"/>
          <w:spacing w:val="10"/>
          <w:sz w:val="28"/>
          <w:szCs w:val="28"/>
          <w:shd w:val="clear" w:color="auto" w:fill="FFFFFF"/>
        </w:rPr>
        <w:t>1.</w:t>
      </w:r>
      <w:r>
        <w:rPr>
          <w:rFonts w:hint="eastAsia" w:ascii="仿宋_GB2312" w:hAnsi="仿宋_GB2312" w:eastAsia="仿宋_GB2312" w:cs="仿宋_GB2312"/>
          <w:color w:val="000000"/>
          <w:sz w:val="28"/>
          <w:szCs w:val="28"/>
        </w:rPr>
        <w:t>基本</w:t>
      </w:r>
      <w:r>
        <w:rPr>
          <w:rFonts w:hint="eastAsia" w:ascii="仿宋_GB2312" w:hAnsi="仿宋_GB2312" w:eastAsia="仿宋_GB2312" w:cs="仿宋_GB2312"/>
          <w:color w:val="000000"/>
          <w:spacing w:val="10"/>
          <w:sz w:val="28"/>
          <w:szCs w:val="28"/>
          <w:shd w:val="clear" w:color="auto" w:fill="FFFFFF"/>
        </w:rPr>
        <w:t>资源</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制作编写农机维修赛项风采展示、技能概要和教学资源。风采展示包括赛项</w:t>
      </w:r>
      <w:r>
        <w:rPr>
          <w:rFonts w:hint="eastAsia" w:ascii="仿宋_GB2312" w:hAnsi="仿宋_GB2312" w:eastAsia="仿宋_GB2312" w:cs="仿宋_GB2312"/>
          <w:color w:val="000000"/>
          <w:sz w:val="28"/>
          <w:szCs w:val="28"/>
        </w:rPr>
        <w:t>宣传</w:t>
      </w:r>
      <w:r>
        <w:rPr>
          <w:rFonts w:hint="eastAsia" w:ascii="仿宋_GB2312" w:hAnsi="仿宋_GB2312" w:eastAsia="仿宋_GB2312" w:cs="仿宋_GB2312"/>
          <w:sz w:val="28"/>
          <w:szCs w:val="28"/>
        </w:rPr>
        <w:t>片、选手风采展示两部分。技能概要包括赛项技能介绍、技能要点</w:t>
      </w:r>
      <w:r>
        <w:rPr>
          <w:rFonts w:hint="eastAsia" w:ascii="仿宋_GB2312" w:hAnsi="仿宋_GB2312" w:eastAsia="仿宋_GB2312" w:cs="仿宋_GB2312"/>
          <w:color w:val="000000"/>
          <w:sz w:val="28"/>
          <w:szCs w:val="28"/>
        </w:rPr>
        <w:t>和</w:t>
      </w:r>
      <w:r>
        <w:rPr>
          <w:rFonts w:hint="eastAsia" w:ascii="仿宋_GB2312" w:hAnsi="仿宋_GB2312" w:eastAsia="仿宋_GB2312" w:cs="仿宋_GB2312"/>
          <w:sz w:val="28"/>
          <w:szCs w:val="28"/>
        </w:rPr>
        <w:t>评价</w:t>
      </w:r>
      <w:r>
        <w:rPr>
          <w:rFonts w:hint="eastAsia" w:ascii="仿宋_GB2312" w:hAnsi="仿宋_GB2312" w:eastAsia="仿宋_GB2312" w:cs="仿宋_GB2312"/>
          <w:color w:val="000000"/>
          <w:sz w:val="28"/>
          <w:szCs w:val="28"/>
        </w:rPr>
        <w:t>指标</w:t>
      </w:r>
      <w:r>
        <w:rPr>
          <w:rFonts w:hint="eastAsia" w:ascii="仿宋_GB2312" w:hAnsi="仿宋_GB2312" w:eastAsia="仿宋_GB2312" w:cs="仿宋_GB2312"/>
          <w:sz w:val="28"/>
          <w:szCs w:val="28"/>
        </w:rPr>
        <w:t>。教学资源包括技能训练指导书和技能操作规程。具体详见表16。</w:t>
      </w:r>
    </w:p>
    <w:p>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pacing w:val="10"/>
          <w:sz w:val="28"/>
          <w:szCs w:val="28"/>
          <w:shd w:val="clear" w:color="auto" w:fill="FFFFFF"/>
        </w:rPr>
        <w:t>2</w:t>
      </w:r>
      <w:r>
        <w:rPr>
          <w:rFonts w:hint="eastAsia" w:ascii="仿宋_GB2312" w:hAnsi="仿宋_GB2312" w:eastAsia="仿宋_GB2312" w:cs="仿宋_GB2312"/>
          <w:color w:val="000000"/>
          <w:spacing w:val="10"/>
          <w:sz w:val="28"/>
          <w:szCs w:val="28"/>
          <w:shd w:val="clear" w:color="auto" w:fill="FFFFFF"/>
          <w:lang w:val="en-US" w:eastAsia="zh-CN"/>
        </w:rPr>
        <w:t>.</w:t>
      </w:r>
      <w:r>
        <w:rPr>
          <w:rFonts w:hint="eastAsia" w:ascii="仿宋_GB2312" w:hAnsi="仿宋_GB2312" w:eastAsia="仿宋_GB2312" w:cs="仿宋_GB2312"/>
          <w:color w:val="000000"/>
          <w:spacing w:val="10"/>
          <w:sz w:val="28"/>
          <w:szCs w:val="28"/>
          <w:shd w:val="clear" w:color="auto" w:fill="FFFFFF"/>
        </w:rPr>
        <w:t>拓展资源</w:t>
      </w:r>
    </w:p>
    <w:p>
      <w:pPr>
        <w:keepNext w:val="0"/>
        <w:keepLines w:val="0"/>
        <w:pageBreakBefore w:val="0"/>
        <w:kinsoku/>
        <w:wordWrap/>
        <w:overflowPunct/>
        <w:autoSpaceDE/>
        <w:autoSpaceDN/>
        <w:bidi w:val="0"/>
        <w:spacing w:line="560" w:lineRule="exact"/>
        <w:ind w:firstLine="560" w:firstLineChars="200"/>
        <w:rPr>
          <w:rFonts w:hint="eastAsia" w:ascii="仿宋_GB2312" w:hAnsi="仿宋_GB2312" w:eastAsia="仿宋_GB2312" w:cs="仿宋_GB2312"/>
          <w:b/>
          <w:color w:val="000000"/>
          <w:kern w:val="0"/>
          <w:sz w:val="28"/>
          <w:szCs w:val="28"/>
          <w:shd w:val="clear" w:color="auto" w:fill="FFFFFF"/>
        </w:rPr>
      </w:pPr>
      <w:r>
        <w:rPr>
          <w:rFonts w:hint="eastAsia" w:ascii="仿宋_GB2312" w:hAnsi="仿宋_GB2312" w:eastAsia="仿宋_GB2312" w:cs="仿宋_GB2312"/>
          <w:sz w:val="28"/>
          <w:szCs w:val="28"/>
        </w:rPr>
        <w:t>制作完成素材资源库、试题库和裁判长技术点评、优秀选手访谈优秀指导教师访谈等。具体详见如下表16。</w:t>
      </w:r>
    </w:p>
    <w:p>
      <w:pPr>
        <w:keepNext w:val="0"/>
        <w:keepLines w:val="0"/>
        <w:pageBreakBefore w:val="0"/>
        <w:kinsoku/>
        <w:wordWrap/>
        <w:overflowPunct/>
        <w:autoSpaceDE/>
        <w:autoSpaceDN/>
        <w:bidi w:val="0"/>
        <w:adjustRightInd w:val="0"/>
        <w:snapToGrid w:val="0"/>
        <w:spacing w:line="560" w:lineRule="exact"/>
        <w:ind w:firstLine="562" w:firstLineChars="200"/>
        <w:jc w:val="center"/>
        <w:rPr>
          <w:rFonts w:hint="eastAsia" w:ascii="仿宋_GB2312" w:hAnsi="仿宋_GB2312" w:eastAsia="仿宋_GB2312" w:cs="仿宋_GB2312"/>
          <w:b/>
          <w:sz w:val="28"/>
          <w:szCs w:val="28"/>
        </w:rPr>
      </w:pPr>
      <w:r>
        <w:rPr>
          <w:rFonts w:hint="eastAsia" w:ascii="仿宋_GB2312" w:hAnsi="仿宋_GB2312" w:eastAsia="仿宋_GB2312" w:cs="仿宋_GB2312"/>
          <w:b/>
          <w:bCs/>
          <w:sz w:val="28"/>
          <w:szCs w:val="28"/>
        </w:rPr>
        <w:t>表16农机维修赛项资源转化计划</w:t>
      </w:r>
    </w:p>
    <w:tbl>
      <w:tblPr>
        <w:tblStyle w:val="10"/>
        <w:tblW w:w="8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704"/>
        <w:gridCol w:w="1966"/>
        <w:gridCol w:w="1546"/>
        <w:gridCol w:w="1265"/>
        <w:gridCol w:w="1264"/>
        <w:gridCol w:w="1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9" w:hRule="atLeast"/>
        </w:trPr>
        <w:tc>
          <w:tcPr>
            <w:tcW w:w="3340" w:type="dxa"/>
            <w:gridSpan w:val="3"/>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资源名称</w:t>
            </w:r>
          </w:p>
        </w:tc>
        <w:tc>
          <w:tcPr>
            <w:tcW w:w="154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表现形式</w:t>
            </w:r>
          </w:p>
        </w:tc>
        <w:tc>
          <w:tcPr>
            <w:tcW w:w="1265"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资源数量</w:t>
            </w:r>
          </w:p>
        </w:tc>
        <w:tc>
          <w:tcPr>
            <w:tcW w:w="126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资源要求</w:t>
            </w:r>
          </w:p>
        </w:tc>
        <w:tc>
          <w:tcPr>
            <w:tcW w:w="1265"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6" w:hRule="atLeast"/>
        </w:trPr>
        <w:tc>
          <w:tcPr>
            <w:tcW w:w="67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基</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资</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源</w:t>
            </w:r>
          </w:p>
        </w:tc>
        <w:tc>
          <w:tcPr>
            <w:tcW w:w="704"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风采展示</w:t>
            </w:r>
          </w:p>
        </w:tc>
        <w:tc>
          <w:tcPr>
            <w:tcW w:w="196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赛项宣传片</w:t>
            </w:r>
          </w:p>
        </w:tc>
        <w:tc>
          <w:tcPr>
            <w:tcW w:w="154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视频</w:t>
            </w:r>
          </w:p>
        </w:tc>
        <w:tc>
          <w:tcPr>
            <w:tcW w:w="1265"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5分钟</w:t>
            </w:r>
          </w:p>
        </w:tc>
        <w:tc>
          <w:tcPr>
            <w:tcW w:w="1265"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2019.9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 w:hRule="atLeast"/>
        </w:trPr>
        <w:tc>
          <w:tcPr>
            <w:tcW w:w="67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70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96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风采展示片</w:t>
            </w:r>
          </w:p>
        </w:tc>
        <w:tc>
          <w:tcPr>
            <w:tcW w:w="154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视频</w:t>
            </w:r>
          </w:p>
        </w:tc>
        <w:tc>
          <w:tcPr>
            <w:tcW w:w="1265"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126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3分钟/个</w:t>
            </w:r>
          </w:p>
        </w:tc>
        <w:tc>
          <w:tcPr>
            <w:tcW w:w="1265"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2019.9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rPr>
        <w:tc>
          <w:tcPr>
            <w:tcW w:w="67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704"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技能概要</w:t>
            </w:r>
          </w:p>
        </w:tc>
        <w:tc>
          <w:tcPr>
            <w:tcW w:w="196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技能介绍</w:t>
            </w:r>
          </w:p>
        </w:tc>
        <w:tc>
          <w:tcPr>
            <w:tcW w:w="154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演示文稿</w:t>
            </w:r>
          </w:p>
        </w:tc>
        <w:tc>
          <w:tcPr>
            <w:tcW w:w="1265"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265"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4" w:hRule="atLeast"/>
        </w:trPr>
        <w:tc>
          <w:tcPr>
            <w:tcW w:w="67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70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96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技能要点</w:t>
            </w:r>
          </w:p>
        </w:tc>
        <w:tc>
          <w:tcPr>
            <w:tcW w:w="154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视频</w:t>
            </w:r>
          </w:p>
        </w:tc>
        <w:tc>
          <w:tcPr>
            <w:tcW w:w="1265"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8分钟</w:t>
            </w:r>
          </w:p>
        </w:tc>
        <w:tc>
          <w:tcPr>
            <w:tcW w:w="1265"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2019.7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 w:hRule="atLeast"/>
        </w:trPr>
        <w:tc>
          <w:tcPr>
            <w:tcW w:w="67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704"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教学资源</w:t>
            </w:r>
          </w:p>
        </w:tc>
        <w:tc>
          <w:tcPr>
            <w:tcW w:w="196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技能训练指导书</w:t>
            </w:r>
          </w:p>
        </w:tc>
        <w:tc>
          <w:tcPr>
            <w:tcW w:w="154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文本文档</w:t>
            </w:r>
          </w:p>
        </w:tc>
        <w:tc>
          <w:tcPr>
            <w:tcW w:w="1265"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电子教材</w:t>
            </w:r>
          </w:p>
        </w:tc>
        <w:tc>
          <w:tcPr>
            <w:tcW w:w="1265"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2019.11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 w:hRule="atLeast"/>
        </w:trPr>
        <w:tc>
          <w:tcPr>
            <w:tcW w:w="67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70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96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技能操作规程</w:t>
            </w:r>
          </w:p>
        </w:tc>
        <w:tc>
          <w:tcPr>
            <w:tcW w:w="154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视频</w:t>
            </w:r>
          </w:p>
        </w:tc>
        <w:tc>
          <w:tcPr>
            <w:tcW w:w="1265"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6分钟</w:t>
            </w:r>
          </w:p>
        </w:tc>
        <w:tc>
          <w:tcPr>
            <w:tcW w:w="1265"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2019.7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1" w:hRule="atLeast"/>
        </w:trPr>
        <w:tc>
          <w:tcPr>
            <w:tcW w:w="67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拓</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展</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资</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源</w:t>
            </w:r>
          </w:p>
        </w:tc>
        <w:tc>
          <w:tcPr>
            <w:tcW w:w="2670"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素材资源库</w:t>
            </w:r>
          </w:p>
        </w:tc>
        <w:tc>
          <w:tcPr>
            <w:tcW w:w="154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演示文稿、图片、视频等</w:t>
            </w:r>
          </w:p>
        </w:tc>
        <w:tc>
          <w:tcPr>
            <w:tcW w:w="1265"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40件以上</w:t>
            </w:r>
          </w:p>
        </w:tc>
        <w:tc>
          <w:tcPr>
            <w:tcW w:w="126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265"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2019.9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 w:hRule="atLeast"/>
        </w:trPr>
        <w:tc>
          <w:tcPr>
            <w:tcW w:w="67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670"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试题库</w:t>
            </w:r>
          </w:p>
        </w:tc>
        <w:tc>
          <w:tcPr>
            <w:tcW w:w="154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文本文档</w:t>
            </w:r>
          </w:p>
        </w:tc>
        <w:tc>
          <w:tcPr>
            <w:tcW w:w="1265"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265"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2019.11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 w:hRule="atLeast"/>
        </w:trPr>
        <w:tc>
          <w:tcPr>
            <w:tcW w:w="67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670"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裁判长技术点评</w:t>
            </w:r>
          </w:p>
        </w:tc>
        <w:tc>
          <w:tcPr>
            <w:tcW w:w="154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文本文档</w:t>
            </w:r>
          </w:p>
        </w:tc>
        <w:tc>
          <w:tcPr>
            <w:tcW w:w="1265"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6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1265"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2019.5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 w:hRule="atLeast"/>
        </w:trPr>
        <w:tc>
          <w:tcPr>
            <w:tcW w:w="67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670"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优秀选手访谈</w:t>
            </w:r>
          </w:p>
        </w:tc>
        <w:tc>
          <w:tcPr>
            <w:tcW w:w="154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视频</w:t>
            </w:r>
          </w:p>
        </w:tc>
        <w:tc>
          <w:tcPr>
            <w:tcW w:w="1265"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3～5</w:t>
            </w:r>
          </w:p>
        </w:tc>
        <w:tc>
          <w:tcPr>
            <w:tcW w:w="126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2分钟</w:t>
            </w:r>
          </w:p>
        </w:tc>
        <w:tc>
          <w:tcPr>
            <w:tcW w:w="1265"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2019.5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 w:hRule="atLeast"/>
        </w:trPr>
        <w:tc>
          <w:tcPr>
            <w:tcW w:w="67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p>
        </w:tc>
        <w:tc>
          <w:tcPr>
            <w:tcW w:w="2670"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优秀指导教师访谈</w:t>
            </w:r>
          </w:p>
        </w:tc>
        <w:tc>
          <w:tcPr>
            <w:tcW w:w="1546"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视频</w:t>
            </w:r>
          </w:p>
        </w:tc>
        <w:tc>
          <w:tcPr>
            <w:tcW w:w="1265"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3～5</w:t>
            </w:r>
          </w:p>
        </w:tc>
        <w:tc>
          <w:tcPr>
            <w:tcW w:w="1264"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3分钟</w:t>
            </w:r>
          </w:p>
        </w:tc>
        <w:tc>
          <w:tcPr>
            <w:tcW w:w="1265"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2019.5</w:t>
            </w:r>
          </w:p>
        </w:tc>
      </w:tr>
    </w:tbl>
    <w:p/>
    <w:sectPr>
      <w:footerReference r:id="rId3" w:type="default"/>
      <w:pgSz w:w="11906" w:h="16838"/>
      <w:pgMar w:top="1440" w:right="1797" w:bottom="1440" w:left="179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微软雅黑">
    <w:panose1 w:val="020B0503020204020204"/>
    <w:charset w:val="86"/>
    <w:family w:val="auto"/>
    <w:pitch w:val="default"/>
    <w:sig w:usb0="A0000287" w:usb1="28C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文本框 3" o:spid="_x0000_s2049" o:spt="202" type="#_x0000_t202" style="position:absolute;left:0pt;margin-top:0pt;height:144pt;width:144pt;mso-position-horizontal:center;mso-position-horizontal-relative:margin;mso-wrap-style:none;z-index:25166643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">
          <v:path/>
          <v:fill on="f" focussize="0,0"/>
          <v:stroke on="f" weight="1.25pt" joinstyle="miter"/>
          <v:imagedata o:title=""/>
          <o:lock v:ext="edit"/>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C833D5"/>
    <w:multiLevelType w:val="multilevel"/>
    <w:tmpl w:val="37C833D5"/>
    <w:lvl w:ilvl="0" w:tentative="0">
      <w:start w:val="1"/>
      <w:numFmt w:val="decimal"/>
      <w:lvlText w:val="%1."/>
      <w:lvlJc w:val="left"/>
      <w:pPr>
        <w:ind w:left="840" w:hanging="420"/>
      </w:pPr>
      <w:rPr>
        <w:rFonts w:hint="eastAsia" w:cs="Times New Roman"/>
        <w:sz w:val="28"/>
      </w:rPr>
    </w:lvl>
    <w:lvl w:ilvl="1" w:tentative="0">
      <w:start w:val="1"/>
      <w:numFmt w:val="lowerLetter"/>
      <w:lvlText w:val="%2)"/>
      <w:lvlJc w:val="left"/>
      <w:pPr>
        <w:ind w:left="1260" w:hanging="420"/>
      </w:pPr>
      <w:rPr>
        <w:rFonts w:cs="Times New Roman"/>
      </w:rPr>
    </w:lvl>
    <w:lvl w:ilvl="2" w:tentative="0">
      <w:start w:val="1"/>
      <w:numFmt w:val="lowerRoman"/>
      <w:lvlText w:val="%3."/>
      <w:lvlJc w:val="right"/>
      <w:pPr>
        <w:ind w:left="1680" w:hanging="420"/>
      </w:pPr>
      <w:rPr>
        <w:rFonts w:cs="Times New Roman"/>
      </w:rPr>
    </w:lvl>
    <w:lvl w:ilvl="3" w:tentative="0">
      <w:start w:val="1"/>
      <w:numFmt w:val="decimal"/>
      <w:lvlText w:val="%4."/>
      <w:lvlJc w:val="left"/>
      <w:pPr>
        <w:ind w:left="2100" w:hanging="420"/>
      </w:pPr>
      <w:rPr>
        <w:rFonts w:cs="Times New Roman"/>
      </w:rPr>
    </w:lvl>
    <w:lvl w:ilvl="4" w:tentative="0">
      <w:start w:val="1"/>
      <w:numFmt w:val="lowerLetter"/>
      <w:lvlText w:val="%5)"/>
      <w:lvlJc w:val="left"/>
      <w:pPr>
        <w:ind w:left="2520" w:hanging="420"/>
      </w:pPr>
      <w:rPr>
        <w:rFonts w:cs="Times New Roman"/>
      </w:rPr>
    </w:lvl>
    <w:lvl w:ilvl="5" w:tentative="0">
      <w:start w:val="1"/>
      <w:numFmt w:val="lowerRoman"/>
      <w:lvlText w:val="%6."/>
      <w:lvlJc w:val="right"/>
      <w:pPr>
        <w:ind w:left="2940" w:hanging="420"/>
      </w:pPr>
      <w:rPr>
        <w:rFonts w:cs="Times New Roman"/>
      </w:rPr>
    </w:lvl>
    <w:lvl w:ilvl="6" w:tentative="0">
      <w:start w:val="1"/>
      <w:numFmt w:val="decimal"/>
      <w:lvlText w:val="%7."/>
      <w:lvlJc w:val="left"/>
      <w:pPr>
        <w:ind w:left="3360" w:hanging="420"/>
      </w:pPr>
      <w:rPr>
        <w:rFonts w:cs="Times New Roman"/>
      </w:rPr>
    </w:lvl>
    <w:lvl w:ilvl="7" w:tentative="0">
      <w:start w:val="1"/>
      <w:numFmt w:val="lowerLetter"/>
      <w:lvlText w:val="%8)"/>
      <w:lvlJc w:val="left"/>
      <w:pPr>
        <w:ind w:left="3780" w:hanging="420"/>
      </w:pPr>
      <w:rPr>
        <w:rFonts w:cs="Times New Roman"/>
      </w:rPr>
    </w:lvl>
    <w:lvl w:ilvl="8" w:tentative="0">
      <w:start w:val="1"/>
      <w:numFmt w:val="lowerRoman"/>
      <w:lvlText w:val="%9."/>
      <w:lvlJc w:val="right"/>
      <w:pPr>
        <w:ind w:left="420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7FB71566"/>
    <w:rsid w:val="00002129"/>
    <w:rsid w:val="000101B4"/>
    <w:rsid w:val="00020D66"/>
    <w:rsid w:val="00021D71"/>
    <w:rsid w:val="00025768"/>
    <w:rsid w:val="0002609C"/>
    <w:rsid w:val="0004338E"/>
    <w:rsid w:val="00051F62"/>
    <w:rsid w:val="00053FCF"/>
    <w:rsid w:val="000679E0"/>
    <w:rsid w:val="00072AB5"/>
    <w:rsid w:val="00083E09"/>
    <w:rsid w:val="000B2FF2"/>
    <w:rsid w:val="000B706E"/>
    <w:rsid w:val="000E11B3"/>
    <w:rsid w:val="000E1F0E"/>
    <w:rsid w:val="000F7563"/>
    <w:rsid w:val="0010075A"/>
    <w:rsid w:val="001115CA"/>
    <w:rsid w:val="00115BE4"/>
    <w:rsid w:val="00133330"/>
    <w:rsid w:val="00133FF7"/>
    <w:rsid w:val="00136BC5"/>
    <w:rsid w:val="0014173E"/>
    <w:rsid w:val="00145E19"/>
    <w:rsid w:val="00153FC5"/>
    <w:rsid w:val="00157D03"/>
    <w:rsid w:val="00161D7B"/>
    <w:rsid w:val="00166F87"/>
    <w:rsid w:val="00167C67"/>
    <w:rsid w:val="00176179"/>
    <w:rsid w:val="001A3CE5"/>
    <w:rsid w:val="001C542E"/>
    <w:rsid w:val="001F167E"/>
    <w:rsid w:val="00207625"/>
    <w:rsid w:val="00217BD6"/>
    <w:rsid w:val="00233C25"/>
    <w:rsid w:val="0023531A"/>
    <w:rsid w:val="00235449"/>
    <w:rsid w:val="0025149B"/>
    <w:rsid w:val="00263754"/>
    <w:rsid w:val="002679BC"/>
    <w:rsid w:val="002753C3"/>
    <w:rsid w:val="0028086E"/>
    <w:rsid w:val="00292814"/>
    <w:rsid w:val="00293098"/>
    <w:rsid w:val="002968A1"/>
    <w:rsid w:val="002A247A"/>
    <w:rsid w:val="002C7B0D"/>
    <w:rsid w:val="002D4B8F"/>
    <w:rsid w:val="0030224C"/>
    <w:rsid w:val="00302C3B"/>
    <w:rsid w:val="0031060D"/>
    <w:rsid w:val="0031675F"/>
    <w:rsid w:val="00322BDC"/>
    <w:rsid w:val="00325823"/>
    <w:rsid w:val="00332614"/>
    <w:rsid w:val="003453AE"/>
    <w:rsid w:val="00345461"/>
    <w:rsid w:val="0035669A"/>
    <w:rsid w:val="00363B34"/>
    <w:rsid w:val="00371498"/>
    <w:rsid w:val="00374D58"/>
    <w:rsid w:val="00383ABE"/>
    <w:rsid w:val="00391A22"/>
    <w:rsid w:val="00395529"/>
    <w:rsid w:val="00395575"/>
    <w:rsid w:val="00397D02"/>
    <w:rsid w:val="003B0498"/>
    <w:rsid w:val="003C460B"/>
    <w:rsid w:val="003D1DC9"/>
    <w:rsid w:val="003D3EFA"/>
    <w:rsid w:val="003E221B"/>
    <w:rsid w:val="003F1E6F"/>
    <w:rsid w:val="003F354B"/>
    <w:rsid w:val="00404D79"/>
    <w:rsid w:val="004179BF"/>
    <w:rsid w:val="004309C1"/>
    <w:rsid w:val="004472FB"/>
    <w:rsid w:val="00447B10"/>
    <w:rsid w:val="004514C0"/>
    <w:rsid w:val="0046014A"/>
    <w:rsid w:val="004624C3"/>
    <w:rsid w:val="004639EF"/>
    <w:rsid w:val="0046646A"/>
    <w:rsid w:val="00493F76"/>
    <w:rsid w:val="004B1265"/>
    <w:rsid w:val="004B59B6"/>
    <w:rsid w:val="004C0E32"/>
    <w:rsid w:val="004C0EB4"/>
    <w:rsid w:val="004C3540"/>
    <w:rsid w:val="004C4F5A"/>
    <w:rsid w:val="004D6423"/>
    <w:rsid w:val="005167A6"/>
    <w:rsid w:val="00533ED0"/>
    <w:rsid w:val="00537F0A"/>
    <w:rsid w:val="005438E1"/>
    <w:rsid w:val="0056550F"/>
    <w:rsid w:val="00595C13"/>
    <w:rsid w:val="00597FB9"/>
    <w:rsid w:val="005A426C"/>
    <w:rsid w:val="005A4654"/>
    <w:rsid w:val="005B409D"/>
    <w:rsid w:val="005C2893"/>
    <w:rsid w:val="005C4038"/>
    <w:rsid w:val="005C43B4"/>
    <w:rsid w:val="005D03DF"/>
    <w:rsid w:val="005D502C"/>
    <w:rsid w:val="00605FB4"/>
    <w:rsid w:val="00614CC7"/>
    <w:rsid w:val="00616B8F"/>
    <w:rsid w:val="00635A69"/>
    <w:rsid w:val="00635C11"/>
    <w:rsid w:val="00643553"/>
    <w:rsid w:val="00645B24"/>
    <w:rsid w:val="0064708F"/>
    <w:rsid w:val="00680FCC"/>
    <w:rsid w:val="00681BE5"/>
    <w:rsid w:val="0068737C"/>
    <w:rsid w:val="006C392A"/>
    <w:rsid w:val="006D72AE"/>
    <w:rsid w:val="006E1D2F"/>
    <w:rsid w:val="006E3E79"/>
    <w:rsid w:val="00700A29"/>
    <w:rsid w:val="007075C0"/>
    <w:rsid w:val="007126B3"/>
    <w:rsid w:val="0072091E"/>
    <w:rsid w:val="00730E7D"/>
    <w:rsid w:val="0073357B"/>
    <w:rsid w:val="00745E3E"/>
    <w:rsid w:val="00770BA6"/>
    <w:rsid w:val="00773B42"/>
    <w:rsid w:val="00793C29"/>
    <w:rsid w:val="007A57B5"/>
    <w:rsid w:val="007B6DDB"/>
    <w:rsid w:val="007F6A51"/>
    <w:rsid w:val="0080049E"/>
    <w:rsid w:val="00806131"/>
    <w:rsid w:val="00810A27"/>
    <w:rsid w:val="0081439C"/>
    <w:rsid w:val="008303EB"/>
    <w:rsid w:val="00835E9E"/>
    <w:rsid w:val="00835FE2"/>
    <w:rsid w:val="00863620"/>
    <w:rsid w:val="00867BC4"/>
    <w:rsid w:val="00871CB6"/>
    <w:rsid w:val="0089055A"/>
    <w:rsid w:val="008963BD"/>
    <w:rsid w:val="008B65BC"/>
    <w:rsid w:val="008C6C79"/>
    <w:rsid w:val="008F129B"/>
    <w:rsid w:val="008F1434"/>
    <w:rsid w:val="009003C9"/>
    <w:rsid w:val="00920FA4"/>
    <w:rsid w:val="00927C7F"/>
    <w:rsid w:val="009422D2"/>
    <w:rsid w:val="00946056"/>
    <w:rsid w:val="0095049F"/>
    <w:rsid w:val="009674F7"/>
    <w:rsid w:val="00977379"/>
    <w:rsid w:val="009851A9"/>
    <w:rsid w:val="009921FA"/>
    <w:rsid w:val="00995439"/>
    <w:rsid w:val="009A047A"/>
    <w:rsid w:val="009A37DC"/>
    <w:rsid w:val="009A633D"/>
    <w:rsid w:val="009B7A6C"/>
    <w:rsid w:val="009D75B6"/>
    <w:rsid w:val="009E21B4"/>
    <w:rsid w:val="009E5CF6"/>
    <w:rsid w:val="009F15B7"/>
    <w:rsid w:val="009F702A"/>
    <w:rsid w:val="00A03814"/>
    <w:rsid w:val="00A063A1"/>
    <w:rsid w:val="00A27553"/>
    <w:rsid w:val="00A346AE"/>
    <w:rsid w:val="00A506F2"/>
    <w:rsid w:val="00AA1C14"/>
    <w:rsid w:val="00AC0C10"/>
    <w:rsid w:val="00AF58D8"/>
    <w:rsid w:val="00B01652"/>
    <w:rsid w:val="00B0291C"/>
    <w:rsid w:val="00B116E8"/>
    <w:rsid w:val="00B303AC"/>
    <w:rsid w:val="00B3137D"/>
    <w:rsid w:val="00B4100D"/>
    <w:rsid w:val="00B46192"/>
    <w:rsid w:val="00B5340B"/>
    <w:rsid w:val="00B539D5"/>
    <w:rsid w:val="00B65D0A"/>
    <w:rsid w:val="00B9000B"/>
    <w:rsid w:val="00B93467"/>
    <w:rsid w:val="00BA6E55"/>
    <w:rsid w:val="00BB64E1"/>
    <w:rsid w:val="00BC15A7"/>
    <w:rsid w:val="00BC649A"/>
    <w:rsid w:val="00BD0D40"/>
    <w:rsid w:val="00BD56DB"/>
    <w:rsid w:val="00BE22CD"/>
    <w:rsid w:val="00C067B3"/>
    <w:rsid w:val="00C1059B"/>
    <w:rsid w:val="00C128E3"/>
    <w:rsid w:val="00C15F74"/>
    <w:rsid w:val="00C20CA3"/>
    <w:rsid w:val="00C30455"/>
    <w:rsid w:val="00C320D7"/>
    <w:rsid w:val="00C33160"/>
    <w:rsid w:val="00C342E8"/>
    <w:rsid w:val="00C34609"/>
    <w:rsid w:val="00C423DC"/>
    <w:rsid w:val="00C4322E"/>
    <w:rsid w:val="00C57C4A"/>
    <w:rsid w:val="00C6308A"/>
    <w:rsid w:val="00C677BC"/>
    <w:rsid w:val="00C67D36"/>
    <w:rsid w:val="00C76D2F"/>
    <w:rsid w:val="00C9473D"/>
    <w:rsid w:val="00CA376E"/>
    <w:rsid w:val="00CA5FE5"/>
    <w:rsid w:val="00CC492F"/>
    <w:rsid w:val="00CC6ABF"/>
    <w:rsid w:val="00CC7571"/>
    <w:rsid w:val="00CD38A7"/>
    <w:rsid w:val="00CE334E"/>
    <w:rsid w:val="00CF0B86"/>
    <w:rsid w:val="00CF21DA"/>
    <w:rsid w:val="00CF7092"/>
    <w:rsid w:val="00D223A3"/>
    <w:rsid w:val="00D27329"/>
    <w:rsid w:val="00D30FB6"/>
    <w:rsid w:val="00D42084"/>
    <w:rsid w:val="00D53365"/>
    <w:rsid w:val="00D53C07"/>
    <w:rsid w:val="00D53EC5"/>
    <w:rsid w:val="00D5495D"/>
    <w:rsid w:val="00D63962"/>
    <w:rsid w:val="00D82D2A"/>
    <w:rsid w:val="00D8732F"/>
    <w:rsid w:val="00D90701"/>
    <w:rsid w:val="00D9523C"/>
    <w:rsid w:val="00DA238C"/>
    <w:rsid w:val="00DA66B6"/>
    <w:rsid w:val="00DA6EED"/>
    <w:rsid w:val="00DC118E"/>
    <w:rsid w:val="00DC73C3"/>
    <w:rsid w:val="00DD03B3"/>
    <w:rsid w:val="00DD26DD"/>
    <w:rsid w:val="00DD5198"/>
    <w:rsid w:val="00DD77E6"/>
    <w:rsid w:val="00DD7800"/>
    <w:rsid w:val="00DD7DA0"/>
    <w:rsid w:val="00DF4B09"/>
    <w:rsid w:val="00E24AB7"/>
    <w:rsid w:val="00E345A1"/>
    <w:rsid w:val="00E51F50"/>
    <w:rsid w:val="00E6433F"/>
    <w:rsid w:val="00E67A52"/>
    <w:rsid w:val="00E7722B"/>
    <w:rsid w:val="00E850AD"/>
    <w:rsid w:val="00E90E04"/>
    <w:rsid w:val="00E933CC"/>
    <w:rsid w:val="00E95B16"/>
    <w:rsid w:val="00EA0C8B"/>
    <w:rsid w:val="00EA4E11"/>
    <w:rsid w:val="00EB06A9"/>
    <w:rsid w:val="00EB5C83"/>
    <w:rsid w:val="00EC63E8"/>
    <w:rsid w:val="00ED40DD"/>
    <w:rsid w:val="00EE1144"/>
    <w:rsid w:val="00EE2330"/>
    <w:rsid w:val="00EE5343"/>
    <w:rsid w:val="00EE6622"/>
    <w:rsid w:val="00EE79FF"/>
    <w:rsid w:val="00EF4398"/>
    <w:rsid w:val="00F018BE"/>
    <w:rsid w:val="00F07221"/>
    <w:rsid w:val="00F2044A"/>
    <w:rsid w:val="00F2183D"/>
    <w:rsid w:val="00F278ED"/>
    <w:rsid w:val="00F352EF"/>
    <w:rsid w:val="00F417C1"/>
    <w:rsid w:val="00F5244F"/>
    <w:rsid w:val="00F56E2B"/>
    <w:rsid w:val="00F60CF2"/>
    <w:rsid w:val="00F64B47"/>
    <w:rsid w:val="00F902BC"/>
    <w:rsid w:val="00FD2C36"/>
    <w:rsid w:val="00FE5B93"/>
    <w:rsid w:val="00FF0D60"/>
    <w:rsid w:val="0209119C"/>
    <w:rsid w:val="038568F0"/>
    <w:rsid w:val="05934679"/>
    <w:rsid w:val="06772781"/>
    <w:rsid w:val="068B106E"/>
    <w:rsid w:val="06A0630F"/>
    <w:rsid w:val="08615B93"/>
    <w:rsid w:val="08A00A9A"/>
    <w:rsid w:val="0A503795"/>
    <w:rsid w:val="0A7F22B9"/>
    <w:rsid w:val="0ABF1BCD"/>
    <w:rsid w:val="11C06EAF"/>
    <w:rsid w:val="11D033B6"/>
    <w:rsid w:val="14A46C02"/>
    <w:rsid w:val="15666B27"/>
    <w:rsid w:val="18FD0AC7"/>
    <w:rsid w:val="1A76244D"/>
    <w:rsid w:val="1B6112C9"/>
    <w:rsid w:val="1B705742"/>
    <w:rsid w:val="1BF27E31"/>
    <w:rsid w:val="1C380375"/>
    <w:rsid w:val="1EB674BA"/>
    <w:rsid w:val="229564E3"/>
    <w:rsid w:val="245C30BD"/>
    <w:rsid w:val="254D58CA"/>
    <w:rsid w:val="255173E8"/>
    <w:rsid w:val="27393720"/>
    <w:rsid w:val="27CC6D71"/>
    <w:rsid w:val="285A2348"/>
    <w:rsid w:val="29BB31A5"/>
    <w:rsid w:val="2BCE1232"/>
    <w:rsid w:val="2C581975"/>
    <w:rsid w:val="2DC9228E"/>
    <w:rsid w:val="2F034E7C"/>
    <w:rsid w:val="2F4D0EDE"/>
    <w:rsid w:val="30CC1FD6"/>
    <w:rsid w:val="31D766CE"/>
    <w:rsid w:val="320004D6"/>
    <w:rsid w:val="33F74D3A"/>
    <w:rsid w:val="35060BFC"/>
    <w:rsid w:val="358452BE"/>
    <w:rsid w:val="35A85CCE"/>
    <w:rsid w:val="36DA2C88"/>
    <w:rsid w:val="38EE0A3E"/>
    <w:rsid w:val="39BB6EED"/>
    <w:rsid w:val="3B3869D3"/>
    <w:rsid w:val="3B3965C6"/>
    <w:rsid w:val="3BB2741D"/>
    <w:rsid w:val="414F44F0"/>
    <w:rsid w:val="42DB53A0"/>
    <w:rsid w:val="437B1462"/>
    <w:rsid w:val="46161465"/>
    <w:rsid w:val="480B6528"/>
    <w:rsid w:val="4A8D0184"/>
    <w:rsid w:val="4AF4189E"/>
    <w:rsid w:val="4B681352"/>
    <w:rsid w:val="4B933858"/>
    <w:rsid w:val="4C304EE5"/>
    <w:rsid w:val="4EC508EC"/>
    <w:rsid w:val="4FD64380"/>
    <w:rsid w:val="5467653F"/>
    <w:rsid w:val="551E71A8"/>
    <w:rsid w:val="56B76351"/>
    <w:rsid w:val="57237927"/>
    <w:rsid w:val="597F256F"/>
    <w:rsid w:val="599C1975"/>
    <w:rsid w:val="5D405C17"/>
    <w:rsid w:val="5DC60396"/>
    <w:rsid w:val="5ED4664D"/>
    <w:rsid w:val="622E44BE"/>
    <w:rsid w:val="62B85C32"/>
    <w:rsid w:val="63275A05"/>
    <w:rsid w:val="640473DD"/>
    <w:rsid w:val="640A073C"/>
    <w:rsid w:val="66D67FB5"/>
    <w:rsid w:val="66EE4AD3"/>
    <w:rsid w:val="6751078F"/>
    <w:rsid w:val="68671FCE"/>
    <w:rsid w:val="6B517FAB"/>
    <w:rsid w:val="6C2920E8"/>
    <w:rsid w:val="6CF366C2"/>
    <w:rsid w:val="6E6877B6"/>
    <w:rsid w:val="6F7C7894"/>
    <w:rsid w:val="747D295B"/>
    <w:rsid w:val="74940467"/>
    <w:rsid w:val="75F82D27"/>
    <w:rsid w:val="75F86E15"/>
    <w:rsid w:val="76557946"/>
    <w:rsid w:val="76726254"/>
    <w:rsid w:val="7AF64D19"/>
    <w:rsid w:val="7D5C0F5A"/>
    <w:rsid w:val="7D7B6870"/>
    <w:rsid w:val="7FB71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2">
    <w:name w:val="Default Paragraph Font"/>
    <w:semiHidden/>
    <w:unhideWhenUsed/>
    <w:uiPriority w:val="1"/>
  </w:style>
  <w:style w:type="table" w:default="1" w:styleId="10">
    <w:name w:val="Normal Table"/>
    <w:semiHidden/>
    <w:unhideWhenUsed/>
    <w:uiPriority w:val="99"/>
    <w:tblPr>
      <w:tblLayout w:type="fixed"/>
      <w:tblCellMar>
        <w:top w:w="0" w:type="dxa"/>
        <w:left w:w="108" w:type="dxa"/>
        <w:bottom w:w="0" w:type="dxa"/>
        <w:right w:w="108" w:type="dxa"/>
      </w:tblCellMar>
    </w:tblPr>
  </w:style>
  <w:style w:type="paragraph" w:styleId="2">
    <w:name w:val="annotation text"/>
    <w:basedOn w:val="1"/>
    <w:link w:val="16"/>
    <w:semiHidden/>
    <w:unhideWhenUsed/>
    <w:uiPriority w:val="0"/>
    <w:pPr>
      <w:jc w:val="left"/>
    </w:pPr>
  </w:style>
  <w:style w:type="paragraph" w:styleId="3">
    <w:name w:val="Plain Text"/>
    <w:basedOn w:val="1"/>
    <w:uiPriority w:val="0"/>
    <w:rPr>
      <w:rFonts w:ascii="宋体" w:hAnsi="Courier New"/>
      <w:kern w:val="0"/>
      <w:szCs w:val="21"/>
    </w:rPr>
  </w:style>
  <w:style w:type="paragraph" w:styleId="4">
    <w:name w:val="Balloon Text"/>
    <w:basedOn w:val="1"/>
    <w:link w:val="18"/>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link w:val="15"/>
    <w:unhideWhenUsed/>
    <w:qFormat/>
    <w:uiPriority w:val="0"/>
    <w:pPr>
      <w:pBdr>
        <w:bottom w:val="single" w:color="auto" w:sz="6" w:space="1"/>
      </w:pBdr>
      <w:tabs>
        <w:tab w:val="center" w:pos="4153"/>
        <w:tab w:val="right" w:pos="8306"/>
      </w:tabs>
      <w:snapToGrid w:val="0"/>
      <w:jc w:val="center"/>
    </w:pPr>
    <w:rPr>
      <w:sz w:val="18"/>
      <w:szCs w:val="18"/>
    </w:rPr>
  </w:style>
  <w:style w:type="paragraph" w:styleId="7">
    <w:name w:val="Subtitle"/>
    <w:basedOn w:val="1"/>
    <w:next w:val="1"/>
    <w:qFormat/>
    <w:uiPriority w:val="0"/>
    <w:pPr>
      <w:spacing w:before="240" w:after="60" w:line="312" w:lineRule="atLeast"/>
      <w:jc w:val="left"/>
      <w:outlineLvl w:val="1"/>
    </w:pPr>
    <w:rPr>
      <w:rFonts w:ascii="Cambria" w:hAnsi="Cambria"/>
      <w:bCs/>
      <w:kern w:val="28"/>
      <w:szCs w:val="32"/>
    </w:rPr>
  </w:style>
  <w:style w:type="paragraph" w:styleId="8">
    <w:name w:val="Title"/>
    <w:basedOn w:val="1"/>
    <w:next w:val="1"/>
    <w:qFormat/>
    <w:uiPriority w:val="0"/>
    <w:pPr>
      <w:snapToGrid w:val="0"/>
      <w:spacing w:line="540" w:lineRule="exact"/>
      <w:jc w:val="left"/>
    </w:pPr>
    <w:rPr>
      <w:rFonts w:ascii="黑体" w:hAnsi="黑体" w:eastAsia="仿宋_GB2312" w:cs="宋体"/>
      <w:b/>
      <w:sz w:val="28"/>
      <w:szCs w:val="36"/>
    </w:rPr>
  </w:style>
  <w:style w:type="paragraph" w:styleId="9">
    <w:name w:val="annotation subject"/>
    <w:basedOn w:val="2"/>
    <w:next w:val="2"/>
    <w:link w:val="17"/>
    <w:semiHidden/>
    <w:unhideWhenUsed/>
    <w:uiPriority w:val="0"/>
    <w:rPr>
      <w:b/>
      <w:bCs/>
    </w:rPr>
  </w:style>
  <w:style w:type="table" w:styleId="11">
    <w:name w:val="Table Grid"/>
    <w:basedOn w:val="10"/>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3">
    <w:name w:val="annotation reference"/>
    <w:basedOn w:val="12"/>
    <w:semiHidden/>
    <w:unhideWhenUsed/>
    <w:uiPriority w:val="0"/>
    <w:rPr>
      <w:sz w:val="21"/>
      <w:szCs w:val="21"/>
    </w:rPr>
  </w:style>
  <w:style w:type="paragraph" w:customStyle="1" w:styleId="14">
    <w:name w:val="5-内文"/>
    <w:basedOn w:val="1"/>
    <w:qFormat/>
    <w:uiPriority w:val="99"/>
    <w:pPr>
      <w:spacing w:beforeLines="25" w:afterLines="25" w:line="300" w:lineRule="auto"/>
      <w:ind w:firstLine="200" w:firstLineChars="200"/>
    </w:pPr>
    <w:rPr>
      <w:kern w:val="0"/>
      <w:szCs w:val="20"/>
    </w:rPr>
  </w:style>
  <w:style w:type="character" w:customStyle="1" w:styleId="15">
    <w:name w:val="页眉 Char"/>
    <w:basedOn w:val="12"/>
    <w:link w:val="6"/>
    <w:uiPriority w:val="0"/>
    <w:rPr>
      <w:rFonts w:ascii="Calibri" w:hAnsi="Calibri"/>
      <w:kern w:val="2"/>
      <w:sz w:val="18"/>
      <w:szCs w:val="18"/>
    </w:rPr>
  </w:style>
  <w:style w:type="character" w:customStyle="1" w:styleId="16">
    <w:name w:val="批注文字 Char"/>
    <w:basedOn w:val="12"/>
    <w:link w:val="2"/>
    <w:semiHidden/>
    <w:qFormat/>
    <w:uiPriority w:val="0"/>
    <w:rPr>
      <w:rFonts w:ascii="Calibri" w:hAnsi="Calibri"/>
      <w:kern w:val="2"/>
      <w:sz w:val="21"/>
      <w:szCs w:val="24"/>
    </w:rPr>
  </w:style>
  <w:style w:type="character" w:customStyle="1" w:styleId="17">
    <w:name w:val="批注主题 Char"/>
    <w:basedOn w:val="16"/>
    <w:link w:val="9"/>
    <w:semiHidden/>
    <w:uiPriority w:val="0"/>
    <w:rPr>
      <w:rFonts w:ascii="Calibri" w:hAnsi="Calibri"/>
      <w:b/>
      <w:bCs/>
      <w:kern w:val="2"/>
      <w:sz w:val="21"/>
      <w:szCs w:val="24"/>
    </w:rPr>
  </w:style>
  <w:style w:type="character" w:customStyle="1" w:styleId="18">
    <w:name w:val="批注框文本 Char"/>
    <w:basedOn w:val="12"/>
    <w:link w:val="4"/>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file:///D:\Documents\Tencent%2525252525252525252520Files\1113260635\Image\C2C\6S7C%252525252525252525257B%252525252525252525257DIUYI$410TFYHOS7%25252525252525252525258.png" TargetMode="External"/><Relationship Id="rId7" Type="http://schemas.openxmlformats.org/officeDocument/2006/relationships/image" Target="media/image2.png"/><Relationship Id="rId6" Type="http://schemas.openxmlformats.org/officeDocument/2006/relationships/image" Target="file:///D:\Documents\Tencent%2525252525252525252520Files\1113260635\Image\C2C\2WC48%252525252525252525255BDBPVH5N3(%252525252525252525257DD77%252525252525252525255B4$E.png" TargetMode="Externa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CA7FFF4-D763-434B-87A6-BC7C38AD167C}">
  <ds:schemaRefs/>
</ds:datastoreItem>
</file>

<file path=docProps/app.xml><?xml version="1.0" encoding="utf-8"?>
<Properties xmlns="http://schemas.openxmlformats.org/officeDocument/2006/extended-properties" xmlns:vt="http://schemas.openxmlformats.org/officeDocument/2006/docPropsVTypes">
  <Template>Normal.dotm</Template>
  <Pages>28</Pages>
  <Words>2264</Words>
  <Characters>12908</Characters>
  <Lines>107</Lines>
  <Paragraphs>30</Paragraphs>
  <TotalTime>4</TotalTime>
  <ScaleCrop>false</ScaleCrop>
  <LinksUpToDate>false</LinksUpToDate>
  <CharactersWithSpaces>15142</CharactersWithSpaces>
  <Application>WPS Office_11.1.0.8527_F1E327BC-269C-435d-A152-05C5408002CA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2019-03-13T01:43:00Z</dcterms:created>
  <dc:creator>王平会</dc:creator>
  <cp:lastModifiedBy>qy</cp:lastModifiedBy>
  <cp:lastPrinted>2019-03-20T07:31:00Z</cp:lastPrinted>
  <dcterms:modified xsi:type="dcterms:W3CDTF">2019-03-23T08:44:41Z</dcterms:modified>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