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黑体" w:hAnsi="黑体" w:eastAsia="黑体" w:cs="黑体"/>
          <w:b/>
          <w:sz w:val="36"/>
          <w:szCs w:val="36"/>
        </w:rPr>
      </w:pPr>
      <w:r>
        <w:rPr>
          <w:rFonts w:hint="eastAsia" w:ascii="黑体" w:hAnsi="黑体" w:eastAsia="黑体" w:cs="黑体"/>
          <w:b/>
          <w:sz w:val="36"/>
          <w:szCs w:val="36"/>
        </w:rPr>
        <w:t>2019年全国职业院校技能大赛</w:t>
      </w:r>
    </w:p>
    <w:p>
      <w:pPr>
        <w:snapToGrid w:val="0"/>
        <w:spacing w:line="540" w:lineRule="exact"/>
        <w:jc w:val="center"/>
        <w:rPr>
          <w:rFonts w:ascii="Arial Narrow" w:hAnsi="Arial Narrow" w:eastAsia="仿宋_GB2312"/>
          <w:sz w:val="30"/>
          <w:szCs w:val="30"/>
        </w:rPr>
      </w:pPr>
      <w:r>
        <w:rPr>
          <w:rFonts w:hint="eastAsia" w:ascii="黑体" w:hAnsi="黑体" w:eastAsia="黑体" w:cs="黑体"/>
          <w:b/>
          <w:sz w:val="36"/>
          <w:szCs w:val="36"/>
        </w:rPr>
        <w:t>赛项规程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一、赛项名称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赛项编号：ZZ-2019002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赛项名称：农机维修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英</w:t>
      </w:r>
      <w:r>
        <w:rPr>
          <w:rFonts w:hint="eastAsia" w:ascii="仿宋_GB2312" w:hAnsi="仿宋_GB2312" w:eastAsia="仿宋_GB2312" w:cs="仿宋_GB2312"/>
          <w:b w:val="0"/>
          <w:bCs/>
          <w:sz w:val="28"/>
          <w:szCs w:val="28"/>
          <w:lang w:val="en-US" w:eastAsia="zh-CN"/>
        </w:rPr>
        <w:t>文</w:t>
      </w:r>
      <w:r>
        <w:rPr>
          <w:rFonts w:hint="eastAsia" w:ascii="仿宋_GB2312" w:hAnsi="仿宋_GB2312" w:eastAsia="仿宋_GB2312" w:cs="仿宋_GB2312"/>
          <w:b w:val="0"/>
          <w:bCs/>
          <w:sz w:val="28"/>
          <w:szCs w:val="28"/>
        </w:rPr>
        <w:t>名称：Agricultural Machinery Repair</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赛项组别：中职组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赛项归属：农林牧渔类</w:t>
      </w:r>
      <w:bookmarkStart w:id="6" w:name="_GoBack"/>
      <w:bookmarkEnd w:id="6"/>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二、竞赛目的</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本项目比赛，检验选手对大型轮式拖拉机悬挂秸秆还田机及履带自走式全喂入联合收割机等设备故障诊断与排除能力，为农业机械使用与维护及相关专业学生提供技能展示平台，提高学生的理论知识水平与实际操作技能水平，同时推动职业学校农机专业教育教学改革，加快工学结合人才培养模式的创新步伐，促进“双师型”师资队伍培养和专业实训基地建设，为我国乡村振兴战略选拔输送技术技能型专业人才提供强有力支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三、竞赛内容</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只进行技能竞赛。竞赛内容分为两个项目，在两个不同的工位上进行竞赛，项目一为大型轮式拖拉机悬挂秸秆还田机综合故障诊断与排除，竞赛时间为70分钟，竞赛成绩占总成绩的64%；项目二为履带自走式全喂入联合收割机综合故障诊断与排除，竞赛时间为40分钟，竞赛成绩占总成绩的36%。</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比赛时联合收割机、拖拉机不允许移动，联合收割机不允许传动。</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（一）项目一大型轮式拖拉机悬挂秸秆还田机综合故障诊断与排除竞赛内容</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1.拖拉机底盘传动系统、行走系统、转向系统、制动系统故障诊断与排除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2.启动前的检查，电路系统的故障诊断与排除；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3.柴油机电控高压共轨系统的检测与故障排除；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4.油机排放污染物烟度值的检测；</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5.拖拉机液压系统测试。</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（二）项目二履带自走式全喂入联合收割机综合故障诊断与排除竞赛内容</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1.底盘部分故障与排除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2.割台部分故障诊断与排除；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3.脱粒清选部分故障诊断与排除；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4.动力传动部分故障诊断与排除。</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四、竞赛方式</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1.本赛项为个人赛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参赛选手须为</w:t>
      </w:r>
      <w:r>
        <w:rPr>
          <w:rFonts w:hint="eastAsia" w:ascii="仿宋_GB2312" w:hAnsi="仿宋_GB2312" w:eastAsia="仿宋_GB2312" w:cs="仿宋_GB2312"/>
          <w:sz w:val="28"/>
          <w:szCs w:val="28"/>
        </w:rPr>
        <w:t>中等职业学校全日制、五年制高职一至三年级（含三年级）农机及相关专业在籍学生。</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2.组队方式：由各省、自治区、直辖市，计划单列市和新疆生产建设兵团组队参赛；每代表队领队1名，同一学校的选手不能超过2名，每名选手限报1名指导教师。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3.赛前领队会上组织抽签，确定两个比赛项目组别号，每个项目比赛前30分钟选手现场抽签，确定工位号。</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4.凡在往届全国职业院校技能大赛中获农机维修赛项一等奖的选手，不再参加本项目的比赛。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5.本赛项不邀请境外代表队参赛。</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五、竞赛流程</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各参赛队的参赛日程及竞赛顺序由赛前抽签决定，竞赛日程安排如表1所示。</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表1 竞赛日程安排</w:t>
      </w:r>
    </w:p>
    <w:tbl>
      <w:tblPr>
        <w:tblStyle w:val="10"/>
        <w:tblpPr w:leftFromText="180" w:rightFromText="180" w:vertAnchor="text" w:horzAnchor="margin" w:tblpY="417"/>
        <w:tblOverlap w:val="never"/>
        <w:tblW w:w="8880" w:type="dxa"/>
        <w:tblInd w:w="0" w:type="dxa"/>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4"/>
        <w:gridCol w:w="1838"/>
        <w:gridCol w:w="6078"/>
      </w:tblGrid>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183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6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工作内容</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exact"/>
        </w:trPr>
        <w:tc>
          <w:tcPr>
            <w:tcW w:w="964" w:type="dxa"/>
            <w:vMerge w:val="restart"/>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第1天</w:t>
            </w: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9:00～12:00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参赛代表队报到</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6"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14:00～16:00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参赛代表队领队会议抽签确定组别号</w:t>
            </w:r>
          </w:p>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参赛代表队熟悉场地</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6"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19：00～19:30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开幕式</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restart"/>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第2天</w:t>
            </w: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8:00～9:00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机器故障设置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8:30～9:00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检录抽签</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9:00～10:10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A组：拖拉机悬挂秸秆还田机综合故障诊断与排除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11:00～12:10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B组：拖拉机悬挂秸秆还田机综合故障诊断与排除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13:00～14:10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C组：拖拉机悬挂秸秆还田机综合故障诊断与排除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14:40～15:50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D组：拖拉机悬挂秸秆还田机综合故障诊断与排除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16:20～17:30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E组：拖拉机悬挂秸秆还田机综合故障诊断与排除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restart"/>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第3天</w:t>
            </w: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8:00～9:00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机器故障设置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8:30～9;00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检录抽签</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9:00～9:40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A组：履带自走式全喂入联合收割机综合故障诊断与排除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10:10～10:50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B组：履带自走式全喂入联合收割机综合故障诊断与排除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11:20～12:00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C组：履带自走式全喂入联合收割机综合故障诊断与排除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12:50-13:30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D组：履带自走式全喂入联合收割机综合故障诊断与排除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9"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14:00-14:40</w:t>
            </w:r>
          </w:p>
        </w:tc>
        <w:tc>
          <w:tcPr>
            <w:tcW w:w="6078" w:type="dxa"/>
            <w:vAlign w:val="center"/>
          </w:tcPr>
          <w:p>
            <w:pPr>
              <w:keepNext w:val="0"/>
              <w:keepLines w:val="0"/>
              <w:pageBreakBefore w:val="0"/>
              <w:widowControl w:val="0"/>
              <w:kinsoku/>
              <w:wordWrap/>
              <w:overflowPunct/>
              <w:topLinePunct w:val="0"/>
              <w:autoSpaceDE/>
              <w:autoSpaceDN/>
              <w:bidi w:val="0"/>
              <w:spacing w:line="240" w:lineRule="auto"/>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E组：履带自走式全喂入联合收割机综合故障诊断与排除</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5" w:hRule="exact"/>
        </w:trPr>
        <w:tc>
          <w:tcPr>
            <w:tcW w:w="964"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p>
        </w:tc>
        <w:tc>
          <w:tcPr>
            <w:tcW w:w="1838"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20:30～21:30</w:t>
            </w:r>
          </w:p>
        </w:tc>
        <w:tc>
          <w:tcPr>
            <w:tcW w:w="6078"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闭幕式</w:t>
            </w:r>
          </w:p>
        </w:tc>
      </w:tr>
    </w:tbl>
    <w:tbl>
      <w:tblPr>
        <w:tblStyle w:val="10"/>
        <w:tblW w:w="8897"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897" w:type="dxa"/>
          </w:tcPr>
          <w:p>
            <w:pPr>
              <w:keepNext w:val="0"/>
              <w:keepLines w:val="0"/>
              <w:pageBreakBefore w:val="0"/>
              <w:widowControl w:val="0"/>
              <w:kinsoku/>
              <w:wordWrap/>
              <w:overflowPunct/>
              <w:topLinePunct w:val="0"/>
              <w:autoSpaceDE/>
              <w:autoSpaceDN/>
              <w:bidi w:val="0"/>
              <w:spacing w:line="240" w:lineRule="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六、竞赛赛卷</w:t>
      </w:r>
    </w:p>
    <w:p>
      <w:pPr>
        <w:keepNext w:val="0"/>
        <w:keepLines w:val="0"/>
        <w:pageBreakBefore w:val="0"/>
        <w:kinsoku/>
        <w:wordWrap/>
        <w:overflowPunct/>
        <w:autoSpaceDE/>
        <w:autoSpaceDN/>
        <w:bidi w:val="0"/>
        <w:spacing w:line="56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农机维修（中职组）样卷</w:t>
      </w:r>
    </w:p>
    <w:p>
      <w:pPr>
        <w:keepNext w:val="0"/>
        <w:keepLines w:val="0"/>
        <w:pageBreakBefore w:val="0"/>
        <w:kinsoku/>
        <w:wordWrap/>
        <w:overflowPunct/>
        <w:autoSpaceDE/>
        <w:autoSpaceDN/>
        <w:bidi w:val="0"/>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（一）样题一 大型轮式拖拉机悬挂秸秆还田机综合故障诊断与排除</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拖拉机的驾驶室地板胶垫、仪表盘下部挡板、风扇侧挡板已拆除，在固定的工位上操作，拖拉机不允许移动。</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竞赛时严禁拆卸燃油供给系统。</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选手在固定的工位上70分钟内独立完成DF-1004拖拉机底盘传动系、制动系的检查调整；电路故障排除；电控高压共轨系统的测试、诊断与排除；液压系统油压测试；柴油机排放污染物烟度值的测试。并填写记录表2至表7。</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1.判断排除拖拉机底盘故障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（1）调整主离合器踏板自由行程，符合技术要求。</w:t>
      </w:r>
    </w:p>
    <w:p>
      <w:pPr>
        <w:keepNext w:val="0"/>
        <w:keepLines w:val="0"/>
        <w:pageBreakBefore w:val="0"/>
        <w:kinsoku/>
        <w:wordWrap/>
        <w:overflowPunct/>
        <w:autoSpaceDE/>
        <w:autoSpaceDN/>
        <w:bidi w:val="0"/>
        <w:adjustRightInd w:val="0"/>
        <w:snapToGrid w:val="0"/>
        <w:spacing w:line="560" w:lineRule="exact"/>
        <w:jc w:val="center"/>
        <w:textAlignment w:val="baseline"/>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表2离合器调整记录表</w:t>
      </w:r>
    </w:p>
    <w:tbl>
      <w:tblPr>
        <w:tblStyle w:val="10"/>
        <w:tblW w:w="7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05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项  目</w:t>
            </w:r>
          </w:p>
        </w:tc>
        <w:tc>
          <w:tcPr>
            <w:tcW w:w="57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主离合器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5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57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踏板自由行程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2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调整参数值（mm）</w:t>
            </w:r>
          </w:p>
        </w:tc>
        <w:tc>
          <w:tcPr>
            <w:tcW w:w="57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（2）调整行车制动器踏板自由行程，符合技术要求，并填写记录表。</w:t>
      </w:r>
    </w:p>
    <w:p>
      <w:pPr>
        <w:keepNext w:val="0"/>
        <w:keepLines w:val="0"/>
        <w:pageBreakBefore w:val="0"/>
        <w:kinsoku/>
        <w:wordWrap/>
        <w:overflowPunct/>
        <w:autoSpaceDE/>
        <w:autoSpaceDN/>
        <w:bidi w:val="0"/>
        <w:adjustRightInd w:val="0"/>
        <w:snapToGrid w:val="0"/>
        <w:spacing w:line="560" w:lineRule="exact"/>
        <w:jc w:val="center"/>
        <w:textAlignment w:val="baseline"/>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表3制动器调整记录表</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1599"/>
        <w:gridCol w:w="2225"/>
        <w:gridCol w:w="1213"/>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20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  目</w:t>
            </w:r>
          </w:p>
        </w:tc>
        <w:tc>
          <w:tcPr>
            <w:tcW w:w="6468" w:type="dxa"/>
            <w:gridSpan w:val="4"/>
            <w:tcBorders>
              <w:bottom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2052"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3824" w:type="dxa"/>
            <w:gridSpan w:val="2"/>
            <w:tcBorders>
              <w:top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制动限位螺钉与制动泵之间间隙</w:t>
            </w:r>
          </w:p>
        </w:tc>
        <w:tc>
          <w:tcPr>
            <w:tcW w:w="2644" w:type="dxa"/>
            <w:gridSpan w:val="2"/>
            <w:tcBorders>
              <w:top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踏板自由行程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2052"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59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左</w:t>
            </w:r>
          </w:p>
        </w:tc>
        <w:tc>
          <w:tcPr>
            <w:tcW w:w="2225"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右</w:t>
            </w:r>
          </w:p>
        </w:tc>
        <w:tc>
          <w:tcPr>
            <w:tcW w:w="12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左</w:t>
            </w:r>
          </w:p>
        </w:tc>
        <w:tc>
          <w:tcPr>
            <w:tcW w:w="143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052"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调整参数值（mm）</w:t>
            </w:r>
          </w:p>
        </w:tc>
        <w:tc>
          <w:tcPr>
            <w:tcW w:w="159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225"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2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3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2.判断排除电路故障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（1）电源电路故障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（2）启动电路故障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（3）照明、仪表、信号及控制电路故障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使用诊断仪对电控高压共轨系统进行测试、诊断，排除故障后发动机应运转正常并填写数据记录表。</w:t>
      </w:r>
    </w:p>
    <w:p>
      <w:pPr>
        <w:keepNext w:val="0"/>
        <w:keepLines w:val="0"/>
        <w:pageBreakBefore w:val="0"/>
        <w:tabs>
          <w:tab w:val="left" w:pos="2373"/>
          <w:tab w:val="center" w:pos="4213"/>
        </w:tabs>
        <w:kinsoku/>
        <w:wordWrap/>
        <w:overflowPunct/>
        <w:autoSpaceDE/>
        <w:autoSpaceDN/>
        <w:bidi w:val="0"/>
        <w:spacing w:line="56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ab/>
      </w:r>
      <w:r>
        <w:rPr>
          <w:rFonts w:hint="eastAsia" w:ascii="仿宋_GB2312" w:hAnsi="仿宋_GB2312" w:eastAsia="仿宋_GB2312" w:cs="仿宋_GB2312"/>
          <w:b/>
          <w:bCs/>
          <w:sz w:val="28"/>
          <w:szCs w:val="28"/>
        </w:rPr>
        <w:t>表4 诊断仪测试数据流记录</w:t>
      </w:r>
    </w:p>
    <w:p>
      <w:pPr>
        <w:keepNext w:val="0"/>
        <w:keepLines w:val="0"/>
        <w:pageBreakBefore w:val="0"/>
        <w:kinsoku/>
        <w:wordWrap/>
        <w:overflowPunct/>
        <w:autoSpaceDE/>
        <w:autoSpaceDN/>
        <w:bidi w:val="0"/>
        <w:spacing w:line="56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测试工况：</w:t>
      </w:r>
      <w:r>
        <w:rPr>
          <w:rFonts w:hint="eastAsia" w:ascii="仿宋_GB2312" w:hAnsi="仿宋_GB2312" w:eastAsia="仿宋_GB2312" w:cs="仿宋_GB2312"/>
          <w:sz w:val="28"/>
          <w:szCs w:val="28"/>
          <w:u w:val="single"/>
        </w:rPr>
        <w:t xml:space="preserve">                  </w:t>
      </w:r>
    </w:p>
    <w:tbl>
      <w:tblPr>
        <w:tblStyle w:val="11"/>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245"/>
        <w:gridCol w:w="1694"/>
        <w:gridCol w:w="179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监控量名称</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监控量值</w:t>
            </w: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监控量单位</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电池电压</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发动机转速</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rpm</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喷油量设定值</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mg/stroke</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当前喷油量</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mg/stroke</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轨压峰值</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hpa</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冷却液温度</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degC</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大气压力</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hpa</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机油温度</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degC</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进气压力</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hpa</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进气温度</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degC</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tabs>
          <w:tab w:val="left" w:pos="2373"/>
          <w:tab w:val="center" w:pos="4213"/>
        </w:tabs>
        <w:kinsoku/>
        <w:wordWrap/>
        <w:overflowPunct/>
        <w:autoSpaceDE/>
        <w:autoSpaceDN/>
        <w:bidi w:val="0"/>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表5 电控高压共轨系统检测数据</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元件名称</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工况</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电阻值(Ω)</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数据流读数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电压值(V)</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数据流读数（℃）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水温传感器</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怠速工况（    ）r/min</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运转工况（    ）r/min</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3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分析结论</w:t>
            </w:r>
          </w:p>
        </w:tc>
        <w:tc>
          <w:tcPr>
            <w:tcW w:w="511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3.使用油压表对液压系统压力进行测试</w:t>
      </w:r>
    </w:p>
    <w:p>
      <w:pPr>
        <w:keepNext w:val="0"/>
        <w:keepLines w:val="0"/>
        <w:pageBreakBefore w:val="0"/>
        <w:tabs>
          <w:tab w:val="left" w:pos="2373"/>
          <w:tab w:val="center" w:pos="4213"/>
        </w:tabs>
        <w:kinsoku/>
        <w:wordWrap/>
        <w:overflowPunct/>
        <w:autoSpaceDE/>
        <w:autoSpaceDN/>
        <w:bidi w:val="0"/>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表6 液压系统压力测试</w:t>
      </w:r>
    </w:p>
    <w:p>
      <w:pPr>
        <w:keepNext w:val="0"/>
        <w:keepLines w:val="0"/>
        <w:pageBreakBefore w:val="0"/>
        <w:kinsoku/>
        <w:wordWrap/>
        <w:overflowPunct/>
        <w:autoSpaceDE/>
        <w:autoSpaceDN/>
        <w:bidi w:val="0"/>
        <w:spacing w:line="56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测试工况：</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431"/>
        <w:gridCol w:w="241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p>
        </w:tc>
        <w:tc>
          <w:tcPr>
            <w:tcW w:w="730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检测值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（MPa）</w:t>
            </w:r>
          </w:p>
        </w:tc>
        <w:tc>
          <w:tcPr>
            <w:tcW w:w="24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测试位置</w:t>
            </w:r>
          </w:p>
        </w:tc>
        <w:tc>
          <w:tcPr>
            <w:tcW w:w="24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4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pStyle w:val="3"/>
        <w:keepNext w:val="0"/>
        <w:keepLines w:val="0"/>
        <w:pageBreakBefore w:val="0"/>
        <w:kinsoku/>
        <w:wordWrap/>
        <w:overflowPunct/>
        <w:autoSpaceDE/>
        <w:autoSpaceDN/>
        <w:bidi w:val="0"/>
        <w:snapToGrid w:val="0"/>
        <w:spacing w:line="560" w:lineRule="exact"/>
        <w:jc w:val="left"/>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4.使用烟度计测试柴油机排放污染物烟度限值。</w:t>
      </w:r>
    </w:p>
    <w:p>
      <w:pPr>
        <w:keepNext w:val="0"/>
        <w:keepLines w:val="0"/>
        <w:pageBreakBefore w:val="0"/>
        <w:tabs>
          <w:tab w:val="left" w:pos="2373"/>
          <w:tab w:val="center" w:pos="4213"/>
        </w:tabs>
        <w:kinsoku/>
        <w:wordWrap/>
        <w:overflowPunct/>
        <w:autoSpaceDE/>
        <w:autoSpaceDN/>
        <w:bidi w:val="0"/>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表7柴油机排气烟度限值测试记录表</w:t>
      </w:r>
    </w:p>
    <w:p>
      <w:pPr>
        <w:keepNext w:val="0"/>
        <w:keepLines w:val="0"/>
        <w:pageBreakBefore w:val="0"/>
        <w:tabs>
          <w:tab w:val="left" w:pos="2373"/>
          <w:tab w:val="center" w:pos="4213"/>
        </w:tabs>
        <w:kinsoku/>
        <w:wordWrap/>
        <w:overflowPunct/>
        <w:autoSpaceDE/>
        <w:autoSpaceDN/>
        <w:bidi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测试方法_____________________   烟度计型号________________________</w:t>
      </w:r>
    </w:p>
    <w:tbl>
      <w:tblPr>
        <w:tblStyle w:val="10"/>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60"/>
        <w:gridCol w:w="1059"/>
        <w:gridCol w:w="1060"/>
        <w:gridCol w:w="1060"/>
        <w:gridCol w:w="1060"/>
        <w:gridCol w:w="106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 型</w:t>
            </w:r>
          </w:p>
        </w:tc>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发动机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型号</w:t>
            </w:r>
          </w:p>
        </w:tc>
        <w:tc>
          <w:tcPr>
            <w:tcW w:w="10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起始转速（    ）rpm</w:t>
            </w:r>
          </w:p>
        </w:tc>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终止转速（    ）rpm</w:t>
            </w:r>
          </w:p>
        </w:tc>
        <w:tc>
          <w:tcPr>
            <w:tcW w:w="318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烟度Rb</w:t>
            </w:r>
          </w:p>
        </w:tc>
        <w:tc>
          <w:tcPr>
            <w:tcW w:w="10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平均值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06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0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测试值</w:t>
            </w: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0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 论</w:t>
            </w:r>
          </w:p>
        </w:tc>
        <w:tc>
          <w:tcPr>
            <w:tcW w:w="7420"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（二）样题二 履带自走式全喂入联合收割机综合故障诊断与排除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DH 4LZ-4.0Z全喂入联合收割机的粮仓箱螺丝、脱粒箱上盖螺丝、割台安全防护罩、清选室 左侧挡板已拆除。要求选手在固定的工位上操作，收割机不允许移动、不允许传动、允许升降割台、允许升降拨禾轮。</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竞赛选手在固定的工位上40分钟内独立完成以下内容，并填写记录表8至表11。</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1.底盘部分的检查与调整</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调整制动踏板的自由行程为20mm，并填写记录表。</w:t>
      </w:r>
    </w:p>
    <w:p>
      <w:pPr>
        <w:keepNext w:val="0"/>
        <w:keepLines w:val="0"/>
        <w:pageBreakBefore w:val="0"/>
        <w:kinsoku/>
        <w:wordWrap/>
        <w:overflowPunct/>
        <w:autoSpaceDE/>
        <w:autoSpaceDN/>
        <w:bidi w:val="0"/>
        <w:spacing w:line="560" w:lineRule="exact"/>
        <w:ind w:firstLine="422" w:firstLineChars="15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表8收割机制动踏板自由行程检查调整记录表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  目</w:t>
            </w: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调整前</w:t>
            </w: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检查参数值（    ）</w:t>
            </w: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2.割台部分故障诊断与排除</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（1）检查各护刃器尖端直线度；</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（2）检查调整割刀行程（整列对中调整）符合技术要求；</w:t>
      </w:r>
    </w:p>
    <w:p>
      <w:pPr>
        <w:keepNext w:val="0"/>
        <w:keepLines w:val="0"/>
        <w:pageBreakBefore w:val="0"/>
        <w:kinsoku/>
        <w:wordWrap/>
        <w:overflowPunct/>
        <w:autoSpaceDE/>
        <w:autoSpaceDN/>
        <w:bidi w:val="0"/>
        <w:spacing w:line="56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（3）检查割刀间隙和压刃器间隙（指定的左、中、右三处）；</w:t>
      </w:r>
    </w:p>
    <w:p>
      <w:pPr>
        <w:keepNext w:val="0"/>
        <w:keepLines w:val="0"/>
        <w:pageBreakBefore w:val="0"/>
        <w:kinsoku/>
        <w:wordWrap/>
        <w:overflowPunct/>
        <w:autoSpaceDE/>
        <w:autoSpaceDN/>
        <w:bidi w:val="0"/>
        <w:spacing w:line="56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完成任务后填写记录表。</w:t>
      </w:r>
    </w:p>
    <w:p>
      <w:pPr>
        <w:keepNext w:val="0"/>
        <w:keepLines w:val="0"/>
        <w:pageBreakBefore w:val="0"/>
        <w:kinsoku/>
        <w:wordWrap/>
        <w:overflowPunct/>
        <w:autoSpaceDE/>
        <w:autoSpaceDN/>
        <w:bidi w:val="0"/>
        <w:spacing w:line="560" w:lineRule="exact"/>
        <w:ind w:firstLine="422" w:firstLineChars="15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表9护刃器尖端直线度、割刀及压刃器间隙检查记录表</w:t>
      </w:r>
    </w:p>
    <w:tbl>
      <w:tblPr>
        <w:tblStyle w:val="10"/>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413"/>
        <w:gridCol w:w="1413"/>
        <w:gridCol w:w="1413"/>
        <w:gridCol w:w="1413"/>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413"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  目</w:t>
            </w:r>
          </w:p>
        </w:tc>
        <w:tc>
          <w:tcPr>
            <w:tcW w:w="423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割刀间隙</w:t>
            </w:r>
          </w:p>
        </w:tc>
        <w:tc>
          <w:tcPr>
            <w:tcW w:w="14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压刃器与动刀片间隙</w:t>
            </w:r>
          </w:p>
        </w:tc>
        <w:tc>
          <w:tcPr>
            <w:tcW w:w="14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各护刃器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尖端直线</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偏差值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413" w:type="dxa"/>
            <w:gridSpan w:val="2"/>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826"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413" w:type="dxa"/>
            <w:gridSpan w:val="2"/>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0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检查参数值（mm）</w:t>
            </w:r>
          </w:p>
        </w:tc>
        <w:tc>
          <w:tcPr>
            <w:tcW w:w="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00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00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3"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14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  论</w:t>
            </w:r>
          </w:p>
        </w:tc>
        <w:tc>
          <w:tcPr>
            <w:tcW w:w="4239" w:type="dxa"/>
            <w:gridSpan w:val="3"/>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414"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（4）割台喂入搅龙叶片与割台底板间隙调整至12mm</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（5）割台伸缩杆与割台底板间隙调整至10～15mm</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（6）检查调整拨禾轮，符合正常情况下收割直立作物的技术要求。</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3.脱粒清选部分故障诊断与排除</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检查脱粒滚筒脱粒齿与凹板筛前、后、左、右四处间隙，并填写记录表。</w:t>
      </w:r>
    </w:p>
    <w:p>
      <w:pPr>
        <w:keepNext w:val="0"/>
        <w:keepLines w:val="0"/>
        <w:pageBreakBefore w:val="0"/>
        <w:kinsoku/>
        <w:wordWrap/>
        <w:overflowPunct/>
        <w:autoSpaceDE/>
        <w:autoSpaceDN/>
        <w:bidi w:val="0"/>
        <w:spacing w:line="560" w:lineRule="exact"/>
        <w:ind w:firstLine="422" w:firstLineChars="15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表10 脱粒滚筒间隙检查记录表</w:t>
      </w:r>
    </w:p>
    <w:p>
      <w:pPr>
        <w:keepNext w:val="0"/>
        <w:keepLines w:val="0"/>
        <w:pageBreakBefore w:val="0"/>
        <w:kinsoku/>
        <w:wordWrap/>
        <w:overflowPunct/>
        <w:autoSpaceDE/>
        <w:autoSpaceDN/>
        <w:bidi w:val="0"/>
        <w:spacing w:line="56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标准参数值（mm）：</w:t>
      </w:r>
      <w:r>
        <w:rPr>
          <w:rFonts w:hint="eastAsia" w:ascii="仿宋_GB2312" w:hAnsi="仿宋_GB2312" w:eastAsia="仿宋_GB2312" w:cs="仿宋_GB2312"/>
          <w:sz w:val="28"/>
          <w:szCs w:val="28"/>
          <w:u w:val="single"/>
        </w:rPr>
        <w:t xml:space="preserve">                        </w:t>
      </w:r>
    </w:p>
    <w:tbl>
      <w:tblPr>
        <w:tblStyle w:val="1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699"/>
        <w:gridCol w:w="170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7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  目</w:t>
            </w:r>
          </w:p>
        </w:tc>
        <w:tc>
          <w:tcPr>
            <w:tcW w:w="680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脱粒滚筒间隙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7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339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前  端</w:t>
            </w:r>
          </w:p>
        </w:tc>
        <w:tc>
          <w:tcPr>
            <w:tcW w:w="34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  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7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6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检查参数值（mm）</w:t>
            </w: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6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  论</w:t>
            </w:r>
          </w:p>
        </w:tc>
        <w:tc>
          <w:tcPr>
            <w:tcW w:w="680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4.动力传动部分故障诊断与排除</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更换收割驱动（割台输入）皮带，并填写记录表。</w:t>
      </w:r>
    </w:p>
    <w:p>
      <w:pPr>
        <w:keepNext w:val="0"/>
        <w:keepLines w:val="0"/>
        <w:pageBreakBefore w:val="0"/>
        <w:kinsoku/>
        <w:wordWrap/>
        <w:overflowPunct/>
        <w:autoSpaceDE/>
        <w:autoSpaceDN/>
        <w:bidi w:val="0"/>
        <w:spacing w:line="560" w:lineRule="exact"/>
        <w:ind w:firstLine="422" w:firstLineChars="150"/>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表11传动皮带张紧度调整记录表</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283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皮带名称</w:t>
            </w: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检查部位</w:t>
            </w:r>
          </w:p>
        </w:tc>
        <w:tc>
          <w:tcPr>
            <w:tcW w:w="284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挠度（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3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84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83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84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84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七、竞赛规则</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1.参赛选手必须为中等职业学校、五年制高职一至三年级（含三年级）全日制农机及相关专业在籍学生（参赛选手年龄不超过21周岁），年龄计算时间截止2019年5月1日。凡在往届全国职业院校技能大赛农机维修赛项获一等奖的选手，不能再参</w:t>
      </w:r>
      <w:r>
        <w:rPr>
          <w:rFonts w:hint="eastAsia" w:ascii="仿宋_GB2312" w:hAnsi="仿宋_GB2312" w:eastAsia="仿宋_GB2312" w:cs="仿宋_GB2312"/>
          <w:bCs/>
          <w:color w:val="000000" w:themeColor="text1"/>
          <w:sz w:val="28"/>
          <w:szCs w:val="28"/>
        </w:rPr>
        <w:t>加同一项目同一组别的</w:t>
      </w:r>
      <w:r>
        <w:rPr>
          <w:rFonts w:hint="eastAsia" w:ascii="仿宋_GB2312" w:hAnsi="仿宋_GB2312" w:eastAsia="仿宋_GB2312" w:cs="仿宋_GB2312"/>
          <w:bCs/>
          <w:sz w:val="28"/>
          <w:szCs w:val="28"/>
        </w:rPr>
        <w:t>赛项。</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参赛选手和指导教师报名获得确认后不得随意更换。如比赛前参赛选手和指导教师因故无法参赛，须由省级教育行政部门于本赛项开赛10个工作日之前出具书面说明，经大赛执委会办公室核实后予以更换。竞赛开始后，参赛队不得更换参赛队员。</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3.比赛前一天安排参赛队熟悉比赛场地，召开领队会议，抽签确定各参赛队的组别。参赛选手出场顺序、位置、比赛所用器材等均由抽签决定，不得擅自变更、调整。</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4.参赛选手提前30分钟检录进入赛场，按照抽签的工位号参加比赛，竞赛开始后迟到15分钟以上者取消比赛资格；开赛30分钟后，选手方可离开赛场。</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5.参赛选手进入赛场必须听从现场裁判人员的统一布置和安排，比赛期间必须严格遵守安全操作规程，确保人身和设备安全。</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6.赛场提供竞赛指定的专用材料与工具，参赛选手不可自带工具。参赛选手应认真阅读竞赛须知，自觉遵守赛场纪律，按竞赛规则、项目与赛场要求进行竞赛，不得携带任何通讯及存储设备、纸质材料等物品进入赛场，赛场内提供必需用品。</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7.任何人不得以任何方式公开参赛队及个人信息。</w:t>
      </w:r>
    </w:p>
    <w:p>
      <w:pPr>
        <w:keepNext w:val="0"/>
        <w:keepLines w:val="0"/>
        <w:pageBreakBefore w:val="0"/>
        <w:kinsoku/>
        <w:wordWrap/>
        <w:overflowPunct/>
        <w:autoSpaceDE/>
        <w:autoSpaceDN/>
        <w:bidi w:val="0"/>
        <w:spacing w:line="56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8.竞赛过程中如因材料、设备等原因发生故障，应由项目裁判长进行评判；若因选手个人原因造成设备故障而无法继续比赛，裁判长</w:t>
      </w:r>
      <w:r>
        <w:rPr>
          <w:rFonts w:hint="eastAsia" w:ascii="仿宋_GB2312" w:hAnsi="仿宋_GB2312" w:eastAsia="仿宋_GB2312" w:cs="仿宋_GB2312"/>
          <w:sz w:val="28"/>
          <w:szCs w:val="28"/>
        </w:rPr>
        <w:t>有权决定终止该选手或该队比赛，若非选手原因造成设备故障的，由裁判长视具体情况做出裁决，如果裁判长确定为设备故障问题，将给参赛选手补足技术支持人员排除设备故障所耽误的竞赛时间。</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9.比赛结束前10分钟，裁判长提醒一次考生比赛时间，当裁判长宣布比赛结束后，参赛选手必须马上停止一切操作，按要求位置站立等候撤离比赛指令。</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10.参赛选手若提前结束比赛，应由选手向裁判员举手示意，比赛终止时间由裁判员记录，选手结束比赛后不得再进行任何操作，并按要求撤离比赛现场。</w:t>
      </w:r>
    </w:p>
    <w:p>
      <w:pPr>
        <w:keepNext w:val="0"/>
        <w:keepLines w:val="0"/>
        <w:pageBreakBefore w:val="0"/>
        <w:kinsoku/>
        <w:wordWrap/>
        <w:overflowPunct/>
        <w:autoSpaceDE/>
        <w:autoSpaceDN/>
        <w:bidi w:val="0"/>
        <w:adjustRightInd w:val="0"/>
        <w:snapToGrid w:val="0"/>
        <w:spacing w:line="56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11.大赛在赛项执委会领导下，裁判组严格按照评分标准负责赛项成绩评定，确保比赛成绩准确无误。竞赛成绩由裁判长、仲裁组长、监督组长审核签字后方可宣布。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八、竞赛环境</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竞赛</w:t>
      </w:r>
      <w:r>
        <w:rPr>
          <w:rFonts w:hint="eastAsia" w:ascii="仿宋_GB2312" w:hAnsi="仿宋_GB2312" w:eastAsia="仿宋_GB2312" w:cs="仿宋_GB2312"/>
          <w:bCs/>
          <w:sz w:val="28"/>
          <w:szCs w:val="28"/>
        </w:rPr>
        <w:t>场地</w:t>
      </w:r>
      <w:r>
        <w:rPr>
          <w:rFonts w:hint="eastAsia" w:ascii="仿宋_GB2312" w:hAnsi="仿宋_GB2312" w:eastAsia="仿宋_GB2312" w:cs="仿宋_GB2312"/>
          <w:bCs/>
          <w:kern w:val="28"/>
          <w:sz w:val="28"/>
          <w:szCs w:val="28"/>
        </w:rPr>
        <w:t>在承办院校合格场地进行。两个项目在不同场地上进行，其竞赛</w:t>
      </w:r>
      <w:r>
        <w:rPr>
          <w:rFonts w:hint="eastAsia" w:ascii="仿宋_GB2312" w:hAnsi="仿宋_GB2312" w:eastAsia="仿宋_GB2312" w:cs="仿宋_GB2312"/>
          <w:bCs/>
          <w:sz w:val="28"/>
          <w:szCs w:val="28"/>
        </w:rPr>
        <w:t>场地面积</w:t>
      </w:r>
      <w:r>
        <w:rPr>
          <w:rFonts w:hint="eastAsia" w:ascii="仿宋_GB2312" w:hAnsi="仿宋_GB2312" w:eastAsia="仿宋_GB2312" w:cs="仿宋_GB2312"/>
          <w:bCs/>
          <w:kern w:val="28"/>
          <w:sz w:val="28"/>
          <w:szCs w:val="28"/>
        </w:rPr>
        <w:t>和比赛工位设置如下，具体见表12。</w:t>
      </w:r>
    </w:p>
    <w:p>
      <w:pPr>
        <w:keepNext w:val="0"/>
        <w:keepLines w:val="0"/>
        <w:pageBreakBefore w:val="0"/>
        <w:kinsoku/>
        <w:wordWrap/>
        <w:overflowPunct/>
        <w:autoSpaceDE/>
        <w:autoSpaceDN/>
        <w:bidi w:val="0"/>
        <w:spacing w:line="560" w:lineRule="exact"/>
        <w:jc w:val="center"/>
        <w:textAlignment w:val="baseline"/>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表12  项目占地面积及工位数</w:t>
      </w:r>
    </w:p>
    <w:tbl>
      <w:tblPr>
        <w:tblStyle w:val="10"/>
        <w:tblpPr w:leftFromText="180" w:rightFromText="180" w:vertAnchor="text" w:horzAnchor="margin" w:tblpXSpec="center" w:tblpY="68"/>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6"/>
        <w:gridCol w:w="2385"/>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5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竞赛场地面积（㎡）</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比赛工位（个）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5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拖拉机悬挂秸秆还田机综合故障诊断与排除</w:t>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700</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5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履带自走式全喂入联合收割机综合故障诊断与排除</w:t>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700</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共14个比赛工位，包含1个备用工位。每个工位占地面积50㎡，设有尾气抽排通风装置，提供稳定的电、气源，场地采光、照明和通风良好。</w:t>
      </w:r>
      <w:bookmarkStart w:id="0" w:name="_Hlk3917138"/>
      <w:r>
        <w:rPr>
          <w:rFonts w:hint="eastAsia" w:ascii="仿宋_GB2312" w:hAnsi="仿宋_GB2312" w:eastAsia="仿宋_GB2312" w:cs="仿宋_GB2312"/>
          <w:bCs/>
          <w:kern w:val="28"/>
          <w:sz w:val="28"/>
          <w:szCs w:val="28"/>
        </w:rPr>
        <w:t>竞赛工位平面布局图</w:t>
      </w:r>
      <w:bookmarkEnd w:id="0"/>
      <w:r>
        <w:rPr>
          <w:rFonts w:hint="eastAsia" w:ascii="仿宋_GB2312" w:hAnsi="仿宋_GB2312" w:eastAsia="仿宋_GB2312" w:cs="仿宋_GB2312"/>
          <w:bCs/>
          <w:kern w:val="28"/>
          <w:sz w:val="28"/>
          <w:szCs w:val="28"/>
        </w:rPr>
        <w:t>如下。</w:t>
      </w:r>
    </w:p>
    <w:p>
      <w:pPr>
        <w:keepNext w:val="0"/>
        <w:keepLines w:val="0"/>
        <w:pageBreakBefore w:val="0"/>
        <w:kinsoku/>
        <w:wordWrap/>
        <w:overflowPunct/>
        <w:autoSpaceDE/>
        <w:autoSpaceDN/>
        <w:bidi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119380</wp:posOffset>
            </wp:positionV>
            <wp:extent cx="2449830" cy="2569845"/>
            <wp:effectExtent l="0" t="0" r="1270" b="825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r:link="rId6" cstate="print"/>
                    <a:stretch>
                      <a:fillRect/>
                    </a:stretch>
                  </pic:blipFill>
                  <pic:spPr>
                    <a:xfrm>
                      <a:off x="0" y="0"/>
                      <a:ext cx="2449830" cy="2569845"/>
                    </a:xfrm>
                    <a:prstGeom prst="rect">
                      <a:avLst/>
                    </a:prstGeom>
                    <a:noFill/>
                    <a:ln w="9525">
                      <a:noFill/>
                    </a:ln>
                  </pic:spPr>
                </pic:pic>
              </a:graphicData>
            </a:graphic>
          </wp:anchor>
        </w:drawing>
      </w:r>
      <w:r>
        <w:rPr>
          <w:rFonts w:hint="eastAsia" w:ascii="仿宋_GB2312" w:hAnsi="仿宋_GB2312" w:eastAsia="仿宋_GB2312" w:cs="仿宋_GB2312"/>
          <w:sz w:val="28"/>
          <w:szCs w:val="28"/>
        </w:rPr>
        <w:drawing>
          <wp:anchor distT="0" distB="0" distL="114300" distR="114300" simplePos="0" relativeHeight="251658240" behindDoc="0" locked="0" layoutInCell="1" allowOverlap="1">
            <wp:simplePos x="0" y="0"/>
            <wp:positionH relativeFrom="column">
              <wp:posOffset>146050</wp:posOffset>
            </wp:positionH>
            <wp:positionV relativeFrom="paragraph">
              <wp:posOffset>138430</wp:posOffset>
            </wp:positionV>
            <wp:extent cx="2500630" cy="2617470"/>
            <wp:effectExtent l="0" t="0" r="1270" b="1143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r:link="rId8" cstate="print"/>
                    <a:stretch>
                      <a:fillRect/>
                    </a:stretch>
                  </pic:blipFill>
                  <pic:spPr>
                    <a:xfrm>
                      <a:off x="0" y="0"/>
                      <a:ext cx="2500630" cy="2617470"/>
                    </a:xfrm>
                    <a:prstGeom prst="rect">
                      <a:avLst/>
                    </a:prstGeom>
                    <a:noFill/>
                    <a:ln w="9525">
                      <a:noFill/>
                    </a:ln>
                  </pic:spPr>
                </pic:pic>
              </a:graphicData>
            </a:graphic>
          </wp:anchor>
        </w:drawing>
      </w: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p>
    <w:p>
      <w:pPr>
        <w:keepNext w:val="0"/>
        <w:keepLines w:val="0"/>
        <w:pageBreakBefore w:val="0"/>
        <w:kinsoku/>
        <w:wordWrap/>
        <w:overflowPunct/>
        <w:autoSpaceDE/>
        <w:autoSpaceDN/>
        <w:bidi w:val="0"/>
        <w:snapToGrid w:val="0"/>
        <w:spacing w:line="560" w:lineRule="exact"/>
        <w:jc w:val="both"/>
        <w:rPr>
          <w:rFonts w:hint="eastAsia" w:ascii="仿宋_GB2312" w:hAnsi="仿宋_GB2312" w:eastAsia="仿宋_GB2312" w:cs="仿宋_GB2312"/>
          <w:bCs/>
          <w:kern w:val="28"/>
          <w:sz w:val="28"/>
          <w:szCs w:val="28"/>
        </w:rPr>
      </w:pPr>
    </w:p>
    <w:p>
      <w:pPr>
        <w:keepNext w:val="0"/>
        <w:keepLines w:val="0"/>
        <w:pageBreakBefore w:val="0"/>
        <w:kinsoku/>
        <w:wordWrap/>
        <w:overflowPunct/>
        <w:autoSpaceDE/>
        <w:autoSpaceDN/>
        <w:bidi w:val="0"/>
        <w:snapToGrid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kern w:val="28"/>
          <w:sz w:val="28"/>
          <w:szCs w:val="28"/>
        </w:rPr>
        <w:t>竞赛工位平面布局图</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赛场内安排有裁判工作区、休息区、仲裁室、专家室、医疗室、选手封闭室、卫生间等区域；裁判工作区、仲裁室、选手封闭区刚性隔离，配备志愿者，严禁外人进入；现场配备音响设备、计时器，准确把控竞赛时间；赛场准备机要室，严禁外人进入，钥匙由裁判长和监督组长分别掌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九、技术规范</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（一）相关知识与技能</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工具的选用与正确使用；量具的选用与正确使用；钳工装配知识、维修设备（液压检测、尾气检测、故障诊断仪等）的使用方法。</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掌握拖拉机底盘离合器的检查与调整方法、拖拉机底盘制动系的检查与调整方法、液压系统压力的检测方法；掌握起动前准备及安全注意事项；判断排除电源、起动、照明、仪表及信号电路故障；判断排除发动机电控高压共轨系统的故障诊断、掌握柴油机排放烟度值的检测方法。</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掌握联合收割机底盘部分（行走系统、转向系统、制动系统）故障诊断与排除、割台部分检查与调整、掌握脱粒、清选装置的检查与调整、掌握动力传动系统的检查与调整方法。</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（二）技术</w:t>
      </w:r>
      <w:r>
        <w:rPr>
          <w:rFonts w:hint="eastAsia" w:ascii="仿宋_GB2312" w:hAnsi="仿宋_GB2312" w:eastAsia="仿宋_GB2312" w:cs="仿宋_GB2312"/>
          <w:bCs/>
          <w:kern w:val="28"/>
          <w:sz w:val="28"/>
          <w:szCs w:val="28"/>
        </w:rPr>
        <w:t>标准</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1.农机修理工职业标准（职业编码6-06-01-01）</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2.普通和窄V</w:t>
      </w:r>
      <w:r>
        <w:rPr>
          <w:rFonts w:hint="eastAsia" w:ascii="仿宋_GB2312" w:hAnsi="仿宋_GB2312" w:eastAsia="仿宋_GB2312" w:cs="仿宋_GB2312"/>
          <w:bCs/>
          <w:kern w:val="28"/>
          <w:sz w:val="28"/>
          <w:szCs w:val="28"/>
        </w:rPr>
        <w:t>带传动</w:t>
      </w:r>
      <w:r>
        <w:rPr>
          <w:rFonts w:hint="eastAsia" w:ascii="仿宋_GB2312" w:hAnsi="仿宋_GB2312" w:eastAsia="仿宋_GB2312" w:cs="仿宋_GB2312"/>
          <w:sz w:val="28"/>
          <w:szCs w:val="28"/>
        </w:rPr>
        <w:t xml:space="preserve"> 第1部分：基准宽度制GB/T  13575.1-2008</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3.机械安全 机械电气设备 第1部分 通用技术条件 GB5226.1-2008</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十、技术平台</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竞赛用拖拉机及配套农具和联合收割机由常州东风农机集团有限公司提供。拖拉机选用常州东风1004型方向盘轮式拖拉机(发动机采用潍柴电控高压共轨柴油机，型号：WP4.1G100E301)，配套农具选用常州东正1JH-200型秸秆粉碎还田机；联合收割机选用常州东华4LZ-4.0Z纵轴流多功能全喂入联合收割机，常州东风农机集团有限公司对该型号液压系统的分配器进行更换，由分体式改为整体式，将三个支路控制阀集中成一路控制阀。</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2.比赛用工具由力易得格林利（上海）有限公司提供。</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拖拉机比赛工位需配备柴油机故障诊断仪一套和烟度计一台。柴油机故障诊断仪选用潍柴智多星Ⅱ（智多星3.2版本）及数据线，配备电脑一台。烟度计选用山东科大微机应用研究所有限公司研制的FD-2型滤纸式烟度计。</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4.拖拉机比赛工位需配备启动电机、发电机（与东风1004拖拉机相配套）各一台。</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竞赛每工位所需的设备、器具、材料见表13。</w:t>
      </w:r>
    </w:p>
    <w:p>
      <w:pPr>
        <w:keepNext w:val="0"/>
        <w:keepLines w:val="0"/>
        <w:pageBreakBefore w:val="0"/>
        <w:kinsoku/>
        <w:wordWrap/>
        <w:overflowPunct/>
        <w:autoSpaceDE/>
        <w:autoSpaceDN/>
        <w:bidi w:val="0"/>
        <w:spacing w:after="156" w:afterLines="50" w:line="560" w:lineRule="exact"/>
        <w:jc w:val="center"/>
        <w:textAlignment w:val="baseline"/>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表13 竞赛设备、器具、材料</w:t>
      </w:r>
    </w:p>
    <w:tbl>
      <w:tblPr>
        <w:tblStyle w:val="10"/>
        <w:tblW w:w="87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486"/>
        <w:gridCol w:w="2395"/>
        <w:gridCol w:w="850"/>
        <w:gridCol w:w="851"/>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jc w:val="center"/>
        </w:trPr>
        <w:tc>
          <w:tcPr>
            <w:tcW w:w="8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8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设备、器具、材料</w:t>
            </w:r>
          </w:p>
        </w:tc>
        <w:tc>
          <w:tcPr>
            <w:tcW w:w="239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规格、型号</w:t>
            </w:r>
          </w:p>
        </w:tc>
        <w:tc>
          <w:tcPr>
            <w:tcW w:w="85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851" w:type="dxa"/>
            <w:tcBorders>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66" w:type="dxa"/>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大型轮式拖拉机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东风1004型</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秸秆粉碎还田机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东正1JH-200</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纵轴流多功能全喂入联合收割机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东华4LZ-4.0Z</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柴油机故障诊断仪</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智多星Ⅱ、电脑</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套</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烟度计</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FD-2</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液压系检测设备</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25Mpa压力表、三通接头、高压油管</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套</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不锈钢游标卡尺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0～200mm，力易得E0512</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工具车</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力易得E8150</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综合工具组套</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120+2件，力易得E1208</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套</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圆头锤</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力易得E7234</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扭力扳手</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力易得E0977</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数显万用表</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力易得E9241</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指针式万用表</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力易得E9237</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启动电机跨接线</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电源测试线</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线径2.5mm2多股线，长度1m,两边带夹子</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测试线 </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线径1mm2，长度1m ，两边带夹子</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T型线</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带公、母插头，鲤鱼夹</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试灯笔</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力易得E6756</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LED强光铝合金手电筒</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力易得E9327</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维修躺板</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力易得E9763</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活动扳手</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10"，力易得E2023</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活动扳手</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18"，力易得E2026</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扁錾、冲子、铁砧</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套</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铆钉</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6mm*15mm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若干</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橡胶锤</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力易得E7234</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手提工具箱</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力易得E8135</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三角木</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长*宽*高：(260-300mm)*(10-160mm)*180-200mm)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油压千斤顶（配若干垫木、垫块）</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5吨</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1套</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铅锤</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248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钢直尺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150cm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300cm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248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L型水平直角尺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长300mm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长600mm，配150mm游标卡尺</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卷尺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力易得E8034</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248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一字起</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力易得E6251 PH3x75mm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力易得E6256 PH5x75mm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十字起</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力易得E6276 PH1x75mm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双色柄美式尖嘴钳</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6"，力易得E5121A</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双色柄美式斜嘴钳</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5"，力易得E5222A</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双色柄美式钢丝钳</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6"，力易得E5321A</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鲤鱼钳</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6"，力易得E5421</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剥线钳</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6"，力易得E5803</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w:t>
            </w:r>
          </w:p>
        </w:tc>
        <w:tc>
          <w:tcPr>
            <w:tcW w:w="248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全抛光铬钒钢两用扳手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力易得E2615，15mm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力易得E2621，21mm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力易得E2622，22mm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47</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力易得E2624，24mm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w:t>
            </w:r>
          </w:p>
        </w:tc>
        <w:tc>
          <w:tcPr>
            <w:tcW w:w="2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力易得E2627，27mm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49</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塞尺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力易得E9732</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塑料塞尺</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普罗达可森15026，长度100mm，小头宽6mm，大头宽12mm;13片,其中：0.25mm，2片；0.5mm，3片，1.0mm，4片；2mm，4片； </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撬棒</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力易得E9824</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铜棒</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安全帽</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顶</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54</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防护眼镜</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线团</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线粗约0.5mm，长度大于5m</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轮胎气压表</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生胶带</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匝</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58</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剪刀</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851" w:type="dxa"/>
            <w:tcBorders>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59</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笔（石笔、铅笔、记号笔、签字笔、粉笔）</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若干</w:t>
            </w:r>
          </w:p>
        </w:tc>
        <w:tc>
          <w:tcPr>
            <w:tcW w:w="126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24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计算器</w:t>
            </w:r>
          </w:p>
        </w:tc>
        <w:tc>
          <w:tcPr>
            <w:tcW w:w="23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85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851"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十一、成绩评定</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（一）评分</w:t>
      </w:r>
      <w:r>
        <w:rPr>
          <w:rFonts w:hint="eastAsia" w:ascii="仿宋_GB2312" w:hAnsi="仿宋_GB2312" w:eastAsia="仿宋_GB2312" w:cs="仿宋_GB2312"/>
          <w:bCs/>
          <w:sz w:val="28"/>
          <w:szCs w:val="28"/>
        </w:rPr>
        <w:t>标准</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1.评分原则及实施</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（1）采用过程评价与结果评价相结合的评价方式。</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（2）认真调试各考核工位车辆、仪器设备，保证考核条件一致。</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裁判队伍考前封闭竞赛预演培训，借用视频、图片等载体掌握操作过程的评判标准，借用诊断报告样品掌握诊断报告的评判标准，并对裁判的判罚进行分析对比，对不合理的判罚进行纠正，以保证裁判标准一致。</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（4）技能竞赛时，每个工位设2名工位裁判，具体进行评分工作，独立打分。每3个工位设1名现场裁判，监督工位裁判的评判工作，确保赛事能公平公正进行。</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2.评分细则  </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（1）“大型轮式拖拉机悬挂秸秆还田机综合故障诊断与排除”评分细则具体见表14。</w:t>
      </w:r>
    </w:p>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表14 大型轮式拖拉机悬挂秸秆还田机综合故障诊断与排除</w:t>
      </w:r>
    </w:p>
    <w:tbl>
      <w:tblPr>
        <w:tblStyle w:val="10"/>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740"/>
        <w:gridCol w:w="2760"/>
        <w:gridCol w:w="705"/>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考核要点</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要点分</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准备工作</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操作前准备，包括清洁、检查和备齐所需工量具等</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1.未检查扣2分,检查漏一项扣0.5分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2.未清洁扣2分,清洁漏一项扣0.5分,扣完为止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判断、排除底盘故障</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1判断排除传动系故障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375"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1.工具、量具选用错误每次扣0.5分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2.工具、量具使用错误每次扣0.5分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3.故障判断不准确每项扣2分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4.测试部位不正确每处扣2分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5.测试方法不正确扣2分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6.调整结果有误每项扣2分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7.填写记录表遗漏一处扣1分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8.填写记录表内容错误一处扣1分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9.制动器两块踏板调整不一致扣1分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10.工具及零件脱手落地每次扣1分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（以下相同）</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11.量具脱手落地每次扣2分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（以下相同）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判断排除制动系故障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375"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3.判断排除行走系统故障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4.判断排除液压系故障（用油压表测试液压系主要性能参数）</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1.仪器调试不正确扣2分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2.仪器安装不正确扣2分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3.测量方法不正确扣2分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4.测试转速不正确扣2分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5.测试参数不正确每项扣2分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6.分析结论不正确扣2分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启动，了解故障征象</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1.启动前的检查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2.启动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3.根据征象诊断故障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启动前的检查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检查漏一项扣1分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2.启动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启动操作错误，每项扣1分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3.诊断故障不准确每项扣2分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4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判断、排除电路故障</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使用万用表对电路进行检查</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1.不使用万用表扣2分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2.不能正确使用万用表扣1分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判断并排除电源电路故障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1.工具、仪表选用错误每次扣0.5分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2.工具、仪表使用错误每次扣0.5分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3.故障判断不准确每项扣2分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判断并排除启动电路故障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判断并排除照明、信号及仪表电路故障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74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电控高压共轨系统检测、故障排除</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1.使用诊断仪对电控高压共轨系统进行检测、判断故障点</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3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1.故障判断不准确每项扣2分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2.测试部位不正确每处扣2分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3.测试方法不正确每次扣2分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4.测试参数不正确每项扣2分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5.测试工况不正确扣3分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6.测试数据不正确扣2分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7.分析结论不正确2分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8.排除方法不正确扣1分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9.诊断仪连接操作不正确扣2分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2.检测传感器、执行器、ECU</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3.故障排除后，5秒内能顺利启动，发动机各缸燃烧正常</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4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柴油机排放污染物烟度值检测</w:t>
            </w:r>
          </w:p>
        </w:tc>
        <w:tc>
          <w:tcPr>
            <w:tcW w:w="276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正确安装烟度检测仪</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1.工具、选用错误每次扣0.5分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2.工具、使用错误每次扣0.5分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3.仪器调试不正确扣2分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4.仪器安装不正确扣2分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5.测量方法不正确扣2分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6.测试参数不正确每项扣2分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正确进行柴油机排放烟度检测</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74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正确读取检测数据</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安全文明生产</w:t>
            </w:r>
          </w:p>
        </w:tc>
        <w:tc>
          <w:tcPr>
            <w:tcW w:w="276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1.遵守安全操作规程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2.整理、清洁作业现场</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1.非规范操作扣1分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2.操作现场不整洁扣1分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3.现场未整理扣1分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综合扣分项</w:t>
            </w:r>
          </w:p>
        </w:tc>
        <w:tc>
          <w:tcPr>
            <w:tcW w:w="68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1.工具及零件脱手落地每次扣1分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2．量具脱手落地每次扣2分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3．因操作失误造成零件及工量具损坏每次扣3分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4.违反安全操作规程每次扣1分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5.因违规操作发生重大人身或设备事故,全题按零分计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6.上述每个项目配分扣完为止，未完成部分不得分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7．得分相同者按完成时间排序，用时少者列前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68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（2）“履带自走式全喂入联合收割机综合故障诊断与排除评分细则”见表15.</w:t>
      </w:r>
    </w:p>
    <w:p>
      <w:pPr>
        <w:keepNext w:val="0"/>
        <w:keepLines w:val="0"/>
        <w:pageBreakBefore w:val="0"/>
        <w:kinsoku/>
        <w:wordWrap/>
        <w:overflowPunct/>
        <w:autoSpaceDE/>
        <w:autoSpaceDN/>
        <w:bidi w:val="0"/>
        <w:spacing w:line="560" w:lineRule="exact"/>
        <w:ind w:left="420" w:leftChars="20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表15 履带自走式全喂入联合收割机综合故障诊断与排除</w:t>
      </w:r>
    </w:p>
    <w:tbl>
      <w:tblPr>
        <w:tblStyle w:val="10"/>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770"/>
        <w:gridCol w:w="2760"/>
        <w:gridCol w:w="70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考核要点</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要点分</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准备工作</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包括清洁、检查和备齐所需工、量具与零件设备等</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1.未检查扣2分,检查漏一项扣0.5分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2.未清洁扣2分,清洁漏一项扣0.5分,配分扣完为止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底盘部分故障诊断与排除</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判断排除底盘故障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1.工具量具选用或使用错误每次扣0.5分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2.操作程序错误扣3分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3.操作方法错误扣2分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4.调整结果有误每项扣2分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7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割台部分故障诊断与排除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1.判断排除割刀故障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2.判断排除割台搅龙和伸缩齿故障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1.工具量具选用或使用错误每次扣0.5分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2.操作程序错误扣3分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3.操作方法错误扣2分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4.调整结果有误每项扣2分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7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脱粒清选部分故障诊断与排除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判断排除脱粒滚筒故障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判断排除振动筛故障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判断排除清选风扇故障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1.工具量具选用或使用错误每次扣0.5分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2.操作程序错误扣3分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3.操作方法错误扣2分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4.调整结果有误每项扣2分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77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动力传动部分故障诊断与排除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判断排除离合器故障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判断排除传动装置链及带的故障</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1.工具量具选用或使用错误每次扣0.5分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2.操作程序错误扣3分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3.操作方法错误扣2分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4.调整结果有误每项扣2分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安全文明生产</w:t>
            </w:r>
          </w:p>
        </w:tc>
        <w:tc>
          <w:tcPr>
            <w:tcW w:w="2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1.遵守安全操作规程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2.整理、清洁作业现场</w:t>
            </w:r>
          </w:p>
        </w:tc>
        <w:tc>
          <w:tcPr>
            <w:tcW w:w="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未遵守操作规程、操作现场不整洁、作业后未整理现场分别扣分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综合扣分项</w:t>
            </w:r>
          </w:p>
        </w:tc>
        <w:tc>
          <w:tcPr>
            <w:tcW w:w="682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1.工具及零件脱手落地每次扣1分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2.量具脱手落地每次扣2分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3.因操作失误造成零件及工量具损坏,每次扣3分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4.违反安全操作规程每次扣1分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5.因违规操作发生重大人身或设备事故,全题按零分计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6.上述每个项目配分扣完为止，未完成部分不得分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7.得分相同者按完成时间排序，用时少者列前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6825" w:type="dxa"/>
            <w:gridSpan w:val="3"/>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Cs/>
          <w:sz w:val="28"/>
          <w:szCs w:val="28"/>
        </w:rPr>
        <w:t>成绩构成</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两个项目满分均为100分，其中项目一、项目二分别占总成绩的64%、36%。竞赛成绩相同时，完成工作任务所用时间少的名次在前。</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（三）成绩审核</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组将对赛项总成绩排名前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（四）成绩公布</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选手成绩经复核无误，由裁判长、监督人员和仲裁人员签字确认后公布。</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（五）裁判构成</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以14个工位计算，裁判组共有36人，其中裁判长1人，加密裁判2人，工位裁判28人，现场裁判5人。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十二、奖项设定</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w:t>
      </w:r>
      <w:r>
        <w:rPr>
          <w:rFonts w:hint="eastAsia" w:ascii="仿宋_GB2312" w:hAnsi="仿宋_GB2312" w:eastAsia="仿宋_GB2312" w:cs="仿宋_GB2312"/>
          <w:bCs/>
          <w:sz w:val="28"/>
          <w:szCs w:val="28"/>
        </w:rPr>
        <w:t>赛</w:t>
      </w:r>
      <w:r>
        <w:rPr>
          <w:rFonts w:hint="eastAsia" w:ascii="仿宋_GB2312" w:hAnsi="仿宋_GB2312" w:eastAsia="仿宋_GB2312" w:cs="仿宋_GB2312"/>
          <w:sz w:val="28"/>
          <w:szCs w:val="28"/>
        </w:rPr>
        <w:t>项设一、二、三等奖。以赛项实际参赛队总数为基数，一、二、三等奖获奖比例分别为10%、20%、30%（小数点后四舍五入）。获得奖项的选手，授予相应的荣誉证书。</w:t>
      </w:r>
    </w:p>
    <w:p>
      <w:pPr>
        <w:keepNext w:val="0"/>
        <w:keepLines w:val="0"/>
        <w:pageBreakBefore w:val="0"/>
        <w:kinsoku/>
        <w:wordWrap/>
        <w:overflowPunct/>
        <w:autoSpaceDE/>
        <w:autoSpaceDN/>
        <w:bidi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参赛队获得</w:t>
      </w:r>
      <w:r>
        <w:rPr>
          <w:rFonts w:hint="eastAsia" w:ascii="仿宋_GB2312" w:hAnsi="仿宋_GB2312" w:eastAsia="仿宋_GB2312" w:cs="仿宋_GB2312"/>
          <w:bCs/>
          <w:sz w:val="28"/>
          <w:szCs w:val="28"/>
        </w:rPr>
        <w:t>一等奖</w:t>
      </w:r>
      <w:r>
        <w:rPr>
          <w:rFonts w:hint="eastAsia" w:ascii="仿宋_GB2312" w:hAnsi="仿宋_GB2312" w:eastAsia="仿宋_GB2312" w:cs="仿宋_GB2312"/>
          <w:sz w:val="28"/>
          <w:szCs w:val="28"/>
        </w:rPr>
        <w:t>的指导教师由大赛组委会颁发优秀指导教师证书。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十三、赛场预案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按照2019年《全国职业院校技能大赛制度汇编》中相关制度要求执行。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（一）竞赛设备移动应急预案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竞赛中由于选手误操作，造成拖拉机或联合收割机移动，裁判或技术人员应立即予以制止，避免发生安全事故。</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（二）设备仪器损坏应急预案。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赛场每个工位安排一名技术人员（由厂方提供），及时解决比赛中突发的设备故障，解决不了的，采用备用工位，保证竞赛正常进行。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（三）电源保障预案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1.承办单位事先协调当地供电部门，保证竞赛当天的正常供电；赛场双路供电，备用UPS，双保障，以保证赛场的正常供电。</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2.竞赛过程中出现设备掉电、故障等意外时，现场裁判需及时确认情况，安排技术支持人员进行处理，现场裁判登记详细情况，填写补时登记表，报裁判长批准后，可安排延长补足相应选手的比赛时间。</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3.赛场布置时，注意把计算机的电源插头做隐蔽处理，将电源插头放置在选手不容易碰到的位置，避免选手因不小心而将电源线踢掉的现象产生。</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bCs/>
          <w:kern w:val="0"/>
          <w:sz w:val="28"/>
          <w:szCs w:val="28"/>
        </w:rPr>
        <w:t>医疗及安全预案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1.120急救车和供电车赛场外等候。</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2.赛场内设置医疗救护区，竞赛期间，安排医生随时处理突发的医疗事件。</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事后，赛区执委会应向大赛执委会报告详细情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十四、赛项安全</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color w:val="000000"/>
          <w:sz w:val="28"/>
          <w:szCs w:val="28"/>
        </w:rPr>
      </w:pPr>
      <w:bookmarkStart w:id="1" w:name="_Toc361563584"/>
      <w:r>
        <w:rPr>
          <w:rFonts w:hint="eastAsia" w:ascii="仿宋_GB2312" w:hAnsi="仿宋_GB2312" w:eastAsia="仿宋_GB2312" w:cs="仿宋_GB2312"/>
          <w:color w:val="000000"/>
          <w:sz w:val="28"/>
          <w:szCs w:val="28"/>
        </w:rPr>
        <w:t>（一）比赛环境</w:t>
      </w:r>
      <w:bookmarkEnd w:id="1"/>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3.承办单位应提供保证应急预案实施的条件。对于比赛内容涉及高空作业、可能有坠物、大用电量、易发生火灾等情况的赛项，必须明确制度和预案，并配备急救人员与设施。</w:t>
      </w:r>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4.严格控制与参赛无关的易燃易爆以及各类危险品进入比赛场地，不许随便携带书包进入赛场。</w:t>
      </w:r>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48" w:firstLineChars="196"/>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5.配备先进的仪器，防止有人利用电磁波干扰比赛秩序。大赛现场需对赛场进行网络安全控制，以免场内外信息交互，充分体现大赛的严肃、公平和公正性。</w:t>
      </w:r>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48" w:firstLineChars="196"/>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6.执委会须会同承办单位制定开放赛场和体验区的人员疏导方案。赛场环境中存在人员密集、车流人流交错的区域，除了设置齐全的指示标志外，须增加引导人员，并开辟备用通道。</w:t>
      </w:r>
    </w:p>
    <w:p>
      <w:pPr>
        <w:pStyle w:val="14"/>
        <w:keepNext w:val="0"/>
        <w:keepLines w:val="0"/>
        <w:pageBreakBefore w:val="0"/>
        <w:tabs>
          <w:tab w:val="left" w:pos="851"/>
        </w:tabs>
        <w:kinsoku/>
        <w:wordWrap/>
        <w:overflowPunct/>
        <w:autoSpaceDE/>
        <w:autoSpaceDN/>
        <w:bidi w:val="0"/>
        <w:adjustRightInd w:val="0"/>
        <w:snapToGrid w:val="0"/>
        <w:spacing w:before="78" w:after="78" w:line="560" w:lineRule="exact"/>
        <w:ind w:firstLine="548" w:firstLineChars="196"/>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7.大赛期间，承办单位须在赛场管理的关键岗位，增加力量，建立安全管理日志。</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color w:val="000000"/>
          <w:sz w:val="28"/>
          <w:szCs w:val="28"/>
        </w:rPr>
      </w:pPr>
      <w:bookmarkStart w:id="2" w:name="_Toc361563585"/>
      <w:r>
        <w:rPr>
          <w:rFonts w:hint="eastAsia" w:ascii="仿宋_GB2312" w:hAnsi="仿宋_GB2312" w:eastAsia="仿宋_GB2312" w:cs="仿宋_GB2312"/>
          <w:color w:val="000000"/>
          <w:sz w:val="28"/>
          <w:szCs w:val="28"/>
        </w:rPr>
        <w:t>（二）生活条件</w:t>
      </w:r>
      <w:bookmarkEnd w:id="2"/>
    </w:p>
    <w:p>
      <w:pPr>
        <w:pStyle w:val="14"/>
        <w:keepNext w:val="0"/>
        <w:keepLines w:val="0"/>
        <w:pageBreakBefore w:val="0"/>
        <w:numPr>
          <w:ilvl w:val="0"/>
          <w:numId w:val="1"/>
        </w:numPr>
        <w:tabs>
          <w:tab w:val="left" w:pos="0"/>
          <w:tab w:val="left" w:pos="851"/>
        </w:tabs>
        <w:kinsoku/>
        <w:wordWrap/>
        <w:overflowPunct/>
        <w:autoSpaceDE/>
        <w:autoSpaceDN/>
        <w:bidi w:val="0"/>
        <w:adjustRightInd w:val="0"/>
        <w:snapToGrid w:val="0"/>
        <w:spacing w:beforeLines="0" w:afterLines="0" w:line="560" w:lineRule="exact"/>
        <w:ind w:left="0" w:firstLine="565" w:firstLineChars="20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比赛期间，原则上由执委会统一安排参赛选手和指导教师食宿。承办单位须尊重少数民族的信仰及文化，根据国家相关的民族政策，安排好少数民族选手和教师的饮食起居。</w:t>
      </w:r>
    </w:p>
    <w:p>
      <w:pPr>
        <w:pStyle w:val="14"/>
        <w:keepNext w:val="0"/>
        <w:keepLines w:val="0"/>
        <w:pageBreakBefore w:val="0"/>
        <w:numPr>
          <w:ilvl w:val="0"/>
          <w:numId w:val="1"/>
        </w:numPr>
        <w:tabs>
          <w:tab w:val="left" w:pos="0"/>
          <w:tab w:val="left" w:pos="851"/>
        </w:tabs>
        <w:kinsoku/>
        <w:wordWrap/>
        <w:overflowPunct/>
        <w:autoSpaceDE/>
        <w:autoSpaceDN/>
        <w:bidi w:val="0"/>
        <w:adjustRightInd w:val="0"/>
        <w:snapToGrid w:val="0"/>
        <w:spacing w:beforeLines="0" w:afterLines="0" w:line="560" w:lineRule="exact"/>
        <w:ind w:left="0" w:firstLine="565" w:firstLineChars="20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比赛期间安排的住宿地应具有宾馆/住宿经营许可资质。以学校宿舍作为住宿地的，大赛期间的住宿、卫生、饮食安全等由执委会和提供宿舍的学校共同负责。</w:t>
      </w:r>
    </w:p>
    <w:p>
      <w:pPr>
        <w:pStyle w:val="14"/>
        <w:keepNext w:val="0"/>
        <w:keepLines w:val="0"/>
        <w:pageBreakBefore w:val="0"/>
        <w:numPr>
          <w:ilvl w:val="0"/>
          <w:numId w:val="1"/>
        </w:numPr>
        <w:tabs>
          <w:tab w:val="left" w:pos="0"/>
          <w:tab w:val="left" w:pos="851"/>
        </w:tabs>
        <w:kinsoku/>
        <w:wordWrap/>
        <w:overflowPunct/>
        <w:autoSpaceDE/>
        <w:autoSpaceDN/>
        <w:bidi w:val="0"/>
        <w:adjustRightInd w:val="0"/>
        <w:snapToGrid w:val="0"/>
        <w:spacing w:beforeLines="0" w:afterLines="0" w:line="560" w:lineRule="exact"/>
        <w:ind w:left="0" w:firstLine="565" w:firstLineChars="20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大赛期间有组织的参观和观摩活动的交通安全由执委会负责。执委会和承办单位须保证比赛期间选手、指导教师和裁判员、工作人员的交通安全。</w:t>
      </w:r>
    </w:p>
    <w:p>
      <w:pPr>
        <w:pStyle w:val="14"/>
        <w:keepNext w:val="0"/>
        <w:keepLines w:val="0"/>
        <w:pageBreakBefore w:val="0"/>
        <w:numPr>
          <w:ilvl w:val="0"/>
          <w:numId w:val="1"/>
        </w:numPr>
        <w:tabs>
          <w:tab w:val="left" w:pos="0"/>
          <w:tab w:val="left" w:pos="851"/>
        </w:tabs>
        <w:kinsoku/>
        <w:wordWrap/>
        <w:overflowPunct/>
        <w:autoSpaceDE/>
        <w:autoSpaceDN/>
        <w:bidi w:val="0"/>
        <w:adjustRightInd w:val="0"/>
        <w:snapToGrid w:val="0"/>
        <w:spacing w:beforeLines="0" w:afterLines="0" w:line="560" w:lineRule="exact"/>
        <w:ind w:left="0" w:firstLine="565" w:firstLineChars="20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各赛项的安全管理，除了可以采取必要的安全隔离措施外，应严格遵守国家相关法律法规，保护个人隐私和人身自由。</w:t>
      </w:r>
    </w:p>
    <w:p>
      <w:pPr>
        <w:keepNext w:val="0"/>
        <w:keepLines w:val="0"/>
        <w:pageBreakBefore w:val="0"/>
        <w:kinsoku/>
        <w:wordWrap/>
        <w:overflowPunct/>
        <w:autoSpaceDE/>
        <w:autoSpaceDN/>
        <w:bidi w:val="0"/>
        <w:snapToGrid w:val="0"/>
        <w:spacing w:line="560" w:lineRule="exact"/>
        <w:ind w:firstLine="420" w:firstLineChars="150"/>
        <w:rPr>
          <w:rFonts w:hint="eastAsia" w:ascii="仿宋_GB2312" w:hAnsi="仿宋_GB2312" w:eastAsia="仿宋_GB2312" w:cs="仿宋_GB2312"/>
          <w:color w:val="000000"/>
          <w:sz w:val="28"/>
          <w:szCs w:val="28"/>
        </w:rPr>
      </w:pPr>
      <w:bookmarkStart w:id="3" w:name="_Toc361563586"/>
      <w:r>
        <w:rPr>
          <w:rFonts w:hint="eastAsia" w:ascii="仿宋_GB2312" w:hAnsi="仿宋_GB2312" w:eastAsia="仿宋_GB2312" w:cs="仿宋_GB2312"/>
          <w:color w:val="000000"/>
          <w:sz w:val="28"/>
          <w:szCs w:val="28"/>
        </w:rPr>
        <w:t>（三）组队责任</w:t>
      </w:r>
      <w:bookmarkEnd w:id="3"/>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1.各学校组织代表队时，须安排为参赛选手购买大赛期间的人身意外伤害保险。</w:t>
      </w:r>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2.各学校代表队组成后，须制定相关管理制度，并对所有选手、指导教师进行安全教育。</w:t>
      </w:r>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3.各参赛队伍须加强对参与比赛人员的安全管理，实现与赛场安全管理的对接。</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color w:val="000000"/>
          <w:sz w:val="28"/>
          <w:szCs w:val="28"/>
        </w:rPr>
      </w:pPr>
      <w:bookmarkStart w:id="4" w:name="_Toc361563587"/>
      <w:r>
        <w:rPr>
          <w:rFonts w:hint="eastAsia" w:ascii="仿宋_GB2312" w:hAnsi="仿宋_GB2312" w:eastAsia="仿宋_GB2312" w:cs="仿宋_GB2312"/>
          <w:color w:val="000000"/>
          <w:sz w:val="28"/>
          <w:szCs w:val="28"/>
        </w:rPr>
        <w:t>（四）应急处理</w:t>
      </w:r>
      <w:bookmarkEnd w:id="4"/>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color w:val="000000"/>
          <w:sz w:val="28"/>
          <w:szCs w:val="28"/>
        </w:rPr>
      </w:pPr>
      <w:bookmarkStart w:id="5" w:name="_Toc361563588"/>
      <w:r>
        <w:rPr>
          <w:rFonts w:hint="eastAsia" w:ascii="仿宋_GB2312" w:hAnsi="仿宋_GB2312" w:eastAsia="仿宋_GB2312" w:cs="仿宋_GB2312"/>
          <w:color w:val="000000"/>
          <w:sz w:val="28"/>
          <w:szCs w:val="28"/>
        </w:rPr>
        <w:t>（五）处罚措施</w:t>
      </w:r>
      <w:bookmarkEnd w:id="5"/>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1.因参赛队伍原因造成重大安全事故的，取消其获奖资格。</w:t>
      </w:r>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2.参赛队伍有发生重大安全事故隐患，经赛场工作人员提示、警告无效的，可取消其继续比赛的资格。</w:t>
      </w:r>
    </w:p>
    <w:p>
      <w:pPr>
        <w:pStyle w:val="14"/>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3.赛事工作人员违规的，按照相应的制度追究责任。情节恶劣并造成重大安全事故的，由司法机关追究相应法律责任。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十五、竞赛须知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（一）参赛队须知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参赛队名称统一使用规定的地区代表队名称。</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sz w:val="28"/>
          <w:szCs w:val="28"/>
        </w:rPr>
        <w:t>参赛选手和指导教师报名获得确认后不得随意更换。如比赛前参赛选手和指导教师因故无法参赛，须由省级教育行政部门于本赛项开赛</w:t>
      </w:r>
      <w:r>
        <w:rPr>
          <w:rFonts w:hint="eastAsia" w:ascii="仿宋_GB2312" w:hAnsi="仿宋_GB2312" w:eastAsia="仿宋_GB2312" w:cs="仿宋_GB2312"/>
          <w:color w:val="000000"/>
          <w:sz w:val="28"/>
          <w:szCs w:val="28"/>
        </w:rPr>
        <w:t>10</w:t>
      </w:r>
      <w:r>
        <w:rPr>
          <w:rFonts w:hint="eastAsia" w:ascii="仿宋_GB2312" w:hAnsi="仿宋_GB2312" w:eastAsia="仿宋_GB2312" w:cs="仿宋_GB2312"/>
          <w:sz w:val="28"/>
          <w:szCs w:val="28"/>
        </w:rPr>
        <w:t>个工作日之前出具书面说明，经大赛执委会办公室核实后予以更换。竞赛开始后，参赛队不得更换参赛队员。</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sz w:val="28"/>
          <w:szCs w:val="28"/>
        </w:rPr>
        <w:t>参赛队按照大赛赛程安排，凭大赛组委会颁发的参赛证和有效身份证件参加比赛及相关活动。</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sz w:val="28"/>
          <w:szCs w:val="28"/>
        </w:rPr>
        <w:t>参赛院校须为参赛队员购买保险。</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（二）指导教师须知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各参赛代表队要发扬良好道德风尚，听从指挥，服从裁判，不弄虚作假。如发现弄虚作假者，取消参赛资格，名次无效。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sz w:val="28"/>
          <w:szCs w:val="28"/>
        </w:rPr>
        <w:t>各代表队领队要坚决执行竞赛的各项规定，加强对参赛人员的管理，做好赛前准备工作，督促选手带好证件等竞赛相关材料。</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sz w:val="28"/>
          <w:szCs w:val="28"/>
        </w:rPr>
        <w:t>竞赛过程中，除参加当场次竞赛的选手、执行裁判员、现场工作人员和经批准的人员外，领队、指导教师及其他人员一律不得进入竞赛区域。</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sz w:val="28"/>
          <w:szCs w:val="28"/>
        </w:rPr>
        <w:t>参赛代表队若对竞赛过程有异议，在规定的时间内由领队向赛项仲裁工作组提出书面报告。</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sz w:val="28"/>
          <w:szCs w:val="28"/>
        </w:rPr>
        <w:t>对申诉的仲裁结果，领队、指导教师要带头服从和执行，并做好选手工作。参赛选手不得因申诉或对处理意见不服而停止竞赛，否则以弃权处理。</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sz w:val="28"/>
          <w:szCs w:val="28"/>
        </w:rPr>
        <w:t>指导老师应及时查看大赛专用网页有关赛项的通知和内容，认真研究和掌握本赛项竞赛的规程、技术规范和赛场要求，指导选手做好赛前的一切技术准备和竞赛准备。</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（三）参赛选手须知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参赛选手应按有关要求如实填报个人信息，否则取消竞赛资格。</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sz w:val="28"/>
          <w:szCs w:val="28"/>
        </w:rPr>
        <w:t>参赛选手凭统一印制的参赛证和有效身份证件参加竞赛。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sz w:val="28"/>
          <w:szCs w:val="28"/>
        </w:rPr>
        <w:t>参赛选手应认真学习领会本次竞赛相关文件，自觉遵守大赛纪律，服从指挥，听从安排，文明参赛。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sz w:val="28"/>
          <w:szCs w:val="28"/>
        </w:rPr>
        <w:t>参赛选手请勿携带与竞赛无关的电子设备、通讯设备及其他资料与用品进入赛场。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sz w:val="28"/>
          <w:szCs w:val="28"/>
        </w:rPr>
        <w:t>参赛选手应提前30分钟抵达赛场，凭参赛证、身份证件检录，按要求入场，不得迟到早退。竞赛开始后迟到15分钟以上者取消比赛资格；开赛30分钟后，选手方可离开赛场。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sz w:val="28"/>
          <w:szCs w:val="28"/>
        </w:rPr>
        <w:t>参赛选手应按抽签结果在指定位置进行比赛。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7.</w:t>
      </w:r>
      <w:r>
        <w:rPr>
          <w:rFonts w:hint="eastAsia" w:ascii="仿宋_GB2312" w:hAnsi="仿宋_GB2312" w:eastAsia="仿宋_GB2312" w:cs="仿宋_GB2312"/>
          <w:sz w:val="28"/>
          <w:szCs w:val="28"/>
        </w:rPr>
        <w:t>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8.</w:t>
      </w:r>
      <w:r>
        <w:rPr>
          <w:rFonts w:hint="eastAsia" w:ascii="仿宋_GB2312" w:hAnsi="仿宋_GB2312" w:eastAsia="仿宋_GB2312" w:cs="仿宋_GB2312"/>
          <w:sz w:val="28"/>
          <w:szCs w:val="28"/>
        </w:rPr>
        <w:t>各参赛选手必须按规范要求操作竞赛设备。一旦出现较严重的安全事故，经裁判长批准后可立即取消其参赛资格。</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9.</w:t>
      </w:r>
      <w:r>
        <w:rPr>
          <w:rFonts w:hint="eastAsia" w:ascii="仿宋_GB2312" w:hAnsi="仿宋_GB2312" w:eastAsia="仿宋_GB2312" w:cs="仿宋_GB2312"/>
          <w:sz w:val="28"/>
          <w:szCs w:val="28"/>
        </w:rPr>
        <w:t>竞赛时间终了，选手应立即结束操作。经现场指挥人员发出指令后，方可离开赛场。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10.</w:t>
      </w:r>
      <w:r>
        <w:rPr>
          <w:rFonts w:hint="eastAsia" w:ascii="仿宋_GB2312" w:hAnsi="仿宋_GB2312" w:eastAsia="仿宋_GB2312" w:cs="仿宋_GB2312"/>
          <w:sz w:val="28"/>
          <w:szCs w:val="28"/>
        </w:rPr>
        <w:t>在竞赛期间，未经执委会的批准，参赛选手不得接受其他单位和个人进行的与竞赛内容相关的采访。参赛选手不得将竞赛的相关信息私自公布。</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（四）工作人员须知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大赛全体工作人员必须服从组委会统一指挥，认真履行职责，做好比赛服务工作。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sz w:val="28"/>
          <w:szCs w:val="28"/>
        </w:rPr>
        <w:t>全体工作人员要按分工准时到岗，尽职尽责做好份内各项工作，保证比赛顺利进行。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sz w:val="28"/>
          <w:szCs w:val="28"/>
        </w:rPr>
        <w:t>认真检查、核准证件，非参赛选手不准进入赛场。同时，要安排好领队、指导教师休息。</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sz w:val="28"/>
          <w:szCs w:val="28"/>
        </w:rPr>
        <w:t>比赛出现技术问题（包括设备、器材等）时，应及时联系各项技术负责人，妥善处理；如需重新比赛，须得要得到组委会同意后方可进行。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sz w:val="28"/>
          <w:szCs w:val="28"/>
        </w:rPr>
        <w:t>如遇突发事件，要及时向组委会报告，同时做好疏导工作，避免重大事故发生，确保大赛圆满成功。</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sz w:val="28"/>
          <w:szCs w:val="28"/>
        </w:rPr>
        <w:t>要认真组织好参赛选手的赛前准备工作，遇有重大问题及时与组委会联系协商解决办法。</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7.</w:t>
      </w:r>
      <w:r>
        <w:rPr>
          <w:rFonts w:hint="eastAsia" w:ascii="仿宋_GB2312" w:hAnsi="仿宋_GB2312" w:eastAsia="仿宋_GB2312" w:cs="仿宋_GB2312"/>
          <w:sz w:val="28"/>
          <w:szCs w:val="28"/>
        </w:rPr>
        <w:t>各项比赛的技术负责人，一定要坚守岗位，要对比赛技术操作的全过程负责。</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8.</w:t>
      </w:r>
      <w:r>
        <w:rPr>
          <w:rFonts w:hint="eastAsia" w:ascii="仿宋_GB2312" w:hAnsi="仿宋_GB2312" w:eastAsia="仿宋_GB2312" w:cs="仿宋_GB2312"/>
          <w:sz w:val="28"/>
          <w:szCs w:val="28"/>
        </w:rPr>
        <w:t>工作人员不要在赛场内接听或打电话，负责现场的人员在比赛期间一律关闭手机。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十六、申诉与仲裁</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本赛项在比赛过程中若出现有失公正或有关人员违规等现象，参赛队领队可在比赛结束后</w:t>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sz w:val="28"/>
          <w:szCs w:val="28"/>
        </w:rPr>
        <w:t xml:space="preserve">小时之内向仲裁组提出书面申诉。      </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书面申诉应对申诉事件的现象、发生时间、涉及人员、申诉依据等进行充分、实事求是的叙述，并由领队亲笔签名。非书面申诉不予受理。 </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赛项仲裁工作组在接到申诉报告后</w:t>
      </w:r>
      <w:r>
        <w:rPr>
          <w:rFonts w:hint="eastAsia" w:ascii="仿宋_GB2312" w:hAnsi="仿宋_GB2312" w:eastAsia="仿宋_GB2312" w:cs="仿宋_GB2312"/>
          <w:color w:val="000000"/>
          <w:sz w:val="28"/>
          <w:szCs w:val="28"/>
        </w:rPr>
        <w:t>的2小</w:t>
      </w:r>
      <w:r>
        <w:rPr>
          <w:rFonts w:hint="eastAsia" w:ascii="仿宋_GB2312" w:hAnsi="仿宋_GB2312" w:eastAsia="仿宋_GB2312" w:cs="仿宋_GB2312"/>
          <w:sz w:val="28"/>
          <w:szCs w:val="28"/>
        </w:rPr>
        <w:t>时内组织复议，并及时将复议结果以书面形式告知申诉方。申诉方对复议结果仍有异议，可由省（市）领队向赛区仲裁委员会提出申诉。赛区仲裁委员会的仲裁结果为最终结果。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十七、竞赛观摩</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赛场内设定观摩区域，向媒体、企业代表、院校师生及家长等社会公众开放。</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为保证大赛顺利进行，在观摩期间应遵循以下规则：</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1.除与竞赛直接有关工作人员、裁判员、参赛选手外，其余人员均为观摩观众。</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2.请勿在选手准备或比赛中交谈或欢呼；请勿对选手打手势，包括哑语沟通等明示、暗示行为，禁止鼓掌喝彩等发出声音的行为。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3.请勿在观摩赛场地内使用相机、摄影机等一切对比赛正常进行造成干扰的带有闪光灯及快门音的设备。</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4.不得违反全国职业院校技能大赛规定的各项纪律。请站在规划的观摩席或者安全线以外观看比赛，并遵循赛场内工作人员和竞赛裁判人员的指挥，不得有围攻裁判员、选手或者其他工作人员的行为。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5.请务必保持赛场清洁，将饮料食品包装、烟头及其他杂物扔进垃圾箱。</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6.观摩期间，严重违纪者除本人被逐出观摩赛场地外，还将视情况严重程度对所在代表队的选手的成绩进行扣分直至取消比赛资格。</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7.如果对裁判裁决产生质疑的，请通过各参赛队领队向赛项仲裁组提出，不得在比赛现场发言。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十八、竞赛直播</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1.赛场内部署无盲点录像设备，能实时录制并播送赛场情况；</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2.赛场外有大屏幕或投影，同步显示赛场内竞赛状况；</w:t>
      </w:r>
    </w:p>
    <w:p>
      <w:pPr>
        <w:keepNext w:val="0"/>
        <w:keepLines w:val="0"/>
        <w:pageBreakBefore w:val="0"/>
        <w:kinsoku/>
        <w:wordWrap/>
        <w:overflowPunct/>
        <w:autoSpaceDE/>
        <w:autoSpaceDN/>
        <w:bidi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3．多机位拍摄开闭幕式，制作优秀选手采访等视频资料，突出赛项的技能重点与优势特色，为宣传、仲裁、资源转化提供全面的信息资料。</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4.条件允许时，可以进行网上直播。</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十九、资源转化</w:t>
      </w:r>
    </w:p>
    <w:p>
      <w:pPr>
        <w:keepNext w:val="0"/>
        <w:keepLines w:val="0"/>
        <w:pageBreakBefore w:val="0"/>
        <w:kinsoku/>
        <w:wordWrap/>
        <w:overflowPunct/>
        <w:autoSpaceDE/>
        <w:autoSpaceDN/>
        <w:bidi w:val="0"/>
        <w:spacing w:line="560" w:lineRule="exact"/>
        <w:ind w:firstLine="600" w:firstLineChars="200"/>
        <w:rPr>
          <w:rFonts w:hint="eastAsia" w:ascii="仿宋_GB2312" w:hAnsi="仿宋_GB2312" w:eastAsia="仿宋_GB2312" w:cs="仿宋_GB2312"/>
          <w:color w:val="000000"/>
          <w:spacing w:val="10"/>
          <w:sz w:val="28"/>
          <w:szCs w:val="28"/>
          <w:shd w:val="clear" w:color="auto" w:fill="FFFFFF"/>
        </w:rPr>
      </w:pPr>
      <w:r>
        <w:rPr>
          <w:rFonts w:hint="eastAsia" w:ascii="仿宋_GB2312" w:hAnsi="仿宋_GB2312" w:eastAsia="仿宋_GB2312" w:cs="仿宋_GB2312"/>
          <w:color w:val="000000"/>
          <w:spacing w:val="10"/>
          <w:sz w:val="28"/>
          <w:szCs w:val="28"/>
          <w:shd w:val="clear" w:color="auto" w:fill="FFFFFF"/>
        </w:rPr>
        <w:t>1.</w:t>
      </w:r>
      <w:r>
        <w:rPr>
          <w:rFonts w:hint="eastAsia" w:ascii="仿宋_GB2312" w:hAnsi="仿宋_GB2312" w:eastAsia="仿宋_GB2312" w:cs="仿宋_GB2312"/>
          <w:color w:val="000000"/>
          <w:sz w:val="28"/>
          <w:szCs w:val="28"/>
        </w:rPr>
        <w:t>基本</w:t>
      </w:r>
      <w:r>
        <w:rPr>
          <w:rFonts w:hint="eastAsia" w:ascii="仿宋_GB2312" w:hAnsi="仿宋_GB2312" w:eastAsia="仿宋_GB2312" w:cs="仿宋_GB2312"/>
          <w:color w:val="000000"/>
          <w:spacing w:val="10"/>
          <w:sz w:val="28"/>
          <w:szCs w:val="28"/>
          <w:shd w:val="clear" w:color="auto" w:fill="FFFFFF"/>
        </w:rPr>
        <w:t>资源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制作编写农机维修赛项风采展示、技能概要和教学资源。风采展示包括赛项</w:t>
      </w:r>
      <w:r>
        <w:rPr>
          <w:rFonts w:hint="eastAsia" w:ascii="仿宋_GB2312" w:hAnsi="仿宋_GB2312" w:eastAsia="仿宋_GB2312" w:cs="仿宋_GB2312"/>
          <w:color w:val="000000"/>
          <w:sz w:val="28"/>
          <w:szCs w:val="28"/>
        </w:rPr>
        <w:t>宣传</w:t>
      </w:r>
      <w:r>
        <w:rPr>
          <w:rFonts w:hint="eastAsia" w:ascii="仿宋_GB2312" w:hAnsi="仿宋_GB2312" w:eastAsia="仿宋_GB2312" w:cs="仿宋_GB2312"/>
          <w:sz w:val="28"/>
          <w:szCs w:val="28"/>
        </w:rPr>
        <w:t>片、选手风采展示两部分。技能概要包括赛项技能介绍、技能要点</w:t>
      </w:r>
      <w:r>
        <w:rPr>
          <w:rFonts w:hint="eastAsia" w:ascii="仿宋_GB2312" w:hAnsi="仿宋_GB2312" w:eastAsia="仿宋_GB2312" w:cs="仿宋_GB2312"/>
          <w:color w:val="000000"/>
          <w:sz w:val="28"/>
          <w:szCs w:val="28"/>
        </w:rPr>
        <w:t>和</w:t>
      </w:r>
      <w:r>
        <w:rPr>
          <w:rFonts w:hint="eastAsia" w:ascii="仿宋_GB2312" w:hAnsi="仿宋_GB2312" w:eastAsia="仿宋_GB2312" w:cs="仿宋_GB2312"/>
          <w:sz w:val="28"/>
          <w:szCs w:val="28"/>
        </w:rPr>
        <w:t>评价</w:t>
      </w:r>
      <w:r>
        <w:rPr>
          <w:rFonts w:hint="eastAsia" w:ascii="仿宋_GB2312" w:hAnsi="仿宋_GB2312" w:eastAsia="仿宋_GB2312" w:cs="仿宋_GB2312"/>
          <w:color w:val="000000"/>
          <w:sz w:val="28"/>
          <w:szCs w:val="28"/>
        </w:rPr>
        <w:t>指标</w:t>
      </w:r>
      <w:r>
        <w:rPr>
          <w:rFonts w:hint="eastAsia" w:ascii="仿宋_GB2312" w:hAnsi="仿宋_GB2312" w:eastAsia="仿宋_GB2312" w:cs="仿宋_GB2312"/>
          <w:sz w:val="28"/>
          <w:szCs w:val="28"/>
        </w:rPr>
        <w:t>。教学资源包括技能训练指导书和技能操作规程。具体详见表16。</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10"/>
          <w:sz w:val="28"/>
          <w:szCs w:val="28"/>
          <w:shd w:val="clear" w:color="auto" w:fill="FFFFFF"/>
        </w:rPr>
        <w:t>2</w:t>
      </w:r>
      <w:r>
        <w:rPr>
          <w:rFonts w:hint="eastAsia" w:ascii="仿宋_GB2312" w:hAnsi="仿宋_GB2312" w:eastAsia="仿宋_GB2312" w:cs="仿宋_GB2312"/>
          <w:color w:val="000000"/>
          <w:spacing w:val="10"/>
          <w:sz w:val="28"/>
          <w:szCs w:val="28"/>
          <w:shd w:val="clear" w:color="auto" w:fill="FFFFFF"/>
          <w:lang w:val="en-US" w:eastAsia="zh-CN"/>
        </w:rPr>
        <w:t>.</w:t>
      </w:r>
      <w:r>
        <w:rPr>
          <w:rFonts w:hint="eastAsia" w:ascii="仿宋_GB2312" w:hAnsi="仿宋_GB2312" w:eastAsia="仿宋_GB2312" w:cs="仿宋_GB2312"/>
          <w:color w:val="000000"/>
          <w:spacing w:val="10"/>
          <w:sz w:val="28"/>
          <w:szCs w:val="28"/>
          <w:shd w:val="clear" w:color="auto" w:fill="FFFFFF"/>
        </w:rPr>
        <w:t>拓展资源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b/>
          <w:color w:val="000000"/>
          <w:kern w:val="0"/>
          <w:sz w:val="28"/>
          <w:szCs w:val="28"/>
          <w:shd w:val="clear" w:color="auto" w:fill="FFFFFF"/>
        </w:rPr>
      </w:pPr>
      <w:r>
        <w:rPr>
          <w:rFonts w:hint="eastAsia" w:ascii="仿宋_GB2312" w:hAnsi="仿宋_GB2312" w:eastAsia="仿宋_GB2312" w:cs="仿宋_GB2312"/>
          <w:sz w:val="28"/>
          <w:szCs w:val="28"/>
        </w:rPr>
        <w:t>制作完成素材资源库、试题库和裁判长技术点评、优秀选手访谈优秀指导教师访谈等。具体详见如下表16。</w:t>
      </w:r>
    </w:p>
    <w:p>
      <w:pPr>
        <w:keepNext w:val="0"/>
        <w:keepLines w:val="0"/>
        <w:pageBreakBefore w:val="0"/>
        <w:kinsoku/>
        <w:wordWrap/>
        <w:overflowPunct/>
        <w:autoSpaceDE/>
        <w:autoSpaceDN/>
        <w:bidi w:val="0"/>
        <w:adjustRightInd w:val="0"/>
        <w:snapToGrid w:val="0"/>
        <w:spacing w:line="56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表16农机维修赛项资源转化计划</w:t>
      </w:r>
    </w:p>
    <w:tbl>
      <w:tblPr>
        <w:tblStyle w:val="10"/>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04"/>
        <w:gridCol w:w="1966"/>
        <w:gridCol w:w="1546"/>
        <w:gridCol w:w="1265"/>
        <w:gridCol w:w="1264"/>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334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资源名称</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表现形式</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资源数量</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资源要求</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源</w:t>
            </w:r>
          </w:p>
        </w:tc>
        <w:tc>
          <w:tcPr>
            <w:tcW w:w="7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风采展示</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赛项宣传片</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5分钟</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风采展示片</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3分钟/个</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技能概要</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技能介绍</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演示文稿</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技能要点</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8分钟</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教学资源</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技能训练指导书</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电子教材</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7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技能操作规程</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6分钟</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拓</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源</w:t>
            </w:r>
          </w:p>
        </w:tc>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素材资源库</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演示文稿、图片、视频等</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40件以上</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试题库</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裁判长技术点评</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优秀选手访谈</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2分钟</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p>
        </w:tc>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优秀指导教师访谈</w:t>
            </w:r>
          </w:p>
        </w:tc>
        <w:tc>
          <w:tcPr>
            <w:tcW w:w="154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2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3分钟</w:t>
            </w:r>
          </w:p>
        </w:tc>
        <w:tc>
          <w:tcPr>
            <w:tcW w:w="12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2019.5</w:t>
            </w:r>
          </w:p>
        </w:tc>
      </w:tr>
    </w:tbl>
    <w:p/>
    <w:sectPr>
      <w:footerReference r:id="rId3"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o:spid="_x0000_s2049" o:spt="202" type="#_x0000_t202" style="position:absolute;left:0pt;margin-top:0pt;height:144pt;width:144pt;mso-position-horizontal:center;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dc4uTbcBAABJAwAADgAAAAAAAAAAAAAAAAAuAgAAZHJzL2Uyb0RvYy54&#10;bWxQSwECLQAUAAYACAAAACEAqooLHNgAAAAFAQAADwAAAAAAAAAAAAAAAAARBAAAZHJzL2Rvd25y&#10;ZXYueG1sUEsFBgAAAAAEAAQA8wAAABYFAAAAAA==&#10;">
          <v:path/>
          <v:fill on="f" focussize="0,0"/>
          <v:stroke on="f" weight="1.2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tentative="0">
      <w:start w:val="1"/>
      <w:numFmt w:val="decimal"/>
      <w:lvlText w:val="%1."/>
      <w:lvlJc w:val="left"/>
      <w:pPr>
        <w:ind w:left="840" w:hanging="420"/>
      </w:pPr>
      <w:rPr>
        <w:rFonts w:hint="eastAsia" w:cs="Times New Roman"/>
        <w:sz w:val="28"/>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FB71566"/>
    <w:rsid w:val="00002129"/>
    <w:rsid w:val="000101B4"/>
    <w:rsid w:val="00020D66"/>
    <w:rsid w:val="00021D71"/>
    <w:rsid w:val="00025768"/>
    <w:rsid w:val="0002609C"/>
    <w:rsid w:val="0004338E"/>
    <w:rsid w:val="00051F62"/>
    <w:rsid w:val="00053FCF"/>
    <w:rsid w:val="000679E0"/>
    <w:rsid w:val="00072AB5"/>
    <w:rsid w:val="00083E09"/>
    <w:rsid w:val="000B2FF2"/>
    <w:rsid w:val="000B706E"/>
    <w:rsid w:val="000E11B3"/>
    <w:rsid w:val="000E1F0E"/>
    <w:rsid w:val="000F7563"/>
    <w:rsid w:val="0010075A"/>
    <w:rsid w:val="001115CA"/>
    <w:rsid w:val="00115BE4"/>
    <w:rsid w:val="00133330"/>
    <w:rsid w:val="00133FF7"/>
    <w:rsid w:val="00136BC5"/>
    <w:rsid w:val="0014173E"/>
    <w:rsid w:val="00145E19"/>
    <w:rsid w:val="00153FC5"/>
    <w:rsid w:val="00157D03"/>
    <w:rsid w:val="00161D7B"/>
    <w:rsid w:val="00166F87"/>
    <w:rsid w:val="00167C67"/>
    <w:rsid w:val="00176179"/>
    <w:rsid w:val="001A3CE5"/>
    <w:rsid w:val="001C542E"/>
    <w:rsid w:val="001F167E"/>
    <w:rsid w:val="00207625"/>
    <w:rsid w:val="00217BD6"/>
    <w:rsid w:val="00233C25"/>
    <w:rsid w:val="0023531A"/>
    <w:rsid w:val="00235449"/>
    <w:rsid w:val="0025149B"/>
    <w:rsid w:val="00263754"/>
    <w:rsid w:val="002679BC"/>
    <w:rsid w:val="002753C3"/>
    <w:rsid w:val="0028086E"/>
    <w:rsid w:val="00292814"/>
    <w:rsid w:val="00293098"/>
    <w:rsid w:val="002968A1"/>
    <w:rsid w:val="002A247A"/>
    <w:rsid w:val="002C7B0D"/>
    <w:rsid w:val="002D4B8F"/>
    <w:rsid w:val="0030224C"/>
    <w:rsid w:val="00302C3B"/>
    <w:rsid w:val="0031060D"/>
    <w:rsid w:val="0031675F"/>
    <w:rsid w:val="00322BDC"/>
    <w:rsid w:val="00325823"/>
    <w:rsid w:val="00332614"/>
    <w:rsid w:val="003453AE"/>
    <w:rsid w:val="00345461"/>
    <w:rsid w:val="0035669A"/>
    <w:rsid w:val="00363B34"/>
    <w:rsid w:val="00371498"/>
    <w:rsid w:val="00374D58"/>
    <w:rsid w:val="00383ABE"/>
    <w:rsid w:val="00391A22"/>
    <w:rsid w:val="00395529"/>
    <w:rsid w:val="00395575"/>
    <w:rsid w:val="00397D02"/>
    <w:rsid w:val="003B0498"/>
    <w:rsid w:val="003C460B"/>
    <w:rsid w:val="003D1DC9"/>
    <w:rsid w:val="003D3EFA"/>
    <w:rsid w:val="003E221B"/>
    <w:rsid w:val="003F1E6F"/>
    <w:rsid w:val="003F354B"/>
    <w:rsid w:val="00404D79"/>
    <w:rsid w:val="004179BF"/>
    <w:rsid w:val="004309C1"/>
    <w:rsid w:val="004472FB"/>
    <w:rsid w:val="00447B10"/>
    <w:rsid w:val="004514C0"/>
    <w:rsid w:val="0046014A"/>
    <w:rsid w:val="004624C3"/>
    <w:rsid w:val="004639EF"/>
    <w:rsid w:val="0046646A"/>
    <w:rsid w:val="00493F76"/>
    <w:rsid w:val="004B1265"/>
    <w:rsid w:val="004B59B6"/>
    <w:rsid w:val="004C0E32"/>
    <w:rsid w:val="004C0EB4"/>
    <w:rsid w:val="004C3540"/>
    <w:rsid w:val="004C4F5A"/>
    <w:rsid w:val="004D6423"/>
    <w:rsid w:val="005167A6"/>
    <w:rsid w:val="00533ED0"/>
    <w:rsid w:val="00537F0A"/>
    <w:rsid w:val="005438E1"/>
    <w:rsid w:val="0056550F"/>
    <w:rsid w:val="00595C13"/>
    <w:rsid w:val="00597FB9"/>
    <w:rsid w:val="005A426C"/>
    <w:rsid w:val="005A4654"/>
    <w:rsid w:val="005B409D"/>
    <w:rsid w:val="005C2893"/>
    <w:rsid w:val="005C4038"/>
    <w:rsid w:val="005C43B4"/>
    <w:rsid w:val="005D03DF"/>
    <w:rsid w:val="005D502C"/>
    <w:rsid w:val="00605FB4"/>
    <w:rsid w:val="00614CC7"/>
    <w:rsid w:val="00616B8F"/>
    <w:rsid w:val="00635A69"/>
    <w:rsid w:val="00635C11"/>
    <w:rsid w:val="00643553"/>
    <w:rsid w:val="00645B24"/>
    <w:rsid w:val="0064708F"/>
    <w:rsid w:val="00680FCC"/>
    <w:rsid w:val="00681BE5"/>
    <w:rsid w:val="0068737C"/>
    <w:rsid w:val="006C392A"/>
    <w:rsid w:val="006D72AE"/>
    <w:rsid w:val="006E1D2F"/>
    <w:rsid w:val="006E3E79"/>
    <w:rsid w:val="00700A29"/>
    <w:rsid w:val="007075C0"/>
    <w:rsid w:val="007126B3"/>
    <w:rsid w:val="0072091E"/>
    <w:rsid w:val="00730E7D"/>
    <w:rsid w:val="0073357B"/>
    <w:rsid w:val="00745E3E"/>
    <w:rsid w:val="00770BA6"/>
    <w:rsid w:val="00773B42"/>
    <w:rsid w:val="00793C29"/>
    <w:rsid w:val="007A57B5"/>
    <w:rsid w:val="007B6DDB"/>
    <w:rsid w:val="007F6A51"/>
    <w:rsid w:val="0080049E"/>
    <w:rsid w:val="00806131"/>
    <w:rsid w:val="00810A27"/>
    <w:rsid w:val="0081439C"/>
    <w:rsid w:val="008303EB"/>
    <w:rsid w:val="00835E9E"/>
    <w:rsid w:val="00835FE2"/>
    <w:rsid w:val="00863620"/>
    <w:rsid w:val="00867BC4"/>
    <w:rsid w:val="00871CB6"/>
    <w:rsid w:val="0089055A"/>
    <w:rsid w:val="008963BD"/>
    <w:rsid w:val="008B65BC"/>
    <w:rsid w:val="008C6C79"/>
    <w:rsid w:val="008F129B"/>
    <w:rsid w:val="008F1434"/>
    <w:rsid w:val="009003C9"/>
    <w:rsid w:val="00920FA4"/>
    <w:rsid w:val="00927C7F"/>
    <w:rsid w:val="009422D2"/>
    <w:rsid w:val="00946056"/>
    <w:rsid w:val="0095049F"/>
    <w:rsid w:val="009674F7"/>
    <w:rsid w:val="00977379"/>
    <w:rsid w:val="009851A9"/>
    <w:rsid w:val="009921FA"/>
    <w:rsid w:val="00995439"/>
    <w:rsid w:val="009A047A"/>
    <w:rsid w:val="009A37DC"/>
    <w:rsid w:val="009A633D"/>
    <w:rsid w:val="009B7A6C"/>
    <w:rsid w:val="009D75B6"/>
    <w:rsid w:val="009E21B4"/>
    <w:rsid w:val="009E5CF6"/>
    <w:rsid w:val="009F15B7"/>
    <w:rsid w:val="009F702A"/>
    <w:rsid w:val="00A03814"/>
    <w:rsid w:val="00A063A1"/>
    <w:rsid w:val="00A27553"/>
    <w:rsid w:val="00A346AE"/>
    <w:rsid w:val="00A506F2"/>
    <w:rsid w:val="00AA1C14"/>
    <w:rsid w:val="00AC0C10"/>
    <w:rsid w:val="00AF58D8"/>
    <w:rsid w:val="00B01652"/>
    <w:rsid w:val="00B0291C"/>
    <w:rsid w:val="00B116E8"/>
    <w:rsid w:val="00B303AC"/>
    <w:rsid w:val="00B3137D"/>
    <w:rsid w:val="00B4100D"/>
    <w:rsid w:val="00B46192"/>
    <w:rsid w:val="00B5340B"/>
    <w:rsid w:val="00B539D5"/>
    <w:rsid w:val="00B65D0A"/>
    <w:rsid w:val="00B9000B"/>
    <w:rsid w:val="00B93467"/>
    <w:rsid w:val="00BA6E55"/>
    <w:rsid w:val="00BB64E1"/>
    <w:rsid w:val="00BC15A7"/>
    <w:rsid w:val="00BC649A"/>
    <w:rsid w:val="00BD0D40"/>
    <w:rsid w:val="00BD56DB"/>
    <w:rsid w:val="00BE22CD"/>
    <w:rsid w:val="00C067B3"/>
    <w:rsid w:val="00C1059B"/>
    <w:rsid w:val="00C128E3"/>
    <w:rsid w:val="00C15F74"/>
    <w:rsid w:val="00C20CA3"/>
    <w:rsid w:val="00C30455"/>
    <w:rsid w:val="00C320D7"/>
    <w:rsid w:val="00C33160"/>
    <w:rsid w:val="00C342E8"/>
    <w:rsid w:val="00C34609"/>
    <w:rsid w:val="00C423DC"/>
    <w:rsid w:val="00C4322E"/>
    <w:rsid w:val="00C57C4A"/>
    <w:rsid w:val="00C6308A"/>
    <w:rsid w:val="00C677BC"/>
    <w:rsid w:val="00C67D36"/>
    <w:rsid w:val="00C76D2F"/>
    <w:rsid w:val="00C9473D"/>
    <w:rsid w:val="00CA376E"/>
    <w:rsid w:val="00CA5FE5"/>
    <w:rsid w:val="00CC492F"/>
    <w:rsid w:val="00CC6ABF"/>
    <w:rsid w:val="00CC7571"/>
    <w:rsid w:val="00CD38A7"/>
    <w:rsid w:val="00CE334E"/>
    <w:rsid w:val="00CF0B86"/>
    <w:rsid w:val="00CF21DA"/>
    <w:rsid w:val="00CF7092"/>
    <w:rsid w:val="00D223A3"/>
    <w:rsid w:val="00D27329"/>
    <w:rsid w:val="00D30FB6"/>
    <w:rsid w:val="00D42084"/>
    <w:rsid w:val="00D53365"/>
    <w:rsid w:val="00D53C07"/>
    <w:rsid w:val="00D53EC5"/>
    <w:rsid w:val="00D5495D"/>
    <w:rsid w:val="00D63962"/>
    <w:rsid w:val="00D82D2A"/>
    <w:rsid w:val="00D8732F"/>
    <w:rsid w:val="00D90701"/>
    <w:rsid w:val="00D9523C"/>
    <w:rsid w:val="00DA238C"/>
    <w:rsid w:val="00DA66B6"/>
    <w:rsid w:val="00DA6EED"/>
    <w:rsid w:val="00DC118E"/>
    <w:rsid w:val="00DC73C3"/>
    <w:rsid w:val="00DD03B3"/>
    <w:rsid w:val="00DD26DD"/>
    <w:rsid w:val="00DD5198"/>
    <w:rsid w:val="00DD77E6"/>
    <w:rsid w:val="00DD7800"/>
    <w:rsid w:val="00DD7DA0"/>
    <w:rsid w:val="00DF4B09"/>
    <w:rsid w:val="00E24AB7"/>
    <w:rsid w:val="00E345A1"/>
    <w:rsid w:val="00E51F50"/>
    <w:rsid w:val="00E6433F"/>
    <w:rsid w:val="00E67A52"/>
    <w:rsid w:val="00E7722B"/>
    <w:rsid w:val="00E850AD"/>
    <w:rsid w:val="00E90E04"/>
    <w:rsid w:val="00E933CC"/>
    <w:rsid w:val="00E95B16"/>
    <w:rsid w:val="00EA0C8B"/>
    <w:rsid w:val="00EA4E11"/>
    <w:rsid w:val="00EB06A9"/>
    <w:rsid w:val="00EB5C83"/>
    <w:rsid w:val="00EC63E8"/>
    <w:rsid w:val="00ED40DD"/>
    <w:rsid w:val="00EE1144"/>
    <w:rsid w:val="00EE2330"/>
    <w:rsid w:val="00EE5343"/>
    <w:rsid w:val="00EE6622"/>
    <w:rsid w:val="00EE79FF"/>
    <w:rsid w:val="00EF4398"/>
    <w:rsid w:val="00F018BE"/>
    <w:rsid w:val="00F07221"/>
    <w:rsid w:val="00F2044A"/>
    <w:rsid w:val="00F2183D"/>
    <w:rsid w:val="00F278ED"/>
    <w:rsid w:val="00F352EF"/>
    <w:rsid w:val="00F417C1"/>
    <w:rsid w:val="00F5244F"/>
    <w:rsid w:val="00F56E2B"/>
    <w:rsid w:val="00F60CF2"/>
    <w:rsid w:val="00F64B47"/>
    <w:rsid w:val="00F902BC"/>
    <w:rsid w:val="00FD2C36"/>
    <w:rsid w:val="00FE5B93"/>
    <w:rsid w:val="00FF0D60"/>
    <w:rsid w:val="0209119C"/>
    <w:rsid w:val="038568F0"/>
    <w:rsid w:val="05934679"/>
    <w:rsid w:val="06772781"/>
    <w:rsid w:val="068B106E"/>
    <w:rsid w:val="06A0630F"/>
    <w:rsid w:val="08615B93"/>
    <w:rsid w:val="08A00A9A"/>
    <w:rsid w:val="0A503795"/>
    <w:rsid w:val="0A7F22B9"/>
    <w:rsid w:val="0ABF1BCD"/>
    <w:rsid w:val="11C06EAF"/>
    <w:rsid w:val="11D033B6"/>
    <w:rsid w:val="14A46C02"/>
    <w:rsid w:val="15666B27"/>
    <w:rsid w:val="18FD0AC7"/>
    <w:rsid w:val="1A76244D"/>
    <w:rsid w:val="1B6112C9"/>
    <w:rsid w:val="1B705742"/>
    <w:rsid w:val="1BF27E31"/>
    <w:rsid w:val="1C380375"/>
    <w:rsid w:val="1EB674BA"/>
    <w:rsid w:val="229564E3"/>
    <w:rsid w:val="245C30BD"/>
    <w:rsid w:val="254D58CA"/>
    <w:rsid w:val="255173E8"/>
    <w:rsid w:val="27393720"/>
    <w:rsid w:val="27CC6D71"/>
    <w:rsid w:val="285A2348"/>
    <w:rsid w:val="29BB31A5"/>
    <w:rsid w:val="2BCE1232"/>
    <w:rsid w:val="2C581975"/>
    <w:rsid w:val="2DC9228E"/>
    <w:rsid w:val="2F034E7C"/>
    <w:rsid w:val="2F4D0EDE"/>
    <w:rsid w:val="30CC1FD6"/>
    <w:rsid w:val="31D766CE"/>
    <w:rsid w:val="320004D6"/>
    <w:rsid w:val="33F74D3A"/>
    <w:rsid w:val="35060BFC"/>
    <w:rsid w:val="358452BE"/>
    <w:rsid w:val="35A85CCE"/>
    <w:rsid w:val="36DA2C88"/>
    <w:rsid w:val="38EE0A3E"/>
    <w:rsid w:val="39BB6EED"/>
    <w:rsid w:val="3B3869D3"/>
    <w:rsid w:val="3B3965C6"/>
    <w:rsid w:val="3BB2741D"/>
    <w:rsid w:val="414F44F0"/>
    <w:rsid w:val="42DB53A0"/>
    <w:rsid w:val="437B1462"/>
    <w:rsid w:val="46161465"/>
    <w:rsid w:val="480B6528"/>
    <w:rsid w:val="4A8D0184"/>
    <w:rsid w:val="4AF4189E"/>
    <w:rsid w:val="4B681352"/>
    <w:rsid w:val="4B933858"/>
    <w:rsid w:val="4C304EE5"/>
    <w:rsid w:val="4EC508EC"/>
    <w:rsid w:val="4FD64380"/>
    <w:rsid w:val="5467653F"/>
    <w:rsid w:val="551E71A8"/>
    <w:rsid w:val="56B76351"/>
    <w:rsid w:val="57237927"/>
    <w:rsid w:val="597F256F"/>
    <w:rsid w:val="599C1975"/>
    <w:rsid w:val="5D405C17"/>
    <w:rsid w:val="5DC60396"/>
    <w:rsid w:val="5ED4664D"/>
    <w:rsid w:val="622E44BE"/>
    <w:rsid w:val="62B85C32"/>
    <w:rsid w:val="63275A05"/>
    <w:rsid w:val="640473DD"/>
    <w:rsid w:val="640A073C"/>
    <w:rsid w:val="66D67FB5"/>
    <w:rsid w:val="66EE4AD3"/>
    <w:rsid w:val="6751078F"/>
    <w:rsid w:val="68671FCE"/>
    <w:rsid w:val="6B517FAB"/>
    <w:rsid w:val="6C2920E8"/>
    <w:rsid w:val="6CF366C2"/>
    <w:rsid w:val="6E6877B6"/>
    <w:rsid w:val="6F7C7894"/>
    <w:rsid w:val="747D295B"/>
    <w:rsid w:val="74940467"/>
    <w:rsid w:val="75F82D27"/>
    <w:rsid w:val="75F86E15"/>
    <w:rsid w:val="76557946"/>
    <w:rsid w:val="76726254"/>
    <w:rsid w:val="7AF64D19"/>
    <w:rsid w:val="7D5C0F5A"/>
    <w:rsid w:val="7D7B6870"/>
    <w:rsid w:val="7FB7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0"/>
    <w:pPr>
      <w:jc w:val="left"/>
    </w:pPr>
  </w:style>
  <w:style w:type="paragraph" w:styleId="3">
    <w:name w:val="Plain Text"/>
    <w:basedOn w:val="1"/>
    <w:uiPriority w:val="0"/>
    <w:rPr>
      <w:rFonts w:ascii="宋体" w:hAnsi="Courier New"/>
      <w:kern w:val="0"/>
      <w:szCs w:val="21"/>
    </w:rPr>
  </w:style>
  <w:style w:type="paragraph" w:styleId="4">
    <w:name w:val="Balloon Text"/>
    <w:basedOn w:val="1"/>
    <w:link w:val="18"/>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tLeast"/>
      <w:jc w:val="left"/>
      <w:outlineLvl w:val="1"/>
    </w:pPr>
    <w:rPr>
      <w:rFonts w:ascii="Cambria" w:hAnsi="Cambria"/>
      <w:bCs/>
      <w:kern w:val="28"/>
      <w:szCs w:val="32"/>
    </w:rPr>
  </w:style>
  <w:style w:type="paragraph" w:styleId="8">
    <w:name w:val="Title"/>
    <w:basedOn w:val="1"/>
    <w:next w:val="1"/>
    <w:qFormat/>
    <w:uiPriority w:val="0"/>
    <w:pPr>
      <w:snapToGrid w:val="0"/>
      <w:spacing w:line="540" w:lineRule="exact"/>
      <w:jc w:val="left"/>
    </w:pPr>
    <w:rPr>
      <w:rFonts w:ascii="黑体" w:hAnsi="黑体" w:eastAsia="仿宋_GB2312" w:cs="宋体"/>
      <w:b/>
      <w:sz w:val="28"/>
      <w:szCs w:val="36"/>
    </w:rPr>
  </w:style>
  <w:style w:type="paragraph" w:styleId="9">
    <w:name w:val="annotation subject"/>
    <w:basedOn w:val="2"/>
    <w:next w:val="2"/>
    <w:link w:val="17"/>
    <w:semiHidden/>
    <w:unhideWhenUsed/>
    <w:uiPriority w:val="0"/>
    <w:rPr>
      <w:b/>
      <w:bCs/>
    </w:rPr>
  </w:style>
  <w:style w:type="table" w:styleId="11">
    <w:name w:val="Table Grid"/>
    <w:basedOn w:val="1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annotation reference"/>
    <w:basedOn w:val="12"/>
    <w:semiHidden/>
    <w:unhideWhenUsed/>
    <w:uiPriority w:val="0"/>
    <w:rPr>
      <w:sz w:val="21"/>
      <w:szCs w:val="21"/>
    </w:rPr>
  </w:style>
  <w:style w:type="paragraph" w:customStyle="1" w:styleId="14">
    <w:name w:val="5-内文"/>
    <w:basedOn w:val="1"/>
    <w:qFormat/>
    <w:uiPriority w:val="99"/>
    <w:pPr>
      <w:spacing w:beforeLines="25" w:afterLines="25" w:line="300" w:lineRule="auto"/>
      <w:ind w:firstLine="200" w:firstLineChars="200"/>
    </w:pPr>
    <w:rPr>
      <w:kern w:val="0"/>
      <w:szCs w:val="20"/>
    </w:rPr>
  </w:style>
  <w:style w:type="character" w:customStyle="1" w:styleId="15">
    <w:name w:val="页眉 Char"/>
    <w:basedOn w:val="12"/>
    <w:link w:val="6"/>
    <w:uiPriority w:val="0"/>
    <w:rPr>
      <w:rFonts w:ascii="Calibri" w:hAnsi="Calibri"/>
      <w:kern w:val="2"/>
      <w:sz w:val="18"/>
      <w:szCs w:val="18"/>
    </w:rPr>
  </w:style>
  <w:style w:type="character" w:customStyle="1" w:styleId="16">
    <w:name w:val="批注文字 Char"/>
    <w:basedOn w:val="12"/>
    <w:link w:val="2"/>
    <w:semiHidden/>
    <w:qFormat/>
    <w:uiPriority w:val="0"/>
    <w:rPr>
      <w:rFonts w:ascii="Calibri" w:hAnsi="Calibri"/>
      <w:kern w:val="2"/>
      <w:sz w:val="21"/>
      <w:szCs w:val="24"/>
    </w:rPr>
  </w:style>
  <w:style w:type="character" w:customStyle="1" w:styleId="17">
    <w:name w:val="批注主题 Char"/>
    <w:basedOn w:val="16"/>
    <w:link w:val="9"/>
    <w:semiHidden/>
    <w:uiPriority w:val="0"/>
    <w:rPr>
      <w:rFonts w:ascii="Calibri" w:hAnsi="Calibri"/>
      <w:b/>
      <w:bCs/>
      <w:kern w:val="2"/>
      <w:sz w:val="21"/>
      <w:szCs w:val="24"/>
    </w:rPr>
  </w:style>
  <w:style w:type="character" w:customStyle="1" w:styleId="18">
    <w:name w:val="批注框文本 Char"/>
    <w:basedOn w:val="12"/>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D:\Documents\Tencent%2525252525252525252520Files\1113260635\Image\C2C\6S7C%252525252525252525257B%252525252525252525257DIUYI$410TFYHOS7%25252525252525252525258.png" TargetMode="External"/><Relationship Id="rId7" Type="http://schemas.openxmlformats.org/officeDocument/2006/relationships/image" Target="media/image2.png"/><Relationship Id="rId6" Type="http://schemas.openxmlformats.org/officeDocument/2006/relationships/image" Target="file:///D:\Documents\Tencent%2525252525252525252520Files\1113260635\Image\C2C\2WC48%252525252525252525255BDBPVH5N3(%252525252525252525257DD77%252525252525252525255B4$E.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7FFF4-D763-434B-87A6-BC7C38AD167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2264</Words>
  <Characters>12908</Characters>
  <Lines>107</Lines>
  <Paragraphs>30</Paragraphs>
  <TotalTime>4</TotalTime>
  <ScaleCrop>false</ScaleCrop>
  <LinksUpToDate>false</LinksUpToDate>
  <CharactersWithSpaces>15142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2019-03-13T01:43:00Z</dcterms:created>
  <dc:creator>王平会</dc:creator>
  <cp:lastModifiedBy>qy</cp:lastModifiedBy>
  <cp:lastPrinted>2019-03-20T07:31:00Z</cp:lastPrinted>
  <dcterms:modified xsi:type="dcterms:W3CDTF">2019-03-23T08:44:41Z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