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黑体" w:hAnsi="黑体" w:eastAsia="黑体"/>
          <w:b/>
          <w:sz w:val="36"/>
          <w:szCs w:val="36"/>
        </w:rPr>
      </w:pPr>
      <w:r>
        <w:rPr>
          <w:rFonts w:ascii="黑体" w:hAnsi="黑体" w:eastAsia="黑体"/>
          <w:b/>
          <w:sz w:val="36"/>
          <w:szCs w:val="36"/>
        </w:rPr>
        <w:t>2019</w:t>
      </w:r>
      <w:r>
        <w:rPr>
          <w:rFonts w:hint="eastAsia" w:ascii="黑体" w:hAnsi="黑体" w:eastAsia="黑体"/>
          <w:b/>
          <w:sz w:val="36"/>
          <w:szCs w:val="36"/>
        </w:rPr>
        <w:t>年全国职业院校技能大赛</w:t>
      </w:r>
    </w:p>
    <w:p>
      <w:pPr>
        <w:snapToGrid w:val="0"/>
        <w:spacing w:line="540" w:lineRule="exact"/>
        <w:jc w:val="center"/>
        <w:rPr>
          <w:rFonts w:ascii="黑体" w:hAnsi="黑体" w:eastAsia="黑体"/>
          <w:b/>
          <w:sz w:val="36"/>
          <w:szCs w:val="36"/>
        </w:rPr>
      </w:pPr>
      <w:r>
        <w:rPr>
          <w:rFonts w:hint="eastAsia" w:ascii="黑体"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（一）赛项名称</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全国职业院校技能大赛烹饪（高职组）赛项</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（二）压题彩照</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drawing>
          <wp:anchor distT="0" distB="0" distL="114300" distR="114300" simplePos="0" relativeHeight="251658240" behindDoc="0" locked="0" layoutInCell="1" allowOverlap="1">
            <wp:simplePos x="0" y="0"/>
            <wp:positionH relativeFrom="column">
              <wp:posOffset>47625</wp:posOffset>
            </wp:positionH>
            <wp:positionV relativeFrom="paragraph">
              <wp:posOffset>181610</wp:posOffset>
            </wp:positionV>
            <wp:extent cx="5274310" cy="3514725"/>
            <wp:effectExtent l="19050" t="0" r="2540" b="0"/>
            <wp:wrapNone/>
            <wp:docPr id="1" name="图片 1" descr="F:\姜婷\中烹产业存档\行指委工作\2015年\2015年高职比赛\2015年烹饪国赛选出照片\2015年烹饪国赛选出照片\IMG_2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姜婷\中烹产业存档\行指委工作\2015年\2015年高职比赛\2015年烹饪国赛选出照片\2015年烹饪国赛选出照片\IMG_2456.JPG"/>
                    <pic:cNvPicPr>
                      <a:picLocks noChangeAspect="1" noChangeArrowheads="1"/>
                    </pic:cNvPicPr>
                  </pic:nvPicPr>
                  <pic:blipFill>
                    <a:blip r:embed="rId5" cstate="print"/>
                    <a:srcRect/>
                    <a:stretch>
                      <a:fillRect/>
                    </a:stretch>
                  </pic:blipFill>
                  <pic:spPr>
                    <a:xfrm>
                      <a:off x="0" y="0"/>
                      <a:ext cx="5274310" cy="3514725"/>
                    </a:xfrm>
                    <a:prstGeom prst="rect">
                      <a:avLst/>
                    </a:prstGeom>
                    <a:noFill/>
                    <a:ln w="9525">
                      <a:noFill/>
                      <a:miter lim="800000"/>
                      <a:headEnd/>
                      <a:tailEnd/>
                    </a:ln>
                  </pic:spPr>
                </pic:pic>
              </a:graphicData>
            </a:graphic>
          </wp:anchor>
        </w:drawing>
      </w: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（三）赛项归属产业类型</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现代服务业</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（四）赛项归属专业大类/类</w:t>
      </w:r>
    </w:p>
    <w:tbl>
      <w:tblPr>
        <w:tblStyle w:val="13"/>
        <w:tblpPr w:leftFromText="180" w:rightFromText="180" w:vertAnchor="text" w:horzAnchor="page" w:tblpX="1113" w:tblpY="237"/>
        <w:tblOverlap w:val="never"/>
        <w:tblW w:w="9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819"/>
        <w:gridCol w:w="1559"/>
        <w:gridCol w:w="1701"/>
        <w:gridCol w:w="3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12"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组别</w:t>
            </w:r>
          </w:p>
        </w:tc>
        <w:tc>
          <w:tcPr>
            <w:tcW w:w="1819"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专业大类</w:t>
            </w:r>
          </w:p>
        </w:tc>
        <w:tc>
          <w:tcPr>
            <w:tcW w:w="1559"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专业类</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专业代码</w:t>
            </w:r>
          </w:p>
        </w:tc>
        <w:tc>
          <w:tcPr>
            <w:tcW w:w="3085"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eastAsiaTheme="minorEastAsia"/>
                <w:b/>
                <w:bCs/>
                <w:color w:val="000000"/>
                <w:sz w:val="24"/>
                <w:szCs w:val="24"/>
              </w:rPr>
            </w:pPr>
            <w:r>
              <w:rPr>
                <w:rFonts w:hint="eastAsia" w:cs="Arial" w:asciiTheme="minorEastAsia" w:hAnsiTheme="minorEastAsia" w:eastAsiaTheme="minorEastAsia"/>
                <w:b/>
                <w:bCs/>
                <w:color w:val="000000"/>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12"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81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旅游</w:t>
            </w:r>
          </w:p>
        </w:tc>
        <w:tc>
          <w:tcPr>
            <w:tcW w:w="155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餐饮类</w:t>
            </w:r>
          </w:p>
        </w:tc>
        <w:tc>
          <w:tcPr>
            <w:tcW w:w="1701"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640202</w:t>
            </w:r>
          </w:p>
        </w:tc>
        <w:tc>
          <w:tcPr>
            <w:tcW w:w="3085"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烹调工艺与营养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12"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81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旅游</w:t>
            </w:r>
          </w:p>
        </w:tc>
        <w:tc>
          <w:tcPr>
            <w:tcW w:w="155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餐饮类</w:t>
            </w:r>
          </w:p>
        </w:tc>
        <w:tc>
          <w:tcPr>
            <w:tcW w:w="1701"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640203</w:t>
            </w:r>
          </w:p>
        </w:tc>
        <w:tc>
          <w:tcPr>
            <w:tcW w:w="3085"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营养配餐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12"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81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旅游</w:t>
            </w:r>
          </w:p>
        </w:tc>
        <w:tc>
          <w:tcPr>
            <w:tcW w:w="155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餐饮类</w:t>
            </w:r>
          </w:p>
        </w:tc>
        <w:tc>
          <w:tcPr>
            <w:tcW w:w="1701"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640204</w:t>
            </w:r>
          </w:p>
        </w:tc>
        <w:tc>
          <w:tcPr>
            <w:tcW w:w="3085"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中西面点工艺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12"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81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旅游</w:t>
            </w:r>
          </w:p>
        </w:tc>
        <w:tc>
          <w:tcPr>
            <w:tcW w:w="1559"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餐饮类</w:t>
            </w:r>
          </w:p>
        </w:tc>
        <w:tc>
          <w:tcPr>
            <w:tcW w:w="1701"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64020</w:t>
            </w:r>
            <w:r>
              <w:rPr>
                <w:rFonts w:hint="eastAsia" w:cs="Arial" w:asciiTheme="minorEastAsia" w:hAnsiTheme="minorEastAsia" w:eastAsiaTheme="minorEastAsia"/>
                <w:sz w:val="24"/>
                <w:szCs w:val="24"/>
              </w:rPr>
              <w:t>5</w:t>
            </w:r>
          </w:p>
        </w:tc>
        <w:tc>
          <w:tcPr>
            <w:tcW w:w="3085" w:type="dxa"/>
            <w:tcBorders>
              <w:top w:val="single" w:color="auto" w:sz="4" w:space="0"/>
              <w:left w:val="single" w:color="auto" w:sz="4" w:space="0"/>
              <w:bottom w:val="single" w:color="auto" w:sz="4" w:space="0"/>
              <w:right w:val="single" w:color="auto" w:sz="4" w:space="0"/>
            </w:tcBorders>
          </w:tcPr>
          <w:p>
            <w:pPr>
              <w:snapToGrid w:val="0"/>
              <w:spacing w:line="40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西餐工艺</w:t>
            </w:r>
          </w:p>
        </w:tc>
      </w:tr>
    </w:tbl>
    <w:p>
      <w:pPr>
        <w:numPr>
          <w:ilvl w:val="0"/>
          <w:numId w:val="1"/>
        </w:numPr>
        <w:snapToGrid w:val="0"/>
        <w:spacing w:line="560" w:lineRule="exact"/>
        <w:ind w:firstLine="600" w:firstLineChars="200"/>
        <w:rPr>
          <w:rFonts w:hint="eastAsia" w:ascii="黑体" w:hAnsi="黑体" w:eastAsia="黑体" w:cs="黑体"/>
          <w:bCs/>
          <w:sz w:val="30"/>
          <w:szCs w:val="30"/>
        </w:rPr>
      </w:pPr>
      <w:r>
        <w:rPr>
          <w:rFonts w:hint="eastAsia" w:ascii="黑体" w:hAnsi="黑体" w:eastAsia="黑体" w:cs="黑体"/>
          <w:bCs/>
          <w:sz w:val="30"/>
          <w:szCs w:val="30"/>
        </w:rPr>
        <w:t>赛项申报专家组</w:t>
      </w:r>
    </w:p>
    <w:p>
      <w:pPr>
        <w:numPr>
          <w:numId w:val="0"/>
        </w:num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烹饪赛项重点考核高职院校烹调工艺与营养等专业的参赛选手在宴席设计、烹饪技艺水平、作品研发和餐饮厨房生产组织与实施等领域的实践动手及应用能力，通过宴席设计书策划、现场解说答辩等环节检验参赛选手的现场应变与设计、营养搭配与计算能力，规范操作水平与创新创意水平，激发学生团队合作意识与实践成才热情；促进高职院校烹饪专业在人才培养模式建设、课程设置、课程标准建设、师资队伍建设、实习实训基地建设、评价体系建设等方面的改革，加快餐饮行业所需的高素质技能型人才培养。</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2019年全国职业院校技能大赛烹饪赛项坚持公开、公平、公正的原则，围绕真实工作过程、任务和要求设计比赛内容及评判办法，比赛内容对接国家专业教学标准提出的有关专业、专业群综合核心技术技能和职业素养；评判采取公开执裁过程，严格裁判回避制度等措施，保证比赛公平，自觉接受各方面的监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设计以学生为主体，重点考查选手的实际动手能力、规范操作水平、现场应变能力和创新创意水平，检验参赛选手的综合职业能力，展示餐饮职业教育的办学成果，进一步深化“校企合作、教产融合”，提高社会参与面和专业覆盖面，完善制度建设，努力扩大社会影响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设计积极响应国家相关政策和大赛组委会的总体要求，体现勤俭节约，适度适当；坚持技能竞赛与行业用人、岗位要求、技术进步以及教学改革相结合，引导烹饪专业办学模式、培养模式、评价模式和教学改革；坚持技能比赛与素质教育考核相结合，将专业知识和基本职业素质考核纳入比赛内容；坚持个人能力与团队协作相结合，突出职业素养和团队应变能力的展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赛项设计采取行业、企业、院校三方合作的形式，充分体现校企合作的办学导向。</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（一）特色</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重点展示高等职业院校烹饪专业教学改革和实践教学成果，强调操作的规范化、职业化特点，通过各项技能的展示，检验选手在工艺技术的综合应用、烹饪方法科学创新，以及灵活应变等方面的能力。为学校培养学生专业技术综合应用能力提供了新平台，为学校构建新的课程体系，改进教学方式与创新培养模式，全面提升专业建设水平提供了保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1.结合当前国家相关政策规定，突出安全环保、绿色健康、节约实用；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2.注重教学内容与行业发展的无缝衔接；</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3.强调学生综合能力、团队合作能力和现场应变能力的考核，重点考核选手现场应变与创新设计能力；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4.突出实用型人才培养；</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w:t>
      </w:r>
      <w:r>
        <w:rPr>
          <w:rFonts w:ascii="仿宋_GB2312" w:hAnsi="Arial Narrow" w:eastAsia="仿宋_GB2312" w:cs="Arial"/>
          <w:sz w:val="30"/>
          <w:szCs w:val="30"/>
        </w:rPr>
        <w:t>突显行业、企业参与程度</w:t>
      </w:r>
      <w:r>
        <w:rPr>
          <w:rFonts w:hint="eastAsia" w:ascii="仿宋_GB2312" w:hAnsi="Arial Narrow" w:eastAsia="仿宋_GB2312" w:cs="Arial"/>
          <w:sz w:val="30"/>
          <w:szCs w:val="30"/>
        </w:rPr>
        <w:t>；</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6.引领专业建设方向。</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（二）创新点</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赛项设计：本届竞赛将与国际赛事接轨，借鉴世界厨师联合会烹饪赛事评判办法，结合世界技能大赛、IKA世界奥林匹克烹饪大赛、中餐世界锦标赛等国际赛事技术规范、评判流程及成绩管理方面进行总体赛项设计。</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w:t>
      </w:r>
      <w:r>
        <w:rPr>
          <w:rFonts w:ascii="仿宋_GB2312" w:hAnsi="Arial Narrow" w:eastAsia="仿宋_GB2312" w:cs="Arial"/>
          <w:sz w:val="30"/>
          <w:szCs w:val="30"/>
        </w:rPr>
        <w:t>.</w:t>
      </w:r>
      <w:r>
        <w:rPr>
          <w:rFonts w:hint="eastAsia" w:ascii="仿宋_GB2312" w:hAnsi="Arial Narrow" w:eastAsia="仿宋_GB2312" w:cs="Arial"/>
          <w:sz w:val="30"/>
          <w:szCs w:val="30"/>
        </w:rPr>
        <w:t>竞赛内容上：突破传统中式宴席设计与制作的内容，增加对参赛选手西式烹调技法的考核。</w:t>
      </w:r>
    </w:p>
    <w:p>
      <w:pPr>
        <w:snapToGrid w:val="0"/>
        <w:spacing w:line="560" w:lineRule="exact"/>
        <w:ind w:firstLine="600" w:firstLineChars="200"/>
        <w:rPr>
          <w:rFonts w:ascii="仿宋_GB2312" w:hAnsi="Arial Narrow" w:eastAsia="仿宋_GB2312" w:cs="Arial"/>
          <w:sz w:val="30"/>
          <w:szCs w:val="30"/>
        </w:rPr>
      </w:pPr>
      <w:r>
        <w:rPr>
          <w:rFonts w:ascii="仿宋_GB2312" w:hAnsi="Arial Narrow" w:eastAsia="仿宋_GB2312" w:cs="Arial"/>
          <w:sz w:val="30"/>
          <w:szCs w:val="30"/>
        </w:rPr>
        <w:t>3</w:t>
      </w:r>
      <w:r>
        <w:rPr>
          <w:rFonts w:hint="eastAsia" w:ascii="仿宋_GB2312" w:hAnsi="Arial Narrow" w:eastAsia="仿宋_GB2312" w:cs="Arial"/>
          <w:sz w:val="30"/>
          <w:szCs w:val="30"/>
        </w:rPr>
        <w:t>.原材料的选用及选取方式：提倡绿色、节俭的办赛模式，要求适应餐饮市场的转型需求，使用大众化原材料，规避高档原材料。在原料选取方式上采取“自助超市”形式，所有参赛选手在检录时间内（2小时）自行到“自助超市”“选购”比赛所需物品，数量、规格、分量由选手自定，现场配备电子称。与此同时，原材料自助超市首次提供西餐原材料供参赛队选取。</w:t>
      </w:r>
    </w:p>
    <w:p>
      <w:pPr>
        <w:snapToGrid w:val="0"/>
        <w:spacing w:line="560" w:lineRule="exact"/>
        <w:ind w:firstLine="600" w:firstLineChars="200"/>
        <w:rPr>
          <w:rFonts w:ascii="仿宋_GB2312" w:hAnsi="Arial Narrow" w:eastAsia="仿宋_GB2312" w:cs="Arial"/>
          <w:sz w:val="30"/>
          <w:szCs w:val="30"/>
        </w:rPr>
      </w:pPr>
      <w:r>
        <w:rPr>
          <w:rFonts w:ascii="仿宋_GB2312" w:hAnsi="Arial Narrow" w:eastAsia="仿宋_GB2312" w:cs="Arial"/>
          <w:sz w:val="30"/>
          <w:szCs w:val="30"/>
        </w:rPr>
        <w:t>4</w:t>
      </w:r>
      <w:r>
        <w:rPr>
          <w:rFonts w:hint="eastAsia" w:ascii="仿宋_GB2312" w:hAnsi="Arial Narrow" w:eastAsia="仿宋_GB2312" w:cs="Arial"/>
          <w:sz w:val="30"/>
          <w:szCs w:val="30"/>
        </w:rPr>
        <w:t>.作品出品要在规定时间内完成，体现真实的“生产劳动效率”，适应职场要求。</w:t>
      </w:r>
    </w:p>
    <w:p>
      <w:pPr>
        <w:snapToGrid w:val="0"/>
        <w:spacing w:line="560" w:lineRule="exact"/>
        <w:ind w:firstLine="600" w:firstLineChars="200"/>
        <w:rPr>
          <w:rFonts w:ascii="仿宋_GB2312" w:hAnsi="Arial Narrow" w:eastAsia="仿宋_GB2312" w:cs="Arial"/>
          <w:sz w:val="30"/>
          <w:szCs w:val="30"/>
        </w:rPr>
      </w:pPr>
      <w:r>
        <w:rPr>
          <w:rFonts w:ascii="仿宋_GB2312" w:hAnsi="Arial Narrow" w:eastAsia="仿宋_GB2312" w:cs="Arial"/>
          <w:sz w:val="30"/>
          <w:szCs w:val="30"/>
        </w:rPr>
        <w:t>5</w:t>
      </w:r>
      <w:r>
        <w:rPr>
          <w:rFonts w:hint="eastAsia" w:ascii="仿宋_GB2312" w:hAnsi="Arial Narrow" w:eastAsia="仿宋_GB2312" w:cs="Arial"/>
          <w:sz w:val="30"/>
          <w:szCs w:val="30"/>
        </w:rPr>
        <w:t>.现场操作采用违规记录扣分原则，规避了裁判员主观性评分的差异性。</w:t>
      </w:r>
    </w:p>
    <w:p>
      <w:pPr>
        <w:snapToGrid w:val="0"/>
        <w:spacing w:line="560" w:lineRule="exact"/>
        <w:ind w:firstLine="600" w:firstLineChars="200"/>
        <w:rPr>
          <w:rFonts w:ascii="仿宋_GB2312" w:hAnsi="Arial Narrow" w:eastAsia="仿宋_GB2312" w:cs="Arial"/>
          <w:sz w:val="30"/>
          <w:szCs w:val="30"/>
        </w:rPr>
      </w:pPr>
      <w:r>
        <w:rPr>
          <w:rFonts w:ascii="仿宋_GB2312" w:hAnsi="Arial Narrow" w:eastAsia="仿宋_GB2312" w:cs="Arial"/>
          <w:sz w:val="30"/>
          <w:szCs w:val="30"/>
        </w:rPr>
        <w:t>6</w:t>
      </w:r>
      <w:r>
        <w:rPr>
          <w:rFonts w:hint="eastAsia" w:ascii="仿宋_GB2312" w:hAnsi="Arial Narrow" w:eastAsia="仿宋_GB2312" w:cs="Arial"/>
          <w:sz w:val="30"/>
          <w:szCs w:val="30"/>
        </w:rPr>
        <w:t>.作品评判：为体现公开、公平、公正的原则，采取现场公开打分的形式。即：所有作品均由评委在开放场合进行评判打分，现场接受观摩人员及参赛选手的监督。现场操作采用违规记录扣分原则，规避裁判员主观性评分的差异性。</w:t>
      </w:r>
    </w:p>
    <w:p>
      <w:pPr>
        <w:snapToGrid w:val="0"/>
        <w:spacing w:line="560" w:lineRule="exact"/>
        <w:ind w:firstLine="600" w:firstLineChars="200"/>
        <w:rPr>
          <w:rFonts w:ascii="仿宋_GB2312" w:hAnsi="Arial Narrow" w:eastAsia="仿宋_GB2312" w:cs="Arial"/>
          <w:sz w:val="30"/>
          <w:szCs w:val="30"/>
        </w:rPr>
      </w:pPr>
      <w:r>
        <w:rPr>
          <w:rFonts w:ascii="仿宋_GB2312" w:hAnsi="Arial Narrow" w:eastAsia="仿宋_GB2312" w:cs="Arial"/>
          <w:sz w:val="30"/>
          <w:szCs w:val="30"/>
        </w:rPr>
        <w:t>7</w:t>
      </w:r>
      <w:r>
        <w:rPr>
          <w:rFonts w:hint="eastAsia" w:ascii="仿宋_GB2312" w:hAnsi="Arial Narrow" w:eastAsia="仿宋_GB2312" w:cs="Arial"/>
          <w:sz w:val="30"/>
          <w:szCs w:val="30"/>
        </w:rPr>
        <w:t xml:space="preserve">.打分表设计：本次竞赛打分表内容设计上改变传统按大类打分的原则，统一实行分小项打小分的原则，增加评判的严谨和公正性。   </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届竞赛设宴席设计与制作一个项目。宴席设计与制作为团体赛。宴席设计与制作由宴席设计、宴席制作、宴席答辩三个环节组成，参赛队根据自拟宴席主题按照规程要求进行宴席设计，并在规定时间内完成整桌宴席的制作。所有参赛选手均需参加专业理论考试。专业理论测试为闭卷机考，测试时间为60分钟，试卷题型全部为客观题，数量为100道。</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This competition set up a banquet design and production of a project. Banquet design and production for the group game. The design and production of the banquet consists of the design of the banquet, the production of the banquet and the reply and defense of the banquet. The participating teams design the banquet according to the requirements of the rules according to the theme of the self-designed banquet and complete the production of the whole table within the specified time. All contestants are required to take the professional theory exam. The professional theoretical test is a closed-book exam, with a test time of 60 minutes. All the questions in the test paper are objective questions and the number is 100.</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为团体赛，以省、自治区、直辖市、新疆生产建设兵团（以下简称省）为单位组织报名参赛。各参赛队以学校为组队单位，不得跨校组队，同一学校参赛队不超过1支。赛项参赛队由4名参赛选手组成，原则上每省不超过3支，每队不超过2名指导教师。参赛选手均须为普通高等学校全日制在籍专科学生。本科院校中高职类全日制在籍学生。五年制高职学生报名参赛的，须为四、五年级学生。参赛选手年龄须不超过25周岁，年龄计算的截止时间以比赛当年的5月1日为准。参赛选手和指导教师报名获得确认后不得随意更换。如备赛过程中参赛选手和指导教师因故无法参赛，须由省级教育行政部门于相应赛项开赛10个工作日之前出具书面说明，经大赛执委会办公室核实后予以更换。</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本届大赛将视承办院校及赛场情况邀请境外代表队，境外代表队作品以展示、交流的形式体现。</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黑体" w:hAnsi="黑体" w:eastAsia="黑体" w:cs="黑体"/>
          <w:bCs/>
          <w:sz w:val="30"/>
          <w:szCs w:val="30"/>
        </w:rPr>
      </w:pPr>
    </w:p>
    <w:tbl>
      <w:tblPr>
        <w:tblStyle w:val="13"/>
        <w:tblW w:w="9498" w:type="dxa"/>
        <w:tblInd w:w="-459" w:type="dxa"/>
        <w:tblLayout w:type="fixed"/>
        <w:tblCellMar>
          <w:top w:w="0" w:type="dxa"/>
          <w:left w:w="108" w:type="dxa"/>
          <w:bottom w:w="0" w:type="dxa"/>
          <w:right w:w="108" w:type="dxa"/>
        </w:tblCellMar>
      </w:tblPr>
      <w:tblGrid>
        <w:gridCol w:w="567"/>
        <w:gridCol w:w="1418"/>
        <w:gridCol w:w="1417"/>
        <w:gridCol w:w="1134"/>
        <w:gridCol w:w="1276"/>
        <w:gridCol w:w="1843"/>
        <w:gridCol w:w="1843"/>
      </w:tblGrid>
      <w:tr>
        <w:tblPrEx>
          <w:tblLayout w:type="fixed"/>
          <w:tblCellMar>
            <w:top w:w="0" w:type="dxa"/>
            <w:left w:w="108" w:type="dxa"/>
            <w:bottom w:w="0" w:type="dxa"/>
            <w:right w:w="108" w:type="dxa"/>
          </w:tblCellMar>
        </w:tblPrEx>
        <w:trPr>
          <w:trHeight w:val="283" w:hRule="atLeast"/>
        </w:trPr>
        <w:tc>
          <w:tcPr>
            <w:tcW w:w="1985" w:type="dxa"/>
            <w:gridSpan w:val="2"/>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  目</w:t>
            </w:r>
          </w:p>
        </w:tc>
        <w:tc>
          <w:tcPr>
            <w:tcW w:w="1417"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日  期</w:t>
            </w:r>
          </w:p>
        </w:tc>
        <w:tc>
          <w:tcPr>
            <w:tcW w:w="1134"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场  次</w:t>
            </w:r>
          </w:p>
        </w:tc>
        <w:tc>
          <w:tcPr>
            <w:tcW w:w="3119"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时间安排</w:t>
            </w:r>
          </w:p>
        </w:tc>
        <w:tc>
          <w:tcPr>
            <w:tcW w:w="1843" w:type="dxa"/>
            <w:vMerge w:val="restart"/>
            <w:tcBorders>
              <w:top w:val="single" w:color="auto" w:sz="4" w:space="0"/>
              <w:left w:val="single" w:color="auto" w:sz="4" w:space="0"/>
              <w:right w:val="single" w:color="auto" w:sz="4" w:space="0"/>
            </w:tcBorders>
            <w:vAlign w:val="center"/>
          </w:tcPr>
          <w:p>
            <w:pPr>
              <w:snapToGrid w:val="0"/>
              <w:jc w:val="center"/>
              <w:rPr>
                <w:rFonts w:ascii="仿宋_GB2312" w:hAnsi="仿宋_GB2312" w:eastAsia="仿宋_GB2312" w:cs="仿宋_GB2312"/>
                <w:b/>
                <w:color w:val="000000"/>
                <w:sz w:val="24"/>
              </w:rPr>
            </w:pPr>
            <w:r>
              <w:rPr>
                <w:rFonts w:hint="eastAsia" w:asciiTheme="minorEastAsia" w:hAnsiTheme="minorEastAsia" w:eastAsiaTheme="minorEastAsia"/>
                <w:b/>
                <w:sz w:val="24"/>
                <w:szCs w:val="24"/>
              </w:rPr>
              <w:t>竞赛地点</w:t>
            </w:r>
          </w:p>
        </w:tc>
      </w:tr>
      <w:tr>
        <w:tblPrEx>
          <w:tblLayout w:type="fixed"/>
          <w:tblCellMar>
            <w:top w:w="0" w:type="dxa"/>
            <w:left w:w="108" w:type="dxa"/>
            <w:bottom w:w="0" w:type="dxa"/>
            <w:right w:w="108" w:type="dxa"/>
          </w:tblCellMar>
        </w:tblPrEx>
        <w:trPr>
          <w:trHeight w:val="283" w:hRule="atLeast"/>
        </w:trPr>
        <w:tc>
          <w:tcPr>
            <w:tcW w:w="1985"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p>
        </w:tc>
        <w:tc>
          <w:tcPr>
            <w:tcW w:w="1417"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p>
        </w:tc>
        <w:tc>
          <w:tcPr>
            <w:tcW w:w="1134"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检录时间</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竞赛时间</w:t>
            </w:r>
          </w:p>
        </w:tc>
        <w:tc>
          <w:tcPr>
            <w:tcW w:w="1843" w:type="dxa"/>
            <w:vMerge w:val="continue"/>
            <w:tcBorders>
              <w:left w:val="single" w:color="auto" w:sz="4" w:space="0"/>
              <w:bottom w:val="single" w:color="auto" w:sz="4" w:space="0"/>
              <w:right w:val="single" w:color="auto" w:sz="4" w:space="0"/>
            </w:tcBorders>
            <w:vAlign w:val="center"/>
          </w:tcPr>
          <w:p>
            <w:pPr>
              <w:snapToGrid w:val="0"/>
              <w:spacing w:line="560" w:lineRule="exact"/>
              <w:jc w:val="center"/>
              <w:rPr>
                <w:rFonts w:ascii="仿宋_GB2312" w:hAnsi="仿宋_GB2312" w:eastAsia="仿宋_GB2312" w:cs="仿宋_GB2312"/>
                <w:b/>
                <w:color w:val="000000"/>
                <w:sz w:val="24"/>
              </w:rPr>
            </w:pPr>
          </w:p>
        </w:tc>
      </w:tr>
      <w:tr>
        <w:tblPrEx>
          <w:tblLayout w:type="fixed"/>
          <w:tblCellMar>
            <w:top w:w="0" w:type="dxa"/>
            <w:left w:w="108" w:type="dxa"/>
            <w:bottom w:w="0" w:type="dxa"/>
            <w:right w:w="108" w:type="dxa"/>
          </w:tblCellMar>
        </w:tblPrEx>
        <w:trPr>
          <w:trHeight w:val="510" w:hRule="atLeast"/>
        </w:trPr>
        <w:tc>
          <w:tcPr>
            <w:tcW w:w="198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专业理论测试</w:t>
            </w:r>
          </w:p>
        </w:tc>
        <w:tc>
          <w:tcPr>
            <w:tcW w:w="1417" w:type="dxa"/>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报到当天</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第1场</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15:00</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16:00-17:00</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专业理论测试场地</w:t>
            </w:r>
          </w:p>
        </w:tc>
      </w:tr>
      <w:tr>
        <w:tblPrEx>
          <w:tblLayout w:type="fixed"/>
          <w:tblCellMar>
            <w:top w:w="0" w:type="dxa"/>
            <w:left w:w="108" w:type="dxa"/>
            <w:bottom w:w="0" w:type="dxa"/>
            <w:right w:w="108" w:type="dxa"/>
          </w:tblCellMar>
        </w:tblPrEx>
        <w:trPr>
          <w:trHeight w:val="510" w:hRule="atLeast"/>
        </w:trPr>
        <w:tc>
          <w:tcPr>
            <w:tcW w:w="567"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宴席设计与制作</w:t>
            </w:r>
          </w:p>
        </w:tc>
        <w:tc>
          <w:tcPr>
            <w:tcW w:w="141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宴席设计书</w:t>
            </w:r>
          </w:p>
        </w:tc>
        <w:tc>
          <w:tcPr>
            <w:tcW w:w="1417" w:type="dxa"/>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报到当天</w:t>
            </w:r>
          </w:p>
        </w:tc>
        <w:tc>
          <w:tcPr>
            <w:tcW w:w="6096"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领队、选手预备会时提交</w:t>
            </w:r>
          </w:p>
        </w:tc>
      </w:tr>
      <w:tr>
        <w:tblPrEx>
          <w:tblLayout w:type="fixed"/>
          <w:tblCellMar>
            <w:top w:w="0" w:type="dxa"/>
            <w:left w:w="108" w:type="dxa"/>
            <w:bottom w:w="0" w:type="dxa"/>
            <w:right w:w="108" w:type="dxa"/>
          </w:tblCellMar>
        </w:tblPrEx>
        <w:trPr>
          <w:trHeight w:val="510" w:hRule="atLeast"/>
        </w:trPr>
        <w:tc>
          <w:tcPr>
            <w:tcW w:w="56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8"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宴席制作</w:t>
            </w:r>
          </w:p>
        </w:tc>
        <w:tc>
          <w:tcPr>
            <w:tcW w:w="1417"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比赛第一天</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第1场</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06:00</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08:00-12:00</w:t>
            </w:r>
          </w:p>
        </w:tc>
        <w:tc>
          <w:tcPr>
            <w:tcW w:w="1843"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宴席制作场地</w:t>
            </w:r>
          </w:p>
        </w:tc>
      </w:tr>
      <w:tr>
        <w:tblPrEx>
          <w:tblLayout w:type="fixed"/>
          <w:tblCellMar>
            <w:top w:w="0" w:type="dxa"/>
            <w:left w:w="108" w:type="dxa"/>
            <w:bottom w:w="0" w:type="dxa"/>
            <w:right w:w="108" w:type="dxa"/>
          </w:tblCellMar>
        </w:tblPrEx>
        <w:trPr>
          <w:trHeight w:val="510" w:hRule="atLeast"/>
        </w:trPr>
        <w:tc>
          <w:tcPr>
            <w:tcW w:w="56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8"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7" w:type="dxa"/>
            <w:vMerge w:val="continue"/>
            <w:tcBorders>
              <w:left w:val="single" w:color="auto" w:sz="4" w:space="0"/>
              <w:right w:val="single" w:color="auto" w:sz="4" w:space="0"/>
            </w:tcBorders>
            <w:vAlign w:val="center"/>
          </w:tcPr>
          <w:p>
            <w:pPr>
              <w:snapToGrid w:val="0"/>
              <w:jc w:val="left"/>
              <w:rPr>
                <w:rFonts w:asciiTheme="minorEastAsia" w:hAnsiTheme="minorEastAsia" w:eastAsiaTheme="minorEastAsia"/>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第2场</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12:00</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14:00-18:00</w:t>
            </w:r>
          </w:p>
        </w:tc>
        <w:tc>
          <w:tcPr>
            <w:tcW w:w="1843"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510" w:hRule="atLeast"/>
        </w:trPr>
        <w:tc>
          <w:tcPr>
            <w:tcW w:w="56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8"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比赛第二天</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第3场</w:t>
            </w:r>
          </w:p>
        </w:tc>
        <w:tc>
          <w:tcPr>
            <w:tcW w:w="12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06:00</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08:00-12:00</w:t>
            </w:r>
          </w:p>
        </w:tc>
        <w:tc>
          <w:tcPr>
            <w:tcW w:w="1843"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r>
      <w:tr>
        <w:tblPrEx>
          <w:tblLayout w:type="fixed"/>
          <w:tblCellMar>
            <w:top w:w="0" w:type="dxa"/>
            <w:left w:w="108" w:type="dxa"/>
            <w:bottom w:w="0" w:type="dxa"/>
            <w:right w:w="108" w:type="dxa"/>
          </w:tblCellMar>
        </w:tblPrEx>
        <w:trPr>
          <w:trHeight w:val="510" w:hRule="atLeast"/>
        </w:trPr>
        <w:tc>
          <w:tcPr>
            <w:tcW w:w="56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8"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宴席解说</w:t>
            </w:r>
          </w:p>
        </w:tc>
        <w:tc>
          <w:tcPr>
            <w:tcW w:w="1417"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比赛第一天</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第1场</w:t>
            </w:r>
          </w:p>
        </w:tc>
        <w:tc>
          <w:tcPr>
            <w:tcW w:w="3119"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13:30-15:00</w:t>
            </w:r>
          </w:p>
        </w:tc>
        <w:tc>
          <w:tcPr>
            <w:tcW w:w="1843"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宴席解说场地</w:t>
            </w:r>
          </w:p>
        </w:tc>
      </w:tr>
      <w:tr>
        <w:tblPrEx>
          <w:tblLayout w:type="fixed"/>
          <w:tblCellMar>
            <w:top w:w="0" w:type="dxa"/>
            <w:left w:w="108" w:type="dxa"/>
            <w:bottom w:w="0" w:type="dxa"/>
            <w:right w:w="108" w:type="dxa"/>
          </w:tblCellMar>
        </w:tblPrEx>
        <w:trPr>
          <w:trHeight w:val="510" w:hRule="atLeast"/>
        </w:trPr>
        <w:tc>
          <w:tcPr>
            <w:tcW w:w="567" w:type="dxa"/>
            <w:vMerge w:val="continue"/>
            <w:tcBorders>
              <w:left w:val="single" w:color="auto" w:sz="4" w:space="0"/>
              <w:right w:val="single" w:color="auto" w:sz="4" w:space="0"/>
            </w:tcBorders>
            <w:vAlign w:val="center"/>
          </w:tcPr>
          <w:p>
            <w:pPr>
              <w:widowControl/>
              <w:spacing w:line="0" w:lineRule="atLeast"/>
              <w:jc w:val="center"/>
              <w:rPr>
                <w:rFonts w:ascii="宋体"/>
                <w:szCs w:val="21"/>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pPr>
              <w:snapToGrid w:val="0"/>
              <w:jc w:val="left"/>
              <w:rPr>
                <w:rFonts w:asciiTheme="minorEastAsia" w:hAnsiTheme="minorEastAsia" w:eastAsiaTheme="minorEastAsia"/>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第2场</w:t>
            </w:r>
          </w:p>
        </w:tc>
        <w:tc>
          <w:tcPr>
            <w:tcW w:w="3119"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19:30-21:00</w:t>
            </w:r>
          </w:p>
        </w:tc>
        <w:tc>
          <w:tcPr>
            <w:tcW w:w="1843" w:type="dxa"/>
            <w:vMerge w:val="continue"/>
            <w:tcBorders>
              <w:left w:val="single" w:color="auto" w:sz="4" w:space="0"/>
              <w:right w:val="single" w:color="auto" w:sz="4" w:space="0"/>
            </w:tcBorders>
            <w:vAlign w:val="center"/>
          </w:tcPr>
          <w:p>
            <w:pPr>
              <w:snapToGrid w:val="0"/>
              <w:spacing w:line="400" w:lineRule="exact"/>
              <w:jc w:val="center"/>
              <w:rPr>
                <w:rFonts w:ascii="仿宋_GB2312" w:hAnsi="仿宋_GB2312" w:eastAsia="仿宋_GB2312" w:cs="仿宋_GB2312"/>
                <w:color w:val="000000"/>
                <w:sz w:val="24"/>
              </w:rPr>
            </w:pPr>
          </w:p>
        </w:tc>
      </w:tr>
      <w:tr>
        <w:tblPrEx>
          <w:tblLayout w:type="fixed"/>
          <w:tblCellMar>
            <w:top w:w="0" w:type="dxa"/>
            <w:left w:w="108" w:type="dxa"/>
            <w:bottom w:w="0" w:type="dxa"/>
            <w:right w:w="108" w:type="dxa"/>
          </w:tblCellMar>
        </w:tblPrEx>
        <w:trPr>
          <w:trHeight w:val="510" w:hRule="atLeast"/>
        </w:trPr>
        <w:tc>
          <w:tcPr>
            <w:tcW w:w="567" w:type="dxa"/>
            <w:vMerge w:val="continue"/>
            <w:tcBorders>
              <w:left w:val="single" w:color="auto" w:sz="4" w:space="0"/>
              <w:bottom w:val="single" w:color="auto" w:sz="4" w:space="0"/>
              <w:right w:val="single" w:color="auto" w:sz="4" w:space="0"/>
            </w:tcBorders>
            <w:vAlign w:val="center"/>
          </w:tcPr>
          <w:p>
            <w:pPr>
              <w:widowControl/>
              <w:spacing w:line="0" w:lineRule="atLeast"/>
              <w:jc w:val="center"/>
              <w:rPr>
                <w:rFonts w:ascii="宋体"/>
                <w:szCs w:val="21"/>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41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比赛第二天</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第3场</w:t>
            </w:r>
          </w:p>
        </w:tc>
        <w:tc>
          <w:tcPr>
            <w:tcW w:w="3119"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13:30-15:00</w:t>
            </w:r>
          </w:p>
        </w:tc>
        <w:tc>
          <w:tcPr>
            <w:tcW w:w="1843" w:type="dxa"/>
            <w:vMerge w:val="continue"/>
            <w:tcBorders>
              <w:left w:val="single" w:color="auto" w:sz="4" w:space="0"/>
              <w:bottom w:val="single" w:color="auto" w:sz="4" w:space="0"/>
              <w:right w:val="single" w:color="auto" w:sz="4" w:space="0"/>
            </w:tcBorders>
            <w:vAlign w:val="center"/>
          </w:tcPr>
          <w:p>
            <w:pPr>
              <w:snapToGrid w:val="0"/>
              <w:spacing w:line="400" w:lineRule="exact"/>
              <w:jc w:val="center"/>
              <w:rPr>
                <w:rFonts w:ascii="仿宋_GB2312" w:hAnsi="仿宋_GB2312" w:eastAsia="仿宋_GB2312" w:cs="仿宋_GB2312"/>
                <w:color w:val="000000"/>
                <w:sz w:val="24"/>
              </w:rPr>
            </w:pP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本赛项试题包括技能实践操作和专业理论测试两部分，竞赛试题全部公开。专业理论测试设有赛题库，赛题库共有10套竞赛赛卷，各套赛卷的重复率不超过50%。</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全国职业院校技能大赛（高职组）烹饪赛项专业理论测试样卷详见附件。</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按照《全国职业院校技能大赛成绩管理办法》的相关要求，根据申报赛项自身的特点，选定具有较强操作性的评分方法，编制评分细则。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（一）制定原则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贯彻全国职业院校技能大赛公开、公平、公正的比赛原则，实现大赛成绩管理的规范化、科学化，按照《全国职业院校技能大赛成绩管理办法》的相关要求，参照世界厨师联合会烹饪赛事评判办法和世界技能大赛、IKA世界奥林匹克烹饪大赛、中餐世界锦标赛等国际赛事技术规范和评判流程，结合本赛项自身特点，特编制评分细则，全面综合评价参赛选手职业能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（二）评分方法</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竞赛分技能实践操作和专业理论测试两部分进行，其中技能操作成绩占总成绩的80%，专业理论成绩占总成绩的20%。</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1.专业理论测试</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所有参赛选手统一时间、指定地点参加专业理论测试。测试时间为60分钟，测试方式为闭卷机考，试卷题型全部为客观题，数量为100道，每题1分，共100分。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2.技能操作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技能操作为宴席设计与制作，分别由宴席设计（书）、宴席制作、宴席答辩三个环节组成。宴席设计（书）评分与宴席答辩相结合，由一组评委分别对宴席设计（书）、宴席答辩进行评判，各自打分；宴席制作由另一组评委进行评判，各自打分。送评作品采用前场评分（操作过程评判）与后场评分（成品质量评判）相结合，其中，前场评分由7位裁判员对团体选手违规行为和违纪现象进行记录，并由选手签字确认，现场裁判组长根据选手违规记录，参照前场评分细则进行打分。后场评分由7位评委对送评作品质量分别进行评判、各自打分。在结分时去掉一个最高分和一个最低分，平均分保留小数点后两位。</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（三）评分细则</w:t>
      </w:r>
    </w:p>
    <w:tbl>
      <w:tblPr>
        <w:tblStyle w:val="13"/>
        <w:tblW w:w="81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868"/>
        <w:gridCol w:w="1197"/>
        <w:gridCol w:w="99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  目</w:t>
            </w: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评判内容及分值设置</w:t>
            </w:r>
          </w:p>
        </w:tc>
        <w:tc>
          <w:tcPr>
            <w:tcW w:w="11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所占权重</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 数</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宴席设计</w:t>
            </w:r>
          </w:p>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与制作</w:t>
            </w: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宴席设计(书)：100分</w:t>
            </w:r>
          </w:p>
        </w:tc>
        <w:tc>
          <w:tcPr>
            <w:tcW w:w="11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25分</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宴席制作：100分</w:t>
            </w:r>
          </w:p>
        </w:tc>
        <w:tc>
          <w:tcPr>
            <w:tcW w:w="11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60%</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60分</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宴席答辩：100分</w:t>
            </w:r>
          </w:p>
        </w:tc>
        <w:tc>
          <w:tcPr>
            <w:tcW w:w="11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15分</w:t>
            </w: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bl>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1.宴席设计（书）</w:t>
      </w:r>
      <w:r>
        <w:rPr>
          <w:rFonts w:hint="eastAsia" w:ascii="仿宋_GB2312" w:hAnsi="Arial Narrow" w:eastAsia="仿宋_GB2312" w:cs="Arial"/>
          <w:sz w:val="30"/>
          <w:szCs w:val="30"/>
        </w:rPr>
        <w:tab/>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宴席设计（书）按主题内容、菜点设计、菜单制作和原料清单等四方面进行评判。宴席设计书内容应具有个性特点，内容简洁实用，版面不过度渲染繁杂。</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（1）主题内容（30分）：宴席主题明确，整体方案围绕主题进行设计。内容全面、合理，包括主题、接待人数、价位（人均标准）、成本等信息。</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（2）菜点设计（30分）：与宴席主题相吻合，菜式结构合理、组合有序，营养搭配合理，风格和谐一致。</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（3）菜单制作（20分）：菜单结构完整、菜名与作品名副其实并烘托主题、有简要文字说明。</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（4）原料清单（20分）：“选购”原料应符合菜点设计与制作要求，品种与数量合理、清晰、准确，做到物尽其用，不超购、不浪费。</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2.宴席制作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总分为100分，由前场评分与后场评分相结合。其中前场评分由准备工作、专业烹饪、作品供餐三部分组成，满分为40分。后场评分由参赛队自行选出有代表性的热菜4道、面点2道，冷拼1组送评，后场得分权重：热菜占40%，面点占40%，冷拼占20%，满分为60分。送评作品需至少有一道使用西餐烹调技法，体现西餐菜品设计理念与思路。具体评分细则如下：</w:t>
      </w:r>
    </w:p>
    <w:tbl>
      <w:tblPr>
        <w:tblStyle w:val="13"/>
        <w:tblW w:w="89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217"/>
        <w:gridCol w:w="2211"/>
        <w:gridCol w:w="992"/>
        <w:gridCol w:w="1134"/>
        <w:gridCol w:w="992"/>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  目</w:t>
            </w:r>
          </w:p>
        </w:tc>
        <w:tc>
          <w:tcPr>
            <w:tcW w:w="3428"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评判内容及分值设置</w:t>
            </w:r>
          </w:p>
        </w:tc>
        <w:tc>
          <w:tcPr>
            <w:tcW w:w="2126"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所占权重</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分数</w:t>
            </w:r>
          </w:p>
        </w:tc>
        <w:tc>
          <w:tcPr>
            <w:tcW w:w="1102"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7"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宴席制作</w:t>
            </w:r>
          </w:p>
        </w:tc>
        <w:tc>
          <w:tcPr>
            <w:tcW w:w="1217"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后场评分</w:t>
            </w:r>
          </w:p>
        </w:tc>
        <w:tc>
          <w:tcPr>
            <w:tcW w:w="22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热菜：60分</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40%</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24分</w:t>
            </w:r>
          </w:p>
        </w:tc>
        <w:tc>
          <w:tcPr>
            <w:tcW w:w="992"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60分</w:t>
            </w:r>
          </w:p>
        </w:tc>
        <w:tc>
          <w:tcPr>
            <w:tcW w:w="1102"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217" w:type="dxa"/>
            <w:vMerge w:val="continue"/>
            <w:tcBorders>
              <w:left w:val="single" w:color="auto" w:sz="4" w:space="0"/>
              <w:right w:val="single" w:color="auto" w:sz="4" w:space="0"/>
            </w:tcBorders>
          </w:tcPr>
          <w:p>
            <w:pPr>
              <w:snapToGrid w:val="0"/>
              <w:jc w:val="center"/>
              <w:rPr>
                <w:rFonts w:asciiTheme="minorEastAsia" w:hAnsiTheme="minorEastAsia" w:eastAsiaTheme="minorEastAsia"/>
                <w:sz w:val="24"/>
                <w:szCs w:val="24"/>
              </w:rPr>
            </w:pPr>
          </w:p>
        </w:tc>
        <w:tc>
          <w:tcPr>
            <w:tcW w:w="22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面点：60分</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40%</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24分</w:t>
            </w:r>
          </w:p>
        </w:tc>
        <w:tc>
          <w:tcPr>
            <w:tcW w:w="992" w:type="dxa"/>
            <w:vMerge w:val="continue"/>
            <w:tcBorders>
              <w:left w:val="single" w:color="auto" w:sz="4" w:space="0"/>
              <w:right w:val="single" w:color="auto" w:sz="4" w:space="0"/>
            </w:tcBorders>
          </w:tcPr>
          <w:p>
            <w:pPr>
              <w:snapToGrid w:val="0"/>
              <w:jc w:val="center"/>
              <w:rPr>
                <w:rFonts w:asciiTheme="minorEastAsia" w:hAnsiTheme="minorEastAsia" w:eastAsiaTheme="minorEastAsia"/>
                <w:sz w:val="24"/>
                <w:szCs w:val="24"/>
              </w:rPr>
            </w:pPr>
          </w:p>
        </w:tc>
        <w:tc>
          <w:tcPr>
            <w:tcW w:w="1102" w:type="dxa"/>
            <w:vMerge w:val="continue"/>
            <w:tcBorders>
              <w:left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217" w:type="dxa"/>
            <w:vMerge w:val="continue"/>
            <w:tcBorders>
              <w:left w:val="single" w:color="auto" w:sz="4" w:space="0"/>
              <w:right w:val="single" w:color="auto" w:sz="4" w:space="0"/>
            </w:tcBorders>
          </w:tcPr>
          <w:p>
            <w:pPr>
              <w:snapToGrid w:val="0"/>
              <w:jc w:val="center"/>
              <w:rPr>
                <w:rFonts w:asciiTheme="minorEastAsia" w:hAnsiTheme="minorEastAsia" w:eastAsiaTheme="minorEastAsia"/>
                <w:sz w:val="24"/>
                <w:szCs w:val="24"/>
              </w:rPr>
            </w:pPr>
          </w:p>
        </w:tc>
        <w:tc>
          <w:tcPr>
            <w:tcW w:w="22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冷拼：60分</w:t>
            </w:r>
          </w:p>
        </w:tc>
        <w:tc>
          <w:tcPr>
            <w:tcW w:w="992"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20%</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12分</w:t>
            </w:r>
          </w:p>
        </w:tc>
        <w:tc>
          <w:tcPr>
            <w:tcW w:w="992" w:type="dxa"/>
            <w:vMerge w:val="continue"/>
            <w:tcBorders>
              <w:left w:val="single" w:color="auto" w:sz="4" w:space="0"/>
              <w:right w:val="single" w:color="auto" w:sz="4" w:space="0"/>
            </w:tcBorders>
          </w:tcPr>
          <w:p>
            <w:pPr>
              <w:snapToGrid w:val="0"/>
              <w:jc w:val="center"/>
              <w:rPr>
                <w:rFonts w:asciiTheme="minorEastAsia" w:hAnsiTheme="minorEastAsia" w:eastAsiaTheme="minorEastAsia"/>
                <w:sz w:val="24"/>
                <w:szCs w:val="24"/>
              </w:rPr>
            </w:pPr>
          </w:p>
        </w:tc>
        <w:tc>
          <w:tcPr>
            <w:tcW w:w="1102" w:type="dxa"/>
            <w:vMerge w:val="continue"/>
            <w:tcBorders>
              <w:left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217" w:type="dxa"/>
            <w:vMerge w:val="restart"/>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前场评分</w:t>
            </w:r>
          </w:p>
        </w:tc>
        <w:tc>
          <w:tcPr>
            <w:tcW w:w="2211" w:type="dxa"/>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准备工作：6分</w:t>
            </w:r>
          </w:p>
        </w:tc>
        <w:tc>
          <w:tcPr>
            <w:tcW w:w="2126" w:type="dxa"/>
            <w:gridSpan w:val="2"/>
            <w:vMerge w:val="restart"/>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992" w:type="dxa"/>
            <w:vMerge w:val="restart"/>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40分</w:t>
            </w:r>
          </w:p>
        </w:tc>
        <w:tc>
          <w:tcPr>
            <w:tcW w:w="1102" w:type="dxa"/>
            <w:vMerge w:val="continue"/>
            <w:tcBorders>
              <w:left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217"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211" w:type="dxa"/>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专业烹饪：30分</w:t>
            </w:r>
          </w:p>
        </w:tc>
        <w:tc>
          <w:tcPr>
            <w:tcW w:w="2126" w:type="dxa"/>
            <w:gridSpan w:val="2"/>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992"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102" w:type="dxa"/>
            <w:vMerge w:val="continue"/>
            <w:tcBorders>
              <w:left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77"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217"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211" w:type="dxa"/>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作品供餐:4分</w:t>
            </w:r>
          </w:p>
        </w:tc>
        <w:tc>
          <w:tcPr>
            <w:tcW w:w="2126"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992"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1102" w:type="dxa"/>
            <w:vMerge w:val="continue"/>
            <w:tcBorders>
              <w:left w:val="single" w:color="auto" w:sz="4" w:space="0"/>
              <w:bottom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bl>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（1）前场评分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针对每位选手的现场表现，由前场裁判员对团体每位选手违规行为和违纪现象进行记录，并由选手签字确认，现场裁判组长根据选手违规记录，参照前场评分细则进行打分。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①准备工作（6分）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 xml:space="preserve">A.自带物品符合比赛规则且使用专用整理箱分类收纳； </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B.整理箱摆放整齐统一运输进入比赛工位；</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C.自带物品贮藏及运输符合国家食品安全规定，且不同物品间相互独立；</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D.操作工位物品摆放就位，分类合理、整洁有序；</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E.身着干净、整洁的厨服（厨帽、厨衣、西裤、皮鞋），身上无任何配饰；</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F.未有提前加工行为。</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②专业烹饪（30分）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A.食品安全部分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a.开始加工之前和操作过程中按照专业要求洗手；</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b.原材料加工过程，使用的设备、器皿符合食品安全操作规范；</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c.正确使用和更换手套；</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d.及时清洁工作台和厨房设备、用具，专业更换砧板。</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e.对温度敏感的食材加工后及时存放回冰箱内，无长时间裸露现象；</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f.加工过程中，以及品尝食物时无交叉感染行为；</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g.主辅料加工过程符合餐饮服务食品安全操作规范；</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h.正确使用厨房用纸，及时更换脏围裙和毛巾。</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B.技能/技艺部分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a.加工时正确、安全、专业使用工具、设备、盛放容器；</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b熟悉原料特性，充分利用，无浪费现象；</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c.操作过程中食材、半成品及时冷藏存储；</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d.加工、烹调过程规范有序，动作协调适当，体现传统或现代技法；</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e.不同操作使用恰当的工具和设备（如刀具、锅等）；</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f.加工过程中对食材的处理恰当；</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i.合理利用边角料，并妥善处理剩余食材。</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C.厨房管理部分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a.合理分配工作内容、时间，有团队配合；</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b.加工中垃圾及时处理，废弃物处理妥当；</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c.加工过程中工作台、操作位整洁有序，无杂、乱、差现象；</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d.合理使用水、电、气，无能源消耗浪费；</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e.上餐结束后，及时进行厨房清洁，操作位公用设备、设施及用具清洗干净。</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③作品供餐（4分）</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a.在规定的时间完成供餐；</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b.供餐过程有条不紊，具有效率；</w:t>
      </w:r>
    </w:p>
    <w:p>
      <w:pPr>
        <w:widowControl/>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c.无多做挑选。</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（2）后场评分（60分）</w:t>
      </w:r>
    </w:p>
    <w:p>
      <w:pPr>
        <w:spacing w:line="520" w:lineRule="exact"/>
        <w:ind w:firstLine="588" w:firstLineChars="196"/>
        <w:rPr>
          <w:rFonts w:ascii="仿宋_GB2312" w:hAnsi="Arial Narrow" w:eastAsia="仿宋_GB2312" w:cs="Arial"/>
          <w:sz w:val="30"/>
          <w:szCs w:val="30"/>
        </w:rPr>
      </w:pPr>
      <w:r>
        <w:rPr>
          <w:rFonts w:hint="eastAsia" w:ascii="仿宋_GB2312" w:hAnsi="Arial Narrow" w:eastAsia="仿宋_GB2312" w:cs="Arial"/>
          <w:sz w:val="30"/>
          <w:szCs w:val="30"/>
        </w:rPr>
        <w:t>后场评分由热菜、面点、冷拼三部分组成，由7位评委从作品呈现、口味质感两部分内容对送评作品质量分别进行评判、各自打分。每道作品满分分别为60分，在结分时去掉一个最高分和一个最低分，平均分保留小数点后两位。</w:t>
      </w:r>
    </w:p>
    <w:p>
      <w:pPr>
        <w:pStyle w:val="23"/>
        <w:numPr>
          <w:ilvl w:val="0"/>
          <w:numId w:val="2"/>
        </w:numPr>
        <w:snapToGrid w:val="0"/>
        <w:spacing w:line="560" w:lineRule="exact"/>
        <w:ind w:firstLineChars="0"/>
        <w:rPr>
          <w:rFonts w:ascii="仿宋_GB2312" w:hAnsi="Arial Narrow" w:eastAsia="仿宋_GB2312" w:cs="Arial"/>
          <w:sz w:val="30"/>
          <w:szCs w:val="30"/>
        </w:rPr>
      </w:pPr>
      <w:r>
        <w:rPr>
          <w:rFonts w:hint="eastAsia" w:ascii="仿宋_GB2312" w:hAnsi="Arial Narrow" w:eastAsia="仿宋_GB2312" w:cs="Arial"/>
          <w:sz w:val="30"/>
          <w:szCs w:val="30"/>
        </w:rPr>
        <w:t>热菜</w:t>
      </w:r>
    </w:p>
    <w:tbl>
      <w:tblPr>
        <w:tblStyle w:val="13"/>
        <w:tblpPr w:leftFromText="180" w:rightFromText="180" w:vertAnchor="text" w:horzAnchor="margin" w:tblpY="275"/>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868"/>
        <w:gridCol w:w="1497"/>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  目</w:t>
            </w: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评判内容及分值设置</w:t>
            </w:r>
          </w:p>
        </w:tc>
        <w:tc>
          <w:tcPr>
            <w:tcW w:w="14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所占权重</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 数</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80"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热菜</w:t>
            </w: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作品A质量：60分</w:t>
            </w:r>
          </w:p>
        </w:tc>
        <w:tc>
          <w:tcPr>
            <w:tcW w:w="14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15分</w:t>
            </w:r>
          </w:p>
        </w:tc>
        <w:tc>
          <w:tcPr>
            <w:tcW w:w="1134" w:type="dxa"/>
            <w:vMerge w:val="restart"/>
            <w:tcBorders>
              <w:top w:val="single" w:color="auto" w:sz="4" w:space="0"/>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80"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作品B质量：60分</w:t>
            </w:r>
          </w:p>
        </w:tc>
        <w:tc>
          <w:tcPr>
            <w:tcW w:w="14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15分</w:t>
            </w:r>
          </w:p>
        </w:tc>
        <w:tc>
          <w:tcPr>
            <w:tcW w:w="1134" w:type="dxa"/>
            <w:vMerge w:val="continue"/>
            <w:tcBorders>
              <w:left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80" w:type="dxa"/>
            <w:vMerge w:val="continue"/>
            <w:tcBorders>
              <w:left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作品C质量：60分</w:t>
            </w:r>
          </w:p>
        </w:tc>
        <w:tc>
          <w:tcPr>
            <w:tcW w:w="14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15分</w:t>
            </w:r>
          </w:p>
        </w:tc>
        <w:tc>
          <w:tcPr>
            <w:tcW w:w="1134" w:type="dxa"/>
            <w:vMerge w:val="continue"/>
            <w:tcBorders>
              <w:left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80" w:type="dxa"/>
            <w:vMerge w:val="continue"/>
            <w:tcBorders>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8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作品D质量：60分</w:t>
            </w:r>
          </w:p>
        </w:tc>
        <w:tc>
          <w:tcPr>
            <w:tcW w:w="1497"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15分</w:t>
            </w:r>
          </w:p>
        </w:tc>
        <w:tc>
          <w:tcPr>
            <w:tcW w:w="1134" w:type="dxa"/>
            <w:vMerge w:val="continue"/>
            <w:tcBorders>
              <w:left w:val="single" w:color="auto" w:sz="4" w:space="0"/>
              <w:bottom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bl>
    <w:p>
      <w:pPr>
        <w:pStyle w:val="23"/>
        <w:numPr>
          <w:ilvl w:val="0"/>
          <w:numId w:val="2"/>
        </w:numPr>
        <w:snapToGrid w:val="0"/>
        <w:spacing w:line="560" w:lineRule="exact"/>
        <w:ind w:firstLineChars="0"/>
        <w:rPr>
          <w:rFonts w:ascii="仿宋_GB2312" w:hAnsi="Arial Narrow" w:eastAsia="仿宋_GB2312" w:cs="Arial"/>
          <w:sz w:val="30"/>
          <w:szCs w:val="30"/>
        </w:rPr>
      </w:pPr>
      <w:r>
        <w:rPr>
          <w:rFonts w:hint="eastAsia" w:ascii="仿宋_GB2312" w:hAnsi="Arial Narrow" w:eastAsia="仿宋_GB2312" w:cs="Arial"/>
          <w:sz w:val="30"/>
          <w:szCs w:val="30"/>
        </w:rPr>
        <w:t>面点</w:t>
      </w:r>
    </w:p>
    <w:tbl>
      <w:tblPr>
        <w:tblStyle w:val="13"/>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8"/>
        <w:gridCol w:w="2880"/>
        <w:gridCol w:w="1481"/>
        <w:gridCol w:w="1134"/>
        <w:gridCol w:w="1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  目</w:t>
            </w:r>
          </w:p>
        </w:tc>
        <w:tc>
          <w:tcPr>
            <w:tcW w:w="28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评判内容及分值设置</w:t>
            </w:r>
          </w:p>
        </w:tc>
        <w:tc>
          <w:tcPr>
            <w:tcW w:w="148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所占权重</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 数</w:t>
            </w:r>
          </w:p>
        </w:tc>
        <w:tc>
          <w:tcPr>
            <w:tcW w:w="115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68"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面点</w:t>
            </w:r>
          </w:p>
        </w:tc>
        <w:tc>
          <w:tcPr>
            <w:tcW w:w="28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作品A质量：60分</w:t>
            </w:r>
          </w:p>
        </w:tc>
        <w:tc>
          <w:tcPr>
            <w:tcW w:w="148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50%</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30分</w:t>
            </w:r>
          </w:p>
        </w:tc>
        <w:tc>
          <w:tcPr>
            <w:tcW w:w="115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6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p>
        </w:tc>
        <w:tc>
          <w:tcPr>
            <w:tcW w:w="28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作品B质量：60分</w:t>
            </w:r>
          </w:p>
        </w:tc>
        <w:tc>
          <w:tcPr>
            <w:tcW w:w="148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50%</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30分</w:t>
            </w:r>
          </w:p>
        </w:tc>
        <w:tc>
          <w:tcPr>
            <w:tcW w:w="11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560" w:lineRule="exact"/>
              <w:jc w:val="left"/>
              <w:rPr>
                <w:rFonts w:ascii="仿宋_GB2312" w:hAnsi="仿宋_GB2312" w:eastAsia="仿宋_GB2312" w:cs="仿宋_GB2312"/>
                <w:spacing w:val="8"/>
                <w:sz w:val="30"/>
                <w:szCs w:val="30"/>
              </w:rPr>
            </w:pPr>
          </w:p>
        </w:tc>
      </w:tr>
    </w:tbl>
    <w:p>
      <w:pPr>
        <w:pStyle w:val="23"/>
        <w:numPr>
          <w:ilvl w:val="0"/>
          <w:numId w:val="2"/>
        </w:numPr>
        <w:spacing w:line="560" w:lineRule="exact"/>
        <w:ind w:firstLineChars="0"/>
        <w:rPr>
          <w:rFonts w:ascii="仿宋_GB2312" w:hAnsi="Arial Narrow" w:eastAsia="仿宋_GB2312" w:cs="Arial"/>
          <w:sz w:val="30"/>
          <w:szCs w:val="30"/>
        </w:rPr>
      </w:pPr>
      <w:r>
        <w:rPr>
          <w:rFonts w:hint="eastAsia" w:ascii="仿宋_GB2312" w:hAnsi="Arial Narrow" w:eastAsia="仿宋_GB2312" w:cs="Arial"/>
          <w:sz w:val="30"/>
          <w:szCs w:val="30"/>
        </w:rPr>
        <w:t>冷拼</w:t>
      </w:r>
    </w:p>
    <w:tbl>
      <w:tblPr>
        <w:tblStyle w:val="13"/>
        <w:tblpPr w:leftFromText="180" w:rightFromText="180" w:vertAnchor="text" w:horzAnchor="margin" w:tblpY="287"/>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8"/>
        <w:gridCol w:w="2660"/>
        <w:gridCol w:w="1613"/>
        <w:gridCol w:w="123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  目</w:t>
            </w:r>
          </w:p>
        </w:tc>
        <w:tc>
          <w:tcPr>
            <w:tcW w:w="266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评判内容及分值设置</w:t>
            </w:r>
          </w:p>
        </w:tc>
        <w:tc>
          <w:tcPr>
            <w:tcW w:w="16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所占权重</w:t>
            </w:r>
          </w:p>
        </w:tc>
        <w:tc>
          <w:tcPr>
            <w:tcW w:w="123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 数</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24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19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冷拼</w:t>
            </w:r>
          </w:p>
        </w:tc>
        <w:tc>
          <w:tcPr>
            <w:tcW w:w="266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冷拼组合：60分</w:t>
            </w:r>
          </w:p>
        </w:tc>
        <w:tc>
          <w:tcPr>
            <w:tcW w:w="161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100%</w:t>
            </w:r>
          </w:p>
        </w:tc>
        <w:tc>
          <w:tcPr>
            <w:tcW w:w="123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60分</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60分</w:t>
            </w:r>
          </w:p>
        </w:tc>
      </w:tr>
    </w:tbl>
    <w:p>
      <w:pPr>
        <w:spacing w:line="520" w:lineRule="exact"/>
        <w:ind w:firstLine="588" w:firstLineChars="196"/>
        <w:rPr>
          <w:rFonts w:ascii="仿宋_GB2312" w:hAnsi="Arial Narrow" w:eastAsia="仿宋_GB2312" w:cs="Arial"/>
          <w:sz w:val="30"/>
          <w:szCs w:val="30"/>
        </w:rPr>
      </w:pPr>
      <w:r>
        <w:rPr>
          <w:rFonts w:hint="eastAsia" w:ascii="仿宋_GB2312" w:hAnsi="Arial Narrow" w:eastAsia="仿宋_GB2312" w:cs="Arial"/>
          <w:sz w:val="30"/>
          <w:szCs w:val="30"/>
        </w:rPr>
        <w:t>①作品呈现（10分）</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a.摆盘实用（不允许使用盘中盘），装饰或点缀物可食用，便于服务人员传送；</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b.作品造型、规格、份量一致；</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c.合理的份量大小；</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d.主料和配料搭配比例协调、平衡，主题突出；</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e.菜肴在餐具中的</w:t>
      </w:r>
      <w:r>
        <w:rPr>
          <w:rFonts w:ascii="仿宋_GB2312" w:hAnsi="Arial Narrow" w:eastAsia="仿宋_GB2312" w:cs="Arial"/>
          <w:sz w:val="30"/>
          <w:szCs w:val="30"/>
        </w:rPr>
        <w:t>构图比例、布局关系</w:t>
      </w:r>
      <w:r>
        <w:rPr>
          <w:rFonts w:hint="eastAsia" w:ascii="仿宋_GB2312" w:hAnsi="Arial Narrow" w:eastAsia="仿宋_GB2312" w:cs="Arial"/>
          <w:sz w:val="30"/>
          <w:szCs w:val="30"/>
        </w:rPr>
        <w:t>和谐；</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f.菜肴色泽明亮，色彩鲜明，各种色彩搭配和谐；</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g.具有现代艺术观赏性，富有食欲和视觉冲击力；</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h.菜肴具有地域文化、烹饪技艺特征。</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②口味质感（50分）</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a.口味质感与作品说明书说明一致；</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b.色、香、味统一、协调；</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c.调味适当，主味突出，风味特别，富有层次感；</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d.火候得当，无焦煳、腥膻等异味，或过生不能食用；</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e.食材质感鲜明，符合应有的口感特点；</w:t>
      </w:r>
    </w:p>
    <w:p>
      <w:pPr>
        <w:spacing w:line="52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f.主辅料搭配营养均衡。</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3.宴席答辩（宴席展台现场进行）</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（1）宴席整体效果（50分）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①口味与质感(15分)：烹法恰当，技法多样，口味丰富，体现地方特色。</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②营养合理(10分)：荤素兼顾，搭配合理，烹制方法运用科学，作品营养均衡，数量和份量符合规定要求。</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③原料使用(10分)：用料齐全，使用合理，利用率高。</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④出品效果(15分)：色彩搭配合理，造型美观，器皿使用得当。</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（2）答辩内容（50分）：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①内容(20分)：准确扣题，条例清晰，思路明确，回答全面。</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②解说(20分)：内容全面，主题突出，表述清晰。</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③仪容仪表(10分)：着装整洁得体，不佩戴饰物。</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设宴席设计与制作一个项目，以实际参赛队为基数，按照参赛队的10%、20%、30%（小数点后四舍五入）分别设一、二、三等奖。获得本赛项一、二、三等奖的团体赛参赛选手授予相应荣誉证书；获得一等奖的团体赛参赛队授予奖杯；获得一等奖的参赛队的指导教师（限2名）颁发“优秀指导教师奖”。</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赛项规程编制要求》，以及教育部高职高专餐旅管理与服务类专业教学指导委员会编制的“餐饮管理与服务”类专业教学基本要求；参照国家人力资源和社会保障部制订的国家题库技能实训指导手册中式烹调师（高级工）、中式面点师（高级工）职业技能标准，世界厨师联合会烹饪赛事评判办法，以及世界技能大赛、IKA世界奥林匹克烹饪大赛、中餐世界锦标赛等国际赛事相关技术规范，本着公平、公正、公开的原则，对参赛选手在烹饪知识、技能掌握等方面进行全面考核。参赛选手需掌握中餐烹饪岗位群必备的专业知识和操作技能，具备西餐烹饪岗位群所需的专业知识和操作技能；熟练的使用烹饪设备和工具，具备良好的沟通与表达能力、团队合作与创新能力、高度的食品安全意识、生产安全意识和良好的服务意识。</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提供赛项所需的技术平台，包括参考硬件和软件信息、参考</w:t>
      </w:r>
      <w:r>
        <w:rPr>
          <w:rFonts w:ascii="Arial Narrow" w:hAnsi="Arial Narrow" w:eastAsia="仿宋_GB2312" w:cs="Arial"/>
          <w:sz w:val="30"/>
          <w:szCs w:val="30"/>
        </w:rPr>
        <w:t>机器设备信息、参考工具器具信息等。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1.比赛器材、技术平台</w:t>
      </w:r>
    </w:p>
    <w:tbl>
      <w:tblPr>
        <w:tblStyle w:val="13"/>
        <w:tblW w:w="74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6"/>
        <w:gridCol w:w="3544"/>
        <w:gridCol w:w="2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756" w:type="dxa"/>
            <w:vAlign w:val="center"/>
          </w:tcPr>
          <w:p>
            <w:pPr>
              <w:pStyle w:val="8"/>
              <w:widowControl w:val="0"/>
              <w:jc w:val="center"/>
              <w:rPr>
                <w:rFonts w:cs="仿宋_GB2312" w:asciiTheme="minorEastAsia" w:hAnsiTheme="minorEastAsia" w:eastAsiaTheme="minorEastAsia"/>
                <w:b/>
                <w:color w:val="000000"/>
                <w:kern w:val="2"/>
              </w:rPr>
            </w:pPr>
            <w:r>
              <w:rPr>
                <w:rFonts w:hint="eastAsia" w:cs="仿宋_GB2312" w:asciiTheme="minorEastAsia" w:hAnsiTheme="minorEastAsia" w:eastAsiaTheme="minorEastAsia"/>
                <w:b/>
                <w:color w:val="000000"/>
                <w:kern w:val="2"/>
              </w:rPr>
              <w:t>序号</w:t>
            </w:r>
          </w:p>
        </w:tc>
        <w:tc>
          <w:tcPr>
            <w:tcW w:w="3544" w:type="dxa"/>
            <w:vAlign w:val="center"/>
          </w:tcPr>
          <w:p>
            <w:pPr>
              <w:pStyle w:val="8"/>
              <w:widowControl w:val="0"/>
              <w:jc w:val="center"/>
              <w:rPr>
                <w:rFonts w:cs="仿宋_GB2312" w:asciiTheme="minorEastAsia" w:hAnsiTheme="minorEastAsia" w:eastAsiaTheme="minorEastAsia"/>
                <w:b/>
                <w:color w:val="000000"/>
                <w:kern w:val="2"/>
              </w:rPr>
            </w:pPr>
            <w:r>
              <w:rPr>
                <w:rFonts w:hint="eastAsia" w:cs="仿宋_GB2312" w:asciiTheme="minorEastAsia" w:hAnsiTheme="minorEastAsia" w:eastAsiaTheme="minorEastAsia"/>
                <w:b/>
                <w:color w:val="000000"/>
                <w:kern w:val="2"/>
              </w:rPr>
              <w:t>主要设备名称</w:t>
            </w:r>
          </w:p>
        </w:tc>
        <w:tc>
          <w:tcPr>
            <w:tcW w:w="2122" w:type="dxa"/>
            <w:vAlign w:val="center"/>
          </w:tcPr>
          <w:p>
            <w:pPr>
              <w:pStyle w:val="8"/>
              <w:widowControl w:val="0"/>
              <w:jc w:val="center"/>
              <w:rPr>
                <w:rFonts w:cs="仿宋_GB2312" w:asciiTheme="minorEastAsia" w:hAnsiTheme="minorEastAsia" w:eastAsiaTheme="minorEastAsia"/>
                <w:b/>
                <w:color w:val="000000"/>
                <w:kern w:val="2"/>
              </w:rPr>
            </w:pPr>
            <w:r>
              <w:rPr>
                <w:rFonts w:hint="eastAsia" w:cs="仿宋_GB2312" w:asciiTheme="minorEastAsia" w:hAnsiTheme="minorEastAsia" w:eastAsiaTheme="minorEastAsia"/>
                <w:b/>
                <w:color w:val="000000"/>
                <w:kern w:val="2"/>
              </w:rPr>
              <w:t>能源类型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756"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1</w:t>
            </w:r>
          </w:p>
        </w:tc>
        <w:tc>
          <w:tcPr>
            <w:tcW w:w="3544"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双头炒炉</w:t>
            </w:r>
          </w:p>
        </w:tc>
        <w:tc>
          <w:tcPr>
            <w:tcW w:w="2122"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燃气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756"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2</w:t>
            </w:r>
          </w:p>
        </w:tc>
        <w:tc>
          <w:tcPr>
            <w:tcW w:w="3544"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万能蒸烤箱</w:t>
            </w:r>
          </w:p>
        </w:tc>
        <w:tc>
          <w:tcPr>
            <w:tcW w:w="2122"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电能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756"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3</w:t>
            </w:r>
          </w:p>
        </w:tc>
        <w:tc>
          <w:tcPr>
            <w:tcW w:w="3544"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双头蒸炉</w:t>
            </w:r>
          </w:p>
        </w:tc>
        <w:tc>
          <w:tcPr>
            <w:tcW w:w="2122"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燃气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756"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4</w:t>
            </w:r>
          </w:p>
        </w:tc>
        <w:tc>
          <w:tcPr>
            <w:tcW w:w="3544"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台式燃气平扒炉</w:t>
            </w:r>
          </w:p>
        </w:tc>
        <w:tc>
          <w:tcPr>
            <w:tcW w:w="2122"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燃气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756"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5</w:t>
            </w:r>
          </w:p>
        </w:tc>
        <w:tc>
          <w:tcPr>
            <w:tcW w:w="3544"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台式燃气双杠炸炉</w:t>
            </w:r>
          </w:p>
        </w:tc>
        <w:tc>
          <w:tcPr>
            <w:tcW w:w="2122"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燃气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0" w:hRule="atLeast"/>
          <w:jc w:val="center"/>
        </w:trPr>
        <w:tc>
          <w:tcPr>
            <w:tcW w:w="1756"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6</w:t>
            </w:r>
          </w:p>
        </w:tc>
        <w:tc>
          <w:tcPr>
            <w:tcW w:w="3544"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冷藏冰柜</w:t>
            </w:r>
          </w:p>
        </w:tc>
        <w:tc>
          <w:tcPr>
            <w:tcW w:w="2122" w:type="dxa"/>
            <w:vAlign w:val="center"/>
          </w:tcPr>
          <w:p>
            <w:pPr>
              <w:pStyle w:val="8"/>
              <w:widowControl w:val="0"/>
              <w:jc w:val="center"/>
              <w:rPr>
                <w:rFonts w:cs="仿宋_GB2312" w:asciiTheme="minorEastAsia" w:hAnsiTheme="minorEastAsia" w:eastAsiaTheme="minorEastAsia"/>
                <w:color w:val="000000"/>
                <w:kern w:val="2"/>
              </w:rPr>
            </w:pPr>
            <w:r>
              <w:rPr>
                <w:rFonts w:hint="eastAsia" w:cs="仿宋_GB2312" w:asciiTheme="minorEastAsia" w:hAnsiTheme="minorEastAsia" w:eastAsiaTheme="minorEastAsia"/>
                <w:color w:val="000000"/>
                <w:kern w:val="2"/>
              </w:rPr>
              <w:t>电能</w:t>
            </w:r>
          </w:p>
        </w:tc>
      </w:tr>
    </w:tbl>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2.竞赛赛场环境</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（1）竞赛环境安静、整洁。须设立紧急疏散通道，医疗服务站。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（2）比赛场地均可容纳40人同时比赛，且满足比赛所需的设备设施。</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（3）各比赛场地附近须设评判室一间，满足所有裁判员同时进行作品打分。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（4）设立作品展区。展示区可同时容纳至少40个参赛队的展台。每个展台均由直径</w:t>
      </w:r>
      <w:r>
        <w:rPr>
          <w:rFonts w:ascii="仿宋_GB2312" w:hAnsi="Arial Narrow" w:eastAsia="仿宋_GB2312" w:cs="Arial"/>
          <w:sz w:val="30"/>
          <w:szCs w:val="30"/>
        </w:rPr>
        <w:t>1.8</w:t>
      </w:r>
      <w:r>
        <w:rPr>
          <w:rFonts w:hint="eastAsia" w:ascii="仿宋_GB2312" w:hAnsi="Arial Narrow" w:eastAsia="仿宋_GB2312" w:cs="Arial"/>
          <w:sz w:val="30"/>
          <w:szCs w:val="30"/>
        </w:rPr>
        <w:t>m圆桌，同时提供白色基础台布一块。每桌间隔至少保证1m宽通道。</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（5）设立监控室和观摩区，能同步转播各赛场比赛情况。各比赛场地均需安装监控设备，确保比赛期间各监控设备正常使用。</w:t>
      </w:r>
    </w:p>
    <w:p>
      <w:pPr>
        <w:snapToGrid w:val="0"/>
        <w:spacing w:line="560" w:lineRule="exact"/>
        <w:ind w:firstLine="600" w:firstLineChars="200"/>
        <w:rPr>
          <w:rFonts w:ascii="Arial Narrow" w:hAnsi="Arial Narrow" w:eastAsia="仿宋_GB2312" w:cs="Arial"/>
          <w:sz w:val="30"/>
          <w:szCs w:val="30"/>
        </w:rPr>
      </w:pPr>
      <w:r>
        <w:rPr>
          <w:rFonts w:hint="eastAsia" w:ascii="仿宋_GB2312" w:hAnsi="Arial Narrow" w:eastAsia="仿宋_GB2312" w:cs="Arial"/>
          <w:sz w:val="30"/>
          <w:szCs w:val="30"/>
        </w:rPr>
        <w:t>（6）竞赛场</w:t>
      </w:r>
      <w:r>
        <w:rPr>
          <w:rFonts w:hint="eastAsia" w:ascii="Arial Narrow" w:hAnsi="Arial Narrow" w:eastAsia="仿宋_GB2312" w:cs="Arial"/>
          <w:sz w:val="30"/>
          <w:szCs w:val="30"/>
        </w:rPr>
        <w:t>地需要能同时容纳600人的会议室及若干小型会议室，投影、音响设备齐全。</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事安全是全国职业院校技能大赛一切工作顺利开展的先决条件，是所有赛项筹备和运行工作必须考虑的核心问题。按照《全国职业院校技能大赛安全管理规定》的有关要求，依据本赛项自身特点，特明确所需的安全保障措施如下：</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w:t>
      </w:r>
      <w:r>
        <w:rPr>
          <w:rFonts w:hint="eastAsia" w:ascii="仿宋_GB2312" w:eastAsia="仿宋_GB2312"/>
        </w:rPr>
        <w:t xml:space="preserve"> </w:t>
      </w:r>
      <w:r>
        <w:rPr>
          <w:rFonts w:hint="eastAsia" w:ascii="仿宋_GB2312" w:hAnsi="Arial Narrow" w:eastAsia="仿宋_GB2312" w:cs="Arial"/>
          <w:sz w:val="30"/>
          <w:szCs w:val="30"/>
        </w:rPr>
        <w:t>赛项安全管理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（1）比赛内容涉及的器材、设备符合国家有关安全规定；</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（2）赛项专家组充分考虑比赛内容和所用器材、耗材可能存在的危险因素，通过完善设计规避风险，采取有效防范措施保证选手备赛和比赛安全。危险提示和防范措施在赛项技术文件中进行说明。</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（3）赛项执委会在赛前对本赛项全体裁判员、工作人员进行安全培训，建立完善的安全事故防范制度。</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（4）赛项执委会制定专门方案保证比赛命题、赛题保管、发放、回收和评判过程的安全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w:t>
      </w:r>
      <w:r>
        <w:rPr>
          <w:rFonts w:hint="eastAsia"/>
        </w:rPr>
        <w:t xml:space="preserve"> </w:t>
      </w:r>
      <w:r>
        <w:rPr>
          <w:rFonts w:hint="eastAsia" w:ascii="仿宋_GB2312" w:hAnsi="Arial Narrow" w:eastAsia="仿宋_GB2312" w:cs="Arial"/>
          <w:sz w:val="30"/>
          <w:szCs w:val="30"/>
        </w:rPr>
        <w:t>比赛环境安全管理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（1）赛项执委会在赛前组织专人对比赛现场、住宿场所和交通保障进行考察，并对安全工作提出明确要求。赛场的布置，赛场内的器材、设备，应符合国家有关安全规定。</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赛场组织与管理员应制定安保须知、安全隐患规避方法及突发事件预案，设立紧急疏散路线、通道，设立警戒线，确保比赛期间所有进入带点车辆、人员需凭证入内；严禁携带易燃易爆等危险品及比赛严令禁止的物品进入场地；场地设备设施均可安全使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承办院校配备急救人员与设施，在赛场管理的关键岗位，增加力量，建立安全管理日志。赛项承办院校有责任提醒、督促参赛选手、赛项裁判工作人员严禁携带通讯、照相摄录设备，禁止携带未经许可的记录用具。</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参赛选手在参赛过程中，必须服从场内裁判及工作人员的指挥，严格按照制作规程进行操作，正确使用器具及设备，在工作人员指挥下进行点火、调火操作，如出现非正常起火，立即关闭燃气阀门并向工作人员举手汇报。妥善保管个人刀具，严禁个人物品占用通道。</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（5）裁判员在比赛前，宣读安全注意事项，强调用火、用电安全规则。当现场出现突发事件时，应及时给予处置。</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3.生活条件</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（1）赛事承办院校统一安排参赛选手和指导教师食宿。尊重少数民族参赛人员的宗教信仰及文化习俗，安排好少数民族参赛选手和教师的饮食起居。</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（2）比赛期间安排的住宿地应具有宾馆、住宿经营许可资质。以学校宿舍作为住宿地的，大赛期间的住宿、卫生、饮食安全等由赛项执委会和提供宿舍的学校共同负责。</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（3）赛项执委会和承办院校保证比赛期间选手、指导教师和裁判员、工作人员的交通安全。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4.突发事件处理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赛项设立安全工作领导小组，比赛期间一旦发生突发性事件，安全工作领导小组成员必须立即做出反应，及时了解和分析事件的起因和发展态势，采取措施控制事件的发展和影响范围，将损失降低到最小限度。</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（1）当遇到突发事件时，参赛人员须听从赛项执委会统一指挥，严禁私自行动。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（2）事件发生后，执委会领导、专家组成员及各参赛代表队的领队、指导教师应积极处理，严禁擅离职守、先行撤离。</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（3）比赛中，如果出现各种不可预知的紧急情况，由相关项目责任人与各参赛代表队的领队、指导教师及时组织好参赛选手，听从赛项执委会的统一指挥，按指定的路线有序撤离。</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（4）任何人员如因不坚守岗位、不认真履行职责，将取消下一次参加竞赛的机会；如因工作失职造成安全事故，其损失由当事人全部承担并按竞赛工作制度进行相关处理。</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为加强本赛项经费的管理，进一步规范经费的筹集和使用，按照《全国职业院校技能大赛经费管理暂行办法》的有关要求，特制定本赛项经费概算。大赛经费由主办、承办及协办单位共同筹集。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经费预算：大赛包括赛前筹备费，场地费，裁判、仲裁、专家、督导、工作人员及服务人员的餐费、住宿费、劳务费、交通费、服装费，奖杯、奖牌、证书、证件、背景板等制作、快递费用，现场布置费、设备租赁、媒体宣传、原材料采购费及其他相关费用，预计花费</w:t>
      </w:r>
      <w:r>
        <w:rPr>
          <w:rFonts w:ascii="Arial Narrow" w:hAnsi="Arial Narrow" w:eastAsia="仿宋_GB2312" w:cs="Arial"/>
          <w:sz w:val="30"/>
          <w:szCs w:val="30"/>
        </w:rPr>
        <w:t>96.43</w:t>
      </w:r>
      <w:r>
        <w:rPr>
          <w:rFonts w:hint="eastAsia" w:ascii="Arial Narrow" w:hAnsi="Arial Narrow" w:eastAsia="仿宋_GB2312" w:cs="Arial"/>
          <w:sz w:val="30"/>
          <w:szCs w:val="30"/>
        </w:rPr>
        <w:t>万元。具体明细如下：</w:t>
      </w:r>
    </w:p>
    <w:tbl>
      <w:tblPr>
        <w:tblStyle w:val="14"/>
        <w:tblpPr w:leftFromText="180" w:rightFromText="180" w:vertAnchor="page" w:horzAnchor="margin" w:tblpXSpec="center" w:tblpY="1564"/>
        <w:tblW w:w="10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2"/>
        <w:gridCol w:w="4595"/>
        <w:gridCol w:w="1469"/>
        <w:gridCol w:w="2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Align w:val="center"/>
          </w:tcPr>
          <w:p>
            <w:pPr>
              <w:jc w:val="center"/>
              <w:rPr>
                <w:rFonts w:ascii="仿宋" w:hAnsi="仿宋" w:eastAsia="仿宋"/>
                <w:b/>
                <w:sz w:val="24"/>
                <w:szCs w:val="24"/>
              </w:rPr>
            </w:pPr>
            <w:r>
              <w:rPr>
                <w:rFonts w:ascii="仿宋" w:hAnsi="仿宋" w:eastAsia="仿宋"/>
                <w:b/>
                <w:sz w:val="24"/>
                <w:szCs w:val="24"/>
              </w:rPr>
              <w:t>项目</w:t>
            </w:r>
          </w:p>
        </w:tc>
        <w:tc>
          <w:tcPr>
            <w:tcW w:w="4595" w:type="dxa"/>
            <w:vAlign w:val="center"/>
          </w:tcPr>
          <w:p>
            <w:pPr>
              <w:jc w:val="center"/>
              <w:rPr>
                <w:rFonts w:ascii="仿宋" w:hAnsi="仿宋" w:eastAsia="仿宋"/>
                <w:b/>
                <w:sz w:val="24"/>
                <w:szCs w:val="24"/>
              </w:rPr>
            </w:pPr>
            <w:r>
              <w:rPr>
                <w:rFonts w:ascii="仿宋" w:hAnsi="仿宋" w:eastAsia="仿宋"/>
                <w:b/>
                <w:sz w:val="24"/>
                <w:szCs w:val="24"/>
              </w:rPr>
              <w:t>说明</w:t>
            </w:r>
          </w:p>
        </w:tc>
        <w:tc>
          <w:tcPr>
            <w:tcW w:w="1469" w:type="dxa"/>
            <w:vAlign w:val="center"/>
          </w:tcPr>
          <w:p>
            <w:pPr>
              <w:jc w:val="center"/>
              <w:rPr>
                <w:rFonts w:ascii="仿宋" w:hAnsi="仿宋" w:eastAsia="仿宋"/>
                <w:b/>
                <w:sz w:val="24"/>
                <w:szCs w:val="24"/>
              </w:rPr>
            </w:pPr>
            <w:r>
              <w:rPr>
                <w:rFonts w:hint="eastAsia" w:ascii="仿宋" w:hAnsi="仿宋" w:eastAsia="仿宋"/>
                <w:b/>
                <w:sz w:val="24"/>
                <w:szCs w:val="24"/>
              </w:rPr>
              <w:t>预计</w:t>
            </w:r>
            <w:r>
              <w:rPr>
                <w:rFonts w:ascii="仿宋" w:hAnsi="仿宋" w:eastAsia="仿宋"/>
                <w:b/>
                <w:sz w:val="24"/>
                <w:szCs w:val="24"/>
              </w:rPr>
              <w:t>金额</w:t>
            </w:r>
          </w:p>
        </w:tc>
        <w:tc>
          <w:tcPr>
            <w:tcW w:w="2965" w:type="dxa"/>
          </w:tcPr>
          <w:p>
            <w:pPr>
              <w:jc w:val="center"/>
              <w:rPr>
                <w:rFonts w:ascii="仿宋" w:hAnsi="仿宋" w:eastAsia="仿宋"/>
                <w:b/>
                <w:sz w:val="24"/>
                <w:szCs w:val="24"/>
              </w:rPr>
            </w:pPr>
            <w:r>
              <w:rPr>
                <w:rFonts w:hint="eastAsia" w:ascii="仿宋" w:hAnsi="仿宋" w:eastAsia="仿宋"/>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restart"/>
            <w:vAlign w:val="center"/>
          </w:tcPr>
          <w:p>
            <w:pPr>
              <w:rPr>
                <w:rFonts w:ascii="仿宋" w:hAnsi="仿宋" w:eastAsia="仿宋"/>
                <w:sz w:val="24"/>
                <w:szCs w:val="24"/>
              </w:rPr>
            </w:pPr>
            <w:r>
              <w:rPr>
                <w:rFonts w:ascii="仿宋" w:hAnsi="仿宋" w:eastAsia="仿宋"/>
                <w:sz w:val="24"/>
                <w:szCs w:val="24"/>
              </w:rPr>
              <w:t>印刷费</w:t>
            </w:r>
          </w:p>
        </w:tc>
        <w:tc>
          <w:tcPr>
            <w:tcW w:w="4595" w:type="dxa"/>
            <w:vAlign w:val="center"/>
          </w:tcPr>
          <w:p>
            <w:pPr>
              <w:rPr>
                <w:rFonts w:ascii="仿宋" w:hAnsi="仿宋" w:eastAsia="仿宋"/>
                <w:sz w:val="24"/>
                <w:szCs w:val="24"/>
              </w:rPr>
            </w:pPr>
            <w:r>
              <w:rPr>
                <w:rFonts w:hint="eastAsia" w:ascii="仿宋" w:hAnsi="仿宋" w:eastAsia="仿宋"/>
                <w:sz w:val="24"/>
                <w:szCs w:val="24"/>
              </w:rPr>
              <w:t>会议资料：3</w:t>
            </w:r>
            <w:r>
              <w:rPr>
                <w:rFonts w:ascii="仿宋" w:hAnsi="仿宋" w:eastAsia="仿宋"/>
                <w:sz w:val="24"/>
                <w:szCs w:val="24"/>
              </w:rPr>
              <w:t>00</w:t>
            </w:r>
            <w:r>
              <w:rPr>
                <w:rFonts w:hint="eastAsia" w:ascii="仿宋" w:hAnsi="仿宋" w:eastAsia="仿宋"/>
                <w:sz w:val="24"/>
                <w:szCs w:val="24"/>
              </w:rPr>
              <w:t>本*</w:t>
            </w:r>
            <w:r>
              <w:rPr>
                <w:rFonts w:ascii="仿宋" w:hAnsi="仿宋" w:eastAsia="仿宋"/>
                <w:sz w:val="24"/>
                <w:szCs w:val="24"/>
              </w:rPr>
              <w:t>60</w:t>
            </w:r>
            <w:r>
              <w:rPr>
                <w:rFonts w:hint="eastAsia" w:ascii="仿宋" w:hAnsi="仿宋" w:eastAsia="仿宋"/>
                <w:sz w:val="24"/>
                <w:szCs w:val="24"/>
              </w:rPr>
              <w:t>=</w:t>
            </w:r>
            <w:r>
              <w:rPr>
                <w:rFonts w:ascii="仿宋" w:hAnsi="仿宋" w:eastAsia="仿宋"/>
                <w:sz w:val="24"/>
                <w:szCs w:val="24"/>
              </w:rPr>
              <w:t>18000</w:t>
            </w:r>
            <w:r>
              <w:rPr>
                <w:rFonts w:hint="eastAsia" w:ascii="仿宋" w:hAnsi="仿宋" w:eastAsia="仿宋"/>
                <w:sz w:val="24"/>
                <w:szCs w:val="24"/>
              </w:rPr>
              <w:t>元</w:t>
            </w:r>
          </w:p>
        </w:tc>
        <w:tc>
          <w:tcPr>
            <w:tcW w:w="1469" w:type="dxa"/>
            <w:vMerge w:val="restart"/>
            <w:vAlign w:val="center"/>
          </w:tcPr>
          <w:p>
            <w:pPr>
              <w:jc w:val="cente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.98</w:t>
            </w:r>
            <w:r>
              <w:rPr>
                <w:rFonts w:hint="eastAsia" w:ascii="仿宋" w:hAnsi="仿宋" w:eastAsia="仿宋"/>
                <w:sz w:val="24"/>
                <w:szCs w:val="24"/>
              </w:rPr>
              <w:t>万</w:t>
            </w:r>
          </w:p>
        </w:tc>
        <w:tc>
          <w:tcPr>
            <w:tcW w:w="2965" w:type="dxa"/>
            <w:vMerge w:val="restart"/>
          </w:tcPr>
          <w:p>
            <w:pPr>
              <w:rPr>
                <w:rFonts w:ascii="仿宋" w:hAnsi="仿宋" w:eastAsia="仿宋"/>
                <w:sz w:val="24"/>
                <w:szCs w:val="24"/>
              </w:rPr>
            </w:pPr>
            <w:r>
              <w:rPr>
                <w:rFonts w:hint="eastAsia" w:ascii="仿宋" w:hAnsi="仿宋" w:eastAsia="仿宋"/>
                <w:sz w:val="24"/>
                <w:szCs w:val="24"/>
              </w:rPr>
              <w:t>指导老师、专家、领队、嘉宾、裁判员、仲裁员、工作人员、督导、领队、媒体等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代表证4</w:t>
            </w:r>
            <w:r>
              <w:rPr>
                <w:rFonts w:ascii="仿宋" w:hAnsi="仿宋" w:eastAsia="仿宋"/>
                <w:sz w:val="24"/>
                <w:szCs w:val="24"/>
              </w:rPr>
              <w:t>50</w:t>
            </w:r>
            <w:r>
              <w:rPr>
                <w:rFonts w:hint="eastAsia" w:ascii="仿宋" w:hAnsi="仿宋" w:eastAsia="仿宋"/>
                <w:sz w:val="24"/>
                <w:szCs w:val="24"/>
              </w:rPr>
              <w:t>*</w:t>
            </w:r>
            <w:r>
              <w:rPr>
                <w:rFonts w:ascii="仿宋" w:hAnsi="仿宋" w:eastAsia="仿宋"/>
                <w:sz w:val="24"/>
                <w:szCs w:val="24"/>
              </w:rPr>
              <w:t>4</w:t>
            </w:r>
            <w:r>
              <w:rPr>
                <w:rFonts w:hint="eastAsia" w:ascii="仿宋" w:hAnsi="仿宋" w:eastAsia="仿宋"/>
                <w:sz w:val="24"/>
                <w:szCs w:val="24"/>
              </w:rPr>
              <w:t>=</w:t>
            </w:r>
            <w:r>
              <w:rPr>
                <w:rFonts w:ascii="仿宋" w:hAnsi="仿宋" w:eastAsia="仿宋"/>
                <w:sz w:val="24"/>
                <w:szCs w:val="24"/>
              </w:rPr>
              <w:t>1800</w:t>
            </w:r>
            <w:r>
              <w:rPr>
                <w:rFonts w:hint="eastAsia" w:ascii="仿宋" w:hAnsi="仿宋" w:eastAsia="仿宋"/>
                <w:sz w:val="24"/>
                <w:szCs w:val="24"/>
              </w:rPr>
              <w:t>元</w:t>
            </w:r>
          </w:p>
        </w:tc>
        <w:tc>
          <w:tcPr>
            <w:tcW w:w="1469" w:type="dxa"/>
            <w:vMerge w:val="continue"/>
            <w:vAlign w:val="center"/>
          </w:tcPr>
          <w:p>
            <w:pPr>
              <w:jc w:val="cente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Align w:val="center"/>
          </w:tcPr>
          <w:p>
            <w:pPr>
              <w:rPr>
                <w:rFonts w:ascii="仿宋" w:hAnsi="仿宋" w:eastAsia="仿宋"/>
                <w:sz w:val="24"/>
                <w:szCs w:val="24"/>
              </w:rPr>
            </w:pPr>
            <w:r>
              <w:rPr>
                <w:rFonts w:ascii="仿宋" w:hAnsi="仿宋" w:eastAsia="仿宋"/>
                <w:sz w:val="24"/>
                <w:szCs w:val="24"/>
              </w:rPr>
              <w:t>咨询费</w:t>
            </w:r>
          </w:p>
        </w:tc>
        <w:tc>
          <w:tcPr>
            <w:tcW w:w="4595" w:type="dxa"/>
            <w:vAlign w:val="center"/>
          </w:tcPr>
          <w:p>
            <w:pPr>
              <w:rPr>
                <w:rFonts w:ascii="仿宋" w:hAnsi="仿宋" w:eastAsia="仿宋"/>
                <w:sz w:val="24"/>
                <w:szCs w:val="24"/>
              </w:rPr>
            </w:pPr>
            <w:r>
              <w:rPr>
                <w:rFonts w:ascii="仿宋" w:hAnsi="仿宋" w:eastAsia="仿宋"/>
                <w:sz w:val="24"/>
                <w:szCs w:val="24"/>
              </w:rPr>
              <w:t>1000*12</w:t>
            </w:r>
            <w:r>
              <w:rPr>
                <w:rFonts w:hint="eastAsia" w:ascii="仿宋" w:hAnsi="仿宋" w:eastAsia="仿宋"/>
                <w:sz w:val="24"/>
                <w:szCs w:val="24"/>
              </w:rPr>
              <w:t>=</w:t>
            </w:r>
            <w:r>
              <w:rPr>
                <w:rFonts w:ascii="仿宋" w:hAnsi="仿宋" w:eastAsia="仿宋"/>
                <w:sz w:val="24"/>
                <w:szCs w:val="24"/>
              </w:rPr>
              <w:t>12000</w:t>
            </w:r>
            <w:r>
              <w:rPr>
                <w:rFonts w:hint="eastAsia" w:ascii="仿宋" w:hAnsi="仿宋" w:eastAsia="仿宋"/>
                <w:sz w:val="24"/>
                <w:szCs w:val="24"/>
              </w:rPr>
              <w:t>元</w:t>
            </w:r>
          </w:p>
        </w:tc>
        <w:tc>
          <w:tcPr>
            <w:tcW w:w="1469" w:type="dxa"/>
            <w:vAlign w:val="center"/>
          </w:tcPr>
          <w:p>
            <w:pPr>
              <w:jc w:val="cente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.2</w:t>
            </w:r>
            <w:r>
              <w:rPr>
                <w:rFonts w:hint="eastAsia" w:ascii="仿宋" w:hAnsi="仿宋" w:eastAsia="仿宋"/>
                <w:sz w:val="24"/>
                <w:szCs w:val="24"/>
              </w:rPr>
              <w:t>万</w:t>
            </w:r>
          </w:p>
        </w:tc>
        <w:tc>
          <w:tcPr>
            <w:tcW w:w="2965" w:type="dxa"/>
            <w:vAlign w:val="center"/>
          </w:tcPr>
          <w:p>
            <w:pPr>
              <w:rPr>
                <w:rFonts w:ascii="仿宋" w:hAnsi="仿宋" w:eastAsia="仿宋"/>
                <w:sz w:val="24"/>
                <w:szCs w:val="24"/>
              </w:rPr>
            </w:pPr>
            <w:r>
              <w:rPr>
                <w:rFonts w:hint="eastAsia" w:ascii="仿宋" w:hAnsi="仿宋" w:eastAsia="仿宋"/>
                <w:sz w:val="24"/>
                <w:szCs w:val="24"/>
              </w:rPr>
              <w:t>专家劳务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restart"/>
            <w:vAlign w:val="center"/>
          </w:tcPr>
          <w:p>
            <w:pPr>
              <w:rPr>
                <w:rFonts w:ascii="仿宋" w:hAnsi="仿宋" w:eastAsia="仿宋"/>
                <w:sz w:val="24"/>
                <w:szCs w:val="24"/>
              </w:rPr>
            </w:pPr>
            <w:r>
              <w:rPr>
                <w:rFonts w:ascii="仿宋" w:hAnsi="仿宋" w:eastAsia="仿宋"/>
                <w:sz w:val="24"/>
                <w:szCs w:val="24"/>
              </w:rPr>
              <w:t>邮电费</w:t>
            </w:r>
          </w:p>
        </w:tc>
        <w:tc>
          <w:tcPr>
            <w:tcW w:w="4595" w:type="dxa"/>
            <w:vAlign w:val="center"/>
          </w:tcPr>
          <w:p>
            <w:pPr>
              <w:rPr>
                <w:rFonts w:ascii="仿宋" w:hAnsi="仿宋" w:eastAsia="仿宋"/>
                <w:sz w:val="24"/>
                <w:szCs w:val="24"/>
              </w:rPr>
            </w:pPr>
            <w:r>
              <w:rPr>
                <w:rFonts w:hint="eastAsia" w:ascii="仿宋" w:hAnsi="仿宋" w:eastAsia="仿宋"/>
                <w:sz w:val="24"/>
                <w:szCs w:val="24"/>
              </w:rPr>
              <w:t>奖杯、证书及相关资料等快递费</w:t>
            </w:r>
          </w:p>
        </w:tc>
        <w:tc>
          <w:tcPr>
            <w:tcW w:w="1469" w:type="dxa"/>
            <w:vAlign w:val="center"/>
          </w:tcPr>
          <w:p>
            <w:pPr>
              <w:jc w:val="center"/>
              <w:rPr>
                <w:rFonts w:ascii="仿宋" w:hAnsi="仿宋" w:eastAsia="仿宋"/>
                <w:sz w:val="24"/>
                <w:szCs w:val="24"/>
              </w:rPr>
            </w:pPr>
            <w:r>
              <w:rPr>
                <w:rFonts w:ascii="仿宋" w:hAnsi="仿宋" w:eastAsia="仿宋"/>
                <w:sz w:val="24"/>
                <w:szCs w:val="24"/>
              </w:rPr>
              <w:t>1.5</w:t>
            </w:r>
            <w:r>
              <w:rPr>
                <w:rFonts w:hint="eastAsia" w:ascii="仿宋" w:hAnsi="仿宋" w:eastAsia="仿宋"/>
                <w:sz w:val="24"/>
                <w:szCs w:val="24"/>
              </w:rPr>
              <w:t>万</w:t>
            </w:r>
          </w:p>
        </w:tc>
        <w:tc>
          <w:tcPr>
            <w:tcW w:w="2965"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网络通讯及电话费</w:t>
            </w:r>
          </w:p>
        </w:tc>
        <w:tc>
          <w:tcPr>
            <w:tcW w:w="1469" w:type="dxa"/>
            <w:vAlign w:val="center"/>
          </w:tcPr>
          <w:p>
            <w:pPr>
              <w:jc w:val="center"/>
              <w:rPr>
                <w:rFonts w:ascii="仿宋" w:hAnsi="仿宋" w:eastAsia="仿宋"/>
                <w:sz w:val="24"/>
                <w:szCs w:val="24"/>
              </w:rPr>
            </w:pPr>
            <w:r>
              <w:rPr>
                <w:rFonts w:hint="eastAsia" w:ascii="仿宋" w:hAnsi="仿宋" w:eastAsia="仿宋"/>
                <w:sz w:val="24"/>
                <w:szCs w:val="24"/>
              </w:rPr>
              <w:t>0</w:t>
            </w:r>
            <w:r>
              <w:rPr>
                <w:rFonts w:ascii="仿宋" w:hAnsi="仿宋" w:eastAsia="仿宋"/>
                <w:sz w:val="24"/>
                <w:szCs w:val="24"/>
              </w:rPr>
              <w:t>.5</w:t>
            </w:r>
            <w:r>
              <w:rPr>
                <w:rFonts w:hint="eastAsia" w:ascii="仿宋" w:hAnsi="仿宋" w:eastAsia="仿宋"/>
                <w:sz w:val="24"/>
                <w:szCs w:val="24"/>
              </w:rPr>
              <w:t>万</w:t>
            </w:r>
          </w:p>
        </w:tc>
        <w:tc>
          <w:tcPr>
            <w:tcW w:w="2965" w:type="dxa"/>
          </w:tcPr>
          <w:p>
            <w:pPr>
              <w:rPr>
                <w:rFonts w:ascii="仿宋" w:hAnsi="仿宋" w:eastAsia="仿宋"/>
                <w:sz w:val="24"/>
                <w:szCs w:val="24"/>
              </w:rPr>
            </w:pPr>
            <w:r>
              <w:rPr>
                <w:rFonts w:hint="eastAsia" w:ascii="仿宋" w:hAnsi="仿宋" w:eastAsia="仿宋"/>
                <w:sz w:val="24"/>
                <w:szCs w:val="24"/>
              </w:rPr>
              <w:t>专家、裁判员、工作人员、领导、仲裁、督导等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Align w:val="center"/>
          </w:tcPr>
          <w:p>
            <w:pPr>
              <w:rPr>
                <w:rFonts w:ascii="仿宋" w:hAnsi="仿宋" w:eastAsia="仿宋"/>
                <w:sz w:val="24"/>
                <w:szCs w:val="24"/>
              </w:rPr>
            </w:pPr>
            <w:r>
              <w:rPr>
                <w:rFonts w:ascii="仿宋" w:hAnsi="仿宋" w:eastAsia="仿宋"/>
                <w:sz w:val="24"/>
                <w:szCs w:val="24"/>
              </w:rPr>
              <w:t>差旅费</w:t>
            </w:r>
          </w:p>
        </w:tc>
        <w:tc>
          <w:tcPr>
            <w:tcW w:w="4595" w:type="dxa"/>
            <w:vAlign w:val="center"/>
          </w:tcPr>
          <w:p>
            <w:pPr>
              <w:rPr>
                <w:rFonts w:ascii="仿宋" w:hAnsi="仿宋" w:eastAsia="仿宋"/>
                <w:sz w:val="24"/>
                <w:szCs w:val="24"/>
              </w:rPr>
            </w:pPr>
            <w:r>
              <w:rPr>
                <w:rFonts w:hint="eastAsia" w:ascii="仿宋" w:hAnsi="仿宋" w:eastAsia="仿宋"/>
                <w:sz w:val="24"/>
                <w:szCs w:val="24"/>
              </w:rPr>
              <w:t>食宿：3</w:t>
            </w:r>
            <w:r>
              <w:rPr>
                <w:rFonts w:ascii="仿宋" w:hAnsi="仿宋" w:eastAsia="仿宋"/>
                <w:sz w:val="24"/>
                <w:szCs w:val="24"/>
              </w:rPr>
              <w:t>50</w:t>
            </w:r>
            <w:r>
              <w:rPr>
                <w:rFonts w:hint="eastAsia" w:ascii="仿宋" w:hAnsi="仿宋" w:eastAsia="仿宋"/>
                <w:sz w:val="24"/>
                <w:szCs w:val="24"/>
              </w:rPr>
              <w:t>元/人/天*</w:t>
            </w:r>
            <w:r>
              <w:rPr>
                <w:rFonts w:ascii="仿宋" w:hAnsi="仿宋" w:eastAsia="仿宋"/>
                <w:sz w:val="24"/>
                <w:szCs w:val="24"/>
              </w:rPr>
              <w:t>150</w:t>
            </w:r>
            <w:r>
              <w:rPr>
                <w:rFonts w:hint="eastAsia" w:ascii="仿宋" w:hAnsi="仿宋" w:eastAsia="仿宋"/>
                <w:sz w:val="24"/>
                <w:szCs w:val="24"/>
              </w:rPr>
              <w:t>*</w:t>
            </w:r>
            <w:r>
              <w:rPr>
                <w:rFonts w:ascii="仿宋" w:hAnsi="仿宋" w:eastAsia="仿宋"/>
                <w:sz w:val="24"/>
                <w:szCs w:val="24"/>
              </w:rPr>
              <w:t>3</w:t>
            </w:r>
            <w:r>
              <w:rPr>
                <w:rFonts w:hint="eastAsia" w:ascii="仿宋" w:hAnsi="仿宋" w:eastAsia="仿宋"/>
                <w:sz w:val="24"/>
                <w:szCs w:val="24"/>
              </w:rPr>
              <w:t>=</w:t>
            </w:r>
            <w:r>
              <w:rPr>
                <w:rFonts w:ascii="仿宋" w:hAnsi="仿宋" w:eastAsia="仿宋"/>
                <w:sz w:val="24"/>
                <w:szCs w:val="24"/>
              </w:rPr>
              <w:t>157500</w:t>
            </w:r>
            <w:r>
              <w:rPr>
                <w:rFonts w:hint="eastAsia" w:ascii="仿宋" w:hAnsi="仿宋" w:eastAsia="仿宋"/>
                <w:sz w:val="24"/>
                <w:szCs w:val="24"/>
              </w:rPr>
              <w:t>元</w:t>
            </w:r>
          </w:p>
        </w:tc>
        <w:tc>
          <w:tcPr>
            <w:tcW w:w="1469" w:type="dxa"/>
            <w:vAlign w:val="center"/>
          </w:tcPr>
          <w:p>
            <w:pPr>
              <w:jc w:val="cente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5.75</w:t>
            </w:r>
            <w:r>
              <w:rPr>
                <w:rFonts w:hint="eastAsia" w:ascii="仿宋" w:hAnsi="仿宋" w:eastAsia="仿宋"/>
                <w:sz w:val="24"/>
                <w:szCs w:val="24"/>
              </w:rPr>
              <w:t>万</w:t>
            </w:r>
          </w:p>
        </w:tc>
        <w:tc>
          <w:tcPr>
            <w:tcW w:w="2965" w:type="dxa"/>
          </w:tcPr>
          <w:p>
            <w:pPr>
              <w:rPr>
                <w:rFonts w:ascii="仿宋" w:hAnsi="仿宋" w:eastAsia="仿宋"/>
                <w:sz w:val="24"/>
                <w:szCs w:val="24"/>
              </w:rPr>
            </w:pPr>
            <w:r>
              <w:rPr>
                <w:rFonts w:hint="eastAsia" w:ascii="仿宋" w:hAnsi="仿宋" w:eastAsia="仿宋"/>
                <w:sz w:val="24"/>
                <w:szCs w:val="24"/>
              </w:rPr>
              <w:t>比赛期间专家、裁判员、工作人员、领导、仲裁、督导、嘉宾、媒体、志愿者等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Align w:val="center"/>
          </w:tcPr>
          <w:p>
            <w:pPr>
              <w:rPr>
                <w:rFonts w:ascii="仿宋" w:hAnsi="仿宋" w:eastAsia="仿宋"/>
                <w:sz w:val="24"/>
                <w:szCs w:val="24"/>
              </w:rPr>
            </w:pPr>
            <w:r>
              <w:rPr>
                <w:rFonts w:ascii="仿宋" w:hAnsi="仿宋" w:eastAsia="仿宋"/>
                <w:sz w:val="24"/>
                <w:szCs w:val="24"/>
              </w:rPr>
              <w:t>租赁费</w:t>
            </w:r>
          </w:p>
        </w:tc>
        <w:tc>
          <w:tcPr>
            <w:tcW w:w="4595" w:type="dxa"/>
            <w:vAlign w:val="center"/>
          </w:tcPr>
          <w:p>
            <w:pPr>
              <w:rPr>
                <w:rFonts w:ascii="仿宋" w:hAnsi="仿宋" w:eastAsia="仿宋"/>
                <w:sz w:val="24"/>
                <w:szCs w:val="24"/>
              </w:rPr>
            </w:pPr>
            <w:r>
              <w:rPr>
                <w:rFonts w:hint="eastAsia" w:ascii="仿宋" w:hAnsi="仿宋" w:eastAsia="仿宋"/>
                <w:sz w:val="24"/>
                <w:szCs w:val="24"/>
              </w:rPr>
              <w:t>设备安装调试、租赁、维修等</w:t>
            </w:r>
          </w:p>
        </w:tc>
        <w:tc>
          <w:tcPr>
            <w:tcW w:w="1469" w:type="dxa"/>
            <w:vAlign w:val="center"/>
          </w:tcPr>
          <w:p>
            <w:pPr>
              <w:jc w:val="center"/>
              <w:rPr>
                <w:rFonts w:ascii="仿宋" w:hAnsi="仿宋" w:eastAsia="仿宋"/>
                <w:sz w:val="24"/>
                <w:szCs w:val="24"/>
              </w:rPr>
            </w:pPr>
            <w:r>
              <w:rPr>
                <w:rFonts w:ascii="仿宋" w:hAnsi="仿宋" w:eastAsia="仿宋"/>
                <w:sz w:val="24"/>
                <w:szCs w:val="24"/>
              </w:rPr>
              <w:t>10</w:t>
            </w:r>
            <w:r>
              <w:rPr>
                <w:rFonts w:hint="eastAsia" w:ascii="仿宋" w:hAnsi="仿宋" w:eastAsia="仿宋"/>
                <w:sz w:val="24"/>
                <w:szCs w:val="24"/>
              </w:rPr>
              <w:t>万</w:t>
            </w:r>
          </w:p>
        </w:tc>
        <w:tc>
          <w:tcPr>
            <w:tcW w:w="2965"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restart"/>
            <w:vAlign w:val="center"/>
          </w:tcPr>
          <w:p>
            <w:pPr>
              <w:rPr>
                <w:rFonts w:ascii="仿宋" w:hAnsi="仿宋" w:eastAsia="仿宋"/>
                <w:sz w:val="24"/>
                <w:szCs w:val="24"/>
              </w:rPr>
            </w:pPr>
            <w:r>
              <w:rPr>
                <w:rFonts w:ascii="仿宋" w:hAnsi="仿宋" w:eastAsia="仿宋"/>
                <w:sz w:val="24"/>
                <w:szCs w:val="24"/>
              </w:rPr>
              <w:t>会议费</w:t>
            </w:r>
          </w:p>
        </w:tc>
        <w:tc>
          <w:tcPr>
            <w:tcW w:w="4595" w:type="dxa"/>
            <w:vAlign w:val="center"/>
          </w:tcPr>
          <w:p>
            <w:pPr>
              <w:rPr>
                <w:rFonts w:ascii="仿宋" w:hAnsi="仿宋" w:eastAsia="仿宋"/>
                <w:sz w:val="24"/>
                <w:szCs w:val="24"/>
              </w:rPr>
            </w:pPr>
            <w:r>
              <w:rPr>
                <w:rFonts w:hint="eastAsia" w:ascii="仿宋" w:hAnsi="仿宋" w:eastAsia="仿宋"/>
                <w:sz w:val="24"/>
                <w:szCs w:val="24"/>
              </w:rPr>
              <w:t>赛项说明会：</w:t>
            </w:r>
            <w:r>
              <w:rPr>
                <w:rFonts w:ascii="仿宋" w:hAnsi="仿宋" w:eastAsia="仿宋"/>
                <w:sz w:val="24"/>
                <w:szCs w:val="24"/>
              </w:rPr>
              <w:t>2000</w:t>
            </w:r>
            <w:r>
              <w:rPr>
                <w:rFonts w:hint="eastAsia" w:ascii="仿宋" w:hAnsi="仿宋" w:eastAsia="仿宋"/>
                <w:sz w:val="24"/>
                <w:szCs w:val="24"/>
              </w:rPr>
              <w:t>元/人*</w:t>
            </w:r>
            <w:r>
              <w:rPr>
                <w:rFonts w:ascii="仿宋" w:hAnsi="仿宋" w:eastAsia="仿宋"/>
                <w:sz w:val="24"/>
                <w:szCs w:val="24"/>
              </w:rPr>
              <w:t>12</w:t>
            </w:r>
            <w:r>
              <w:rPr>
                <w:rFonts w:hint="eastAsia" w:ascii="仿宋" w:hAnsi="仿宋" w:eastAsia="仿宋"/>
                <w:sz w:val="24"/>
                <w:szCs w:val="24"/>
              </w:rPr>
              <w:t>=</w:t>
            </w:r>
            <w:r>
              <w:rPr>
                <w:rFonts w:ascii="仿宋" w:hAnsi="仿宋" w:eastAsia="仿宋"/>
                <w:sz w:val="24"/>
                <w:szCs w:val="24"/>
              </w:rPr>
              <w:t>24000</w:t>
            </w:r>
            <w:r>
              <w:rPr>
                <w:rFonts w:hint="eastAsia" w:ascii="仿宋" w:hAnsi="仿宋" w:eastAsia="仿宋"/>
                <w:sz w:val="24"/>
                <w:szCs w:val="24"/>
              </w:rPr>
              <w:t>元</w:t>
            </w:r>
          </w:p>
          <w:p>
            <w:pPr>
              <w:rPr>
                <w:rFonts w:ascii="仿宋" w:hAnsi="仿宋" w:eastAsia="仿宋"/>
                <w:sz w:val="24"/>
                <w:szCs w:val="24"/>
              </w:rPr>
            </w:pP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场地、文件资料等2</w:t>
            </w:r>
            <w:r>
              <w:rPr>
                <w:rFonts w:ascii="仿宋" w:hAnsi="仿宋" w:eastAsia="仿宋"/>
                <w:sz w:val="24"/>
                <w:szCs w:val="24"/>
              </w:rPr>
              <w:t>0000</w:t>
            </w:r>
            <w:r>
              <w:rPr>
                <w:rFonts w:hint="eastAsia" w:ascii="仿宋" w:hAnsi="仿宋" w:eastAsia="仿宋"/>
                <w:sz w:val="24"/>
                <w:szCs w:val="24"/>
              </w:rPr>
              <w:t>元</w:t>
            </w:r>
          </w:p>
        </w:tc>
        <w:tc>
          <w:tcPr>
            <w:tcW w:w="1469" w:type="dxa"/>
            <w:vMerge w:val="restart"/>
            <w:vAlign w:val="center"/>
          </w:tcPr>
          <w:p>
            <w:pPr>
              <w:jc w:val="center"/>
              <w:rPr>
                <w:rFonts w:ascii="仿宋" w:hAnsi="仿宋" w:eastAsia="仿宋"/>
                <w:sz w:val="24"/>
                <w:szCs w:val="24"/>
              </w:rPr>
            </w:pPr>
            <w:r>
              <w:rPr>
                <w:rFonts w:hint="eastAsia" w:ascii="仿宋" w:hAnsi="仿宋" w:eastAsia="仿宋"/>
                <w:sz w:val="24"/>
                <w:szCs w:val="24"/>
              </w:rPr>
              <w:t>5万</w:t>
            </w:r>
          </w:p>
        </w:tc>
        <w:tc>
          <w:tcPr>
            <w:tcW w:w="2965" w:type="dxa"/>
            <w:vMerge w:val="restart"/>
          </w:tcPr>
          <w:p>
            <w:pPr>
              <w:rPr>
                <w:rFonts w:ascii="仿宋" w:hAnsi="仿宋" w:eastAsia="仿宋"/>
                <w:sz w:val="24"/>
                <w:szCs w:val="24"/>
              </w:rPr>
            </w:pPr>
            <w:r>
              <w:rPr>
                <w:rFonts w:hint="eastAsia" w:ascii="仿宋" w:hAnsi="仿宋" w:eastAsia="仿宋"/>
                <w:sz w:val="24"/>
                <w:szCs w:val="24"/>
              </w:rPr>
              <w:t>含会议期间专家、裁判员交通费、住宿、用餐等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专家组工作会议:</w:t>
            </w:r>
            <w:r>
              <w:rPr>
                <w:rFonts w:ascii="仿宋" w:hAnsi="仿宋" w:eastAsia="仿宋"/>
                <w:sz w:val="24"/>
                <w:szCs w:val="24"/>
              </w:rPr>
              <w:t>2000</w:t>
            </w:r>
            <w:r>
              <w:rPr>
                <w:rFonts w:hint="eastAsia" w:ascii="仿宋" w:hAnsi="仿宋" w:eastAsia="仿宋"/>
                <w:sz w:val="24"/>
                <w:szCs w:val="24"/>
              </w:rPr>
              <w:t xml:space="preserve">元 </w:t>
            </w:r>
          </w:p>
        </w:tc>
        <w:tc>
          <w:tcPr>
            <w:tcW w:w="1469" w:type="dxa"/>
            <w:vMerge w:val="continue"/>
            <w:vAlign w:val="center"/>
          </w:tcPr>
          <w:p>
            <w:pPr>
              <w:jc w:val="cente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 xml:space="preserve">裁判员赛前工作会: </w:t>
            </w:r>
            <w:r>
              <w:rPr>
                <w:rFonts w:ascii="仿宋" w:hAnsi="仿宋" w:eastAsia="仿宋"/>
                <w:sz w:val="24"/>
                <w:szCs w:val="24"/>
              </w:rPr>
              <w:t>2000</w:t>
            </w:r>
            <w:r>
              <w:rPr>
                <w:rFonts w:hint="eastAsia" w:ascii="仿宋" w:hAnsi="仿宋" w:eastAsia="仿宋"/>
                <w:sz w:val="24"/>
                <w:szCs w:val="24"/>
              </w:rPr>
              <w:t>元</w:t>
            </w:r>
          </w:p>
        </w:tc>
        <w:tc>
          <w:tcPr>
            <w:tcW w:w="1469" w:type="dxa"/>
            <w:vMerge w:val="continue"/>
            <w:vAlign w:val="center"/>
          </w:tcPr>
          <w:p>
            <w:pPr>
              <w:jc w:val="cente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工作人员、志愿者培训：2</w:t>
            </w:r>
            <w:r>
              <w:rPr>
                <w:rFonts w:ascii="仿宋" w:hAnsi="仿宋" w:eastAsia="仿宋"/>
                <w:sz w:val="24"/>
                <w:szCs w:val="24"/>
              </w:rPr>
              <w:t>000</w:t>
            </w:r>
            <w:r>
              <w:rPr>
                <w:rFonts w:hint="eastAsia" w:ascii="仿宋" w:hAnsi="仿宋" w:eastAsia="仿宋"/>
                <w:sz w:val="24"/>
                <w:szCs w:val="24"/>
              </w:rPr>
              <w:t>元</w:t>
            </w:r>
          </w:p>
        </w:tc>
        <w:tc>
          <w:tcPr>
            <w:tcW w:w="1469" w:type="dxa"/>
            <w:vMerge w:val="continue"/>
            <w:vAlign w:val="center"/>
          </w:tcPr>
          <w:p>
            <w:pPr>
              <w:jc w:val="cente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Align w:val="center"/>
          </w:tcPr>
          <w:p>
            <w:pPr>
              <w:rPr>
                <w:rFonts w:ascii="仿宋" w:hAnsi="仿宋" w:eastAsia="仿宋"/>
                <w:sz w:val="24"/>
                <w:szCs w:val="24"/>
              </w:rPr>
            </w:pPr>
            <w:r>
              <w:rPr>
                <w:rFonts w:ascii="仿宋" w:hAnsi="仿宋" w:eastAsia="仿宋"/>
                <w:sz w:val="24"/>
                <w:szCs w:val="24"/>
              </w:rPr>
              <w:t>培训费</w:t>
            </w:r>
          </w:p>
        </w:tc>
        <w:tc>
          <w:tcPr>
            <w:tcW w:w="4595" w:type="dxa"/>
            <w:vAlign w:val="center"/>
          </w:tcPr>
          <w:p>
            <w:pP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000</w:t>
            </w:r>
            <w:r>
              <w:rPr>
                <w:rFonts w:hint="eastAsia" w:ascii="仿宋" w:hAnsi="仿宋" w:eastAsia="仿宋"/>
                <w:sz w:val="24"/>
                <w:szCs w:val="24"/>
              </w:rPr>
              <w:t>*</w:t>
            </w:r>
            <w:r>
              <w:rPr>
                <w:rFonts w:ascii="仿宋" w:hAnsi="仿宋" w:eastAsia="仿宋"/>
                <w:sz w:val="24"/>
                <w:szCs w:val="24"/>
              </w:rPr>
              <w:t>100</w:t>
            </w:r>
            <w:r>
              <w:rPr>
                <w:rFonts w:hint="eastAsia" w:ascii="仿宋" w:hAnsi="仿宋" w:eastAsia="仿宋"/>
                <w:sz w:val="24"/>
                <w:szCs w:val="24"/>
              </w:rPr>
              <w:t>=</w:t>
            </w:r>
            <w:r>
              <w:rPr>
                <w:rFonts w:ascii="仿宋" w:hAnsi="仿宋" w:eastAsia="仿宋"/>
                <w:sz w:val="24"/>
                <w:szCs w:val="24"/>
              </w:rPr>
              <w:t>100000</w:t>
            </w:r>
          </w:p>
        </w:tc>
        <w:tc>
          <w:tcPr>
            <w:tcW w:w="1469" w:type="dxa"/>
            <w:vAlign w:val="center"/>
          </w:tcPr>
          <w:p>
            <w:pPr>
              <w:jc w:val="cente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0</w:t>
            </w:r>
            <w:r>
              <w:rPr>
                <w:rFonts w:hint="eastAsia" w:ascii="仿宋" w:hAnsi="仿宋" w:eastAsia="仿宋"/>
                <w:sz w:val="24"/>
                <w:szCs w:val="24"/>
              </w:rPr>
              <w:t>万</w:t>
            </w:r>
          </w:p>
        </w:tc>
        <w:tc>
          <w:tcPr>
            <w:tcW w:w="2965" w:type="dxa"/>
          </w:tcPr>
          <w:p>
            <w:pPr>
              <w:rPr>
                <w:rFonts w:ascii="仿宋" w:hAnsi="仿宋" w:eastAsia="仿宋"/>
                <w:sz w:val="24"/>
                <w:szCs w:val="24"/>
              </w:rPr>
            </w:pPr>
            <w:r>
              <w:rPr>
                <w:rFonts w:hint="eastAsia" w:ascii="仿宋" w:hAnsi="仿宋" w:eastAsia="仿宋"/>
                <w:sz w:val="24"/>
                <w:szCs w:val="24"/>
              </w:rPr>
              <w:t>专家、裁判、领导、仲裁、督导、媒体及工作人员等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Align w:val="center"/>
          </w:tcPr>
          <w:p>
            <w:pPr>
              <w:rPr>
                <w:rFonts w:ascii="仿宋" w:hAnsi="仿宋" w:eastAsia="仿宋"/>
                <w:sz w:val="24"/>
                <w:szCs w:val="24"/>
              </w:rPr>
            </w:pPr>
            <w:r>
              <w:rPr>
                <w:rFonts w:ascii="仿宋" w:hAnsi="仿宋" w:eastAsia="仿宋"/>
                <w:sz w:val="24"/>
                <w:szCs w:val="24"/>
              </w:rPr>
              <w:t>专用材料费</w:t>
            </w:r>
          </w:p>
        </w:tc>
        <w:tc>
          <w:tcPr>
            <w:tcW w:w="4595" w:type="dxa"/>
            <w:vAlign w:val="center"/>
          </w:tcPr>
          <w:p>
            <w:pPr>
              <w:rPr>
                <w:rFonts w:ascii="仿宋" w:hAnsi="仿宋" w:eastAsia="仿宋"/>
                <w:sz w:val="24"/>
                <w:szCs w:val="24"/>
              </w:rPr>
            </w:pPr>
            <w:r>
              <w:rPr>
                <w:rFonts w:hint="eastAsia" w:ascii="仿宋" w:hAnsi="仿宋" w:eastAsia="仿宋"/>
                <w:sz w:val="24"/>
                <w:szCs w:val="24"/>
              </w:rPr>
              <w:t>资料打印、耗材等:</w:t>
            </w:r>
            <w:r>
              <w:rPr>
                <w:rFonts w:ascii="仿宋" w:hAnsi="仿宋" w:eastAsia="仿宋"/>
                <w:sz w:val="24"/>
                <w:szCs w:val="24"/>
              </w:rPr>
              <w:t>2</w:t>
            </w:r>
            <w:r>
              <w:rPr>
                <w:rFonts w:hint="eastAsia" w:ascii="仿宋" w:hAnsi="仿宋" w:eastAsia="仿宋"/>
                <w:sz w:val="24"/>
                <w:szCs w:val="24"/>
              </w:rPr>
              <w:t>万</w:t>
            </w:r>
          </w:p>
        </w:tc>
        <w:tc>
          <w:tcPr>
            <w:tcW w:w="1469" w:type="dxa"/>
            <w:vAlign w:val="center"/>
          </w:tcPr>
          <w:p>
            <w:pPr>
              <w:jc w:val="center"/>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万</w:t>
            </w:r>
          </w:p>
        </w:tc>
        <w:tc>
          <w:tcPr>
            <w:tcW w:w="2965"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restart"/>
            <w:vAlign w:val="center"/>
          </w:tcPr>
          <w:p>
            <w:pPr>
              <w:rPr>
                <w:rFonts w:ascii="仿宋" w:hAnsi="仿宋" w:eastAsia="仿宋"/>
                <w:sz w:val="24"/>
                <w:szCs w:val="24"/>
              </w:rPr>
            </w:pPr>
            <w:r>
              <w:rPr>
                <w:rFonts w:ascii="仿宋" w:hAnsi="仿宋" w:eastAsia="仿宋"/>
                <w:sz w:val="24"/>
                <w:szCs w:val="24"/>
              </w:rPr>
              <w:t>其他商品和服务支出</w:t>
            </w:r>
          </w:p>
        </w:tc>
        <w:tc>
          <w:tcPr>
            <w:tcW w:w="4595" w:type="dxa"/>
            <w:vAlign w:val="center"/>
          </w:tcPr>
          <w:p>
            <w:pPr>
              <w:rPr>
                <w:rFonts w:ascii="仿宋" w:hAnsi="仿宋" w:eastAsia="仿宋"/>
                <w:sz w:val="24"/>
                <w:szCs w:val="24"/>
              </w:rPr>
            </w:pPr>
            <w:r>
              <w:rPr>
                <w:rFonts w:hint="eastAsia" w:ascii="仿宋" w:hAnsi="仿宋" w:eastAsia="仿宋"/>
                <w:sz w:val="24"/>
                <w:szCs w:val="24"/>
              </w:rPr>
              <w:t>日常办公支出：</w:t>
            </w:r>
            <w:r>
              <w:rPr>
                <w:rFonts w:ascii="仿宋" w:hAnsi="仿宋" w:eastAsia="仿宋"/>
                <w:sz w:val="24"/>
                <w:szCs w:val="24"/>
              </w:rPr>
              <w:t>2</w:t>
            </w:r>
            <w:r>
              <w:rPr>
                <w:rFonts w:hint="eastAsia" w:ascii="仿宋" w:hAnsi="仿宋" w:eastAsia="仿宋"/>
                <w:sz w:val="24"/>
                <w:szCs w:val="24"/>
              </w:rPr>
              <w:t>万</w:t>
            </w:r>
          </w:p>
        </w:tc>
        <w:tc>
          <w:tcPr>
            <w:tcW w:w="1469" w:type="dxa"/>
            <w:vMerge w:val="restart"/>
            <w:vAlign w:val="center"/>
          </w:tcPr>
          <w:p>
            <w:pPr>
              <w:jc w:val="cente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6.5</w:t>
            </w:r>
            <w:r>
              <w:rPr>
                <w:rFonts w:hint="eastAsia" w:ascii="仿宋" w:hAnsi="仿宋" w:eastAsia="仿宋"/>
                <w:sz w:val="24"/>
                <w:szCs w:val="24"/>
              </w:rPr>
              <w:t>万</w:t>
            </w:r>
          </w:p>
        </w:tc>
        <w:tc>
          <w:tcPr>
            <w:tcW w:w="2965" w:type="dxa"/>
            <w:vMerge w:val="restart"/>
          </w:tcPr>
          <w:p>
            <w:pPr>
              <w:rPr>
                <w:rFonts w:ascii="仿宋" w:hAnsi="仿宋" w:eastAsia="仿宋"/>
                <w:sz w:val="24"/>
                <w:szCs w:val="24"/>
              </w:rPr>
            </w:pPr>
            <w:r>
              <w:rPr>
                <w:rFonts w:hint="eastAsia" w:ascii="仿宋" w:hAnsi="仿宋" w:eastAsia="仿宋"/>
                <w:sz w:val="24"/>
                <w:szCs w:val="24"/>
              </w:rPr>
              <w:t>背景板、代表证的设计、制作，以及现场布置等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赛事用餐：1</w:t>
            </w:r>
            <w:r>
              <w:rPr>
                <w:rFonts w:ascii="仿宋" w:hAnsi="仿宋" w:eastAsia="仿宋"/>
                <w:sz w:val="24"/>
                <w:szCs w:val="24"/>
              </w:rPr>
              <w:t>00</w:t>
            </w:r>
            <w:r>
              <w:rPr>
                <w:rFonts w:hint="eastAsia" w:ascii="仿宋" w:hAnsi="仿宋" w:eastAsia="仿宋"/>
                <w:sz w:val="24"/>
                <w:szCs w:val="24"/>
              </w:rPr>
              <w:t>元/人/天*</w:t>
            </w:r>
            <w:r>
              <w:rPr>
                <w:rFonts w:ascii="仿宋" w:hAnsi="仿宋" w:eastAsia="仿宋"/>
                <w:sz w:val="24"/>
                <w:szCs w:val="24"/>
              </w:rPr>
              <w:t>30</w:t>
            </w:r>
            <w:r>
              <w:rPr>
                <w:rFonts w:hint="eastAsia" w:ascii="仿宋" w:hAnsi="仿宋" w:eastAsia="仿宋"/>
                <w:sz w:val="24"/>
                <w:szCs w:val="24"/>
              </w:rPr>
              <w:t>元*</w:t>
            </w:r>
            <w:r>
              <w:rPr>
                <w:rFonts w:ascii="仿宋" w:hAnsi="仿宋" w:eastAsia="仿宋"/>
                <w:sz w:val="24"/>
                <w:szCs w:val="24"/>
              </w:rPr>
              <w:t>150</w:t>
            </w:r>
            <w:r>
              <w:rPr>
                <w:rFonts w:hint="eastAsia" w:ascii="仿宋" w:hAnsi="仿宋" w:eastAsia="仿宋"/>
                <w:sz w:val="24"/>
                <w:szCs w:val="24"/>
              </w:rPr>
              <w:t>=</w:t>
            </w:r>
            <w:r>
              <w:rPr>
                <w:rFonts w:ascii="仿宋" w:hAnsi="仿宋" w:eastAsia="仿宋"/>
                <w:sz w:val="24"/>
                <w:szCs w:val="24"/>
              </w:rPr>
              <w:t>45000</w:t>
            </w:r>
            <w:r>
              <w:rPr>
                <w:rFonts w:hint="eastAsia" w:ascii="仿宋" w:hAnsi="仿宋" w:eastAsia="仿宋"/>
                <w:sz w:val="24"/>
                <w:szCs w:val="24"/>
              </w:rPr>
              <w:t>元</w:t>
            </w:r>
          </w:p>
        </w:tc>
        <w:tc>
          <w:tcPr>
            <w:tcW w:w="1469" w:type="dxa"/>
            <w:vMerge w:val="continue"/>
            <w:vAlign w:val="center"/>
          </w:tcPr>
          <w:p>
            <w:pPr>
              <w:jc w:val="cente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广告宣传及制作：1</w:t>
            </w:r>
            <w:r>
              <w:rPr>
                <w:rFonts w:ascii="仿宋" w:hAnsi="仿宋" w:eastAsia="仿宋"/>
                <w:sz w:val="24"/>
                <w:szCs w:val="24"/>
              </w:rPr>
              <w:t>0</w:t>
            </w:r>
            <w:r>
              <w:rPr>
                <w:rFonts w:hint="eastAsia" w:ascii="仿宋" w:hAnsi="仿宋" w:eastAsia="仿宋"/>
                <w:sz w:val="24"/>
                <w:szCs w:val="24"/>
              </w:rPr>
              <w:t>万</w:t>
            </w:r>
          </w:p>
        </w:tc>
        <w:tc>
          <w:tcPr>
            <w:tcW w:w="1469" w:type="dxa"/>
            <w:vMerge w:val="continue"/>
            <w:vAlign w:val="center"/>
          </w:tcPr>
          <w:p>
            <w:pPr>
              <w:jc w:val="cente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restart"/>
            <w:vAlign w:val="center"/>
          </w:tcPr>
          <w:p>
            <w:pPr>
              <w:rPr>
                <w:rFonts w:ascii="仿宋" w:hAnsi="仿宋" w:eastAsia="仿宋"/>
                <w:sz w:val="24"/>
                <w:szCs w:val="24"/>
              </w:rPr>
            </w:pPr>
            <w:r>
              <w:rPr>
                <w:rFonts w:ascii="仿宋" w:hAnsi="仿宋" w:eastAsia="仿宋"/>
                <w:sz w:val="24"/>
                <w:szCs w:val="24"/>
              </w:rPr>
              <w:t>专用设备购置费</w:t>
            </w:r>
          </w:p>
        </w:tc>
        <w:tc>
          <w:tcPr>
            <w:tcW w:w="4595" w:type="dxa"/>
            <w:vAlign w:val="center"/>
          </w:tcPr>
          <w:p>
            <w:pPr>
              <w:rPr>
                <w:rFonts w:ascii="仿宋" w:hAnsi="仿宋" w:eastAsia="仿宋"/>
                <w:sz w:val="24"/>
                <w:szCs w:val="24"/>
              </w:rPr>
            </w:pPr>
            <w:r>
              <w:rPr>
                <w:rFonts w:hint="eastAsia" w:ascii="仿宋" w:hAnsi="仿宋" w:eastAsia="仿宋"/>
                <w:sz w:val="24"/>
                <w:szCs w:val="24"/>
              </w:rPr>
              <w:t>工具及相关用品采购：5万</w:t>
            </w:r>
          </w:p>
        </w:tc>
        <w:tc>
          <w:tcPr>
            <w:tcW w:w="1469" w:type="dxa"/>
            <w:vMerge w:val="restart"/>
            <w:vAlign w:val="center"/>
          </w:tcPr>
          <w:p>
            <w:pPr>
              <w:jc w:val="cente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1</w:t>
            </w:r>
            <w:r>
              <w:rPr>
                <w:rFonts w:hint="eastAsia" w:ascii="仿宋" w:hAnsi="仿宋" w:eastAsia="仿宋"/>
                <w:sz w:val="24"/>
                <w:szCs w:val="24"/>
              </w:rPr>
              <w:t>万</w:t>
            </w:r>
          </w:p>
        </w:tc>
        <w:tc>
          <w:tcPr>
            <w:tcW w:w="2965" w:type="dxa"/>
            <w:vMerge w:val="restart"/>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原料采购：</w:t>
            </w:r>
            <w:r>
              <w:rPr>
                <w:rFonts w:ascii="仿宋" w:hAnsi="仿宋" w:eastAsia="仿宋"/>
                <w:sz w:val="24"/>
                <w:szCs w:val="24"/>
              </w:rPr>
              <w:t>1500</w:t>
            </w:r>
            <w:r>
              <w:rPr>
                <w:rFonts w:hint="eastAsia" w:ascii="仿宋" w:hAnsi="仿宋" w:eastAsia="仿宋"/>
                <w:sz w:val="24"/>
                <w:szCs w:val="24"/>
              </w:rPr>
              <w:t>元/队*</w:t>
            </w:r>
            <w:r>
              <w:rPr>
                <w:rFonts w:ascii="仿宋" w:hAnsi="仿宋" w:eastAsia="仿宋"/>
                <w:sz w:val="24"/>
                <w:szCs w:val="24"/>
              </w:rPr>
              <w:t>40</w:t>
            </w:r>
            <w:r>
              <w:rPr>
                <w:rFonts w:hint="eastAsia" w:ascii="仿宋" w:hAnsi="仿宋" w:eastAsia="仿宋"/>
                <w:sz w:val="24"/>
                <w:szCs w:val="24"/>
              </w:rPr>
              <w:t>队=</w:t>
            </w:r>
            <w:r>
              <w:rPr>
                <w:rFonts w:ascii="仿宋" w:hAnsi="仿宋" w:eastAsia="仿宋"/>
                <w:sz w:val="24"/>
                <w:szCs w:val="24"/>
              </w:rPr>
              <w:t>60000</w:t>
            </w:r>
            <w:r>
              <w:rPr>
                <w:rFonts w:hint="eastAsia" w:ascii="仿宋" w:hAnsi="仿宋" w:eastAsia="仿宋"/>
                <w:sz w:val="24"/>
                <w:szCs w:val="24"/>
              </w:rPr>
              <w:t>元</w:t>
            </w:r>
          </w:p>
        </w:tc>
        <w:tc>
          <w:tcPr>
            <w:tcW w:w="1469" w:type="dxa"/>
            <w:vMerge w:val="continue"/>
            <w:vAlign w:val="center"/>
          </w:tcPr>
          <w:p>
            <w:pPr>
              <w:jc w:val="cente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Align w:val="center"/>
          </w:tcPr>
          <w:p>
            <w:pPr>
              <w:rPr>
                <w:rFonts w:ascii="仿宋" w:hAnsi="仿宋" w:eastAsia="仿宋"/>
                <w:sz w:val="24"/>
                <w:szCs w:val="24"/>
              </w:rPr>
            </w:pPr>
            <w:r>
              <w:rPr>
                <w:rFonts w:ascii="仿宋" w:hAnsi="仿宋" w:eastAsia="仿宋"/>
                <w:sz w:val="24"/>
                <w:szCs w:val="24"/>
              </w:rPr>
              <w:t>信息网络及软件购置更新</w:t>
            </w:r>
          </w:p>
        </w:tc>
        <w:tc>
          <w:tcPr>
            <w:tcW w:w="4595" w:type="dxa"/>
            <w:vAlign w:val="center"/>
          </w:tcPr>
          <w:p>
            <w:pPr>
              <w:rPr>
                <w:rFonts w:ascii="仿宋" w:hAnsi="仿宋" w:eastAsia="仿宋"/>
                <w:sz w:val="24"/>
                <w:szCs w:val="24"/>
              </w:rPr>
            </w:pPr>
          </w:p>
        </w:tc>
        <w:tc>
          <w:tcPr>
            <w:tcW w:w="1469" w:type="dxa"/>
            <w:vAlign w:val="center"/>
          </w:tcPr>
          <w:p>
            <w:pPr>
              <w:jc w:val="center"/>
              <w:rPr>
                <w:rFonts w:ascii="仿宋" w:hAnsi="仿宋" w:eastAsia="仿宋"/>
                <w:sz w:val="24"/>
                <w:szCs w:val="24"/>
              </w:rPr>
            </w:pPr>
            <w:r>
              <w:rPr>
                <w:rFonts w:ascii="仿宋" w:hAnsi="仿宋" w:eastAsia="仿宋"/>
                <w:sz w:val="24"/>
                <w:szCs w:val="24"/>
              </w:rPr>
              <w:t>10</w:t>
            </w:r>
            <w:r>
              <w:rPr>
                <w:rFonts w:hint="eastAsia" w:ascii="仿宋" w:hAnsi="仿宋" w:eastAsia="仿宋"/>
                <w:sz w:val="24"/>
                <w:szCs w:val="24"/>
              </w:rPr>
              <w:t>万</w:t>
            </w:r>
          </w:p>
        </w:tc>
        <w:tc>
          <w:tcPr>
            <w:tcW w:w="2965" w:type="dxa"/>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restart"/>
            <w:vAlign w:val="center"/>
          </w:tcPr>
          <w:p>
            <w:pPr>
              <w:rPr>
                <w:rFonts w:ascii="仿宋" w:hAnsi="仿宋" w:eastAsia="仿宋"/>
                <w:sz w:val="24"/>
                <w:szCs w:val="24"/>
              </w:rPr>
            </w:pPr>
            <w:r>
              <w:rPr>
                <w:rFonts w:hint="eastAsia" w:ascii="仿宋" w:hAnsi="仿宋" w:eastAsia="仿宋"/>
                <w:sz w:val="24"/>
                <w:szCs w:val="24"/>
              </w:rPr>
              <w:t>其他</w:t>
            </w:r>
          </w:p>
        </w:tc>
        <w:tc>
          <w:tcPr>
            <w:tcW w:w="4595" w:type="dxa"/>
            <w:vAlign w:val="center"/>
          </w:tcPr>
          <w:p>
            <w:pPr>
              <w:rPr>
                <w:rFonts w:ascii="仿宋" w:hAnsi="仿宋" w:eastAsia="仿宋"/>
                <w:sz w:val="24"/>
                <w:szCs w:val="24"/>
              </w:rPr>
            </w:pPr>
            <w:r>
              <w:rPr>
                <w:rFonts w:hint="eastAsia" w:ascii="仿宋" w:hAnsi="仿宋" w:eastAsia="仿宋"/>
                <w:sz w:val="24"/>
                <w:szCs w:val="24"/>
              </w:rPr>
              <w:t>服装：</w:t>
            </w:r>
            <w:r>
              <w:rPr>
                <w:rFonts w:ascii="仿宋" w:hAnsi="仿宋" w:eastAsia="仿宋"/>
                <w:sz w:val="24"/>
                <w:szCs w:val="24"/>
              </w:rPr>
              <w:t>400</w:t>
            </w:r>
            <w:r>
              <w:rPr>
                <w:rFonts w:hint="eastAsia" w:ascii="仿宋" w:hAnsi="仿宋" w:eastAsia="仿宋"/>
                <w:sz w:val="24"/>
                <w:szCs w:val="24"/>
              </w:rPr>
              <w:t>人*</w:t>
            </w:r>
            <w:r>
              <w:rPr>
                <w:rFonts w:ascii="仿宋" w:hAnsi="仿宋" w:eastAsia="仿宋"/>
                <w:sz w:val="24"/>
                <w:szCs w:val="24"/>
              </w:rPr>
              <w:t>150</w:t>
            </w:r>
            <w:r>
              <w:rPr>
                <w:rFonts w:hint="eastAsia" w:ascii="仿宋" w:hAnsi="仿宋" w:eastAsia="仿宋"/>
                <w:sz w:val="24"/>
                <w:szCs w:val="24"/>
              </w:rPr>
              <w:t>元/人/件=</w:t>
            </w:r>
            <w:r>
              <w:rPr>
                <w:rFonts w:ascii="仿宋" w:hAnsi="仿宋" w:eastAsia="仿宋"/>
                <w:sz w:val="24"/>
                <w:szCs w:val="24"/>
              </w:rPr>
              <w:t>60000</w:t>
            </w:r>
            <w:r>
              <w:rPr>
                <w:rFonts w:hint="eastAsia" w:ascii="仿宋" w:hAnsi="仿宋" w:eastAsia="仿宋"/>
                <w:sz w:val="24"/>
                <w:szCs w:val="24"/>
              </w:rPr>
              <w:t>元</w:t>
            </w:r>
          </w:p>
        </w:tc>
        <w:tc>
          <w:tcPr>
            <w:tcW w:w="1469" w:type="dxa"/>
            <w:vMerge w:val="restart"/>
            <w:vAlign w:val="center"/>
          </w:tcPr>
          <w:p>
            <w:pPr>
              <w:jc w:val="center"/>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1</w:t>
            </w:r>
            <w:r>
              <w:rPr>
                <w:rFonts w:hint="eastAsia" w:ascii="仿宋" w:hAnsi="仿宋" w:eastAsia="仿宋"/>
                <w:sz w:val="24"/>
                <w:szCs w:val="24"/>
              </w:rPr>
              <w:t>万</w:t>
            </w:r>
          </w:p>
        </w:tc>
        <w:tc>
          <w:tcPr>
            <w:tcW w:w="2965" w:type="dxa"/>
            <w:vMerge w:val="restart"/>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212" w:type="dxa"/>
            <w:vMerge w:val="continue"/>
            <w:vAlign w:val="center"/>
          </w:tcPr>
          <w:p>
            <w:pPr>
              <w:rPr>
                <w:rFonts w:ascii="仿宋" w:hAnsi="仿宋" w:eastAsia="仿宋"/>
                <w:sz w:val="24"/>
                <w:szCs w:val="24"/>
              </w:rPr>
            </w:pPr>
          </w:p>
        </w:tc>
        <w:tc>
          <w:tcPr>
            <w:tcW w:w="4595" w:type="dxa"/>
            <w:vAlign w:val="center"/>
          </w:tcPr>
          <w:p>
            <w:pPr>
              <w:rPr>
                <w:rFonts w:ascii="仿宋" w:hAnsi="仿宋" w:eastAsia="仿宋"/>
                <w:sz w:val="24"/>
                <w:szCs w:val="24"/>
              </w:rPr>
            </w:pPr>
            <w:r>
              <w:rPr>
                <w:rFonts w:hint="eastAsia" w:ascii="仿宋" w:hAnsi="仿宋" w:eastAsia="仿宋"/>
                <w:sz w:val="24"/>
                <w:szCs w:val="24"/>
              </w:rPr>
              <w:t>资源转化及其他：5万</w:t>
            </w:r>
          </w:p>
        </w:tc>
        <w:tc>
          <w:tcPr>
            <w:tcW w:w="1469" w:type="dxa"/>
            <w:vMerge w:val="continue"/>
            <w:vAlign w:val="center"/>
          </w:tcPr>
          <w:p>
            <w:pPr>
              <w:rPr>
                <w:rFonts w:ascii="仿宋" w:hAnsi="仿宋" w:eastAsia="仿宋"/>
                <w:sz w:val="24"/>
                <w:szCs w:val="24"/>
              </w:rPr>
            </w:pPr>
          </w:p>
        </w:tc>
        <w:tc>
          <w:tcPr>
            <w:tcW w:w="2965" w:type="dxa"/>
            <w:vMerge w:val="continue"/>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5807" w:type="dxa"/>
            <w:gridSpan w:val="2"/>
            <w:vAlign w:val="center"/>
          </w:tcPr>
          <w:p>
            <w:pPr>
              <w:jc w:val="center"/>
              <w:rPr>
                <w:rFonts w:ascii="仿宋" w:hAnsi="仿宋" w:eastAsia="仿宋"/>
                <w:b/>
                <w:sz w:val="24"/>
                <w:szCs w:val="24"/>
              </w:rPr>
            </w:pPr>
            <w:r>
              <w:rPr>
                <w:rFonts w:hint="eastAsia" w:ascii="仿宋" w:hAnsi="仿宋" w:eastAsia="仿宋"/>
                <w:b/>
                <w:sz w:val="24"/>
                <w:szCs w:val="24"/>
              </w:rPr>
              <w:t>合计：</w:t>
            </w:r>
          </w:p>
        </w:tc>
        <w:tc>
          <w:tcPr>
            <w:tcW w:w="1469" w:type="dxa"/>
            <w:vAlign w:val="center"/>
          </w:tcPr>
          <w:p>
            <w:pPr>
              <w:jc w:val="center"/>
              <w:rPr>
                <w:rFonts w:ascii="仿宋" w:hAnsi="仿宋" w:eastAsia="仿宋"/>
                <w:b/>
                <w:sz w:val="24"/>
                <w:szCs w:val="24"/>
              </w:rPr>
            </w:pPr>
            <w:r>
              <w:rPr>
                <w:rFonts w:ascii="仿宋" w:hAnsi="仿宋" w:eastAsia="仿宋"/>
                <w:b/>
                <w:sz w:val="24"/>
                <w:szCs w:val="24"/>
              </w:rPr>
              <w:t>96.43</w:t>
            </w:r>
            <w:r>
              <w:rPr>
                <w:rFonts w:hint="eastAsia" w:ascii="仿宋" w:hAnsi="仿宋" w:eastAsia="仿宋"/>
                <w:b/>
                <w:sz w:val="24"/>
                <w:szCs w:val="24"/>
              </w:rPr>
              <w:t>万</w:t>
            </w:r>
          </w:p>
        </w:tc>
        <w:tc>
          <w:tcPr>
            <w:tcW w:w="2965" w:type="dxa"/>
          </w:tcPr>
          <w:p>
            <w:pPr>
              <w:jc w:val="center"/>
              <w:rPr>
                <w:rFonts w:ascii="仿宋" w:hAnsi="仿宋" w:eastAsia="仿宋"/>
                <w:b/>
                <w:sz w:val="24"/>
                <w:szCs w:val="24"/>
              </w:rPr>
            </w:pPr>
          </w:p>
        </w:tc>
      </w:tr>
    </w:tbl>
    <w:p>
      <w:pPr>
        <w:snapToGrid w:val="0"/>
        <w:spacing w:line="560" w:lineRule="exact"/>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保障方案：为保证大赛的顺利进行，本赛项经费筹集渠道主要由主办、承办及协办单位共同筹集，包括合作企业及其他企业提供的赞助、承办单位与承办院校的经费支持、赛项承办地人民政府的经费补贴以及其他收入等。</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按照《全国职业院校技能大赛组织机构与职能分工》《全国职业院校技能大赛赛项设备与设施管理办法》《全国职业院校技能大赛赛项监督与仲裁管理办法》等有关内容和要求，特制定本赛项竞赛组织与管理方案。</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（一）组织机构与分工</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全国职业院校技能大赛烹饪赛项组织机构包括赛项执行委员会、赛项专家组和赛项承办院校。</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1.赛项执行委员会</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赛项执行委员会全面负责本赛项的筹备与实施工作，接受大赛执委会领导，接受赛项所在分赛区执委会的协调和指导。赛项执委会的主要职责包括：全面负责本赛项的筹备与实施工作；编制赛项经费预算；统筹管理赛项经费使用；推荐赛项专家组成员、裁判和仲裁人员；负责赛项资源转化、安全保障等工作。</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2.赛项专家组</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赛项专家工作组在赛项执委会领导下开展工作，负责本赛项技术文件编撰、赛题设计、赛场设计、赛事咨询、竞赛成绩分析和技术点评、资源转化、裁判人员培训等竞赛技术工作，负责赛项展示体验。赛项专家组人员须报大赛执委会办公室核准。</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3.赛项承办院校</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全国职业院校技能大赛赛项承办院校（以下简称“承办校”）在赛区执委会和赛项执委会领导下开展工作，负责赛项的具体保障和实施工作，主要职责：</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按照赛项技术方案落实比赛场地及基础设施；配合赛项执委会做好比赛组织和接待工作；配合赛区执委会做好大赛宣传工作；维持赛场秩序，保障赛事安全；参与赛项经费预算，管理赛项经费账户，执行赛项预算支出，委托会计师事务所进行赛项经费收支审计；负责比赛过程文件存档和赛后资料上报等。</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（二）申诉与仲裁管理</w:t>
      </w:r>
    </w:p>
    <w:p>
      <w:pPr>
        <w:widowControl/>
        <w:shd w:val="clear" w:color="auto" w:fill="FFFFFF"/>
        <w:spacing w:line="560" w:lineRule="exact"/>
        <w:ind w:firstLine="480"/>
        <w:rPr>
          <w:rFonts w:ascii="仿宋_GB2312" w:hAnsi="Arial Narrow" w:eastAsia="仿宋_GB2312" w:cs="Arial"/>
          <w:sz w:val="30"/>
          <w:szCs w:val="30"/>
        </w:rPr>
      </w:pPr>
      <w:r>
        <w:rPr>
          <w:rFonts w:hint="eastAsia" w:ascii="仿宋_GB2312" w:hAnsi="Arial Narrow" w:eastAsia="仿宋_GB2312" w:cs="Arial"/>
          <w:sz w:val="30"/>
          <w:szCs w:val="30"/>
        </w:rPr>
        <w:t>本赛项在比赛过程中若出现有失公正或有关人员违规等现象，代表队领队可在比赛结束后2小时之内向仲裁组提出申诉。大赛采取两级仲裁机制。赛项设仲裁工作组，赛区设仲裁委员会。大赛执委会办公室选派人员参加赛区仲裁委员会工作。赛项仲裁工作组在接到申诉后的2小时内组织复议，并及时反馈复议结果。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进一步加强技能大赛对职业教育教学改革与专业发展的引领作用，拓展大赛成果在教学过程中的推广和应用，按照《全国职业院校技能大赛赛项资源转化工作办法》的有关要求，特制定本赛项赛后教学资源转化方案。</w:t>
      </w:r>
    </w:p>
    <w:p>
      <w:pPr>
        <w:pStyle w:val="8"/>
        <w:shd w:val="clear" w:color="auto" w:fill="FFFFFF"/>
        <w:spacing w:line="560" w:lineRule="exact"/>
        <w:ind w:firstLine="600" w:firstLineChars="200"/>
        <w:jc w:val="both"/>
        <w:rPr>
          <w:rFonts w:ascii="仿宋_GB2312" w:hAnsi="Arial Narrow" w:eastAsia="仿宋_GB2312" w:cs="Arial"/>
          <w:sz w:val="30"/>
          <w:szCs w:val="30"/>
        </w:rPr>
      </w:pPr>
      <w:r>
        <w:rPr>
          <w:rFonts w:hint="eastAsia" w:ascii="仿宋_GB2312" w:hAnsi="Arial Narrow" w:eastAsia="仿宋_GB2312" w:cs="Arial"/>
          <w:kern w:val="2"/>
          <w:sz w:val="30"/>
          <w:szCs w:val="30"/>
        </w:rPr>
        <w:t>本赛项资源转化的内容是</w:t>
      </w:r>
      <w:r>
        <w:rPr>
          <w:rFonts w:hint="eastAsia" w:ascii="仿宋_GB2312" w:hAnsi="Arial Narrow" w:eastAsia="仿宋_GB2312" w:cs="Arial"/>
          <w:sz w:val="30"/>
          <w:szCs w:val="30"/>
        </w:rPr>
        <w:t>赛项竞赛全过程的各类资源，符合行业标准，契合课程标准，突出技能特色，展现竞赛优势，满足职业教育教学需求、体现先进教学模式、反映职业教育先进水平。包括竞赛样题、试题库；竞赛技能考核评分案例；考核环境描述；竞赛过程音视频记录；评委、裁判、专家点评；优秀选手、指导教师访谈，以及其他资源等。教学资源转化成果资料呈现形式为文本文档、演示文稿、视频文件、图形/图像素材和网页型资源。</w:t>
      </w:r>
    </w:p>
    <w:p>
      <w:pPr>
        <w:pStyle w:val="8"/>
        <w:shd w:val="clear" w:color="auto" w:fill="FFFFFF"/>
        <w:spacing w:line="560" w:lineRule="exact"/>
        <w:ind w:firstLine="600" w:firstLineChars="200"/>
        <w:jc w:val="both"/>
        <w:rPr>
          <w:rFonts w:ascii="仿宋_GB2312" w:hAnsi="Arial Narrow" w:eastAsia="仿宋_GB2312" w:cs="Arial"/>
          <w:sz w:val="30"/>
          <w:szCs w:val="30"/>
        </w:rPr>
      </w:pPr>
      <w:r>
        <w:rPr>
          <w:rFonts w:hint="eastAsia" w:ascii="仿宋_GB2312" w:hAnsi="Arial Narrow" w:eastAsia="仿宋_GB2312" w:cs="Arial"/>
          <w:sz w:val="30"/>
          <w:szCs w:val="30"/>
        </w:rPr>
        <w:t>成果进行资源转化时，按照成果类型进行教学分析，分别转化提升为不同类型的教学内容或教学手段，服务于专业课堂，推动教学改革。</w:t>
      </w:r>
    </w:p>
    <w:p>
      <w:pPr>
        <w:pStyle w:val="8"/>
        <w:shd w:val="clear" w:color="auto" w:fill="FFFFFF"/>
        <w:spacing w:line="560" w:lineRule="exact"/>
        <w:ind w:firstLine="600" w:firstLineChars="200"/>
        <w:jc w:val="both"/>
        <w:rPr>
          <w:rFonts w:ascii="仿宋_GB2312" w:hAnsi="Arial Narrow" w:eastAsia="仿宋_GB2312" w:cs="Arial"/>
          <w:sz w:val="30"/>
          <w:szCs w:val="30"/>
        </w:rPr>
      </w:pPr>
      <w:r>
        <w:rPr>
          <w:rFonts w:hint="eastAsia" w:ascii="仿宋_GB2312" w:hAnsi="Arial Narrow" w:eastAsia="仿宋_GB2312" w:cs="Arial"/>
          <w:sz w:val="30"/>
          <w:szCs w:val="30"/>
        </w:rPr>
        <w:t>（一）赛项要求转化为教学内容，服务于课堂</w:t>
      </w:r>
    </w:p>
    <w:p>
      <w:pPr>
        <w:pStyle w:val="8"/>
        <w:shd w:val="clear" w:color="auto" w:fill="FFFFFF"/>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赛项体现出高职餐饮相关专业对应职业岗位或岗位群的人才需求和培养规格，涵盖丰富的专业知识与专业技能点，可直接分析转化为烹调工艺与营养、西餐工艺、中西面点工艺等专业所对应的人才培养方案和能力目标。基本资源可作为典型案例，使课程体现出行业化、标准化、工作过程系统化的特色，满足技能教学需要，服务于课堂。拓展资源中的竞赛过程、选手风采、作品图片、企业文化等人文资源，可以转化为团队协作、技艺展示等影音宣传材料（如：《</w:t>
      </w:r>
      <w:r>
        <w:rPr>
          <w:rFonts w:ascii="仿宋_GB2312" w:hAnsi="Arial Narrow" w:eastAsia="仿宋_GB2312" w:cs="Arial"/>
          <w:sz w:val="30"/>
          <w:szCs w:val="30"/>
        </w:rPr>
        <w:t>2</w:t>
      </w:r>
      <w:r>
        <w:rPr>
          <w:rFonts w:hint="eastAsia" w:ascii="仿宋_GB2312" w:hAnsi="Arial Narrow" w:eastAsia="仿宋_GB2312" w:cs="Arial"/>
          <w:sz w:val="30"/>
          <w:szCs w:val="30"/>
        </w:rPr>
        <w:t>019全国职业院校技能大赛高职组烹饪赛项作品集》、《2019全国职业院校技能大赛高职组烹饪赛项宣传片》）等，对学生进行职业素养、工匠精神等方面的培育和校园文化宣传，也是职业教育教学资料的重要内容。</w:t>
      </w:r>
    </w:p>
    <w:p>
      <w:pPr>
        <w:pStyle w:val="8"/>
        <w:shd w:val="clear" w:color="auto" w:fill="FFFFFF"/>
        <w:spacing w:line="560" w:lineRule="exact"/>
        <w:ind w:firstLine="480"/>
        <w:jc w:val="both"/>
        <w:rPr>
          <w:rFonts w:ascii="仿宋_GB2312" w:hAnsi="Arial Narrow" w:eastAsia="仿宋_GB2312" w:cs="Arial"/>
          <w:sz w:val="30"/>
          <w:szCs w:val="30"/>
        </w:rPr>
      </w:pPr>
      <w:r>
        <w:rPr>
          <w:rFonts w:hint="eastAsia" w:ascii="仿宋_GB2312" w:hAnsi="Arial Narrow" w:eastAsia="仿宋_GB2312" w:cs="Arial"/>
          <w:sz w:val="30"/>
          <w:szCs w:val="30"/>
        </w:rPr>
        <w:t>（二）赛项内容及任务转化为教学项目，丰富课程内容设置</w:t>
      </w:r>
    </w:p>
    <w:p>
      <w:pPr>
        <w:pStyle w:val="8"/>
        <w:shd w:val="clear" w:color="auto" w:fill="FFFFFF"/>
        <w:spacing w:line="560" w:lineRule="exact"/>
        <w:ind w:firstLine="600" w:firstLineChars="200"/>
        <w:jc w:val="both"/>
        <w:rPr>
          <w:rFonts w:ascii="仿宋_GB2312" w:hAnsi="Arial Narrow" w:eastAsia="仿宋_GB2312" w:cs="Arial"/>
          <w:sz w:val="30"/>
          <w:szCs w:val="30"/>
        </w:rPr>
      </w:pPr>
      <w:r>
        <w:rPr>
          <w:rFonts w:hint="eastAsia" w:ascii="仿宋_GB2312" w:hAnsi="Arial Narrow" w:eastAsia="仿宋_GB2312" w:cs="Arial"/>
          <w:sz w:val="30"/>
          <w:szCs w:val="30"/>
        </w:rPr>
        <w:t>竞赛内容为宴席设计，任务分为宴席设计书、宴席制作、宴席答辩，对应了餐饮相关专业技能岗位的主要工作内容及相关技能掌握，可转化为相应课程（如：烹调工艺学、食品营养学、宴会设计、面点工艺学、西餐工艺等）的教学项目。</w:t>
      </w:r>
    </w:p>
    <w:p>
      <w:pPr>
        <w:pStyle w:val="8"/>
        <w:shd w:val="clear" w:color="auto" w:fill="FFFFFF"/>
        <w:spacing w:line="560" w:lineRule="exact"/>
        <w:ind w:firstLine="480"/>
        <w:jc w:val="both"/>
        <w:rPr>
          <w:rFonts w:ascii="仿宋_GB2312" w:hAnsi="Arial Narrow" w:eastAsia="仿宋_GB2312" w:cs="Arial"/>
          <w:sz w:val="30"/>
          <w:szCs w:val="30"/>
        </w:rPr>
      </w:pPr>
      <w:r>
        <w:rPr>
          <w:rFonts w:hint="eastAsia" w:ascii="仿宋_GB2312" w:hAnsi="Arial Narrow" w:eastAsia="仿宋_GB2312" w:cs="Arial"/>
          <w:sz w:val="30"/>
          <w:szCs w:val="30"/>
        </w:rPr>
        <w:t>（三）赛项评价标准转化为教学评价机制，实现对学生的多元培养目标</w:t>
      </w:r>
    </w:p>
    <w:p>
      <w:pPr>
        <w:pStyle w:val="8"/>
        <w:shd w:val="clear" w:color="auto" w:fill="FFFFFF"/>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采取过程评分，根据参赛选手在操作过程中的规范性、合理性以及完成质量，依据评分标准对选手宴席制作进行评分，体现了真实的职业岗位能力评价。餐饮相关专业课程充分体现了理实一体化，如果按照烹饪赛项的评价标准及机制，强调学生操作的规范性、合理性以及完成质量，多元素对学生进行评价，进而实现专业对学生知识、技能、情感的多元培养目标。</w:t>
      </w:r>
    </w:p>
    <w:p>
      <w:pPr>
        <w:pStyle w:val="8"/>
        <w:shd w:val="clear" w:color="auto" w:fill="FFFFFF"/>
        <w:spacing w:line="560" w:lineRule="exact"/>
        <w:ind w:firstLine="480"/>
        <w:jc w:val="both"/>
        <w:rPr>
          <w:rFonts w:ascii="黑体" w:hAnsi="黑体" w:eastAsia="黑体" w:cs="黑体"/>
          <w:bCs/>
          <w:sz w:val="30"/>
          <w:szCs w:val="30"/>
        </w:rPr>
      </w:pPr>
      <w:r>
        <w:rPr>
          <w:rFonts w:hint="eastAsia" w:ascii="黑体" w:hAnsi="黑体" w:eastAsia="黑体" w:cs="黑体"/>
          <w:bCs/>
          <w:sz w:val="30"/>
          <w:szCs w:val="30"/>
        </w:rPr>
        <w:t>十八、筹备工作进度时间表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依据赛项筹备工作，制定本赛项筹备工作进度时间表。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2018年8月-9月，进行赛项申报工作；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2018年12月，起草大赛方案初稿；确定合作方案。讨论并确定大赛方案，报相关部门领导审批，修改。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2019年3月前，完成大赛的经费筹集工作。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2019年4月底前，完成大赛承接院校的落实工作；召开赛事说明会；组织大赛的报名工作。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2019年5月至比赛前，完成大赛的赛项指南、代表证、服装的设计、制作；完成赛场的布置、工作人员的分工、比赛环节的各项准备工作；确定大赛的评委人员。</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按照《全国职业院校技能大赛专家和裁判工作管理办法》的有关要求，结合本赛项特点，特提出所需现场裁判和评分裁判的具体要求。</w:t>
      </w:r>
    </w:p>
    <w:p>
      <w:pPr>
        <w:snapToGrid w:val="0"/>
        <w:spacing w:line="560" w:lineRule="exact"/>
        <w:ind w:firstLine="600" w:firstLineChars="200"/>
        <w:rPr>
          <w:rFonts w:ascii="Arial Narrow" w:hAnsi="Arial Narrow" w:eastAsia="仿宋_GB2312" w:cs="Arial"/>
          <w:sz w:val="30"/>
          <w:szCs w:val="30"/>
        </w:rPr>
      </w:pPr>
    </w:p>
    <w:tbl>
      <w:tblPr>
        <w:tblStyle w:val="13"/>
        <w:tblpPr w:leftFromText="180" w:rightFromText="180" w:vertAnchor="text" w:horzAnchor="margin" w:tblpXSpec="center" w:tblpY="181"/>
        <w:tblW w:w="903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1667"/>
        <w:gridCol w:w="2977"/>
        <w:gridCol w:w="2160"/>
        <w:gridCol w:w="7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2" w:type="dxa"/>
            <w:tcBorders>
              <w:top w:val="single" w:color="auto" w:sz="8"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序号</w:t>
            </w:r>
          </w:p>
        </w:tc>
        <w:tc>
          <w:tcPr>
            <w:tcW w:w="1667" w:type="dxa"/>
            <w:tcBorders>
              <w:top w:val="single" w:color="auto" w:sz="8"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专业技术方向</w:t>
            </w:r>
          </w:p>
        </w:tc>
        <w:tc>
          <w:tcPr>
            <w:tcW w:w="2977" w:type="dxa"/>
            <w:tcBorders>
              <w:top w:val="single" w:color="auto" w:sz="8"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知识能力要求</w:t>
            </w:r>
          </w:p>
        </w:tc>
        <w:tc>
          <w:tcPr>
            <w:tcW w:w="2160" w:type="dxa"/>
            <w:tcBorders>
              <w:top w:val="single" w:color="auto" w:sz="8"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专业技术职称</w:t>
            </w:r>
          </w:p>
          <w:p>
            <w:pPr>
              <w:adjustRightInd w:val="0"/>
              <w:snapToGrid w:val="0"/>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（职业资格等级）</w:t>
            </w:r>
          </w:p>
        </w:tc>
        <w:tc>
          <w:tcPr>
            <w:tcW w:w="783" w:type="dxa"/>
            <w:tcBorders>
              <w:top w:val="single" w:color="auto" w:sz="8" w:space="0"/>
            </w:tcBorders>
            <w:vAlign w:val="center"/>
          </w:tcPr>
          <w:p>
            <w:pPr>
              <w:adjustRightInd w:val="0"/>
              <w:snapToGrid w:val="0"/>
              <w:jc w:val="center"/>
              <w:rPr>
                <w:rFonts w:cs="Arial" w:asciiTheme="minorEastAsia" w:hAnsiTheme="minorEastAsia" w:eastAsiaTheme="minorEastAsia"/>
                <w:b/>
                <w:color w:val="000000"/>
                <w:sz w:val="24"/>
                <w:szCs w:val="24"/>
              </w:rPr>
            </w:pPr>
            <w:r>
              <w:rPr>
                <w:rFonts w:cs="Arial" w:asciiTheme="minorEastAsia" w:hAnsiTheme="minorEastAsia" w:eastAsiaTheme="minorEastAsia"/>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2"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1667"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中式烹调</w:t>
            </w:r>
          </w:p>
        </w:tc>
        <w:tc>
          <w:tcPr>
            <w:tcW w:w="2977" w:type="dxa"/>
          </w:tcPr>
          <w:p>
            <w:pPr>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熟练掌握中式烹调的各种操作技法及相关评判标准</w:t>
            </w:r>
          </w:p>
        </w:tc>
        <w:tc>
          <w:tcPr>
            <w:tcW w:w="2160"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中式烹调高级技师</w:t>
            </w:r>
          </w:p>
        </w:tc>
        <w:tc>
          <w:tcPr>
            <w:tcW w:w="783"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2"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1667"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中式面点</w:t>
            </w:r>
          </w:p>
        </w:tc>
        <w:tc>
          <w:tcPr>
            <w:tcW w:w="2977" w:type="dxa"/>
          </w:tcPr>
          <w:p>
            <w:pPr>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熟练掌握中式面点的各种操作技法及相关评判标准</w:t>
            </w:r>
          </w:p>
        </w:tc>
        <w:tc>
          <w:tcPr>
            <w:tcW w:w="2160"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中式面点高级技师</w:t>
            </w:r>
          </w:p>
        </w:tc>
        <w:tc>
          <w:tcPr>
            <w:tcW w:w="783" w:type="dxa"/>
            <w:vAlign w:val="center"/>
          </w:tcPr>
          <w:p>
            <w:pPr>
              <w:adjustRightInd w:val="0"/>
              <w:snapToGrid w:val="0"/>
              <w:jc w:val="center"/>
              <w:rPr>
                <w:rFonts w:asciiTheme="minorEastAsia" w:hAnsiTheme="minorEastAsia" w:eastAsiaTheme="minorEastAsia"/>
                <w:sz w:val="24"/>
              </w:rPr>
            </w:pPr>
            <w:r>
              <w:rPr>
                <w:rFonts w:asciiTheme="minorEastAsia" w:hAnsiTheme="minorEastAsia" w:eastAsiaTheme="minorEastAsia"/>
                <w:sz w:val="24"/>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2"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1667"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西式烹调</w:t>
            </w:r>
          </w:p>
        </w:tc>
        <w:tc>
          <w:tcPr>
            <w:tcW w:w="2977" w:type="dxa"/>
          </w:tcPr>
          <w:p>
            <w:pPr>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熟练掌握西式烹调的各种操作技法及相关评判标准</w:t>
            </w:r>
          </w:p>
        </w:tc>
        <w:tc>
          <w:tcPr>
            <w:tcW w:w="2160"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西式烹调高级技师</w:t>
            </w:r>
          </w:p>
        </w:tc>
        <w:tc>
          <w:tcPr>
            <w:tcW w:w="783"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2"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4</w:t>
            </w:r>
          </w:p>
        </w:tc>
        <w:tc>
          <w:tcPr>
            <w:tcW w:w="1667"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西式面点</w:t>
            </w:r>
          </w:p>
        </w:tc>
        <w:tc>
          <w:tcPr>
            <w:tcW w:w="2977" w:type="dxa"/>
          </w:tcPr>
          <w:p>
            <w:pPr>
              <w:adjustRightInd w:val="0"/>
              <w:snapToGrid w:val="0"/>
              <w:jc w:val="left"/>
              <w:rPr>
                <w:rFonts w:asciiTheme="minorEastAsia" w:hAnsiTheme="minorEastAsia" w:eastAsiaTheme="minorEastAsia"/>
                <w:sz w:val="24"/>
              </w:rPr>
            </w:pPr>
            <w:r>
              <w:rPr>
                <w:rFonts w:hint="eastAsia" w:asciiTheme="minorEastAsia" w:hAnsiTheme="minorEastAsia" w:eastAsiaTheme="minorEastAsia"/>
                <w:sz w:val="24"/>
              </w:rPr>
              <w:t>熟练掌握西式面点的各种操作技法及相关评判标准</w:t>
            </w:r>
          </w:p>
        </w:tc>
        <w:tc>
          <w:tcPr>
            <w:tcW w:w="2160"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西式面点高级技师</w:t>
            </w:r>
          </w:p>
        </w:tc>
        <w:tc>
          <w:tcPr>
            <w:tcW w:w="783" w:type="dxa"/>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2" w:type="dxa"/>
            <w:tcBorders>
              <w:bottom w:val="single" w:color="auto" w:sz="8" w:space="0"/>
            </w:tcBorders>
            <w:vAlign w:val="center"/>
          </w:tcPr>
          <w:p>
            <w:pPr>
              <w:adjustRightInd w:val="0"/>
              <w:snapToGrid w:val="0"/>
              <w:jc w:val="center"/>
              <w:rPr>
                <w:rFonts w:asciiTheme="minorEastAsia" w:hAnsiTheme="minorEastAsia" w:eastAsiaTheme="minorEastAsia"/>
                <w:sz w:val="24"/>
              </w:rPr>
            </w:pPr>
            <w:r>
              <w:rPr>
                <w:rFonts w:asciiTheme="minorEastAsia" w:hAnsiTheme="minorEastAsia" w:eastAsiaTheme="minorEastAsia"/>
                <w:sz w:val="24"/>
              </w:rPr>
              <w:t>裁判总人数</w:t>
            </w:r>
          </w:p>
        </w:tc>
        <w:tc>
          <w:tcPr>
            <w:tcW w:w="7587" w:type="dxa"/>
            <w:gridSpan w:val="4"/>
            <w:tcBorders>
              <w:bottom w:val="single" w:color="auto" w:sz="8" w:space="0"/>
            </w:tcBorders>
            <w:vAlign w:val="center"/>
          </w:tcPr>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23人</w:t>
            </w:r>
          </w:p>
        </w:tc>
      </w:tr>
    </w:tbl>
    <w:p>
      <w:pPr>
        <w:snapToGrid w:val="0"/>
        <w:spacing w:before="156" w:beforeLines="50"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本赛项将于开赛1个月前在全国职业院校技能大赛网络信息发布平台上（www.chinaskills-jsw.org)公开全部赛题。</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二十一、其他</w:t>
      </w:r>
    </w:p>
    <w:p>
      <w:pPr>
        <w:widowControl/>
        <w:jc w:val="left"/>
        <w:rPr>
          <w:rFonts w:ascii="仿宋_GB2312" w:eastAsia="仿宋_GB2312"/>
          <w:sz w:val="30"/>
          <w:szCs w:val="30"/>
        </w:rPr>
      </w:pPr>
      <w:bookmarkStart w:id="0" w:name="_GoBack"/>
      <w:bookmarkEnd w:id="0"/>
      <w:r>
        <w:rPr>
          <w:rFonts w:ascii="仿宋_GB2312" w:eastAsia="仿宋_GB2312"/>
          <w:sz w:val="30"/>
          <w:szCs w:val="30"/>
        </w:rPr>
        <w:br w:type="page"/>
      </w:r>
    </w:p>
    <w:p>
      <w:pPr>
        <w:snapToGrid w:val="0"/>
        <w:spacing w:line="560" w:lineRule="exact"/>
        <w:rPr>
          <w:rFonts w:ascii="仿宋_GB2312" w:eastAsia="仿宋_GB2312"/>
          <w:sz w:val="30"/>
          <w:szCs w:val="30"/>
        </w:rPr>
      </w:pPr>
      <w:r>
        <w:rPr>
          <w:rFonts w:hint="eastAsia" w:ascii="仿宋_GB2312" w:eastAsia="仿宋_GB2312"/>
          <w:sz w:val="30"/>
          <w:szCs w:val="30"/>
        </w:rPr>
        <w:t>附件：</w:t>
      </w:r>
    </w:p>
    <w:p>
      <w:pPr>
        <w:snapToGrid w:val="0"/>
        <w:spacing w:line="560" w:lineRule="exact"/>
        <w:rPr>
          <w:rFonts w:ascii="仿宋_GB2312" w:eastAsia="仿宋_GB2312"/>
          <w:sz w:val="30"/>
          <w:szCs w:val="30"/>
        </w:rPr>
      </w:pPr>
    </w:p>
    <w:p>
      <w:pPr>
        <w:snapToGrid w:val="0"/>
        <w:spacing w:line="560" w:lineRule="exact"/>
        <w:jc w:val="center"/>
        <w:rPr>
          <w:rFonts w:ascii="方正小标宋简体" w:eastAsia="方正小标宋简体"/>
          <w:sz w:val="36"/>
          <w:szCs w:val="36"/>
        </w:rPr>
      </w:pPr>
      <w:r>
        <w:rPr>
          <w:rFonts w:hint="eastAsia" w:ascii="方正小标宋简体" w:eastAsia="方正小标宋简体"/>
          <w:sz w:val="36"/>
          <w:szCs w:val="36"/>
        </w:rPr>
        <w:t>全国职业院校技能大赛（高职组）烹饪赛项</w:t>
      </w:r>
    </w:p>
    <w:p>
      <w:pPr>
        <w:snapToGrid w:val="0"/>
        <w:spacing w:line="560" w:lineRule="exact"/>
        <w:jc w:val="center"/>
        <w:rPr>
          <w:rFonts w:ascii="方正小标宋简体" w:eastAsia="方正小标宋简体"/>
          <w:sz w:val="36"/>
          <w:szCs w:val="36"/>
        </w:rPr>
      </w:pPr>
      <w:r>
        <w:rPr>
          <w:rFonts w:hint="eastAsia" w:ascii="方正小标宋简体" w:eastAsia="方正小标宋简体"/>
          <w:sz w:val="36"/>
          <w:szCs w:val="36"/>
        </w:rPr>
        <w:t>专业理论测试样卷</w:t>
      </w:r>
    </w:p>
    <w:p>
      <w:pPr>
        <w:snapToGrid w:val="0"/>
        <w:spacing w:line="560" w:lineRule="exact"/>
        <w:rPr>
          <w:rFonts w:ascii="仿宋_GB2312" w:eastAsia="仿宋_GB2312"/>
          <w:sz w:val="30"/>
          <w:szCs w:val="30"/>
        </w:rPr>
      </w:pPr>
    </w:p>
    <w:p>
      <w:pPr>
        <w:spacing w:line="520" w:lineRule="exact"/>
        <w:rPr>
          <w:rFonts w:ascii="仿宋_GB2312" w:eastAsia="仿宋_GB2312"/>
          <w:sz w:val="30"/>
          <w:szCs w:val="30"/>
        </w:rPr>
      </w:pPr>
      <w:r>
        <w:rPr>
          <w:rFonts w:hint="eastAsia" w:ascii="仿宋_GB2312" w:hAnsi="宋体" w:eastAsia="仿宋_GB2312"/>
          <w:sz w:val="30"/>
          <w:szCs w:val="30"/>
        </w:rPr>
        <w:t>1.职业道德在形式上具有（  C  ）的特征。</w:t>
      </w:r>
    </w:p>
    <w:p>
      <w:pPr>
        <w:spacing w:line="520" w:lineRule="exact"/>
        <w:rPr>
          <w:rFonts w:ascii="仿宋_GB2312" w:eastAsia="仿宋_GB2312"/>
          <w:sz w:val="30"/>
          <w:szCs w:val="30"/>
        </w:rPr>
      </w:pPr>
      <w:r>
        <w:rPr>
          <w:rFonts w:hint="eastAsia" w:ascii="仿宋_GB2312" w:hAnsi="宋体" w:eastAsia="仿宋_GB2312"/>
          <w:sz w:val="30"/>
          <w:szCs w:val="30"/>
        </w:rPr>
        <w:t xml:space="preserve">   A.客观性                          B.主观性</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C.多样性                          D.单一性</w:t>
      </w:r>
    </w:p>
    <w:p>
      <w:pPr>
        <w:spacing w:line="520" w:lineRule="exact"/>
        <w:ind w:left="300" w:hanging="300" w:hangingChars="100"/>
        <w:rPr>
          <w:rFonts w:ascii="仿宋_GB2312" w:eastAsia="仿宋_GB2312"/>
          <w:sz w:val="30"/>
          <w:szCs w:val="30"/>
        </w:rPr>
      </w:pPr>
      <w:r>
        <w:rPr>
          <w:rFonts w:hint="eastAsia" w:ascii="仿宋_GB2312" w:hAnsi="宋体" w:eastAsia="仿宋_GB2312"/>
          <w:sz w:val="30"/>
          <w:szCs w:val="30"/>
        </w:rPr>
        <w:t>2.职工具有良好的职业道德，有利于增强企业的（  B  ），促进企业发展。</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A.知名度                          B.凝聚力</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C.规范管理                        D.社会地位</w:t>
      </w:r>
    </w:p>
    <w:p>
      <w:pPr>
        <w:spacing w:line="520" w:lineRule="exact"/>
        <w:rPr>
          <w:rFonts w:ascii="仿宋_GB2312" w:eastAsia="仿宋_GB2312"/>
          <w:sz w:val="30"/>
          <w:szCs w:val="30"/>
        </w:rPr>
      </w:pPr>
      <w:r>
        <w:rPr>
          <w:rFonts w:hint="eastAsia" w:ascii="仿宋_GB2312" w:hAnsi="宋体" w:eastAsia="仿宋_GB2312"/>
          <w:sz w:val="30"/>
          <w:szCs w:val="30"/>
        </w:rPr>
        <w:t>3.遵纪守法特别强调要遵守职业活动相关的（ D ）和职业纪律。</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A.操作系统                        B.规章制度</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C.职业守则                        D.法律法规</w:t>
      </w:r>
    </w:p>
    <w:p>
      <w:pPr>
        <w:spacing w:line="520" w:lineRule="exact"/>
        <w:rPr>
          <w:rFonts w:ascii="仿宋_GB2312" w:eastAsia="仿宋_GB2312"/>
          <w:sz w:val="30"/>
          <w:szCs w:val="30"/>
        </w:rPr>
      </w:pPr>
      <w:r>
        <w:rPr>
          <w:rFonts w:hint="eastAsia" w:ascii="仿宋_GB2312" w:hAnsi="宋体" w:eastAsia="仿宋_GB2312"/>
          <w:sz w:val="30"/>
          <w:szCs w:val="30"/>
        </w:rPr>
        <w:t>4.易引起金黄色葡萄球菌食物中毒的食品不包括（  D  ）</w:t>
      </w:r>
      <w:r>
        <w:rPr>
          <w:rFonts w:hint="eastAsia" w:ascii="仿宋_GB2312" w:eastAsia="仿宋_GB2312"/>
          <w:sz w:val="30"/>
          <w:szCs w:val="30"/>
        </w:rPr>
        <w:t>.</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A.凉糕                            B.奶油蛋糕</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C.剩饭                            D.水果和蔬菜</w:t>
      </w:r>
    </w:p>
    <w:p>
      <w:pPr>
        <w:spacing w:line="520" w:lineRule="exact"/>
        <w:rPr>
          <w:rFonts w:ascii="仿宋_GB2312" w:eastAsia="仿宋_GB2312"/>
          <w:sz w:val="30"/>
          <w:szCs w:val="30"/>
        </w:rPr>
      </w:pPr>
      <w:r>
        <w:rPr>
          <w:rFonts w:hint="eastAsia" w:ascii="仿宋_GB2312" w:hAnsi="宋体" w:eastAsia="仿宋_GB2312"/>
          <w:sz w:val="30"/>
          <w:szCs w:val="30"/>
        </w:rPr>
        <w:t>5.毒蕈中毒可由（  A  ）引起。</w:t>
      </w:r>
    </w:p>
    <w:p>
      <w:pPr>
        <w:spacing w:line="520" w:lineRule="exact"/>
        <w:ind w:firstLine="450" w:firstLineChars="150"/>
        <w:rPr>
          <w:rFonts w:ascii="仿宋_GB2312" w:eastAsia="仿宋_GB2312"/>
          <w:sz w:val="30"/>
          <w:szCs w:val="30"/>
        </w:rPr>
      </w:pPr>
      <w:r>
        <w:rPr>
          <w:rFonts w:hint="eastAsia" w:ascii="仿宋_GB2312" w:hAnsi="宋体" w:eastAsia="仿宋_GB2312"/>
          <w:sz w:val="30"/>
          <w:szCs w:val="30"/>
        </w:rPr>
        <w:t>A.毒肽类                          B.龙葵碱</w:t>
      </w:r>
    </w:p>
    <w:p>
      <w:pPr>
        <w:spacing w:line="520" w:lineRule="exact"/>
        <w:ind w:firstLine="450" w:firstLineChars="150"/>
        <w:rPr>
          <w:rFonts w:ascii="仿宋_GB2312" w:eastAsia="仿宋_GB2312"/>
          <w:sz w:val="30"/>
          <w:szCs w:val="30"/>
        </w:rPr>
      </w:pPr>
      <w:r>
        <w:rPr>
          <w:rFonts w:hint="eastAsia" w:ascii="仿宋_GB2312" w:hAnsi="宋体" w:eastAsia="仿宋_GB2312"/>
          <w:sz w:val="30"/>
          <w:szCs w:val="30"/>
        </w:rPr>
        <w:t>C.皂素                            D.植物红细胞凝血素</w:t>
      </w:r>
    </w:p>
    <w:p>
      <w:pPr>
        <w:spacing w:line="520" w:lineRule="exact"/>
        <w:rPr>
          <w:rFonts w:ascii="仿宋_GB2312" w:eastAsia="仿宋_GB2312"/>
          <w:sz w:val="30"/>
          <w:szCs w:val="30"/>
        </w:rPr>
      </w:pPr>
      <w:r>
        <w:rPr>
          <w:rFonts w:hint="eastAsia" w:ascii="仿宋_GB2312" w:hAnsi="宋体" w:eastAsia="仿宋_GB2312"/>
          <w:sz w:val="30"/>
          <w:szCs w:val="30"/>
        </w:rPr>
        <w:t>6.乙醇在（  C  ）中可被吸收。</w:t>
      </w:r>
    </w:p>
    <w:p>
      <w:pPr>
        <w:spacing w:line="520" w:lineRule="exact"/>
        <w:rPr>
          <w:rFonts w:ascii="仿宋_GB2312" w:eastAsia="仿宋_GB2312"/>
          <w:sz w:val="30"/>
          <w:szCs w:val="30"/>
        </w:rPr>
      </w:pPr>
      <w:r>
        <w:rPr>
          <w:rFonts w:hint="eastAsia" w:ascii="仿宋_GB2312" w:hAnsi="宋体" w:eastAsia="仿宋_GB2312"/>
          <w:sz w:val="30"/>
          <w:szCs w:val="30"/>
        </w:rPr>
        <w:t xml:space="preserve">   A.口腔                            B.食管</w:t>
      </w:r>
    </w:p>
    <w:p>
      <w:pPr>
        <w:spacing w:line="520" w:lineRule="exact"/>
        <w:rPr>
          <w:rFonts w:ascii="仿宋_GB2312" w:eastAsia="仿宋_GB2312"/>
          <w:sz w:val="30"/>
          <w:szCs w:val="30"/>
        </w:rPr>
      </w:pPr>
      <w:r>
        <w:rPr>
          <w:rFonts w:hint="eastAsia" w:ascii="仿宋_GB2312" w:hAnsi="宋体" w:eastAsia="仿宋_GB2312"/>
          <w:sz w:val="30"/>
          <w:szCs w:val="30"/>
        </w:rPr>
        <w:t xml:space="preserve">   C.胃                              D.大肠</w:t>
      </w:r>
    </w:p>
    <w:p>
      <w:pPr>
        <w:spacing w:line="520" w:lineRule="exact"/>
        <w:rPr>
          <w:rFonts w:ascii="仿宋_GB2312" w:eastAsia="仿宋_GB2312"/>
          <w:sz w:val="30"/>
          <w:szCs w:val="30"/>
        </w:rPr>
      </w:pPr>
      <w:r>
        <w:rPr>
          <w:rFonts w:hint="eastAsia" w:ascii="仿宋_GB2312" w:hAnsi="宋体" w:eastAsia="仿宋_GB2312"/>
          <w:sz w:val="30"/>
          <w:szCs w:val="30"/>
        </w:rPr>
        <w:t>7.脂肪对人体有着重要的功能，其中不包括（  D  ）。</w:t>
      </w:r>
    </w:p>
    <w:p>
      <w:pPr>
        <w:spacing w:line="520" w:lineRule="exact"/>
        <w:rPr>
          <w:rFonts w:ascii="仿宋_GB2312" w:eastAsia="仿宋_GB2312"/>
          <w:sz w:val="30"/>
          <w:szCs w:val="30"/>
        </w:rPr>
      </w:pPr>
      <w:r>
        <w:rPr>
          <w:rFonts w:hint="eastAsia" w:ascii="仿宋_GB2312" w:hAnsi="宋体" w:eastAsia="仿宋_GB2312"/>
          <w:sz w:val="30"/>
          <w:szCs w:val="30"/>
        </w:rPr>
        <w:t xml:space="preserve">   A.提供能量                        B.保护脏器</w:t>
      </w:r>
    </w:p>
    <w:p>
      <w:pPr>
        <w:spacing w:line="520" w:lineRule="exact"/>
        <w:rPr>
          <w:rFonts w:ascii="仿宋_GB2312" w:eastAsia="仿宋_GB2312"/>
          <w:sz w:val="30"/>
          <w:szCs w:val="30"/>
        </w:rPr>
      </w:pPr>
      <w:r>
        <w:rPr>
          <w:rFonts w:hint="eastAsia" w:ascii="仿宋_GB2312" w:hAnsi="宋体" w:eastAsia="仿宋_GB2312"/>
          <w:sz w:val="30"/>
          <w:szCs w:val="30"/>
        </w:rPr>
        <w:t xml:space="preserve">   C.维持体温                        D.运输氧气</w:t>
      </w:r>
    </w:p>
    <w:p>
      <w:pPr>
        <w:spacing w:line="520" w:lineRule="exact"/>
        <w:rPr>
          <w:rFonts w:ascii="仿宋_GB2312" w:eastAsia="仿宋_GB2312"/>
          <w:sz w:val="30"/>
          <w:szCs w:val="30"/>
        </w:rPr>
      </w:pPr>
      <w:r>
        <w:rPr>
          <w:rFonts w:hint="eastAsia" w:ascii="仿宋_GB2312" w:hAnsi="宋体" w:eastAsia="仿宋_GB2312"/>
          <w:sz w:val="30"/>
          <w:szCs w:val="30"/>
        </w:rPr>
        <w:t>8.脚气病的产生与（  A  ）的缺乏有关。</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A.维生素B1                       B.维生素B2</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C.尼克酸                          D.叶酸</w:t>
      </w:r>
    </w:p>
    <w:p>
      <w:pPr>
        <w:spacing w:line="520" w:lineRule="exact"/>
        <w:rPr>
          <w:rFonts w:ascii="仿宋_GB2312" w:eastAsia="仿宋_GB2312"/>
          <w:sz w:val="30"/>
          <w:szCs w:val="30"/>
        </w:rPr>
      </w:pPr>
      <w:r>
        <w:rPr>
          <w:rFonts w:hint="eastAsia" w:ascii="仿宋_GB2312" w:hAnsi="宋体" w:eastAsia="仿宋_GB2312"/>
          <w:sz w:val="30"/>
          <w:szCs w:val="30"/>
        </w:rPr>
        <w:t>9.谷类原料的限制氨基酸是（  C  ）</w:t>
      </w:r>
      <w:r>
        <w:rPr>
          <w:rFonts w:hint="eastAsia" w:ascii="仿宋_GB2312" w:eastAsia="仿宋_GB2312"/>
          <w:sz w:val="30"/>
          <w:szCs w:val="30"/>
        </w:rPr>
        <w:t>.</w:t>
      </w:r>
    </w:p>
    <w:p>
      <w:pPr>
        <w:spacing w:line="520" w:lineRule="exact"/>
        <w:rPr>
          <w:rFonts w:ascii="仿宋_GB2312" w:eastAsia="仿宋_GB2312"/>
          <w:sz w:val="30"/>
          <w:szCs w:val="30"/>
        </w:rPr>
      </w:pPr>
      <w:r>
        <w:rPr>
          <w:rFonts w:hint="eastAsia" w:ascii="仿宋_GB2312" w:hAnsi="宋体" w:eastAsia="仿宋_GB2312"/>
          <w:sz w:val="30"/>
          <w:szCs w:val="30"/>
        </w:rPr>
        <w:t xml:space="preserve">   A 缬氨酸                          B.苯丙氨酸</w:t>
      </w:r>
    </w:p>
    <w:p>
      <w:pPr>
        <w:spacing w:line="520" w:lineRule="exact"/>
        <w:rPr>
          <w:rFonts w:ascii="仿宋_GB2312" w:eastAsia="仿宋_GB2312"/>
          <w:sz w:val="30"/>
          <w:szCs w:val="30"/>
        </w:rPr>
      </w:pPr>
      <w:r>
        <w:rPr>
          <w:rFonts w:hint="eastAsia" w:ascii="仿宋_GB2312" w:hAnsi="宋体" w:eastAsia="仿宋_GB2312"/>
          <w:sz w:val="30"/>
          <w:szCs w:val="30"/>
        </w:rPr>
        <w:t xml:space="preserve">   C.赖氨酸                          D.异亮氨酸</w:t>
      </w:r>
    </w:p>
    <w:p>
      <w:pPr>
        <w:spacing w:line="520" w:lineRule="exact"/>
        <w:rPr>
          <w:rFonts w:ascii="仿宋_GB2312" w:eastAsia="仿宋_GB2312"/>
          <w:sz w:val="30"/>
          <w:szCs w:val="30"/>
        </w:rPr>
      </w:pPr>
      <w:r>
        <w:rPr>
          <w:rFonts w:hint="eastAsia" w:ascii="仿宋_GB2312" w:hAnsi="宋体" w:eastAsia="仿宋_GB2312"/>
          <w:sz w:val="30"/>
          <w:szCs w:val="30"/>
        </w:rPr>
        <w:t>10.属于大豆的原料是（  D  ）。</w:t>
      </w:r>
    </w:p>
    <w:p>
      <w:pPr>
        <w:spacing w:line="520" w:lineRule="exact"/>
        <w:rPr>
          <w:rFonts w:ascii="仿宋_GB2312" w:eastAsia="仿宋_GB2312"/>
          <w:sz w:val="30"/>
          <w:szCs w:val="30"/>
        </w:rPr>
      </w:pPr>
      <w:r>
        <w:rPr>
          <w:rFonts w:hint="eastAsia" w:ascii="仿宋_GB2312" w:hAnsi="宋体" w:eastAsia="仿宋_GB2312"/>
          <w:sz w:val="30"/>
          <w:szCs w:val="30"/>
        </w:rPr>
        <w:t xml:space="preserve">   A.豆角                            B.豌豆</w:t>
      </w:r>
    </w:p>
    <w:p>
      <w:pPr>
        <w:spacing w:line="520" w:lineRule="exact"/>
        <w:rPr>
          <w:rFonts w:ascii="仿宋_GB2312" w:eastAsia="仿宋_GB2312"/>
          <w:sz w:val="30"/>
          <w:szCs w:val="30"/>
        </w:rPr>
      </w:pPr>
      <w:r>
        <w:rPr>
          <w:rFonts w:hint="eastAsia" w:ascii="仿宋_GB2312" w:hAnsi="宋体" w:eastAsia="仿宋_GB2312"/>
          <w:sz w:val="30"/>
          <w:szCs w:val="30"/>
        </w:rPr>
        <w:t xml:space="preserve">   C.蚕豆                            D.青豆</w:t>
      </w:r>
    </w:p>
    <w:p>
      <w:pPr>
        <w:spacing w:line="520" w:lineRule="exact"/>
        <w:rPr>
          <w:rFonts w:ascii="仿宋_GB2312" w:eastAsia="仿宋_GB2312"/>
          <w:sz w:val="30"/>
          <w:szCs w:val="30"/>
        </w:rPr>
      </w:pPr>
      <w:r>
        <w:rPr>
          <w:rFonts w:hint="eastAsia" w:ascii="仿宋_GB2312" w:hAnsi="宋体" w:eastAsia="仿宋_GB2312"/>
          <w:sz w:val="30"/>
          <w:szCs w:val="30"/>
        </w:rPr>
        <w:t>11.平衡膳食宝塔的第一层主要供给（  A  ）。</w:t>
      </w:r>
    </w:p>
    <w:p>
      <w:pPr>
        <w:spacing w:line="520" w:lineRule="exact"/>
        <w:rPr>
          <w:rFonts w:ascii="仿宋_GB2312" w:eastAsia="仿宋_GB2312"/>
          <w:sz w:val="30"/>
          <w:szCs w:val="30"/>
        </w:rPr>
      </w:pPr>
      <w:r>
        <w:rPr>
          <w:rFonts w:hint="eastAsia" w:ascii="仿宋_GB2312" w:hAnsi="宋体" w:eastAsia="仿宋_GB2312"/>
          <w:sz w:val="30"/>
          <w:szCs w:val="30"/>
        </w:rPr>
        <w:t xml:space="preserve">   A.能量                            B.蛋白质</w:t>
      </w:r>
    </w:p>
    <w:p>
      <w:pPr>
        <w:spacing w:line="520" w:lineRule="exact"/>
        <w:rPr>
          <w:rFonts w:ascii="仿宋_GB2312" w:eastAsia="仿宋_GB2312"/>
          <w:sz w:val="30"/>
          <w:szCs w:val="30"/>
        </w:rPr>
      </w:pPr>
      <w:r>
        <w:rPr>
          <w:rFonts w:hint="eastAsia" w:ascii="仿宋_GB2312" w:hAnsi="宋体" w:eastAsia="仿宋_GB2312"/>
          <w:sz w:val="30"/>
          <w:szCs w:val="30"/>
        </w:rPr>
        <w:t xml:space="preserve">   C.脂肪                            D.维生素</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12.通过比较来控制饮食成本，除确定单个菜肴的标准用量外，还应统计（  C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A.使用原料的种类                  B.使用主配料的情况</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C.各种菜肴的销售量                D. 厨房生产规模</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13.生料单位成本等于毛料总值扣除下脚料和废弃物总值后与（  B  ）的比值。</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A.毛料质量                        B.生料质量</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C.成品质量                        D.半成品质量</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14.利用净料率可以将毛料成本单价换算为净料成本单价，净料成品单价等于毛料成品单价（  C  ）净料率。</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A.减去                            B.加上</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C.除以                            D.乘以</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15.若原料加工前单位成本价格为100元/千克，加工后半成品的单位价格为150元/千克，则成本系数为（  C  ）。</w:t>
      </w:r>
    </w:p>
    <w:p>
      <w:pPr>
        <w:spacing w:line="520" w:lineRule="exact"/>
        <w:ind w:left="450" w:hanging="450" w:hangingChars="150"/>
        <w:rPr>
          <w:rFonts w:ascii="仿宋_GB2312" w:hAnsi="宋体" w:eastAsia="仿宋_GB2312"/>
          <w:sz w:val="30"/>
          <w:szCs w:val="30"/>
        </w:rPr>
      </w:pPr>
      <w:r>
        <w:rPr>
          <w:rFonts w:hint="eastAsia" w:ascii="仿宋_GB2312" w:hAnsi="宋体" w:eastAsia="仿宋_GB2312"/>
          <w:sz w:val="30"/>
          <w:szCs w:val="30"/>
        </w:rPr>
        <w:t xml:space="preserve">   A.0.33                            B.0.67</w:t>
      </w:r>
    </w:p>
    <w:p>
      <w:pPr>
        <w:spacing w:line="520" w:lineRule="exact"/>
        <w:ind w:left="450" w:hanging="450" w:hangingChars="150"/>
        <w:rPr>
          <w:rFonts w:ascii="仿宋_GB2312" w:hAnsi="宋体" w:eastAsia="仿宋_GB2312"/>
          <w:sz w:val="30"/>
          <w:szCs w:val="30"/>
        </w:rPr>
      </w:pPr>
      <w:r>
        <w:rPr>
          <w:rFonts w:hint="eastAsia" w:ascii="仿宋_GB2312" w:hAnsi="宋体" w:eastAsia="仿宋_GB2312"/>
          <w:sz w:val="30"/>
          <w:szCs w:val="30"/>
        </w:rPr>
        <w:t xml:space="preserve">   C.1.50                            D.0.50</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16.成本系数是指同一种原料加工后的单位成本与（  A  ）之比。</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A.加工前的单位成本                B.加工后成品的质量</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C.净料率                          D.成本率</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17.调味品用量估算方法中，根据某种调味品一定体积下的质量大小估算调味品用量的方法是（  B  ）</w:t>
      </w:r>
      <w:r>
        <w:rPr>
          <w:rFonts w:hint="eastAsia" w:ascii="仿宋_GB2312" w:eastAsia="仿宋_GB2312"/>
          <w:sz w:val="30"/>
          <w:szCs w:val="30"/>
        </w:rPr>
        <w:t>.</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A.容器估量法                      B.体积估量法</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C.比例对照法                      D.重量估算法</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18.调味品成本的核算方法可以参照(  A  )进行。</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A.菜点的生产方式                  B.厨师的操作习惯</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C.厨房的生产组织                  D.餐厅的经营情况</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19.进行宴会菜点和分类菜点可容成本的计算，主要目的是（  D  ）。</w:t>
      </w:r>
    </w:p>
    <w:p>
      <w:pPr>
        <w:spacing w:line="520" w:lineRule="exact"/>
        <w:ind w:left="450" w:hanging="450" w:hangingChars="150"/>
        <w:rPr>
          <w:rFonts w:ascii="仿宋_GB2312" w:hAnsi="宋体" w:eastAsia="仿宋_GB2312"/>
          <w:sz w:val="30"/>
          <w:szCs w:val="30"/>
        </w:rPr>
      </w:pPr>
      <w:r>
        <w:rPr>
          <w:rFonts w:hint="eastAsia" w:ascii="仿宋_GB2312" w:hAnsi="宋体" w:eastAsia="仿宋_GB2312"/>
          <w:sz w:val="30"/>
          <w:szCs w:val="30"/>
        </w:rPr>
        <w:t xml:space="preserve">   A.明确宴会规模                    B. 建立宴会管理组织机构</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C.安排菜点种类和数量              D. 控制宴会成本开支</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20.渗透价格策略一般适用于产品（  A ）的定价。</w:t>
      </w:r>
    </w:p>
    <w:p>
      <w:pPr>
        <w:spacing w:line="520" w:lineRule="exact"/>
        <w:ind w:left="450" w:hanging="450" w:hangingChars="150"/>
        <w:rPr>
          <w:rFonts w:ascii="仿宋_GB2312" w:hAnsi="宋体" w:eastAsia="仿宋_GB2312"/>
          <w:sz w:val="30"/>
          <w:szCs w:val="30"/>
        </w:rPr>
      </w:pPr>
      <w:r>
        <w:rPr>
          <w:rFonts w:hint="eastAsia" w:ascii="仿宋_GB2312" w:hAnsi="宋体" w:eastAsia="仿宋_GB2312"/>
          <w:sz w:val="30"/>
          <w:szCs w:val="30"/>
        </w:rPr>
        <w:t xml:space="preserve">   A.导入阶段                        B.成长阶段</w:t>
      </w:r>
    </w:p>
    <w:p>
      <w:pPr>
        <w:spacing w:line="520" w:lineRule="exact"/>
        <w:ind w:left="450" w:hanging="450" w:hangingChars="150"/>
        <w:rPr>
          <w:rFonts w:ascii="仿宋_GB2312" w:hAnsi="宋体" w:eastAsia="仿宋_GB2312"/>
          <w:sz w:val="30"/>
          <w:szCs w:val="30"/>
        </w:rPr>
      </w:pPr>
      <w:r>
        <w:rPr>
          <w:rFonts w:hint="eastAsia" w:ascii="仿宋_GB2312" w:hAnsi="宋体" w:eastAsia="仿宋_GB2312"/>
          <w:sz w:val="30"/>
          <w:szCs w:val="30"/>
        </w:rPr>
        <w:t xml:space="preserve">   C.成熟阶段                        D.衰退阶段</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21.产品进入成熟期后，若饮食企业市场需求富有弹性并且企业销售收入大于相应的成本增加，企业可以采取的做法是（  B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A.提高产品价格                    B.降低产品价格</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C.维持价格不变                    D.提升产品档次</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22.饮食企业清淡时间价格折扣策略应保证（  D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A.企业销售利润保持稳定            B.企业产品销售明显提升</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C.产品销量增加抵消折扣利润的损失  D.产品销售增加超过折扣利润的损失</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23.根据顾客心理反应来制定产品价格，以刺激其消费动机，从而达到促销、多销目的的定价策略称为（  C  ）</w:t>
      </w:r>
      <w:r>
        <w:rPr>
          <w:rFonts w:hint="eastAsia" w:ascii="仿宋_GB2312" w:eastAsia="仿宋_GB2312"/>
          <w:sz w:val="30"/>
          <w:szCs w:val="30"/>
        </w:rPr>
        <w:t>.</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A.撇脂定价策略                    B.渗透定价策略</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C.心理定价策略                    D.满意定价策略</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24.整数定价策略属于（  B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A.撇脂定价策略                    B.心理定价策略</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C.渗透定价策略                    D.满意定价策略</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25.随行就市定价法也称为（  A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A.仿效定价法                      B.毛利率定价法</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C.声望定价法                        D.主要成本法</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26．运用原料成本系数法计算产品价格需要两个关键数据：一是原料成本额，二是（  D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A.主料成本                        B.产品利润</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C.菜肴毛利                        D.成本系数</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27．运用主要成本法计算产品价格，菜点价格等于原料成本和直接人工成本之和（  B  ）主要成本率。</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A.乘以                            B.除以</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C.加上                            D.减去</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28.饭店效益都是建立在厨房良好、有序的生产菜点基础之上的，为此，厨房必须加强（  D  ）</w:t>
      </w:r>
      <w:r>
        <w:rPr>
          <w:rFonts w:hint="eastAsia" w:ascii="仿宋_GB2312" w:eastAsia="仿宋_GB2312"/>
          <w:sz w:val="30"/>
          <w:szCs w:val="30"/>
        </w:rPr>
        <w:t>.</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A.菜品管理                        B.原料管理</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C.人员管理                        D.安全管理</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29.配菜间配置配料、小料的正确做法是（  D  ）</w:t>
      </w:r>
      <w:r>
        <w:rPr>
          <w:rFonts w:hint="eastAsia" w:ascii="仿宋_GB2312" w:eastAsia="仿宋_GB2312"/>
          <w:sz w:val="30"/>
          <w:szCs w:val="30"/>
        </w:rPr>
        <w:t>.</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A.在菜点制作时临时配置            B.按原料种类分类盛放</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C.和所配菜点盛放一起              D.两类分别盛放</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30.下列选项不会引起火灾的是（  A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A.定期检修厨房电气设备            B.点火操作不当</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C.抽油烟管道积累油污              D.烹调操作不当</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31.厨房的消防给水系统主要由消防栓给水系统和（  C  ）组成。</w:t>
      </w:r>
    </w:p>
    <w:p>
      <w:pPr>
        <w:spacing w:line="520" w:lineRule="exact"/>
        <w:ind w:left="450" w:hanging="450" w:hangingChars="150"/>
        <w:rPr>
          <w:rFonts w:ascii="仿宋_GB2312" w:hAnsi="宋体" w:eastAsia="仿宋_GB2312"/>
          <w:sz w:val="30"/>
          <w:szCs w:val="30"/>
        </w:rPr>
      </w:pPr>
      <w:r>
        <w:rPr>
          <w:rFonts w:hint="eastAsia" w:ascii="仿宋_GB2312" w:hAnsi="宋体" w:eastAsia="仿宋_GB2312"/>
          <w:sz w:val="30"/>
          <w:szCs w:val="30"/>
        </w:rPr>
        <w:t xml:space="preserve">   A.手动灭火设备                    B.自动灭火系统 </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C.自动喷淋水系统                  D.厨房自备灭火用水</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32.燃气设备与燃气源之间最好使用(  B  )连接。</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A.PDR 管                          B.钢管</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C.软管                            D.铝管</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33.厨房洗涤设备类型主要包括洗碟机、（  B  ）、银器抛光机和高压喷射机等。</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A.消毒柜                          B.容器清洗机</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C.电热水器                        D.蒸汽炉具</w:t>
      </w:r>
    </w:p>
    <w:p>
      <w:pPr>
        <w:spacing w:line="520" w:lineRule="exact"/>
        <w:rPr>
          <w:rFonts w:ascii="仿宋_GB2312" w:eastAsia="仿宋_GB2312"/>
          <w:sz w:val="30"/>
          <w:szCs w:val="30"/>
        </w:rPr>
      </w:pPr>
      <w:r>
        <w:rPr>
          <w:rFonts w:hint="eastAsia" w:ascii="仿宋_GB2312" w:eastAsia="仿宋_GB2312"/>
          <w:sz w:val="30"/>
          <w:szCs w:val="30"/>
        </w:rPr>
        <w:t>34.</w:t>
      </w:r>
      <w:r>
        <w:rPr>
          <w:rFonts w:hint="eastAsia" w:ascii="仿宋_GB2312" w:hAnsi="宋体" w:eastAsia="仿宋_GB2312"/>
          <w:sz w:val="30"/>
          <w:szCs w:val="30"/>
        </w:rPr>
        <w:t>烫制后的甲鱼在去除黑衣时应在（  C  ）中进行。</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A.冰水                            B.凉水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C.温水                            D.沸水  </w:t>
      </w:r>
    </w:p>
    <w:p>
      <w:pPr>
        <w:spacing w:line="520" w:lineRule="exact"/>
        <w:rPr>
          <w:rFonts w:ascii="仿宋_GB2312" w:eastAsia="仿宋_GB2312"/>
          <w:sz w:val="30"/>
          <w:szCs w:val="30"/>
        </w:rPr>
      </w:pPr>
      <w:r>
        <w:rPr>
          <w:rFonts w:hint="eastAsia" w:ascii="仿宋_GB2312" w:eastAsia="仿宋_GB2312"/>
          <w:sz w:val="30"/>
          <w:szCs w:val="30"/>
        </w:rPr>
        <w:t>35.</w:t>
      </w:r>
      <w:r>
        <w:rPr>
          <w:rFonts w:hint="eastAsia" w:ascii="仿宋_GB2312" w:hAnsi="宋体" w:eastAsia="仿宋_GB2312"/>
          <w:sz w:val="30"/>
          <w:szCs w:val="30"/>
        </w:rPr>
        <w:t>某些菜肴需要牛蛙留皮，加工时应用（  A  ）进行搓洗。</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A.盐                              B.沙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C.油                              D.碱</w:t>
      </w:r>
    </w:p>
    <w:p>
      <w:pPr>
        <w:spacing w:line="520" w:lineRule="exact"/>
        <w:rPr>
          <w:rFonts w:ascii="仿宋_GB2312" w:eastAsia="仿宋_GB2312"/>
          <w:sz w:val="30"/>
          <w:szCs w:val="30"/>
        </w:rPr>
      </w:pPr>
      <w:r>
        <w:rPr>
          <w:rFonts w:hint="eastAsia" w:ascii="仿宋_GB2312" w:eastAsia="仿宋_GB2312"/>
          <w:sz w:val="30"/>
          <w:szCs w:val="30"/>
        </w:rPr>
        <w:t>36.</w:t>
      </w:r>
      <w:r>
        <w:rPr>
          <w:rFonts w:hint="eastAsia" w:ascii="仿宋_GB2312" w:hAnsi="宋体" w:eastAsia="仿宋_GB2312"/>
          <w:sz w:val="30"/>
          <w:szCs w:val="30"/>
        </w:rPr>
        <w:t>在去除虾肠线时，为了保持虾形的完整，应（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A.剪开虾背挑出虾线                B.剪去虾尾挑出虾线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C.使虾体弯曲从虾壳缝隙中挑出虾线  D.去头后从其颈部挑出虾线</w:t>
      </w:r>
    </w:p>
    <w:p>
      <w:pPr>
        <w:spacing w:line="520" w:lineRule="exact"/>
        <w:rPr>
          <w:rFonts w:ascii="仿宋_GB2312" w:eastAsia="仿宋_GB2312"/>
          <w:sz w:val="30"/>
          <w:szCs w:val="30"/>
        </w:rPr>
      </w:pPr>
      <w:r>
        <w:rPr>
          <w:rFonts w:hint="eastAsia" w:ascii="仿宋_GB2312" w:eastAsia="仿宋_GB2312"/>
          <w:sz w:val="30"/>
          <w:szCs w:val="30"/>
        </w:rPr>
        <w:t>37.</w:t>
      </w:r>
      <w:r>
        <w:rPr>
          <w:rFonts w:hint="eastAsia" w:ascii="仿宋_GB2312" w:hAnsi="宋体" w:eastAsia="仿宋_GB2312"/>
          <w:sz w:val="30"/>
          <w:szCs w:val="30"/>
        </w:rPr>
        <w:t>海带加工时应剪去（  C  ）部位。</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A.尖部                            B.边缘  </w:t>
      </w:r>
    </w:p>
    <w:p>
      <w:pPr>
        <w:spacing w:line="520" w:lineRule="exact"/>
        <w:ind w:firstLine="513" w:firstLineChars="171"/>
        <w:rPr>
          <w:rFonts w:ascii="仿宋_GB2312" w:eastAsia="仿宋_GB2312"/>
          <w:sz w:val="30"/>
          <w:szCs w:val="30"/>
        </w:rPr>
      </w:pPr>
      <w:r>
        <w:rPr>
          <w:rFonts w:hint="eastAsia" w:ascii="仿宋_GB2312" w:hAnsi="宋体" w:eastAsia="仿宋_GB2312"/>
          <w:sz w:val="30"/>
          <w:szCs w:val="30"/>
        </w:rPr>
        <w:t>C.根须                            D.表皮</w:t>
      </w:r>
    </w:p>
    <w:p>
      <w:pPr>
        <w:spacing w:line="520" w:lineRule="exact"/>
        <w:rPr>
          <w:rFonts w:ascii="仿宋_GB2312" w:eastAsia="仿宋_GB2312"/>
          <w:sz w:val="30"/>
          <w:szCs w:val="30"/>
        </w:rPr>
      </w:pPr>
      <w:r>
        <w:rPr>
          <w:rFonts w:hint="eastAsia" w:ascii="仿宋_GB2312" w:eastAsia="仿宋_GB2312"/>
          <w:sz w:val="30"/>
          <w:szCs w:val="30"/>
        </w:rPr>
        <w:t>38.</w:t>
      </w:r>
      <w:r>
        <w:rPr>
          <w:rFonts w:hint="eastAsia" w:ascii="仿宋_GB2312" w:hAnsi="宋体" w:eastAsia="仿宋_GB2312"/>
          <w:sz w:val="30"/>
          <w:szCs w:val="30"/>
        </w:rPr>
        <w:t>凉拌菌类菜肴时一定要将原料进行（  B  ）处理。</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A.清洗                            B.烫透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C.冰镇                            D.浸泡</w:t>
      </w:r>
    </w:p>
    <w:p>
      <w:pPr>
        <w:spacing w:line="520" w:lineRule="exact"/>
        <w:rPr>
          <w:rFonts w:ascii="仿宋_GB2312" w:eastAsia="仿宋_GB2312"/>
          <w:sz w:val="30"/>
          <w:szCs w:val="30"/>
        </w:rPr>
      </w:pPr>
      <w:r>
        <w:rPr>
          <w:rFonts w:hint="eastAsia" w:ascii="仿宋_GB2312" w:eastAsia="仿宋_GB2312"/>
          <w:sz w:val="30"/>
          <w:szCs w:val="30"/>
        </w:rPr>
        <w:t>39.</w:t>
      </w:r>
      <w:r>
        <w:rPr>
          <w:rFonts w:hint="eastAsia" w:ascii="仿宋_GB2312" w:hAnsi="宋体" w:eastAsia="仿宋_GB2312"/>
          <w:sz w:val="30"/>
          <w:szCs w:val="30"/>
        </w:rPr>
        <w:t>碱面发就是将原料（  C  ）后，再加热碱面进行涨发。</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A.剞刀                            B.洗净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C.用清水泡软                      D.用热水煮透</w:t>
      </w:r>
    </w:p>
    <w:p>
      <w:pPr>
        <w:spacing w:line="520" w:lineRule="exact"/>
        <w:rPr>
          <w:rFonts w:ascii="仿宋_GB2312" w:eastAsia="仿宋_GB2312"/>
          <w:sz w:val="30"/>
          <w:szCs w:val="30"/>
        </w:rPr>
      </w:pPr>
      <w:r>
        <w:rPr>
          <w:rFonts w:hint="eastAsia" w:ascii="仿宋_GB2312" w:eastAsia="仿宋_GB2312"/>
          <w:sz w:val="30"/>
          <w:szCs w:val="30"/>
        </w:rPr>
        <w:t>40.</w:t>
      </w:r>
      <w:r>
        <w:rPr>
          <w:rFonts w:hint="eastAsia" w:ascii="仿宋_GB2312" w:hAnsi="宋体" w:eastAsia="仿宋_GB2312"/>
          <w:sz w:val="30"/>
          <w:szCs w:val="30"/>
        </w:rPr>
        <w:t>涨发过程中造成涨发原料腐烂的原因可能是（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A.水温过低                        B.涨发时间过短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C.碱水浓度过高                    D.碱水浓度过低</w:t>
      </w:r>
    </w:p>
    <w:p>
      <w:pPr>
        <w:spacing w:line="520" w:lineRule="exact"/>
        <w:rPr>
          <w:rFonts w:ascii="仿宋_GB2312" w:eastAsia="仿宋_GB2312"/>
          <w:sz w:val="30"/>
          <w:szCs w:val="30"/>
        </w:rPr>
      </w:pPr>
      <w:r>
        <w:rPr>
          <w:rFonts w:hint="eastAsia" w:ascii="仿宋_GB2312" w:eastAsia="仿宋_GB2312"/>
          <w:sz w:val="30"/>
          <w:szCs w:val="30"/>
        </w:rPr>
        <w:t>41.</w:t>
      </w:r>
      <w:r>
        <w:rPr>
          <w:rFonts w:hint="eastAsia" w:ascii="仿宋_GB2312" w:hAnsi="宋体" w:eastAsia="仿宋_GB2312"/>
          <w:sz w:val="30"/>
          <w:szCs w:val="30"/>
        </w:rPr>
        <w:t>配制涨发墨鱼的碱溶液，20kg水中应加入食用碱（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A.48g                             B.500g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C.68g                             D.600g</w:t>
      </w:r>
    </w:p>
    <w:p>
      <w:pPr>
        <w:spacing w:line="520" w:lineRule="exact"/>
        <w:rPr>
          <w:rFonts w:ascii="仿宋_GB2312" w:eastAsia="仿宋_GB2312"/>
          <w:sz w:val="30"/>
          <w:szCs w:val="30"/>
        </w:rPr>
      </w:pPr>
      <w:r>
        <w:rPr>
          <w:rFonts w:hint="eastAsia" w:ascii="仿宋_GB2312" w:eastAsia="仿宋_GB2312"/>
          <w:sz w:val="30"/>
          <w:szCs w:val="30"/>
        </w:rPr>
        <w:t>42.</w:t>
      </w:r>
      <w:r>
        <w:rPr>
          <w:rFonts w:hint="eastAsia" w:ascii="仿宋_GB2312" w:hAnsi="宋体" w:eastAsia="仿宋_GB2312"/>
          <w:sz w:val="30"/>
          <w:szCs w:val="30"/>
        </w:rPr>
        <w:t>质量较差的火腿一般要用（  D  ）进行洗涤。</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A.沸水                            B.温水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C.盐水                            D.热碱水</w:t>
      </w:r>
    </w:p>
    <w:p>
      <w:pPr>
        <w:spacing w:line="520" w:lineRule="exact"/>
        <w:rPr>
          <w:rFonts w:ascii="仿宋_GB2312" w:eastAsia="仿宋_GB2312"/>
          <w:sz w:val="30"/>
          <w:szCs w:val="30"/>
        </w:rPr>
      </w:pPr>
      <w:r>
        <w:rPr>
          <w:rFonts w:hint="eastAsia" w:ascii="仿宋_GB2312" w:eastAsia="仿宋_GB2312"/>
          <w:sz w:val="30"/>
          <w:szCs w:val="30"/>
        </w:rPr>
        <w:t>43.</w:t>
      </w:r>
      <w:r>
        <w:rPr>
          <w:rFonts w:hint="eastAsia" w:ascii="仿宋_GB2312" w:hAnsi="宋体" w:eastAsia="仿宋_GB2312"/>
          <w:sz w:val="30"/>
          <w:szCs w:val="30"/>
        </w:rPr>
        <w:t>按烹饪原料的（  A  ）分类，可将烹饪原料分为鲜活原料、干货原料和复制品原料三大类。</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A.加工与否                        B.商品种类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C.烹饪运用                        D.来源属性</w:t>
      </w:r>
    </w:p>
    <w:p>
      <w:pPr>
        <w:spacing w:line="520" w:lineRule="exact"/>
        <w:rPr>
          <w:rFonts w:ascii="仿宋_GB2312" w:eastAsia="仿宋_GB2312"/>
          <w:sz w:val="30"/>
          <w:szCs w:val="30"/>
        </w:rPr>
      </w:pPr>
      <w:r>
        <w:rPr>
          <w:rFonts w:hint="eastAsia" w:ascii="仿宋_GB2312" w:hAnsi="宋体" w:eastAsia="仿宋_GB2312"/>
          <w:sz w:val="30"/>
          <w:szCs w:val="30"/>
        </w:rPr>
        <w:t>44</w:t>
      </w:r>
      <w:r>
        <w:rPr>
          <w:rFonts w:hint="eastAsia" w:ascii="仿宋_GB2312" w:eastAsia="仿宋_GB2312"/>
          <w:sz w:val="30"/>
          <w:szCs w:val="30"/>
        </w:rPr>
        <w:t>.</w:t>
      </w:r>
      <w:r>
        <w:rPr>
          <w:rFonts w:hint="eastAsia" w:ascii="仿宋_GB2312" w:hAnsi="宋体" w:eastAsia="仿宋_GB2312"/>
          <w:sz w:val="30"/>
          <w:szCs w:val="30"/>
        </w:rPr>
        <w:t>下列牛肉中品质最差的是（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A.黄牛肉                          B.水牛肉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C.小牛肉                          D.牦牛肉</w:t>
      </w:r>
    </w:p>
    <w:p>
      <w:pPr>
        <w:spacing w:line="520" w:lineRule="exact"/>
        <w:rPr>
          <w:rFonts w:ascii="仿宋_GB2312" w:eastAsia="仿宋_GB2312"/>
          <w:sz w:val="30"/>
          <w:szCs w:val="30"/>
        </w:rPr>
      </w:pPr>
      <w:r>
        <w:rPr>
          <w:rFonts w:hint="eastAsia" w:ascii="仿宋_GB2312" w:hAnsi="宋体" w:eastAsia="仿宋_GB2312"/>
          <w:sz w:val="30"/>
          <w:szCs w:val="30"/>
        </w:rPr>
        <w:t>45</w:t>
      </w:r>
      <w:r>
        <w:rPr>
          <w:rFonts w:hint="eastAsia" w:ascii="仿宋_GB2312" w:eastAsia="仿宋_GB2312"/>
          <w:sz w:val="30"/>
          <w:szCs w:val="30"/>
        </w:rPr>
        <w:t>.</w:t>
      </w:r>
      <w:r>
        <w:rPr>
          <w:rFonts w:hint="eastAsia" w:ascii="仿宋_GB2312" w:hAnsi="宋体" w:eastAsia="仿宋_GB2312"/>
          <w:sz w:val="30"/>
          <w:szCs w:val="30"/>
        </w:rPr>
        <w:t>下列选项属于肉蛋兼用鸭的是（  A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A.高邮麻鸭                        B.金定鸭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C.瘤头鸭                          D.北京鸭</w:t>
      </w:r>
    </w:p>
    <w:p>
      <w:pPr>
        <w:spacing w:line="520" w:lineRule="exact"/>
        <w:rPr>
          <w:rFonts w:ascii="仿宋_GB2312" w:eastAsia="仿宋_GB2312"/>
          <w:sz w:val="30"/>
          <w:szCs w:val="30"/>
        </w:rPr>
      </w:pPr>
      <w:r>
        <w:rPr>
          <w:rFonts w:hint="eastAsia" w:ascii="仿宋_GB2312" w:hAnsi="宋体" w:eastAsia="仿宋_GB2312"/>
          <w:sz w:val="30"/>
          <w:szCs w:val="30"/>
        </w:rPr>
        <w:t>46</w:t>
      </w:r>
      <w:r>
        <w:rPr>
          <w:rFonts w:hint="eastAsia" w:ascii="仿宋_GB2312" w:eastAsia="仿宋_GB2312"/>
          <w:sz w:val="30"/>
          <w:szCs w:val="30"/>
        </w:rPr>
        <w:t>.</w:t>
      </w:r>
      <w:r>
        <w:rPr>
          <w:rFonts w:hint="eastAsia" w:ascii="仿宋_GB2312" w:hAnsi="宋体" w:eastAsia="仿宋_GB2312"/>
          <w:sz w:val="30"/>
          <w:szCs w:val="30"/>
        </w:rPr>
        <w:t>下列选项属于贝类原料中头足类的是（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A.贻贝                            B.竹蛏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C.海螺                            D.章鱼</w:t>
      </w:r>
    </w:p>
    <w:p>
      <w:pPr>
        <w:spacing w:line="520" w:lineRule="exact"/>
        <w:rPr>
          <w:rFonts w:ascii="仿宋_GB2312" w:eastAsia="仿宋_GB2312"/>
          <w:sz w:val="30"/>
          <w:szCs w:val="30"/>
        </w:rPr>
      </w:pPr>
      <w:r>
        <w:rPr>
          <w:rFonts w:hint="eastAsia" w:ascii="仿宋_GB2312" w:hAnsi="宋体" w:eastAsia="仿宋_GB2312"/>
          <w:sz w:val="30"/>
          <w:szCs w:val="30"/>
        </w:rPr>
        <w:t>47</w:t>
      </w:r>
      <w:r>
        <w:rPr>
          <w:rFonts w:hint="eastAsia" w:ascii="仿宋_GB2312" w:eastAsia="仿宋_GB2312"/>
          <w:sz w:val="30"/>
          <w:szCs w:val="30"/>
        </w:rPr>
        <w:t>.</w:t>
      </w:r>
      <w:r>
        <w:rPr>
          <w:rFonts w:hint="eastAsia" w:ascii="仿宋_GB2312" w:hAnsi="宋体" w:eastAsia="仿宋_GB2312"/>
          <w:sz w:val="30"/>
          <w:szCs w:val="30"/>
        </w:rPr>
        <w:t>作为饮用的牛乳是（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A.初乳                            B.常乳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C.末乳                            D.异常乳</w:t>
      </w:r>
    </w:p>
    <w:p>
      <w:pPr>
        <w:spacing w:line="520" w:lineRule="exact"/>
        <w:rPr>
          <w:rFonts w:ascii="仿宋_GB2312" w:eastAsia="仿宋_GB2312"/>
          <w:sz w:val="30"/>
          <w:szCs w:val="30"/>
        </w:rPr>
      </w:pPr>
      <w:r>
        <w:rPr>
          <w:rFonts w:hint="eastAsia" w:ascii="仿宋_GB2312" w:hAnsi="宋体" w:eastAsia="仿宋_GB2312"/>
          <w:sz w:val="30"/>
          <w:szCs w:val="30"/>
        </w:rPr>
        <w:t>48</w:t>
      </w:r>
      <w:r>
        <w:rPr>
          <w:rFonts w:hint="eastAsia" w:ascii="仿宋_GB2312" w:eastAsia="仿宋_GB2312"/>
          <w:sz w:val="30"/>
          <w:szCs w:val="30"/>
        </w:rPr>
        <w:t>.</w:t>
      </w:r>
      <w:r>
        <w:rPr>
          <w:rFonts w:hint="eastAsia" w:ascii="仿宋_GB2312" w:hAnsi="宋体" w:eastAsia="仿宋_GB2312"/>
          <w:sz w:val="30"/>
          <w:szCs w:val="30"/>
        </w:rPr>
        <w:t>下列蔬菜中属于根菜类蔬菜的是（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A.土豆                            B.荸荠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C.慈菇                            D.芜菁</w:t>
      </w:r>
    </w:p>
    <w:p>
      <w:pPr>
        <w:spacing w:line="520" w:lineRule="exact"/>
        <w:rPr>
          <w:rFonts w:ascii="仿宋_GB2312" w:eastAsia="仿宋_GB2312"/>
          <w:sz w:val="30"/>
          <w:szCs w:val="30"/>
        </w:rPr>
      </w:pPr>
      <w:r>
        <w:rPr>
          <w:rFonts w:hint="eastAsia" w:ascii="仿宋_GB2312" w:hAnsi="宋体" w:eastAsia="仿宋_GB2312"/>
          <w:sz w:val="30"/>
          <w:szCs w:val="30"/>
        </w:rPr>
        <w:t>49</w:t>
      </w:r>
      <w:r>
        <w:rPr>
          <w:rFonts w:hint="eastAsia" w:ascii="仿宋_GB2312" w:eastAsia="仿宋_GB2312"/>
          <w:sz w:val="30"/>
          <w:szCs w:val="30"/>
        </w:rPr>
        <w:t>.</w:t>
      </w:r>
      <w:r>
        <w:rPr>
          <w:rFonts w:hint="eastAsia" w:ascii="仿宋_GB2312" w:hAnsi="宋体" w:eastAsia="仿宋_GB2312"/>
          <w:sz w:val="30"/>
          <w:szCs w:val="30"/>
        </w:rPr>
        <w:t>荠菜产于中国，（  A  ）大量上市。</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A.春季                            B.夏季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C.秋季                            D.冬季</w:t>
      </w:r>
    </w:p>
    <w:p>
      <w:pPr>
        <w:spacing w:line="520" w:lineRule="exact"/>
        <w:rPr>
          <w:rFonts w:ascii="仿宋_GB2312" w:eastAsia="仿宋_GB2312"/>
          <w:sz w:val="30"/>
          <w:szCs w:val="30"/>
        </w:rPr>
      </w:pPr>
      <w:r>
        <w:rPr>
          <w:rFonts w:hint="eastAsia" w:ascii="仿宋_GB2312" w:hAnsi="宋体" w:eastAsia="仿宋_GB2312"/>
          <w:sz w:val="30"/>
          <w:szCs w:val="30"/>
        </w:rPr>
        <w:t>50</w:t>
      </w:r>
      <w:r>
        <w:rPr>
          <w:rFonts w:hint="eastAsia" w:ascii="仿宋_GB2312" w:eastAsia="仿宋_GB2312"/>
          <w:sz w:val="30"/>
          <w:szCs w:val="30"/>
        </w:rPr>
        <w:t>.</w:t>
      </w:r>
      <w:r>
        <w:rPr>
          <w:rFonts w:hint="eastAsia" w:ascii="仿宋_GB2312" w:hAnsi="宋体" w:eastAsia="仿宋_GB2312"/>
          <w:sz w:val="30"/>
          <w:szCs w:val="30"/>
        </w:rPr>
        <w:t>结球甘蓝又称（  B  ），是目前产量较高的叶菜。</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A.生菜                            B.卷心菜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C.大白菜                          D.西兰花</w:t>
      </w:r>
    </w:p>
    <w:p>
      <w:pPr>
        <w:spacing w:line="520" w:lineRule="exact"/>
        <w:rPr>
          <w:rFonts w:ascii="仿宋_GB2312" w:eastAsia="仿宋_GB2312"/>
          <w:sz w:val="30"/>
          <w:szCs w:val="30"/>
        </w:rPr>
      </w:pPr>
      <w:r>
        <w:rPr>
          <w:rFonts w:hint="eastAsia" w:ascii="仿宋_GB2312" w:hAnsi="宋体" w:eastAsia="仿宋_GB2312"/>
          <w:sz w:val="30"/>
          <w:szCs w:val="30"/>
        </w:rPr>
        <w:t>51</w:t>
      </w:r>
      <w:r>
        <w:rPr>
          <w:rFonts w:hint="eastAsia" w:ascii="仿宋_GB2312" w:eastAsia="仿宋_GB2312"/>
          <w:sz w:val="30"/>
          <w:szCs w:val="30"/>
        </w:rPr>
        <w:t>.</w:t>
      </w:r>
      <w:r>
        <w:rPr>
          <w:rFonts w:hint="eastAsia" w:ascii="仿宋_GB2312" w:hAnsi="宋体" w:eastAsia="仿宋_GB2312"/>
          <w:sz w:val="30"/>
          <w:szCs w:val="30"/>
        </w:rPr>
        <w:t>下列果菜中属于瓠果类的是（  A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A.冬瓜                            B.辣椒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C.茄子                            D.扁豆</w:t>
      </w:r>
    </w:p>
    <w:p>
      <w:pPr>
        <w:spacing w:line="520" w:lineRule="exact"/>
        <w:rPr>
          <w:rFonts w:ascii="仿宋_GB2312" w:eastAsia="仿宋_GB2312"/>
          <w:sz w:val="30"/>
          <w:szCs w:val="30"/>
        </w:rPr>
      </w:pPr>
      <w:r>
        <w:rPr>
          <w:rFonts w:hint="eastAsia" w:ascii="仿宋_GB2312" w:hAnsi="宋体" w:eastAsia="仿宋_GB2312"/>
          <w:sz w:val="30"/>
          <w:szCs w:val="30"/>
        </w:rPr>
        <w:t>52</w:t>
      </w:r>
      <w:r>
        <w:rPr>
          <w:rFonts w:hint="eastAsia" w:ascii="仿宋_GB2312" w:eastAsia="仿宋_GB2312"/>
          <w:sz w:val="30"/>
          <w:szCs w:val="30"/>
        </w:rPr>
        <w:t>.</w:t>
      </w:r>
      <w:r>
        <w:rPr>
          <w:rFonts w:hint="eastAsia" w:ascii="仿宋_GB2312" w:hAnsi="宋体" w:eastAsia="仿宋_GB2312"/>
          <w:sz w:val="30"/>
          <w:szCs w:val="30"/>
        </w:rPr>
        <w:t>下列蔬菜中不属于食用藻类的是（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A.发菜                            B.紫菜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C.水芹菜                          D.龙须菜</w:t>
      </w:r>
    </w:p>
    <w:p>
      <w:pPr>
        <w:spacing w:line="520" w:lineRule="exact"/>
        <w:rPr>
          <w:rFonts w:ascii="仿宋_GB2312" w:eastAsia="仿宋_GB2312"/>
          <w:sz w:val="30"/>
          <w:szCs w:val="30"/>
        </w:rPr>
      </w:pPr>
      <w:r>
        <w:rPr>
          <w:rFonts w:hint="eastAsia" w:ascii="仿宋_GB2312" w:hAnsi="宋体" w:eastAsia="仿宋_GB2312"/>
          <w:sz w:val="30"/>
          <w:szCs w:val="30"/>
        </w:rPr>
        <w:t>53</w:t>
      </w:r>
      <w:r>
        <w:rPr>
          <w:rFonts w:hint="eastAsia" w:ascii="仿宋_GB2312" w:eastAsia="仿宋_GB2312"/>
          <w:sz w:val="30"/>
          <w:szCs w:val="30"/>
        </w:rPr>
        <w:t>.</w:t>
      </w:r>
      <w:r>
        <w:rPr>
          <w:rFonts w:hint="eastAsia" w:ascii="仿宋_GB2312" w:hAnsi="宋体" w:eastAsia="仿宋_GB2312"/>
          <w:sz w:val="30"/>
          <w:szCs w:val="30"/>
        </w:rPr>
        <w:t>我国产量最高的大米是（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A.粳米                            B.糯米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C.香米                            D.籼米</w:t>
      </w:r>
    </w:p>
    <w:p>
      <w:pPr>
        <w:spacing w:line="520" w:lineRule="exact"/>
        <w:rPr>
          <w:rFonts w:ascii="仿宋_GB2312" w:eastAsia="仿宋_GB2312"/>
          <w:sz w:val="30"/>
          <w:szCs w:val="30"/>
        </w:rPr>
      </w:pPr>
      <w:r>
        <w:rPr>
          <w:rFonts w:hint="eastAsia" w:ascii="仿宋_GB2312" w:eastAsia="仿宋_GB2312"/>
          <w:sz w:val="30"/>
          <w:szCs w:val="30"/>
        </w:rPr>
        <w:t>54.</w:t>
      </w:r>
      <w:r>
        <w:rPr>
          <w:rFonts w:hint="eastAsia" w:ascii="仿宋_GB2312" w:hAnsi="宋体" w:eastAsia="仿宋_GB2312"/>
          <w:sz w:val="30"/>
          <w:szCs w:val="30"/>
        </w:rPr>
        <w:t>菠萝的原产国是（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A.中国                            B.巴西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C.泰国                            D.马来西亚</w:t>
      </w:r>
    </w:p>
    <w:p>
      <w:pPr>
        <w:spacing w:line="520" w:lineRule="exact"/>
        <w:rPr>
          <w:rFonts w:ascii="仿宋_GB2312" w:eastAsia="仿宋_GB2312"/>
          <w:sz w:val="30"/>
          <w:szCs w:val="30"/>
        </w:rPr>
      </w:pPr>
      <w:r>
        <w:rPr>
          <w:rFonts w:hint="eastAsia" w:ascii="仿宋_GB2312" w:eastAsia="仿宋_GB2312"/>
          <w:sz w:val="30"/>
          <w:szCs w:val="30"/>
        </w:rPr>
        <w:t>55.</w:t>
      </w:r>
      <w:r>
        <w:rPr>
          <w:rFonts w:hint="eastAsia" w:ascii="仿宋_GB2312" w:hAnsi="宋体" w:eastAsia="仿宋_GB2312"/>
          <w:sz w:val="30"/>
          <w:szCs w:val="30"/>
        </w:rPr>
        <w:t>蹄筋中所含的主要成分是（  A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A.胶原蛋白                        B.弹性蛋白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C.肌球蛋白                        D.肌动蛋白</w:t>
      </w:r>
    </w:p>
    <w:p>
      <w:pPr>
        <w:spacing w:line="520" w:lineRule="exact"/>
        <w:rPr>
          <w:rFonts w:ascii="仿宋_GB2312" w:eastAsia="仿宋_GB2312"/>
          <w:sz w:val="30"/>
          <w:szCs w:val="30"/>
        </w:rPr>
      </w:pPr>
      <w:r>
        <w:rPr>
          <w:rFonts w:hint="eastAsia" w:ascii="仿宋_GB2312" w:eastAsia="仿宋_GB2312"/>
          <w:sz w:val="30"/>
          <w:szCs w:val="30"/>
        </w:rPr>
        <w:t>56.</w:t>
      </w:r>
      <w:r>
        <w:rPr>
          <w:rFonts w:hint="eastAsia" w:ascii="仿宋_GB2312" w:hAnsi="宋体" w:eastAsia="仿宋_GB2312"/>
          <w:sz w:val="30"/>
          <w:szCs w:val="30"/>
        </w:rPr>
        <w:t>海参属于（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A.腔肠动物                        B.软体动物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C.环节动物                        D.棘皮动物</w:t>
      </w:r>
    </w:p>
    <w:p>
      <w:pPr>
        <w:spacing w:line="520" w:lineRule="exact"/>
        <w:rPr>
          <w:rFonts w:ascii="仿宋_GB2312" w:eastAsia="仿宋_GB2312"/>
          <w:sz w:val="30"/>
          <w:szCs w:val="30"/>
        </w:rPr>
      </w:pPr>
      <w:r>
        <w:rPr>
          <w:rFonts w:hint="eastAsia" w:ascii="仿宋_GB2312" w:eastAsia="仿宋_GB2312"/>
          <w:sz w:val="30"/>
          <w:szCs w:val="30"/>
        </w:rPr>
        <w:t>57.</w:t>
      </w:r>
      <w:r>
        <w:rPr>
          <w:rFonts w:hint="eastAsia" w:ascii="仿宋_GB2312" w:hAnsi="宋体" w:eastAsia="仿宋_GB2312"/>
          <w:sz w:val="30"/>
          <w:szCs w:val="30"/>
        </w:rPr>
        <w:t>下列鱼翅中品质最差的是（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A.背翅                            B.胸翅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C.臀翅                            D.尾翅</w:t>
      </w:r>
    </w:p>
    <w:p>
      <w:pPr>
        <w:spacing w:line="520" w:lineRule="exact"/>
        <w:rPr>
          <w:rFonts w:ascii="仿宋_GB2312" w:eastAsia="仿宋_GB2312"/>
          <w:sz w:val="30"/>
          <w:szCs w:val="30"/>
        </w:rPr>
      </w:pPr>
      <w:r>
        <w:rPr>
          <w:rFonts w:hint="eastAsia" w:ascii="仿宋_GB2312" w:eastAsia="仿宋_GB2312"/>
          <w:sz w:val="30"/>
          <w:szCs w:val="30"/>
        </w:rPr>
        <w:t>58.</w:t>
      </w:r>
      <w:r>
        <w:rPr>
          <w:rFonts w:hint="eastAsia" w:ascii="仿宋_GB2312" w:hAnsi="宋体" w:eastAsia="仿宋_GB2312"/>
          <w:sz w:val="30"/>
          <w:szCs w:val="30"/>
        </w:rPr>
        <w:t>下列肉制品中属于腌腊制品的是（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A.肉松                            B.肉脯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C.咸肉                            D.香肠</w:t>
      </w:r>
    </w:p>
    <w:p>
      <w:pPr>
        <w:spacing w:line="520" w:lineRule="exact"/>
        <w:rPr>
          <w:rFonts w:ascii="仿宋_GB2312" w:eastAsia="仿宋_GB2312"/>
          <w:sz w:val="30"/>
          <w:szCs w:val="30"/>
        </w:rPr>
      </w:pPr>
      <w:r>
        <w:rPr>
          <w:rFonts w:hint="eastAsia" w:ascii="仿宋_GB2312" w:eastAsia="仿宋_GB2312"/>
          <w:sz w:val="30"/>
          <w:szCs w:val="30"/>
        </w:rPr>
        <w:t>59.</w:t>
      </w:r>
      <w:r>
        <w:rPr>
          <w:rFonts w:hint="eastAsia" w:ascii="仿宋_GB2312" w:hAnsi="宋体" w:eastAsia="仿宋_GB2312"/>
          <w:sz w:val="30"/>
          <w:szCs w:val="30"/>
        </w:rPr>
        <w:t>咖喱粉的配料有（  B  ）多种。</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A.50                              B.20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C.30                              D.40</w:t>
      </w:r>
    </w:p>
    <w:p>
      <w:pPr>
        <w:spacing w:line="520" w:lineRule="exact"/>
        <w:rPr>
          <w:rFonts w:ascii="仿宋_GB2312" w:eastAsia="仿宋_GB2312"/>
          <w:sz w:val="30"/>
          <w:szCs w:val="30"/>
        </w:rPr>
      </w:pPr>
      <w:r>
        <w:rPr>
          <w:rFonts w:hint="eastAsia" w:ascii="仿宋_GB2312" w:eastAsia="仿宋_GB2312"/>
          <w:sz w:val="30"/>
          <w:szCs w:val="30"/>
        </w:rPr>
        <w:t>60.</w:t>
      </w:r>
      <w:r>
        <w:rPr>
          <w:rFonts w:hint="eastAsia" w:ascii="仿宋_GB2312" w:hAnsi="宋体" w:eastAsia="仿宋_GB2312"/>
          <w:sz w:val="30"/>
          <w:szCs w:val="30"/>
        </w:rPr>
        <w:t>味精在使用时必须与（  B  ）配合使用才能体现出鲜味。</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A.甜味调味料                      B.咸味调味料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C.酸味调味料                      D.香味调味料</w:t>
      </w:r>
    </w:p>
    <w:p>
      <w:pPr>
        <w:spacing w:line="520" w:lineRule="exact"/>
        <w:rPr>
          <w:rFonts w:ascii="仿宋_GB2312" w:eastAsia="仿宋_GB2312"/>
          <w:sz w:val="30"/>
          <w:szCs w:val="30"/>
        </w:rPr>
      </w:pPr>
      <w:r>
        <w:rPr>
          <w:rFonts w:hint="eastAsia" w:ascii="仿宋_GB2312" w:eastAsia="仿宋_GB2312"/>
          <w:sz w:val="30"/>
          <w:szCs w:val="30"/>
        </w:rPr>
        <w:t>61.</w:t>
      </w:r>
      <w:r>
        <w:rPr>
          <w:rFonts w:hint="eastAsia" w:ascii="仿宋_GB2312" w:hAnsi="宋体" w:eastAsia="仿宋_GB2312"/>
          <w:sz w:val="30"/>
          <w:szCs w:val="30"/>
        </w:rPr>
        <w:t>南方地区酿制黄酒的原料是（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A.大麦                            B.谷子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C.高粱                            D.糯米</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62.汤糊茸胶是按茸泥的（  D  ）特性分类出来的。</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A.浓度                            B.色泽</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C.颗粒                            D.弹性</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63.最适合加工鸡肉茸泥的补位是（  A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A.鸡里脊肉                        B.鸡大腿肉</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C.鸡脯肉                          D.鸡小腿肉</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64.调制鱼肉茸泥时，（  C  ）。</w:t>
      </w:r>
    </w:p>
    <w:p>
      <w:pPr>
        <w:spacing w:line="520" w:lineRule="exact"/>
        <w:ind w:left="450" w:hanging="450" w:hangingChars="150"/>
        <w:rPr>
          <w:rFonts w:ascii="仿宋_GB2312" w:hAnsi="宋体" w:eastAsia="仿宋_GB2312"/>
          <w:sz w:val="30"/>
          <w:szCs w:val="30"/>
        </w:rPr>
      </w:pPr>
      <w:r>
        <w:rPr>
          <w:rFonts w:hint="eastAsia" w:ascii="仿宋_GB2312" w:hAnsi="宋体" w:eastAsia="仿宋_GB2312"/>
          <w:sz w:val="30"/>
          <w:szCs w:val="30"/>
        </w:rPr>
        <w:t xml:space="preserve">   A.应先投调料后投辅料              B.辅料和调料应一起投入，快速搅拌</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C.辅料和调料应分次投入            D.必须先投盐搅拌上劲</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65.豆腐塌成泥后需要进行（  B  ）</w:t>
      </w:r>
      <w:r>
        <w:rPr>
          <w:rFonts w:hint="eastAsia" w:ascii="仿宋_GB2312" w:eastAsia="仿宋_GB2312"/>
          <w:sz w:val="30"/>
          <w:szCs w:val="30"/>
        </w:rPr>
        <w:t>,</w:t>
      </w:r>
      <w:r>
        <w:rPr>
          <w:rFonts w:hint="eastAsia" w:ascii="仿宋_GB2312" w:hAnsi="宋体" w:eastAsia="仿宋_GB2312"/>
          <w:sz w:val="30"/>
          <w:szCs w:val="30"/>
        </w:rPr>
        <w:t>然后才能调味和加工成型。</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A.蒸煮处理                        B.沥水处理</w:t>
      </w:r>
    </w:p>
    <w:p>
      <w:pPr>
        <w:spacing w:line="520" w:lineRule="exact"/>
        <w:ind w:left="450" w:hanging="450" w:hangingChars="150"/>
        <w:rPr>
          <w:rFonts w:ascii="仿宋_GB2312" w:eastAsia="仿宋_GB2312"/>
          <w:sz w:val="30"/>
          <w:szCs w:val="30"/>
        </w:rPr>
      </w:pPr>
      <w:r>
        <w:rPr>
          <w:rFonts w:hint="eastAsia" w:ascii="仿宋_GB2312" w:hAnsi="宋体" w:eastAsia="仿宋_GB2312"/>
          <w:sz w:val="30"/>
          <w:szCs w:val="30"/>
        </w:rPr>
        <w:t xml:space="preserve">   C.搅拌处理                        D.烘干处理</w:t>
      </w:r>
    </w:p>
    <w:p>
      <w:pPr>
        <w:spacing w:line="520" w:lineRule="exact"/>
        <w:rPr>
          <w:rFonts w:ascii="仿宋_GB2312" w:hAnsi="宋体" w:eastAsia="仿宋_GB2312"/>
          <w:sz w:val="30"/>
          <w:szCs w:val="30"/>
        </w:rPr>
      </w:pPr>
      <w:r>
        <w:rPr>
          <w:rFonts w:hint="eastAsia" w:ascii="仿宋_GB2312" w:hAnsi="宋体" w:eastAsia="仿宋_GB2312"/>
          <w:sz w:val="30"/>
          <w:szCs w:val="30"/>
        </w:rPr>
        <w:t>66.加工山药茸泥前应先对山药采取（  A  ）。</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A.蒸熟处理                        B.去皮处理</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C.焯水处理                        D.浸泡处理</w:t>
      </w:r>
    </w:p>
    <w:p>
      <w:pPr>
        <w:spacing w:line="520" w:lineRule="exact"/>
        <w:rPr>
          <w:rFonts w:ascii="仿宋_GB2312" w:hAnsi="宋体" w:eastAsia="仿宋_GB2312"/>
          <w:sz w:val="30"/>
          <w:szCs w:val="30"/>
        </w:rPr>
      </w:pPr>
      <w:r>
        <w:rPr>
          <w:rFonts w:hint="eastAsia" w:ascii="仿宋_GB2312" w:hAnsi="宋体" w:eastAsia="仿宋_GB2312"/>
          <w:sz w:val="30"/>
          <w:szCs w:val="30"/>
        </w:rPr>
        <w:t>67.制作酿菜时馅料的选择一般(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A.必须荤料                        B.可荤可素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C.必须素料                        D.荤素各半</w:t>
      </w:r>
    </w:p>
    <w:p>
      <w:pPr>
        <w:spacing w:line="520" w:lineRule="exact"/>
        <w:rPr>
          <w:rFonts w:ascii="仿宋_GB2312" w:hAnsi="宋体" w:eastAsia="仿宋_GB2312"/>
          <w:sz w:val="30"/>
          <w:szCs w:val="30"/>
        </w:rPr>
      </w:pPr>
      <w:r>
        <w:rPr>
          <w:rFonts w:hint="eastAsia" w:ascii="仿宋_GB2312" w:hAnsi="宋体" w:eastAsia="仿宋_GB2312"/>
          <w:sz w:val="30"/>
          <w:szCs w:val="30"/>
        </w:rPr>
        <w:t>68.夹的菜品需将外皮原料切成（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A.双圆片形                        B.单圆片形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C.夹刀片形                        D.菱形片形</w:t>
      </w:r>
    </w:p>
    <w:p>
      <w:pPr>
        <w:spacing w:line="520" w:lineRule="exact"/>
        <w:rPr>
          <w:rFonts w:ascii="仿宋_GB2312" w:hAnsi="宋体" w:eastAsia="仿宋_GB2312"/>
          <w:sz w:val="30"/>
          <w:szCs w:val="30"/>
        </w:rPr>
      </w:pPr>
      <w:r>
        <w:rPr>
          <w:rFonts w:hint="eastAsia" w:ascii="仿宋_GB2312" w:hAnsi="宋体" w:eastAsia="仿宋_GB2312"/>
          <w:sz w:val="30"/>
          <w:szCs w:val="30"/>
        </w:rPr>
        <w:t>69.镶一般是将茸胶镶在原料的（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A.内部                            B.表面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C.底面                            D.四周</w:t>
      </w:r>
    </w:p>
    <w:p>
      <w:pPr>
        <w:spacing w:line="520" w:lineRule="exact"/>
        <w:rPr>
          <w:rFonts w:ascii="仿宋_GB2312" w:hAnsi="宋体" w:eastAsia="仿宋_GB2312"/>
          <w:sz w:val="30"/>
          <w:szCs w:val="30"/>
        </w:rPr>
      </w:pPr>
      <w:r>
        <w:rPr>
          <w:rFonts w:hint="eastAsia" w:ascii="仿宋_GB2312" w:hAnsi="宋体" w:eastAsia="仿宋_GB2312"/>
          <w:sz w:val="30"/>
          <w:szCs w:val="30"/>
        </w:rPr>
        <w:t>70.白色无边的圆盘布局范围比较广，冷拼构图时的布局范围是（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A.边线以外                        B.边线以内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C.整个盘面                        D.盘面中央</w:t>
      </w:r>
    </w:p>
    <w:p>
      <w:pPr>
        <w:spacing w:line="520" w:lineRule="exact"/>
        <w:rPr>
          <w:rFonts w:ascii="仿宋_GB2312" w:hAnsi="宋体" w:eastAsia="仿宋_GB2312"/>
          <w:sz w:val="30"/>
          <w:szCs w:val="30"/>
        </w:rPr>
      </w:pPr>
      <w:r>
        <w:rPr>
          <w:rFonts w:hint="eastAsia" w:ascii="仿宋_GB2312" w:hAnsi="宋体" w:eastAsia="仿宋_GB2312"/>
          <w:sz w:val="30"/>
          <w:szCs w:val="30"/>
        </w:rPr>
        <w:t>71.造成作品单薄、不实用的原因是（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A.原料品种少                      B.原料太多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C.空白太多                        D.空白太少</w:t>
      </w:r>
    </w:p>
    <w:p>
      <w:pPr>
        <w:spacing w:line="520" w:lineRule="exact"/>
        <w:rPr>
          <w:rFonts w:ascii="仿宋_GB2312" w:hAnsi="宋体" w:eastAsia="仿宋_GB2312"/>
          <w:sz w:val="30"/>
          <w:szCs w:val="30"/>
        </w:rPr>
      </w:pPr>
      <w:r>
        <w:rPr>
          <w:rFonts w:hint="eastAsia" w:ascii="仿宋_GB2312" w:hAnsi="宋体" w:eastAsia="仿宋_GB2312"/>
          <w:sz w:val="30"/>
          <w:szCs w:val="30"/>
        </w:rPr>
        <w:t>72.同一个主题的冷拼在布局时，（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A.主体和次体之间是可以替换的      B.主体和次体之间是不可替换的</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C.是可以取消主体的                D.是可以取消次体的</w:t>
      </w:r>
    </w:p>
    <w:p>
      <w:pPr>
        <w:spacing w:line="520" w:lineRule="exact"/>
        <w:rPr>
          <w:rFonts w:ascii="仿宋_GB2312" w:hAnsi="宋体" w:eastAsia="仿宋_GB2312"/>
          <w:sz w:val="30"/>
          <w:szCs w:val="30"/>
        </w:rPr>
      </w:pPr>
      <w:r>
        <w:rPr>
          <w:rFonts w:hint="eastAsia" w:ascii="仿宋_GB2312" w:hAnsi="宋体" w:eastAsia="仿宋_GB2312"/>
          <w:sz w:val="30"/>
          <w:szCs w:val="30"/>
        </w:rPr>
        <w:t>73.色彩的合理搭配对构图的（  B  ）方面有很好的协调作用。</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A.观赏性                          B.完整性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C.食用性                          D.视觉性</w:t>
      </w:r>
    </w:p>
    <w:p>
      <w:pPr>
        <w:spacing w:line="520" w:lineRule="exact"/>
        <w:rPr>
          <w:rFonts w:ascii="仿宋_GB2312" w:hAnsi="宋体" w:eastAsia="仿宋_GB2312"/>
          <w:sz w:val="30"/>
          <w:szCs w:val="30"/>
        </w:rPr>
      </w:pPr>
      <w:r>
        <w:rPr>
          <w:rFonts w:hint="eastAsia" w:ascii="仿宋_GB2312" w:hAnsi="宋体" w:eastAsia="仿宋_GB2312"/>
          <w:sz w:val="30"/>
          <w:szCs w:val="30"/>
        </w:rPr>
        <w:t>74.任何花色菜肴的组配都是为了提高菜品的（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A.欣赏价值                        B.艺术价值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C.食用价值                        D.品牌价值</w:t>
      </w:r>
    </w:p>
    <w:p>
      <w:pPr>
        <w:spacing w:line="520" w:lineRule="exact"/>
        <w:rPr>
          <w:rFonts w:ascii="仿宋_GB2312" w:hAnsi="宋体" w:eastAsia="仿宋_GB2312"/>
          <w:sz w:val="30"/>
          <w:szCs w:val="30"/>
        </w:rPr>
      </w:pPr>
      <w:r>
        <w:rPr>
          <w:rFonts w:hint="eastAsia" w:ascii="仿宋_GB2312" w:hAnsi="宋体" w:eastAsia="仿宋_GB2312"/>
          <w:sz w:val="30"/>
          <w:szCs w:val="30"/>
        </w:rPr>
        <w:t>75.红茶入菜一般只用茶汁，绿茶入菜一般（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A.只用茶汁                        B.只用茶叶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C.茶汁、茶叶都可用                D.只用茶泥</w:t>
      </w:r>
    </w:p>
    <w:p>
      <w:pPr>
        <w:spacing w:line="520" w:lineRule="exact"/>
        <w:rPr>
          <w:rFonts w:ascii="仿宋_GB2312" w:hAnsi="宋体" w:eastAsia="仿宋_GB2312"/>
          <w:sz w:val="30"/>
          <w:szCs w:val="30"/>
        </w:rPr>
      </w:pPr>
      <w:r>
        <w:rPr>
          <w:rFonts w:hint="eastAsia" w:ascii="仿宋_GB2312" w:hAnsi="宋体" w:eastAsia="仿宋_GB2312"/>
          <w:sz w:val="30"/>
          <w:szCs w:val="30"/>
        </w:rPr>
        <w:t>76.热菜比冷菜中的鱼香味要多用（  D  ）调味料。</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A.红油                            B.甜面酱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C.豆豉                            D.豆瓣酱</w:t>
      </w:r>
    </w:p>
    <w:p>
      <w:pPr>
        <w:spacing w:line="520" w:lineRule="exact"/>
        <w:rPr>
          <w:rFonts w:ascii="仿宋_GB2312" w:hAnsi="宋体" w:eastAsia="仿宋_GB2312"/>
          <w:sz w:val="30"/>
          <w:szCs w:val="30"/>
        </w:rPr>
      </w:pPr>
      <w:r>
        <w:rPr>
          <w:rFonts w:hint="eastAsia" w:ascii="仿宋_GB2312" w:hAnsi="宋体" w:eastAsia="仿宋_GB2312"/>
          <w:sz w:val="30"/>
          <w:szCs w:val="30"/>
        </w:rPr>
        <w:t>77.蜂乳属于（  A  ）色泽的调料。</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A.白色                            B.黄色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C.橙色                            D.粉红色</w:t>
      </w:r>
    </w:p>
    <w:p>
      <w:pPr>
        <w:spacing w:line="520" w:lineRule="exact"/>
        <w:rPr>
          <w:rFonts w:ascii="仿宋_GB2312" w:hAnsi="宋体" w:eastAsia="仿宋_GB2312"/>
          <w:sz w:val="30"/>
          <w:szCs w:val="30"/>
        </w:rPr>
      </w:pPr>
      <w:r>
        <w:rPr>
          <w:rFonts w:hint="eastAsia" w:ascii="仿宋_GB2312" w:hAnsi="宋体" w:eastAsia="仿宋_GB2312"/>
          <w:sz w:val="30"/>
          <w:szCs w:val="30"/>
        </w:rPr>
        <w:t>78.拌合着色主要用于（  A  ）菜肴的调味着色。</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A.冷菜类                          B.油炸类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C.热炒类                          D.生吃类</w:t>
      </w:r>
    </w:p>
    <w:p>
      <w:pPr>
        <w:spacing w:line="520" w:lineRule="exact"/>
        <w:rPr>
          <w:rFonts w:ascii="仿宋_GB2312" w:hAnsi="宋体" w:eastAsia="仿宋_GB2312"/>
          <w:sz w:val="30"/>
          <w:szCs w:val="30"/>
        </w:rPr>
      </w:pPr>
      <w:r>
        <w:rPr>
          <w:rFonts w:hint="eastAsia" w:ascii="仿宋_GB2312" w:hAnsi="宋体" w:eastAsia="仿宋_GB2312"/>
          <w:sz w:val="30"/>
          <w:szCs w:val="30"/>
        </w:rPr>
        <w:t>79.胭脂红有（  C  ）的特性。</w:t>
      </w:r>
    </w:p>
    <w:p>
      <w:pPr>
        <w:spacing w:line="52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A.不溶于水                        B.溶于油 </w:t>
      </w:r>
    </w:p>
    <w:p>
      <w:pPr>
        <w:spacing w:line="520" w:lineRule="exact"/>
        <w:ind w:firstLine="600" w:firstLineChars="200"/>
        <w:rPr>
          <w:rFonts w:ascii="仿宋_GB2312" w:hAnsi="宋体" w:eastAsia="仿宋_GB2312"/>
          <w:sz w:val="30"/>
          <w:szCs w:val="30"/>
        </w:rPr>
      </w:pPr>
      <w:r>
        <w:rPr>
          <w:rFonts w:hint="eastAsia" w:ascii="仿宋_GB2312" w:hAnsi="宋体" w:eastAsia="仿宋_GB2312"/>
          <w:sz w:val="30"/>
          <w:szCs w:val="30"/>
        </w:rPr>
        <w:t>C.不溶于油                        D.不溶于酒精</w:t>
      </w:r>
    </w:p>
    <w:p>
      <w:pPr>
        <w:spacing w:line="520" w:lineRule="exact"/>
        <w:rPr>
          <w:rFonts w:ascii="仿宋_GB2312" w:hAnsi="宋体" w:eastAsia="仿宋_GB2312"/>
          <w:sz w:val="30"/>
          <w:szCs w:val="30"/>
        </w:rPr>
      </w:pPr>
      <w:r>
        <w:rPr>
          <w:rFonts w:hint="eastAsia" w:ascii="仿宋_GB2312" w:hAnsi="宋体" w:eastAsia="仿宋_GB2312"/>
          <w:sz w:val="30"/>
          <w:szCs w:val="30"/>
        </w:rPr>
        <w:t>80.酸辣海参的泡椒一般在（  A  ）加入。</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A.炝锅时                          B.烧制的过程中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C.出锅前                          D.出锅后</w:t>
      </w:r>
    </w:p>
    <w:p>
      <w:pPr>
        <w:spacing w:line="520" w:lineRule="exact"/>
        <w:rPr>
          <w:rFonts w:ascii="仿宋_GB2312" w:hAnsi="宋体" w:eastAsia="仿宋_GB2312"/>
          <w:sz w:val="30"/>
          <w:szCs w:val="30"/>
        </w:rPr>
      </w:pPr>
      <w:r>
        <w:rPr>
          <w:rFonts w:hint="eastAsia" w:ascii="仿宋_GB2312" w:hAnsi="宋体" w:eastAsia="仿宋_GB2312"/>
          <w:sz w:val="30"/>
          <w:szCs w:val="30"/>
        </w:rPr>
        <w:t>81.鱼香肚片常用的配料是（  A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A.青蒜                            B.笋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C.木耳                            D.洋葱</w:t>
      </w:r>
    </w:p>
    <w:p>
      <w:pPr>
        <w:spacing w:line="520" w:lineRule="exact"/>
        <w:rPr>
          <w:rFonts w:ascii="仿宋_GB2312" w:hAnsi="宋体" w:eastAsia="仿宋_GB2312"/>
          <w:sz w:val="30"/>
          <w:szCs w:val="30"/>
        </w:rPr>
      </w:pPr>
      <w:r>
        <w:rPr>
          <w:rFonts w:hint="eastAsia" w:ascii="仿宋_GB2312" w:hAnsi="宋体" w:eastAsia="仿宋_GB2312"/>
          <w:sz w:val="30"/>
          <w:szCs w:val="30"/>
        </w:rPr>
        <w:t>82.怪味鸡中使用的葱、姜一般应加工成（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A.葱丝、姜末                      B.葱、姜末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C.葱末、姜丝                      D.葱、姜丝</w:t>
      </w:r>
    </w:p>
    <w:p>
      <w:pPr>
        <w:spacing w:line="520" w:lineRule="exact"/>
        <w:rPr>
          <w:rFonts w:ascii="仿宋_GB2312" w:hAnsi="宋体" w:eastAsia="仿宋_GB2312"/>
          <w:sz w:val="30"/>
          <w:szCs w:val="30"/>
        </w:rPr>
      </w:pPr>
      <w:r>
        <w:rPr>
          <w:rFonts w:hint="eastAsia" w:ascii="仿宋_GB2312" w:hAnsi="宋体" w:eastAsia="仿宋_GB2312"/>
          <w:sz w:val="30"/>
          <w:szCs w:val="30"/>
        </w:rPr>
        <w:t>83.调制椒麻汁时要用到椒麻糊，椒麻糊中的花椒和葱的比例是(  A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A.3:2                             B.2:3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C.1:2                             D.2:1</w:t>
      </w:r>
    </w:p>
    <w:p>
      <w:pPr>
        <w:spacing w:line="520" w:lineRule="exact"/>
        <w:rPr>
          <w:rFonts w:ascii="仿宋_GB2312" w:hAnsi="宋体" w:eastAsia="仿宋_GB2312"/>
          <w:sz w:val="30"/>
          <w:szCs w:val="30"/>
        </w:rPr>
      </w:pPr>
      <w:r>
        <w:rPr>
          <w:rFonts w:hint="eastAsia" w:ascii="仿宋_GB2312" w:hAnsi="宋体" w:eastAsia="仿宋_GB2312"/>
          <w:sz w:val="30"/>
          <w:szCs w:val="30"/>
        </w:rPr>
        <w:t>84.调制牛柳汁时要先煮香料汁，一般大火煮5min后应改用小火煮（  C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A.20min                           B.30min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C.45min                           D.55min</w:t>
      </w:r>
    </w:p>
    <w:p>
      <w:pPr>
        <w:spacing w:line="520" w:lineRule="exact"/>
        <w:rPr>
          <w:rFonts w:ascii="仿宋_GB2312" w:hAnsi="宋体" w:eastAsia="仿宋_GB2312"/>
          <w:sz w:val="30"/>
          <w:szCs w:val="30"/>
        </w:rPr>
      </w:pPr>
      <w:r>
        <w:rPr>
          <w:rFonts w:hint="eastAsia" w:ascii="仿宋_GB2312" w:hAnsi="宋体" w:eastAsia="仿宋_GB2312"/>
          <w:sz w:val="30"/>
          <w:szCs w:val="30"/>
        </w:rPr>
        <w:t>85.四川红汤火锅中的辣椒以（  B  ）为主。</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A.干辣椒                          B.鱼泡椒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C.辣椒酱                          D.尖辣椒</w:t>
      </w:r>
    </w:p>
    <w:p>
      <w:pPr>
        <w:spacing w:line="520" w:lineRule="exact"/>
        <w:rPr>
          <w:rFonts w:ascii="仿宋_GB2312" w:hAnsi="宋体" w:eastAsia="仿宋_GB2312"/>
          <w:sz w:val="30"/>
          <w:szCs w:val="30"/>
        </w:rPr>
      </w:pPr>
      <w:r>
        <w:rPr>
          <w:rFonts w:hint="eastAsia" w:ascii="仿宋_GB2312" w:hAnsi="宋体" w:eastAsia="仿宋_GB2312"/>
          <w:sz w:val="30"/>
          <w:szCs w:val="30"/>
        </w:rPr>
        <w:t>86.原料在刚入锅时，原料表层呈味物质的浓度（  A  ）水中呈味物质的浓度。</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A.大于                            B.小于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C.等于                            D.接近</w:t>
      </w:r>
    </w:p>
    <w:p>
      <w:pPr>
        <w:spacing w:line="520" w:lineRule="exact"/>
        <w:rPr>
          <w:rFonts w:ascii="仿宋_GB2312" w:hAnsi="宋体" w:eastAsia="仿宋_GB2312"/>
          <w:sz w:val="30"/>
          <w:szCs w:val="30"/>
        </w:rPr>
      </w:pPr>
      <w:r>
        <w:rPr>
          <w:rFonts w:hint="eastAsia" w:ascii="仿宋_GB2312" w:hAnsi="宋体" w:eastAsia="仿宋_GB2312"/>
          <w:sz w:val="30"/>
          <w:szCs w:val="30"/>
        </w:rPr>
        <w:t>87.吊汤所用的原料一般在吊汤（  A  ）投放比较好。</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A.加热开始时                      B.汤汁沸腾时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C.汤汁浓稠时                      D.汤汁加热前</w:t>
      </w:r>
    </w:p>
    <w:p>
      <w:pPr>
        <w:spacing w:line="520" w:lineRule="exact"/>
        <w:rPr>
          <w:rFonts w:ascii="仿宋_GB2312" w:hAnsi="宋体" w:eastAsia="仿宋_GB2312"/>
          <w:sz w:val="30"/>
          <w:szCs w:val="30"/>
        </w:rPr>
      </w:pPr>
      <w:r>
        <w:rPr>
          <w:rFonts w:hint="eastAsia" w:ascii="仿宋_GB2312" w:hAnsi="宋体" w:eastAsia="仿宋_GB2312"/>
          <w:sz w:val="30"/>
          <w:szCs w:val="30"/>
        </w:rPr>
        <w:t>88.冻一般分为自然凝固和（  B  ）。</w:t>
      </w:r>
    </w:p>
    <w:p>
      <w:pPr>
        <w:spacing w:line="52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A.冷冻凝固                        B.凝固剂凝固 </w:t>
      </w:r>
    </w:p>
    <w:p>
      <w:pPr>
        <w:spacing w:line="520" w:lineRule="exact"/>
        <w:ind w:firstLine="600" w:firstLineChars="200"/>
        <w:rPr>
          <w:rFonts w:ascii="仿宋_GB2312" w:hAnsi="宋体" w:eastAsia="仿宋_GB2312"/>
          <w:sz w:val="30"/>
          <w:szCs w:val="30"/>
        </w:rPr>
      </w:pPr>
      <w:r>
        <w:rPr>
          <w:rFonts w:hint="eastAsia" w:ascii="仿宋_GB2312" w:hAnsi="宋体" w:eastAsia="仿宋_GB2312"/>
          <w:sz w:val="30"/>
          <w:szCs w:val="30"/>
        </w:rPr>
        <w:t>C.添加剂凝固                      D.人工凝固</w:t>
      </w:r>
    </w:p>
    <w:p>
      <w:pPr>
        <w:spacing w:line="520" w:lineRule="exact"/>
        <w:rPr>
          <w:rFonts w:ascii="仿宋_GB2312" w:hAnsi="宋体" w:eastAsia="仿宋_GB2312"/>
          <w:sz w:val="30"/>
          <w:szCs w:val="30"/>
        </w:rPr>
      </w:pPr>
      <w:r>
        <w:rPr>
          <w:rFonts w:hint="eastAsia" w:ascii="仿宋_GB2312" w:hAnsi="宋体" w:eastAsia="仿宋_GB2312"/>
          <w:sz w:val="30"/>
          <w:szCs w:val="30"/>
        </w:rPr>
        <w:t>89.嫩质茸胶是在软质茸胶的基础上加入（  B  ）形成的。</w:t>
      </w:r>
    </w:p>
    <w:p>
      <w:pPr>
        <w:spacing w:line="52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A.蛋黄                            B.打发的蛋清  </w:t>
      </w:r>
    </w:p>
    <w:p>
      <w:pPr>
        <w:spacing w:line="520" w:lineRule="exact"/>
        <w:ind w:firstLine="600" w:firstLineChars="200"/>
        <w:rPr>
          <w:rFonts w:ascii="仿宋_GB2312" w:hAnsi="宋体" w:eastAsia="仿宋_GB2312"/>
          <w:sz w:val="30"/>
          <w:szCs w:val="30"/>
        </w:rPr>
      </w:pPr>
      <w:r>
        <w:rPr>
          <w:rFonts w:hint="eastAsia" w:ascii="仿宋_GB2312" w:hAnsi="宋体" w:eastAsia="仿宋_GB2312"/>
          <w:sz w:val="30"/>
          <w:szCs w:val="30"/>
        </w:rPr>
        <w:t>C.肥膘                            D.高汤</w:t>
      </w:r>
    </w:p>
    <w:p>
      <w:pPr>
        <w:spacing w:line="520" w:lineRule="exact"/>
        <w:rPr>
          <w:rFonts w:ascii="仿宋_GB2312" w:hAnsi="宋体" w:eastAsia="仿宋_GB2312"/>
          <w:sz w:val="30"/>
          <w:szCs w:val="30"/>
        </w:rPr>
      </w:pPr>
      <w:r>
        <w:rPr>
          <w:rFonts w:hint="eastAsia" w:ascii="仿宋_GB2312" w:hAnsi="宋体" w:eastAsia="仿宋_GB2312"/>
          <w:sz w:val="30"/>
          <w:szCs w:val="30"/>
        </w:rPr>
        <w:t>90.调制鱼肉茸胶时，投料的次序是（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A.先加盐后加水                    B.先加水后加盐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C.盐、水同时加入                  D.先加盐再加水，最后再加盐</w:t>
      </w:r>
    </w:p>
    <w:p>
      <w:pPr>
        <w:spacing w:line="520" w:lineRule="exact"/>
        <w:rPr>
          <w:rFonts w:ascii="仿宋_GB2312" w:hAnsi="宋体" w:eastAsia="仿宋_GB2312"/>
          <w:sz w:val="30"/>
          <w:szCs w:val="30"/>
        </w:rPr>
      </w:pPr>
      <w:r>
        <w:rPr>
          <w:rFonts w:hint="eastAsia" w:ascii="仿宋_GB2312" w:hAnsi="宋体" w:eastAsia="仿宋_GB2312"/>
          <w:sz w:val="30"/>
          <w:szCs w:val="30"/>
        </w:rPr>
        <w:t>91.制作茸胶时，一般畜肉原料吸水率是（  A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A.60%～80%                         B.100%～120%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C.30%～5%                          D.40%～100%</w:t>
      </w:r>
    </w:p>
    <w:p>
      <w:pPr>
        <w:spacing w:line="520" w:lineRule="exact"/>
        <w:rPr>
          <w:rFonts w:ascii="仿宋_GB2312" w:hAnsi="宋体" w:eastAsia="仿宋_GB2312"/>
          <w:sz w:val="30"/>
          <w:szCs w:val="30"/>
        </w:rPr>
      </w:pPr>
      <w:r>
        <w:rPr>
          <w:rFonts w:hint="eastAsia" w:ascii="仿宋_GB2312" w:hAnsi="宋体" w:eastAsia="仿宋_GB2312"/>
          <w:sz w:val="30"/>
          <w:szCs w:val="30"/>
        </w:rPr>
        <w:t>92.芙蓉鱼片在添加鸡蛋时应将打发的鸡蛋清（  C  ）加入。</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A.一次性                           B.分2次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C.分3次                           D.分5次</w:t>
      </w:r>
    </w:p>
    <w:p>
      <w:pPr>
        <w:spacing w:line="520" w:lineRule="exact"/>
        <w:rPr>
          <w:rFonts w:ascii="仿宋_GB2312" w:hAnsi="宋体" w:eastAsia="仿宋_GB2312"/>
          <w:sz w:val="30"/>
          <w:szCs w:val="30"/>
        </w:rPr>
      </w:pPr>
      <w:r>
        <w:rPr>
          <w:rFonts w:hint="eastAsia" w:ascii="仿宋_GB2312" w:hAnsi="宋体" w:eastAsia="仿宋_GB2312"/>
          <w:sz w:val="30"/>
          <w:szCs w:val="30"/>
        </w:rPr>
        <w:t>93.滑炒鸡线在调制时不宜添加的调味原料是（  D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A.酒                               B.盐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C.葱汁                             D.姜末</w:t>
      </w:r>
    </w:p>
    <w:p>
      <w:pPr>
        <w:spacing w:line="520" w:lineRule="exact"/>
        <w:rPr>
          <w:rFonts w:ascii="仿宋_GB2312" w:hAnsi="宋体" w:eastAsia="仿宋_GB2312"/>
          <w:sz w:val="30"/>
          <w:szCs w:val="30"/>
        </w:rPr>
      </w:pPr>
      <w:r>
        <w:rPr>
          <w:rFonts w:hint="eastAsia" w:ascii="仿宋_GB2312" w:hAnsi="宋体" w:eastAsia="仿宋_GB2312"/>
          <w:sz w:val="30"/>
          <w:szCs w:val="30"/>
        </w:rPr>
        <w:t>94.用蒸制法制作皮肉冻时，水与肉皮的比例是（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A.1：1                             B.3：1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C.5：1                             D.8：1</w:t>
      </w:r>
    </w:p>
    <w:p>
      <w:pPr>
        <w:spacing w:line="520" w:lineRule="exact"/>
        <w:rPr>
          <w:rFonts w:ascii="仿宋_GB2312" w:hAnsi="宋体" w:eastAsia="仿宋_GB2312"/>
          <w:sz w:val="30"/>
          <w:szCs w:val="30"/>
        </w:rPr>
      </w:pPr>
      <w:r>
        <w:rPr>
          <w:rFonts w:hint="eastAsia" w:ascii="仿宋_GB2312" w:hAnsi="宋体" w:eastAsia="仿宋_GB2312"/>
          <w:sz w:val="30"/>
          <w:szCs w:val="30"/>
        </w:rPr>
        <w:t>95.制作琼脂冻时水与琼脂的比例是（  B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 xml:space="preserve">A.1：2.5                           B.1：3.25  </w:t>
      </w:r>
    </w:p>
    <w:p>
      <w:pPr>
        <w:spacing w:line="520" w:lineRule="exact"/>
        <w:ind w:firstLine="513" w:firstLineChars="171"/>
        <w:rPr>
          <w:rFonts w:ascii="仿宋_GB2312" w:hAnsi="宋体" w:eastAsia="仿宋_GB2312"/>
          <w:sz w:val="30"/>
          <w:szCs w:val="30"/>
        </w:rPr>
      </w:pPr>
      <w:r>
        <w:rPr>
          <w:rFonts w:hint="eastAsia" w:ascii="仿宋_GB2312" w:hAnsi="宋体" w:eastAsia="仿宋_GB2312"/>
          <w:sz w:val="30"/>
          <w:szCs w:val="30"/>
        </w:rPr>
        <w:t>C.1：5.50                          D.1：6.25</w:t>
      </w:r>
    </w:p>
    <w:p>
      <w:pPr>
        <w:spacing w:line="520" w:lineRule="exact"/>
        <w:rPr>
          <w:rFonts w:ascii="仿宋_GB2312" w:eastAsia="仿宋_GB2312"/>
          <w:sz w:val="30"/>
          <w:szCs w:val="30"/>
        </w:rPr>
      </w:pPr>
      <w:r>
        <w:rPr>
          <w:rFonts w:hint="eastAsia" w:ascii="仿宋_GB2312" w:hAnsi="宋体" w:eastAsia="仿宋_GB2312"/>
          <w:sz w:val="30"/>
          <w:szCs w:val="30"/>
        </w:rPr>
        <w:t>96.顾客对宴席的（  B  ）也是宴席组配时应该考虑的方面。</w:t>
      </w:r>
    </w:p>
    <w:p>
      <w:pPr>
        <w:spacing w:line="520" w:lineRule="exact"/>
        <w:rPr>
          <w:rFonts w:ascii="仿宋_GB2312" w:hAnsi="宋体" w:eastAsia="仿宋_GB2312"/>
          <w:sz w:val="30"/>
          <w:szCs w:val="30"/>
        </w:rPr>
      </w:pPr>
      <w:r>
        <w:rPr>
          <w:rFonts w:hint="eastAsia" w:ascii="仿宋_GB2312" w:hAnsi="宋体" w:eastAsia="仿宋_GB2312"/>
          <w:sz w:val="30"/>
          <w:szCs w:val="30"/>
        </w:rPr>
        <w:t xml:space="preserve">   A.心理需求                        B.环境需求     </w:t>
      </w:r>
    </w:p>
    <w:p>
      <w:pPr>
        <w:spacing w:line="520" w:lineRule="exact"/>
        <w:rPr>
          <w:rFonts w:ascii="仿宋_GB2312" w:eastAsia="仿宋_GB2312"/>
          <w:sz w:val="30"/>
          <w:szCs w:val="30"/>
        </w:rPr>
      </w:pPr>
      <w:r>
        <w:rPr>
          <w:rFonts w:hint="eastAsia" w:ascii="仿宋_GB2312" w:hAnsi="宋体" w:eastAsia="仿宋_GB2312"/>
          <w:sz w:val="30"/>
          <w:szCs w:val="30"/>
        </w:rPr>
        <w:t xml:space="preserve">   C.卫生需求                         D.审美需求</w:t>
      </w:r>
    </w:p>
    <w:p>
      <w:pPr>
        <w:spacing w:line="520" w:lineRule="exact"/>
        <w:rPr>
          <w:rFonts w:ascii="仿宋_GB2312" w:eastAsia="仿宋_GB2312"/>
          <w:sz w:val="30"/>
          <w:szCs w:val="30"/>
        </w:rPr>
      </w:pPr>
      <w:r>
        <w:rPr>
          <w:rFonts w:hint="eastAsia" w:ascii="仿宋_GB2312" w:hAnsi="宋体" w:eastAsia="仿宋_GB2312"/>
          <w:sz w:val="30"/>
          <w:szCs w:val="30"/>
        </w:rPr>
        <w:t>97.宴席中每盘菜的量与菜肴品种数量的关系是（  A  ）。</w:t>
      </w:r>
    </w:p>
    <w:p>
      <w:pPr>
        <w:spacing w:line="520" w:lineRule="exact"/>
        <w:rPr>
          <w:rFonts w:ascii="仿宋_GB2312" w:eastAsia="仿宋_GB2312"/>
          <w:sz w:val="30"/>
          <w:szCs w:val="30"/>
        </w:rPr>
      </w:pPr>
      <w:r>
        <w:rPr>
          <w:rFonts w:hint="eastAsia" w:ascii="仿宋_GB2312" w:hAnsi="宋体" w:eastAsia="仿宋_GB2312"/>
          <w:sz w:val="30"/>
          <w:szCs w:val="30"/>
        </w:rPr>
        <w:t xml:space="preserve">   A.成反比                           B.成正比</w:t>
      </w:r>
    </w:p>
    <w:p>
      <w:pPr>
        <w:spacing w:line="520" w:lineRule="exact"/>
        <w:rPr>
          <w:rFonts w:ascii="仿宋_GB2312" w:eastAsia="仿宋_GB2312"/>
          <w:sz w:val="30"/>
          <w:szCs w:val="30"/>
        </w:rPr>
      </w:pPr>
      <w:r>
        <w:rPr>
          <w:rFonts w:hint="eastAsia" w:ascii="仿宋_GB2312" w:hAnsi="宋体" w:eastAsia="仿宋_GB2312"/>
          <w:sz w:val="30"/>
          <w:szCs w:val="30"/>
        </w:rPr>
        <w:t xml:space="preserve">   C.基本相等                         D.没有直接关系</w:t>
      </w:r>
    </w:p>
    <w:p>
      <w:pPr>
        <w:spacing w:line="520" w:lineRule="exact"/>
        <w:rPr>
          <w:rFonts w:ascii="仿宋_GB2312" w:eastAsia="仿宋_GB2312" w:cs="宋体"/>
          <w:sz w:val="30"/>
          <w:szCs w:val="30"/>
        </w:rPr>
      </w:pPr>
      <w:r>
        <w:rPr>
          <w:rFonts w:hint="eastAsia" w:ascii="仿宋_GB2312" w:hAnsi="宋体" w:eastAsia="仿宋_GB2312" w:cs="宋体"/>
          <w:sz w:val="30"/>
          <w:szCs w:val="30"/>
        </w:rPr>
        <w:t>98.糖液的拔丝温度是（  B  ）。</w:t>
      </w:r>
    </w:p>
    <w:p>
      <w:pPr>
        <w:spacing w:line="520" w:lineRule="exact"/>
        <w:rPr>
          <w:rFonts w:ascii="仿宋_GB2312" w:eastAsia="仿宋_GB2312" w:cs="宋体"/>
          <w:sz w:val="30"/>
          <w:szCs w:val="30"/>
        </w:rPr>
      </w:pPr>
      <w:r>
        <w:rPr>
          <w:rFonts w:hint="eastAsia" w:ascii="仿宋_GB2312" w:hAnsi="宋体" w:eastAsia="仿宋_GB2312" w:cs="宋体"/>
          <w:sz w:val="30"/>
          <w:szCs w:val="30"/>
        </w:rPr>
        <w:t xml:space="preserve">   A.150℃                            B.160℃</w:t>
      </w:r>
    </w:p>
    <w:p>
      <w:pPr>
        <w:spacing w:line="520" w:lineRule="exact"/>
        <w:rPr>
          <w:rFonts w:ascii="仿宋_GB2312" w:eastAsia="仿宋_GB2312" w:cs="宋体"/>
          <w:sz w:val="30"/>
          <w:szCs w:val="30"/>
        </w:rPr>
      </w:pPr>
      <w:r>
        <w:rPr>
          <w:rFonts w:hint="eastAsia" w:ascii="仿宋_GB2312" w:hAnsi="宋体" w:eastAsia="仿宋_GB2312" w:cs="宋体"/>
          <w:sz w:val="30"/>
          <w:szCs w:val="30"/>
        </w:rPr>
        <w:t xml:space="preserve">   C.180℃                            D.190℃</w:t>
      </w:r>
    </w:p>
    <w:p>
      <w:pPr>
        <w:spacing w:line="520" w:lineRule="exact"/>
        <w:rPr>
          <w:rFonts w:ascii="仿宋_GB2312" w:eastAsia="仿宋_GB2312" w:cs="宋体"/>
          <w:sz w:val="30"/>
          <w:szCs w:val="30"/>
        </w:rPr>
      </w:pPr>
      <w:r>
        <w:rPr>
          <w:rFonts w:hint="eastAsia" w:ascii="仿宋_GB2312" w:hAnsi="宋体" w:eastAsia="仿宋_GB2312" w:cs="宋体"/>
          <w:sz w:val="30"/>
          <w:szCs w:val="30"/>
        </w:rPr>
        <w:t>99.需要运用大翻锅技法是（  B  ）。</w:t>
      </w:r>
    </w:p>
    <w:p>
      <w:pPr>
        <w:spacing w:line="520" w:lineRule="exact"/>
        <w:rPr>
          <w:rFonts w:ascii="仿宋_GB2312" w:eastAsia="仿宋_GB2312" w:cs="宋体"/>
          <w:sz w:val="30"/>
          <w:szCs w:val="30"/>
        </w:rPr>
      </w:pPr>
      <w:r>
        <w:rPr>
          <w:rFonts w:hint="eastAsia" w:ascii="仿宋_GB2312" w:hAnsi="宋体" w:eastAsia="仿宋_GB2312" w:cs="宋体"/>
          <w:sz w:val="30"/>
          <w:szCs w:val="30"/>
        </w:rPr>
        <w:t xml:space="preserve">   A.翻扒                             B.烧扒</w:t>
      </w:r>
    </w:p>
    <w:p>
      <w:pPr>
        <w:spacing w:line="520" w:lineRule="exact"/>
        <w:rPr>
          <w:rFonts w:ascii="仿宋_GB2312" w:eastAsia="仿宋_GB2312" w:cs="宋体"/>
          <w:sz w:val="30"/>
          <w:szCs w:val="30"/>
        </w:rPr>
      </w:pPr>
      <w:r>
        <w:rPr>
          <w:rFonts w:hint="eastAsia" w:ascii="仿宋_GB2312" w:hAnsi="宋体" w:eastAsia="仿宋_GB2312" w:cs="宋体"/>
          <w:sz w:val="30"/>
          <w:szCs w:val="30"/>
        </w:rPr>
        <w:t xml:space="preserve">   C.蒸扒                             D.炒扒</w:t>
      </w:r>
    </w:p>
    <w:p>
      <w:pPr>
        <w:spacing w:line="520" w:lineRule="exact"/>
        <w:rPr>
          <w:rFonts w:ascii="仿宋_GB2312" w:eastAsia="仿宋_GB2312" w:cs="宋体"/>
          <w:sz w:val="30"/>
          <w:szCs w:val="30"/>
        </w:rPr>
      </w:pPr>
      <w:r>
        <w:rPr>
          <w:rFonts w:hint="eastAsia" w:ascii="仿宋_GB2312" w:hAnsi="宋体" w:eastAsia="仿宋_GB2312" w:cs="宋体"/>
          <w:sz w:val="30"/>
          <w:szCs w:val="30"/>
        </w:rPr>
        <w:t>100.熏是利用（  D  ）使原料成熟的一种加工方法。</w:t>
      </w:r>
    </w:p>
    <w:p>
      <w:pPr>
        <w:spacing w:line="520" w:lineRule="exact"/>
        <w:rPr>
          <w:rFonts w:ascii="仿宋_GB2312" w:eastAsia="仿宋_GB2312" w:cs="宋体"/>
          <w:sz w:val="30"/>
          <w:szCs w:val="30"/>
        </w:rPr>
      </w:pPr>
      <w:r>
        <w:rPr>
          <w:rFonts w:hint="eastAsia" w:ascii="仿宋_GB2312" w:hAnsi="宋体" w:eastAsia="仿宋_GB2312" w:cs="宋体"/>
          <w:sz w:val="30"/>
          <w:szCs w:val="30"/>
        </w:rPr>
        <w:t xml:space="preserve">   A.烟                               B.水蒸气</w:t>
      </w:r>
    </w:p>
    <w:p>
      <w:pPr>
        <w:spacing w:line="520" w:lineRule="exact"/>
        <w:rPr>
          <w:rFonts w:ascii="仿宋_GB2312" w:eastAsia="仿宋_GB2312" w:cs="宋体"/>
          <w:spacing w:val="-20"/>
          <w:sz w:val="30"/>
          <w:szCs w:val="30"/>
        </w:rPr>
      </w:pPr>
      <w:r>
        <w:rPr>
          <w:rFonts w:hint="eastAsia" w:ascii="仿宋_GB2312" w:hAnsi="宋体" w:eastAsia="仿宋_GB2312" w:cs="宋体"/>
          <w:sz w:val="30"/>
          <w:szCs w:val="30"/>
        </w:rPr>
        <w:t xml:space="preserve">   C.热空气                           </w:t>
      </w:r>
      <w:r>
        <w:rPr>
          <w:rFonts w:hint="eastAsia" w:ascii="仿宋_GB2312" w:hAnsi="宋体" w:eastAsia="仿宋_GB2312" w:cs="宋体"/>
          <w:spacing w:val="-20"/>
          <w:sz w:val="30"/>
          <w:szCs w:val="30"/>
        </w:rPr>
        <w:t>D.水蒸气与热空气混合</w:t>
      </w:r>
    </w:p>
    <w:p>
      <w:pPr>
        <w:snapToGrid w:val="0"/>
        <w:spacing w:line="560" w:lineRule="exact"/>
        <w:rPr>
          <w:rFonts w:ascii="仿宋_GB2312" w:eastAsia="仿宋_GB2312"/>
          <w:sz w:val="30"/>
          <w:szCs w:val="30"/>
        </w:rPr>
      </w:pPr>
    </w:p>
    <w:p>
      <w:pPr>
        <w:snapToGrid w:val="0"/>
        <w:spacing w:line="560" w:lineRule="exact"/>
        <w:ind w:firstLine="570"/>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533D5E"/>
    <w:multiLevelType w:val="singleLevel"/>
    <w:tmpl w:val="91533D5E"/>
    <w:lvl w:ilvl="0" w:tentative="0">
      <w:start w:val="2"/>
      <w:numFmt w:val="chineseCounting"/>
      <w:suff w:val="nothing"/>
      <w:lvlText w:val="%1、"/>
      <w:lvlJc w:val="left"/>
      <w:rPr>
        <w:rFonts w:hint="eastAsia"/>
      </w:rPr>
    </w:lvl>
  </w:abstractNum>
  <w:abstractNum w:abstractNumId="1">
    <w:nsid w:val="5D862F18"/>
    <w:multiLevelType w:val="multilevel"/>
    <w:tmpl w:val="5D862F18"/>
    <w:lvl w:ilvl="0" w:tentative="0">
      <w:start w:val="1"/>
      <w:numFmt w:val="decimalEnclosedCircle"/>
      <w:lvlText w:val="%1"/>
      <w:lvlJc w:val="left"/>
      <w:pPr>
        <w:ind w:left="960" w:hanging="36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2754A"/>
    <w:rsid w:val="00040DD8"/>
    <w:rsid w:val="00045624"/>
    <w:rsid w:val="00080B35"/>
    <w:rsid w:val="000C647D"/>
    <w:rsid w:val="000C71CB"/>
    <w:rsid w:val="000F142A"/>
    <w:rsid w:val="001152B1"/>
    <w:rsid w:val="00120C1D"/>
    <w:rsid w:val="00132817"/>
    <w:rsid w:val="001744E4"/>
    <w:rsid w:val="00194B2C"/>
    <w:rsid w:val="001D59E6"/>
    <w:rsid w:val="00200210"/>
    <w:rsid w:val="002448EE"/>
    <w:rsid w:val="00260A93"/>
    <w:rsid w:val="002A5F7E"/>
    <w:rsid w:val="002F1DF2"/>
    <w:rsid w:val="003078E3"/>
    <w:rsid w:val="00325EA0"/>
    <w:rsid w:val="003300B1"/>
    <w:rsid w:val="00347370"/>
    <w:rsid w:val="00361D28"/>
    <w:rsid w:val="00386BD4"/>
    <w:rsid w:val="003D3613"/>
    <w:rsid w:val="003E0014"/>
    <w:rsid w:val="003E0B80"/>
    <w:rsid w:val="003F0756"/>
    <w:rsid w:val="003F4AF6"/>
    <w:rsid w:val="003F7FD8"/>
    <w:rsid w:val="004036D8"/>
    <w:rsid w:val="00460ACA"/>
    <w:rsid w:val="0047243D"/>
    <w:rsid w:val="004D369F"/>
    <w:rsid w:val="004E0F22"/>
    <w:rsid w:val="004F50D0"/>
    <w:rsid w:val="005441E0"/>
    <w:rsid w:val="005523C2"/>
    <w:rsid w:val="00570D0E"/>
    <w:rsid w:val="005A19E6"/>
    <w:rsid w:val="005E7474"/>
    <w:rsid w:val="0060790F"/>
    <w:rsid w:val="00635309"/>
    <w:rsid w:val="00653278"/>
    <w:rsid w:val="00694E71"/>
    <w:rsid w:val="006A008E"/>
    <w:rsid w:val="006B71F9"/>
    <w:rsid w:val="006C31A7"/>
    <w:rsid w:val="006E1819"/>
    <w:rsid w:val="007054C5"/>
    <w:rsid w:val="00711EE7"/>
    <w:rsid w:val="00715395"/>
    <w:rsid w:val="0075777E"/>
    <w:rsid w:val="00776A5C"/>
    <w:rsid w:val="0077705E"/>
    <w:rsid w:val="00784316"/>
    <w:rsid w:val="007B002F"/>
    <w:rsid w:val="00805D14"/>
    <w:rsid w:val="00832B7A"/>
    <w:rsid w:val="0083648F"/>
    <w:rsid w:val="00844BE1"/>
    <w:rsid w:val="00854F44"/>
    <w:rsid w:val="00862E15"/>
    <w:rsid w:val="00867AE0"/>
    <w:rsid w:val="0087255A"/>
    <w:rsid w:val="00874E52"/>
    <w:rsid w:val="008937F1"/>
    <w:rsid w:val="008A4B9B"/>
    <w:rsid w:val="008C6728"/>
    <w:rsid w:val="008D065B"/>
    <w:rsid w:val="00903CD6"/>
    <w:rsid w:val="00917292"/>
    <w:rsid w:val="0095139A"/>
    <w:rsid w:val="00953AF1"/>
    <w:rsid w:val="00956C26"/>
    <w:rsid w:val="00981FA8"/>
    <w:rsid w:val="009B48B9"/>
    <w:rsid w:val="009B6B06"/>
    <w:rsid w:val="009E1D87"/>
    <w:rsid w:val="00A36939"/>
    <w:rsid w:val="00A55C0F"/>
    <w:rsid w:val="00A63014"/>
    <w:rsid w:val="00A86332"/>
    <w:rsid w:val="00A94FDC"/>
    <w:rsid w:val="00AF0A08"/>
    <w:rsid w:val="00B13317"/>
    <w:rsid w:val="00B148A0"/>
    <w:rsid w:val="00B3245D"/>
    <w:rsid w:val="00B344AA"/>
    <w:rsid w:val="00B34584"/>
    <w:rsid w:val="00B35BE7"/>
    <w:rsid w:val="00B40491"/>
    <w:rsid w:val="00B42E1D"/>
    <w:rsid w:val="00B43C6F"/>
    <w:rsid w:val="00B650C3"/>
    <w:rsid w:val="00BA53F5"/>
    <w:rsid w:val="00BB47C2"/>
    <w:rsid w:val="00BD5EA3"/>
    <w:rsid w:val="00C029B7"/>
    <w:rsid w:val="00C07113"/>
    <w:rsid w:val="00C2205F"/>
    <w:rsid w:val="00C22B26"/>
    <w:rsid w:val="00C23559"/>
    <w:rsid w:val="00C3760D"/>
    <w:rsid w:val="00C54FEE"/>
    <w:rsid w:val="00C550E5"/>
    <w:rsid w:val="00C575FB"/>
    <w:rsid w:val="00C6241B"/>
    <w:rsid w:val="00C82B55"/>
    <w:rsid w:val="00C87B22"/>
    <w:rsid w:val="00C97882"/>
    <w:rsid w:val="00CB250B"/>
    <w:rsid w:val="00CC0A26"/>
    <w:rsid w:val="00CC1F81"/>
    <w:rsid w:val="00CC4EA2"/>
    <w:rsid w:val="00CD1EF8"/>
    <w:rsid w:val="00CF1948"/>
    <w:rsid w:val="00CF47B5"/>
    <w:rsid w:val="00D07A6B"/>
    <w:rsid w:val="00D128C8"/>
    <w:rsid w:val="00D30227"/>
    <w:rsid w:val="00D51A9B"/>
    <w:rsid w:val="00D67C84"/>
    <w:rsid w:val="00D73D8F"/>
    <w:rsid w:val="00D97603"/>
    <w:rsid w:val="00DA28EE"/>
    <w:rsid w:val="00DA45E5"/>
    <w:rsid w:val="00DE5F7A"/>
    <w:rsid w:val="00DF3AF4"/>
    <w:rsid w:val="00E209AC"/>
    <w:rsid w:val="00E92A87"/>
    <w:rsid w:val="00EB3484"/>
    <w:rsid w:val="00EF0750"/>
    <w:rsid w:val="00EF6FDF"/>
    <w:rsid w:val="00F15205"/>
    <w:rsid w:val="00F15295"/>
    <w:rsid w:val="00F2144E"/>
    <w:rsid w:val="00F6000B"/>
    <w:rsid w:val="00F65BB8"/>
    <w:rsid w:val="00F76FCB"/>
    <w:rsid w:val="00F93916"/>
    <w:rsid w:val="00FA00D6"/>
    <w:rsid w:val="00FA29E4"/>
    <w:rsid w:val="00FB13F2"/>
    <w:rsid w:val="00FB3927"/>
    <w:rsid w:val="00FB7311"/>
    <w:rsid w:val="00FC3504"/>
    <w:rsid w:val="00FE5AAA"/>
    <w:rsid w:val="10907F32"/>
    <w:rsid w:val="15405F2B"/>
    <w:rsid w:val="17D66B08"/>
    <w:rsid w:val="28627691"/>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6"/>
    <w:uiPriority w:val="0"/>
    <w:rPr>
      <w:b/>
      <w:bCs/>
    </w:rPr>
  </w:style>
  <w:style w:type="paragraph" w:styleId="3">
    <w:name w:val="annotation text"/>
    <w:basedOn w:val="1"/>
    <w:link w:val="15"/>
    <w:uiPriority w:val="0"/>
    <w:pPr>
      <w:jc w:val="left"/>
    </w:pPr>
  </w:style>
  <w:style w:type="paragraph" w:styleId="4">
    <w:name w:val="Balloon Text"/>
    <w:basedOn w:val="1"/>
    <w:link w:val="17"/>
    <w:qFormat/>
    <w:uiPriority w:val="0"/>
    <w:rPr>
      <w:sz w:val="18"/>
      <w:szCs w:val="18"/>
    </w:rPr>
  </w:style>
  <w:style w:type="paragraph" w:styleId="5">
    <w:name w:val="footer"/>
    <w:basedOn w:val="1"/>
    <w:link w:val="20"/>
    <w:qFormat/>
    <w:uiPriority w:val="0"/>
    <w:pPr>
      <w:tabs>
        <w:tab w:val="center" w:pos="4153"/>
        <w:tab w:val="right" w:pos="8306"/>
      </w:tabs>
      <w:snapToGrid w:val="0"/>
      <w:jc w:val="left"/>
    </w:pPr>
    <w:rPr>
      <w:sz w:val="18"/>
    </w:rPr>
  </w:style>
  <w:style w:type="paragraph" w:styleId="6">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link w:val="18"/>
    <w:qFormat/>
    <w:uiPriority w:val="0"/>
    <w:pPr>
      <w:snapToGrid w:val="0"/>
      <w:jc w:val="left"/>
    </w:pPr>
    <w:rPr>
      <w:kern w:val="0"/>
      <w:sz w:val="18"/>
      <w:szCs w:val="18"/>
    </w:rPr>
  </w:style>
  <w:style w:type="paragraph" w:styleId="8">
    <w:name w:val="Normal (Web)"/>
    <w:basedOn w:val="1"/>
    <w:unhideWhenUsed/>
    <w:uiPriority w:val="99"/>
    <w:pPr>
      <w:widowControl/>
      <w:jc w:val="left"/>
    </w:pPr>
    <w:rPr>
      <w:rFonts w:ascii="宋体" w:hAnsi="宋体" w:cs="宋体"/>
      <w:kern w:val="0"/>
      <w:sz w:val="24"/>
      <w:szCs w:val="24"/>
    </w:rPr>
  </w:style>
  <w:style w:type="character" w:styleId="10">
    <w:name w:val="Hyperlink"/>
    <w:basedOn w:val="9"/>
    <w:uiPriority w:val="0"/>
    <w:rPr>
      <w:color w:val="0563C1" w:themeColor="hyperlink"/>
      <w:u w:val="single"/>
    </w:rPr>
  </w:style>
  <w:style w:type="character" w:styleId="11">
    <w:name w:val="annotation reference"/>
    <w:basedOn w:val="9"/>
    <w:uiPriority w:val="0"/>
    <w:rPr>
      <w:sz w:val="21"/>
      <w:szCs w:val="21"/>
    </w:rPr>
  </w:style>
  <w:style w:type="character" w:styleId="12">
    <w:name w:val="footnote reference"/>
    <w:qFormat/>
    <w:uiPriority w:val="0"/>
    <w:rPr>
      <w:rFonts w:cs="Times New Roman"/>
      <w:vertAlign w:val="superscript"/>
    </w:rPr>
  </w:style>
  <w:style w:type="table" w:styleId="14">
    <w:name w:val="Table Grid"/>
    <w:basedOn w:val="13"/>
    <w:unhideWhenUs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批注文字 字符"/>
    <w:basedOn w:val="9"/>
    <w:link w:val="3"/>
    <w:uiPriority w:val="0"/>
    <w:rPr>
      <w:kern w:val="2"/>
      <w:sz w:val="21"/>
      <w:szCs w:val="22"/>
    </w:rPr>
  </w:style>
  <w:style w:type="character" w:customStyle="1" w:styleId="16">
    <w:name w:val="批注主题 字符"/>
    <w:basedOn w:val="15"/>
    <w:link w:val="2"/>
    <w:qFormat/>
    <w:uiPriority w:val="0"/>
    <w:rPr>
      <w:b/>
      <w:bCs/>
      <w:kern w:val="2"/>
      <w:sz w:val="21"/>
      <w:szCs w:val="22"/>
    </w:rPr>
  </w:style>
  <w:style w:type="character" w:customStyle="1" w:styleId="17">
    <w:name w:val="批注框文本 字符"/>
    <w:basedOn w:val="9"/>
    <w:link w:val="4"/>
    <w:uiPriority w:val="0"/>
    <w:rPr>
      <w:kern w:val="2"/>
      <w:sz w:val="18"/>
      <w:szCs w:val="18"/>
    </w:rPr>
  </w:style>
  <w:style w:type="character" w:customStyle="1" w:styleId="18">
    <w:name w:val="脚注文本 字符"/>
    <w:basedOn w:val="9"/>
    <w:link w:val="7"/>
    <w:uiPriority w:val="0"/>
    <w:rPr>
      <w:sz w:val="18"/>
      <w:szCs w:val="18"/>
    </w:rPr>
  </w:style>
  <w:style w:type="character" w:customStyle="1" w:styleId="19">
    <w:name w:val="页眉 字符"/>
    <w:basedOn w:val="9"/>
    <w:link w:val="6"/>
    <w:locked/>
    <w:uiPriority w:val="0"/>
    <w:rPr>
      <w:rFonts w:ascii="Calibri" w:hAnsi="Calibri" w:eastAsia="宋体" w:cs="Times New Roman"/>
      <w:kern w:val="2"/>
      <w:sz w:val="18"/>
      <w:szCs w:val="22"/>
    </w:rPr>
  </w:style>
  <w:style w:type="character" w:customStyle="1" w:styleId="20">
    <w:name w:val="页脚 字符"/>
    <w:basedOn w:val="9"/>
    <w:link w:val="5"/>
    <w:locked/>
    <w:uiPriority w:val="0"/>
    <w:rPr>
      <w:rFonts w:ascii="Calibri" w:hAnsi="Calibri" w:eastAsia="宋体" w:cs="Times New Roman"/>
      <w:kern w:val="2"/>
      <w:sz w:val="18"/>
      <w:szCs w:val="22"/>
    </w:rPr>
  </w:style>
  <w:style w:type="paragraph" w:customStyle="1" w:styleId="21">
    <w:name w:val="列表段落1"/>
    <w:basedOn w:val="1"/>
    <w:uiPriority w:val="0"/>
    <w:pPr>
      <w:ind w:firstLine="420" w:firstLineChars="200"/>
    </w:pPr>
  </w:style>
  <w:style w:type="paragraph" w:customStyle="1" w:styleId="22">
    <w:name w:val="Revision"/>
    <w:hidden/>
    <w:semiHidden/>
    <w:uiPriority w:val="99"/>
    <w:rPr>
      <w:rFonts w:ascii="Calibri" w:hAnsi="Calibri" w:eastAsia="宋体" w:cs="Times New Roman"/>
      <w:kern w:val="2"/>
      <w:sz w:val="21"/>
      <w:szCs w:val="22"/>
      <w:lang w:val="en-US" w:eastAsia="zh-CN" w:bidi="ar-SA"/>
    </w:rPr>
  </w:style>
  <w:style w:type="paragraph" w:styleId="23">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771547-0DCC-4BB2-83C8-4524012D79A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3701</Words>
  <Characters>21097</Characters>
  <Lines>175</Lines>
  <Paragraphs>49</Paragraphs>
  <TotalTime>13</TotalTime>
  <ScaleCrop>false</ScaleCrop>
  <LinksUpToDate>false</LinksUpToDate>
  <CharactersWithSpaces>24749</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2018-10-17T21:37:00Z</dcterms:created>
  <dc:creator>Administrator</dc:creator>
  <cp:lastModifiedBy>徐园园</cp:lastModifiedBy>
  <cp:lastPrinted>2018-08-27T07:45:00Z</cp:lastPrinted>
  <dcterms:modified xsi:type="dcterms:W3CDTF">2018-10-24T03:05:43Z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