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tabs>
          <w:tab w:val="right" w:leader="dot" w:pos="8296"/>
        </w:tabs>
        <w:jc w:val="center"/>
        <w:rPr>
          <w:rFonts w:ascii="Arial Narrow" w:hAnsi="Arial Narrow" w:eastAsia="黑体"/>
          <w:b/>
          <w:sz w:val="36"/>
          <w:szCs w:val="36"/>
        </w:rPr>
      </w:pPr>
      <w:sdt>
        <w:sdtPr>
          <w:rPr>
            <w:rFonts w:hint="eastAsia" w:ascii="黑体" w:hAnsi="黑体" w:eastAsia="黑体" w:cstheme="minorBidi"/>
            <w:b/>
            <w:bCs w:val="0"/>
            <w:color w:val="auto"/>
            <w:kern w:val="2"/>
            <w:sz w:val="32"/>
            <w:szCs w:val="30"/>
            <w:lang w:val="zh-CN"/>
          </w:rPr>
          <w:id w:val="677737"/>
          <w:showingPlcHdr/>
          <w:docPartObj>
            <w:docPartGallery w:val="Table of Contents"/>
            <w:docPartUnique/>
          </w:docPartObj>
        </w:sdtPr>
        <w:sdtEndPr>
          <w:rPr>
            <w:rFonts w:hint="eastAsia" w:ascii="仿宋_GB2312" w:eastAsia="仿宋_GB2312" w:hAnsiTheme="minorHAnsi" w:cstheme="minorBidi"/>
            <w:b w:val="0"/>
            <w:bCs w:val="0"/>
            <w:color w:val="auto"/>
            <w:kern w:val="2"/>
            <w:sz w:val="30"/>
            <w:szCs w:val="30"/>
            <w:lang w:val="en-US"/>
          </w:rPr>
        </w:sdtEndPr>
        <w:sdtContent/>
      </w:sdt>
      <w:r>
        <w:rPr>
          <w:rFonts w:ascii="Arial Narrow" w:hAnsi="黑体" w:eastAsia="黑体"/>
          <w:b/>
          <w:sz w:val="36"/>
          <w:szCs w:val="36"/>
        </w:rPr>
        <w:t>2019</w:t>
      </w:r>
      <w:r>
        <w:rPr>
          <w:rFonts w:hint="eastAsia" w:ascii="Arial Narrow" w:hAnsi="黑体" w:eastAsia="黑体"/>
          <w:b/>
          <w:sz w:val="36"/>
          <w:szCs w:val="36"/>
        </w:rPr>
        <w:t>年全国职业院校技能大赛</w:t>
      </w:r>
    </w:p>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赛项申报方案</w:t>
      </w:r>
    </w:p>
    <w:p>
      <w:pPr>
        <w:pStyle w:val="2"/>
        <w:ind w:left="210" w:right="210" w:firstLine="600"/>
      </w:pPr>
      <w:bookmarkStart w:id="0" w:name="_Toc522017420"/>
      <w:bookmarkStart w:id="1" w:name="_Toc522017689"/>
      <w:r>
        <w:rPr>
          <w:rFonts w:hint="eastAsia"/>
        </w:rPr>
        <w:t>一、赛项名称</w:t>
      </w:r>
      <w:bookmarkEnd w:id="0"/>
      <w:bookmarkEnd w:id="1"/>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互联网+国际贸易综合技能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（二）压题彩照</w:t>
      </w:r>
    </w:p>
    <w:p>
      <w:pPr>
        <w:snapToGrid w:val="0"/>
        <w:spacing w:line="560" w:lineRule="exact"/>
        <w:rPr>
          <w:rFonts w:ascii="Arial Narrow" w:hAnsi="Arial Narrow" w:eastAsia="仿宋_GB2312" w:cs="Arial"/>
          <w:sz w:val="30"/>
          <w:szCs w:val="30"/>
        </w:rPr>
      </w:pPr>
      <w:r>
        <w:rPr>
          <w:rFonts w:hint="eastAsia" w:ascii="Arial Narrow" w:hAnsi="Arial Narrow" w:eastAsia="仿宋_GB2312" w:cs="Arial"/>
          <w:sz w:val="30"/>
          <w:szCs w:val="30"/>
        </w:rPr>
        <w:drawing>
          <wp:anchor distT="0" distB="0" distL="114300" distR="114300" simplePos="0" relativeHeight="251659264" behindDoc="0" locked="0" layoutInCell="1" allowOverlap="1">
            <wp:simplePos x="0" y="0"/>
            <wp:positionH relativeFrom="column">
              <wp:posOffset>15875</wp:posOffset>
            </wp:positionH>
            <wp:positionV relativeFrom="paragraph">
              <wp:posOffset>5080</wp:posOffset>
            </wp:positionV>
            <wp:extent cx="5276215" cy="4025900"/>
            <wp:effectExtent l="19050" t="0" r="775" b="0"/>
            <wp:wrapTopAndBottom/>
            <wp:docPr id="3" name="图片 0" descr="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0" descr="2018.png"/>
                    <pic:cNvPicPr>
                      <a:picLocks noChangeAspect="1"/>
                    </pic:cNvPicPr>
                  </pic:nvPicPr>
                  <pic:blipFill>
                    <a:blip r:embed="rId5" cstate="print"/>
                    <a:stretch>
                      <a:fillRect/>
                    </a:stretch>
                  </pic:blipFill>
                  <pic:spPr>
                    <a:xfrm>
                      <a:off x="0" y="0"/>
                      <a:ext cx="5276075" cy="4025735"/>
                    </a:xfrm>
                    <a:prstGeom prst="rect">
                      <a:avLst/>
                    </a:prstGeom>
                  </pic:spPr>
                </pic:pic>
              </a:graphicData>
            </a:graphic>
          </wp:anchor>
        </w:drawing>
      </w:r>
      <w:r>
        <w:rPr>
          <w:rFonts w:hint="eastAsia" w:ascii="Arial Narrow" w:hAnsi="Arial Narrow" w:eastAsia="仿宋_GB2312" w:cs="Arial"/>
          <w:sz w:val="30"/>
          <w:szCs w:val="30"/>
        </w:rPr>
        <w:t xml:space="preserve">    （三）赛项归属产业类型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现代服务业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（四）赛项归属专业大类</w:t>
      </w:r>
      <w:r>
        <w:rPr>
          <w:rFonts w:ascii="Arial Narrow" w:hAnsi="Arial Narrow" w:eastAsia="仿宋_GB2312" w:cs="Arial"/>
          <w:sz w:val="30"/>
          <w:szCs w:val="30"/>
        </w:rPr>
        <w:t>/</w:t>
      </w:r>
      <w:r>
        <w:rPr>
          <w:rFonts w:hint="eastAsia" w:ascii="Arial Narrow" w:hAnsi="Arial Narrow" w:eastAsia="仿宋_GB2312" w:cs="Arial"/>
          <w:sz w:val="30"/>
          <w:szCs w:val="30"/>
        </w:rPr>
        <w:t>类</w:t>
      </w:r>
    </w:p>
    <w:p>
      <w:pPr>
        <w:spacing w:line="560" w:lineRule="exact"/>
        <w:jc w:val="center"/>
        <w:rPr>
          <w:rFonts w:ascii="宋体" w:hAnsi="宋体" w:cs="宋体"/>
          <w:sz w:val="24"/>
          <w:szCs w:val="24"/>
        </w:rPr>
      </w:pPr>
      <w:r>
        <w:rPr>
          <w:rFonts w:hint="eastAsia" w:ascii="宋体" w:hAnsi="宋体" w:cs="宋体"/>
          <w:sz w:val="24"/>
          <w:szCs w:val="24"/>
        </w:rPr>
        <w:t>表1 赛项归属专业大类/类</w:t>
      </w:r>
    </w:p>
    <w:tbl>
      <w:tblPr>
        <w:tblStyle w:val="17"/>
        <w:tblW w:w="8472"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1"/>
        <w:gridCol w:w="1465"/>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b/>
                <w:sz w:val="24"/>
                <w:szCs w:val="24"/>
              </w:rPr>
            </w:pPr>
            <w:r>
              <w:rPr>
                <w:rFonts w:hint="eastAsia" w:ascii="宋体" w:hAnsi="宋体" w:cs="仿宋_GB2312"/>
                <w:b/>
                <w:sz w:val="24"/>
                <w:szCs w:val="24"/>
              </w:rPr>
              <w:t>组别</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b/>
                <w:sz w:val="24"/>
                <w:szCs w:val="24"/>
              </w:rPr>
            </w:pPr>
            <w:r>
              <w:rPr>
                <w:rFonts w:hint="eastAsia" w:ascii="宋体" w:hAnsi="宋体" w:cs="仿宋_GB2312"/>
                <w:b/>
                <w:sz w:val="24"/>
                <w:szCs w:val="24"/>
              </w:rPr>
              <w:t>专业大类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b/>
                <w:sz w:val="24"/>
                <w:szCs w:val="24"/>
              </w:rPr>
            </w:pPr>
            <w:r>
              <w:rPr>
                <w:rFonts w:hint="eastAsia" w:ascii="宋体" w:hAnsi="宋体" w:cs="仿宋_GB2312"/>
                <w:b/>
                <w:sz w:val="24"/>
                <w:szCs w:val="24"/>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b/>
                <w:sz w:val="24"/>
                <w:szCs w:val="24"/>
              </w:rPr>
            </w:pPr>
            <w:r>
              <w:rPr>
                <w:rFonts w:hint="eastAsia" w:ascii="宋体" w:hAnsi="宋体" w:cs="仿宋_GB2312"/>
                <w:b/>
                <w:sz w:val="24"/>
                <w:szCs w:val="24"/>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b/>
                <w:sz w:val="24"/>
                <w:szCs w:val="24"/>
              </w:rPr>
            </w:pPr>
            <w:r>
              <w:rPr>
                <w:rFonts w:hint="eastAsia" w:ascii="宋体" w:hAnsi="宋体" w:cs="仿宋_GB2312"/>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财经商贸</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经济贸易类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630501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国际贸易实务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财经商贸</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经济贸易类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630502</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国际经济与贸易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财经商贸</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经济贸易类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630503</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国际商务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教育与体育</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语言类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670202</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sz w:val="24"/>
                <w:szCs w:val="24"/>
              </w:rPr>
            </w:pPr>
            <w:r>
              <w:rPr>
                <w:rFonts w:hint="eastAsia" w:ascii="宋体" w:hAnsi="宋体" w:cs="仿宋_GB2312"/>
                <w:sz w:val="24"/>
                <w:szCs w:val="24"/>
              </w:rPr>
              <w:t>商务英语</w:t>
            </w:r>
          </w:p>
        </w:tc>
      </w:tr>
    </w:tbl>
    <w:p>
      <w:pPr>
        <w:pStyle w:val="2"/>
        <w:ind w:firstLine="600"/>
      </w:pPr>
      <w:bookmarkStart w:id="2" w:name="_Toc522017690"/>
      <w:bookmarkStart w:id="3" w:name="_Toc522017421"/>
      <w:r>
        <w:rPr>
          <w:rFonts w:hint="eastAsia"/>
        </w:rPr>
        <w:t>二、赛项申报专家组</w:t>
      </w:r>
      <w:bookmarkEnd w:id="2"/>
      <w:bookmarkEnd w:id="3"/>
    </w:p>
    <w:p>
      <w:pPr>
        <w:pStyle w:val="2"/>
        <w:ind w:firstLine="600"/>
        <w:rPr>
          <w:rFonts w:ascii="Arial Narrow" w:hAnsi="Arial Narrow" w:eastAsia="仿宋_GB2312" w:cs="Arial"/>
        </w:rPr>
      </w:pPr>
      <w:bookmarkStart w:id="4" w:name="_Toc522017691"/>
      <w:bookmarkStart w:id="5" w:name="_Toc522017422"/>
      <w:r>
        <w:rPr>
          <w:rFonts w:hint="eastAsia"/>
        </w:rPr>
        <w:t>三、赛项目的</w:t>
      </w:r>
      <w:bookmarkEnd w:id="4"/>
      <w:bookmarkEnd w:id="5"/>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赛项设计以国际贸易产业升级为驱动，以服务“一带一路”建设为核心，搭建专业、课程、培养机制改革平台，促进专业建设、教学改革的深入进行，切实提高教学质量和人才培养水平。</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赛项设计充分发挥技能大赛对专业建设的促进和引领作用，以竞赛为抓手，全面推行“教、学、做、练、赛”一体化教学模式，提高全国院校学生的参与度，实现对学生的团队协同创新能力、沟通能力、尽责抗压能力及专业岗位能力的综合培养，为“互联网+”环境下国际贸易教育教学改革提供了新的思路与方向。以此为基础，探索建立适应国际贸易新形势下的职业岗位标准，为院校教学课程设置及岗位职业能力培养提供有效依据</w:t>
      </w:r>
      <w:r>
        <w:rPr>
          <w:rFonts w:hint="eastAsia" w:ascii="仿宋_GB2312" w:hAnsi="Arial Narrow" w:eastAsia="仿宋_GB2312" w:cs="Arial"/>
          <w:sz w:val="30"/>
          <w:szCs w:val="30"/>
        </w:rPr>
        <w:t>,从而实现产教深度融合，校企协同育人</w:t>
      </w:r>
      <w:r>
        <w:rPr>
          <w:rFonts w:hint="eastAsia" w:ascii="Arial Narrow" w:hAnsi="Arial Narrow" w:eastAsia="仿宋_GB2312" w:cs="Arial"/>
          <w:sz w:val="30"/>
          <w:szCs w:val="30"/>
        </w:rPr>
        <w:t>。</w:t>
      </w:r>
    </w:p>
    <w:p>
      <w:pPr>
        <w:pStyle w:val="2"/>
        <w:ind w:firstLine="600"/>
        <w:rPr>
          <w:rFonts w:ascii="Arial Narrow" w:hAnsi="Arial Narrow" w:eastAsia="仿宋_GB2312" w:cs="Arial"/>
        </w:rPr>
      </w:pPr>
      <w:bookmarkStart w:id="6" w:name="_Toc522017692"/>
      <w:r>
        <w:rPr>
          <w:rFonts w:hint="eastAsia"/>
        </w:rPr>
        <w:t>四、赛项设计原则</w:t>
      </w:r>
      <w:bookmarkEnd w:id="6"/>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（一）公开、公平、公正。</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公正组织、筹备赛项各个环节。通过公布技术文件、比赛样题，合理设计竞赛规则、程序、标准，公开执行过程，严格命题、裁判回避等制度措施，保证比赛公平。比赛使用的竞赛平台，采用严格的算法和规则来支撑比赛要求，除外贸英语沟通能力模块为人工评分外，其余均为系统自动评分，系统自动评分占比</w:t>
      </w:r>
      <w:r>
        <w:rPr>
          <w:rFonts w:hint="eastAsia" w:ascii="仿宋_GB2312" w:hAnsi="Arial Narrow" w:eastAsia="仿宋_GB2312" w:cs="Arial"/>
          <w:sz w:val="30"/>
          <w:szCs w:val="30"/>
        </w:rPr>
        <w:t>80%</w:t>
      </w:r>
      <w:r>
        <w:rPr>
          <w:rFonts w:hint="eastAsia" w:ascii="Arial Narrow" w:hAnsi="Arial Narrow" w:eastAsia="仿宋_GB2312" w:cs="Arial"/>
          <w:sz w:val="30"/>
          <w:szCs w:val="30"/>
        </w:rPr>
        <w:t>，有效保证比赛过程、结果的客观公正性。</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（二）赛项关联专业人才需求量大或行业人才紧缺或职业院校开设专业点多，服务国家重点战略。</w:t>
      </w:r>
    </w:p>
    <w:p>
      <w:pPr>
        <w:pStyle w:val="5"/>
        <w:spacing w:line="560" w:lineRule="exact"/>
        <w:ind w:left="0" w:firstLine="600" w:firstLineChars="200"/>
        <w:jc w:val="both"/>
        <w:rPr>
          <w:rFonts w:ascii="仿宋_GB2312" w:hAnsi="Arial Narrow" w:eastAsia="仿宋_GB2312" w:cs="Arial"/>
          <w:lang w:eastAsia="zh-CN"/>
        </w:rPr>
      </w:pPr>
      <w:r>
        <w:rPr>
          <w:rFonts w:hint="eastAsia" w:ascii="仿宋_GB2312" w:hAnsi="Arial Narrow" w:eastAsia="仿宋_GB2312" w:cs="Arial"/>
          <w:lang w:eastAsia="zh-CN"/>
        </w:rPr>
        <w:t>目前，我国正处在国际贸易产业转型升级的关键时期，互联网＋国际贸易正逐步成为我国对外贸易新的增长点。据统计，</w:t>
      </w:r>
      <w:r>
        <w:rPr>
          <w:rFonts w:ascii="仿宋_GB2312" w:hAnsi="Arial Narrow" w:eastAsia="仿宋_GB2312" w:cs="Arial"/>
          <w:lang w:eastAsia="zh-CN"/>
        </w:rPr>
        <w:t>201</w:t>
      </w:r>
      <w:r>
        <w:rPr>
          <w:rFonts w:hint="eastAsia" w:ascii="仿宋_GB2312" w:hAnsi="Arial Narrow" w:eastAsia="仿宋_GB2312" w:cs="Arial"/>
          <w:lang w:eastAsia="zh-CN"/>
        </w:rPr>
        <w:t>7年我国互联网+国际贸易（含</w:t>
      </w:r>
      <w:r>
        <w:rPr>
          <w:rFonts w:ascii="仿宋_GB2312" w:hAnsi="Arial Narrow" w:eastAsia="仿宋_GB2312" w:cs="Arial"/>
          <w:lang w:eastAsia="zh-CN"/>
        </w:rPr>
        <w:t>B2B</w:t>
      </w:r>
      <w:r>
        <w:rPr>
          <w:rFonts w:hint="eastAsia" w:ascii="仿宋_GB2312" w:hAnsi="Arial Narrow" w:eastAsia="仿宋_GB2312" w:cs="Arial"/>
          <w:lang w:eastAsia="zh-CN"/>
        </w:rPr>
        <w:t>及零售）整体交易规模达到8.06万亿元，预计2018年将突破10万亿元。伴随“一带一路”建设的不断推进，深化国际合作,积极推进“五通”，未来5年，具备“互联网+国际贸易”综合技能的高素质技术技能型人才缺口将达到400万左右。赛项考察的互联网+国际贸易综合技能积极服务国家的对外开放和“一带一路”建设。</w:t>
      </w:r>
    </w:p>
    <w:p>
      <w:pPr>
        <w:pStyle w:val="5"/>
        <w:spacing w:line="560" w:lineRule="exact"/>
        <w:ind w:left="0" w:firstLine="600" w:firstLineChars="200"/>
        <w:jc w:val="both"/>
        <w:rPr>
          <w:rFonts w:ascii="仿宋_GB2312" w:hAnsi="Arial Narrow" w:eastAsia="仿宋_GB2312" w:cs="Arial"/>
          <w:lang w:eastAsia="zh-CN"/>
        </w:rPr>
      </w:pPr>
      <w:r>
        <w:rPr>
          <w:rFonts w:hint="eastAsia" w:ascii="仿宋_GB2312" w:hAnsi="Arial Narrow" w:eastAsia="仿宋_GB2312" w:cs="Arial"/>
          <w:lang w:eastAsia="zh-CN"/>
        </w:rPr>
        <w:t>根据2018年高等职业学校专业设置备案结果显示，开设国际经济与贸易、国际贸易实务、国际商务、商务英语等相关专业的学校布点数1114个。互联网+国际贸易综合技能竞赛将积极</w:t>
      </w:r>
      <w:r>
        <w:rPr>
          <w:rFonts w:ascii="仿宋_GB2312" w:hAnsi="Arial Narrow" w:eastAsia="仿宋_GB2312" w:cs="Arial"/>
          <w:lang w:eastAsia="zh-CN"/>
        </w:rPr>
        <w:t>引导广大师生投入到互联网+环境下的</w:t>
      </w:r>
      <w:r>
        <w:rPr>
          <w:rFonts w:hint="eastAsia" w:ascii="仿宋_GB2312" w:hAnsi="Arial Narrow" w:eastAsia="仿宋_GB2312" w:cs="Arial"/>
          <w:lang w:eastAsia="zh-CN"/>
        </w:rPr>
        <w:t>国际贸易教学创新，</w:t>
      </w:r>
      <w:r>
        <w:rPr>
          <w:rFonts w:ascii="仿宋_GB2312" w:hAnsi="Arial Narrow" w:eastAsia="仿宋_GB2312" w:cs="Arial"/>
          <w:lang w:eastAsia="zh-CN"/>
        </w:rPr>
        <w:t>促进</w:t>
      </w:r>
      <w:r>
        <w:rPr>
          <w:rFonts w:hint="eastAsia" w:ascii="仿宋_GB2312" w:hAnsi="Arial Narrow" w:eastAsia="仿宋_GB2312" w:cs="Arial"/>
          <w:lang w:eastAsia="zh-CN"/>
        </w:rPr>
        <w:t>专业教学的工学结合、知行合一，</w:t>
      </w:r>
      <w:r>
        <w:rPr>
          <w:rFonts w:ascii="仿宋_GB2312" w:hAnsi="Arial Narrow" w:eastAsia="仿宋_GB2312" w:cs="Arial"/>
          <w:lang w:eastAsia="zh-CN"/>
        </w:rPr>
        <w:t>促进教</w:t>
      </w:r>
      <w:r>
        <w:rPr>
          <w:rFonts w:hint="eastAsia" w:ascii="仿宋_GB2312" w:hAnsi="Arial Narrow" w:eastAsia="仿宋_GB2312" w:cs="Arial"/>
          <w:lang w:eastAsia="zh-CN"/>
        </w:rPr>
        <w:t>、</w:t>
      </w:r>
      <w:r>
        <w:rPr>
          <w:rFonts w:ascii="仿宋_GB2312" w:hAnsi="Arial Narrow" w:eastAsia="仿宋_GB2312" w:cs="Arial"/>
          <w:lang w:eastAsia="zh-CN"/>
        </w:rPr>
        <w:t>学</w:t>
      </w:r>
      <w:r>
        <w:rPr>
          <w:rFonts w:hint="eastAsia" w:ascii="仿宋_GB2312" w:hAnsi="Arial Narrow" w:eastAsia="仿宋_GB2312" w:cs="Arial"/>
          <w:lang w:eastAsia="zh-CN"/>
        </w:rPr>
        <w:t>、</w:t>
      </w:r>
      <w:r>
        <w:rPr>
          <w:rFonts w:ascii="仿宋_GB2312" w:hAnsi="Arial Narrow" w:eastAsia="仿宋_GB2312" w:cs="Arial"/>
          <w:lang w:eastAsia="zh-CN"/>
        </w:rPr>
        <w:t>做一体</w:t>
      </w:r>
      <w:r>
        <w:rPr>
          <w:rFonts w:hint="eastAsia" w:ascii="仿宋_GB2312" w:hAnsi="Arial Narrow" w:eastAsia="仿宋_GB2312" w:cs="Arial"/>
          <w:lang w:eastAsia="zh-CN"/>
        </w:rPr>
        <w:t>化</w:t>
      </w:r>
      <w:r>
        <w:rPr>
          <w:rFonts w:ascii="仿宋_GB2312" w:hAnsi="Arial Narrow" w:eastAsia="仿宋_GB2312" w:cs="Arial"/>
          <w:lang w:eastAsia="zh-CN"/>
        </w:rPr>
        <w:t>，</w:t>
      </w:r>
      <w:r>
        <w:rPr>
          <w:rFonts w:hint="eastAsia" w:ascii="仿宋_GB2312" w:hAnsi="Arial Narrow" w:eastAsia="仿宋_GB2312" w:cs="Arial"/>
          <w:lang w:eastAsia="zh-CN"/>
        </w:rPr>
        <w:t>在“互联网+”环境下的国际贸易专业建设及教学改革方面发挥关键性引领作用。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（三）竞赛内容对应相关职业岗位或岗位群、体现专业核心能力与核心知识、涵盖丰富的专业知识与专业技能点。</w:t>
      </w:r>
    </w:p>
    <w:p>
      <w:pPr>
        <w:spacing w:line="560" w:lineRule="exact"/>
        <w:jc w:val="center"/>
        <w:rPr>
          <w:rFonts w:ascii="宋体" w:hAnsi="宋体" w:cs="宋体"/>
          <w:sz w:val="24"/>
          <w:szCs w:val="24"/>
        </w:rPr>
      </w:pPr>
      <w:r>
        <w:rPr>
          <w:rFonts w:hint="eastAsia" w:ascii="宋体" w:hAnsi="宋体" w:cs="宋体"/>
          <w:sz w:val="24"/>
          <w:szCs w:val="24"/>
        </w:rPr>
        <w:t>表3 赛项内容对应相关职业岗位、知识内容及核心技能</w:t>
      </w:r>
    </w:p>
    <w:tbl>
      <w:tblPr>
        <w:tblStyle w:val="17"/>
        <w:tblW w:w="86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843"/>
        <w:gridCol w:w="2398"/>
        <w:gridCol w:w="2121"/>
        <w:gridCol w:w="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jc w:val="center"/>
        </w:trPr>
        <w:tc>
          <w:tcPr>
            <w:tcW w:w="1560" w:type="dxa"/>
            <w:vAlign w:val="center"/>
          </w:tcPr>
          <w:p>
            <w:pPr>
              <w:adjustRightInd w:val="0"/>
              <w:snapToGrid w:val="0"/>
              <w:jc w:val="center"/>
              <w:rPr>
                <w:rFonts w:ascii="宋体" w:hAnsi="宋体" w:cs="Arial"/>
                <w:b/>
                <w:kern w:val="0"/>
                <w:sz w:val="24"/>
                <w:szCs w:val="24"/>
              </w:rPr>
            </w:pPr>
            <w:r>
              <w:rPr>
                <w:rFonts w:hint="eastAsia" w:ascii="宋体" w:hAnsi="宋体" w:cs="Arial"/>
                <w:b/>
                <w:kern w:val="0"/>
                <w:sz w:val="24"/>
                <w:szCs w:val="24"/>
              </w:rPr>
              <w:t>比赛任务</w:t>
            </w:r>
          </w:p>
        </w:tc>
        <w:tc>
          <w:tcPr>
            <w:tcW w:w="1843" w:type="dxa"/>
            <w:vAlign w:val="center"/>
          </w:tcPr>
          <w:p>
            <w:pPr>
              <w:adjustRightInd w:val="0"/>
              <w:snapToGrid w:val="0"/>
              <w:jc w:val="center"/>
              <w:rPr>
                <w:rFonts w:ascii="宋体" w:hAnsi="宋体" w:cs="Arial"/>
                <w:b/>
                <w:kern w:val="0"/>
                <w:sz w:val="24"/>
                <w:szCs w:val="24"/>
              </w:rPr>
            </w:pPr>
            <w:r>
              <w:rPr>
                <w:rFonts w:hint="eastAsia" w:ascii="宋体" w:hAnsi="宋体" w:cs="Arial"/>
                <w:b/>
                <w:kern w:val="0"/>
                <w:sz w:val="24"/>
                <w:szCs w:val="24"/>
              </w:rPr>
              <w:t>对应岗位</w:t>
            </w:r>
          </w:p>
        </w:tc>
        <w:tc>
          <w:tcPr>
            <w:tcW w:w="2398" w:type="dxa"/>
            <w:vAlign w:val="center"/>
          </w:tcPr>
          <w:p>
            <w:pPr>
              <w:adjustRightInd w:val="0"/>
              <w:snapToGrid w:val="0"/>
              <w:jc w:val="center"/>
              <w:rPr>
                <w:rFonts w:ascii="宋体" w:hAnsi="宋体" w:cs="Arial"/>
                <w:b/>
                <w:kern w:val="0"/>
                <w:sz w:val="24"/>
                <w:szCs w:val="24"/>
              </w:rPr>
            </w:pPr>
            <w:r>
              <w:rPr>
                <w:rFonts w:hint="eastAsia" w:ascii="宋体" w:hAnsi="宋体" w:cs="Arial"/>
                <w:b/>
                <w:kern w:val="0"/>
                <w:sz w:val="24"/>
                <w:szCs w:val="24"/>
              </w:rPr>
              <w:t>主要知识内容</w:t>
            </w:r>
          </w:p>
        </w:tc>
        <w:tc>
          <w:tcPr>
            <w:tcW w:w="2897" w:type="dxa"/>
            <w:gridSpan w:val="2"/>
            <w:vAlign w:val="center"/>
          </w:tcPr>
          <w:p>
            <w:pPr>
              <w:adjustRightInd w:val="0"/>
              <w:snapToGrid w:val="0"/>
              <w:jc w:val="center"/>
              <w:rPr>
                <w:rFonts w:ascii="宋体" w:hAnsi="宋体" w:cs="Arial"/>
                <w:b/>
                <w:kern w:val="0"/>
                <w:sz w:val="24"/>
                <w:szCs w:val="24"/>
              </w:rPr>
            </w:pPr>
            <w:r>
              <w:rPr>
                <w:rFonts w:hint="eastAsia" w:ascii="宋体" w:hAnsi="宋体" w:cs="Arial"/>
                <w:b/>
                <w:kern w:val="0"/>
                <w:sz w:val="24"/>
                <w:szCs w:val="24"/>
              </w:rPr>
              <w:t>核心技能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8" w:hRule="atLeast"/>
          <w:jc w:val="center"/>
        </w:trPr>
        <w:tc>
          <w:tcPr>
            <w:tcW w:w="1560" w:type="dxa"/>
            <w:vAlign w:val="center"/>
          </w:tcPr>
          <w:p>
            <w:pPr>
              <w:adjustRightInd w:val="0"/>
              <w:snapToGrid w:val="0"/>
              <w:rPr>
                <w:rFonts w:ascii="宋体" w:hAnsi="宋体"/>
                <w:sz w:val="24"/>
                <w:szCs w:val="24"/>
              </w:rPr>
            </w:pPr>
            <w:r>
              <w:rPr>
                <w:rFonts w:hint="eastAsia" w:ascii="宋体" w:hAnsi="宋体"/>
                <w:sz w:val="24"/>
                <w:szCs w:val="24"/>
              </w:rPr>
              <w:t>外贸业务能力B2B模块</w:t>
            </w:r>
          </w:p>
        </w:tc>
        <w:tc>
          <w:tcPr>
            <w:tcW w:w="1843" w:type="dxa"/>
            <w:vAlign w:val="center"/>
          </w:tcPr>
          <w:p>
            <w:pPr>
              <w:adjustRightInd w:val="0"/>
              <w:snapToGrid w:val="0"/>
              <w:rPr>
                <w:rFonts w:ascii="宋体" w:hAnsi="宋体"/>
                <w:sz w:val="24"/>
                <w:szCs w:val="24"/>
              </w:rPr>
            </w:pPr>
            <w:r>
              <w:rPr>
                <w:rFonts w:hint="eastAsia" w:ascii="宋体" w:hAnsi="宋体"/>
                <w:sz w:val="24"/>
                <w:szCs w:val="24"/>
              </w:rPr>
              <w:t>外贸业务员</w:t>
            </w:r>
          </w:p>
          <w:p>
            <w:pPr>
              <w:adjustRightInd w:val="0"/>
              <w:snapToGrid w:val="0"/>
              <w:rPr>
                <w:rFonts w:ascii="宋体" w:hAnsi="宋体"/>
                <w:sz w:val="24"/>
                <w:szCs w:val="24"/>
              </w:rPr>
            </w:pPr>
            <w:r>
              <w:rPr>
                <w:rFonts w:hint="eastAsia" w:ascii="宋体" w:hAnsi="宋体"/>
                <w:sz w:val="24"/>
                <w:szCs w:val="24"/>
              </w:rPr>
              <w:t>跨境电商营销专员</w:t>
            </w:r>
          </w:p>
        </w:tc>
        <w:tc>
          <w:tcPr>
            <w:tcW w:w="2398" w:type="dxa"/>
            <w:vAlign w:val="center"/>
          </w:tcPr>
          <w:p>
            <w:pPr>
              <w:adjustRightInd w:val="0"/>
              <w:snapToGrid w:val="0"/>
              <w:rPr>
                <w:rFonts w:ascii="宋体" w:hAnsi="宋体"/>
                <w:sz w:val="24"/>
                <w:szCs w:val="24"/>
              </w:rPr>
            </w:pPr>
            <w:r>
              <w:rPr>
                <w:rFonts w:hint="eastAsia" w:ascii="宋体" w:hAnsi="宋体"/>
                <w:sz w:val="24"/>
                <w:szCs w:val="24"/>
              </w:rPr>
              <w:t>基于B2B跨境电子商务平台的产品展示、跨境电商营销推广、进出口价格核算、成本控制、贸易磋商和合同签订</w:t>
            </w:r>
          </w:p>
        </w:tc>
        <w:tc>
          <w:tcPr>
            <w:tcW w:w="2121" w:type="dxa"/>
            <w:vAlign w:val="center"/>
          </w:tcPr>
          <w:p>
            <w:pPr>
              <w:adjustRightInd w:val="0"/>
              <w:snapToGrid w:val="0"/>
              <w:rPr>
                <w:rFonts w:ascii="宋体" w:hAnsi="宋体"/>
                <w:sz w:val="24"/>
                <w:szCs w:val="24"/>
              </w:rPr>
            </w:pPr>
            <w:r>
              <w:rPr>
                <w:rFonts w:hint="eastAsia" w:ascii="宋体" w:hAnsi="宋体" w:cs="Arial"/>
                <w:sz w:val="24"/>
                <w:szCs w:val="24"/>
              </w:rPr>
              <w:t>B2B跨境平台产品发布能力、</w:t>
            </w:r>
            <w:r>
              <w:rPr>
                <w:rFonts w:hint="eastAsia" w:ascii="宋体" w:hAnsi="宋体"/>
                <w:sz w:val="24"/>
                <w:szCs w:val="24"/>
              </w:rPr>
              <w:t>跨境电商</w:t>
            </w:r>
            <w:r>
              <w:rPr>
                <w:rFonts w:hint="eastAsia" w:ascii="宋体" w:hAnsi="宋体" w:cs="Arial"/>
                <w:sz w:val="24"/>
                <w:szCs w:val="24"/>
              </w:rPr>
              <w:t>营销和推广能力、成本核算能力、贸易磋商能力、合同签订能力</w:t>
            </w:r>
          </w:p>
        </w:tc>
        <w:tc>
          <w:tcPr>
            <w:tcW w:w="776" w:type="dxa"/>
            <w:vMerge w:val="restart"/>
            <w:vAlign w:val="center"/>
          </w:tcPr>
          <w:p>
            <w:pPr>
              <w:adjustRightInd w:val="0"/>
              <w:snapToGrid w:val="0"/>
              <w:rPr>
                <w:rFonts w:asciiTheme="minorEastAsia" w:hAnsiTheme="minorEastAsia"/>
                <w:sz w:val="24"/>
                <w:szCs w:val="24"/>
              </w:rPr>
            </w:pPr>
            <w:r>
              <w:rPr>
                <w:rFonts w:hint="eastAsia" w:cs="Arial" w:asciiTheme="minorEastAsia" w:hAnsiTheme="minorEastAsia"/>
                <w:sz w:val="24"/>
                <w:szCs w:val="24"/>
              </w:rPr>
              <w:t>互联网+国际贸易业务实践应用能力、团队合作能力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60" w:type="dxa"/>
            <w:vAlign w:val="center"/>
          </w:tcPr>
          <w:p>
            <w:pPr>
              <w:adjustRightInd w:val="0"/>
              <w:snapToGrid w:val="0"/>
              <w:rPr>
                <w:rFonts w:ascii="宋体" w:hAnsi="宋体"/>
                <w:sz w:val="24"/>
                <w:szCs w:val="24"/>
              </w:rPr>
            </w:pPr>
            <w:r>
              <w:rPr>
                <w:rFonts w:hint="eastAsia" w:ascii="宋体" w:hAnsi="宋体"/>
                <w:sz w:val="24"/>
                <w:szCs w:val="24"/>
              </w:rPr>
              <w:t>外贸业务能力B2C模块</w:t>
            </w:r>
          </w:p>
        </w:tc>
        <w:tc>
          <w:tcPr>
            <w:tcW w:w="1843" w:type="dxa"/>
            <w:vAlign w:val="center"/>
          </w:tcPr>
          <w:p>
            <w:pPr>
              <w:adjustRightInd w:val="0"/>
              <w:snapToGrid w:val="0"/>
              <w:rPr>
                <w:rFonts w:ascii="宋体" w:hAnsi="宋体"/>
                <w:sz w:val="24"/>
                <w:szCs w:val="24"/>
              </w:rPr>
            </w:pPr>
            <w:r>
              <w:rPr>
                <w:rFonts w:hint="eastAsia" w:ascii="宋体" w:hAnsi="宋体"/>
                <w:sz w:val="24"/>
                <w:szCs w:val="24"/>
              </w:rPr>
              <w:t>跨境电商营销专员</w:t>
            </w:r>
          </w:p>
          <w:p>
            <w:pPr>
              <w:adjustRightInd w:val="0"/>
              <w:snapToGrid w:val="0"/>
              <w:rPr>
                <w:rFonts w:ascii="宋体" w:hAnsi="宋体"/>
                <w:sz w:val="24"/>
                <w:szCs w:val="24"/>
              </w:rPr>
            </w:pPr>
            <w:r>
              <w:rPr>
                <w:rFonts w:hint="eastAsia" w:ascii="宋体" w:hAnsi="宋体"/>
                <w:sz w:val="24"/>
                <w:szCs w:val="24"/>
              </w:rPr>
              <w:t>客服专员</w:t>
            </w:r>
          </w:p>
          <w:p>
            <w:pPr>
              <w:adjustRightInd w:val="0"/>
              <w:snapToGrid w:val="0"/>
              <w:rPr>
                <w:rFonts w:ascii="宋体" w:hAnsi="宋体"/>
                <w:sz w:val="24"/>
                <w:szCs w:val="24"/>
              </w:rPr>
            </w:pPr>
            <w:r>
              <w:rPr>
                <w:rFonts w:hint="eastAsia" w:ascii="宋体" w:hAnsi="宋体"/>
                <w:sz w:val="24"/>
                <w:szCs w:val="24"/>
              </w:rPr>
              <w:t>采购专员</w:t>
            </w:r>
          </w:p>
        </w:tc>
        <w:tc>
          <w:tcPr>
            <w:tcW w:w="2398" w:type="dxa"/>
            <w:vAlign w:val="center"/>
          </w:tcPr>
          <w:p>
            <w:pPr>
              <w:adjustRightInd w:val="0"/>
              <w:snapToGrid w:val="0"/>
              <w:rPr>
                <w:rFonts w:ascii="宋体" w:hAnsi="宋体"/>
                <w:sz w:val="24"/>
                <w:szCs w:val="24"/>
              </w:rPr>
            </w:pPr>
            <w:r>
              <w:rPr>
                <w:rFonts w:hint="eastAsia" w:ascii="宋体" w:hAnsi="宋体"/>
                <w:sz w:val="24"/>
                <w:szCs w:val="24"/>
              </w:rPr>
              <w:t>基于B2C跨境电子商务平台的产品展示、产品开发、数据挖掘及分析、跨境电商营销推广、进出口价格核算、成本控制、贸易磋商、平台规则等</w:t>
            </w:r>
          </w:p>
        </w:tc>
        <w:tc>
          <w:tcPr>
            <w:tcW w:w="2121" w:type="dxa"/>
            <w:vAlign w:val="center"/>
          </w:tcPr>
          <w:p>
            <w:pPr>
              <w:adjustRightInd w:val="0"/>
              <w:snapToGrid w:val="0"/>
              <w:rPr>
                <w:rFonts w:ascii="宋体" w:hAnsi="宋体" w:cs="Arial"/>
                <w:sz w:val="24"/>
                <w:szCs w:val="24"/>
              </w:rPr>
            </w:pPr>
            <w:r>
              <w:rPr>
                <w:rFonts w:hint="eastAsia" w:ascii="宋体" w:hAnsi="宋体" w:cs="Arial"/>
                <w:sz w:val="24"/>
                <w:szCs w:val="24"/>
              </w:rPr>
              <w:t>B2C跨境平台产品发布能力、产品开发能力、</w:t>
            </w:r>
            <w:r>
              <w:rPr>
                <w:rFonts w:hint="eastAsia" w:ascii="宋体" w:hAnsi="宋体"/>
                <w:sz w:val="24"/>
                <w:szCs w:val="24"/>
              </w:rPr>
              <w:t>跨境电商</w:t>
            </w:r>
            <w:r>
              <w:rPr>
                <w:rFonts w:hint="eastAsia" w:ascii="宋体" w:hAnsi="宋体" w:cs="Arial"/>
                <w:sz w:val="24"/>
                <w:szCs w:val="24"/>
              </w:rPr>
              <w:t>营销和推广能力、数据挖掘及分析能力、成本核算能力、贸易磋商能力</w:t>
            </w:r>
          </w:p>
        </w:tc>
        <w:tc>
          <w:tcPr>
            <w:tcW w:w="776" w:type="dxa"/>
            <w:vMerge w:val="continue"/>
            <w:vAlign w:val="center"/>
          </w:tcPr>
          <w:p>
            <w:pPr>
              <w:adjustRightInd w:val="0"/>
              <w:snapToGrid w:val="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60" w:type="dxa"/>
            <w:vAlign w:val="center"/>
          </w:tcPr>
          <w:p>
            <w:pPr>
              <w:adjustRightInd w:val="0"/>
              <w:snapToGrid w:val="0"/>
              <w:rPr>
                <w:rFonts w:ascii="宋体" w:hAnsi="宋体"/>
                <w:sz w:val="24"/>
                <w:szCs w:val="24"/>
              </w:rPr>
            </w:pPr>
            <w:r>
              <w:rPr>
                <w:rFonts w:hint="eastAsia" w:ascii="宋体" w:hAnsi="宋体"/>
                <w:sz w:val="24"/>
                <w:szCs w:val="24"/>
              </w:rPr>
              <w:t>外贸跟单能力模块</w:t>
            </w:r>
          </w:p>
        </w:tc>
        <w:tc>
          <w:tcPr>
            <w:tcW w:w="1843" w:type="dxa"/>
            <w:vAlign w:val="center"/>
          </w:tcPr>
          <w:p>
            <w:pPr>
              <w:adjustRightInd w:val="0"/>
              <w:snapToGrid w:val="0"/>
              <w:rPr>
                <w:rFonts w:ascii="宋体" w:hAnsi="宋体"/>
                <w:sz w:val="24"/>
                <w:szCs w:val="24"/>
              </w:rPr>
            </w:pPr>
            <w:r>
              <w:rPr>
                <w:rFonts w:hint="eastAsia" w:ascii="宋体" w:hAnsi="宋体"/>
                <w:sz w:val="24"/>
                <w:szCs w:val="24"/>
              </w:rPr>
              <w:t>外贸单证员</w:t>
            </w:r>
          </w:p>
          <w:p>
            <w:pPr>
              <w:adjustRightInd w:val="0"/>
              <w:snapToGrid w:val="0"/>
              <w:rPr>
                <w:rFonts w:ascii="宋体" w:hAnsi="宋体"/>
                <w:sz w:val="24"/>
                <w:szCs w:val="24"/>
              </w:rPr>
            </w:pPr>
            <w:r>
              <w:rPr>
                <w:rFonts w:hint="eastAsia" w:ascii="宋体" w:hAnsi="宋体"/>
                <w:sz w:val="24"/>
                <w:szCs w:val="24"/>
              </w:rPr>
              <w:t>外贸跟单员</w:t>
            </w:r>
          </w:p>
        </w:tc>
        <w:tc>
          <w:tcPr>
            <w:tcW w:w="2398" w:type="dxa"/>
            <w:vAlign w:val="center"/>
          </w:tcPr>
          <w:p>
            <w:pPr>
              <w:adjustRightInd w:val="0"/>
              <w:snapToGrid w:val="0"/>
              <w:rPr>
                <w:rFonts w:ascii="宋体" w:hAnsi="宋体"/>
                <w:sz w:val="24"/>
                <w:szCs w:val="24"/>
              </w:rPr>
            </w:pPr>
            <w:r>
              <w:rPr>
                <w:rFonts w:hint="eastAsia" w:ascii="宋体" w:hAnsi="宋体"/>
                <w:sz w:val="24"/>
                <w:szCs w:val="24"/>
              </w:rPr>
              <w:t>基于B2B跨境电子商务平台的履约流程、不同贸易术语和结算方式下的外贸单证制作方法、外贸跟单流程</w:t>
            </w:r>
          </w:p>
        </w:tc>
        <w:tc>
          <w:tcPr>
            <w:tcW w:w="2121" w:type="dxa"/>
            <w:vAlign w:val="center"/>
          </w:tcPr>
          <w:p>
            <w:pPr>
              <w:adjustRightInd w:val="0"/>
              <w:snapToGrid w:val="0"/>
              <w:rPr>
                <w:rFonts w:ascii="宋体" w:hAnsi="宋体" w:cs="Arial"/>
                <w:sz w:val="24"/>
                <w:szCs w:val="24"/>
              </w:rPr>
            </w:pPr>
            <w:r>
              <w:rPr>
                <w:rFonts w:hint="eastAsia" w:ascii="宋体" w:hAnsi="宋体" w:cs="Arial"/>
                <w:sz w:val="24"/>
                <w:szCs w:val="24"/>
              </w:rPr>
              <w:t>出口单证制作能力、出口跟单能力、进口单证制作能力、进口跟单能力</w:t>
            </w:r>
          </w:p>
        </w:tc>
        <w:tc>
          <w:tcPr>
            <w:tcW w:w="776" w:type="dxa"/>
            <w:vMerge w:val="continue"/>
            <w:vAlign w:val="center"/>
          </w:tcPr>
          <w:p>
            <w:pPr>
              <w:adjustRightInd w:val="0"/>
              <w:snapToGrid w:val="0"/>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60" w:type="dxa"/>
            <w:vAlign w:val="center"/>
          </w:tcPr>
          <w:p>
            <w:pPr>
              <w:adjustRightInd w:val="0"/>
              <w:snapToGrid w:val="0"/>
              <w:rPr>
                <w:rFonts w:ascii="宋体" w:hAnsi="宋体"/>
                <w:sz w:val="24"/>
                <w:szCs w:val="24"/>
              </w:rPr>
            </w:pPr>
            <w:r>
              <w:rPr>
                <w:rFonts w:hint="eastAsia" w:ascii="宋体" w:hAnsi="宋体"/>
                <w:sz w:val="24"/>
                <w:szCs w:val="24"/>
              </w:rPr>
              <w:t>外贸英语沟通能力模块</w:t>
            </w:r>
          </w:p>
        </w:tc>
        <w:tc>
          <w:tcPr>
            <w:tcW w:w="1843" w:type="dxa"/>
            <w:vAlign w:val="center"/>
          </w:tcPr>
          <w:p>
            <w:pPr>
              <w:adjustRightInd w:val="0"/>
              <w:snapToGrid w:val="0"/>
              <w:rPr>
                <w:rFonts w:ascii="宋体" w:hAnsi="宋体"/>
                <w:sz w:val="24"/>
                <w:szCs w:val="24"/>
              </w:rPr>
            </w:pPr>
            <w:r>
              <w:rPr>
                <w:rFonts w:hint="eastAsia" w:ascii="宋体" w:hAnsi="宋体"/>
                <w:sz w:val="24"/>
                <w:szCs w:val="24"/>
              </w:rPr>
              <w:t>外贸业务员</w:t>
            </w:r>
          </w:p>
          <w:p>
            <w:pPr>
              <w:adjustRightInd w:val="0"/>
              <w:snapToGrid w:val="0"/>
              <w:rPr>
                <w:rFonts w:ascii="宋体" w:hAnsi="宋体"/>
                <w:sz w:val="24"/>
                <w:szCs w:val="24"/>
              </w:rPr>
            </w:pPr>
            <w:r>
              <w:rPr>
                <w:rFonts w:hint="eastAsia" w:ascii="宋体" w:hAnsi="宋体"/>
                <w:sz w:val="24"/>
                <w:szCs w:val="24"/>
              </w:rPr>
              <w:t>跨境电商营销专员</w:t>
            </w:r>
          </w:p>
        </w:tc>
        <w:tc>
          <w:tcPr>
            <w:tcW w:w="2398" w:type="dxa"/>
            <w:vAlign w:val="center"/>
          </w:tcPr>
          <w:p>
            <w:pPr>
              <w:adjustRightInd w:val="0"/>
              <w:snapToGrid w:val="0"/>
              <w:rPr>
                <w:rFonts w:ascii="宋体" w:hAnsi="宋体"/>
                <w:sz w:val="24"/>
                <w:szCs w:val="24"/>
              </w:rPr>
            </w:pPr>
            <w:r>
              <w:rPr>
                <w:rFonts w:hint="eastAsia" w:ascii="宋体" w:hAnsi="宋体"/>
                <w:sz w:val="24"/>
                <w:szCs w:val="24"/>
              </w:rPr>
              <w:t>基于外贸英语沟通情境的商务接待和商务谈判</w:t>
            </w:r>
          </w:p>
        </w:tc>
        <w:tc>
          <w:tcPr>
            <w:tcW w:w="2121" w:type="dxa"/>
            <w:vAlign w:val="center"/>
          </w:tcPr>
          <w:p>
            <w:pPr>
              <w:adjustRightInd w:val="0"/>
              <w:snapToGrid w:val="0"/>
              <w:rPr>
                <w:rFonts w:ascii="宋体" w:hAnsi="宋体" w:cs="Arial"/>
                <w:sz w:val="24"/>
                <w:szCs w:val="24"/>
              </w:rPr>
            </w:pPr>
            <w:r>
              <w:rPr>
                <w:rFonts w:hint="eastAsia" w:ascii="宋体" w:hAnsi="宋体" w:cs="Arial"/>
                <w:sz w:val="24"/>
                <w:szCs w:val="24"/>
              </w:rPr>
              <w:t>商务接待、商务谈判等多种外贸场景及不同文化背景下的英语交流沟通能力</w:t>
            </w:r>
          </w:p>
        </w:tc>
        <w:tc>
          <w:tcPr>
            <w:tcW w:w="776" w:type="dxa"/>
            <w:vMerge w:val="continue"/>
            <w:vAlign w:val="center"/>
          </w:tcPr>
          <w:p>
            <w:pPr>
              <w:adjustRightInd w:val="0"/>
              <w:snapToGrid w:val="0"/>
              <w:rPr>
                <w:rFonts w:ascii="宋体" w:hAnsi="宋体"/>
                <w:szCs w:val="21"/>
              </w:rPr>
            </w:pP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（四）竞赛平台成熟。</w:t>
      </w:r>
      <w:r>
        <w:rPr>
          <w:rFonts w:hint="eastAsia" w:ascii="Arial Narrow" w:hAnsi="Arial Narrow" w:eastAsia="仿宋_GB2312"/>
          <w:sz w:val="30"/>
          <w:szCs w:val="30"/>
        </w:rPr>
        <w:t>根据行业特点，赛项选择相对先进、通用性强、社会保有量高的设备与软件</w:t>
      </w: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sz w:val="30"/>
          <w:szCs w:val="30"/>
        </w:rPr>
      </w:pPr>
      <w:r>
        <w:rPr>
          <w:rFonts w:hint="eastAsia" w:ascii="仿宋_GB2312" w:hAnsi="Arial Narrow" w:eastAsia="仿宋_GB2312" w:cs="Arial"/>
          <w:sz w:val="30"/>
          <w:szCs w:val="30"/>
        </w:rPr>
        <w:t>2018</w:t>
      </w:r>
      <w:r>
        <w:rPr>
          <w:rFonts w:hint="eastAsia" w:ascii="Arial Narrow" w:hAnsi="Arial Narrow" w:eastAsia="仿宋_GB2312" w:cs="Arial"/>
          <w:sz w:val="30"/>
          <w:szCs w:val="30"/>
        </w:rPr>
        <w:t>年全国职业院校技能大赛互联网+国际贸易综合技能赛项共有来自28个省、市、自治区的74支代表队参加，前期共有</w:t>
      </w:r>
      <w:r>
        <w:rPr>
          <w:rFonts w:hint="eastAsia" w:ascii="仿宋_GB2312" w:hAnsi="Arial Narrow" w:eastAsia="仿宋_GB2312" w:cs="Arial"/>
          <w:sz w:val="30"/>
          <w:szCs w:val="30"/>
        </w:rPr>
        <w:t>22</w:t>
      </w:r>
      <w:r>
        <w:rPr>
          <w:rFonts w:hint="eastAsia" w:ascii="Arial Narrow" w:hAnsi="Arial Narrow" w:eastAsia="仿宋_GB2312" w:cs="Arial"/>
          <w:sz w:val="30"/>
          <w:szCs w:val="30"/>
        </w:rPr>
        <w:t>个省、市、自治区举办了互联网+国际</w:t>
      </w:r>
      <w:r>
        <w:rPr>
          <w:rFonts w:hint="eastAsia" w:ascii="仿宋_GB2312" w:hAnsi="Arial Narrow" w:eastAsia="仿宋_GB2312" w:cs="Arial"/>
          <w:sz w:val="30"/>
          <w:szCs w:val="30"/>
        </w:rPr>
        <w:t>贸易综合技能的省赛或选拔赛，341所院校、396支队伍参</w:t>
      </w:r>
      <w:r>
        <w:rPr>
          <w:rFonts w:hint="eastAsia" w:ascii="Arial Narrow" w:hAnsi="Arial Narrow" w:eastAsia="仿宋_GB2312" w:cs="Arial"/>
          <w:sz w:val="30"/>
          <w:szCs w:val="30"/>
        </w:rPr>
        <w:t>与其中。赛项所选用的技术平台</w:t>
      </w:r>
      <w:r>
        <w:rPr>
          <w:rFonts w:hint="eastAsia" w:ascii="Arial Narrow" w:hAnsi="Arial Narrow" w:eastAsia="仿宋_GB2312"/>
          <w:sz w:val="30"/>
          <w:szCs w:val="30"/>
        </w:rPr>
        <w:t>在整个省赛和国赛期间，表现出了极强的稳定性，保证了竞赛公平、公正、顺利有序的进行。</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sz w:val="30"/>
          <w:szCs w:val="30"/>
        </w:rPr>
        <w:t>竞赛平台在全国众多中高职与本科院校中被广泛使用，具有良好的校企合作基础。由全国外经贸职业教育教学指导委员会和中国国际贸易学会联合主办的全国外贸技能竞赛已经成功举办了10届，自2012年起至今连续6届采用该平台，做到零差错，受到组委会和参赛队的一致好评。此外，该平台2011年起至今承担了7届POCIB全国大学生外贸从业能力大赛，累计参赛学生超4万人，创全国外贸类竞赛规模之最。</w:t>
      </w:r>
    </w:p>
    <w:p>
      <w:pPr>
        <w:snapToGrid w:val="0"/>
        <w:spacing w:line="560" w:lineRule="exact"/>
        <w:ind w:firstLine="600" w:firstLineChars="200"/>
        <w:rPr>
          <w:rFonts w:ascii="仿宋_GB2312" w:hAnsi="Arial Narrow" w:eastAsia="仿宋_GB2312"/>
          <w:sz w:val="30"/>
          <w:szCs w:val="30"/>
        </w:rPr>
      </w:pPr>
      <w:r>
        <w:rPr>
          <w:rFonts w:hint="eastAsia" w:ascii="仿宋_GB2312" w:hAnsi="Arial Narrow" w:eastAsia="仿宋_GB2312"/>
          <w:sz w:val="30"/>
          <w:szCs w:val="30"/>
        </w:rPr>
        <w:t>综上所述，竞赛平台具有广泛的校企合作基础及教学应用实践，既能满足新形势下国际贸易的日常教学任务，培养学生的职业技能与素养，又具有先进性、稳定性、通用性等特性，可作为校级、省级和全国性比赛的平台，确保竞赛公平、公正、顺利有序地进行。</w:t>
      </w:r>
    </w:p>
    <w:p>
      <w:pPr>
        <w:pStyle w:val="2"/>
        <w:ind w:firstLine="600"/>
        <w:rPr>
          <w:rFonts w:ascii="Arial Narrow" w:hAnsi="Arial Narrow" w:eastAsia="仿宋_GB2312" w:cs="Arial"/>
        </w:rPr>
      </w:pPr>
      <w:bookmarkStart w:id="7" w:name="_Toc522017693"/>
      <w:r>
        <w:rPr>
          <w:rFonts w:hint="eastAsia"/>
        </w:rPr>
        <w:t>五、赛项方案的特色与创新点</w:t>
      </w:r>
      <w:bookmarkEnd w:id="7"/>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（一）竞赛内容以服务“一带一路”建设为核心，积极推进“贸易畅通”</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竞赛设计将连接、开放、协作、共享的互联网思维融入到传统国际贸易中，内容为基于B2B及B2C跨境电子商务平台的外贸业务能力模块、外贸跟单能力模块、外贸英语沟通能力模块，涵盖B2B及B2C跨境电子商务平台产品发布、营销推广、商务沟通、磋商签约、单证、跟单等外贸综合业务操作,以B2B、B2C跨境电子商务创新贸易方式为手段，积极挖掘贸易新增长点，巩固和扩大传统贸易，利用信息技术实现生产者与消费者、线上和线下的全面对接，积极服务“一带一路”倡议中贸易自由化、便利化、实现贸易畅通的合作重点。</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（二）竞赛形式真实还原工作岗位环境，竞赛过程体现团队合作和竞争对抗</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竞赛组织流程及每个细节都真实再现了互联网+国际贸易活动中各个岗位所应具备的操作技能与职业素养，完全贴合企业一线岗位的实际工作需要。</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竞赛过程真实反映互联网＋国际贸易业务中不同国家企业间的合作与竞争，需要选手用合作共赢的心态、坚实的理论、熟练的操作、稳定的心理素质、快速的应变能力和紧密的团队合作来完成竞赛任务，提升选手的团队合作精神与竞争意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（三）竞赛资源可实现快速转化，全方位服务专业建设，推进教学改革</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微软雅黑" w:eastAsia="仿宋_GB2312" w:cs="Arial"/>
          <w:sz w:val="30"/>
          <w:szCs w:val="30"/>
        </w:rPr>
        <w:t>依据竞赛赛题及竞赛规程编写实训教程，可面向全国高职院校发行，将竞赛任务转化为教学内容。同时将竞赛</w:t>
      </w:r>
      <w:r>
        <w:rPr>
          <w:rFonts w:hint="eastAsia" w:ascii="仿宋_GB2312" w:hAnsi="Arial Narrow" w:eastAsia="仿宋_GB2312" w:cs="Arial"/>
          <w:sz w:val="30"/>
          <w:szCs w:val="30"/>
        </w:rPr>
        <w:t>题库与竞赛平台相结合，形成专业教学软件，实现竞赛资源的快速转化，服务院校专业建设，推进专业教学改革。</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竞赛基于互联网的应用平台，突破地域限制，可举办与国赛配套的行业赛事或校际赛事，充分发挥互联网的功效，提高学生的参与度，真正做到以赛促学、以赛促教、以赛促改。</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（四）题库公开及评判过程体现公开、公平、公正</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本赛项题库将全部公开，竞赛将严格按照规定执行。外贸业务能力模块、外贸跟单能力模块基于B2B、B2C跨境电子商务平台，对接外贸业务操作各环节的工作任务，并由系统开展自动化评判。竞赛现场将实时直播，确保整个竞赛过程及结果的客观、公平、公正。</w:t>
      </w:r>
    </w:p>
    <w:p>
      <w:pPr>
        <w:pStyle w:val="2"/>
        <w:ind w:firstLine="600"/>
      </w:pPr>
      <w:bookmarkStart w:id="8" w:name="_Toc522017694"/>
      <w:r>
        <w:rPr>
          <w:rFonts w:hint="eastAsia"/>
        </w:rPr>
        <w:t>六、竞赛内容简介（须附英文对照简介）</w:t>
      </w:r>
      <w:bookmarkEnd w:id="8"/>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本竞赛分为外贸业务能力B2B模块、外贸业务能力B2C模块、外贸跟单能力模块和外贸英语沟通能力模块四项内容。</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外贸业务能力B2B模块：各参赛院校选手通过B2B跨境电子商务平台推广公司和产品，带来业务机会，并与其他国家区域的选手磋商交易，业务操作至合同签订为止。选手需在规定时间内争取尽量多的业务机会，体现业务多样性，同时还必须做好每笔业务的成本核算，实现利润最大化。</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外贸业务能力B2C模块：各参赛院校选手通过B2C跨境电子商务竞赛系统，在规定时间内就B2C跨境电子商务平台产品推广、产品开发、运费模板设置、数据挖掘与分析、引流营销、客户服务、平台规则、物流采购等业务操作环节作答。考察选手在基于B2C跨境电子商务平台下的外贸业务应用能力。</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外贸跟单能力模块：根据给定的进出口合同，每队选手需完成一笔出口业务和一笔进口业务的后续履约流程。考察选手在不同贸易术语和结算方式下的外贸单证制作能力和外贸跟单能力。</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外贸英语沟通能力模块：以外贸业务流程、商务接待、商务谈判等情境为背景，以沟通过程与内容为载体，以英语口语表达为形式，考察选手在外贸业务环节中的英语沟通能力。</w:t>
      </w:r>
    </w:p>
    <w:p>
      <w:pPr>
        <w:adjustRightInd w:val="0"/>
        <w:snapToGrid w:val="0"/>
        <w:spacing w:line="560" w:lineRule="exact"/>
        <w:rPr>
          <w:rFonts w:ascii="Times New Roman" w:hAnsi="Times New Roman" w:eastAsia="仿宋"/>
          <w:sz w:val="28"/>
          <w:szCs w:val="28"/>
          <w:shd w:val="clear" w:color="auto" w:fill="FFFFFF"/>
        </w:rPr>
      </w:pP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 xml:space="preserve">The competition is consisted of </w:t>
      </w:r>
      <w:r>
        <w:rPr>
          <w:rFonts w:hint="eastAsia" w:ascii="Times New Roman" w:hAnsi="Times New Roman" w:eastAsia="仿宋"/>
          <w:sz w:val="28"/>
          <w:szCs w:val="28"/>
          <w:shd w:val="clear" w:color="auto" w:fill="FFFFFF"/>
        </w:rPr>
        <w:t>four</w:t>
      </w:r>
      <w:r>
        <w:rPr>
          <w:rFonts w:ascii="Times New Roman" w:hAnsi="Times New Roman" w:eastAsia="仿宋"/>
          <w:sz w:val="28"/>
          <w:szCs w:val="28"/>
          <w:shd w:val="clear" w:color="auto" w:fill="FFFFFF"/>
        </w:rPr>
        <w:t xml:space="preserve"> individual modules examining competitors’ competences in handling </w:t>
      </w:r>
      <w:r>
        <w:rPr>
          <w:rFonts w:hint="eastAsia" w:ascii="Times New Roman" w:hAnsi="Times New Roman" w:eastAsia="仿宋"/>
          <w:sz w:val="28"/>
          <w:szCs w:val="28"/>
          <w:shd w:val="clear" w:color="auto" w:fill="FFFFFF"/>
        </w:rPr>
        <w:t xml:space="preserve">B2B module of </w:t>
      </w:r>
      <w:r>
        <w:rPr>
          <w:rFonts w:ascii="Times New Roman" w:hAnsi="Times New Roman" w:eastAsia="仿宋"/>
          <w:sz w:val="28"/>
          <w:szCs w:val="28"/>
          <w:shd w:val="clear" w:color="auto" w:fill="FFFFFF"/>
        </w:rPr>
        <w:t>foreign trade business</w:t>
      </w:r>
      <w:r>
        <w:rPr>
          <w:rFonts w:hint="eastAsia" w:ascii="Times New Roman" w:hAnsi="Times New Roman" w:eastAsia="仿宋"/>
          <w:sz w:val="28"/>
          <w:szCs w:val="28"/>
          <w:shd w:val="clear" w:color="auto" w:fill="FFFFFF"/>
        </w:rPr>
        <w:t xml:space="preserve">, B2C module of </w:t>
      </w:r>
      <w:r>
        <w:rPr>
          <w:rFonts w:ascii="Times New Roman" w:hAnsi="Times New Roman" w:eastAsia="仿宋"/>
          <w:sz w:val="28"/>
          <w:szCs w:val="28"/>
          <w:shd w:val="clear" w:color="auto" w:fill="FFFFFF"/>
        </w:rPr>
        <w:t>foreign trade business, foreign trade documentary</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and foreign trade</w:t>
      </w:r>
      <w:r>
        <w:rPr>
          <w:rFonts w:hint="eastAsia" w:ascii="Times New Roman" w:hAnsi="Times New Roman" w:eastAsia="仿宋"/>
          <w:sz w:val="28"/>
          <w:szCs w:val="28"/>
          <w:shd w:val="clear" w:color="auto" w:fill="FFFFFF"/>
        </w:rPr>
        <w:t xml:space="preserve"> English</w:t>
      </w:r>
      <w:r>
        <w:rPr>
          <w:rFonts w:ascii="Times New Roman" w:hAnsi="Times New Roman" w:eastAsia="仿宋"/>
          <w:sz w:val="28"/>
          <w:szCs w:val="28"/>
          <w:shd w:val="clear" w:color="auto" w:fill="FFFFFF"/>
        </w:rPr>
        <w:t xml:space="preserve"> communication</w:t>
      </w:r>
      <w:r>
        <w:rPr>
          <w:rFonts w:hint="eastAsia" w:ascii="Times New Roman" w:hAnsi="Times New Roman" w:eastAsia="仿宋"/>
          <w:sz w:val="28"/>
          <w:szCs w:val="28"/>
          <w:shd w:val="clear" w:color="auto" w:fill="FFFFFF"/>
        </w:rPr>
        <w:t>.</w:t>
      </w:r>
    </w:p>
    <w:p>
      <w:pPr>
        <w:adjustRightInd w:val="0"/>
        <w:snapToGrid w:val="0"/>
        <w:spacing w:line="560" w:lineRule="exact"/>
        <w:rPr>
          <w:rFonts w:ascii="Times New Roman" w:hAnsi="Times New Roman" w:eastAsia="仿宋"/>
          <w:sz w:val="28"/>
          <w:szCs w:val="28"/>
          <w:shd w:val="clear" w:color="auto" w:fill="FFFFFF"/>
        </w:rPr>
      </w:pPr>
      <w:r>
        <w:rPr>
          <w:rFonts w:hint="eastAsia" w:ascii="Times New Roman" w:hAnsi="Times New Roman" w:eastAsia="仿宋"/>
          <w:sz w:val="28"/>
          <w:szCs w:val="28"/>
          <w:shd w:val="clear" w:color="auto" w:fill="FFFFFF"/>
        </w:rPr>
        <w:t xml:space="preserve">    B2B</w:t>
      </w:r>
      <w:r>
        <w:rPr>
          <w:rFonts w:ascii="Times New Roman" w:hAnsi="Times New Roman" w:eastAsia="仿宋"/>
          <w:sz w:val="28"/>
          <w:szCs w:val="28"/>
          <w:shd w:val="clear" w:color="auto" w:fill="FFFFFF"/>
        </w:rPr>
        <w:t xml:space="preserve"> module of competence in handling foreign trade business:</w:t>
      </w:r>
      <w:r>
        <w:rPr>
          <w:rFonts w:hint="eastAsia" w:ascii="Times New Roman" w:hAnsi="Times New Roman" w:eastAsia="仿宋"/>
          <w:sz w:val="28"/>
          <w:szCs w:val="28"/>
          <w:shd w:val="clear" w:color="auto" w:fill="FFFFFF"/>
        </w:rPr>
        <w:t xml:space="preserve"> T</w:t>
      </w:r>
      <w:r>
        <w:rPr>
          <w:rFonts w:ascii="Times New Roman" w:hAnsi="Times New Roman" w:eastAsia="仿宋"/>
          <w:sz w:val="28"/>
          <w:szCs w:val="28"/>
          <w:shd w:val="clear" w:color="auto" w:fill="FFFFFF"/>
        </w:rPr>
        <w:t>he competitors from participating colleges must promote their companies and products through B2B cross-border e-commerce platform</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to bring business opportunities, and negotiate with their counterparts from</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other countries and regions,</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go through</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business procedures and sign the</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contracts. The competitors</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need to get as many business opportunities as possible within the limited time,</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to present different business modes.</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 xml:space="preserve">Meanwhile, the competitors must do a good job in the cost accounting for each business to achieve maximum profit. </w:t>
      </w:r>
    </w:p>
    <w:p>
      <w:pPr>
        <w:adjustRightInd w:val="0"/>
        <w:snapToGrid w:val="0"/>
        <w:spacing w:line="560" w:lineRule="exact"/>
        <w:rPr>
          <w:rFonts w:ascii="Times New Roman" w:hAnsi="Times New Roman" w:eastAsia="仿宋"/>
          <w:sz w:val="28"/>
          <w:szCs w:val="28"/>
          <w:shd w:val="clear" w:color="auto" w:fill="FFFFFF"/>
        </w:rPr>
      </w:pPr>
      <w:r>
        <w:rPr>
          <w:rFonts w:hint="eastAsia" w:ascii="Times New Roman" w:hAnsi="Times New Roman" w:eastAsia="仿宋"/>
          <w:sz w:val="28"/>
          <w:szCs w:val="28"/>
          <w:shd w:val="clear" w:color="auto" w:fill="FFFFFF"/>
        </w:rPr>
        <w:t xml:space="preserve">    B2C module of competence in handling foreign trade business: The competitors must finish answering all questions about B2C cross-border e-commerce platform such as product promotion, product development, freight arrangement, data mining and analysis, drainage marketing, customer service, platform rules, logistics and procurement within the stipulated time by B2C cross-border e-commerce </w:t>
      </w:r>
      <w:r>
        <w:rPr>
          <w:rFonts w:ascii="Times New Roman" w:hAnsi="Times New Roman" w:eastAsia="仿宋"/>
          <w:sz w:val="28"/>
          <w:szCs w:val="28"/>
          <w:shd w:val="clear" w:color="auto" w:fill="FFFFFF"/>
        </w:rPr>
        <w:t>competition</w:t>
      </w:r>
      <w:r>
        <w:rPr>
          <w:rFonts w:hint="eastAsia" w:ascii="Times New Roman" w:hAnsi="Times New Roman" w:eastAsia="仿宋"/>
          <w:sz w:val="28"/>
          <w:szCs w:val="28"/>
          <w:shd w:val="clear" w:color="auto" w:fill="FFFFFF"/>
        </w:rPr>
        <w:t xml:space="preserve"> system. It aims to examine the competitors</w:t>
      </w:r>
      <w:r>
        <w:rPr>
          <w:rFonts w:ascii="Times New Roman" w:hAnsi="Times New Roman" w:eastAsia="仿宋"/>
          <w:sz w:val="28"/>
          <w:szCs w:val="28"/>
          <w:shd w:val="clear" w:color="auto" w:fill="FFFFFF"/>
        </w:rPr>
        <w:t>’</w:t>
      </w:r>
      <w:r>
        <w:rPr>
          <w:rFonts w:hint="eastAsia" w:ascii="Times New Roman" w:hAnsi="Times New Roman" w:eastAsia="仿宋"/>
          <w:sz w:val="28"/>
          <w:szCs w:val="28"/>
          <w:shd w:val="clear" w:color="auto" w:fill="FFFFFF"/>
        </w:rPr>
        <w:t xml:space="preserve"> foreign trade business handling ability based on B2C cross-border e-commerce platform.</w:t>
      </w:r>
    </w:p>
    <w:p>
      <w:pPr>
        <w:adjustRightInd w:val="0"/>
        <w:snapToGrid w:val="0"/>
        <w:spacing w:line="560" w:lineRule="exact"/>
        <w:rPr>
          <w:rFonts w:ascii="Times New Roman" w:hAnsi="Times New Roman" w:eastAsia="仿宋"/>
          <w:sz w:val="28"/>
          <w:szCs w:val="28"/>
          <w:shd w:val="clear" w:color="auto" w:fill="FFFFFF"/>
        </w:rPr>
      </w:pP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The module of competence in</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handling foreign trade documentary: The competitors in each team must complete</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the whole follow-up process of</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an export business and an import business</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according to the given export</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and import</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contracts.</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This</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module</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mainly evaluates the competitors’</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competences in documentary</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drafting and documentary</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follow-up under the conditions of different</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 xml:space="preserve">trade </w:t>
      </w:r>
      <w:r>
        <w:rPr>
          <w:rFonts w:hint="eastAsia" w:ascii="Times New Roman" w:hAnsi="Times New Roman" w:eastAsia="仿宋"/>
          <w:sz w:val="28"/>
          <w:szCs w:val="28"/>
          <w:shd w:val="clear" w:color="auto" w:fill="FFFFFF"/>
        </w:rPr>
        <w:t xml:space="preserve">terms </w:t>
      </w:r>
      <w:r>
        <w:rPr>
          <w:rFonts w:ascii="Times New Roman" w:hAnsi="Times New Roman" w:eastAsia="仿宋"/>
          <w:sz w:val="28"/>
          <w:szCs w:val="28"/>
          <w:shd w:val="clear" w:color="auto" w:fill="FFFFFF"/>
        </w:rPr>
        <w:t>and settlement.</w:t>
      </w:r>
    </w:p>
    <w:p>
      <w:pPr>
        <w:adjustRightInd w:val="0"/>
        <w:snapToGrid w:val="0"/>
        <w:spacing w:line="560" w:lineRule="exact"/>
        <w:rPr>
          <w:rFonts w:ascii="Times New Roman" w:hAnsi="Times New Roman" w:eastAsia="仿宋"/>
          <w:sz w:val="28"/>
          <w:szCs w:val="28"/>
          <w:shd w:val="clear" w:color="auto" w:fill="FFFFFF"/>
        </w:rPr>
      </w:pP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The module of competence in</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foreign trade</w:t>
      </w:r>
      <w:r>
        <w:rPr>
          <w:rFonts w:hint="eastAsia" w:ascii="Times New Roman" w:hAnsi="Times New Roman" w:eastAsia="仿宋"/>
          <w:sz w:val="28"/>
          <w:szCs w:val="28"/>
          <w:shd w:val="clear" w:color="auto" w:fill="FFFFFF"/>
        </w:rPr>
        <w:t xml:space="preserve"> English</w:t>
      </w:r>
      <w:r>
        <w:rPr>
          <w:rFonts w:ascii="Times New Roman" w:hAnsi="Times New Roman" w:eastAsia="仿宋"/>
          <w:sz w:val="28"/>
          <w:szCs w:val="28"/>
          <w:shd w:val="clear" w:color="auto" w:fill="FFFFFF"/>
        </w:rPr>
        <w:t xml:space="preserve"> communication:</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this module evaluates the competitors’</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competences in business English communication on the background of modern foreign trade business</w:t>
      </w:r>
      <w:r>
        <w:rPr>
          <w:rFonts w:hint="eastAsia" w:ascii="Times New Roman" w:hAnsi="Times New Roman" w:eastAsia="仿宋"/>
          <w:sz w:val="28"/>
          <w:szCs w:val="28"/>
          <w:shd w:val="clear" w:color="auto" w:fill="FFFFFF"/>
        </w:rPr>
        <w:t xml:space="preserve"> process, </w:t>
      </w:r>
      <w:r>
        <w:rPr>
          <w:rFonts w:ascii="Times New Roman" w:hAnsi="Times New Roman" w:eastAsia="仿宋"/>
          <w:sz w:val="28"/>
          <w:szCs w:val="28"/>
          <w:shd w:val="clear" w:color="auto" w:fill="FFFFFF"/>
        </w:rPr>
        <w:t>reception and negotiation,</w:t>
      </w:r>
      <w:r>
        <w:rPr>
          <w:rFonts w:hint="eastAsia" w:ascii="Times New Roman" w:hAnsi="Times New Roman" w:eastAsia="仿宋"/>
          <w:sz w:val="28"/>
          <w:szCs w:val="28"/>
          <w:shd w:val="clear" w:color="auto" w:fill="FFFFFF"/>
        </w:rPr>
        <w:t xml:space="preserve"> </w:t>
      </w:r>
      <w:r>
        <w:rPr>
          <w:rFonts w:ascii="Times New Roman" w:hAnsi="Times New Roman" w:eastAsia="仿宋"/>
          <w:sz w:val="28"/>
          <w:szCs w:val="28"/>
          <w:shd w:val="clear" w:color="auto" w:fill="FFFFFF"/>
        </w:rPr>
        <w:t>with the communication process and content as the carrier, in the form of spoken English</w:t>
      </w:r>
      <w:r>
        <w:rPr>
          <w:rFonts w:hint="eastAsia" w:ascii="Times New Roman" w:hAnsi="Times New Roman" w:eastAsia="仿宋"/>
          <w:sz w:val="28"/>
          <w:szCs w:val="28"/>
          <w:shd w:val="clear" w:color="auto" w:fill="FFFFFF"/>
        </w:rPr>
        <w:t>.</w:t>
      </w:r>
    </w:p>
    <w:p>
      <w:pPr>
        <w:pStyle w:val="2"/>
        <w:ind w:firstLine="600"/>
      </w:pPr>
      <w:bookmarkStart w:id="9" w:name="_Toc522017695"/>
      <w:r>
        <w:rPr>
          <w:rFonts w:hint="eastAsia"/>
        </w:rPr>
        <w:t>七、竞赛方式（含组队要求、是否邀请境外代表队参赛）</w:t>
      </w:r>
      <w:bookmarkEnd w:id="9"/>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（一）组队及报名</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本竞赛为团体赛，团体赛不得跨校组队，同一学校相同项目报名参赛队不超过 1 支。每队4名选手（鼓励有条件的院校选派在籍留学生参与组队），不超过2名指导教师。1名领队老师可由指导老师兼任。每支队伍的4名学生以自由组合方式自行分为2组，其中1组参加外贸英语沟通能力模块竞赛，1组参加外贸业务能力B2C模块竞赛。外贸业务能力B2B模块及外贸跟单能力模块的竞赛须2组同时参加。曾获得该赛项一等奖的选手不允许重复参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竞赛不邀请境外代表队参赛，欢迎境外代表队观摩。竞赛同期将举办“一带一路”沿线国家留学生国际贸易技能竞赛活动。</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（二）竞赛方案</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1.外贸业务能力B2B模块</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（1）竞赛方式为在线上机竞赛；</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（2）竞赛总时间为240分钟；</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（3）竞赛形式为模拟不同国家间进行进出口贸易。每个参赛队的2组选手通过组内2名选手的团队合作，与其他参赛队伍开展进出口贸易；</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（4）选手需完成B2B跨境电子商务平台推广、进出口交易磋商、进出口业务成本核算、进出口合同的缮制与审核等贸易流程；</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（5）同一参赛队、同一国家的选手无法进行交易；</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（6）</w:t>
      </w:r>
      <w:r>
        <w:rPr>
          <w:rFonts w:ascii="仿宋_GB2312" w:hAnsi="仿宋" w:eastAsia="仿宋_GB2312" w:cs="Arial"/>
          <w:sz w:val="30"/>
          <w:szCs w:val="30"/>
        </w:rPr>
        <w:t>各笔业务进行至合同签订确认即告完成，无需完成后续履约过程。业务盈亏情况以相应预算表中实际发生额数字为准</w:t>
      </w:r>
      <w:r>
        <w:rPr>
          <w:rFonts w:hint="eastAsia" w:ascii="仿宋_GB2312" w:hAnsi="仿宋" w:eastAsia="仿宋_GB2312" w:cs="Arial"/>
          <w:sz w:val="30"/>
          <w:szCs w:val="30"/>
        </w:rPr>
        <w:t>；</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（7）所有业务采用统一的保险条款及投保加成，海运方式下按照“协会货物(A)险条款（ICC Clause A）＋战争险（War Risks）＋罢工险（Strike）”进行投保，空运方式下按照“航空运输一切险（Air Transportation All Risks）＋战争险（War Risks）＋罢工险（Strike）”进行投保，且投保加成统一为110%；</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（8）单笔业务成交金额不能超过公司当前资金，且不允许贷款；</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（9）每组选手可完成的业务笔数不超过16笔。</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2.外贸业务能力B2C模块</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（1）竞赛方式为在线上机竞赛；</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（2）竞赛总时间为60分钟；</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（3）每个参赛队选派1组选手参加，选手根据竞赛系统给出的问题作答。</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3.外贸跟单能力模块</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（1）竞赛方式为在线上机竞赛；</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（2）竞赛总时间为80分钟；</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（3）每个参赛队的2组选手各自模拟不同国家的进出口企业，在竞赛系统中根据给定的进出口合同各自分别完成一笔出口业务的履约流程和一笔进口业务的履约流程；</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（4）每笔业务的交易对象为本参赛队的另一组选手。本项比赛需要参赛队的4名队员的团队配合，因为不同组选手在不同场地竞赛，组间交流只能利用竞赛平台的邮件系统；</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（5）每笔业务履约完成以业务进入“历史业务”阶段为准。</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4.外贸英语沟通能力模块</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（1）竞赛方式为评委现场评分，由7名评委同时进行评分；</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2）赛前根据参赛队伍数量进行抽签分组并确定出场顺序。所有参赛队共分为两组。如共有80支参赛队，根据抽签情况分为2组，即A组、B组，同组的40支参赛队即A1、A2、A3……A40，B1、B2、B3……B40，其中阿拉伯数字代表出场顺序；</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3）根据分组抽签结果，按照A-B的顺序，同组的40支参赛队伍同时进入候赛室，而后根据出场顺序依次进入备赛室、赛室进行竞赛，完成竞赛后进入完赛隔离区，待A组所有选手完成竞赛且B组选手全部进入候赛室后，A组选手方可离开完赛隔离区；</w:t>
      </w:r>
    </w:p>
    <w:p>
      <w:pPr>
        <w:snapToGrid w:val="0"/>
        <w:spacing w:line="560" w:lineRule="exact"/>
        <w:ind w:firstLine="600" w:firstLineChars="200"/>
        <w:rPr>
          <w:rFonts w:ascii="仿宋_GB2312" w:hAnsi="仿宋" w:eastAsia="仿宋_GB2312" w:cs="Arial"/>
          <w:sz w:val="30"/>
          <w:szCs w:val="30"/>
        </w:rPr>
      </w:pPr>
      <w:r>
        <w:rPr>
          <w:rFonts w:hint="eastAsia" w:ascii="仿宋_GB2312" w:hAnsi="仿宋" w:eastAsia="仿宋_GB2312" w:cs="Arial"/>
          <w:sz w:val="30"/>
          <w:szCs w:val="30"/>
        </w:rPr>
        <w:t>（4）每支参赛队选派2名选手参加，其中1名选手负责复述环节，另一名选手负责问答环节；每支参赛队竞赛总用时为5分钟，其中复述3分钟，问答2分钟。</w:t>
      </w:r>
    </w:p>
    <w:p>
      <w:pPr>
        <w:pStyle w:val="2"/>
        <w:ind w:firstLine="600"/>
      </w:pPr>
      <w:bookmarkStart w:id="10" w:name="_Toc522017696"/>
      <w:r>
        <w:rPr>
          <w:rFonts w:hint="eastAsia"/>
        </w:rPr>
        <w:t>八、竞赛时间安排与流程</w:t>
      </w:r>
      <w:bookmarkEnd w:id="10"/>
    </w:p>
    <w:p>
      <w:pPr>
        <w:spacing w:line="560" w:lineRule="exact"/>
        <w:jc w:val="center"/>
        <w:rPr>
          <w:rFonts w:ascii="宋体" w:hAnsi="宋体" w:cs="宋体"/>
          <w:sz w:val="24"/>
          <w:szCs w:val="24"/>
        </w:rPr>
      </w:pPr>
      <w:r>
        <w:rPr>
          <w:rFonts w:hint="eastAsia" w:ascii="宋体" w:hAnsi="宋体" w:cs="宋体"/>
          <w:sz w:val="24"/>
          <w:szCs w:val="24"/>
        </w:rPr>
        <w:t>表4 竞赛时间安排与流程</w:t>
      </w:r>
    </w:p>
    <w:tbl>
      <w:tblPr>
        <w:tblStyle w:val="17"/>
        <w:tblW w:w="95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559"/>
        <w:gridCol w:w="2442"/>
        <w:gridCol w:w="1750"/>
        <w:gridCol w:w="1276"/>
        <w:gridCol w:w="14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8" w:hRule="atLeast"/>
          <w:tblHeader/>
          <w:jc w:val="center"/>
        </w:trPr>
        <w:tc>
          <w:tcPr>
            <w:tcW w:w="1103"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b/>
                <w:sz w:val="24"/>
                <w:szCs w:val="24"/>
                <w:shd w:val="clear" w:color="auto" w:fill="FFFFFF"/>
              </w:rPr>
            </w:pPr>
            <w:r>
              <w:rPr>
                <w:rFonts w:hint="eastAsia" w:ascii="宋体" w:hAnsi="宋体"/>
                <w:b/>
                <w:sz w:val="24"/>
                <w:szCs w:val="24"/>
                <w:shd w:val="clear" w:color="auto" w:fill="FFFFFF"/>
              </w:rPr>
              <w:t>日期</w:t>
            </w: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b/>
                <w:sz w:val="24"/>
                <w:szCs w:val="24"/>
                <w:shd w:val="clear" w:color="auto" w:fill="FFFFFF"/>
              </w:rPr>
            </w:pPr>
            <w:r>
              <w:rPr>
                <w:rFonts w:hint="eastAsia" w:ascii="宋体" w:hAnsi="宋体"/>
                <w:b/>
                <w:sz w:val="24"/>
                <w:szCs w:val="24"/>
                <w:shd w:val="clear" w:color="auto" w:fill="FFFFFF"/>
              </w:rPr>
              <w:t>时间</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b/>
                <w:sz w:val="24"/>
                <w:szCs w:val="24"/>
                <w:shd w:val="clear" w:color="auto" w:fill="FFFFFF"/>
              </w:rPr>
            </w:pPr>
            <w:r>
              <w:rPr>
                <w:rFonts w:hint="eastAsia" w:ascii="宋体" w:hAnsi="宋体"/>
                <w:b/>
                <w:sz w:val="24"/>
                <w:szCs w:val="24"/>
                <w:shd w:val="clear" w:color="auto" w:fill="FFFFFF"/>
              </w:rPr>
              <w:t>事项</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b/>
                <w:sz w:val="24"/>
                <w:szCs w:val="24"/>
                <w:shd w:val="clear" w:color="auto" w:fill="FFFFFF"/>
              </w:rPr>
            </w:pPr>
            <w:r>
              <w:rPr>
                <w:rFonts w:hint="eastAsia" w:ascii="宋体" w:hAnsi="宋体"/>
                <w:b/>
                <w:sz w:val="24"/>
                <w:szCs w:val="24"/>
                <w:shd w:val="clear" w:color="auto" w:fill="FFFFFF"/>
              </w:rPr>
              <w:t>参加人员</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b/>
                <w:sz w:val="24"/>
                <w:szCs w:val="24"/>
                <w:shd w:val="clear" w:color="auto" w:fill="FFFFFF"/>
              </w:rPr>
            </w:pPr>
            <w:r>
              <w:rPr>
                <w:rFonts w:hint="eastAsia" w:ascii="宋体" w:hAnsi="宋体"/>
                <w:b/>
                <w:sz w:val="24"/>
                <w:szCs w:val="24"/>
                <w:shd w:val="clear" w:color="auto" w:fill="FFFFFF"/>
              </w:rPr>
              <w:t>地点</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b/>
                <w:sz w:val="24"/>
                <w:szCs w:val="24"/>
                <w:shd w:val="clear" w:color="auto" w:fill="FFFFFF"/>
              </w:rPr>
            </w:pPr>
            <w:r>
              <w:rPr>
                <w:rFonts w:hint="eastAsia" w:ascii="宋体" w:hAnsi="宋体"/>
                <w:b/>
                <w:sz w:val="24"/>
                <w:szCs w:val="24"/>
                <w:shd w:val="clear" w:color="auto" w:fill="FFFFFF"/>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103" w:type="dxa"/>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Theme="minorEastAsia" w:hAnsiTheme="minorEastAsia" w:eastAsiaTheme="minorEastAsia"/>
                <w:sz w:val="24"/>
                <w:szCs w:val="24"/>
                <w:shd w:val="clear" w:color="auto" w:fill="FFFFFF"/>
              </w:rPr>
              <w:t>竞赛前2</w:t>
            </w:r>
            <w:r>
              <w:rPr>
                <w:rFonts w:hint="eastAsia" w:ascii="宋体" w:hAnsi="宋体"/>
                <w:sz w:val="24"/>
                <w:szCs w:val="24"/>
                <w:shd w:val="clear" w:color="auto" w:fill="FFFFFF"/>
              </w:rPr>
              <w:t>日</w:t>
            </w: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13:00开始</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参赛队报到，安排住宿，领取资料</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工作人员、参赛队</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住宿酒店</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tblHeader/>
          <w:jc w:val="center"/>
        </w:trPr>
        <w:tc>
          <w:tcPr>
            <w:tcW w:w="1103" w:type="dxa"/>
            <w:vMerge w:val="restart"/>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Theme="minorEastAsia" w:hAnsiTheme="minorEastAsia" w:eastAsiaTheme="minorEastAsia"/>
                <w:sz w:val="24"/>
                <w:szCs w:val="24"/>
                <w:shd w:val="clear" w:color="auto" w:fill="FFFFFF"/>
              </w:rPr>
              <w:t>报到</w:t>
            </w:r>
            <w:r>
              <w:rPr>
                <w:rFonts w:hint="eastAsia" w:ascii="宋体" w:hAnsi="宋体"/>
                <w:sz w:val="24"/>
                <w:szCs w:val="24"/>
                <w:shd w:val="clear" w:color="auto" w:fill="FFFFFF"/>
              </w:rPr>
              <w:t>日</w:t>
            </w: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08:00-13:00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参赛队报到，安排住宿，领取资料</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工作人员、参赛队</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住宿酒店</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15:00-15:30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b/>
                <w:sz w:val="24"/>
                <w:szCs w:val="24"/>
                <w:shd w:val="clear" w:color="auto" w:fill="FFFFFF"/>
              </w:rPr>
            </w:pPr>
            <w:r>
              <w:rPr>
                <w:rFonts w:hint="eastAsia" w:ascii="宋体" w:hAnsi="宋体"/>
                <w:sz w:val="24"/>
                <w:szCs w:val="24"/>
                <w:shd w:val="clear" w:color="auto" w:fill="FFFFFF"/>
              </w:rPr>
              <w:t>领队会</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各参赛队领队</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报告厅</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15:30-16:30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b/>
                <w:sz w:val="24"/>
                <w:szCs w:val="24"/>
                <w:shd w:val="clear" w:color="auto" w:fill="FFFFFF"/>
              </w:rPr>
              <w:t>外贸英语沟通能力模块分组抽签</w:t>
            </w:r>
          </w:p>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熟悉场地</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裁判长</w:t>
            </w:r>
          </w:p>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各参赛队领队</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竞赛场地</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A组、B组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tblHeader/>
          <w:jc w:val="center"/>
        </w:trPr>
        <w:tc>
          <w:tcPr>
            <w:tcW w:w="1103" w:type="dxa"/>
            <w:vMerge w:val="continue"/>
            <w:tcBorders>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16:40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返回住宿宾馆</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参赛队领队</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竞赛场地</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 w:hRule="atLeast"/>
          <w:tblHeader/>
          <w:jc w:val="center"/>
        </w:trPr>
        <w:tc>
          <w:tcPr>
            <w:tcW w:w="1103" w:type="dxa"/>
            <w:vMerge w:val="restart"/>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Theme="minorEastAsia" w:hAnsiTheme="minorEastAsia" w:eastAsiaTheme="minorEastAsia"/>
                <w:sz w:val="24"/>
                <w:szCs w:val="24"/>
                <w:shd w:val="clear" w:color="auto" w:fill="FFFFFF"/>
              </w:rPr>
              <w:t>竞赛</w:t>
            </w:r>
            <w:r>
              <w:rPr>
                <w:rFonts w:hint="eastAsia" w:ascii="宋体" w:hAnsi="宋体"/>
                <w:sz w:val="24"/>
                <w:szCs w:val="24"/>
                <w:shd w:val="clear" w:color="auto" w:fill="FFFFFF"/>
              </w:rPr>
              <w:t>日</w:t>
            </w:r>
            <w:r>
              <w:rPr>
                <w:rFonts w:hint="eastAsia" w:asciiTheme="minorEastAsia" w:hAnsiTheme="minorEastAsia" w:eastAsiaTheme="minorEastAsia"/>
                <w:sz w:val="24"/>
                <w:szCs w:val="24"/>
                <w:shd w:val="clear" w:color="auto" w:fill="FFFFFF"/>
              </w:rPr>
              <w:t>1</w:t>
            </w: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6:45</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参赛队住宿宾馆门口集合，集体乘车往赛场</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各参赛队</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住宿酒店</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5" w:hRule="atLeast"/>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7:30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竞赛场地前整队</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各参赛队、工作人员</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Theme="minorEastAsia" w:hAnsiTheme="minorEastAsia" w:eastAsiaTheme="minorEastAsia"/>
                <w:sz w:val="24"/>
                <w:szCs w:val="24"/>
                <w:shd w:val="clear" w:color="auto" w:fill="FFFFFF"/>
              </w:rPr>
              <w:t>竞赛场地</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vMerge w:val="restart"/>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7:30-8:30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b/>
                <w:sz w:val="24"/>
                <w:szCs w:val="24"/>
                <w:shd w:val="clear" w:color="auto" w:fill="FFFFFF"/>
              </w:rPr>
            </w:pPr>
            <w:r>
              <w:rPr>
                <w:rFonts w:hint="eastAsia" w:ascii="宋体" w:hAnsi="宋体"/>
                <w:b/>
                <w:sz w:val="24"/>
                <w:szCs w:val="24"/>
                <w:shd w:val="clear" w:color="auto" w:fill="FFFFFF"/>
              </w:rPr>
              <w:t>外贸英语沟通能力模块A组选手检录进场</w:t>
            </w:r>
          </w:p>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第一次加密抽签（抽序号）</w:t>
            </w:r>
          </w:p>
        </w:tc>
        <w:tc>
          <w:tcPr>
            <w:tcW w:w="1750" w:type="dxa"/>
            <w:vMerge w:val="restart"/>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参赛选手、抽签加密裁判</w:t>
            </w:r>
          </w:p>
        </w:tc>
        <w:tc>
          <w:tcPr>
            <w:tcW w:w="1276" w:type="dxa"/>
            <w:vMerge w:val="restart"/>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赛场</w:t>
            </w:r>
          </w:p>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抽签区域</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按照分组抽签顺序检录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5" w:hRule="atLeast"/>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vMerge w:val="continue"/>
            <w:tcBorders>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第二次加密抽签（抽出场顺序号）</w:t>
            </w:r>
          </w:p>
        </w:tc>
        <w:tc>
          <w:tcPr>
            <w:tcW w:w="1750" w:type="dxa"/>
            <w:vMerge w:val="continue"/>
            <w:tcBorders>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276" w:type="dxa"/>
            <w:vMerge w:val="continue"/>
            <w:tcBorders>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选手进入候赛室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8:00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领队、指导教师入场</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竞赛场地观摩区</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6" w:hRule="atLeast"/>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8:30-12:30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外贸英语沟通能力模块</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参赛选手、裁判</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赛场</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结束比赛的选手进入完赛隔离区等候统一离场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vMerge w:val="restart"/>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8:30-9:30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b/>
                <w:sz w:val="24"/>
                <w:szCs w:val="24"/>
                <w:shd w:val="clear" w:color="auto" w:fill="FFFFFF"/>
              </w:rPr>
            </w:pPr>
            <w:r>
              <w:rPr>
                <w:rFonts w:hint="eastAsia" w:ascii="宋体" w:hAnsi="宋体"/>
                <w:b/>
                <w:sz w:val="24"/>
                <w:szCs w:val="24"/>
                <w:shd w:val="clear" w:color="auto" w:fill="FFFFFF"/>
              </w:rPr>
              <w:t>外贸业务能力B2C模块选手检录进场</w:t>
            </w:r>
          </w:p>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第一次加密抽签（抽序号）</w:t>
            </w:r>
          </w:p>
        </w:tc>
        <w:tc>
          <w:tcPr>
            <w:tcW w:w="1750" w:type="dxa"/>
            <w:vMerge w:val="restart"/>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参赛选手、抽签加密裁判</w:t>
            </w:r>
          </w:p>
        </w:tc>
        <w:tc>
          <w:tcPr>
            <w:tcW w:w="1276" w:type="dxa"/>
            <w:vMerge w:val="restart"/>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赛场</w:t>
            </w:r>
          </w:p>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抽签区域</w:t>
            </w:r>
          </w:p>
        </w:tc>
        <w:tc>
          <w:tcPr>
            <w:tcW w:w="1431" w:type="dxa"/>
            <w:vMerge w:val="restart"/>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选手进入赛场按照赛位号就座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3" w:hRule="atLeast"/>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vMerge w:val="continue"/>
            <w:tcBorders>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第二次加密抽签（抽赛位号）</w:t>
            </w:r>
          </w:p>
        </w:tc>
        <w:tc>
          <w:tcPr>
            <w:tcW w:w="1750" w:type="dxa"/>
            <w:vMerge w:val="continue"/>
            <w:tcBorders>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276" w:type="dxa"/>
            <w:vMerge w:val="continue"/>
            <w:tcBorders>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431" w:type="dxa"/>
            <w:vMerge w:val="continue"/>
            <w:tcBorders>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9:30-10:30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外贸业务能力B2C模块</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参赛选手、裁判</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赛场</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vMerge w:val="restart"/>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ascii="宋体" w:hAnsi="宋体"/>
                <w:sz w:val="24"/>
                <w:szCs w:val="24"/>
                <w:shd w:val="clear" w:color="auto" w:fill="FFFFFF"/>
              </w:rPr>
              <w:t>12:30-13:30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b/>
                <w:sz w:val="24"/>
                <w:szCs w:val="24"/>
                <w:shd w:val="clear" w:color="auto" w:fill="FFFFFF"/>
              </w:rPr>
            </w:pPr>
            <w:r>
              <w:rPr>
                <w:rFonts w:hint="eastAsia" w:ascii="宋体" w:hAnsi="宋体"/>
                <w:b/>
                <w:sz w:val="24"/>
                <w:szCs w:val="24"/>
                <w:shd w:val="clear" w:color="auto" w:fill="FFFFFF"/>
              </w:rPr>
              <w:t>外贸英语沟通能力模块B组选手检录进场</w:t>
            </w:r>
          </w:p>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第一次加密抽签（抽序号）</w:t>
            </w:r>
          </w:p>
        </w:tc>
        <w:tc>
          <w:tcPr>
            <w:tcW w:w="1750" w:type="dxa"/>
            <w:vMerge w:val="restart"/>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参赛选手、抽签加密裁判</w:t>
            </w:r>
          </w:p>
        </w:tc>
        <w:tc>
          <w:tcPr>
            <w:tcW w:w="1276" w:type="dxa"/>
            <w:vMerge w:val="restart"/>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赛场</w:t>
            </w:r>
          </w:p>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抽签区域</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按照分组抽签顺序检录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vMerge w:val="continue"/>
            <w:tcBorders>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第二次加密抽签（抽出场顺序号）</w:t>
            </w:r>
          </w:p>
        </w:tc>
        <w:tc>
          <w:tcPr>
            <w:tcW w:w="1750" w:type="dxa"/>
            <w:vMerge w:val="continue"/>
            <w:tcBorders>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276" w:type="dxa"/>
            <w:vMerge w:val="continue"/>
            <w:tcBorders>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选手进入候赛室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ascii="宋体" w:hAnsi="宋体"/>
                <w:sz w:val="24"/>
                <w:szCs w:val="24"/>
                <w:shd w:val="clear" w:color="auto" w:fill="FFFFFF"/>
              </w:rPr>
              <w:t>11:00-13:00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午餐</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参赛选手、裁判、工作人员</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外贸英语沟通能力模块A</w:t>
            </w:r>
            <w:r>
              <w:rPr>
                <w:rFonts w:hint="eastAsia" w:asciiTheme="minorEastAsia" w:hAnsiTheme="minorEastAsia" w:eastAsiaTheme="minorEastAsia"/>
                <w:sz w:val="24"/>
                <w:szCs w:val="24"/>
                <w:shd w:val="clear" w:color="auto" w:fill="FFFFFF"/>
              </w:rPr>
              <w:t>、B</w:t>
            </w:r>
            <w:r>
              <w:rPr>
                <w:rFonts w:hint="eastAsia" w:ascii="宋体" w:hAnsi="宋体"/>
                <w:sz w:val="24"/>
                <w:szCs w:val="24"/>
                <w:shd w:val="clear" w:color="auto" w:fill="FFFFFF"/>
              </w:rPr>
              <w:t>组选手隔离用餐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7" w:hRule="atLeast"/>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13:30-17:30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外贸英语沟通能力模块</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参赛选手、裁判</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赛场</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3" w:hRule="atLeast"/>
          <w:tblHeader/>
          <w:jc w:val="center"/>
        </w:trPr>
        <w:tc>
          <w:tcPr>
            <w:tcW w:w="1103" w:type="dxa"/>
            <w:vMerge w:val="continue"/>
            <w:tcBorders>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17:30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返回住宿宾馆</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参赛选手、领队</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赛场</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9" w:hRule="atLeast"/>
          <w:tblHeader/>
          <w:jc w:val="center"/>
        </w:trPr>
        <w:tc>
          <w:tcPr>
            <w:tcW w:w="1103" w:type="dxa"/>
            <w:vMerge w:val="restart"/>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Theme="minorEastAsia" w:hAnsiTheme="minorEastAsia" w:eastAsiaTheme="minorEastAsia"/>
                <w:sz w:val="24"/>
                <w:szCs w:val="24"/>
                <w:shd w:val="clear" w:color="auto" w:fill="FFFFFF"/>
              </w:rPr>
              <w:t>竞赛</w:t>
            </w:r>
            <w:r>
              <w:rPr>
                <w:rFonts w:hint="eastAsia" w:ascii="宋体" w:hAnsi="宋体"/>
                <w:sz w:val="24"/>
                <w:szCs w:val="24"/>
                <w:shd w:val="clear" w:color="auto" w:fill="FFFFFF"/>
              </w:rPr>
              <w:t>日</w:t>
            </w:r>
            <w:r>
              <w:rPr>
                <w:rFonts w:hint="eastAsia" w:asciiTheme="minorEastAsia" w:hAnsiTheme="minorEastAsia" w:eastAsiaTheme="minorEastAsia"/>
                <w:sz w:val="24"/>
                <w:szCs w:val="24"/>
                <w:shd w:val="clear" w:color="auto" w:fill="FFFFFF"/>
              </w:rPr>
              <w:t>2</w:t>
            </w: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6:45</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参赛队住宿宾馆门口集合，集体乘车往赛场</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各参赛队</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住宿酒店</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 w:hRule="atLeast"/>
          <w:tblHeader/>
          <w:jc w:val="center"/>
        </w:trPr>
        <w:tc>
          <w:tcPr>
            <w:tcW w:w="1103" w:type="dxa"/>
            <w:vMerge w:val="continue"/>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7:30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竞赛场地前整队</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各参赛队、工作人员</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Theme="minorEastAsia" w:hAnsiTheme="minorEastAsia" w:eastAsiaTheme="minorEastAsia"/>
                <w:sz w:val="24"/>
                <w:szCs w:val="24"/>
                <w:shd w:val="clear" w:color="auto" w:fill="FFFFFF"/>
              </w:rPr>
              <w:t>竞赛场地</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vMerge w:val="restart"/>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7:30-8:30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检录进场</w:t>
            </w:r>
          </w:p>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第一次加密抽签（抽序号）</w:t>
            </w:r>
          </w:p>
        </w:tc>
        <w:tc>
          <w:tcPr>
            <w:tcW w:w="1750" w:type="dxa"/>
            <w:vMerge w:val="restart"/>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参赛选手、抽签加密裁判</w:t>
            </w:r>
          </w:p>
        </w:tc>
        <w:tc>
          <w:tcPr>
            <w:tcW w:w="1276" w:type="dxa"/>
            <w:vMerge w:val="restart"/>
            <w:tcBorders>
              <w:top w:val="single" w:color="auto" w:sz="4" w:space="0"/>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赛场</w:t>
            </w:r>
          </w:p>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抽签区域</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按照竞赛指南参赛队伍名单顺序抽签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vMerge w:val="continue"/>
            <w:tcBorders>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第二次加密抽签（抽赛位号）</w:t>
            </w:r>
          </w:p>
        </w:tc>
        <w:tc>
          <w:tcPr>
            <w:tcW w:w="1750" w:type="dxa"/>
            <w:vMerge w:val="continue"/>
            <w:tcBorders>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276" w:type="dxa"/>
            <w:vMerge w:val="continue"/>
            <w:tcBorders>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选手进入赛场按照赛位号就座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8:00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领队、指导教师入场</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竞赛场地观摩区</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6" w:hRule="atLeast"/>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8:30-12:30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外贸业务能力B2B模块</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参赛选手、裁判</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赛场</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12:30-13:30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午餐</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参赛选手、裁判、工作人员</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赛场</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选手不允许离开竞赛场地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7" w:hRule="atLeast"/>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13:30-14:50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外贸跟单能力模块</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参赛选手、裁判</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赛场</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103" w:type="dxa"/>
            <w:vMerge w:val="continue"/>
            <w:tcBorders>
              <w:left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17:00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晚餐</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参赛选手、指导教师、裁判、工作人员</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 xml:space="preserve"> 赛场、</w:t>
            </w:r>
          </w:p>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观摩区</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blHeader/>
          <w:jc w:val="center"/>
        </w:trPr>
        <w:tc>
          <w:tcPr>
            <w:tcW w:w="1103" w:type="dxa"/>
            <w:vMerge w:val="continue"/>
            <w:tcBorders>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18:00-19:00</w:t>
            </w: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闭赛式</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领导嘉宾、各工作组、各参赛队</w:t>
            </w: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赛场</w:t>
            </w: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4" w:hRule="atLeast"/>
          <w:tblHeader/>
          <w:jc w:val="center"/>
        </w:trPr>
        <w:tc>
          <w:tcPr>
            <w:tcW w:w="1103"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返程日</w:t>
            </w:r>
          </w:p>
        </w:tc>
        <w:tc>
          <w:tcPr>
            <w:tcW w:w="1559"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2442"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r>
              <w:rPr>
                <w:rFonts w:hint="eastAsia" w:ascii="宋体" w:hAnsi="宋体"/>
                <w:sz w:val="24"/>
                <w:szCs w:val="24"/>
                <w:shd w:val="clear" w:color="auto" w:fill="FFFFFF"/>
              </w:rPr>
              <w:t>所有参赛队返程</w:t>
            </w:r>
          </w:p>
        </w:tc>
        <w:tc>
          <w:tcPr>
            <w:tcW w:w="1750"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276"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c>
          <w:tcPr>
            <w:tcW w:w="1431" w:type="dxa"/>
            <w:tcBorders>
              <w:top w:val="single" w:color="auto" w:sz="4" w:space="0"/>
              <w:left w:val="single" w:color="auto" w:sz="4" w:space="0"/>
              <w:bottom w:val="single" w:color="auto" w:sz="4" w:space="0"/>
              <w:right w:val="single" w:color="auto" w:sz="4" w:space="0"/>
            </w:tcBorders>
            <w:vAlign w:val="center"/>
          </w:tcPr>
          <w:p>
            <w:pPr>
              <w:shd w:val="solid" w:color="FFFFFF" w:fill="auto"/>
              <w:autoSpaceDN w:val="0"/>
              <w:adjustRightInd w:val="0"/>
              <w:snapToGrid w:val="0"/>
              <w:jc w:val="center"/>
              <w:rPr>
                <w:rFonts w:ascii="宋体" w:hAnsi="宋体"/>
                <w:sz w:val="24"/>
                <w:szCs w:val="24"/>
                <w:shd w:val="clear" w:color="auto" w:fill="FFFFFF"/>
              </w:rPr>
            </w:pPr>
          </w:p>
        </w:tc>
      </w:tr>
    </w:tbl>
    <w:p>
      <w:pPr>
        <w:pStyle w:val="2"/>
        <w:ind w:firstLine="600"/>
        <w:rPr>
          <w:rFonts w:ascii="Arial Narrow" w:hAnsi="Arial Narrow" w:eastAsia="仿宋_GB2312" w:cs="Arial"/>
        </w:rPr>
      </w:pPr>
      <w:bookmarkStart w:id="11" w:name="_Toc522017697"/>
      <w:r>
        <w:rPr>
          <w:rFonts w:hint="eastAsia"/>
        </w:rPr>
        <w:t>九、竞赛试题</w:t>
      </w:r>
      <w:bookmarkEnd w:id="11"/>
    </w:p>
    <w:p>
      <w:pPr>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本赛项包括外贸业务能力B2B、外贸业务能力B2C、外贸跟单能力、外贸英语沟通能力四个模块，均备有赛题库。其中外贸业务能力B2B模块赛题库含赛卷20套，外贸业务能力B2C模块赛题库含赛卷10套，外贸跟单能力模块赛题库含赛卷20套，外贸英语沟通能力模块赛题库含赛卷10套。范例如下：</w:t>
      </w:r>
    </w:p>
    <w:p>
      <w:pPr>
        <w:spacing w:line="560" w:lineRule="exact"/>
        <w:ind w:firstLine="560" w:firstLineChars="200"/>
        <w:rPr>
          <w:rFonts w:ascii="仿宋_GB2312" w:hAnsi="仿宋" w:eastAsia="仿宋_GB2312" w:cs="宋体"/>
          <w:sz w:val="30"/>
          <w:szCs w:val="30"/>
        </w:rPr>
      </w:pPr>
      <w:r>
        <w:rPr>
          <w:rFonts w:hint="eastAsia" w:ascii="仿宋_GB2312" w:hAnsi="Arial Narrow" w:eastAsia="仿宋_GB2312" w:cs="宋体"/>
          <w:sz w:val="28"/>
          <w:szCs w:val="28"/>
        </w:rPr>
        <w:t>★</w:t>
      </w:r>
      <w:r>
        <w:rPr>
          <w:rFonts w:hint="eastAsia" w:ascii="仿宋_GB2312" w:hAnsi="仿宋" w:eastAsia="仿宋_GB2312" w:cs="宋体"/>
          <w:sz w:val="30"/>
          <w:szCs w:val="30"/>
        </w:rPr>
        <w:t>外贸业务能力B2B模块</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考察内容包括B2B跨境电子商务平台推广及外贸业务操作两部分。选手通过B2B跨境电子商务平台推广公司和产品，带来业务机会。</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背景资料：</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贸易国家：中国、日本</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（一）注册公司</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公司已完成注册，无需选手自己填写。</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（二）业务推广</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通过B2B跨境电子商务平台进行公司和产品的推广和宣传，获得进出口业务机会。</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1.建站管理</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（1）管理公司信息</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完善自己的公司信息，需填写公司的主营业务、更多的经营产品、公司详细信息、设置公司标志、公司形象展示图。管理及查看公司的营业执照、管理体系证书、产品检测报告、荣誉证书、专利证书等。</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要求：</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①主营业务：填写公司的主营业务，要求为英文，尽量完整，至少填写1项，最多可填写5项 。</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②更多的经营产品：填写公司的其他经营产品，要求为英文，尽量完整，最多可填写10项。</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③公司详细信息：描述公司的详细信息，要求为英文，尽量填写完整。</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④设置公司标志：从系统给定的图片中任意选择一个作为公司标志。</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⑤公司形象展示图：从系统中选择图片，最多3张。</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（2）A&amp;V认证</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完成公司A&amp;V认证，获得认证标志。</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（3）管理能力评估</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加入金品诚企，管理查看管理能力评估报告（企业能力评估报告、主营产品认证报告）。</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（4）店铺装修</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从系统中选择店铺主题及设置Banner，注意店铺整体风格。</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2.管理产品</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（1）发布产品</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选择产品类别，填写产品详情，发布产品供进口客户搜索、查看。具体填写内容为：</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①产品名称：填写英文，不超过128个字符。产品名称应包含商品的英文名全称、产品特征（属性）等，避免罗列和堆砌。</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②产品关键词：填写英文，至少填写1个关键词，最多可填写3个。</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③产品图片：从图片银行中选择1-6张对应商品的图片。</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④产品属性：包括原产地、3个产品属性、毛净重、体积，根据系统中的商品资料填写。</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⑤交易信息：包括FOB价、最小起订量、结算方式，根据自己的实际需求填写。</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⑥物流信息：包括发货时间、港口、供货能力，根据自己的实际需求填写。</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⑦产品详情：使用英文进行详细描述。可包含产品标题、产品描述（具体为产品规格型号、属性等）、产品展示图、包装和运输、公司信息等内容。</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（2）管理产品</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管理已发布的产品，可对产品进行编辑、下架等操作。</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（3）管理认证产品</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加入金品诚企后，即可设置主营认证产品，最多10个。</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（4）管理橱窗产品</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加入金品诚企后，即可设置橱窗产品，最多40个。</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（5）产品分组与排序</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创建店铺内产品分组，并设置组内商品排序，使店铺内的商品排序更合理。</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3.采购直达</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发布和管理采购需求。发布的采购需求要求将产品关键词、订单需求数量和单位、采购需求详细信息、期望单价、目的港、支付方式等要素填写完整。</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4.公司广告推广</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标题和内容均要求为英文，内容尽量完整清晰。</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（三）寻找客户</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1.寻找目标客户</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途径一：通过在B2B跨境电子商务平台中主动搜索与查看产品、店铺、采购需求等信息，筛选出目标客户，并与其建立业务关系，获得进出口业务机会。</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途径二：通过发布公司广告、发布产品，推销自己的公司和产品，吸引进口商联系和询盘，获得出口业务机会。</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途径三：通过发布采购需求，吸引出口商前来联系和报价，获得进口业务机会。</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2.与客户建立业务关系</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开始一笔新业务，输入对方账号，选择业务类型（出口业务或进口业务），给对方发送建立业务关系的函电，待对方回复后即可进入业务磋商环节。</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（四）业务磋商</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1.流程</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（1）进口商发送询盘邮件。</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（2）出口商计算出口报价。</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（3）出口商发送报价邮件。</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（4）进口商收取出口商报价邮件，填写进口成本预算表，核算出成本与利润，确定还盘还是接受。</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（5）进口商发送还盘或接受邮件。</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2.要求</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（1）一笔业务的磋商过程，询盘、发盘、接受这3个环节必不可少，还盘可以没有。</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（2）所有函电的标题和正文必须为英文，写作格式要规范。</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（3）“发盘”函电的正文中需写全以下要素，错写漏写均不得分：产品编号、产品名称、数量、单价（完整的表达）、总金额、结算方式、运输方式、装运港、目的港、保险条款等；</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注意: 发盘要素的标题必须为英文，且与下表中“发盘要素标题（英文）”完全一致（必须包含英文半角冒号），具体内容必须与最终签订合同中的条款吻合（具体参考下表中的“内容”），否则无法得分。</w:t>
      </w:r>
    </w:p>
    <w:p>
      <w:pPr>
        <w:spacing w:line="560" w:lineRule="exact"/>
        <w:jc w:val="center"/>
        <w:rPr>
          <w:rFonts w:ascii="宋体" w:hAnsi="宋体" w:cs="宋体"/>
          <w:sz w:val="24"/>
          <w:szCs w:val="24"/>
        </w:rPr>
      </w:pPr>
      <w:r>
        <w:rPr>
          <w:rFonts w:hint="eastAsia" w:ascii="宋体" w:hAnsi="宋体" w:cs="宋体"/>
          <w:sz w:val="24"/>
          <w:szCs w:val="24"/>
        </w:rPr>
        <w:t>表5 发盘要素及要求</w:t>
      </w:r>
    </w:p>
    <w:tbl>
      <w:tblPr>
        <w:tblStyle w:val="17"/>
        <w:tblW w:w="8613" w:type="dxa"/>
        <w:tblInd w:w="0" w:type="dxa"/>
        <w:tblLayout w:type="fixed"/>
        <w:tblCellMar>
          <w:top w:w="0" w:type="dxa"/>
          <w:left w:w="108" w:type="dxa"/>
          <w:bottom w:w="0" w:type="dxa"/>
          <w:right w:w="108" w:type="dxa"/>
        </w:tblCellMar>
      </w:tblPr>
      <w:tblGrid>
        <w:gridCol w:w="1526"/>
        <w:gridCol w:w="2410"/>
        <w:gridCol w:w="4677"/>
      </w:tblGrid>
      <w:tr>
        <w:tblPrEx>
          <w:tblLayout w:type="fixed"/>
          <w:tblCellMar>
            <w:top w:w="0" w:type="dxa"/>
            <w:left w:w="108" w:type="dxa"/>
            <w:bottom w:w="0" w:type="dxa"/>
            <w:right w:w="108" w:type="dxa"/>
          </w:tblCellMar>
        </w:tblPrEx>
        <w:trPr>
          <w:trHeight w:val="515" w:hRule="atLeast"/>
          <w:tblHeader/>
        </w:trPr>
        <w:tc>
          <w:tcPr>
            <w:tcW w:w="152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发盘要素</w:t>
            </w:r>
          </w:p>
        </w:tc>
        <w:tc>
          <w:tcPr>
            <w:tcW w:w="241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发盘要素标题（英文）</w:t>
            </w:r>
          </w:p>
        </w:tc>
        <w:tc>
          <w:tcPr>
            <w:tcW w:w="467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内容</w:t>
            </w:r>
          </w:p>
        </w:tc>
      </w:tr>
      <w:tr>
        <w:tblPrEx>
          <w:tblLayout w:type="fixed"/>
          <w:tblCellMar>
            <w:top w:w="0" w:type="dxa"/>
            <w:left w:w="108" w:type="dxa"/>
            <w:bottom w:w="0" w:type="dxa"/>
            <w:right w:w="108" w:type="dxa"/>
          </w:tblCellMar>
        </w:tblPrEx>
        <w:trPr>
          <w:trHeight w:val="270" w:hRule="atLeast"/>
          <w:tblHeader/>
        </w:trPr>
        <w:tc>
          <w:tcPr>
            <w:tcW w:w="1526" w:type="dxa"/>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产品编号</w:t>
            </w:r>
          </w:p>
        </w:tc>
        <w:tc>
          <w:tcPr>
            <w:tcW w:w="2410" w:type="dxa"/>
            <w:tcBorders>
              <w:top w:val="nil"/>
              <w:left w:val="nil"/>
              <w:bottom w:val="single" w:color="auto" w:sz="4" w:space="0"/>
              <w:right w:val="single" w:color="auto" w:sz="4" w:space="0"/>
            </w:tcBorders>
            <w:shd w:val="clear" w:color="auto" w:fill="auto"/>
            <w:vAlign w:val="center"/>
          </w:tcPr>
          <w:p>
            <w:pPr>
              <w:widowControl/>
              <w:rPr>
                <w:rFonts w:ascii="Times New Roman" w:hAnsi="Times New Roman"/>
                <w:color w:val="000000"/>
                <w:kern w:val="0"/>
                <w:sz w:val="24"/>
                <w:szCs w:val="24"/>
              </w:rPr>
            </w:pPr>
            <w:r>
              <w:rPr>
                <w:rFonts w:ascii="Times New Roman" w:hAnsi="Times New Roman"/>
                <w:color w:val="000000"/>
                <w:kern w:val="0"/>
                <w:sz w:val="24"/>
                <w:szCs w:val="24"/>
              </w:rPr>
              <w:t>Product No.:</w:t>
            </w:r>
          </w:p>
        </w:tc>
        <w:tc>
          <w:tcPr>
            <w:tcW w:w="4677"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与合同中商品编号完全一致</w:t>
            </w:r>
          </w:p>
        </w:tc>
      </w:tr>
      <w:tr>
        <w:tblPrEx>
          <w:tblLayout w:type="fixed"/>
          <w:tblCellMar>
            <w:top w:w="0" w:type="dxa"/>
            <w:left w:w="108" w:type="dxa"/>
            <w:bottom w:w="0" w:type="dxa"/>
            <w:right w:w="108" w:type="dxa"/>
          </w:tblCellMar>
        </w:tblPrEx>
        <w:trPr>
          <w:trHeight w:val="270" w:hRule="atLeast"/>
          <w:tblHeader/>
        </w:trPr>
        <w:tc>
          <w:tcPr>
            <w:tcW w:w="1526" w:type="dxa"/>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产品名称</w:t>
            </w:r>
          </w:p>
        </w:tc>
        <w:tc>
          <w:tcPr>
            <w:tcW w:w="2410" w:type="dxa"/>
            <w:tcBorders>
              <w:top w:val="nil"/>
              <w:left w:val="nil"/>
              <w:bottom w:val="single" w:color="auto" w:sz="4" w:space="0"/>
              <w:right w:val="single" w:color="auto" w:sz="4" w:space="0"/>
            </w:tcBorders>
            <w:shd w:val="clear" w:color="auto" w:fill="auto"/>
            <w:vAlign w:val="center"/>
          </w:tcPr>
          <w:p>
            <w:pPr>
              <w:widowControl/>
              <w:rPr>
                <w:rFonts w:ascii="Times New Roman" w:hAnsi="Times New Roman"/>
                <w:color w:val="000000"/>
                <w:kern w:val="0"/>
                <w:sz w:val="24"/>
                <w:szCs w:val="24"/>
              </w:rPr>
            </w:pPr>
            <w:r>
              <w:rPr>
                <w:rFonts w:ascii="Times New Roman" w:hAnsi="Times New Roman"/>
                <w:color w:val="000000"/>
                <w:kern w:val="0"/>
                <w:sz w:val="24"/>
                <w:szCs w:val="24"/>
              </w:rPr>
              <w:t>Product Name:</w:t>
            </w:r>
          </w:p>
        </w:tc>
        <w:tc>
          <w:tcPr>
            <w:tcW w:w="4677"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与商品资料中的商品名称完全一致</w:t>
            </w:r>
          </w:p>
        </w:tc>
      </w:tr>
      <w:tr>
        <w:tblPrEx>
          <w:tblLayout w:type="fixed"/>
          <w:tblCellMar>
            <w:top w:w="0" w:type="dxa"/>
            <w:left w:w="108" w:type="dxa"/>
            <w:bottom w:w="0" w:type="dxa"/>
            <w:right w:w="108" w:type="dxa"/>
          </w:tblCellMar>
        </w:tblPrEx>
        <w:trPr>
          <w:trHeight w:val="270" w:hRule="atLeast"/>
          <w:tblHeader/>
        </w:trPr>
        <w:tc>
          <w:tcPr>
            <w:tcW w:w="1526" w:type="dxa"/>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数量</w:t>
            </w:r>
          </w:p>
        </w:tc>
        <w:tc>
          <w:tcPr>
            <w:tcW w:w="2410" w:type="dxa"/>
            <w:tcBorders>
              <w:top w:val="nil"/>
              <w:left w:val="nil"/>
              <w:bottom w:val="single" w:color="auto" w:sz="4" w:space="0"/>
              <w:right w:val="single" w:color="auto" w:sz="4" w:space="0"/>
            </w:tcBorders>
            <w:shd w:val="clear" w:color="auto" w:fill="auto"/>
            <w:vAlign w:val="center"/>
          </w:tcPr>
          <w:p>
            <w:pPr>
              <w:widowControl/>
              <w:rPr>
                <w:rFonts w:ascii="Times New Roman" w:hAnsi="Times New Roman"/>
                <w:color w:val="000000"/>
                <w:kern w:val="0"/>
                <w:sz w:val="24"/>
                <w:szCs w:val="24"/>
              </w:rPr>
            </w:pPr>
            <w:r>
              <w:rPr>
                <w:rFonts w:ascii="Times New Roman" w:hAnsi="Times New Roman"/>
                <w:color w:val="000000"/>
                <w:kern w:val="0"/>
                <w:sz w:val="24"/>
                <w:szCs w:val="24"/>
              </w:rPr>
              <w:t>Quantity:</w:t>
            </w:r>
          </w:p>
        </w:tc>
        <w:tc>
          <w:tcPr>
            <w:tcW w:w="4677"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与合同中商品数量完全一致</w:t>
            </w:r>
          </w:p>
          <w:p>
            <w:pPr>
              <w:widowControl/>
              <w:rPr>
                <w:rFonts w:ascii="宋体" w:hAnsi="宋体" w:cs="宋体"/>
                <w:color w:val="000000"/>
                <w:kern w:val="0"/>
                <w:sz w:val="24"/>
                <w:szCs w:val="24"/>
              </w:rPr>
            </w:pPr>
            <w:r>
              <w:rPr>
                <w:rFonts w:hint="eastAsia" w:ascii="宋体" w:hAnsi="宋体" w:cs="宋体"/>
                <w:color w:val="000000"/>
                <w:kern w:val="0"/>
                <w:sz w:val="24"/>
                <w:szCs w:val="24"/>
              </w:rPr>
              <w:t>格式：数字+单位（注意单复数）</w:t>
            </w:r>
          </w:p>
          <w:p>
            <w:pPr>
              <w:widowControl/>
              <w:rPr>
                <w:rFonts w:ascii="宋体" w:hAnsi="宋体" w:cs="宋体"/>
                <w:color w:val="000000"/>
                <w:kern w:val="0"/>
                <w:sz w:val="24"/>
                <w:szCs w:val="24"/>
              </w:rPr>
            </w:pPr>
            <w:r>
              <w:rPr>
                <w:rFonts w:hint="eastAsia" w:ascii="宋体" w:hAnsi="宋体" w:cs="宋体"/>
                <w:color w:val="000000"/>
                <w:kern w:val="0"/>
                <w:sz w:val="24"/>
                <w:szCs w:val="24"/>
              </w:rPr>
              <w:t>例如：</w:t>
            </w:r>
            <w:r>
              <w:rPr>
                <w:rFonts w:ascii="宋体" w:hAnsi="宋体"/>
                <w:color w:val="000000"/>
                <w:kern w:val="0"/>
                <w:sz w:val="24"/>
                <w:szCs w:val="24"/>
              </w:rPr>
              <w:t>200 PCS</w:t>
            </w:r>
          </w:p>
        </w:tc>
      </w:tr>
      <w:tr>
        <w:tblPrEx>
          <w:tblLayout w:type="fixed"/>
          <w:tblCellMar>
            <w:top w:w="0" w:type="dxa"/>
            <w:left w:w="108" w:type="dxa"/>
            <w:bottom w:w="0" w:type="dxa"/>
            <w:right w:w="108" w:type="dxa"/>
          </w:tblCellMar>
        </w:tblPrEx>
        <w:trPr>
          <w:trHeight w:val="270" w:hRule="atLeast"/>
          <w:tblHeader/>
        </w:trPr>
        <w:tc>
          <w:tcPr>
            <w:tcW w:w="1526" w:type="dxa"/>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单价</w:t>
            </w:r>
          </w:p>
        </w:tc>
        <w:tc>
          <w:tcPr>
            <w:tcW w:w="2410" w:type="dxa"/>
            <w:tcBorders>
              <w:top w:val="nil"/>
              <w:left w:val="nil"/>
              <w:bottom w:val="single" w:color="auto" w:sz="4" w:space="0"/>
              <w:right w:val="single" w:color="auto" w:sz="4" w:space="0"/>
            </w:tcBorders>
            <w:shd w:val="clear" w:color="auto" w:fill="auto"/>
            <w:vAlign w:val="center"/>
          </w:tcPr>
          <w:p>
            <w:pPr>
              <w:widowControl/>
              <w:rPr>
                <w:rFonts w:ascii="Times New Roman" w:hAnsi="Times New Roman"/>
                <w:color w:val="000000"/>
                <w:kern w:val="0"/>
                <w:sz w:val="24"/>
                <w:szCs w:val="24"/>
              </w:rPr>
            </w:pPr>
            <w:r>
              <w:rPr>
                <w:rFonts w:ascii="Times New Roman" w:hAnsi="Times New Roman"/>
                <w:color w:val="000000"/>
                <w:kern w:val="0"/>
                <w:sz w:val="24"/>
                <w:szCs w:val="24"/>
              </w:rPr>
              <w:t>Unit Price:</w:t>
            </w:r>
          </w:p>
        </w:tc>
        <w:tc>
          <w:tcPr>
            <w:tcW w:w="4677"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与合同中商品单价完全一致，并要表达完整</w:t>
            </w:r>
          </w:p>
          <w:p>
            <w:pPr>
              <w:widowControl/>
              <w:rPr>
                <w:rFonts w:ascii="宋体" w:hAnsi="宋体" w:cs="宋体"/>
                <w:color w:val="000000"/>
                <w:kern w:val="0"/>
                <w:sz w:val="24"/>
                <w:szCs w:val="24"/>
              </w:rPr>
            </w:pPr>
            <w:r>
              <w:rPr>
                <w:rFonts w:hint="eastAsia" w:ascii="宋体" w:hAnsi="宋体" w:cs="宋体"/>
                <w:color w:val="000000"/>
                <w:kern w:val="0"/>
                <w:sz w:val="24"/>
                <w:szCs w:val="24"/>
              </w:rPr>
              <w:t>例如：</w:t>
            </w:r>
            <w:r>
              <w:rPr>
                <w:rFonts w:ascii="宋体" w:hAnsi="宋体"/>
                <w:color w:val="000000"/>
                <w:kern w:val="0"/>
                <w:sz w:val="24"/>
                <w:szCs w:val="24"/>
              </w:rPr>
              <w:t>USD 20.5 PER CARTON CIF NEWYORK</w:t>
            </w:r>
            <w:r>
              <w:rPr>
                <w:rFonts w:hint="eastAsia" w:ascii="宋体" w:hAnsi="宋体"/>
                <w:color w:val="000000"/>
                <w:kern w:val="0"/>
                <w:sz w:val="24"/>
                <w:szCs w:val="24"/>
              </w:rPr>
              <w:t>,AMERICA</w:t>
            </w:r>
          </w:p>
        </w:tc>
      </w:tr>
      <w:tr>
        <w:tblPrEx>
          <w:tblLayout w:type="fixed"/>
          <w:tblCellMar>
            <w:top w:w="0" w:type="dxa"/>
            <w:left w:w="108" w:type="dxa"/>
            <w:bottom w:w="0" w:type="dxa"/>
            <w:right w:w="108" w:type="dxa"/>
          </w:tblCellMar>
        </w:tblPrEx>
        <w:trPr>
          <w:trHeight w:val="270" w:hRule="atLeast"/>
          <w:tblHeader/>
        </w:trPr>
        <w:tc>
          <w:tcPr>
            <w:tcW w:w="1526" w:type="dxa"/>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总金额</w:t>
            </w:r>
          </w:p>
        </w:tc>
        <w:tc>
          <w:tcPr>
            <w:tcW w:w="2410" w:type="dxa"/>
            <w:tcBorders>
              <w:top w:val="nil"/>
              <w:left w:val="nil"/>
              <w:bottom w:val="single" w:color="auto" w:sz="4" w:space="0"/>
              <w:right w:val="single" w:color="auto" w:sz="4" w:space="0"/>
            </w:tcBorders>
            <w:shd w:val="clear" w:color="auto" w:fill="auto"/>
            <w:vAlign w:val="center"/>
          </w:tcPr>
          <w:p>
            <w:pPr>
              <w:widowControl/>
              <w:rPr>
                <w:rFonts w:ascii="Times New Roman" w:hAnsi="Times New Roman"/>
                <w:color w:val="000000"/>
                <w:kern w:val="0"/>
                <w:sz w:val="24"/>
                <w:szCs w:val="24"/>
              </w:rPr>
            </w:pPr>
            <w:r>
              <w:rPr>
                <w:rFonts w:ascii="Times New Roman" w:hAnsi="Times New Roman"/>
                <w:color w:val="000000"/>
                <w:kern w:val="0"/>
                <w:sz w:val="24"/>
                <w:szCs w:val="24"/>
              </w:rPr>
              <w:t>Amount:</w:t>
            </w:r>
          </w:p>
        </w:tc>
        <w:tc>
          <w:tcPr>
            <w:tcW w:w="4677"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与合同总金额完全一致</w:t>
            </w:r>
          </w:p>
          <w:p>
            <w:pPr>
              <w:widowControl/>
              <w:rPr>
                <w:rFonts w:ascii="宋体" w:hAnsi="宋体" w:cs="宋体"/>
                <w:color w:val="000000"/>
                <w:kern w:val="0"/>
                <w:sz w:val="24"/>
                <w:szCs w:val="24"/>
              </w:rPr>
            </w:pPr>
            <w:r>
              <w:rPr>
                <w:rFonts w:hint="eastAsia" w:ascii="宋体" w:hAnsi="宋体" w:cs="宋体"/>
                <w:color w:val="000000"/>
                <w:kern w:val="0"/>
                <w:sz w:val="24"/>
                <w:szCs w:val="24"/>
              </w:rPr>
              <w:t>格式：币别+数字</w:t>
            </w:r>
          </w:p>
          <w:p>
            <w:pPr>
              <w:widowControl/>
              <w:rPr>
                <w:rFonts w:ascii="宋体" w:hAnsi="宋体" w:cs="宋体"/>
                <w:color w:val="000000"/>
                <w:kern w:val="0"/>
                <w:sz w:val="24"/>
                <w:szCs w:val="24"/>
              </w:rPr>
            </w:pPr>
            <w:r>
              <w:rPr>
                <w:rFonts w:hint="eastAsia" w:ascii="宋体" w:hAnsi="宋体" w:cs="宋体"/>
                <w:color w:val="000000"/>
                <w:kern w:val="0"/>
                <w:sz w:val="24"/>
                <w:szCs w:val="24"/>
              </w:rPr>
              <w:t>例如：</w:t>
            </w:r>
            <w:r>
              <w:rPr>
                <w:rFonts w:ascii="宋体" w:hAnsi="宋体"/>
                <w:color w:val="000000"/>
                <w:kern w:val="0"/>
                <w:sz w:val="24"/>
                <w:szCs w:val="24"/>
              </w:rPr>
              <w:t>GBP 35000</w:t>
            </w:r>
          </w:p>
        </w:tc>
      </w:tr>
      <w:tr>
        <w:tblPrEx>
          <w:tblLayout w:type="fixed"/>
          <w:tblCellMar>
            <w:top w:w="0" w:type="dxa"/>
            <w:left w:w="108" w:type="dxa"/>
            <w:bottom w:w="0" w:type="dxa"/>
            <w:right w:w="108" w:type="dxa"/>
          </w:tblCellMar>
        </w:tblPrEx>
        <w:trPr>
          <w:trHeight w:val="270" w:hRule="atLeast"/>
          <w:tblHeader/>
        </w:trPr>
        <w:tc>
          <w:tcPr>
            <w:tcW w:w="1526" w:type="dxa"/>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结算方式</w:t>
            </w:r>
          </w:p>
        </w:tc>
        <w:tc>
          <w:tcPr>
            <w:tcW w:w="2410" w:type="dxa"/>
            <w:tcBorders>
              <w:top w:val="nil"/>
              <w:left w:val="nil"/>
              <w:bottom w:val="single" w:color="auto" w:sz="4" w:space="0"/>
              <w:right w:val="single" w:color="auto" w:sz="4" w:space="0"/>
            </w:tcBorders>
            <w:shd w:val="clear" w:color="auto" w:fill="auto"/>
            <w:vAlign w:val="center"/>
          </w:tcPr>
          <w:p>
            <w:pPr>
              <w:widowControl/>
              <w:rPr>
                <w:rFonts w:ascii="Times New Roman" w:hAnsi="Times New Roman"/>
                <w:color w:val="000000"/>
                <w:kern w:val="0"/>
                <w:sz w:val="24"/>
                <w:szCs w:val="24"/>
              </w:rPr>
            </w:pPr>
            <w:r>
              <w:rPr>
                <w:rFonts w:ascii="Times New Roman" w:hAnsi="Times New Roman"/>
                <w:color w:val="000000"/>
                <w:kern w:val="0"/>
                <w:sz w:val="24"/>
                <w:szCs w:val="24"/>
              </w:rPr>
              <w:t>Payment:</w:t>
            </w:r>
          </w:p>
        </w:tc>
        <w:tc>
          <w:tcPr>
            <w:tcW w:w="4677"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与合同中结算方式完全一致，必须完整表达</w:t>
            </w:r>
          </w:p>
          <w:p>
            <w:pPr>
              <w:widowControl/>
              <w:rPr>
                <w:rFonts w:ascii="宋体" w:hAnsi="宋体" w:cs="宋体"/>
                <w:color w:val="000000"/>
                <w:kern w:val="0"/>
                <w:sz w:val="24"/>
                <w:szCs w:val="24"/>
              </w:rPr>
            </w:pPr>
            <w:r>
              <w:rPr>
                <w:rFonts w:hint="eastAsia" w:ascii="宋体" w:hAnsi="宋体" w:cs="宋体"/>
                <w:color w:val="000000"/>
                <w:kern w:val="0"/>
                <w:sz w:val="24"/>
                <w:szCs w:val="24"/>
              </w:rPr>
              <w:t>例如：</w:t>
            </w:r>
            <w:r>
              <w:rPr>
                <w:rFonts w:ascii="宋体" w:hAnsi="宋体"/>
                <w:color w:val="000000"/>
                <w:kern w:val="0"/>
                <w:sz w:val="24"/>
                <w:szCs w:val="24"/>
              </w:rPr>
              <w:t>T/T 30% IN ADVANCE AND 70% WITHIN 30 DAYS AFTER SHIPMENT DATE</w:t>
            </w:r>
          </w:p>
        </w:tc>
      </w:tr>
      <w:tr>
        <w:tblPrEx>
          <w:tblLayout w:type="fixed"/>
          <w:tblCellMar>
            <w:top w:w="0" w:type="dxa"/>
            <w:left w:w="108" w:type="dxa"/>
            <w:bottom w:w="0" w:type="dxa"/>
            <w:right w:w="108" w:type="dxa"/>
          </w:tblCellMar>
        </w:tblPrEx>
        <w:trPr>
          <w:trHeight w:val="270" w:hRule="atLeast"/>
          <w:tblHeader/>
        </w:trPr>
        <w:tc>
          <w:tcPr>
            <w:tcW w:w="1526" w:type="dxa"/>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运输方式</w:t>
            </w:r>
          </w:p>
        </w:tc>
        <w:tc>
          <w:tcPr>
            <w:tcW w:w="2410" w:type="dxa"/>
            <w:tcBorders>
              <w:top w:val="nil"/>
              <w:left w:val="nil"/>
              <w:bottom w:val="single" w:color="auto" w:sz="4" w:space="0"/>
              <w:right w:val="single" w:color="auto" w:sz="4" w:space="0"/>
            </w:tcBorders>
            <w:shd w:val="clear" w:color="auto" w:fill="auto"/>
            <w:vAlign w:val="center"/>
          </w:tcPr>
          <w:p>
            <w:pPr>
              <w:widowControl/>
              <w:rPr>
                <w:rFonts w:ascii="Times New Roman" w:hAnsi="Times New Roman"/>
                <w:color w:val="000000"/>
                <w:kern w:val="0"/>
                <w:sz w:val="24"/>
                <w:szCs w:val="24"/>
              </w:rPr>
            </w:pPr>
            <w:r>
              <w:rPr>
                <w:rFonts w:ascii="Times New Roman" w:hAnsi="Times New Roman"/>
                <w:color w:val="000000"/>
                <w:kern w:val="0"/>
                <w:sz w:val="24"/>
                <w:szCs w:val="24"/>
              </w:rPr>
              <w:t>Means of Transport:</w:t>
            </w:r>
          </w:p>
        </w:tc>
        <w:tc>
          <w:tcPr>
            <w:tcW w:w="4677"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与合同中运输方式完全一致，具体为</w:t>
            </w:r>
            <w:r>
              <w:rPr>
                <w:rFonts w:hint="eastAsia" w:ascii="宋体" w:hAnsi="宋体"/>
                <w:color w:val="000000"/>
                <w:kern w:val="0"/>
                <w:sz w:val="24"/>
                <w:szCs w:val="24"/>
              </w:rPr>
              <w:t>BY VESSEL</w:t>
            </w:r>
            <w:r>
              <w:rPr>
                <w:rFonts w:hint="eastAsia" w:ascii="宋体" w:hAnsi="宋体" w:cs="宋体"/>
                <w:color w:val="000000"/>
                <w:kern w:val="0"/>
                <w:sz w:val="24"/>
                <w:szCs w:val="24"/>
              </w:rPr>
              <w:t>或</w:t>
            </w:r>
            <w:r>
              <w:rPr>
                <w:rFonts w:hint="eastAsia" w:ascii="宋体" w:hAnsi="宋体"/>
                <w:color w:val="000000"/>
                <w:kern w:val="0"/>
                <w:sz w:val="24"/>
                <w:szCs w:val="24"/>
              </w:rPr>
              <w:t>BY AIR</w:t>
            </w:r>
          </w:p>
        </w:tc>
      </w:tr>
      <w:tr>
        <w:tblPrEx>
          <w:tblLayout w:type="fixed"/>
          <w:tblCellMar>
            <w:top w:w="0" w:type="dxa"/>
            <w:left w:w="108" w:type="dxa"/>
            <w:bottom w:w="0" w:type="dxa"/>
            <w:right w:w="108" w:type="dxa"/>
          </w:tblCellMar>
        </w:tblPrEx>
        <w:trPr>
          <w:trHeight w:val="270" w:hRule="atLeast"/>
          <w:tblHeader/>
        </w:trPr>
        <w:tc>
          <w:tcPr>
            <w:tcW w:w="1526" w:type="dxa"/>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装运港</w:t>
            </w:r>
          </w:p>
        </w:tc>
        <w:tc>
          <w:tcPr>
            <w:tcW w:w="2410" w:type="dxa"/>
            <w:tcBorders>
              <w:top w:val="nil"/>
              <w:left w:val="nil"/>
              <w:bottom w:val="single" w:color="auto" w:sz="4" w:space="0"/>
              <w:right w:val="single" w:color="auto" w:sz="4" w:space="0"/>
            </w:tcBorders>
            <w:shd w:val="clear" w:color="auto" w:fill="auto"/>
            <w:vAlign w:val="center"/>
          </w:tcPr>
          <w:p>
            <w:pPr>
              <w:widowControl/>
              <w:rPr>
                <w:rFonts w:ascii="Times New Roman" w:hAnsi="Times New Roman"/>
                <w:color w:val="000000"/>
                <w:kern w:val="0"/>
                <w:sz w:val="24"/>
                <w:szCs w:val="24"/>
              </w:rPr>
            </w:pPr>
            <w:r>
              <w:rPr>
                <w:rFonts w:ascii="Times New Roman" w:hAnsi="Times New Roman"/>
                <w:color w:val="000000"/>
                <w:kern w:val="0"/>
                <w:sz w:val="24"/>
                <w:szCs w:val="24"/>
              </w:rPr>
              <w:t>Port of Shipment:</w:t>
            </w:r>
          </w:p>
        </w:tc>
        <w:tc>
          <w:tcPr>
            <w:tcW w:w="4677"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与合同中装运港完全一致</w:t>
            </w:r>
          </w:p>
          <w:p>
            <w:pPr>
              <w:widowControl/>
              <w:rPr>
                <w:rFonts w:ascii="宋体" w:hAnsi="宋体" w:cs="宋体"/>
                <w:color w:val="000000"/>
                <w:kern w:val="0"/>
                <w:sz w:val="24"/>
                <w:szCs w:val="24"/>
              </w:rPr>
            </w:pPr>
            <w:r>
              <w:rPr>
                <w:rFonts w:hint="eastAsia" w:ascii="宋体" w:hAnsi="宋体" w:cs="宋体"/>
                <w:color w:val="000000"/>
                <w:kern w:val="0"/>
                <w:sz w:val="24"/>
                <w:szCs w:val="24"/>
              </w:rPr>
              <w:t>格式：港口,国家</w:t>
            </w:r>
          </w:p>
          <w:p>
            <w:pPr>
              <w:widowControl/>
              <w:rPr>
                <w:rFonts w:ascii="宋体" w:hAnsi="宋体" w:cs="宋体"/>
                <w:color w:val="000000"/>
                <w:kern w:val="0"/>
                <w:sz w:val="24"/>
                <w:szCs w:val="24"/>
              </w:rPr>
            </w:pPr>
            <w:r>
              <w:rPr>
                <w:rFonts w:hint="eastAsia" w:ascii="宋体" w:hAnsi="宋体" w:cs="宋体"/>
                <w:color w:val="000000"/>
                <w:kern w:val="0"/>
                <w:sz w:val="24"/>
                <w:szCs w:val="24"/>
              </w:rPr>
              <w:t>例如：</w:t>
            </w:r>
            <w:r>
              <w:rPr>
                <w:rFonts w:ascii="宋体" w:hAnsi="宋体"/>
                <w:color w:val="000000"/>
                <w:kern w:val="0"/>
                <w:sz w:val="24"/>
                <w:szCs w:val="24"/>
              </w:rPr>
              <w:t>HAMBURG,GERMANY</w:t>
            </w:r>
          </w:p>
        </w:tc>
      </w:tr>
      <w:tr>
        <w:tblPrEx>
          <w:tblLayout w:type="fixed"/>
          <w:tblCellMar>
            <w:top w:w="0" w:type="dxa"/>
            <w:left w:w="108" w:type="dxa"/>
            <w:bottom w:w="0" w:type="dxa"/>
            <w:right w:w="108" w:type="dxa"/>
          </w:tblCellMar>
        </w:tblPrEx>
        <w:trPr>
          <w:trHeight w:val="270" w:hRule="atLeast"/>
          <w:tblHeader/>
        </w:trPr>
        <w:tc>
          <w:tcPr>
            <w:tcW w:w="1526" w:type="dxa"/>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目的港</w:t>
            </w:r>
          </w:p>
        </w:tc>
        <w:tc>
          <w:tcPr>
            <w:tcW w:w="2410" w:type="dxa"/>
            <w:tcBorders>
              <w:top w:val="nil"/>
              <w:left w:val="nil"/>
              <w:bottom w:val="single" w:color="auto" w:sz="4" w:space="0"/>
              <w:right w:val="single" w:color="auto" w:sz="4" w:space="0"/>
            </w:tcBorders>
            <w:shd w:val="clear" w:color="auto" w:fill="auto"/>
            <w:vAlign w:val="center"/>
          </w:tcPr>
          <w:p>
            <w:pPr>
              <w:widowControl/>
              <w:rPr>
                <w:rFonts w:ascii="Times New Roman" w:hAnsi="Times New Roman"/>
                <w:color w:val="000000"/>
                <w:kern w:val="0"/>
                <w:sz w:val="24"/>
                <w:szCs w:val="24"/>
              </w:rPr>
            </w:pPr>
            <w:r>
              <w:rPr>
                <w:rFonts w:ascii="Times New Roman" w:hAnsi="Times New Roman"/>
                <w:color w:val="000000"/>
                <w:kern w:val="0"/>
                <w:sz w:val="24"/>
                <w:szCs w:val="24"/>
              </w:rPr>
              <w:t>Port of Destination:</w:t>
            </w:r>
          </w:p>
        </w:tc>
        <w:tc>
          <w:tcPr>
            <w:tcW w:w="4677"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与合同中目的港完全一致,格式同装运港</w:t>
            </w:r>
          </w:p>
        </w:tc>
      </w:tr>
      <w:tr>
        <w:tblPrEx>
          <w:tblLayout w:type="fixed"/>
          <w:tblCellMar>
            <w:top w:w="0" w:type="dxa"/>
            <w:left w:w="108" w:type="dxa"/>
            <w:bottom w:w="0" w:type="dxa"/>
            <w:right w:w="108" w:type="dxa"/>
          </w:tblCellMar>
        </w:tblPrEx>
        <w:trPr>
          <w:trHeight w:val="270" w:hRule="atLeast"/>
          <w:tblHeader/>
        </w:trPr>
        <w:tc>
          <w:tcPr>
            <w:tcW w:w="1526" w:type="dxa"/>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保险条款</w:t>
            </w:r>
          </w:p>
        </w:tc>
        <w:tc>
          <w:tcPr>
            <w:tcW w:w="2410" w:type="dxa"/>
            <w:tcBorders>
              <w:top w:val="nil"/>
              <w:left w:val="nil"/>
              <w:bottom w:val="single" w:color="auto" w:sz="4" w:space="0"/>
              <w:right w:val="single" w:color="auto" w:sz="4" w:space="0"/>
            </w:tcBorders>
            <w:shd w:val="clear" w:color="auto" w:fill="auto"/>
            <w:vAlign w:val="center"/>
          </w:tcPr>
          <w:p>
            <w:pPr>
              <w:widowControl/>
              <w:rPr>
                <w:rFonts w:ascii="Times New Roman" w:hAnsi="Times New Roman"/>
                <w:color w:val="000000"/>
                <w:kern w:val="0"/>
                <w:sz w:val="24"/>
                <w:szCs w:val="24"/>
              </w:rPr>
            </w:pPr>
            <w:r>
              <w:rPr>
                <w:rFonts w:ascii="Times New Roman" w:hAnsi="Times New Roman"/>
                <w:color w:val="000000"/>
                <w:kern w:val="0"/>
                <w:sz w:val="24"/>
                <w:szCs w:val="24"/>
              </w:rPr>
              <w:t>Insurance:</w:t>
            </w:r>
          </w:p>
        </w:tc>
        <w:tc>
          <w:tcPr>
            <w:tcW w:w="4677"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 w:val="24"/>
                <w:szCs w:val="24"/>
              </w:rPr>
            </w:pPr>
            <w:r>
              <w:rPr>
                <w:rFonts w:hint="eastAsia" w:ascii="宋体" w:hAnsi="宋体" w:cs="宋体"/>
                <w:color w:val="000000"/>
                <w:kern w:val="0"/>
                <w:sz w:val="24"/>
                <w:szCs w:val="24"/>
              </w:rPr>
              <w:t>与合同中保险条款完全一致</w:t>
            </w:r>
          </w:p>
          <w:p>
            <w:pPr>
              <w:widowControl/>
              <w:rPr>
                <w:rFonts w:ascii="宋体" w:hAnsi="宋体" w:cs="宋体"/>
                <w:color w:val="000000"/>
                <w:kern w:val="0"/>
                <w:sz w:val="24"/>
                <w:szCs w:val="24"/>
              </w:rPr>
            </w:pPr>
            <w:r>
              <w:rPr>
                <w:rFonts w:hint="eastAsia" w:ascii="宋体" w:hAnsi="宋体" w:cs="宋体"/>
                <w:color w:val="000000"/>
                <w:kern w:val="0"/>
                <w:sz w:val="24"/>
                <w:szCs w:val="24"/>
              </w:rPr>
              <w:t>例如</w:t>
            </w:r>
            <w:r>
              <w:rPr>
                <w:rFonts w:ascii="宋体" w:hAnsi="宋体"/>
                <w:color w:val="000000"/>
                <w:kern w:val="0"/>
                <w:sz w:val="24"/>
                <w:szCs w:val="24"/>
              </w:rPr>
              <w:t>FOB</w:t>
            </w:r>
            <w:r>
              <w:rPr>
                <w:rFonts w:hint="eastAsia" w:ascii="宋体" w:hAnsi="宋体" w:cs="宋体"/>
                <w:color w:val="000000"/>
                <w:kern w:val="0"/>
                <w:sz w:val="24"/>
                <w:szCs w:val="24"/>
              </w:rPr>
              <w:t>方式下保险条款如下：</w:t>
            </w:r>
          </w:p>
          <w:p>
            <w:pPr>
              <w:widowControl/>
              <w:rPr>
                <w:rFonts w:ascii="宋体" w:hAnsi="宋体"/>
                <w:kern w:val="0"/>
                <w:sz w:val="24"/>
                <w:szCs w:val="24"/>
              </w:rPr>
            </w:pPr>
            <w:r>
              <w:rPr>
                <w:rFonts w:ascii="宋体" w:hAnsi="宋体"/>
                <w:color w:val="000000"/>
                <w:kern w:val="0"/>
                <w:sz w:val="24"/>
                <w:szCs w:val="24"/>
              </w:rPr>
              <w:t>TO BE COVERED BY THE BUYER.</w:t>
            </w:r>
          </w:p>
        </w:tc>
      </w:tr>
    </w:tbl>
    <w:p>
      <w:pPr>
        <w:spacing w:line="560" w:lineRule="exact"/>
        <w:rPr>
          <w:rFonts w:ascii="仿宋_GB2312" w:hAnsi="仿宋" w:eastAsia="仿宋_GB2312" w:cs="宋体"/>
          <w:sz w:val="30"/>
          <w:szCs w:val="30"/>
        </w:rPr>
      </w:pPr>
      <w:r>
        <w:rPr>
          <w:rFonts w:hint="eastAsia" w:ascii="仿宋_GB2312" w:hAnsi="仿宋" w:eastAsia="仿宋_GB2312" w:cs="宋体"/>
          <w:sz w:val="30"/>
          <w:szCs w:val="30"/>
        </w:rPr>
        <w:t>参考范例：</w:t>
      </w:r>
    </w:p>
    <w:p>
      <w:pPr>
        <w:snapToGrid w:val="0"/>
        <w:spacing w:line="560" w:lineRule="exact"/>
        <w:rPr>
          <w:rFonts w:ascii="Times New Roman" w:hAnsi="Times New Roman" w:eastAsia="仿宋"/>
          <w:color w:val="000000"/>
          <w:kern w:val="0"/>
          <w:sz w:val="28"/>
          <w:szCs w:val="28"/>
        </w:rPr>
      </w:pPr>
      <w:r>
        <w:rPr>
          <w:rFonts w:ascii="Times New Roman" w:hAnsi="Times New Roman" w:eastAsia="仿宋"/>
          <w:color w:val="000000"/>
          <w:kern w:val="0"/>
          <w:sz w:val="28"/>
          <w:szCs w:val="28"/>
        </w:rPr>
        <w:t>Product No.:01005</w:t>
      </w:r>
    </w:p>
    <w:p>
      <w:pPr>
        <w:snapToGrid w:val="0"/>
        <w:spacing w:line="560" w:lineRule="exact"/>
        <w:rPr>
          <w:rFonts w:ascii="Times New Roman" w:hAnsi="Times New Roman" w:eastAsia="仿宋"/>
          <w:color w:val="000000"/>
          <w:kern w:val="0"/>
          <w:sz w:val="28"/>
          <w:szCs w:val="28"/>
        </w:rPr>
      </w:pPr>
      <w:r>
        <w:rPr>
          <w:rFonts w:ascii="Times New Roman" w:hAnsi="Times New Roman" w:eastAsia="仿宋"/>
          <w:color w:val="000000"/>
          <w:kern w:val="0"/>
          <w:sz w:val="28"/>
          <w:szCs w:val="28"/>
        </w:rPr>
        <w:t>Product Name: CANNED SWEET CORN</w:t>
      </w:r>
    </w:p>
    <w:p>
      <w:pPr>
        <w:snapToGrid w:val="0"/>
        <w:spacing w:line="560" w:lineRule="exact"/>
        <w:rPr>
          <w:rFonts w:ascii="Times New Roman" w:hAnsi="Times New Roman" w:eastAsia="仿宋"/>
          <w:color w:val="000000"/>
          <w:kern w:val="0"/>
          <w:sz w:val="28"/>
          <w:szCs w:val="28"/>
        </w:rPr>
      </w:pPr>
      <w:r>
        <w:rPr>
          <w:rFonts w:ascii="Times New Roman" w:hAnsi="Times New Roman" w:eastAsia="仿宋"/>
          <w:color w:val="000000"/>
          <w:kern w:val="0"/>
          <w:sz w:val="28"/>
          <w:szCs w:val="28"/>
        </w:rPr>
        <w:t>Quantity:</w:t>
      </w:r>
      <w:r>
        <w:rPr>
          <w:rFonts w:hint="eastAsia" w:ascii="Times New Roman" w:hAnsi="Times New Roman" w:eastAsia="仿宋"/>
          <w:color w:val="000000"/>
          <w:kern w:val="0"/>
          <w:sz w:val="28"/>
          <w:szCs w:val="28"/>
        </w:rPr>
        <w:t xml:space="preserve"> </w:t>
      </w:r>
      <w:r>
        <w:rPr>
          <w:rFonts w:ascii="Times New Roman" w:hAnsi="Times New Roman" w:eastAsia="仿宋"/>
          <w:color w:val="000000"/>
          <w:kern w:val="0"/>
          <w:sz w:val="28"/>
          <w:szCs w:val="28"/>
        </w:rPr>
        <w:t>10000 CARTONS</w:t>
      </w:r>
    </w:p>
    <w:p>
      <w:pPr>
        <w:snapToGrid w:val="0"/>
        <w:spacing w:line="560" w:lineRule="exact"/>
        <w:rPr>
          <w:rFonts w:ascii="Times New Roman" w:hAnsi="Times New Roman" w:eastAsia="仿宋"/>
          <w:color w:val="000000"/>
          <w:kern w:val="0"/>
          <w:sz w:val="28"/>
          <w:szCs w:val="28"/>
        </w:rPr>
      </w:pPr>
      <w:r>
        <w:rPr>
          <w:rFonts w:ascii="Times New Roman" w:hAnsi="Times New Roman" w:eastAsia="仿宋"/>
          <w:color w:val="000000"/>
          <w:kern w:val="0"/>
          <w:sz w:val="28"/>
          <w:szCs w:val="28"/>
        </w:rPr>
        <w:t>Unit Price:</w:t>
      </w:r>
      <w:r>
        <w:rPr>
          <w:rFonts w:hint="eastAsia" w:ascii="Times New Roman" w:hAnsi="Times New Roman" w:eastAsia="仿宋"/>
          <w:color w:val="000000"/>
          <w:kern w:val="0"/>
          <w:sz w:val="28"/>
          <w:szCs w:val="28"/>
        </w:rPr>
        <w:t xml:space="preserve"> </w:t>
      </w:r>
      <w:r>
        <w:rPr>
          <w:rFonts w:ascii="Times New Roman" w:hAnsi="Times New Roman" w:eastAsia="仿宋"/>
          <w:color w:val="000000"/>
          <w:kern w:val="0"/>
          <w:sz w:val="28"/>
          <w:szCs w:val="28"/>
        </w:rPr>
        <w:t>USD 5.3 PER CARTON CIF NEW</w:t>
      </w:r>
      <w:r>
        <w:rPr>
          <w:rFonts w:hint="eastAsia" w:ascii="Times New Roman" w:hAnsi="Times New Roman" w:eastAsia="仿宋"/>
          <w:color w:val="000000"/>
          <w:kern w:val="0"/>
          <w:sz w:val="28"/>
          <w:szCs w:val="28"/>
        </w:rPr>
        <w:t xml:space="preserve"> </w:t>
      </w:r>
      <w:r>
        <w:rPr>
          <w:rFonts w:ascii="Times New Roman" w:hAnsi="Times New Roman" w:eastAsia="仿宋"/>
          <w:color w:val="000000"/>
          <w:kern w:val="0"/>
          <w:sz w:val="28"/>
          <w:szCs w:val="28"/>
        </w:rPr>
        <w:t>YORK</w:t>
      </w:r>
      <w:r>
        <w:rPr>
          <w:rFonts w:hint="eastAsia" w:ascii="Times New Roman" w:hAnsi="Times New Roman" w:eastAsia="仿宋"/>
          <w:color w:val="000000"/>
          <w:kern w:val="0"/>
          <w:sz w:val="28"/>
          <w:szCs w:val="28"/>
        </w:rPr>
        <w:t>, AMERICA</w:t>
      </w:r>
    </w:p>
    <w:p>
      <w:pPr>
        <w:snapToGrid w:val="0"/>
        <w:spacing w:line="560" w:lineRule="exact"/>
        <w:rPr>
          <w:rFonts w:ascii="Times New Roman" w:hAnsi="Times New Roman" w:eastAsia="仿宋"/>
          <w:color w:val="000000"/>
          <w:kern w:val="0"/>
          <w:sz w:val="28"/>
          <w:szCs w:val="28"/>
        </w:rPr>
      </w:pPr>
      <w:r>
        <w:rPr>
          <w:rFonts w:ascii="Times New Roman" w:hAnsi="Times New Roman" w:eastAsia="仿宋"/>
          <w:color w:val="000000"/>
          <w:kern w:val="0"/>
          <w:sz w:val="28"/>
          <w:szCs w:val="28"/>
        </w:rPr>
        <w:t>Amount:</w:t>
      </w:r>
      <w:r>
        <w:rPr>
          <w:rFonts w:hint="eastAsia" w:ascii="Times New Roman" w:hAnsi="Times New Roman" w:eastAsia="仿宋"/>
          <w:color w:val="000000"/>
          <w:kern w:val="0"/>
          <w:sz w:val="28"/>
          <w:szCs w:val="28"/>
        </w:rPr>
        <w:t xml:space="preserve"> </w:t>
      </w:r>
      <w:r>
        <w:rPr>
          <w:rFonts w:ascii="Times New Roman" w:hAnsi="Times New Roman" w:eastAsia="仿宋"/>
          <w:color w:val="000000"/>
          <w:kern w:val="0"/>
          <w:sz w:val="28"/>
          <w:szCs w:val="28"/>
        </w:rPr>
        <w:t>USD53000</w:t>
      </w:r>
    </w:p>
    <w:p>
      <w:pPr>
        <w:snapToGrid w:val="0"/>
        <w:spacing w:line="560" w:lineRule="exact"/>
        <w:rPr>
          <w:rFonts w:ascii="Times New Roman" w:hAnsi="Times New Roman" w:eastAsia="仿宋"/>
          <w:color w:val="000000"/>
          <w:kern w:val="0"/>
          <w:sz w:val="28"/>
          <w:szCs w:val="28"/>
        </w:rPr>
      </w:pPr>
      <w:r>
        <w:rPr>
          <w:rFonts w:ascii="Times New Roman" w:hAnsi="Times New Roman" w:eastAsia="仿宋"/>
          <w:color w:val="000000"/>
          <w:kern w:val="0"/>
          <w:sz w:val="28"/>
          <w:szCs w:val="28"/>
        </w:rPr>
        <w:t>Payment:</w:t>
      </w:r>
      <w:r>
        <w:rPr>
          <w:rFonts w:hint="eastAsia" w:ascii="Times New Roman" w:hAnsi="Times New Roman" w:eastAsia="仿宋"/>
          <w:color w:val="000000"/>
          <w:kern w:val="0"/>
          <w:sz w:val="28"/>
          <w:szCs w:val="28"/>
        </w:rPr>
        <w:t xml:space="preserve"> </w:t>
      </w:r>
      <w:r>
        <w:rPr>
          <w:rFonts w:ascii="Times New Roman" w:hAnsi="Times New Roman" w:eastAsia="仿宋"/>
          <w:color w:val="000000"/>
          <w:kern w:val="0"/>
          <w:sz w:val="28"/>
          <w:szCs w:val="28"/>
        </w:rPr>
        <w:t>L/C AT 30 DAYS AFTER SIGHT</w:t>
      </w:r>
    </w:p>
    <w:p>
      <w:pPr>
        <w:snapToGrid w:val="0"/>
        <w:spacing w:line="560" w:lineRule="exact"/>
        <w:rPr>
          <w:rFonts w:ascii="Times New Roman" w:hAnsi="Times New Roman" w:eastAsia="仿宋"/>
          <w:color w:val="000000"/>
          <w:kern w:val="0"/>
          <w:sz w:val="28"/>
          <w:szCs w:val="28"/>
        </w:rPr>
      </w:pPr>
      <w:r>
        <w:rPr>
          <w:rFonts w:ascii="Times New Roman" w:hAnsi="Times New Roman" w:eastAsia="仿宋"/>
          <w:color w:val="000000"/>
          <w:kern w:val="0"/>
          <w:sz w:val="28"/>
          <w:szCs w:val="28"/>
        </w:rPr>
        <w:t>Means of Transport:</w:t>
      </w:r>
      <w:r>
        <w:rPr>
          <w:rFonts w:hint="eastAsia" w:ascii="Times New Roman" w:hAnsi="Times New Roman" w:eastAsia="仿宋"/>
          <w:color w:val="000000"/>
          <w:kern w:val="0"/>
          <w:sz w:val="28"/>
          <w:szCs w:val="28"/>
        </w:rPr>
        <w:t xml:space="preserve"> </w:t>
      </w:r>
      <w:r>
        <w:rPr>
          <w:rFonts w:ascii="Times New Roman" w:hAnsi="Times New Roman" w:eastAsia="仿宋"/>
          <w:color w:val="000000"/>
          <w:kern w:val="0"/>
          <w:sz w:val="28"/>
          <w:szCs w:val="28"/>
        </w:rPr>
        <w:t>BY VESSEL</w:t>
      </w:r>
    </w:p>
    <w:p>
      <w:pPr>
        <w:snapToGrid w:val="0"/>
        <w:spacing w:line="560" w:lineRule="exact"/>
        <w:rPr>
          <w:rFonts w:ascii="Times New Roman" w:hAnsi="Times New Roman" w:eastAsia="仿宋"/>
          <w:color w:val="000000"/>
          <w:kern w:val="0"/>
          <w:sz w:val="28"/>
          <w:szCs w:val="28"/>
        </w:rPr>
      </w:pPr>
      <w:r>
        <w:rPr>
          <w:rFonts w:ascii="Times New Roman" w:hAnsi="Times New Roman" w:eastAsia="仿宋"/>
          <w:color w:val="000000"/>
          <w:kern w:val="0"/>
          <w:sz w:val="28"/>
          <w:szCs w:val="28"/>
        </w:rPr>
        <w:t>Port of Shipment:</w:t>
      </w:r>
      <w:r>
        <w:rPr>
          <w:rFonts w:hint="eastAsia" w:ascii="Times New Roman" w:hAnsi="Times New Roman" w:eastAsia="仿宋"/>
          <w:color w:val="000000"/>
          <w:kern w:val="0"/>
          <w:sz w:val="28"/>
          <w:szCs w:val="28"/>
        </w:rPr>
        <w:t xml:space="preserve"> </w:t>
      </w:r>
      <w:r>
        <w:rPr>
          <w:rFonts w:ascii="Times New Roman" w:hAnsi="Times New Roman" w:eastAsia="仿宋"/>
          <w:color w:val="000000"/>
          <w:kern w:val="0"/>
          <w:sz w:val="28"/>
          <w:szCs w:val="28"/>
        </w:rPr>
        <w:t>SHANGHAI</w:t>
      </w:r>
      <w:r>
        <w:rPr>
          <w:rFonts w:hint="eastAsia" w:ascii="Times New Roman" w:hAnsi="Times New Roman" w:eastAsia="仿宋"/>
          <w:color w:val="000000"/>
          <w:kern w:val="0"/>
          <w:sz w:val="28"/>
          <w:szCs w:val="28"/>
        </w:rPr>
        <w:t>, CHINA</w:t>
      </w:r>
    </w:p>
    <w:p>
      <w:pPr>
        <w:snapToGrid w:val="0"/>
        <w:spacing w:line="560" w:lineRule="exact"/>
        <w:rPr>
          <w:rFonts w:ascii="Times New Roman" w:hAnsi="Times New Roman" w:eastAsia="仿宋"/>
          <w:color w:val="000000"/>
          <w:kern w:val="0"/>
          <w:sz w:val="28"/>
          <w:szCs w:val="28"/>
        </w:rPr>
      </w:pPr>
      <w:r>
        <w:rPr>
          <w:rFonts w:ascii="Times New Roman" w:hAnsi="Times New Roman" w:eastAsia="仿宋"/>
          <w:color w:val="000000"/>
          <w:kern w:val="0"/>
          <w:sz w:val="28"/>
          <w:szCs w:val="28"/>
        </w:rPr>
        <w:t>Port of Destination:</w:t>
      </w:r>
      <w:r>
        <w:rPr>
          <w:rFonts w:hint="eastAsia" w:ascii="Times New Roman" w:hAnsi="Times New Roman" w:eastAsia="仿宋"/>
          <w:color w:val="000000"/>
          <w:kern w:val="0"/>
          <w:sz w:val="28"/>
          <w:szCs w:val="28"/>
        </w:rPr>
        <w:t xml:space="preserve"> </w:t>
      </w:r>
      <w:r>
        <w:rPr>
          <w:rFonts w:ascii="Times New Roman" w:hAnsi="Times New Roman" w:eastAsia="仿宋"/>
          <w:color w:val="000000"/>
          <w:kern w:val="0"/>
          <w:sz w:val="28"/>
          <w:szCs w:val="28"/>
        </w:rPr>
        <w:t>NEW</w:t>
      </w:r>
      <w:r>
        <w:rPr>
          <w:rFonts w:hint="eastAsia" w:ascii="Times New Roman" w:hAnsi="Times New Roman" w:eastAsia="仿宋"/>
          <w:color w:val="000000"/>
          <w:kern w:val="0"/>
          <w:sz w:val="28"/>
          <w:szCs w:val="28"/>
        </w:rPr>
        <w:t xml:space="preserve"> </w:t>
      </w:r>
      <w:r>
        <w:rPr>
          <w:rFonts w:ascii="Times New Roman" w:hAnsi="Times New Roman" w:eastAsia="仿宋"/>
          <w:color w:val="000000"/>
          <w:kern w:val="0"/>
          <w:sz w:val="28"/>
          <w:szCs w:val="28"/>
        </w:rPr>
        <w:t>YORK</w:t>
      </w:r>
      <w:r>
        <w:rPr>
          <w:rFonts w:hint="eastAsia" w:ascii="Times New Roman" w:hAnsi="Times New Roman" w:eastAsia="仿宋"/>
          <w:color w:val="000000"/>
          <w:kern w:val="0"/>
          <w:sz w:val="28"/>
          <w:szCs w:val="28"/>
        </w:rPr>
        <w:t>, AMERICA</w:t>
      </w:r>
    </w:p>
    <w:p>
      <w:pPr>
        <w:snapToGrid w:val="0"/>
        <w:spacing w:line="560" w:lineRule="exact"/>
        <w:rPr>
          <w:rFonts w:ascii="Times New Roman" w:hAnsi="Times New Roman" w:eastAsia="仿宋"/>
          <w:color w:val="000000"/>
          <w:kern w:val="0"/>
          <w:sz w:val="28"/>
          <w:szCs w:val="28"/>
        </w:rPr>
      </w:pPr>
      <w:r>
        <w:rPr>
          <w:rFonts w:ascii="Times New Roman" w:hAnsi="Times New Roman" w:eastAsia="仿宋"/>
          <w:color w:val="000000"/>
          <w:kern w:val="0"/>
          <w:sz w:val="28"/>
          <w:szCs w:val="28"/>
        </w:rPr>
        <w:t>Insurance:</w:t>
      </w:r>
      <w:r>
        <w:rPr>
          <w:rFonts w:hint="eastAsia" w:ascii="Times New Roman" w:hAnsi="Times New Roman" w:eastAsia="仿宋"/>
          <w:color w:val="000000"/>
          <w:kern w:val="0"/>
          <w:sz w:val="28"/>
          <w:szCs w:val="28"/>
        </w:rPr>
        <w:t xml:space="preserve"> </w:t>
      </w:r>
      <w:r>
        <w:rPr>
          <w:rFonts w:ascii="Times New Roman" w:hAnsi="Times New Roman" w:eastAsia="仿宋"/>
          <w:color w:val="000000"/>
          <w:kern w:val="0"/>
          <w:sz w:val="28"/>
          <w:szCs w:val="28"/>
        </w:rPr>
        <w:t>FOR 110 PERCENT OF THE INVOICE VALUE COVERING INSTITUTE CARGO CLAUSES(A),</w:t>
      </w:r>
      <w:r>
        <w:rPr>
          <w:rFonts w:hint="eastAsia" w:ascii="Times New Roman" w:hAnsi="Times New Roman" w:eastAsia="仿宋"/>
          <w:color w:val="000000"/>
          <w:kern w:val="0"/>
          <w:sz w:val="28"/>
          <w:szCs w:val="28"/>
        </w:rPr>
        <w:t xml:space="preserve"> </w:t>
      </w:r>
      <w:r>
        <w:rPr>
          <w:rFonts w:ascii="Times New Roman" w:hAnsi="Times New Roman" w:eastAsia="仿宋"/>
          <w:color w:val="000000"/>
          <w:kern w:val="0"/>
          <w:sz w:val="28"/>
          <w:szCs w:val="28"/>
        </w:rPr>
        <w:t>INSTITUTE WAR CLAUSES,INSTITUTE STRIKES CLAUSES.</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（4）交易磋商的结果必须与正式签订的合同一致。</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（5）“接受”函电的正文中包含关键词“</w:t>
      </w:r>
      <w:r>
        <w:rPr>
          <w:rFonts w:hint="eastAsia" w:ascii="仿宋_GB2312" w:hAnsi="仿宋" w:eastAsia="仿宋_GB2312"/>
          <w:sz w:val="30"/>
          <w:szCs w:val="30"/>
        </w:rPr>
        <w:t>accept</w:t>
      </w:r>
      <w:r>
        <w:rPr>
          <w:rFonts w:hint="eastAsia" w:ascii="仿宋_GB2312" w:hAnsi="仿宋" w:eastAsia="仿宋_GB2312" w:cs="宋体"/>
          <w:sz w:val="30"/>
          <w:szCs w:val="30"/>
        </w:rPr>
        <w:t>”或“</w:t>
      </w:r>
      <w:r>
        <w:rPr>
          <w:rFonts w:hint="eastAsia" w:ascii="仿宋_GB2312" w:hAnsi="仿宋" w:eastAsia="仿宋_GB2312"/>
          <w:sz w:val="30"/>
          <w:szCs w:val="30"/>
        </w:rPr>
        <w:t>accepted</w:t>
      </w:r>
      <w:r>
        <w:rPr>
          <w:rFonts w:hint="eastAsia" w:ascii="仿宋_GB2312" w:hAnsi="仿宋" w:eastAsia="仿宋_GB2312" w:cs="宋体"/>
          <w:sz w:val="30"/>
          <w:szCs w:val="30"/>
        </w:rPr>
        <w:t>”。</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（五）填写进出口成本预算表</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进出口双方都必须严格依照双方最终商定的各项条款在系统中填写最终的成本预算表。合同签订完成后，进出口成本预算表会显示“实际发生额”，即为正确答案。</w:t>
      </w: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spacing w:line="560" w:lineRule="exact"/>
        <w:ind w:firstLine="600" w:firstLineChars="200"/>
        <w:rPr>
          <w:rFonts w:ascii="仿宋_GB2312" w:hAnsi="仿宋" w:eastAsia="仿宋_GB2312" w:cs="宋体"/>
          <w:sz w:val="30"/>
          <w:szCs w:val="30"/>
        </w:rPr>
      </w:pPr>
    </w:p>
    <w:p>
      <w:pPr>
        <w:ind w:firstLine="600" w:firstLineChars="200"/>
        <w:rPr>
          <w:rFonts w:ascii="仿宋_GB2312" w:hAnsi="仿宋" w:eastAsia="仿宋_GB2312" w:cs="宋体"/>
          <w:sz w:val="30"/>
          <w:szCs w:val="30"/>
        </w:rPr>
      </w:pPr>
    </w:p>
    <w:p>
      <w:pPr>
        <w:ind w:firstLine="600" w:firstLineChars="200"/>
        <w:rPr>
          <w:rFonts w:ascii="仿宋_GB2312" w:hAnsi="仿宋" w:eastAsia="仿宋_GB2312" w:cs="宋体"/>
          <w:sz w:val="30"/>
          <w:szCs w:val="30"/>
        </w:rPr>
      </w:pPr>
    </w:p>
    <w:p>
      <w:pPr>
        <w:ind w:firstLine="600" w:firstLineChars="200"/>
        <w:rPr>
          <w:rFonts w:ascii="仿宋_GB2312" w:hAnsi="仿宋" w:eastAsia="仿宋_GB2312" w:cs="宋体"/>
          <w:sz w:val="30"/>
          <w:szCs w:val="30"/>
        </w:rPr>
      </w:pPr>
      <w:r>
        <w:rPr>
          <w:rFonts w:hint="eastAsia" w:ascii="仿宋_GB2312" w:hAnsi="仿宋" w:eastAsia="仿宋_GB2312" w:cs="宋体"/>
          <w:sz w:val="30"/>
          <w:szCs w:val="30"/>
        </w:rPr>
        <w:t>1.出口商填写出口成本预算表</w:t>
      </w:r>
    </w:p>
    <w:p>
      <w:pPr>
        <w:rPr>
          <w:rFonts w:ascii="仿宋" w:hAnsi="仿宋" w:eastAsia="仿宋" w:cs="宋体"/>
          <w:sz w:val="28"/>
          <w:szCs w:val="28"/>
        </w:rPr>
      </w:pPr>
    </w:p>
    <w:p>
      <w:pPr>
        <w:rPr>
          <w:rFonts w:ascii="仿宋" w:hAnsi="仿宋" w:eastAsia="仿宋" w:cs="宋体"/>
          <w:sz w:val="28"/>
          <w:szCs w:val="28"/>
        </w:rPr>
      </w:pPr>
      <w:r>
        <w:rPr>
          <w:rFonts w:ascii="仿宋" w:hAnsi="仿宋" w:eastAsia="仿宋" w:cs="宋体"/>
          <w:sz w:val="28"/>
          <w:szCs w:val="28"/>
        </w:rPr>
        <w:drawing>
          <wp:anchor distT="0" distB="0" distL="114300" distR="114300" simplePos="0" relativeHeight="251664384" behindDoc="1" locked="0" layoutInCell="1" allowOverlap="1">
            <wp:simplePos x="0" y="0"/>
            <wp:positionH relativeFrom="column">
              <wp:posOffset>19050</wp:posOffset>
            </wp:positionH>
            <wp:positionV relativeFrom="paragraph">
              <wp:posOffset>22860</wp:posOffset>
            </wp:positionV>
            <wp:extent cx="5143500" cy="7219950"/>
            <wp:effectExtent l="19050" t="0" r="0" b="0"/>
            <wp:wrapTight wrapText="bothSides">
              <wp:wrapPolygon>
                <wp:start x="-80" y="0"/>
                <wp:lineTo x="-80" y="21543"/>
                <wp:lineTo x="21600" y="21543"/>
                <wp:lineTo x="21600" y="0"/>
                <wp:lineTo x="-80" y="0"/>
              </wp:wrapPolygon>
            </wp:wrapTight>
            <wp:docPr id="265" name="图片 265" descr="D:\比赛\国赛\方案\截图\出口预算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descr="D:\比赛\国赛\方案\截图\出口预算表.png"/>
                    <pic:cNvPicPr>
                      <a:picLocks noChangeAspect="1" noChangeArrowheads="1"/>
                    </pic:cNvPicPr>
                  </pic:nvPicPr>
                  <pic:blipFill>
                    <a:blip r:embed="rId6"/>
                    <a:srcRect/>
                    <a:stretch>
                      <a:fillRect/>
                    </a:stretch>
                  </pic:blipFill>
                  <pic:spPr>
                    <a:xfrm>
                      <a:off x="0" y="0"/>
                      <a:ext cx="5143500" cy="7219950"/>
                    </a:xfrm>
                    <a:prstGeom prst="rect">
                      <a:avLst/>
                    </a:prstGeom>
                    <a:noFill/>
                    <a:ln w="9525">
                      <a:noFill/>
                      <a:miter lim="800000"/>
                      <a:headEnd/>
                      <a:tailEnd/>
                    </a:ln>
                  </pic:spPr>
                </pic:pic>
              </a:graphicData>
            </a:graphic>
          </wp:anchor>
        </w:drawing>
      </w:r>
    </w:p>
    <w:p>
      <w:pPr>
        <w:ind w:firstLine="600" w:firstLineChars="200"/>
        <w:rPr>
          <w:rFonts w:ascii="仿宋_GB2312" w:hAnsi="仿宋" w:eastAsia="仿宋_GB2312" w:cs="宋体"/>
          <w:sz w:val="30"/>
          <w:szCs w:val="30"/>
        </w:rPr>
      </w:pPr>
      <w:r>
        <w:rPr>
          <w:rFonts w:hint="eastAsia" w:ascii="仿宋_GB2312" w:hAnsi="仿宋" w:eastAsia="仿宋_GB2312" w:cs="宋体"/>
          <w:sz w:val="30"/>
          <w:szCs w:val="30"/>
        </w:rPr>
        <w:t>2.进口商填写进口成本预算表</w:t>
      </w:r>
    </w:p>
    <w:p>
      <w:pPr>
        <w:ind w:firstLine="600" w:firstLineChars="200"/>
        <w:rPr>
          <w:rFonts w:ascii="仿宋_GB2312" w:hAnsi="仿宋" w:eastAsia="仿宋_GB2312" w:cs="宋体"/>
          <w:sz w:val="30"/>
          <w:szCs w:val="30"/>
        </w:rPr>
      </w:pPr>
    </w:p>
    <w:p>
      <w:pPr>
        <w:ind w:firstLine="600" w:firstLineChars="200"/>
        <w:rPr>
          <w:rFonts w:ascii="仿宋_GB2312" w:hAnsi="Arial Narrow" w:eastAsia="仿宋_GB2312" w:cs="Arial"/>
          <w:sz w:val="30"/>
          <w:szCs w:val="30"/>
        </w:rPr>
      </w:pPr>
      <w:r>
        <w:rPr>
          <w:rFonts w:ascii="仿宋_GB2312" w:hAnsi="Arial Narrow" w:eastAsia="仿宋_GB2312" w:cs="Arial"/>
          <w:sz w:val="30"/>
          <w:szCs w:val="30"/>
        </w:rPr>
        <w:drawing>
          <wp:inline distT="0" distB="0" distL="0" distR="0">
            <wp:extent cx="5274310" cy="7650480"/>
            <wp:effectExtent l="19050" t="0" r="2540" b="0"/>
            <wp:docPr id="1" name="图片 1" descr="C:\Users\Administrator\Desktop\预算表日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预算表日本.png"/>
                    <pic:cNvPicPr>
                      <a:picLocks noChangeAspect="1" noChangeArrowheads="1"/>
                    </pic:cNvPicPr>
                  </pic:nvPicPr>
                  <pic:blipFill>
                    <a:blip r:embed="rId7"/>
                    <a:srcRect/>
                    <a:stretch>
                      <a:fillRect/>
                    </a:stretch>
                  </pic:blipFill>
                  <pic:spPr>
                    <a:xfrm>
                      <a:off x="0" y="0"/>
                      <a:ext cx="5274804" cy="7647710"/>
                    </a:xfrm>
                    <a:prstGeom prst="rect">
                      <a:avLst/>
                    </a:prstGeom>
                    <a:noFill/>
                    <a:ln w="9525">
                      <a:noFill/>
                      <a:miter lim="800000"/>
                      <a:headEnd/>
                      <a:tailEnd/>
                    </a:ln>
                  </pic:spPr>
                </pic:pic>
              </a:graphicData>
            </a:graphic>
          </wp:inline>
        </w:drawing>
      </w:r>
    </w:p>
    <w:p>
      <w:pPr>
        <w:spacing w:line="560" w:lineRule="exact"/>
        <w:ind w:firstLine="600" w:firstLineChars="200"/>
        <w:rPr>
          <w:rFonts w:ascii="仿宋_GB2312" w:hAnsi="仿宋" w:eastAsia="仿宋_GB2312" w:cs="宋体"/>
          <w:sz w:val="30"/>
          <w:szCs w:val="30"/>
        </w:rPr>
      </w:pPr>
      <w:bookmarkStart w:id="12" w:name="_Toc460925239"/>
      <w:r>
        <w:rPr>
          <w:rFonts w:hint="eastAsia" w:ascii="仿宋_GB2312" w:hAnsi="仿宋" w:eastAsia="仿宋_GB2312" w:cs="宋体"/>
          <w:sz w:val="30"/>
          <w:szCs w:val="30"/>
        </w:rPr>
        <w:t>（六）签订合同</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根据进出口双方的磋商结果由出口商起草合同，检查无误后签字盖章并发送给进口商确认。进口商须仔细检查合同各项条款，如有异议，应拒绝合同，并联系出口商要求其尽快修改；如无异议，即可确认合同，则该笔业务会进入到“历史业务”中，标志着该业务全部完成。</w:t>
      </w:r>
    </w:p>
    <w:p>
      <w:pPr>
        <w:rPr>
          <w:rFonts w:ascii="仿宋" w:hAnsi="仿宋" w:eastAsia="仿宋"/>
          <w:sz w:val="28"/>
          <w:szCs w:val="28"/>
        </w:rPr>
      </w:pPr>
    </w:p>
    <w:p>
      <w:pPr>
        <w:widowControl/>
        <w:jc w:val="left"/>
        <w:rPr>
          <w:rFonts w:ascii="仿宋" w:hAnsi="仿宋" w:eastAsia="仿宋"/>
          <w:sz w:val="28"/>
          <w:szCs w:val="28"/>
        </w:rPr>
      </w:pPr>
      <w:r>
        <w:rPr>
          <w:rFonts w:ascii="仿宋" w:hAnsi="仿宋" w:eastAsia="仿宋"/>
          <w:sz w:val="28"/>
          <w:szCs w:val="28"/>
        </w:rPr>
        <w:br w:type="page"/>
      </w:r>
    </w:p>
    <w:p>
      <w:pPr>
        <w:jc w:val="center"/>
        <w:rPr>
          <w:rFonts w:ascii="仿宋" w:hAnsi="仿宋" w:eastAsia="仿宋"/>
          <w:sz w:val="28"/>
          <w:szCs w:val="28"/>
        </w:rPr>
      </w:pPr>
      <w:r>
        <w:rPr>
          <w:rFonts w:ascii="仿宋" w:hAnsi="仿宋" w:eastAsia="仿宋"/>
          <w:sz w:val="28"/>
          <w:szCs w:val="28"/>
        </w:rPr>
        <w:drawing>
          <wp:anchor distT="0" distB="0" distL="114300" distR="114300" simplePos="0" relativeHeight="251666432" behindDoc="0" locked="0" layoutInCell="1" allowOverlap="1">
            <wp:simplePos x="0" y="0"/>
            <wp:positionH relativeFrom="column">
              <wp:posOffset>-328930</wp:posOffset>
            </wp:positionH>
            <wp:positionV relativeFrom="paragraph">
              <wp:posOffset>-119380</wp:posOffset>
            </wp:positionV>
            <wp:extent cx="5835015" cy="9618980"/>
            <wp:effectExtent l="19050" t="0" r="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a:srcRect/>
                    <a:stretch>
                      <a:fillRect/>
                    </a:stretch>
                  </pic:blipFill>
                  <pic:spPr>
                    <a:xfrm>
                      <a:off x="0" y="0"/>
                      <a:ext cx="5835015" cy="9618980"/>
                    </a:xfrm>
                    <a:prstGeom prst="rect">
                      <a:avLst/>
                    </a:prstGeom>
                    <a:noFill/>
                  </pic:spPr>
                </pic:pic>
              </a:graphicData>
            </a:graphic>
          </wp:anchor>
        </w:drawing>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★外贸业务能力B2C模块</w:t>
      </w:r>
    </w:p>
    <w:bookmarkEnd w:id="12"/>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考察内容包括B2C跨境电子商务平台产品推广、</w:t>
      </w:r>
      <w:r>
        <w:rPr>
          <w:rFonts w:hint="eastAsia" w:ascii="仿宋_GB2312" w:hAnsi="Arial Narrow" w:eastAsia="仿宋_GB2312" w:cs="Arial"/>
          <w:sz w:val="30"/>
          <w:szCs w:val="30"/>
        </w:rPr>
        <w:t>产品开发、</w:t>
      </w:r>
      <w:r>
        <w:rPr>
          <w:rFonts w:hint="eastAsia" w:ascii="仿宋_GB2312" w:hAnsi="仿宋" w:eastAsia="仿宋_GB2312" w:cs="宋体"/>
          <w:sz w:val="30"/>
          <w:szCs w:val="30"/>
        </w:rPr>
        <w:t>价格核算、运费模板设置、</w:t>
      </w:r>
      <w:r>
        <w:rPr>
          <w:rFonts w:hint="eastAsia" w:ascii="仿宋_GB2312" w:hAnsi="Arial Narrow" w:eastAsia="仿宋_GB2312" w:cs="Arial"/>
          <w:sz w:val="30"/>
          <w:szCs w:val="30"/>
        </w:rPr>
        <w:t>数据挖掘与分析、引流营销、客户服务、纠纷处理、平台规则、物流采购</w:t>
      </w:r>
      <w:r>
        <w:rPr>
          <w:rFonts w:hint="eastAsia" w:ascii="仿宋_GB2312" w:hAnsi="仿宋" w:eastAsia="仿宋_GB2312" w:cs="宋体"/>
          <w:sz w:val="30"/>
          <w:szCs w:val="30"/>
        </w:rPr>
        <w:t>等。选手通过竞赛系统完成作答，题目类型包含单项选择题、多项选择题、填空题、拖拽题、图形选择题等。</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（一）单项选择题</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1.</w:t>
      </w:r>
      <w:r>
        <w:rPr>
          <w:rFonts w:hint="eastAsia"/>
        </w:rPr>
        <w:t xml:space="preserve"> </w:t>
      </w:r>
      <w:r>
        <w:rPr>
          <w:rFonts w:hint="eastAsia" w:ascii="仿宋_GB2312" w:hAnsi="仿宋" w:eastAsia="仿宋_GB2312" w:cs="宋体"/>
          <w:sz w:val="30"/>
          <w:szCs w:val="30"/>
        </w:rPr>
        <w:t>9月23日，来自美国的买家A在W平台下单购买了一款带有流苏装饰的手提包，并给在中国的卖家B留言，希望在9月27日能够收到货物。此时你建议卖家B为买家A选择哪种物流方式最为妥当？</w:t>
      </w:r>
    </w:p>
    <w:p>
      <w:pPr>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A.</w:t>
      </w:r>
      <w:r>
        <w:rPr>
          <w:rFonts w:hint="eastAsia" w:ascii="Times New Roman" w:hAnsi="Times New Roman" w:eastAsia="仿宋_GB2312"/>
          <w:sz w:val="30"/>
          <w:szCs w:val="30"/>
        </w:rPr>
        <w:t>中国邮政航空挂号小包</w:t>
      </w:r>
      <w:r>
        <w:rPr>
          <w:rFonts w:ascii="Times New Roman" w:hAnsi="Times New Roman" w:eastAsia="仿宋_GB2312"/>
          <w:sz w:val="30"/>
          <w:szCs w:val="30"/>
        </w:rPr>
        <w:tab/>
      </w:r>
      <w:r>
        <w:rPr>
          <w:rFonts w:ascii="Times New Roman" w:hAnsi="Times New Roman" w:eastAsia="仿宋_GB2312"/>
          <w:sz w:val="30"/>
          <w:szCs w:val="30"/>
        </w:rPr>
        <w:tab/>
      </w:r>
      <w:r>
        <w:rPr>
          <w:rFonts w:ascii="Times New Roman" w:hAnsi="Times New Roman" w:eastAsia="仿宋_GB2312"/>
          <w:sz w:val="30"/>
          <w:szCs w:val="30"/>
        </w:rPr>
        <w:t>B.</w:t>
      </w:r>
      <w:r>
        <w:rPr>
          <w:rFonts w:hint="eastAsia" w:ascii="Times New Roman" w:hAnsi="Times New Roman" w:eastAsia="仿宋_GB2312"/>
          <w:sz w:val="30"/>
          <w:szCs w:val="30"/>
        </w:rPr>
        <w:t>新加坡邮政航空挂号小包</w:t>
      </w:r>
    </w:p>
    <w:p>
      <w:pPr>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C.</w:t>
      </w:r>
      <w:r>
        <w:rPr>
          <w:rFonts w:hint="eastAsia" w:ascii="Times New Roman" w:hAnsi="Times New Roman" w:eastAsia="仿宋_GB2312"/>
          <w:sz w:val="30"/>
          <w:szCs w:val="30"/>
        </w:rPr>
        <w:t>ePacket</w:t>
      </w:r>
      <w:r>
        <w:rPr>
          <w:rFonts w:ascii="Times New Roman" w:hAnsi="Times New Roman" w:eastAsia="仿宋_GB2312"/>
          <w:sz w:val="30"/>
          <w:szCs w:val="30"/>
        </w:rPr>
        <w:tab/>
      </w:r>
      <w:r>
        <w:rPr>
          <w:rFonts w:ascii="Times New Roman" w:hAnsi="Times New Roman" w:eastAsia="仿宋_GB2312"/>
          <w:sz w:val="30"/>
          <w:szCs w:val="30"/>
        </w:rPr>
        <w:tab/>
      </w:r>
      <w:r>
        <w:rPr>
          <w:rFonts w:hint="eastAsia" w:ascii="Times New Roman" w:hAnsi="Times New Roman" w:eastAsia="仿宋_GB2312"/>
          <w:sz w:val="30"/>
          <w:szCs w:val="30"/>
        </w:rPr>
        <w:tab/>
      </w:r>
      <w:r>
        <w:rPr>
          <w:rFonts w:hint="eastAsia" w:ascii="Times New Roman" w:hAnsi="Times New Roman" w:eastAsia="仿宋_GB2312"/>
          <w:sz w:val="30"/>
          <w:szCs w:val="30"/>
        </w:rPr>
        <w:tab/>
      </w:r>
      <w:r>
        <w:rPr>
          <w:rFonts w:hint="eastAsia" w:ascii="Times New Roman" w:hAnsi="Times New Roman" w:eastAsia="仿宋_GB2312"/>
          <w:sz w:val="30"/>
          <w:szCs w:val="30"/>
        </w:rPr>
        <w:tab/>
      </w:r>
      <w:r>
        <w:rPr>
          <w:rFonts w:hint="eastAsia" w:ascii="Times New Roman" w:hAnsi="Times New Roman" w:eastAsia="仿宋_GB2312"/>
          <w:sz w:val="30"/>
          <w:szCs w:val="30"/>
        </w:rPr>
        <w:tab/>
      </w:r>
      <w:r>
        <w:rPr>
          <w:rFonts w:hint="eastAsia" w:ascii="Times New Roman" w:hAnsi="Times New Roman" w:eastAsia="仿宋_GB2312"/>
          <w:sz w:val="30"/>
          <w:szCs w:val="30"/>
        </w:rPr>
        <w:tab/>
      </w:r>
      <w:r>
        <w:rPr>
          <w:rFonts w:ascii="Times New Roman" w:hAnsi="Times New Roman" w:eastAsia="仿宋_GB2312"/>
          <w:sz w:val="30"/>
          <w:szCs w:val="30"/>
        </w:rPr>
        <w:t>D.</w:t>
      </w:r>
      <w:r>
        <w:rPr>
          <w:rFonts w:hint="eastAsia" w:ascii="Times New Roman" w:hAnsi="Times New Roman" w:eastAsia="仿宋_GB2312"/>
          <w:sz w:val="30"/>
          <w:szCs w:val="30"/>
        </w:rPr>
        <w:t>DHL</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2.</w:t>
      </w:r>
      <w:r>
        <w:rPr>
          <w:rFonts w:ascii="仿宋_GB2312" w:hAnsi="仿宋" w:eastAsia="仿宋_GB2312" w:cs="宋体"/>
          <w:sz w:val="30"/>
          <w:szCs w:val="30"/>
        </w:rPr>
        <w:t xml:space="preserve"> 以下行为请排序：</w:t>
      </w:r>
      <w:r>
        <w:rPr>
          <w:rFonts w:hint="eastAsia" w:ascii="仿宋_GB2312" w:hAnsi="仿宋" w:eastAsia="仿宋_GB2312" w:cs="宋体"/>
          <w:sz w:val="30"/>
          <w:szCs w:val="30"/>
        </w:rPr>
        <w:t>①</w:t>
      </w:r>
      <w:r>
        <w:rPr>
          <w:rFonts w:ascii="仿宋_GB2312" w:hAnsi="仿宋" w:eastAsia="仿宋_GB2312" w:cs="宋体"/>
          <w:sz w:val="30"/>
          <w:szCs w:val="30"/>
        </w:rPr>
        <w:t>买家确认收货且平台查询物流妥投，</w:t>
      </w:r>
      <w:r>
        <w:rPr>
          <w:rFonts w:hint="eastAsia" w:ascii="仿宋_GB2312" w:hAnsi="仿宋" w:eastAsia="仿宋_GB2312" w:cs="宋体"/>
          <w:sz w:val="30"/>
          <w:szCs w:val="30"/>
        </w:rPr>
        <w:t>②</w:t>
      </w:r>
      <w:r>
        <w:rPr>
          <w:rFonts w:ascii="仿宋_GB2312" w:hAnsi="仿宋" w:eastAsia="仿宋_GB2312" w:cs="宋体"/>
          <w:sz w:val="30"/>
          <w:szCs w:val="30"/>
        </w:rPr>
        <w:t>卖家发货，</w:t>
      </w:r>
      <w:r>
        <w:rPr>
          <w:rFonts w:hint="eastAsia" w:ascii="仿宋_GB2312" w:hAnsi="仿宋" w:eastAsia="仿宋_GB2312" w:cs="宋体"/>
          <w:sz w:val="30"/>
          <w:szCs w:val="30"/>
        </w:rPr>
        <w:t>③</w:t>
      </w:r>
      <w:r>
        <w:rPr>
          <w:rFonts w:ascii="仿宋_GB2312" w:hAnsi="仿宋" w:eastAsia="仿宋_GB2312" w:cs="宋体"/>
          <w:sz w:val="30"/>
          <w:szCs w:val="30"/>
        </w:rPr>
        <w:t>款项到速卖通的第三方担保账户，</w:t>
      </w:r>
      <w:r>
        <w:rPr>
          <w:rFonts w:hint="eastAsia" w:ascii="仿宋_GB2312" w:hAnsi="仿宋" w:eastAsia="仿宋_GB2312" w:cs="宋体"/>
          <w:sz w:val="30"/>
          <w:szCs w:val="30"/>
        </w:rPr>
        <w:t>④</w:t>
      </w:r>
      <w:r>
        <w:rPr>
          <w:rFonts w:ascii="仿宋_GB2312" w:hAnsi="仿宋" w:eastAsia="仿宋_GB2312" w:cs="宋体"/>
          <w:sz w:val="30"/>
          <w:szCs w:val="30"/>
        </w:rPr>
        <w:t>平台为卖家放款，</w:t>
      </w:r>
      <w:r>
        <w:rPr>
          <w:rFonts w:hint="eastAsia" w:ascii="仿宋_GB2312" w:hAnsi="仿宋" w:eastAsia="仿宋_GB2312" w:cs="宋体"/>
          <w:sz w:val="30"/>
          <w:szCs w:val="30"/>
        </w:rPr>
        <w:t>⑤</w:t>
      </w:r>
      <w:r>
        <w:rPr>
          <w:rFonts w:ascii="仿宋_GB2312" w:hAnsi="仿宋" w:eastAsia="仿宋_GB2312" w:cs="宋体"/>
          <w:sz w:val="30"/>
          <w:szCs w:val="30"/>
        </w:rPr>
        <w:t>买家拍下产品付款</w:t>
      </w:r>
      <w:r>
        <w:rPr>
          <w:rFonts w:hint="eastAsia" w:ascii="仿宋_GB2312" w:hAnsi="仿宋" w:eastAsia="仿宋_GB2312" w:cs="宋体"/>
          <w:sz w:val="30"/>
          <w:szCs w:val="30"/>
        </w:rPr>
        <w:t>。</w:t>
      </w:r>
    </w:p>
    <w:p>
      <w:pPr>
        <w:spacing w:line="560" w:lineRule="exact"/>
        <w:ind w:firstLine="600" w:firstLineChars="200"/>
        <w:rPr>
          <w:rFonts w:ascii="Times New Roman" w:hAnsi="Times New Roman" w:eastAsia="仿宋_GB2312"/>
          <w:color w:val="383838"/>
          <w:sz w:val="30"/>
          <w:szCs w:val="30"/>
          <w:shd w:val="clear" w:color="auto" w:fill="FFFFFF"/>
        </w:rPr>
      </w:pPr>
      <w:r>
        <w:rPr>
          <w:rFonts w:ascii="Times New Roman" w:hAnsi="Times New Roman" w:eastAsia="仿宋_GB2312"/>
          <w:sz w:val="30"/>
          <w:szCs w:val="30"/>
        </w:rPr>
        <w:t>A.</w:t>
      </w:r>
      <w:r>
        <w:rPr>
          <w:rFonts w:ascii="Times New Roman" w:hAnsi="Times New Roman" w:eastAsia="仿宋_GB2312"/>
          <w:color w:val="383838"/>
          <w:sz w:val="30"/>
          <w:szCs w:val="30"/>
          <w:shd w:val="clear" w:color="auto" w:fill="FFFFFF"/>
        </w:rPr>
        <w:t xml:space="preserve"> ①②③④⑤</w:t>
      </w:r>
      <w:r>
        <w:rPr>
          <w:rFonts w:ascii="Times New Roman" w:hAnsi="Times New Roman" w:eastAsia="仿宋_GB2312"/>
          <w:color w:val="383838"/>
          <w:sz w:val="30"/>
          <w:szCs w:val="30"/>
          <w:shd w:val="clear" w:color="auto" w:fill="FFFFFF"/>
        </w:rPr>
        <w:tab/>
      </w:r>
      <w:r>
        <w:rPr>
          <w:rFonts w:ascii="Times New Roman" w:hAnsi="Times New Roman" w:eastAsia="仿宋_GB2312"/>
          <w:color w:val="383838"/>
          <w:sz w:val="30"/>
          <w:szCs w:val="30"/>
          <w:shd w:val="clear" w:color="auto" w:fill="FFFFFF"/>
        </w:rPr>
        <w:tab/>
      </w:r>
      <w:r>
        <w:rPr>
          <w:rFonts w:ascii="Times New Roman" w:hAnsi="Times New Roman" w:eastAsia="仿宋_GB2312"/>
          <w:color w:val="383838"/>
          <w:sz w:val="30"/>
          <w:szCs w:val="30"/>
          <w:shd w:val="clear" w:color="auto" w:fill="FFFFFF"/>
        </w:rPr>
        <w:t>B.⑤③④②①</w:t>
      </w:r>
    </w:p>
    <w:p>
      <w:pPr>
        <w:spacing w:line="560" w:lineRule="exact"/>
        <w:ind w:firstLine="600" w:firstLineChars="200"/>
        <w:rPr>
          <w:rFonts w:ascii="Times New Roman" w:hAnsi="Times New Roman" w:eastAsia="仿宋_GB2312"/>
          <w:sz w:val="30"/>
          <w:szCs w:val="30"/>
        </w:rPr>
      </w:pPr>
      <w:r>
        <w:rPr>
          <w:rFonts w:ascii="Times New Roman" w:hAnsi="Times New Roman" w:eastAsia="仿宋_GB2312"/>
          <w:sz w:val="30"/>
          <w:szCs w:val="30"/>
        </w:rPr>
        <w:t>C. ⑤③②①④</w:t>
      </w:r>
      <w:r>
        <w:rPr>
          <w:rFonts w:ascii="Times New Roman" w:hAnsi="Times New Roman" w:eastAsia="仿宋_GB2312"/>
          <w:sz w:val="30"/>
          <w:szCs w:val="30"/>
        </w:rPr>
        <w:tab/>
      </w:r>
      <w:r>
        <w:rPr>
          <w:rFonts w:ascii="Times New Roman" w:hAnsi="Times New Roman" w:eastAsia="仿宋_GB2312"/>
          <w:sz w:val="30"/>
          <w:szCs w:val="30"/>
        </w:rPr>
        <w:tab/>
      </w:r>
      <w:r>
        <w:rPr>
          <w:rFonts w:ascii="Times New Roman" w:hAnsi="Times New Roman" w:eastAsia="仿宋_GB2312"/>
          <w:sz w:val="30"/>
          <w:szCs w:val="30"/>
        </w:rPr>
        <w:t>D.③④⑤①②</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（二）多项选择题</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1.以下哪个平台属于跨境电商平台？</w:t>
      </w:r>
    </w:p>
    <w:p>
      <w:pPr>
        <w:spacing w:line="560" w:lineRule="exact"/>
        <w:ind w:firstLine="600" w:firstLineChars="200"/>
        <w:rPr>
          <w:rFonts w:ascii="仿宋_GB2312" w:hAnsi="仿宋" w:eastAsia="仿宋_GB2312" w:cs="宋体"/>
          <w:sz w:val="30"/>
          <w:szCs w:val="30"/>
        </w:rPr>
      </w:pPr>
      <w:r>
        <w:rPr>
          <w:rFonts w:ascii="Times New Roman" w:hAnsi="Times New Roman" w:eastAsia="仿宋_GB2312"/>
          <w:sz w:val="30"/>
          <w:szCs w:val="30"/>
        </w:rPr>
        <w:t>A.</w:t>
      </w:r>
      <w:r>
        <w:rPr>
          <w:rFonts w:hint="eastAsia" w:ascii="仿宋_GB2312" w:hAnsi="仿宋" w:eastAsia="仿宋_GB2312" w:cs="宋体"/>
          <w:sz w:val="30"/>
          <w:szCs w:val="30"/>
        </w:rPr>
        <w:t>速卖通</w:t>
      </w:r>
      <w:r>
        <w:rPr>
          <w:rFonts w:hint="eastAsia" w:ascii="仿宋_GB2312" w:hAnsi="仿宋" w:eastAsia="仿宋_GB2312" w:cs="宋体"/>
          <w:sz w:val="30"/>
          <w:szCs w:val="30"/>
        </w:rPr>
        <w:tab/>
      </w:r>
      <w:r>
        <w:rPr>
          <w:rFonts w:hint="eastAsia" w:ascii="仿宋_GB2312" w:hAnsi="仿宋" w:eastAsia="仿宋_GB2312" w:cs="宋体"/>
          <w:sz w:val="30"/>
          <w:szCs w:val="30"/>
        </w:rPr>
        <w:tab/>
      </w:r>
      <w:r>
        <w:rPr>
          <w:rFonts w:hint="eastAsia" w:ascii="Times New Roman" w:hAnsi="Times New Roman" w:eastAsia="仿宋_GB2312"/>
          <w:sz w:val="30"/>
          <w:szCs w:val="30"/>
        </w:rPr>
        <w:t>B.</w:t>
      </w:r>
      <w:r>
        <w:rPr>
          <w:rFonts w:hint="eastAsia" w:ascii="仿宋_GB2312" w:hAnsi="仿宋" w:eastAsia="仿宋_GB2312" w:cs="宋体"/>
          <w:sz w:val="30"/>
          <w:szCs w:val="30"/>
        </w:rPr>
        <w:t>亚马逊</w:t>
      </w:r>
      <w:r>
        <w:rPr>
          <w:rFonts w:hint="eastAsia" w:ascii="仿宋_GB2312" w:hAnsi="仿宋" w:eastAsia="仿宋_GB2312" w:cs="宋体"/>
          <w:sz w:val="30"/>
          <w:szCs w:val="30"/>
        </w:rPr>
        <w:tab/>
      </w:r>
      <w:r>
        <w:rPr>
          <w:rFonts w:hint="eastAsia" w:ascii="仿宋_GB2312" w:hAnsi="仿宋" w:eastAsia="仿宋_GB2312" w:cs="宋体"/>
          <w:sz w:val="30"/>
          <w:szCs w:val="30"/>
        </w:rPr>
        <w:tab/>
      </w:r>
      <w:r>
        <w:rPr>
          <w:rFonts w:hint="eastAsia" w:ascii="仿宋_GB2312" w:hAnsi="仿宋" w:eastAsia="仿宋_GB2312" w:cs="宋体"/>
          <w:sz w:val="30"/>
          <w:szCs w:val="30"/>
        </w:rPr>
        <w:tab/>
      </w:r>
      <w:r>
        <w:rPr>
          <w:rFonts w:hint="eastAsia" w:ascii="Times New Roman" w:hAnsi="Times New Roman" w:eastAsia="仿宋_GB2312"/>
          <w:sz w:val="30"/>
          <w:szCs w:val="30"/>
        </w:rPr>
        <w:t>C.</w:t>
      </w:r>
      <w:r>
        <w:rPr>
          <w:rFonts w:hint="eastAsia" w:ascii="仿宋_GB2312" w:hAnsi="仿宋" w:eastAsia="仿宋_GB2312" w:cs="宋体"/>
          <w:sz w:val="30"/>
          <w:szCs w:val="30"/>
        </w:rPr>
        <w:t>淘宝</w:t>
      </w:r>
      <w:r>
        <w:rPr>
          <w:rFonts w:hint="eastAsia" w:ascii="仿宋_GB2312" w:hAnsi="仿宋" w:eastAsia="仿宋_GB2312" w:cs="宋体"/>
          <w:sz w:val="30"/>
          <w:szCs w:val="30"/>
        </w:rPr>
        <w:tab/>
      </w:r>
      <w:r>
        <w:rPr>
          <w:rFonts w:hint="eastAsia" w:ascii="仿宋_GB2312" w:hAnsi="仿宋" w:eastAsia="仿宋_GB2312" w:cs="宋体"/>
          <w:sz w:val="30"/>
          <w:szCs w:val="30"/>
        </w:rPr>
        <w:tab/>
      </w:r>
      <w:r>
        <w:rPr>
          <w:rFonts w:hint="eastAsia" w:ascii="Times New Roman" w:hAnsi="Times New Roman" w:eastAsia="仿宋_GB2312"/>
          <w:sz w:val="30"/>
          <w:szCs w:val="30"/>
        </w:rPr>
        <w:t>D.</w:t>
      </w:r>
      <w:r>
        <w:rPr>
          <w:rFonts w:hint="eastAsia" w:ascii="仿宋_GB2312" w:hAnsi="仿宋" w:eastAsia="仿宋_GB2312" w:cs="宋体"/>
          <w:sz w:val="30"/>
          <w:szCs w:val="30"/>
        </w:rPr>
        <w:t>阿里国际站</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2.以下列出的物流方式中哪些属于邮政物流？</w:t>
      </w:r>
    </w:p>
    <w:p>
      <w:pPr>
        <w:spacing w:line="560" w:lineRule="exact"/>
        <w:ind w:firstLine="600" w:firstLineChars="200"/>
        <w:rPr>
          <w:rFonts w:ascii="仿宋_GB2312" w:hAnsi="仿宋" w:eastAsia="仿宋_GB2312" w:cs="宋体"/>
          <w:sz w:val="30"/>
          <w:szCs w:val="30"/>
        </w:rPr>
      </w:pPr>
      <w:r>
        <w:rPr>
          <w:rFonts w:ascii="Times New Roman" w:hAnsi="Times New Roman" w:eastAsia="仿宋_GB2312"/>
          <w:sz w:val="30"/>
          <w:szCs w:val="30"/>
        </w:rPr>
        <w:t>A.</w:t>
      </w:r>
      <w:r>
        <w:rPr>
          <w:rFonts w:ascii="Times New Roman" w:hAnsi="Times New Roman"/>
        </w:rPr>
        <w:t xml:space="preserve"> </w:t>
      </w:r>
      <w:r>
        <w:rPr>
          <w:rFonts w:ascii="Times New Roman" w:hAnsi="Times New Roman" w:eastAsia="仿宋_GB2312"/>
          <w:sz w:val="30"/>
          <w:szCs w:val="30"/>
        </w:rPr>
        <w:t>China Post Air Mail</w:t>
      </w:r>
      <w:r>
        <w:rPr>
          <w:rFonts w:hint="eastAsia" w:ascii="仿宋_GB2312" w:hAnsi="仿宋" w:eastAsia="仿宋_GB2312" w:cs="宋体"/>
          <w:sz w:val="30"/>
          <w:szCs w:val="30"/>
        </w:rPr>
        <w:tab/>
      </w:r>
      <w:r>
        <w:rPr>
          <w:rFonts w:hint="eastAsia" w:ascii="仿宋_GB2312" w:hAnsi="仿宋" w:eastAsia="仿宋_GB2312" w:cs="宋体"/>
          <w:sz w:val="30"/>
          <w:szCs w:val="30"/>
        </w:rPr>
        <w:tab/>
      </w:r>
      <w:r>
        <w:rPr>
          <w:rFonts w:hint="eastAsia" w:ascii="Times New Roman" w:hAnsi="Times New Roman" w:eastAsia="仿宋_GB2312"/>
          <w:sz w:val="30"/>
          <w:szCs w:val="30"/>
        </w:rPr>
        <w:t>B.</w:t>
      </w:r>
      <w:r>
        <w:t xml:space="preserve"> </w:t>
      </w:r>
      <w:r>
        <w:rPr>
          <w:rFonts w:ascii="Times New Roman" w:hAnsi="Times New Roman" w:eastAsia="仿宋_GB2312"/>
          <w:sz w:val="30"/>
          <w:szCs w:val="30"/>
        </w:rPr>
        <w:t>ePacket</w:t>
      </w:r>
    </w:p>
    <w:p>
      <w:pPr>
        <w:spacing w:line="56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C.</w:t>
      </w:r>
      <w:r>
        <w:rPr>
          <w:rFonts w:ascii="Times New Roman" w:hAnsi="Times New Roman" w:eastAsia="仿宋_GB2312"/>
          <w:sz w:val="30"/>
          <w:szCs w:val="30"/>
        </w:rPr>
        <w:t xml:space="preserve"> EMS</w:t>
      </w:r>
      <w:r>
        <w:rPr>
          <w:rFonts w:hint="eastAsia" w:ascii="Times New Roman" w:hAnsi="Times New Roman" w:eastAsia="仿宋_GB2312"/>
          <w:sz w:val="30"/>
          <w:szCs w:val="30"/>
        </w:rPr>
        <w:tab/>
      </w:r>
      <w:r>
        <w:rPr>
          <w:rFonts w:hint="eastAsia" w:ascii="Times New Roman" w:hAnsi="Times New Roman" w:eastAsia="仿宋_GB2312"/>
          <w:sz w:val="30"/>
          <w:szCs w:val="30"/>
        </w:rPr>
        <w:tab/>
      </w:r>
      <w:r>
        <w:rPr>
          <w:rFonts w:hint="eastAsia" w:ascii="Times New Roman" w:hAnsi="Times New Roman" w:eastAsia="仿宋_GB2312"/>
          <w:sz w:val="30"/>
          <w:szCs w:val="30"/>
        </w:rPr>
        <w:tab/>
      </w:r>
      <w:r>
        <w:rPr>
          <w:rFonts w:hint="eastAsia" w:ascii="Times New Roman" w:hAnsi="Times New Roman" w:eastAsia="仿宋_GB2312"/>
          <w:sz w:val="30"/>
          <w:szCs w:val="30"/>
        </w:rPr>
        <w:tab/>
      </w:r>
      <w:r>
        <w:rPr>
          <w:rFonts w:hint="eastAsia" w:ascii="Times New Roman" w:hAnsi="Times New Roman" w:eastAsia="仿宋_GB2312"/>
          <w:sz w:val="30"/>
          <w:szCs w:val="30"/>
        </w:rPr>
        <w:tab/>
      </w:r>
      <w:r>
        <w:rPr>
          <w:rFonts w:hint="eastAsia" w:ascii="Times New Roman" w:hAnsi="Times New Roman" w:eastAsia="仿宋_GB2312"/>
          <w:sz w:val="30"/>
          <w:szCs w:val="30"/>
        </w:rPr>
        <w:tab/>
      </w:r>
      <w:r>
        <w:rPr>
          <w:rFonts w:hint="eastAsia" w:ascii="Times New Roman" w:hAnsi="Times New Roman" w:eastAsia="仿宋_GB2312"/>
          <w:sz w:val="30"/>
          <w:szCs w:val="30"/>
        </w:rPr>
        <w:t>D.</w:t>
      </w:r>
      <w:r>
        <w:t xml:space="preserve"> </w:t>
      </w:r>
      <w:r>
        <w:rPr>
          <w:rFonts w:ascii="Times New Roman" w:hAnsi="Times New Roman" w:eastAsia="仿宋_GB2312"/>
          <w:sz w:val="30"/>
          <w:szCs w:val="30"/>
        </w:rPr>
        <w:t>HongKong Post Air Mail</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（三）填空题</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1.</w:t>
      </w:r>
      <w:r>
        <w:rPr>
          <w:rFonts w:ascii="仿宋_GB2312" w:hAnsi="仿宋" w:eastAsia="仿宋_GB2312" w:cs="宋体"/>
          <w:sz w:val="30"/>
          <w:szCs w:val="30"/>
        </w:rPr>
        <w:t xml:space="preserve"> 一条裙子，成本为100元人民币，包装重量：200g，使用中邮小包，五区包邮，利润率30%，美元兑人民币汇率为1:6，定价应</w:t>
      </w:r>
      <w:r>
        <w:rPr>
          <w:rFonts w:hint="eastAsia" w:ascii="仿宋_GB2312" w:hAnsi="仿宋" w:eastAsia="仿宋_GB2312" w:cs="宋体"/>
          <w:sz w:val="30"/>
          <w:szCs w:val="30"/>
        </w:rPr>
        <w:t>为</w:t>
      </w:r>
      <w:r>
        <w:rPr>
          <w:rFonts w:hint="eastAsia" w:ascii="仿宋_GB2312" w:hAnsi="仿宋" w:eastAsia="仿宋_GB2312" w:cs="宋体"/>
          <w:sz w:val="30"/>
          <w:szCs w:val="30"/>
          <w:u w:val="single"/>
        </w:rPr>
        <w:t xml:space="preserve">        </w:t>
      </w:r>
      <w:r>
        <w:rPr>
          <w:rFonts w:ascii="仿宋_GB2312" w:hAnsi="仿宋" w:eastAsia="仿宋_GB2312" w:cs="宋体"/>
          <w:sz w:val="30"/>
          <w:szCs w:val="30"/>
        </w:rPr>
        <w:t>美元？</w:t>
      </w:r>
      <w:r>
        <w:rPr>
          <w:rFonts w:hint="eastAsia" w:ascii="仿宋_GB2312" w:hAnsi="仿宋" w:eastAsia="仿宋_GB2312" w:cs="宋体"/>
          <w:sz w:val="30"/>
          <w:szCs w:val="30"/>
        </w:rPr>
        <w:t>（答案保留两位小数，如1.23）</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2.</w:t>
      </w:r>
      <w:r>
        <w:rPr>
          <w:rFonts w:ascii="仿宋_GB2312" w:hAnsi="仿宋" w:eastAsia="仿宋_GB2312" w:cs="宋体"/>
          <w:sz w:val="30"/>
          <w:szCs w:val="30"/>
        </w:rPr>
        <w:t>小明准备在敦煌网上传一款女士手提包，重1.5kg，成本</w:t>
      </w:r>
      <w:r>
        <w:rPr>
          <w:rFonts w:hint="eastAsia" w:ascii="仿宋_GB2312" w:hAnsi="仿宋" w:eastAsia="仿宋_GB2312" w:cs="宋体"/>
          <w:sz w:val="30"/>
          <w:szCs w:val="30"/>
        </w:rPr>
        <w:t>为人民币</w:t>
      </w:r>
      <w:r>
        <w:rPr>
          <w:rFonts w:ascii="仿宋_GB2312" w:hAnsi="仿宋" w:eastAsia="仿宋_GB2312" w:cs="宋体"/>
          <w:sz w:val="30"/>
          <w:szCs w:val="30"/>
        </w:rPr>
        <w:t>50元，中国邮政小包5区包邮，利润率为10%，预留折扣为7折，美元兑人民币汇率为</w:t>
      </w:r>
      <w:r>
        <w:rPr>
          <w:rFonts w:hint="eastAsia" w:ascii="仿宋_GB2312" w:hAnsi="仿宋" w:eastAsia="仿宋_GB2312" w:cs="宋体"/>
          <w:sz w:val="30"/>
          <w:szCs w:val="30"/>
        </w:rPr>
        <w:t>1:</w:t>
      </w:r>
      <w:r>
        <w:rPr>
          <w:rFonts w:ascii="仿宋_GB2312" w:hAnsi="仿宋" w:eastAsia="仿宋_GB2312" w:cs="宋体"/>
          <w:sz w:val="30"/>
          <w:szCs w:val="30"/>
        </w:rPr>
        <w:t>6.4，那么这款女士手提包的售价为</w:t>
      </w:r>
      <w:r>
        <w:rPr>
          <w:rFonts w:hint="eastAsia" w:ascii="仿宋_GB2312" w:hAnsi="仿宋" w:eastAsia="仿宋_GB2312" w:cs="宋体"/>
          <w:sz w:val="30"/>
          <w:szCs w:val="30"/>
          <w:u w:val="single"/>
        </w:rPr>
        <w:t xml:space="preserve">     </w:t>
      </w:r>
      <w:r>
        <w:rPr>
          <w:rFonts w:hint="eastAsia" w:ascii="仿宋_GB2312" w:hAnsi="仿宋" w:eastAsia="仿宋_GB2312" w:cs="宋体"/>
          <w:sz w:val="30"/>
          <w:szCs w:val="30"/>
        </w:rPr>
        <w:t>美元。（答案保留两位小数，如1.23）</w:t>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（四）拖拽题</w:t>
      </w:r>
    </w:p>
    <w:p>
      <w:pPr>
        <w:spacing w:line="360" w:lineRule="auto"/>
        <w:rPr>
          <w:rFonts w:ascii="仿宋_GB2312" w:hAnsi="仿宋" w:eastAsia="仿宋_GB2312" w:cs="宋体"/>
          <w:sz w:val="30"/>
          <w:szCs w:val="30"/>
        </w:rPr>
      </w:pPr>
      <w:r>
        <w:rPr>
          <w:rFonts w:hint="eastAsia" w:ascii="仿宋_GB2312" w:hAnsi="仿宋" w:eastAsia="仿宋_GB2312" w:cs="宋体"/>
          <w:sz w:val="30"/>
          <w:szCs w:val="30"/>
        </w:rPr>
        <w:t>1.请拖拽匹配wish平台5个垂直App的图标所代表的分类。</w:t>
      </w:r>
    </w:p>
    <w:p>
      <w:pPr>
        <w:spacing w:line="360" w:lineRule="auto"/>
        <w:rPr>
          <w:rFonts w:ascii="仿宋_GB2312" w:hAnsi="仿宋" w:eastAsia="仿宋_GB2312" w:cs="宋体"/>
          <w:sz w:val="30"/>
          <w:szCs w:val="30"/>
        </w:rPr>
      </w:pPr>
      <w:r>
        <w:rPr>
          <w:rFonts w:hint="eastAsia" w:ascii="仿宋_GB2312" w:hAnsi="仿宋" w:eastAsia="仿宋_GB2312" w:cs="宋体"/>
          <w:sz w:val="30"/>
          <w:szCs w:val="30"/>
        </w:rPr>
        <w:drawing>
          <wp:inline distT="0" distB="0" distL="0" distR="0">
            <wp:extent cx="5274310" cy="3277870"/>
            <wp:effectExtent l="19050" t="0" r="2540" b="0"/>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noChangeArrowheads="1"/>
                    </pic:cNvPicPr>
                  </pic:nvPicPr>
                  <pic:blipFill>
                    <a:blip r:embed="rId9"/>
                    <a:srcRect/>
                    <a:stretch>
                      <a:fillRect/>
                    </a:stretch>
                  </pic:blipFill>
                  <pic:spPr>
                    <a:xfrm>
                      <a:off x="0" y="0"/>
                      <a:ext cx="5274310" cy="3278181"/>
                    </a:xfrm>
                    <a:prstGeom prst="rect">
                      <a:avLst/>
                    </a:prstGeom>
                    <a:noFill/>
                    <a:ln w="9525">
                      <a:noFill/>
                      <a:miter lim="800000"/>
                      <a:headEnd/>
                      <a:tailEnd/>
                    </a:ln>
                  </pic:spPr>
                </pic:pic>
              </a:graphicData>
            </a:graphic>
          </wp:inline>
        </w:drawing>
      </w:r>
    </w:p>
    <w:p>
      <w:pPr>
        <w:spacing w:line="360" w:lineRule="auto"/>
        <w:rPr>
          <w:rFonts w:ascii="仿宋_GB2312" w:hAnsi="仿宋" w:eastAsia="仿宋_GB2312" w:cs="宋体"/>
          <w:sz w:val="30"/>
          <w:szCs w:val="30"/>
        </w:rPr>
      </w:pPr>
      <w:r>
        <w:rPr>
          <w:rFonts w:hint="eastAsia" w:ascii="仿宋_GB2312" w:hAnsi="仿宋" w:eastAsia="仿宋_GB2312" w:cs="宋体"/>
          <w:sz w:val="30"/>
          <w:szCs w:val="30"/>
        </w:rPr>
        <w:t>2.根据邮件内容匹配对应邮件主题。</w:t>
      </w:r>
    </w:p>
    <w:p>
      <w:pPr>
        <w:spacing w:line="360" w:lineRule="auto"/>
        <w:rPr>
          <w:rFonts w:ascii="仿宋_GB2312" w:hAnsi="仿宋" w:eastAsia="仿宋_GB2312" w:cs="宋体"/>
          <w:sz w:val="30"/>
          <w:szCs w:val="30"/>
        </w:rPr>
      </w:pPr>
      <w:r>
        <w:rPr>
          <w:rFonts w:ascii="仿宋_GB2312" w:hAnsi="仿宋" w:eastAsia="仿宋_GB2312" w:cs="宋体"/>
          <w:sz w:val="30"/>
          <w:szCs w:val="30"/>
        </w:rPr>
        <w:drawing>
          <wp:inline distT="0" distB="0" distL="0" distR="0">
            <wp:extent cx="5274310" cy="3041015"/>
            <wp:effectExtent l="19050" t="0" r="2540" b="0"/>
            <wp:docPr id="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3"/>
                    <pic:cNvPicPr>
                      <a:picLocks noChangeAspect="1" noChangeArrowheads="1"/>
                    </pic:cNvPicPr>
                  </pic:nvPicPr>
                  <pic:blipFill>
                    <a:blip r:embed="rId10"/>
                    <a:srcRect/>
                    <a:stretch>
                      <a:fillRect/>
                    </a:stretch>
                  </pic:blipFill>
                  <pic:spPr>
                    <a:xfrm>
                      <a:off x="0" y="0"/>
                      <a:ext cx="5274310" cy="3041136"/>
                    </a:xfrm>
                    <a:prstGeom prst="rect">
                      <a:avLst/>
                    </a:prstGeom>
                    <a:noFill/>
                    <a:ln w="9525">
                      <a:noFill/>
                      <a:miter lim="800000"/>
                      <a:headEnd/>
                      <a:tailEnd/>
                    </a:ln>
                  </pic:spPr>
                </pic:pic>
              </a:graphicData>
            </a:graphic>
          </wp:inline>
        </w:drawing>
      </w:r>
    </w:p>
    <w:p>
      <w:pPr>
        <w:spacing w:line="560" w:lineRule="exact"/>
        <w:rPr>
          <w:rFonts w:ascii="仿宋_GB2312" w:hAnsi="仿宋" w:eastAsia="仿宋_GB2312" w:cs="宋体"/>
          <w:sz w:val="30"/>
          <w:szCs w:val="30"/>
        </w:rPr>
      </w:pPr>
      <w:r>
        <w:rPr>
          <w:rFonts w:hint="eastAsia" w:ascii="仿宋_GB2312" w:hAnsi="仿宋" w:eastAsia="仿宋_GB2312" w:cs="宋体"/>
          <w:sz w:val="30"/>
          <w:szCs w:val="30"/>
        </w:rPr>
        <w:t>（五）图形选择题</w:t>
      </w:r>
    </w:p>
    <w:p>
      <w:pPr>
        <w:spacing w:line="560" w:lineRule="exact"/>
        <w:rPr>
          <w:rFonts w:ascii="仿宋_GB2312" w:hAnsi="仿宋" w:eastAsia="仿宋_GB2312" w:cs="宋体"/>
          <w:sz w:val="30"/>
          <w:szCs w:val="30"/>
        </w:rPr>
      </w:pPr>
      <w:r>
        <w:rPr>
          <w:rFonts w:hint="eastAsia" w:ascii="仿宋_GB2312" w:hAnsi="仿宋" w:eastAsia="仿宋_GB2312" w:cs="宋体"/>
          <w:sz w:val="30"/>
          <w:szCs w:val="30"/>
        </w:rPr>
        <w:t>1.请根据产品资料，添加“image”部分信息。（点击选择正确图片）</w:t>
      </w:r>
    </w:p>
    <w:p>
      <w:pPr>
        <w:spacing w:line="360" w:lineRule="auto"/>
        <w:jc w:val="center"/>
        <w:rPr>
          <w:rFonts w:ascii="仿宋_GB2312" w:hAnsi="仿宋" w:eastAsia="仿宋_GB2312" w:cs="宋体"/>
          <w:sz w:val="30"/>
          <w:szCs w:val="30"/>
        </w:rPr>
      </w:pPr>
      <w:r>
        <w:rPr>
          <w:rFonts w:ascii="仿宋_GB2312" w:hAnsi="仿宋" w:eastAsia="仿宋_GB2312" w:cs="宋体"/>
          <w:sz w:val="30"/>
          <w:szCs w:val="30"/>
        </w:rPr>
        <w:drawing>
          <wp:inline distT="0" distB="0" distL="0" distR="0">
            <wp:extent cx="5273675" cy="4298950"/>
            <wp:effectExtent l="19050" t="0" r="3109" b="0"/>
            <wp:docPr id="2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6"/>
                    <pic:cNvPicPr>
                      <a:picLocks noChangeAspect="1" noChangeArrowheads="1"/>
                    </pic:cNvPicPr>
                  </pic:nvPicPr>
                  <pic:blipFill>
                    <a:blip r:embed="rId11"/>
                    <a:srcRect/>
                    <a:stretch>
                      <a:fillRect/>
                    </a:stretch>
                  </pic:blipFill>
                  <pic:spPr>
                    <a:xfrm>
                      <a:off x="0" y="0"/>
                      <a:ext cx="5274310" cy="4299509"/>
                    </a:xfrm>
                    <a:prstGeom prst="rect">
                      <a:avLst/>
                    </a:prstGeom>
                    <a:noFill/>
                    <a:ln w="9525">
                      <a:noFill/>
                      <a:miter lim="800000"/>
                      <a:headEnd/>
                      <a:tailEnd/>
                    </a:ln>
                  </pic:spPr>
                </pic:pic>
              </a:graphicData>
            </a:graphic>
          </wp:inline>
        </w:drawing>
      </w:r>
    </w:p>
    <w:p>
      <w:pPr>
        <w:spacing w:line="560" w:lineRule="exact"/>
        <w:jc w:val="left"/>
        <w:rPr>
          <w:rFonts w:ascii="仿宋_GB2312" w:hAnsi="仿宋" w:eastAsia="仿宋_GB2312" w:cs="宋体"/>
          <w:sz w:val="30"/>
          <w:szCs w:val="30"/>
        </w:rPr>
      </w:pPr>
      <w:r>
        <w:rPr>
          <w:rFonts w:hint="eastAsia" w:ascii="仿宋_GB2312" w:hAnsi="仿宋" w:eastAsia="仿宋_GB2312" w:cs="宋体"/>
          <w:sz w:val="30"/>
          <w:szCs w:val="30"/>
        </w:rPr>
        <w:t>2.请根据图中信息判断该产品的发货途径，点选正确答案。</w:t>
      </w:r>
    </w:p>
    <w:p>
      <w:pPr>
        <w:spacing w:line="360" w:lineRule="auto"/>
        <w:jc w:val="left"/>
        <w:rPr>
          <w:rFonts w:ascii="仿宋_GB2312" w:hAnsi="仿宋" w:eastAsia="仿宋_GB2312" w:cs="宋体"/>
          <w:sz w:val="30"/>
          <w:szCs w:val="30"/>
        </w:rPr>
      </w:pPr>
      <w:r>
        <w:rPr>
          <w:rFonts w:ascii="仿宋_GB2312" w:hAnsi="仿宋" w:eastAsia="仿宋_GB2312" w:cs="宋体"/>
          <w:sz w:val="30"/>
          <w:szCs w:val="30"/>
        </w:rPr>
        <w:drawing>
          <wp:inline distT="0" distB="0" distL="0" distR="0">
            <wp:extent cx="5269230" cy="3234055"/>
            <wp:effectExtent l="19050" t="0" r="7554" b="0"/>
            <wp:docPr id="2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9"/>
                    <pic:cNvPicPr>
                      <a:picLocks noChangeAspect="1" noChangeArrowheads="1"/>
                    </pic:cNvPicPr>
                  </pic:nvPicPr>
                  <pic:blipFill>
                    <a:blip r:embed="rId12"/>
                    <a:srcRect/>
                    <a:stretch>
                      <a:fillRect/>
                    </a:stretch>
                  </pic:blipFill>
                  <pic:spPr>
                    <a:xfrm>
                      <a:off x="0" y="0"/>
                      <a:ext cx="5274310" cy="3237598"/>
                    </a:xfrm>
                    <a:prstGeom prst="rect">
                      <a:avLst/>
                    </a:prstGeom>
                    <a:noFill/>
                    <a:ln w="9525">
                      <a:noFill/>
                      <a:miter lim="800000"/>
                      <a:headEnd/>
                      <a:tailEnd/>
                    </a:ln>
                  </pic:spPr>
                </pic:pic>
              </a:graphicData>
            </a:graphic>
          </wp:inline>
        </w:drawing>
      </w:r>
    </w:p>
    <w:p>
      <w:pPr>
        <w:spacing w:line="560" w:lineRule="exact"/>
        <w:ind w:firstLine="600" w:firstLineChars="200"/>
        <w:rPr>
          <w:rFonts w:ascii="仿宋_GB2312" w:hAnsi="仿宋" w:eastAsia="仿宋_GB2312" w:cs="宋体"/>
          <w:sz w:val="30"/>
          <w:szCs w:val="30"/>
        </w:rPr>
      </w:pPr>
      <w:r>
        <w:rPr>
          <w:rFonts w:hint="eastAsia" w:ascii="仿宋_GB2312" w:hAnsi="仿宋" w:eastAsia="仿宋_GB2312" w:cs="宋体"/>
          <w:sz w:val="30"/>
          <w:szCs w:val="30"/>
        </w:rPr>
        <w:t>★外贸跟单能力模块</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系统给定一笔已签订完成的出口业务合同与一笔进口业务合同，选手需完成这两笔业务的单证制作及业务履约的全部流程。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业务背景资料：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贸易国家：美国、中国</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贸易术语：FOB</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支付方式：T/T（定金+尾款）</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运输方式：海运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（一）出口业务部分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1.缮制出口业务中的各种外贸单证，具体如下：</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（1）商业发票</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（2）装箱单</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（3）国际海运委托书</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（4）出境货物报检单（根据商品监管条件以及合同所选商检证书判断是否需要填写）</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（5）一般原产地证/普惠制产地证</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（6）出口货物报关单</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 xml:space="preserve"> 2.完成出口业务流程，具体如下：</w:t>
      </w:r>
    </w:p>
    <w:p>
      <w:pPr>
        <w:snapToGrid w:val="0"/>
        <w:jc w:val="center"/>
        <w:rPr>
          <w:rFonts w:ascii="仿宋_GB2312" w:hAnsi="Arial Narrow" w:eastAsia="仿宋_GB2312" w:cs="Arial"/>
          <w:sz w:val="30"/>
          <w:szCs w:val="30"/>
        </w:rPr>
      </w:pPr>
      <w:r>
        <w:rPr>
          <w:rFonts w:hint="eastAsia" w:ascii="宋体" w:hAnsi="宋体"/>
          <w:szCs w:val="21"/>
          <w:bdr w:val="single" w:color="auto" w:sz="4" w:space="0"/>
        </w:rPr>
        <w:drawing>
          <wp:inline distT="0" distB="0" distL="0" distR="0">
            <wp:extent cx="5267325" cy="3343275"/>
            <wp:effectExtent l="19050" t="0" r="952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3"/>
                    <a:srcRect/>
                    <a:stretch>
                      <a:fillRect/>
                    </a:stretch>
                  </pic:blipFill>
                  <pic:spPr>
                    <a:xfrm>
                      <a:off x="0" y="0"/>
                      <a:ext cx="5267325" cy="3343275"/>
                    </a:xfrm>
                    <a:prstGeom prst="rect">
                      <a:avLst/>
                    </a:prstGeom>
                    <a:noFill/>
                    <a:ln w="9525">
                      <a:noFill/>
                      <a:miter lim="800000"/>
                      <a:headEnd/>
                      <a:tailEnd/>
                    </a:ln>
                  </pic:spPr>
                </pic:pic>
              </a:graphicData>
            </a:graphic>
          </wp:inline>
        </w:drawing>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（1）订舱</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（2）购货</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（3）出口报检（根据商品监管条件以及合同所选商检证书判断是否需要办理）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（4）申请产地证</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（5）送货</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（6）出口报关</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（7）取回提单</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（8）通知装运</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（9）寄送货运单据</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（10）国际收支网上申报</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（11）申请出口退税（根据商品退税率，判断是否需要办理）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（二）进口业务部分</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1.缮制进口业务中的各种外贸单证，具体如下：</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（1）境外汇款申请书（支付定金）</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（2）投保单</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（3）境外汇款申请书（支付尾款）</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（4）境内汇款申请书</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（5）入境货物报检单（根据商品监管条件判断是否需要填写）</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（6）进口货物报关单</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2.完成进口业务流程，具体如下：</w:t>
      </w:r>
    </w:p>
    <w:p>
      <w:pPr>
        <w:snapToGrid w:val="0"/>
        <w:rPr>
          <w:rFonts w:ascii="仿宋_GB2312" w:hAnsi="Arial Narrow" w:eastAsia="仿宋_GB2312" w:cs="Arial"/>
          <w:sz w:val="30"/>
          <w:szCs w:val="30"/>
        </w:rPr>
      </w:pPr>
      <w:r>
        <w:rPr>
          <w:rFonts w:hint="eastAsia" w:ascii="宋体" w:hAnsi="宋体"/>
          <w:szCs w:val="21"/>
          <w:bdr w:val="single" w:color="auto" w:sz="4" w:space="0"/>
        </w:rPr>
        <w:drawing>
          <wp:inline distT="0" distB="0" distL="0" distR="0">
            <wp:extent cx="5272405" cy="3348990"/>
            <wp:effectExtent l="19050" t="0" r="444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3"/>
                    <a:srcRect/>
                    <a:stretch>
                      <a:fillRect/>
                    </a:stretch>
                  </pic:blipFill>
                  <pic:spPr>
                    <a:xfrm>
                      <a:off x="0" y="0"/>
                      <a:ext cx="5272405" cy="3348990"/>
                    </a:xfrm>
                    <a:prstGeom prst="rect">
                      <a:avLst/>
                    </a:prstGeom>
                    <a:noFill/>
                    <a:ln w="9525">
                      <a:noFill/>
                      <a:miter lim="800000"/>
                      <a:headEnd/>
                      <a:tailEnd/>
                    </a:ln>
                  </pic:spPr>
                </pic:pic>
              </a:graphicData>
            </a:graphic>
          </wp:inline>
        </w:drawing>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（1）支付定金</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（2）指定外运公司</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（3）办理保险</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（4）支付尾款</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（5）支付运费</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（6）取提货单</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（7）进口报检（根据商品监管条件判断是否需要办理）</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（8）进口报关</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（9）缴税</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（10）提货</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（11）外汇监测系统网上申报</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（三）外贸单证模板</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1.出口单证模板</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（1）商业发票</w:t>
      </w:r>
    </w:p>
    <w:p>
      <w:pPr>
        <w:snapToGrid w:val="0"/>
        <w:rPr>
          <w:rFonts w:ascii="仿宋_GB2312" w:hAnsi="仿宋" w:eastAsia="仿宋_GB2312" w:cs="Arial"/>
          <w:kern w:val="0"/>
          <w:sz w:val="30"/>
          <w:szCs w:val="30"/>
        </w:rPr>
      </w:pPr>
      <w:r>
        <w:rPr>
          <w:bdr w:val="single" w:color="auto" w:sz="4" w:space="0"/>
        </w:rPr>
        <w:drawing>
          <wp:inline distT="0" distB="0" distL="0" distR="0">
            <wp:extent cx="5274310" cy="3961130"/>
            <wp:effectExtent l="19050" t="0" r="2540" b="0"/>
            <wp:docPr id="15" name="图片 1" descr="发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发票"/>
                    <pic:cNvPicPr>
                      <a:picLocks noChangeAspect="1" noChangeArrowheads="1"/>
                    </pic:cNvPicPr>
                  </pic:nvPicPr>
                  <pic:blipFill>
                    <a:blip r:embed="rId14"/>
                    <a:srcRect/>
                    <a:stretch>
                      <a:fillRect/>
                    </a:stretch>
                  </pic:blipFill>
                  <pic:spPr>
                    <a:xfrm>
                      <a:off x="0" y="0"/>
                      <a:ext cx="5274310" cy="3961634"/>
                    </a:xfrm>
                    <a:prstGeom prst="rect">
                      <a:avLst/>
                    </a:prstGeom>
                    <a:noFill/>
                    <a:ln w="9525">
                      <a:noFill/>
                      <a:miter lim="800000"/>
                      <a:headEnd/>
                      <a:tailEnd/>
                    </a:ln>
                  </pic:spPr>
                </pic:pic>
              </a:graphicData>
            </a:graphic>
          </wp:inline>
        </w:drawing>
      </w:r>
    </w:p>
    <w:p>
      <w:pPr>
        <w:snapToGrid w:val="0"/>
        <w:ind w:firstLine="585"/>
        <w:rPr>
          <w:rFonts w:ascii="仿宋_GB2312" w:hAnsi="仿宋" w:eastAsia="仿宋_GB2312" w:cs="Arial"/>
          <w:kern w:val="0"/>
          <w:sz w:val="30"/>
          <w:szCs w:val="30"/>
        </w:rPr>
      </w:pPr>
    </w:p>
    <w:p>
      <w:pPr>
        <w:snapToGrid w:val="0"/>
        <w:ind w:firstLine="585"/>
        <w:rPr>
          <w:rFonts w:ascii="仿宋_GB2312" w:hAnsi="仿宋" w:eastAsia="仿宋_GB2312" w:cs="Arial"/>
          <w:kern w:val="0"/>
          <w:sz w:val="30"/>
          <w:szCs w:val="30"/>
        </w:rPr>
      </w:pPr>
    </w:p>
    <w:p>
      <w:pPr>
        <w:snapToGrid w:val="0"/>
        <w:ind w:firstLine="585"/>
        <w:rPr>
          <w:rFonts w:ascii="仿宋_GB2312" w:hAnsi="仿宋" w:eastAsia="仿宋_GB2312" w:cs="Arial"/>
          <w:kern w:val="0"/>
          <w:sz w:val="30"/>
          <w:szCs w:val="30"/>
        </w:rPr>
      </w:pPr>
    </w:p>
    <w:p>
      <w:pPr>
        <w:snapToGrid w:val="0"/>
        <w:ind w:firstLine="585"/>
        <w:rPr>
          <w:rFonts w:ascii="仿宋_GB2312" w:hAnsi="仿宋" w:eastAsia="仿宋_GB2312" w:cs="Arial"/>
          <w:kern w:val="0"/>
          <w:sz w:val="30"/>
          <w:szCs w:val="30"/>
        </w:rPr>
      </w:pPr>
    </w:p>
    <w:p>
      <w:pPr>
        <w:snapToGrid w:val="0"/>
        <w:ind w:firstLine="585"/>
        <w:rPr>
          <w:rFonts w:ascii="仿宋_GB2312" w:hAnsi="仿宋" w:eastAsia="仿宋_GB2312" w:cs="Arial"/>
          <w:kern w:val="0"/>
          <w:sz w:val="30"/>
          <w:szCs w:val="30"/>
        </w:rPr>
      </w:pPr>
    </w:p>
    <w:p>
      <w:pPr>
        <w:snapToGrid w:val="0"/>
        <w:ind w:firstLine="585"/>
        <w:rPr>
          <w:rFonts w:ascii="仿宋_GB2312" w:hAnsi="仿宋" w:eastAsia="仿宋_GB2312" w:cs="Arial"/>
          <w:kern w:val="0"/>
          <w:sz w:val="30"/>
          <w:szCs w:val="30"/>
        </w:rPr>
      </w:pPr>
      <w:r>
        <w:rPr>
          <w:rFonts w:hint="eastAsia" w:ascii="仿宋_GB2312" w:hAnsi="仿宋" w:eastAsia="仿宋_GB2312" w:cs="Arial"/>
          <w:kern w:val="0"/>
          <w:sz w:val="30"/>
          <w:szCs w:val="30"/>
        </w:rPr>
        <w:t>（2）装箱单</w:t>
      </w:r>
    </w:p>
    <w:p>
      <w:pPr>
        <w:snapToGrid w:val="0"/>
        <w:ind w:firstLine="585"/>
        <w:rPr>
          <w:rFonts w:ascii="仿宋_GB2312" w:hAnsi="仿宋" w:eastAsia="仿宋_GB2312" w:cs="Arial"/>
          <w:kern w:val="0"/>
          <w:sz w:val="30"/>
          <w:szCs w:val="30"/>
        </w:rPr>
      </w:pPr>
    </w:p>
    <w:p>
      <w:pPr>
        <w:snapToGrid w:val="0"/>
        <w:rPr>
          <w:rFonts w:ascii="仿宋_GB2312" w:hAnsi="仿宋" w:eastAsia="仿宋_GB2312" w:cs="Arial"/>
          <w:kern w:val="0"/>
          <w:sz w:val="30"/>
          <w:szCs w:val="30"/>
        </w:rPr>
      </w:pPr>
      <w:r>
        <w:rPr>
          <w:rFonts w:ascii="宋体" w:hAnsi="宋体"/>
          <w:szCs w:val="21"/>
          <w:bdr w:val="single" w:color="auto" w:sz="4" w:space="0"/>
        </w:rPr>
        <w:drawing>
          <wp:inline distT="0" distB="0" distL="0" distR="0">
            <wp:extent cx="5274310" cy="3860165"/>
            <wp:effectExtent l="19050" t="0" r="2540" b="0"/>
            <wp:docPr id="18" name="图片 2" descr="装箱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装箱单"/>
                    <pic:cNvPicPr>
                      <a:picLocks noChangeAspect="1" noChangeArrowheads="1"/>
                    </pic:cNvPicPr>
                  </pic:nvPicPr>
                  <pic:blipFill>
                    <a:blip r:embed="rId15"/>
                    <a:srcRect/>
                    <a:stretch>
                      <a:fillRect/>
                    </a:stretch>
                  </pic:blipFill>
                  <pic:spPr>
                    <a:xfrm>
                      <a:off x="0" y="0"/>
                      <a:ext cx="5274310" cy="3860430"/>
                    </a:xfrm>
                    <a:prstGeom prst="rect">
                      <a:avLst/>
                    </a:prstGeom>
                    <a:noFill/>
                    <a:ln w="9525">
                      <a:noFill/>
                      <a:miter lim="800000"/>
                      <a:headEnd/>
                      <a:tailEnd/>
                    </a:ln>
                  </pic:spPr>
                </pic:pic>
              </a:graphicData>
            </a:graphic>
          </wp:inline>
        </w:drawing>
      </w:r>
    </w:p>
    <w:p>
      <w:pPr>
        <w:widowControl/>
        <w:jc w:val="left"/>
        <w:rPr>
          <w:rFonts w:ascii="仿宋_GB2312" w:hAnsi="仿宋" w:eastAsia="仿宋_GB2312" w:cs="Arial"/>
          <w:kern w:val="0"/>
          <w:sz w:val="30"/>
          <w:szCs w:val="30"/>
        </w:rPr>
      </w:pPr>
      <w:r>
        <w:rPr>
          <w:rFonts w:ascii="仿宋_GB2312" w:hAnsi="仿宋" w:eastAsia="仿宋_GB2312" w:cs="Arial"/>
          <w:kern w:val="0"/>
          <w:sz w:val="30"/>
          <w:szCs w:val="30"/>
        </w:rPr>
        <w:br w:type="page"/>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（3）国际海运委托书</w:t>
      </w:r>
    </w:p>
    <w:p>
      <w:pPr>
        <w:snapToGrid w:val="0"/>
        <w:spacing w:line="560" w:lineRule="exact"/>
        <w:ind w:firstLine="600" w:firstLineChars="200"/>
        <w:rPr>
          <w:rFonts w:ascii="仿宋_GB2312" w:hAnsi="仿宋" w:eastAsia="仿宋_GB2312" w:cs="Arial"/>
          <w:kern w:val="0"/>
          <w:sz w:val="30"/>
          <w:szCs w:val="30"/>
        </w:rPr>
      </w:pPr>
    </w:p>
    <w:p>
      <w:pPr>
        <w:snapToGrid w:val="0"/>
        <w:rPr>
          <w:rFonts w:ascii="仿宋_GB2312" w:hAnsi="仿宋" w:eastAsia="仿宋_GB2312" w:cs="Arial"/>
          <w:kern w:val="0"/>
          <w:sz w:val="30"/>
          <w:szCs w:val="30"/>
        </w:rPr>
      </w:pPr>
      <w:r>
        <w:rPr>
          <w:rFonts w:ascii="宋体" w:hAnsi="宋体"/>
          <w:szCs w:val="21"/>
          <w:bdr w:val="single" w:color="auto" w:sz="4" w:space="0"/>
        </w:rPr>
        <w:drawing>
          <wp:inline distT="0" distB="0" distL="0" distR="0">
            <wp:extent cx="5274310" cy="6282690"/>
            <wp:effectExtent l="19050" t="0" r="2540" b="0"/>
            <wp:docPr id="21" name="图片 3" descr="海运委托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descr="海运委托书"/>
                    <pic:cNvPicPr>
                      <a:picLocks noChangeAspect="1" noChangeArrowheads="1"/>
                    </pic:cNvPicPr>
                  </pic:nvPicPr>
                  <pic:blipFill>
                    <a:blip r:embed="rId16"/>
                    <a:srcRect/>
                    <a:stretch>
                      <a:fillRect/>
                    </a:stretch>
                  </pic:blipFill>
                  <pic:spPr>
                    <a:xfrm>
                      <a:off x="0" y="0"/>
                      <a:ext cx="5274310" cy="6282807"/>
                    </a:xfrm>
                    <a:prstGeom prst="rect">
                      <a:avLst/>
                    </a:prstGeom>
                    <a:noFill/>
                    <a:ln w="9525">
                      <a:noFill/>
                      <a:miter lim="800000"/>
                      <a:headEnd/>
                      <a:tailEnd/>
                    </a:ln>
                  </pic:spPr>
                </pic:pic>
              </a:graphicData>
            </a:graphic>
          </wp:inline>
        </w:drawing>
      </w:r>
    </w:p>
    <w:p>
      <w:pPr>
        <w:widowControl/>
        <w:jc w:val="left"/>
        <w:rPr>
          <w:rFonts w:ascii="仿宋_GB2312" w:hAnsi="仿宋" w:eastAsia="仿宋_GB2312" w:cs="Arial"/>
          <w:kern w:val="0"/>
          <w:sz w:val="30"/>
          <w:szCs w:val="30"/>
        </w:rPr>
      </w:pPr>
      <w:r>
        <w:rPr>
          <w:rFonts w:ascii="仿宋_GB2312" w:hAnsi="仿宋" w:eastAsia="仿宋_GB2312" w:cs="Arial"/>
          <w:kern w:val="0"/>
          <w:sz w:val="30"/>
          <w:szCs w:val="30"/>
        </w:rPr>
        <w:br w:type="page"/>
      </w:r>
    </w:p>
    <w:p>
      <w:pPr>
        <w:snapToGrid w:val="0"/>
        <w:ind w:firstLine="585"/>
        <w:rPr>
          <w:rFonts w:ascii="仿宋_GB2312" w:hAnsi="仿宋" w:eastAsia="仿宋_GB2312" w:cs="Arial"/>
          <w:kern w:val="0"/>
          <w:sz w:val="30"/>
          <w:szCs w:val="30"/>
        </w:rPr>
      </w:pPr>
      <w:r>
        <w:rPr>
          <w:rFonts w:hint="eastAsia" w:ascii="仿宋_GB2312" w:hAnsi="仿宋" w:eastAsia="仿宋_GB2312" w:cs="Arial"/>
          <w:kern w:val="0"/>
          <w:sz w:val="30"/>
          <w:szCs w:val="30"/>
        </w:rPr>
        <w:t>（4）出境货物报检单</w:t>
      </w:r>
    </w:p>
    <w:p>
      <w:pPr>
        <w:snapToGrid w:val="0"/>
        <w:rPr>
          <w:rFonts w:ascii="仿宋_GB2312" w:hAnsi="仿宋" w:eastAsia="仿宋_GB2312" w:cs="Arial"/>
          <w:kern w:val="0"/>
          <w:sz w:val="30"/>
          <w:szCs w:val="30"/>
        </w:rPr>
      </w:pPr>
    </w:p>
    <w:p>
      <w:pPr>
        <w:snapToGrid w:val="0"/>
        <w:rPr>
          <w:rFonts w:ascii="仿宋_GB2312" w:hAnsi="仿宋" w:eastAsia="仿宋_GB2312" w:cs="Arial"/>
          <w:kern w:val="0"/>
          <w:sz w:val="30"/>
          <w:szCs w:val="30"/>
        </w:rPr>
      </w:pPr>
      <w:r>
        <w:rPr>
          <w:rFonts w:ascii="宋体" w:hAnsi="宋体"/>
          <w:szCs w:val="21"/>
          <w:bdr w:val="single" w:color="auto" w:sz="4" w:space="0"/>
        </w:rPr>
        <w:drawing>
          <wp:inline distT="0" distB="0" distL="0" distR="0">
            <wp:extent cx="5272405" cy="6709410"/>
            <wp:effectExtent l="19050" t="0" r="4445" b="0"/>
            <wp:docPr id="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4"/>
                    <pic:cNvPicPr>
                      <a:picLocks noChangeAspect="1" noChangeArrowheads="1"/>
                    </pic:cNvPicPr>
                  </pic:nvPicPr>
                  <pic:blipFill>
                    <a:blip r:embed="rId17"/>
                    <a:srcRect/>
                    <a:stretch>
                      <a:fillRect/>
                    </a:stretch>
                  </pic:blipFill>
                  <pic:spPr>
                    <a:xfrm>
                      <a:off x="0" y="0"/>
                      <a:ext cx="5272405" cy="6709410"/>
                    </a:xfrm>
                    <a:prstGeom prst="rect">
                      <a:avLst/>
                    </a:prstGeom>
                    <a:noFill/>
                    <a:ln w="9525">
                      <a:noFill/>
                      <a:miter lim="800000"/>
                      <a:headEnd/>
                      <a:tailEnd/>
                    </a:ln>
                  </pic:spPr>
                </pic:pic>
              </a:graphicData>
            </a:graphic>
          </wp:inline>
        </w:drawing>
      </w:r>
    </w:p>
    <w:p>
      <w:pPr>
        <w:widowControl/>
        <w:jc w:val="left"/>
        <w:rPr>
          <w:rFonts w:ascii="仿宋_GB2312" w:hAnsi="仿宋" w:eastAsia="仿宋_GB2312" w:cs="Arial"/>
          <w:kern w:val="0"/>
          <w:sz w:val="30"/>
          <w:szCs w:val="30"/>
        </w:rPr>
      </w:pPr>
      <w:r>
        <w:rPr>
          <w:rFonts w:ascii="仿宋_GB2312" w:hAnsi="仿宋" w:eastAsia="仿宋_GB2312" w:cs="Arial"/>
          <w:kern w:val="0"/>
          <w:sz w:val="30"/>
          <w:szCs w:val="30"/>
        </w:rPr>
        <w:br w:type="page"/>
      </w:r>
    </w:p>
    <w:p>
      <w:pPr>
        <w:snapToGrid w:val="0"/>
        <w:ind w:firstLine="585"/>
        <w:rPr>
          <w:rFonts w:ascii="仿宋_GB2312" w:hAnsi="仿宋" w:eastAsia="仿宋_GB2312" w:cs="Arial"/>
          <w:kern w:val="0"/>
          <w:sz w:val="30"/>
          <w:szCs w:val="30"/>
        </w:rPr>
      </w:pPr>
      <w:r>
        <w:rPr>
          <w:rFonts w:hint="eastAsia" w:ascii="仿宋_GB2312" w:hAnsi="仿宋" w:eastAsia="仿宋_GB2312" w:cs="Arial"/>
          <w:kern w:val="0"/>
          <w:sz w:val="30"/>
          <w:szCs w:val="30"/>
        </w:rPr>
        <w:t>（5）一般原产地证/普惠制产地证</w:t>
      </w:r>
    </w:p>
    <w:p>
      <w:pPr>
        <w:snapToGrid w:val="0"/>
        <w:rPr>
          <w:rFonts w:ascii="仿宋_GB2312" w:hAnsi="仿宋" w:eastAsia="仿宋_GB2312" w:cs="Arial"/>
          <w:kern w:val="0"/>
          <w:sz w:val="30"/>
          <w:szCs w:val="30"/>
        </w:rPr>
      </w:pPr>
    </w:p>
    <w:p>
      <w:pPr>
        <w:snapToGrid w:val="0"/>
        <w:rPr>
          <w:rFonts w:ascii="仿宋_GB2312" w:hAnsi="仿宋" w:eastAsia="仿宋_GB2312" w:cs="Arial"/>
          <w:kern w:val="0"/>
          <w:sz w:val="30"/>
          <w:szCs w:val="30"/>
        </w:rPr>
      </w:pPr>
      <w:r>
        <w:rPr>
          <w:rFonts w:ascii="宋体" w:hAnsi="宋体"/>
          <w:szCs w:val="21"/>
          <w:bdr w:val="single" w:color="auto" w:sz="4" w:space="0"/>
        </w:rPr>
        <w:drawing>
          <wp:inline distT="0" distB="0" distL="0" distR="0">
            <wp:extent cx="5274310" cy="6873875"/>
            <wp:effectExtent l="19050" t="0" r="2540" b="0"/>
            <wp:docPr id="10" name="图片 5" descr="一般原产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一般原产地"/>
                    <pic:cNvPicPr>
                      <a:picLocks noChangeAspect="1" noChangeArrowheads="1"/>
                    </pic:cNvPicPr>
                  </pic:nvPicPr>
                  <pic:blipFill>
                    <a:blip r:embed="rId18"/>
                    <a:srcRect/>
                    <a:stretch>
                      <a:fillRect/>
                    </a:stretch>
                  </pic:blipFill>
                  <pic:spPr>
                    <a:xfrm>
                      <a:off x="0" y="0"/>
                      <a:ext cx="5274310" cy="6874145"/>
                    </a:xfrm>
                    <a:prstGeom prst="rect">
                      <a:avLst/>
                    </a:prstGeom>
                    <a:noFill/>
                    <a:ln w="9525">
                      <a:noFill/>
                      <a:miter lim="800000"/>
                      <a:headEnd/>
                      <a:tailEnd/>
                    </a:ln>
                  </pic:spPr>
                </pic:pic>
              </a:graphicData>
            </a:graphic>
          </wp:inline>
        </w:drawing>
      </w:r>
    </w:p>
    <w:p>
      <w:pPr>
        <w:widowControl/>
        <w:jc w:val="left"/>
        <w:rPr>
          <w:rFonts w:ascii="仿宋_GB2312" w:hAnsi="仿宋" w:eastAsia="仿宋_GB2312" w:cs="Arial"/>
          <w:kern w:val="0"/>
          <w:sz w:val="30"/>
          <w:szCs w:val="30"/>
        </w:rPr>
      </w:pPr>
      <w:r>
        <w:rPr>
          <w:rFonts w:ascii="仿宋_GB2312" w:hAnsi="仿宋" w:eastAsia="仿宋_GB2312" w:cs="Arial"/>
          <w:kern w:val="0"/>
          <w:sz w:val="30"/>
          <w:szCs w:val="30"/>
        </w:rPr>
        <w:br w:type="page"/>
      </w:r>
    </w:p>
    <w:p>
      <w:pPr>
        <w:widowControl/>
        <w:jc w:val="left"/>
        <w:rPr>
          <w:rFonts w:ascii="仿宋_GB2312" w:hAnsi="仿宋" w:eastAsia="仿宋_GB2312" w:cs="Arial"/>
          <w:kern w:val="0"/>
          <w:sz w:val="30"/>
          <w:szCs w:val="30"/>
        </w:rPr>
      </w:pPr>
    </w:p>
    <w:p>
      <w:pPr>
        <w:snapToGrid w:val="0"/>
        <w:rPr>
          <w:rFonts w:ascii="仿宋_GB2312" w:hAnsi="仿宋" w:eastAsia="仿宋_GB2312" w:cs="Arial"/>
          <w:kern w:val="0"/>
          <w:sz w:val="30"/>
          <w:szCs w:val="30"/>
        </w:rPr>
      </w:pPr>
      <w:r>
        <w:rPr>
          <w:rFonts w:ascii="宋体" w:hAnsi="宋体"/>
          <w:szCs w:val="21"/>
          <w:bdr w:val="single" w:color="auto" w:sz="4" w:space="0"/>
        </w:rPr>
        <w:drawing>
          <wp:inline distT="0" distB="0" distL="0" distR="0">
            <wp:extent cx="5274310" cy="6502400"/>
            <wp:effectExtent l="19050" t="0" r="2540" b="0"/>
            <wp:docPr id="30" name="图片 6" descr="普惠制产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 descr="普惠制产地"/>
                    <pic:cNvPicPr>
                      <a:picLocks noChangeAspect="1" noChangeArrowheads="1"/>
                    </pic:cNvPicPr>
                  </pic:nvPicPr>
                  <pic:blipFill>
                    <a:blip r:embed="rId19"/>
                    <a:srcRect/>
                    <a:stretch>
                      <a:fillRect/>
                    </a:stretch>
                  </pic:blipFill>
                  <pic:spPr>
                    <a:xfrm>
                      <a:off x="0" y="0"/>
                      <a:ext cx="5274310" cy="6502854"/>
                    </a:xfrm>
                    <a:prstGeom prst="rect">
                      <a:avLst/>
                    </a:prstGeom>
                    <a:noFill/>
                    <a:ln w="9525">
                      <a:noFill/>
                      <a:miter lim="800000"/>
                      <a:headEnd/>
                      <a:tailEnd/>
                    </a:ln>
                  </pic:spPr>
                </pic:pic>
              </a:graphicData>
            </a:graphic>
          </wp:inline>
        </w:drawing>
      </w:r>
      <w:r>
        <w:rPr>
          <w:rFonts w:hint="eastAsia" w:ascii="仿宋_GB2312" w:hAnsi="仿宋" w:eastAsia="仿宋_GB2312" w:cs="Arial"/>
          <w:kern w:val="0"/>
          <w:sz w:val="30"/>
          <w:szCs w:val="30"/>
        </w:rPr>
        <w:t xml:space="preserve">    </w:t>
      </w:r>
    </w:p>
    <w:p>
      <w:pPr>
        <w:widowControl/>
        <w:jc w:val="left"/>
        <w:rPr>
          <w:rFonts w:ascii="仿宋_GB2312" w:hAnsi="仿宋" w:eastAsia="仿宋_GB2312" w:cs="Arial"/>
          <w:kern w:val="0"/>
          <w:sz w:val="30"/>
          <w:szCs w:val="30"/>
        </w:rPr>
      </w:pPr>
      <w:r>
        <w:rPr>
          <w:rFonts w:ascii="仿宋_GB2312" w:hAnsi="仿宋" w:eastAsia="仿宋_GB2312" w:cs="Arial"/>
          <w:kern w:val="0"/>
          <w:sz w:val="30"/>
          <w:szCs w:val="30"/>
        </w:rPr>
        <w:br w:type="page"/>
      </w:r>
    </w:p>
    <w:p>
      <w:pPr>
        <w:snapToGrid w:val="0"/>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（6）出口货物报关单</w:t>
      </w:r>
    </w:p>
    <w:p>
      <w:pPr>
        <w:snapToGrid w:val="0"/>
        <w:rPr>
          <w:rFonts w:ascii="仿宋_GB2312" w:hAnsi="仿宋" w:eastAsia="仿宋_GB2312" w:cs="Arial"/>
          <w:kern w:val="0"/>
          <w:sz w:val="30"/>
          <w:szCs w:val="30"/>
        </w:rPr>
      </w:pPr>
    </w:p>
    <w:p>
      <w:pPr>
        <w:snapToGrid w:val="0"/>
        <w:rPr>
          <w:rFonts w:ascii="仿宋_GB2312" w:hAnsi="仿宋" w:eastAsia="仿宋_GB2312" w:cs="Arial"/>
          <w:kern w:val="0"/>
          <w:sz w:val="30"/>
          <w:szCs w:val="30"/>
        </w:rPr>
      </w:pPr>
      <w:r>
        <w:rPr>
          <w:rFonts w:ascii="宋体" w:hAnsi="宋体"/>
          <w:szCs w:val="21"/>
          <w:bdr w:val="single" w:color="auto" w:sz="4" w:space="0"/>
        </w:rPr>
        <w:drawing>
          <wp:inline distT="0" distB="0" distL="0" distR="0">
            <wp:extent cx="5272405" cy="3170555"/>
            <wp:effectExtent l="19050" t="0" r="444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20"/>
                    <a:srcRect/>
                    <a:stretch>
                      <a:fillRect/>
                    </a:stretch>
                  </pic:blipFill>
                  <pic:spPr>
                    <a:xfrm>
                      <a:off x="0" y="0"/>
                      <a:ext cx="5272405" cy="3170555"/>
                    </a:xfrm>
                    <a:prstGeom prst="rect">
                      <a:avLst/>
                    </a:prstGeom>
                    <a:noFill/>
                    <a:ln w="9525">
                      <a:noFill/>
                      <a:miter lim="800000"/>
                      <a:headEnd/>
                      <a:tailEnd/>
                    </a:ln>
                  </pic:spPr>
                </pic:pic>
              </a:graphicData>
            </a:graphic>
          </wp:inline>
        </w:drawing>
      </w:r>
    </w:p>
    <w:p>
      <w:pPr>
        <w:widowControl/>
        <w:jc w:val="left"/>
        <w:rPr>
          <w:rFonts w:ascii="仿宋_GB2312" w:hAnsi="仿宋" w:eastAsia="仿宋_GB2312" w:cs="Arial"/>
          <w:kern w:val="0"/>
          <w:sz w:val="30"/>
          <w:szCs w:val="30"/>
        </w:rPr>
      </w:pPr>
      <w:r>
        <w:rPr>
          <w:rFonts w:ascii="仿宋_GB2312" w:hAnsi="仿宋" w:eastAsia="仿宋_GB2312" w:cs="Arial"/>
          <w:kern w:val="0"/>
          <w:sz w:val="30"/>
          <w:szCs w:val="30"/>
        </w:rPr>
        <w:br w:type="page"/>
      </w:r>
    </w:p>
    <w:p>
      <w:pPr>
        <w:snapToGrid w:val="0"/>
        <w:spacing w:line="560" w:lineRule="exact"/>
        <w:ind w:firstLine="585"/>
        <w:rPr>
          <w:rFonts w:ascii="仿宋_GB2312" w:hAnsi="仿宋" w:eastAsia="仿宋_GB2312" w:cs="Arial"/>
          <w:kern w:val="0"/>
          <w:sz w:val="30"/>
          <w:szCs w:val="30"/>
        </w:rPr>
      </w:pPr>
      <w:r>
        <w:rPr>
          <w:rFonts w:hint="eastAsia" w:ascii="仿宋_GB2312" w:hAnsi="仿宋" w:eastAsia="仿宋_GB2312" w:cs="Arial"/>
          <w:kern w:val="0"/>
          <w:sz w:val="30"/>
          <w:szCs w:val="30"/>
        </w:rPr>
        <w:t>2.进口单证模板</w:t>
      </w:r>
    </w:p>
    <w:p>
      <w:pPr>
        <w:snapToGrid w:val="0"/>
        <w:spacing w:line="560" w:lineRule="exact"/>
        <w:ind w:firstLine="585"/>
        <w:rPr>
          <w:rFonts w:ascii="仿宋_GB2312" w:hAnsi="仿宋" w:eastAsia="仿宋_GB2312" w:cs="Arial"/>
          <w:kern w:val="0"/>
          <w:sz w:val="30"/>
          <w:szCs w:val="30"/>
        </w:rPr>
      </w:pPr>
      <w:r>
        <w:rPr>
          <w:rFonts w:hint="eastAsia" w:ascii="仿宋_GB2312" w:hAnsi="仿宋" w:eastAsia="仿宋_GB2312" w:cs="Arial"/>
          <w:kern w:val="0"/>
          <w:sz w:val="30"/>
          <w:szCs w:val="30"/>
        </w:rPr>
        <w:t>（1）境外汇款申请书（支付定金）</w:t>
      </w:r>
    </w:p>
    <w:p>
      <w:pPr>
        <w:snapToGrid w:val="0"/>
        <w:rPr>
          <w:rFonts w:ascii="仿宋_GB2312" w:hAnsi="仿宋" w:eastAsia="仿宋_GB2312" w:cs="Arial"/>
          <w:kern w:val="0"/>
          <w:sz w:val="30"/>
          <w:szCs w:val="30"/>
        </w:rPr>
      </w:pPr>
      <w:r>
        <w:rPr>
          <w:rFonts w:ascii="宋体" w:hAnsi="宋体"/>
          <w:szCs w:val="21"/>
          <w:bdr w:val="single" w:color="auto" w:sz="4" w:space="0"/>
        </w:rPr>
        <w:drawing>
          <wp:inline distT="0" distB="0" distL="0" distR="0">
            <wp:extent cx="5074920" cy="7844790"/>
            <wp:effectExtent l="19050" t="0" r="0" b="0"/>
            <wp:docPr id="36" name="图片 50" descr="境外汇款申请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50" descr="境外汇款申请书"/>
                    <pic:cNvPicPr>
                      <a:picLocks noChangeAspect="1" noChangeArrowheads="1"/>
                    </pic:cNvPicPr>
                  </pic:nvPicPr>
                  <pic:blipFill>
                    <a:blip r:embed="rId21"/>
                    <a:srcRect/>
                    <a:stretch>
                      <a:fillRect/>
                    </a:stretch>
                  </pic:blipFill>
                  <pic:spPr>
                    <a:xfrm>
                      <a:off x="0" y="0"/>
                      <a:ext cx="5078418" cy="7849906"/>
                    </a:xfrm>
                    <a:prstGeom prst="rect">
                      <a:avLst/>
                    </a:prstGeom>
                    <a:noFill/>
                    <a:ln w="9525">
                      <a:noFill/>
                      <a:miter lim="800000"/>
                      <a:headEnd/>
                      <a:tailEnd/>
                    </a:ln>
                  </pic:spPr>
                </pic:pic>
              </a:graphicData>
            </a:graphic>
          </wp:inline>
        </w:drawing>
      </w:r>
    </w:p>
    <w:p>
      <w:pPr>
        <w:snapToGrid w:val="0"/>
        <w:rPr>
          <w:rFonts w:ascii="仿宋_GB2312" w:hAnsi="仿宋" w:eastAsia="仿宋_GB2312" w:cs="Arial"/>
          <w:kern w:val="0"/>
          <w:sz w:val="30"/>
          <w:szCs w:val="30"/>
        </w:rPr>
      </w:pPr>
    </w:p>
    <w:p>
      <w:pPr>
        <w:snapToGrid w:val="0"/>
        <w:ind w:firstLine="585"/>
        <w:rPr>
          <w:rFonts w:ascii="仿宋_GB2312" w:hAnsi="仿宋" w:eastAsia="仿宋_GB2312" w:cs="Arial"/>
          <w:kern w:val="0"/>
          <w:sz w:val="30"/>
          <w:szCs w:val="30"/>
        </w:rPr>
      </w:pPr>
      <w:r>
        <w:rPr>
          <w:rFonts w:hint="eastAsia" w:ascii="仿宋_GB2312" w:hAnsi="仿宋" w:eastAsia="仿宋_GB2312" w:cs="Arial"/>
          <w:kern w:val="0"/>
          <w:sz w:val="30"/>
          <w:szCs w:val="30"/>
        </w:rPr>
        <w:t>（2）投保单</w:t>
      </w:r>
    </w:p>
    <w:p>
      <w:pPr>
        <w:snapToGrid w:val="0"/>
        <w:ind w:firstLine="585"/>
        <w:rPr>
          <w:rFonts w:ascii="仿宋_GB2312" w:hAnsi="仿宋" w:eastAsia="仿宋_GB2312" w:cs="Arial"/>
          <w:kern w:val="0"/>
          <w:sz w:val="30"/>
          <w:szCs w:val="30"/>
        </w:rPr>
      </w:pPr>
    </w:p>
    <w:p>
      <w:pPr>
        <w:snapToGrid w:val="0"/>
        <w:rPr>
          <w:rFonts w:ascii="仿宋_GB2312" w:hAnsi="仿宋" w:eastAsia="仿宋_GB2312" w:cs="Arial"/>
          <w:kern w:val="0"/>
          <w:sz w:val="30"/>
          <w:szCs w:val="30"/>
        </w:rPr>
      </w:pPr>
      <w:r>
        <w:rPr>
          <w:rFonts w:ascii="宋体" w:hAnsi="宋体"/>
          <w:szCs w:val="21"/>
          <w:bdr w:val="single" w:color="auto" w:sz="4" w:space="0"/>
        </w:rPr>
        <w:drawing>
          <wp:inline distT="0" distB="0" distL="0" distR="0">
            <wp:extent cx="4880610" cy="7350760"/>
            <wp:effectExtent l="19050" t="0" r="0" b="0"/>
            <wp:docPr id="39" name="图片 1" descr="tb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descr="tbd.png"/>
                    <pic:cNvPicPr>
                      <a:picLocks noChangeAspect="1" noChangeArrowheads="1"/>
                    </pic:cNvPicPr>
                  </pic:nvPicPr>
                  <pic:blipFill>
                    <a:blip r:embed="rId22"/>
                    <a:srcRect/>
                    <a:stretch>
                      <a:fillRect/>
                    </a:stretch>
                  </pic:blipFill>
                  <pic:spPr>
                    <a:xfrm>
                      <a:off x="0" y="0"/>
                      <a:ext cx="4880610" cy="7350760"/>
                    </a:xfrm>
                    <a:prstGeom prst="rect">
                      <a:avLst/>
                    </a:prstGeom>
                    <a:noFill/>
                    <a:ln w="9525">
                      <a:noFill/>
                      <a:miter lim="800000"/>
                      <a:headEnd/>
                      <a:tailEnd/>
                    </a:ln>
                  </pic:spPr>
                </pic:pic>
              </a:graphicData>
            </a:graphic>
          </wp:inline>
        </w:drawing>
      </w:r>
    </w:p>
    <w:p>
      <w:pPr>
        <w:widowControl/>
        <w:jc w:val="left"/>
        <w:rPr>
          <w:rFonts w:ascii="仿宋_GB2312" w:hAnsi="仿宋" w:eastAsia="仿宋_GB2312" w:cs="Arial"/>
          <w:kern w:val="0"/>
          <w:sz w:val="30"/>
          <w:szCs w:val="30"/>
        </w:rPr>
      </w:pPr>
      <w:r>
        <w:rPr>
          <w:rFonts w:ascii="仿宋_GB2312" w:hAnsi="仿宋" w:eastAsia="仿宋_GB2312" w:cs="Arial"/>
          <w:kern w:val="0"/>
          <w:sz w:val="30"/>
          <w:szCs w:val="30"/>
        </w:rPr>
        <w:br w:type="page"/>
      </w:r>
    </w:p>
    <w:p>
      <w:pPr>
        <w:snapToGrid w:val="0"/>
        <w:ind w:firstLine="585"/>
        <w:rPr>
          <w:rFonts w:ascii="仿宋_GB2312" w:hAnsi="仿宋" w:eastAsia="仿宋_GB2312" w:cs="Arial"/>
          <w:kern w:val="0"/>
          <w:sz w:val="30"/>
          <w:szCs w:val="30"/>
        </w:rPr>
      </w:pPr>
      <w:r>
        <w:rPr>
          <w:rFonts w:hint="eastAsia" w:ascii="仿宋_GB2312" w:hAnsi="仿宋" w:eastAsia="仿宋_GB2312" w:cs="Arial"/>
          <w:kern w:val="0"/>
          <w:sz w:val="30"/>
          <w:szCs w:val="30"/>
        </w:rPr>
        <w:t>（3）境外汇款申请书（支付尾款）</w:t>
      </w:r>
    </w:p>
    <w:p>
      <w:pPr>
        <w:snapToGrid w:val="0"/>
        <w:ind w:firstLine="585"/>
        <w:rPr>
          <w:rFonts w:ascii="仿宋_GB2312" w:hAnsi="仿宋" w:eastAsia="仿宋_GB2312" w:cs="Arial"/>
          <w:kern w:val="0"/>
          <w:sz w:val="30"/>
          <w:szCs w:val="30"/>
        </w:rPr>
      </w:pPr>
    </w:p>
    <w:p>
      <w:pPr>
        <w:snapToGrid w:val="0"/>
        <w:ind w:firstLine="585"/>
        <w:rPr>
          <w:rFonts w:ascii="仿宋_GB2312" w:hAnsi="仿宋" w:eastAsia="仿宋_GB2312" w:cs="Arial"/>
          <w:kern w:val="0"/>
          <w:sz w:val="30"/>
          <w:szCs w:val="30"/>
        </w:rPr>
      </w:pPr>
      <w:r>
        <w:rPr>
          <w:rFonts w:ascii="宋体" w:hAnsi="宋体"/>
          <w:szCs w:val="21"/>
          <w:bdr w:val="single" w:color="auto" w:sz="4" w:space="0"/>
        </w:rPr>
        <w:drawing>
          <wp:inline distT="0" distB="0" distL="0" distR="0">
            <wp:extent cx="5274310" cy="8185785"/>
            <wp:effectExtent l="19050" t="0" r="2540" b="0"/>
            <wp:docPr id="42" name="图片 52" descr="境外汇款申请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52" descr="境外汇款申请书"/>
                    <pic:cNvPicPr>
                      <a:picLocks noChangeAspect="1" noChangeArrowheads="1"/>
                    </pic:cNvPicPr>
                  </pic:nvPicPr>
                  <pic:blipFill>
                    <a:blip r:embed="rId21"/>
                    <a:srcRect/>
                    <a:stretch>
                      <a:fillRect/>
                    </a:stretch>
                  </pic:blipFill>
                  <pic:spPr>
                    <a:xfrm>
                      <a:off x="0" y="0"/>
                      <a:ext cx="5274310" cy="8185878"/>
                    </a:xfrm>
                    <a:prstGeom prst="rect">
                      <a:avLst/>
                    </a:prstGeom>
                    <a:noFill/>
                    <a:ln w="9525">
                      <a:noFill/>
                      <a:miter lim="800000"/>
                      <a:headEnd/>
                      <a:tailEnd/>
                    </a:ln>
                  </pic:spPr>
                </pic:pic>
              </a:graphicData>
            </a:graphic>
          </wp:inline>
        </w:drawing>
      </w:r>
    </w:p>
    <w:p>
      <w:pPr>
        <w:snapToGrid w:val="0"/>
        <w:ind w:firstLine="585"/>
        <w:rPr>
          <w:rFonts w:ascii="仿宋_GB2312" w:hAnsi="仿宋" w:eastAsia="仿宋_GB2312" w:cs="Arial"/>
          <w:kern w:val="0"/>
          <w:sz w:val="30"/>
          <w:szCs w:val="30"/>
        </w:rPr>
      </w:pPr>
      <w:r>
        <w:rPr>
          <w:rFonts w:hint="eastAsia" w:ascii="仿宋_GB2312" w:hAnsi="仿宋" w:eastAsia="仿宋_GB2312" w:cs="Arial"/>
          <w:kern w:val="0"/>
          <w:sz w:val="30"/>
          <w:szCs w:val="30"/>
        </w:rPr>
        <w:t>（4）境内汇款申请书</w:t>
      </w:r>
    </w:p>
    <w:p>
      <w:pPr>
        <w:snapToGrid w:val="0"/>
        <w:rPr>
          <w:rFonts w:ascii="仿宋_GB2312" w:hAnsi="仿宋" w:eastAsia="仿宋_GB2312" w:cs="Arial"/>
          <w:kern w:val="0"/>
          <w:sz w:val="30"/>
          <w:szCs w:val="30"/>
        </w:rPr>
      </w:pPr>
    </w:p>
    <w:p>
      <w:pPr>
        <w:snapToGrid w:val="0"/>
        <w:rPr>
          <w:rFonts w:ascii="仿宋_GB2312" w:hAnsi="仿宋" w:eastAsia="仿宋_GB2312" w:cs="Arial"/>
          <w:kern w:val="0"/>
          <w:sz w:val="30"/>
          <w:szCs w:val="30"/>
        </w:rPr>
      </w:pPr>
      <w:r>
        <w:rPr>
          <w:rFonts w:ascii="宋体" w:hAnsi="宋体"/>
          <w:szCs w:val="21"/>
          <w:bdr w:val="single" w:color="auto" w:sz="4" w:space="0"/>
        </w:rPr>
        <w:drawing>
          <wp:inline distT="0" distB="0" distL="0" distR="0">
            <wp:extent cx="5274310" cy="8044815"/>
            <wp:effectExtent l="19050" t="0" r="2540" b="0"/>
            <wp:docPr id="45" name="图片 5" descr="jnh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 descr="jnhk.png"/>
                    <pic:cNvPicPr>
                      <a:picLocks noChangeAspect="1" noChangeArrowheads="1"/>
                    </pic:cNvPicPr>
                  </pic:nvPicPr>
                  <pic:blipFill>
                    <a:blip r:embed="rId23"/>
                    <a:srcRect/>
                    <a:stretch>
                      <a:fillRect/>
                    </a:stretch>
                  </pic:blipFill>
                  <pic:spPr>
                    <a:xfrm>
                      <a:off x="0" y="0"/>
                      <a:ext cx="5274310" cy="8045043"/>
                    </a:xfrm>
                    <a:prstGeom prst="rect">
                      <a:avLst/>
                    </a:prstGeom>
                    <a:noFill/>
                    <a:ln w="9525">
                      <a:noFill/>
                      <a:miter lim="800000"/>
                      <a:headEnd/>
                      <a:tailEnd/>
                    </a:ln>
                  </pic:spPr>
                </pic:pic>
              </a:graphicData>
            </a:graphic>
          </wp:inline>
        </w:drawing>
      </w:r>
    </w:p>
    <w:p>
      <w:pPr>
        <w:snapToGrid w:val="0"/>
        <w:rPr>
          <w:rFonts w:ascii="仿宋_GB2312" w:hAnsi="仿宋" w:eastAsia="仿宋_GB2312" w:cs="Arial"/>
          <w:kern w:val="0"/>
          <w:sz w:val="30"/>
          <w:szCs w:val="30"/>
        </w:rPr>
      </w:pPr>
    </w:p>
    <w:p>
      <w:pPr>
        <w:snapToGrid w:val="0"/>
        <w:ind w:firstLine="585"/>
        <w:rPr>
          <w:rFonts w:ascii="仿宋_GB2312" w:hAnsi="仿宋" w:eastAsia="仿宋_GB2312" w:cs="Arial"/>
          <w:kern w:val="0"/>
          <w:sz w:val="30"/>
          <w:szCs w:val="30"/>
        </w:rPr>
      </w:pPr>
      <w:r>
        <w:rPr>
          <w:rFonts w:hint="eastAsia" w:ascii="仿宋_GB2312" w:hAnsi="仿宋" w:eastAsia="仿宋_GB2312" w:cs="Arial"/>
          <w:kern w:val="0"/>
          <w:sz w:val="30"/>
          <w:szCs w:val="30"/>
        </w:rPr>
        <w:t>（5）入境货物报检单</w:t>
      </w:r>
    </w:p>
    <w:p>
      <w:pPr>
        <w:snapToGrid w:val="0"/>
        <w:rPr>
          <w:rFonts w:ascii="仿宋_GB2312" w:hAnsi="仿宋" w:eastAsia="仿宋_GB2312" w:cs="Arial"/>
          <w:kern w:val="0"/>
          <w:sz w:val="30"/>
          <w:szCs w:val="30"/>
        </w:rPr>
      </w:pPr>
    </w:p>
    <w:p>
      <w:pPr>
        <w:snapToGrid w:val="0"/>
        <w:rPr>
          <w:rFonts w:ascii="仿宋_GB2312" w:hAnsi="仿宋" w:eastAsia="仿宋_GB2312" w:cs="Arial"/>
          <w:kern w:val="0"/>
          <w:sz w:val="30"/>
          <w:szCs w:val="30"/>
        </w:rPr>
      </w:pPr>
      <w:r>
        <w:rPr>
          <w:rFonts w:hint="eastAsia" w:ascii="宋体" w:hAnsi="宋体"/>
          <w:szCs w:val="21"/>
          <w:bdr w:val="single" w:color="auto" w:sz="4" w:space="0"/>
        </w:rPr>
        <w:drawing>
          <wp:inline distT="0" distB="0" distL="0" distR="0">
            <wp:extent cx="5267325" cy="5505450"/>
            <wp:effectExtent l="19050" t="0" r="9525"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24"/>
                    <a:srcRect/>
                    <a:stretch>
                      <a:fillRect/>
                    </a:stretch>
                  </pic:blipFill>
                  <pic:spPr>
                    <a:xfrm>
                      <a:off x="0" y="0"/>
                      <a:ext cx="5267325" cy="5505450"/>
                    </a:xfrm>
                    <a:prstGeom prst="rect">
                      <a:avLst/>
                    </a:prstGeom>
                    <a:noFill/>
                    <a:ln w="9525">
                      <a:noFill/>
                      <a:miter lim="800000"/>
                      <a:headEnd/>
                      <a:tailEnd/>
                    </a:ln>
                  </pic:spPr>
                </pic:pic>
              </a:graphicData>
            </a:graphic>
          </wp:inline>
        </w:drawing>
      </w:r>
    </w:p>
    <w:p>
      <w:pPr>
        <w:widowControl/>
        <w:jc w:val="left"/>
        <w:rPr>
          <w:rFonts w:ascii="仿宋_GB2312" w:hAnsi="仿宋" w:eastAsia="仿宋_GB2312" w:cs="Arial"/>
          <w:kern w:val="0"/>
          <w:sz w:val="30"/>
          <w:szCs w:val="30"/>
        </w:rPr>
      </w:pPr>
      <w:r>
        <w:rPr>
          <w:rFonts w:ascii="仿宋_GB2312" w:hAnsi="仿宋" w:eastAsia="仿宋_GB2312" w:cs="Arial"/>
          <w:kern w:val="0"/>
          <w:sz w:val="30"/>
          <w:szCs w:val="30"/>
        </w:rPr>
        <w:br w:type="page"/>
      </w:r>
    </w:p>
    <w:p>
      <w:pPr>
        <w:snapToGrid w:val="0"/>
        <w:ind w:firstLine="585"/>
        <w:rPr>
          <w:rFonts w:ascii="仿宋_GB2312" w:hAnsi="仿宋" w:eastAsia="仿宋_GB2312" w:cs="Arial"/>
          <w:kern w:val="0"/>
          <w:sz w:val="30"/>
          <w:szCs w:val="30"/>
        </w:rPr>
      </w:pPr>
      <w:r>
        <w:rPr>
          <w:rFonts w:hint="eastAsia" w:ascii="仿宋_GB2312" w:hAnsi="仿宋" w:eastAsia="仿宋_GB2312" w:cs="Arial"/>
          <w:kern w:val="0"/>
          <w:sz w:val="30"/>
          <w:szCs w:val="30"/>
        </w:rPr>
        <w:t>（6）进口货物报关单</w:t>
      </w:r>
    </w:p>
    <w:p>
      <w:pPr>
        <w:snapToGrid w:val="0"/>
        <w:rPr>
          <w:rFonts w:ascii="仿宋_GB2312" w:hAnsi="仿宋" w:eastAsia="仿宋_GB2312" w:cs="Arial"/>
          <w:kern w:val="0"/>
          <w:sz w:val="30"/>
          <w:szCs w:val="30"/>
        </w:rPr>
      </w:pPr>
    </w:p>
    <w:p>
      <w:pPr>
        <w:snapToGrid w:val="0"/>
        <w:rPr>
          <w:rFonts w:ascii="仿宋_GB2312" w:hAnsi="仿宋" w:eastAsia="仿宋_GB2312" w:cs="Arial"/>
          <w:kern w:val="0"/>
          <w:sz w:val="30"/>
          <w:szCs w:val="30"/>
        </w:rPr>
      </w:pPr>
      <w:r>
        <w:rPr>
          <w:rFonts w:ascii="宋体" w:hAnsi="宋体"/>
          <w:szCs w:val="21"/>
          <w:bdr w:val="single" w:color="auto" w:sz="4" w:space="0"/>
        </w:rPr>
        <w:drawing>
          <wp:inline distT="0" distB="0" distL="0" distR="0">
            <wp:extent cx="5260975" cy="3159125"/>
            <wp:effectExtent l="1905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25"/>
                    <a:srcRect/>
                    <a:stretch>
                      <a:fillRect/>
                    </a:stretch>
                  </pic:blipFill>
                  <pic:spPr>
                    <a:xfrm>
                      <a:off x="0" y="0"/>
                      <a:ext cx="5260975" cy="3159125"/>
                    </a:xfrm>
                    <a:prstGeom prst="rect">
                      <a:avLst/>
                    </a:prstGeom>
                    <a:noFill/>
                    <a:ln w="9525">
                      <a:noFill/>
                      <a:miter lim="800000"/>
                      <a:headEnd/>
                      <a:tailEnd/>
                    </a:ln>
                  </pic:spPr>
                </pic:pic>
              </a:graphicData>
            </a:graphic>
          </wp:inline>
        </w:drawing>
      </w:r>
    </w:p>
    <w:p>
      <w:pPr>
        <w:snapToGrid w:val="0"/>
        <w:spacing w:line="560" w:lineRule="exact"/>
        <w:ind w:firstLine="600" w:firstLineChars="200"/>
        <w:rPr>
          <w:rFonts w:ascii="仿宋_GB2312" w:hAnsi="仿宋" w:eastAsia="仿宋_GB2312" w:cs="Arial"/>
          <w:kern w:val="0"/>
          <w:sz w:val="30"/>
          <w:szCs w:val="30"/>
        </w:rPr>
      </w:pP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★外贸英语沟通能力模块</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本部分考察内容基于</w:t>
      </w:r>
      <w:r>
        <w:rPr>
          <w:rFonts w:hint="eastAsia" w:ascii="仿宋_GB2312" w:hAnsi="Arial Narrow" w:eastAsia="仿宋_GB2312" w:cs="Arial"/>
          <w:sz w:val="30"/>
          <w:szCs w:val="30"/>
        </w:rPr>
        <w:t>外贸业务流程、商务接待、商务谈判等</w:t>
      </w:r>
      <w:r>
        <w:rPr>
          <w:rFonts w:hint="eastAsia" w:ascii="仿宋_GB2312" w:hAnsi="仿宋" w:eastAsia="仿宋_GB2312" w:cs="Arial"/>
          <w:kern w:val="0"/>
          <w:sz w:val="30"/>
          <w:szCs w:val="30"/>
        </w:rPr>
        <w:t>情境下的外贸英语沟通。共分为两部分：</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第一部分：复述</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参赛选手在规定时间内，根据给定的资料进行脱稿复述（200-250个英语单词左右），内容包括致欢迎辞、致答谢辞、会议主持人讲话、日程安排、介绍景点、介绍产品、介绍公司、介绍生产流程、参观工厂、展会接待、贸易磋商、物流安排、客户服务、纠纷解决、说明市场行情等。主要考察选手在外贸业务情境下的英语口语表达能力。</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第二部分：问答</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参赛选手在规定时间内就提出的问题进行作答。内容包括国际贸易活动中商务接待、磋商谈判、物流采购、贸易流程等相关专业问题，以及宏观经济分析、市场环境分析、相关法律法规及国际惯例等。主要考察选手在外贸业务情境下的英语理解能力、现场反应速度及表现力。</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（一）第一部分内容参考范例：</w:t>
      </w:r>
    </w:p>
    <w:p>
      <w:pPr>
        <w:spacing w:line="560" w:lineRule="exact"/>
        <w:rPr>
          <w:rFonts w:ascii="Times New Roman" w:hAnsi="Times New Roman"/>
          <w:b/>
          <w:sz w:val="28"/>
          <w:szCs w:val="28"/>
        </w:rPr>
      </w:pPr>
      <w:r>
        <w:rPr>
          <w:rFonts w:ascii="Times New Roman" w:hAnsi="Times New Roman"/>
          <w:b/>
          <w:sz w:val="28"/>
          <w:szCs w:val="28"/>
        </w:rPr>
        <w:t>Part I - Retell  (3 minutes)</w:t>
      </w:r>
    </w:p>
    <w:tbl>
      <w:tblPr>
        <w:tblStyle w:val="1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shd w:val="clear" w:color="auto" w:fill="C0C0C0"/>
          </w:tcPr>
          <w:p>
            <w:pPr>
              <w:spacing w:line="560" w:lineRule="exact"/>
              <w:rPr>
                <w:rFonts w:ascii="Times New Roman" w:hAnsi="Times New Roman"/>
                <w:b/>
                <w:sz w:val="28"/>
                <w:szCs w:val="28"/>
              </w:rPr>
            </w:pPr>
            <w:r>
              <w:rPr>
                <w:rFonts w:ascii="Times New Roman" w:hAnsi="Times New Roman"/>
                <w:b/>
                <w:sz w:val="28"/>
                <w:szCs w:val="28"/>
                <w:u w:val="single"/>
              </w:rPr>
              <w:t>Task:</w:t>
            </w:r>
            <w:r>
              <w:rPr>
                <w:rFonts w:ascii="Times New Roman" w:hAnsi="Times New Roman"/>
                <w:b/>
                <w:sz w:val="28"/>
                <w:szCs w:val="28"/>
              </w:rPr>
              <w:br w:type="textWrapping"/>
            </w:r>
            <w:r>
              <w:rPr>
                <w:rFonts w:ascii="Times New Roman" w:hAnsi="Times New Roman"/>
                <w:b/>
                <w:sz w:val="28"/>
                <w:szCs w:val="28"/>
              </w:rPr>
              <w:t>-- You are required to re</w:t>
            </w:r>
            <w:r>
              <w:rPr>
                <w:rFonts w:hint="eastAsia" w:ascii="Times New Roman" w:hAnsi="Times New Roman"/>
                <w:b/>
                <w:sz w:val="28"/>
                <w:szCs w:val="28"/>
              </w:rPr>
              <w:t>tell</w:t>
            </w:r>
            <w:r>
              <w:rPr>
                <w:rFonts w:ascii="Times New Roman" w:hAnsi="Times New Roman"/>
                <w:b/>
                <w:sz w:val="28"/>
                <w:szCs w:val="28"/>
              </w:rPr>
              <w:t xml:space="preserve"> the following short speech. </w:t>
            </w:r>
          </w:p>
        </w:tc>
      </w:tr>
    </w:tbl>
    <w:p>
      <w:pPr>
        <w:snapToGrid w:val="0"/>
        <w:spacing w:line="560" w:lineRule="exact"/>
        <w:rPr>
          <w:rFonts w:ascii="Times New Roman" w:hAnsi="Times New Roman"/>
          <w:sz w:val="28"/>
          <w:szCs w:val="28"/>
        </w:rPr>
      </w:pPr>
      <w:r>
        <w:rPr>
          <w:rFonts w:ascii="Times New Roman" w:hAnsi="Times New Roman"/>
          <w:sz w:val="28"/>
          <w:szCs w:val="28"/>
        </w:rPr>
        <w:t>L</w:t>
      </w:r>
      <w:r>
        <w:rPr>
          <w:rFonts w:hint="eastAsia" w:ascii="Times New Roman" w:hAnsi="Times New Roman"/>
          <w:sz w:val="28"/>
          <w:szCs w:val="28"/>
        </w:rPr>
        <w:t>adies and Gentlemen:</w:t>
      </w:r>
    </w:p>
    <w:p>
      <w:pPr>
        <w:snapToGrid w:val="0"/>
        <w:spacing w:line="560" w:lineRule="exact"/>
        <w:ind w:firstLine="560" w:firstLineChars="200"/>
        <w:rPr>
          <w:rFonts w:ascii="Times New Roman" w:hAnsi="Times New Roman"/>
          <w:sz w:val="28"/>
          <w:szCs w:val="28"/>
        </w:rPr>
      </w:pPr>
      <w:r>
        <w:rPr>
          <w:rFonts w:ascii="Times New Roman" w:hAnsi="Times New Roman"/>
          <w:sz w:val="28"/>
          <w:szCs w:val="28"/>
        </w:rPr>
        <w:t xml:space="preserve">Tonight, it is a great honor for us to have the presence of Mr. Miller and his delegation here. On behalf of our company, I would like to extend our warm welcome to you all. </w:t>
      </w:r>
    </w:p>
    <w:p>
      <w:pPr>
        <w:snapToGrid w:val="0"/>
        <w:spacing w:line="560" w:lineRule="exact"/>
        <w:ind w:firstLine="560" w:firstLineChars="200"/>
        <w:rPr>
          <w:rFonts w:ascii="Times New Roman" w:hAnsi="Times New Roman"/>
          <w:sz w:val="28"/>
          <w:szCs w:val="28"/>
        </w:rPr>
      </w:pPr>
      <w:r>
        <w:rPr>
          <w:rFonts w:ascii="Times New Roman" w:hAnsi="Times New Roman"/>
          <w:sz w:val="28"/>
          <w:szCs w:val="28"/>
        </w:rPr>
        <w:t xml:space="preserve">IDC and Super Vision have been long standing partners. For eight years, our relationship has proved strong, lasting and fruitful, despite many difficulties both of us have gone through. Both companies are growing rapidly, thanks to the support we give to each other. For this, I must say thank you to everyone from IDC. </w:t>
      </w:r>
    </w:p>
    <w:p>
      <w:pPr>
        <w:snapToGrid w:val="0"/>
        <w:spacing w:line="560" w:lineRule="exact"/>
        <w:ind w:firstLine="560" w:firstLineChars="200"/>
        <w:rPr>
          <w:rFonts w:ascii="Times New Roman" w:hAnsi="Times New Roman"/>
          <w:sz w:val="28"/>
          <w:szCs w:val="28"/>
        </w:rPr>
      </w:pPr>
      <w:r>
        <w:rPr>
          <w:rFonts w:ascii="Times New Roman" w:hAnsi="Times New Roman"/>
          <w:sz w:val="28"/>
          <w:szCs w:val="28"/>
        </w:rPr>
        <w:t xml:space="preserve">Today, we are especially happy to receive Mr. Miller and his colleagues, who have come to work out a plan to expand our cooperation. I believe, with strong determination to strengthen our partnership, and wisdom and vision of our two teams, we must be able to come up with great ideas and plans that will contribute to further growth of both companies. </w:t>
      </w:r>
    </w:p>
    <w:p>
      <w:pPr>
        <w:snapToGrid w:val="0"/>
        <w:spacing w:line="560" w:lineRule="exact"/>
        <w:ind w:firstLine="560" w:firstLineChars="200"/>
        <w:rPr>
          <w:rFonts w:ascii="Times New Roman" w:hAnsi="Times New Roman"/>
          <w:sz w:val="28"/>
          <w:szCs w:val="28"/>
        </w:rPr>
      </w:pPr>
      <w:r>
        <w:rPr>
          <w:rFonts w:ascii="Times New Roman" w:hAnsi="Times New Roman"/>
          <w:sz w:val="28"/>
          <w:szCs w:val="28"/>
        </w:rPr>
        <w:t>To that end, and to the health of all of us, may I ask you to raise your glasses for a toast? Cheers! Thank you!</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（二）第二部分内容参考范例：</w:t>
      </w:r>
    </w:p>
    <w:p>
      <w:pPr>
        <w:spacing w:line="560" w:lineRule="exact"/>
        <w:rPr>
          <w:rFonts w:ascii="Times New Roman" w:hAnsi="Times New Roman"/>
          <w:b/>
          <w:sz w:val="28"/>
          <w:szCs w:val="28"/>
        </w:rPr>
      </w:pPr>
      <w:r>
        <w:rPr>
          <w:rFonts w:ascii="Times New Roman" w:hAnsi="Times New Roman"/>
          <w:b/>
          <w:sz w:val="28"/>
          <w:szCs w:val="28"/>
        </w:rPr>
        <w:t xml:space="preserve">Part </w:t>
      </w:r>
      <w:r>
        <w:rPr>
          <w:rFonts w:hint="eastAsia" w:ascii="Times New Roman" w:hAnsi="Times New Roman"/>
          <w:b/>
          <w:sz w:val="28"/>
          <w:szCs w:val="28"/>
        </w:rPr>
        <w:t>II</w:t>
      </w:r>
      <w:r>
        <w:rPr>
          <w:rFonts w:ascii="Times New Roman" w:hAnsi="Times New Roman"/>
          <w:b/>
          <w:sz w:val="28"/>
          <w:szCs w:val="28"/>
        </w:rPr>
        <w:t xml:space="preserve"> – </w:t>
      </w:r>
      <w:r>
        <w:rPr>
          <w:rFonts w:hint="eastAsia" w:ascii="Times New Roman" w:hAnsi="Times New Roman"/>
          <w:b/>
          <w:sz w:val="28"/>
          <w:szCs w:val="28"/>
        </w:rPr>
        <w:t>Q&amp;A</w:t>
      </w:r>
      <w:r>
        <w:rPr>
          <w:rFonts w:ascii="Times New Roman" w:hAnsi="Times New Roman"/>
          <w:b/>
          <w:sz w:val="28"/>
          <w:szCs w:val="28"/>
        </w:rPr>
        <w:t xml:space="preserve">  (</w:t>
      </w:r>
      <w:r>
        <w:rPr>
          <w:rFonts w:hint="eastAsia" w:ascii="Times New Roman" w:hAnsi="Times New Roman"/>
          <w:b/>
          <w:sz w:val="28"/>
          <w:szCs w:val="28"/>
        </w:rPr>
        <w:t>2</w:t>
      </w:r>
      <w:r>
        <w:rPr>
          <w:rFonts w:ascii="Times New Roman" w:hAnsi="Times New Roman"/>
          <w:b/>
          <w:sz w:val="28"/>
          <w:szCs w:val="28"/>
        </w:rPr>
        <w:t xml:space="preserve"> minutes)</w:t>
      </w:r>
    </w:p>
    <w:tbl>
      <w:tblPr>
        <w:tblStyle w:val="1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shd w:val="clear" w:color="auto" w:fill="C0C0C0"/>
          </w:tcPr>
          <w:p>
            <w:pPr>
              <w:spacing w:line="560" w:lineRule="exact"/>
              <w:rPr>
                <w:rFonts w:ascii="Times New Roman" w:hAnsi="Times New Roman"/>
                <w:b/>
                <w:sz w:val="28"/>
                <w:szCs w:val="28"/>
              </w:rPr>
            </w:pPr>
            <w:r>
              <w:rPr>
                <w:rFonts w:ascii="Times New Roman" w:hAnsi="Times New Roman"/>
                <w:b/>
                <w:sz w:val="28"/>
                <w:szCs w:val="28"/>
              </w:rPr>
              <w:t>Task:</w:t>
            </w:r>
            <w:r>
              <w:rPr>
                <w:rFonts w:ascii="Times New Roman" w:hAnsi="Times New Roman"/>
                <w:b/>
                <w:sz w:val="28"/>
                <w:szCs w:val="28"/>
              </w:rPr>
              <w:br w:type="textWrapping"/>
            </w:r>
            <w:r>
              <w:rPr>
                <w:rFonts w:ascii="Times New Roman" w:hAnsi="Times New Roman"/>
                <w:b/>
                <w:sz w:val="28"/>
                <w:szCs w:val="28"/>
              </w:rPr>
              <w:t xml:space="preserve">-- You are required to answer the following question. </w:t>
            </w:r>
          </w:p>
        </w:tc>
      </w:tr>
    </w:tbl>
    <w:p>
      <w:pPr>
        <w:spacing w:line="560" w:lineRule="exact"/>
        <w:rPr>
          <w:rFonts w:ascii="Times New Roman" w:hAnsi="Times New Roman"/>
          <w:sz w:val="28"/>
          <w:szCs w:val="28"/>
        </w:rPr>
      </w:pPr>
      <w:r>
        <w:rPr>
          <w:rFonts w:ascii="Times New Roman" w:hAnsi="Times New Roman"/>
          <w:sz w:val="28"/>
          <w:szCs w:val="28"/>
        </w:rPr>
        <w:t>Q：</w:t>
      </w:r>
      <w:r>
        <w:rPr>
          <w:rFonts w:hint="eastAsia" w:ascii="Times New Roman" w:hAnsi="Times New Roman"/>
          <w:sz w:val="28"/>
          <w:szCs w:val="28"/>
        </w:rPr>
        <w:t>Please d</w:t>
      </w:r>
      <w:r>
        <w:rPr>
          <w:rFonts w:ascii="Times New Roman" w:hAnsi="Times New Roman"/>
          <w:sz w:val="28"/>
          <w:szCs w:val="28"/>
        </w:rPr>
        <w:t>escribe the difference between the CIF term and the FOB term</w:t>
      </w:r>
      <w:r>
        <w:rPr>
          <w:rFonts w:hint="eastAsia" w:ascii="Times New Roman" w:hAnsi="Times New Roman"/>
          <w:sz w:val="28"/>
          <w:szCs w:val="28"/>
        </w:rPr>
        <w:t>.</w:t>
      </w:r>
    </w:p>
    <w:p>
      <w:pPr>
        <w:pStyle w:val="2"/>
        <w:ind w:firstLine="600"/>
        <w:rPr>
          <w:rFonts w:ascii="Arial Narrow" w:hAnsi="Arial Narrow" w:eastAsia="仿宋_GB2312" w:cs="Arial"/>
        </w:rPr>
      </w:pPr>
      <w:bookmarkStart w:id="13" w:name="_Toc522017698"/>
      <w:r>
        <w:rPr>
          <w:rFonts w:hint="eastAsia"/>
        </w:rPr>
        <w:t>十、评分标准制定原则、评分方法、评分细则</w:t>
      </w:r>
      <w:bookmarkEnd w:id="13"/>
    </w:p>
    <w:p>
      <w:pPr>
        <w:snapToGrid w:val="0"/>
        <w:spacing w:line="560" w:lineRule="exact"/>
        <w:ind w:firstLine="600" w:firstLineChars="200"/>
        <w:rPr>
          <w:rFonts w:ascii="仿宋_GB2312" w:hAnsi="仿宋" w:eastAsia="仿宋_GB2312" w:cs="Arial"/>
          <w:kern w:val="0"/>
          <w:sz w:val="30"/>
          <w:szCs w:val="30"/>
        </w:rPr>
      </w:pPr>
      <w:bookmarkStart w:id="14" w:name="_Toc460925245"/>
      <w:r>
        <w:rPr>
          <w:rFonts w:hint="eastAsia" w:ascii="仿宋_GB2312" w:hAnsi="仿宋" w:eastAsia="仿宋_GB2312" w:cs="Arial"/>
          <w:kern w:val="0"/>
          <w:sz w:val="30"/>
          <w:szCs w:val="30"/>
        </w:rPr>
        <w:t>（一）制定原则</w:t>
      </w:r>
      <w:bookmarkEnd w:id="14"/>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评分标准由赛项专家组根据《2017年全国职业院校技能大赛成绩管理办法》的相关要求制定。</w:t>
      </w:r>
    </w:p>
    <w:p>
      <w:pPr>
        <w:snapToGrid w:val="0"/>
        <w:spacing w:line="560" w:lineRule="exact"/>
        <w:ind w:firstLine="600" w:firstLineChars="200"/>
        <w:rPr>
          <w:rFonts w:ascii="仿宋_GB2312" w:hAnsi="仿宋" w:eastAsia="仿宋_GB2312" w:cs="Arial"/>
          <w:kern w:val="0"/>
          <w:sz w:val="30"/>
          <w:szCs w:val="30"/>
        </w:rPr>
      </w:pPr>
      <w:bookmarkStart w:id="15" w:name="_Toc460925246"/>
      <w:r>
        <w:rPr>
          <w:rFonts w:hint="eastAsia" w:ascii="仿宋_GB2312" w:hAnsi="仿宋" w:eastAsia="仿宋_GB2312" w:cs="Arial"/>
          <w:kern w:val="0"/>
          <w:sz w:val="30"/>
          <w:szCs w:val="30"/>
        </w:rPr>
        <w:t>（二）评分方法</w:t>
      </w:r>
      <w:bookmarkEnd w:id="15"/>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参赛队的竞赛总分=外贸业务能力B2B模块得分×50%+外贸业务能力B2C模块得分×15%+外贸跟单能力模块得分×15%+外贸英语沟通能力模块得分×20%</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注：参赛队的竞赛总分四舍五入保留两位小数。</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参赛队各模块得分公式如下：</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外贸业务能力B2B模块得分=参赛队2组选手得分的平均分（四舍五入保留两位小数）</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外贸业务能力B2C模块得分=参赛队1组选手得分</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外贸跟单能力模块得分=参赛队2组选手得分的平均分（四舍五入保留两位小数）</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外贸英语沟通能力模块得分=参赛队1组选手得分</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（三）评分细则</w:t>
      </w:r>
    </w:p>
    <w:p>
      <w:pPr>
        <w:spacing w:line="560" w:lineRule="exact"/>
        <w:ind w:firstLine="600" w:firstLineChars="200"/>
        <w:rPr>
          <w:rFonts w:ascii="仿宋_GB2312" w:hAnsi="Arial Narrow" w:eastAsia="仿宋_GB2312" w:cs="宋体"/>
          <w:sz w:val="30"/>
          <w:szCs w:val="30"/>
        </w:rPr>
      </w:pPr>
      <w:bookmarkStart w:id="16" w:name="_Toc460925247"/>
      <w:r>
        <w:rPr>
          <w:rFonts w:hint="eastAsia" w:ascii="仿宋_GB2312" w:hAnsi="Arial Narrow" w:eastAsia="仿宋_GB2312" w:cs="宋体"/>
          <w:sz w:val="30"/>
          <w:szCs w:val="30"/>
        </w:rPr>
        <w:t>竞赛各模块评分</w:t>
      </w:r>
      <w:bookmarkEnd w:id="16"/>
      <w:r>
        <w:rPr>
          <w:rFonts w:hint="eastAsia" w:ascii="仿宋_GB2312" w:hAnsi="Arial Narrow" w:eastAsia="仿宋_GB2312" w:cs="宋体"/>
          <w:sz w:val="30"/>
          <w:szCs w:val="30"/>
        </w:rPr>
        <w:t>细则如下：</w:t>
      </w:r>
    </w:p>
    <w:p>
      <w:pPr>
        <w:spacing w:line="560" w:lineRule="exact"/>
        <w:ind w:firstLine="600" w:firstLineChars="200"/>
        <w:rPr>
          <w:rFonts w:ascii="仿宋_GB2312" w:hAnsi="Arial Narrow" w:eastAsia="仿宋_GB2312" w:cs="宋体"/>
          <w:sz w:val="30"/>
          <w:szCs w:val="30"/>
        </w:rPr>
      </w:pPr>
      <w:bookmarkStart w:id="17" w:name="_Toc460924406"/>
      <w:bookmarkStart w:id="18" w:name="_Toc460925248"/>
      <w:r>
        <w:rPr>
          <w:rFonts w:hint="eastAsia" w:ascii="仿宋_GB2312" w:hAnsi="Arial Narrow" w:eastAsia="仿宋_GB2312" w:cs="宋体"/>
          <w:sz w:val="30"/>
          <w:szCs w:val="30"/>
        </w:rPr>
        <w:t>★外贸业务能力B2B模块</w:t>
      </w:r>
      <w:bookmarkEnd w:id="17"/>
      <w:bookmarkEnd w:id="18"/>
    </w:p>
    <w:p>
      <w:pPr>
        <w:spacing w:line="560" w:lineRule="exact"/>
        <w:jc w:val="center"/>
        <w:rPr>
          <w:rFonts w:ascii="宋体" w:hAnsi="宋体" w:cs="宋体"/>
          <w:sz w:val="24"/>
          <w:szCs w:val="24"/>
        </w:rPr>
      </w:pPr>
      <w:r>
        <w:rPr>
          <w:rFonts w:hint="eastAsia" w:ascii="宋体" w:hAnsi="宋体" w:cs="宋体"/>
          <w:sz w:val="24"/>
          <w:szCs w:val="24"/>
        </w:rPr>
        <w:t>表6 外贸业务能力B2B模块评分细则</w:t>
      </w:r>
    </w:p>
    <w:tbl>
      <w:tblPr>
        <w:tblStyle w:val="17"/>
        <w:tblW w:w="81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8"/>
        <w:gridCol w:w="1658"/>
        <w:gridCol w:w="4497"/>
        <w:gridCol w:w="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tblHeader/>
          <w:jc w:val="center"/>
        </w:trPr>
        <w:tc>
          <w:tcPr>
            <w:tcW w:w="1358" w:type="dxa"/>
            <w:shd w:val="clear" w:color="auto" w:fill="auto"/>
            <w:vAlign w:val="center"/>
          </w:tcPr>
          <w:p>
            <w:pPr>
              <w:widowControl/>
              <w:jc w:val="center"/>
              <w:rPr>
                <w:rFonts w:cs="宋体" w:asciiTheme="minorEastAsia" w:hAnsiTheme="minorEastAsia" w:eastAsiaTheme="minorEastAsia"/>
                <w:b/>
                <w:kern w:val="0"/>
                <w:sz w:val="24"/>
                <w:szCs w:val="24"/>
              </w:rPr>
            </w:pPr>
            <w:r>
              <w:rPr>
                <w:rFonts w:hint="eastAsia" w:cs="宋体" w:asciiTheme="minorEastAsia" w:hAnsiTheme="minorEastAsia" w:eastAsiaTheme="minorEastAsia"/>
                <w:b/>
                <w:kern w:val="0"/>
                <w:sz w:val="24"/>
                <w:szCs w:val="24"/>
              </w:rPr>
              <w:t>项目</w:t>
            </w:r>
          </w:p>
        </w:tc>
        <w:tc>
          <w:tcPr>
            <w:tcW w:w="1658" w:type="dxa"/>
            <w:shd w:val="clear" w:color="auto" w:fill="auto"/>
            <w:vAlign w:val="center"/>
          </w:tcPr>
          <w:p>
            <w:pPr>
              <w:widowControl/>
              <w:jc w:val="center"/>
              <w:rPr>
                <w:rFonts w:cs="宋体" w:asciiTheme="minorEastAsia" w:hAnsiTheme="minorEastAsia" w:eastAsiaTheme="minorEastAsia"/>
                <w:b/>
                <w:kern w:val="0"/>
                <w:sz w:val="24"/>
                <w:szCs w:val="24"/>
              </w:rPr>
            </w:pPr>
            <w:r>
              <w:rPr>
                <w:rFonts w:hint="eastAsia" w:cs="宋体" w:asciiTheme="minorEastAsia" w:hAnsiTheme="minorEastAsia" w:eastAsiaTheme="minorEastAsia"/>
                <w:b/>
                <w:kern w:val="0"/>
                <w:sz w:val="24"/>
                <w:szCs w:val="24"/>
              </w:rPr>
              <w:t>要素</w:t>
            </w:r>
          </w:p>
        </w:tc>
        <w:tc>
          <w:tcPr>
            <w:tcW w:w="4497" w:type="dxa"/>
            <w:shd w:val="clear" w:color="auto" w:fill="auto"/>
            <w:vAlign w:val="center"/>
          </w:tcPr>
          <w:p>
            <w:pPr>
              <w:widowControl/>
              <w:jc w:val="center"/>
              <w:rPr>
                <w:rFonts w:cs="宋体" w:asciiTheme="minorEastAsia" w:hAnsiTheme="minorEastAsia" w:eastAsiaTheme="minorEastAsia"/>
                <w:b/>
                <w:kern w:val="0"/>
                <w:sz w:val="24"/>
                <w:szCs w:val="24"/>
              </w:rPr>
            </w:pPr>
            <w:r>
              <w:rPr>
                <w:rFonts w:hint="eastAsia" w:cs="宋体" w:asciiTheme="minorEastAsia" w:hAnsiTheme="minorEastAsia" w:eastAsiaTheme="minorEastAsia"/>
                <w:b/>
                <w:kern w:val="0"/>
                <w:sz w:val="24"/>
                <w:szCs w:val="24"/>
              </w:rPr>
              <w:t>评分细则</w:t>
            </w:r>
          </w:p>
        </w:tc>
        <w:tc>
          <w:tcPr>
            <w:tcW w:w="669" w:type="dxa"/>
            <w:shd w:val="clear" w:color="auto" w:fill="auto"/>
            <w:vAlign w:val="center"/>
          </w:tcPr>
          <w:p>
            <w:pPr>
              <w:widowControl/>
              <w:jc w:val="center"/>
              <w:rPr>
                <w:rFonts w:cs="宋体" w:asciiTheme="minorEastAsia" w:hAnsiTheme="minorEastAsia" w:eastAsiaTheme="minorEastAsia"/>
                <w:b/>
                <w:kern w:val="0"/>
                <w:sz w:val="24"/>
                <w:szCs w:val="24"/>
              </w:rPr>
            </w:pPr>
            <w:r>
              <w:rPr>
                <w:rFonts w:hint="eastAsia" w:cs="宋体" w:asciiTheme="minorEastAsia" w:hAnsiTheme="minorEastAsia" w:eastAsiaTheme="minorEastAsia"/>
                <w:b/>
                <w:kern w:val="0"/>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restart"/>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业务推广</w:t>
            </w:r>
          </w:p>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（共10分）</w:t>
            </w:r>
          </w:p>
        </w:tc>
        <w:tc>
          <w:tcPr>
            <w:tcW w:w="1658" w:type="dxa"/>
            <w:vMerge w:val="restart"/>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建站管理</w:t>
            </w: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管理公司信息：</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须完善公司信息，全部填写完整则得满分0.8分，具体包括5个主营业务(每个0.04分）、10个更多经营产品（每个0.016分）、设置公司标志（0.088分）、设置3个公司形象展示图（每个0.088分）及公司详细信息的填写（0.088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continue"/>
            <w:vAlign w:val="center"/>
          </w:tcPr>
          <w:p>
            <w:pPr>
              <w:widowControl/>
              <w:jc w:val="center"/>
              <w:rPr>
                <w:rFonts w:cs="宋体" w:asciiTheme="minorEastAsia" w:hAnsiTheme="minorEastAsia" w:eastAsiaTheme="minorEastAsia"/>
                <w:kern w:val="0"/>
                <w:sz w:val="24"/>
                <w:szCs w:val="24"/>
              </w:rPr>
            </w:pP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完成A&amp;V认证得0.2分。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continue"/>
            <w:vAlign w:val="center"/>
          </w:tcPr>
          <w:p>
            <w:pPr>
              <w:widowControl/>
              <w:jc w:val="center"/>
              <w:rPr>
                <w:rFonts w:cs="宋体" w:asciiTheme="minorEastAsia" w:hAnsiTheme="minorEastAsia" w:eastAsiaTheme="minorEastAsia"/>
                <w:kern w:val="0"/>
                <w:sz w:val="24"/>
                <w:szCs w:val="24"/>
              </w:rPr>
            </w:pP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加入金品诚企并完成管理能力评估得0.2分。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continue"/>
            <w:vAlign w:val="center"/>
          </w:tcPr>
          <w:p>
            <w:pPr>
              <w:widowControl/>
              <w:jc w:val="center"/>
              <w:rPr>
                <w:rFonts w:cs="宋体" w:asciiTheme="minorEastAsia" w:hAnsiTheme="minorEastAsia" w:eastAsiaTheme="minorEastAsia"/>
                <w:kern w:val="0"/>
                <w:sz w:val="24"/>
                <w:szCs w:val="24"/>
              </w:rPr>
            </w:pP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完成店铺装修，包括更换主题和Banner，各0.2分。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restart"/>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产品管理</w:t>
            </w: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发布产品的数量，发布1个产品得0.4分，5个满分。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continue"/>
            <w:vAlign w:val="center"/>
          </w:tcPr>
          <w:p>
            <w:pPr>
              <w:widowControl/>
              <w:jc w:val="center"/>
              <w:rPr>
                <w:rFonts w:cs="宋体" w:asciiTheme="minorEastAsia" w:hAnsiTheme="minorEastAsia" w:eastAsiaTheme="minorEastAsia"/>
                <w:kern w:val="0"/>
                <w:sz w:val="24"/>
                <w:szCs w:val="24"/>
              </w:rPr>
            </w:pP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发布产品的质量，包括产品标题、关键词、产品图片、原产地等产品属性、物流信息（包括发货期、港口等）、产品详情等，此项得分取所有产品页面的平均分。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continue"/>
            <w:vAlign w:val="center"/>
          </w:tcPr>
          <w:p>
            <w:pPr>
              <w:widowControl/>
              <w:jc w:val="center"/>
              <w:rPr>
                <w:rFonts w:cs="宋体" w:asciiTheme="minorEastAsia" w:hAnsiTheme="minorEastAsia" w:eastAsiaTheme="minorEastAsia"/>
                <w:kern w:val="0"/>
                <w:sz w:val="24"/>
                <w:szCs w:val="24"/>
              </w:rPr>
            </w:pP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认证商品个数，每个0.08分，5个得满分。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continue"/>
            <w:vAlign w:val="center"/>
          </w:tcPr>
          <w:p>
            <w:pPr>
              <w:widowControl/>
              <w:jc w:val="center"/>
              <w:rPr>
                <w:rFonts w:cs="宋体" w:asciiTheme="minorEastAsia" w:hAnsiTheme="minorEastAsia" w:eastAsiaTheme="minorEastAsia"/>
                <w:kern w:val="0"/>
                <w:sz w:val="24"/>
                <w:szCs w:val="24"/>
              </w:rPr>
            </w:pP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橱窗产品个数，每个0.08分，5个得满分。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continue"/>
            <w:vAlign w:val="center"/>
          </w:tcPr>
          <w:p>
            <w:pPr>
              <w:widowControl/>
              <w:jc w:val="center"/>
              <w:rPr>
                <w:rFonts w:cs="宋体" w:asciiTheme="minorEastAsia" w:hAnsiTheme="minorEastAsia" w:eastAsiaTheme="minorEastAsia"/>
                <w:kern w:val="0"/>
                <w:sz w:val="24"/>
                <w:szCs w:val="24"/>
              </w:rPr>
            </w:pP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创建产品分组的个数，每创建一个一级分组得0.08分，5个得满分。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restart"/>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采购直达</w:t>
            </w: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发布采购需求数量，每个0.08分，5个满分。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continue"/>
            <w:vAlign w:val="center"/>
          </w:tcPr>
          <w:p>
            <w:pPr>
              <w:widowControl/>
              <w:jc w:val="center"/>
              <w:rPr>
                <w:rFonts w:cs="宋体" w:asciiTheme="minorEastAsia" w:hAnsiTheme="minorEastAsia" w:eastAsiaTheme="minorEastAsia"/>
                <w:kern w:val="0"/>
                <w:sz w:val="24"/>
                <w:szCs w:val="24"/>
              </w:rPr>
            </w:pP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采购需求的内容，主要考量填写的完整性和正确性，此项得分取所有采购需求的平均分。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 w:hRule="atLeast"/>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restart"/>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公司广告推广</w:t>
            </w: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发布公司广告的数量，每条0.2分，3条满分。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continue"/>
            <w:vAlign w:val="center"/>
          </w:tcPr>
          <w:p>
            <w:pPr>
              <w:widowControl/>
              <w:jc w:val="center"/>
              <w:rPr>
                <w:rFonts w:cs="宋体" w:asciiTheme="minorEastAsia" w:hAnsiTheme="minorEastAsia" w:eastAsiaTheme="minorEastAsia"/>
                <w:kern w:val="0"/>
                <w:sz w:val="24"/>
                <w:szCs w:val="24"/>
              </w:rPr>
            </w:pP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发布公司广告的质量，标题和内容要求均为英文，能较好地展示公司，突出公司的主营产品等。此项得分取所有公司广告的平均分。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寻找客户</w:t>
            </w:r>
          </w:p>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（共14分）</w:t>
            </w:r>
          </w:p>
        </w:tc>
        <w:tc>
          <w:tcPr>
            <w:tcW w:w="1658"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客户群的多样化</w:t>
            </w: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考核“历史业务”中交易的客户数，每个客户1分，14个不同的客户得满分。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restart"/>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业务磋商</w:t>
            </w:r>
          </w:p>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（共6分）</w:t>
            </w:r>
          </w:p>
        </w:tc>
        <w:tc>
          <w:tcPr>
            <w:tcW w:w="1658"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出口业务磋商</w:t>
            </w: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此项得分为“历史业务”中的每笔出口业务的“出口业务磋商”得分的平均分。具体每笔业务的评分如下：</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1、发出的函电中须有类型为“发盘”的函电，有则得0.5分，否则不得分；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2、发出的“发盘”函电的正文中须包含以下要素：产品编号、产品名称、数量、单价（完整的表达）、总金额、结算方式、运输方式、装运港、目的港、保险条款（每个要素0.15分，共1.5分），错写或漏写则该要素不得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注意：</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（1）发盘要素的标题必须与范例（详见“竞赛试题”）完全一致，否则不得分；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（2）如有多次“发盘”，无须每封函电都写全所有要素，这些要素可分布在不同的函电中；</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3、所有函电的标题和正文必须为英文，符合要求得0.5分，否则不得分。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4、所有发出的函电正文平均字数（包括标点）达到400个字符则得0.5分，不达标不得分。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进口业务磋商</w:t>
            </w: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此项得分为“历史业务”中的每笔进口业务的“进口业务磋商”得分的平均分。具体每笔业务的评分如下：</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1、发出的函电中须有“询盘”和“接受”两种类型的函电，每个类型各0.5分，有则得分，否则不得分，共1分；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2、发出的“询盘”函电的正文中包含产品名称则得0.5分，否则不得分；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3、发出的“接受”函电的正文中包含关键词“accept”或“accepted”，包含2个关键词中的任意1个则得0.5分，否则不得分；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4、所有函电的标题和正文必须为英文，符合要求得0.5分，否则不得分。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5、所有发出的函电正文平均字数（包括标点）达到400个字符则得0.5分，不达标不得分。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restart"/>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进出口价格核算</w:t>
            </w:r>
          </w:p>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（共14分）</w:t>
            </w:r>
          </w:p>
        </w:tc>
        <w:tc>
          <w:tcPr>
            <w:tcW w:w="1658"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出口成本预算</w:t>
            </w: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此项得分为：“历史业务”中出口成本预算表的平均得分×7%。</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进口成本预算</w:t>
            </w: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此项得分为：“历史业务”中进口成本预算表的平均得分×7%。</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签订合同</w:t>
            </w:r>
          </w:p>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（共3.5分）</w:t>
            </w:r>
          </w:p>
        </w:tc>
        <w:tc>
          <w:tcPr>
            <w:tcW w:w="1658"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进出口合同订立</w:t>
            </w: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“历史业务”中每笔进出口业务得0.25分，14笔满分。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restart"/>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业务多样性</w:t>
            </w:r>
          </w:p>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（共32.5分）</w:t>
            </w:r>
          </w:p>
        </w:tc>
        <w:tc>
          <w:tcPr>
            <w:tcW w:w="1658" w:type="dxa"/>
            <w:vMerge w:val="restart"/>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成交产品数</w:t>
            </w: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“历史业务”中出口产品应多样化，每个不同的产品（按产品编号）得1分，7个满分。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continue"/>
            <w:vAlign w:val="center"/>
          </w:tcPr>
          <w:p>
            <w:pPr>
              <w:widowControl/>
              <w:jc w:val="center"/>
              <w:rPr>
                <w:rFonts w:cs="宋体" w:asciiTheme="minorEastAsia" w:hAnsiTheme="minorEastAsia" w:eastAsiaTheme="minorEastAsia"/>
                <w:kern w:val="0"/>
                <w:sz w:val="24"/>
                <w:szCs w:val="24"/>
              </w:rPr>
            </w:pP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“历史业务”中进口产品应多样化，每个不同的产品（按产品编号）得1分，7个满分。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restart"/>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主要贸易术语的掌握和运用</w:t>
            </w: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“历史业务”中出口业务贸易术语使用种类数量，使用一种得0.5分，6种得满分。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continue"/>
            <w:vAlign w:val="center"/>
          </w:tcPr>
          <w:p>
            <w:pPr>
              <w:widowControl/>
              <w:jc w:val="center"/>
              <w:rPr>
                <w:rFonts w:cs="宋体" w:asciiTheme="minorEastAsia" w:hAnsiTheme="minorEastAsia" w:eastAsiaTheme="minorEastAsia"/>
                <w:kern w:val="0"/>
                <w:sz w:val="24"/>
                <w:szCs w:val="24"/>
              </w:rPr>
            </w:pP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“历史业务”中进口业务贸易术语使用种类数量，使用一种得0.5分，6种得满分。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restart"/>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主要结算方式的掌握和运用</w:t>
            </w: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“历史业务”中出口业务结算方式使用种类数量，使用一种得0.5分，5种得满分。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continue"/>
            <w:vAlign w:val="center"/>
          </w:tcPr>
          <w:p>
            <w:pPr>
              <w:widowControl/>
              <w:jc w:val="center"/>
              <w:rPr>
                <w:rFonts w:cs="宋体" w:asciiTheme="minorEastAsia" w:hAnsiTheme="minorEastAsia" w:eastAsiaTheme="minorEastAsia"/>
                <w:kern w:val="0"/>
                <w:sz w:val="24"/>
                <w:szCs w:val="24"/>
              </w:rPr>
            </w:pP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“历史业务”中进口业务结算方式使用种类数量，使用一种得0.5分，5种得满分。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restart"/>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海运、空运两种运输方式的合理运用</w:t>
            </w: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“历史业务”中海运业务的数量，每笔0.5分，9笔满分。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vMerge w:val="continue"/>
            <w:vAlign w:val="center"/>
          </w:tcPr>
          <w:p>
            <w:pPr>
              <w:widowControl/>
              <w:jc w:val="center"/>
              <w:rPr>
                <w:rFonts w:cs="宋体" w:asciiTheme="minorEastAsia" w:hAnsiTheme="minorEastAsia" w:eastAsiaTheme="minorEastAsia"/>
                <w:kern w:val="0"/>
                <w:sz w:val="24"/>
                <w:szCs w:val="24"/>
              </w:rPr>
            </w:pP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“历史业务”中空运业务的数量，每笔0.6分，5笔满分。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restart"/>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盈利能力</w:t>
            </w:r>
          </w:p>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（共20分）</w:t>
            </w:r>
          </w:p>
        </w:tc>
        <w:tc>
          <w:tcPr>
            <w:tcW w:w="1658"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公司盈利能力</w:t>
            </w: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公司盈利率=（当前资金-初始资金）/初始资金=每笔业务盈亏额之和/初始资金</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每笔业务盈亏额为“历史业务”中预算表实际发生额一栏的“预期盈亏额”。</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公司盈利率小于等于0则此项得分为0；公司盈利率越高，此项得分越高，达到450%得满分。</w:t>
            </w:r>
          </w:p>
          <w:p>
            <w:pPr>
              <w:widowControl/>
              <w:rPr>
                <w:rFonts w:cs="宋体" w:asciiTheme="minorEastAsia" w:hAnsiTheme="minorEastAsia" w:eastAsiaTheme="minorEastAsia"/>
                <w:kern w:val="0"/>
                <w:sz w:val="24"/>
                <w:szCs w:val="24"/>
              </w:rPr>
            </w:pP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评分结果举例：</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公司盈利率为50%，得1.11分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公司盈利率为100%，得2.07分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公司盈利率为150%，得2.98分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公司盈利率为200%，得3.86分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公司盈利率为300%，得5.55分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公司盈利率为350%，得6.38分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公司盈利率为400%，得7.20分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公司盈利率为450%，得8分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1358" w:type="dxa"/>
            <w:vMerge w:val="continue"/>
            <w:vAlign w:val="center"/>
          </w:tcPr>
          <w:p>
            <w:pPr>
              <w:widowControl/>
              <w:jc w:val="center"/>
              <w:rPr>
                <w:rFonts w:cs="宋体" w:asciiTheme="minorEastAsia" w:hAnsiTheme="minorEastAsia" w:eastAsiaTheme="minorEastAsia"/>
                <w:kern w:val="0"/>
                <w:sz w:val="24"/>
                <w:szCs w:val="24"/>
              </w:rPr>
            </w:pPr>
          </w:p>
        </w:tc>
        <w:tc>
          <w:tcPr>
            <w:tcW w:w="1658"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业务利润率</w:t>
            </w:r>
          </w:p>
        </w:tc>
        <w:tc>
          <w:tcPr>
            <w:tcW w:w="4497" w:type="dxa"/>
            <w:shd w:val="clear" w:color="auto" w:fill="auto"/>
            <w:vAlign w:val="center"/>
          </w:tcPr>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此项得分为“历史业务”中的每笔进出口业务的“业务利润率”得分的平均分。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每笔业务的“业务利润率”得分根据该业务预算表实际发生额一栏中“预期盈亏率”来评分，数值越大则分数越高，达到40%得满分。</w:t>
            </w:r>
          </w:p>
          <w:p>
            <w:pPr>
              <w:widowControl/>
              <w:rPr>
                <w:rFonts w:cs="宋体" w:asciiTheme="minorEastAsia" w:hAnsiTheme="minorEastAsia" w:eastAsiaTheme="minorEastAsia"/>
                <w:kern w:val="0"/>
                <w:sz w:val="24"/>
                <w:szCs w:val="24"/>
              </w:rPr>
            </w:pP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每笔业务的评分结果举例：</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业务利润率为5%，得1.85分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业务利润率为10%，得3.45分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业务利润率为15%，得4.96分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业务利润率为20%，得6.43分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业务利润率为25%，得7.86分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业务利润率为30%，得9.26分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业务利润率为35%，得10.64分</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业务利润率为40%，得12分</w:t>
            </w:r>
          </w:p>
          <w:p>
            <w:pPr>
              <w:widowControl/>
              <w:rPr>
                <w:rFonts w:cs="宋体" w:asciiTheme="minorEastAsia" w:hAnsiTheme="minorEastAsia" w:eastAsiaTheme="minorEastAsia"/>
                <w:kern w:val="0"/>
                <w:sz w:val="24"/>
                <w:szCs w:val="24"/>
              </w:rPr>
            </w:pP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例如：某同学一共完成3笔业务，业务一盈亏率为15%，业务二盈亏率为20%，业务三盈亏率为30%，则：</w:t>
            </w:r>
          </w:p>
          <w:p>
            <w:pPr>
              <w:widowControl/>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业务利润率得分=（4.96+6.43+9.26）/3=6.88分</w:t>
            </w:r>
          </w:p>
        </w:tc>
        <w:tc>
          <w:tcPr>
            <w:tcW w:w="669" w:type="dxa"/>
            <w:shd w:val="clear" w:color="auto" w:fill="auto"/>
            <w:vAlign w:val="center"/>
          </w:tcPr>
          <w:p>
            <w:pPr>
              <w:widowControl/>
              <w:jc w:val="center"/>
              <w:rPr>
                <w:rFonts w:cs="宋体" w:asciiTheme="minorEastAsia" w:hAnsiTheme="minorEastAsia" w:eastAsiaTheme="minorEastAsia"/>
                <w:kern w:val="0"/>
                <w:sz w:val="24"/>
                <w:szCs w:val="24"/>
              </w:rPr>
            </w:pPr>
            <w:r>
              <w:rPr>
                <w:rFonts w:hint="eastAsia" w:cs="宋体" w:asciiTheme="minorEastAsia" w:hAnsiTheme="minorEastAsia" w:eastAsiaTheme="minorEastAsia"/>
                <w:kern w:val="0"/>
                <w:sz w:val="24"/>
                <w:szCs w:val="24"/>
              </w:rPr>
              <w:t>12</w:t>
            </w:r>
          </w:p>
        </w:tc>
      </w:tr>
    </w:tbl>
    <w:p>
      <w:pPr>
        <w:tabs>
          <w:tab w:val="right" w:pos="8306"/>
        </w:tabs>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6种贸易术语为：CIF、FOB、CFR、CIP、FCA、CPT</w:t>
      </w:r>
    </w:p>
    <w:p>
      <w:pPr>
        <w:tabs>
          <w:tab w:val="right" w:pos="8306"/>
        </w:tabs>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5种结算方式为：100%T/T、T/T（定金+尾款）、L/C、D/P、D/A</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★外贸业务能力B2C模块</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客观题，按实际得分计算。</w:t>
      </w:r>
    </w:p>
    <w:p>
      <w:pPr>
        <w:snapToGrid w:val="0"/>
        <w:spacing w:line="560" w:lineRule="exact"/>
        <w:jc w:val="center"/>
        <w:rPr>
          <w:rFonts w:cs="Arial" w:asciiTheme="minorEastAsia" w:hAnsiTheme="minorEastAsia"/>
          <w:kern w:val="0"/>
          <w:sz w:val="24"/>
          <w:szCs w:val="24"/>
        </w:rPr>
      </w:pPr>
      <w:r>
        <w:rPr>
          <w:rFonts w:hint="eastAsia" w:cs="Arial" w:asciiTheme="minorEastAsia" w:hAnsiTheme="minorEastAsia"/>
          <w:kern w:val="0"/>
          <w:sz w:val="24"/>
          <w:szCs w:val="24"/>
        </w:rPr>
        <w:t>表7 外贸业务能力B2C模块评分细则</w:t>
      </w:r>
    </w:p>
    <w:tbl>
      <w:tblPr>
        <w:tblStyle w:val="1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4678"/>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trPr>
        <w:tc>
          <w:tcPr>
            <w:tcW w:w="2660" w:type="dxa"/>
            <w:vAlign w:val="center"/>
          </w:tcPr>
          <w:p>
            <w:pPr>
              <w:jc w:val="center"/>
              <w:rPr>
                <w:rFonts w:ascii="宋体" w:hAnsi="宋体"/>
                <w:b/>
                <w:sz w:val="24"/>
                <w:szCs w:val="24"/>
              </w:rPr>
            </w:pPr>
            <w:r>
              <w:rPr>
                <w:rFonts w:hint="eastAsia" w:ascii="宋体" w:hAnsi="宋体"/>
                <w:b/>
                <w:sz w:val="24"/>
                <w:szCs w:val="24"/>
              </w:rPr>
              <w:t>题型</w:t>
            </w:r>
          </w:p>
        </w:tc>
        <w:tc>
          <w:tcPr>
            <w:tcW w:w="4678" w:type="dxa"/>
            <w:vAlign w:val="center"/>
          </w:tcPr>
          <w:p>
            <w:pPr>
              <w:jc w:val="center"/>
              <w:rPr>
                <w:rFonts w:ascii="宋体" w:hAnsi="宋体"/>
                <w:b/>
                <w:sz w:val="24"/>
                <w:szCs w:val="24"/>
              </w:rPr>
            </w:pPr>
            <w:r>
              <w:rPr>
                <w:rFonts w:hint="eastAsia" w:ascii="宋体" w:hAnsi="宋体"/>
                <w:b/>
                <w:sz w:val="24"/>
                <w:szCs w:val="24"/>
              </w:rPr>
              <w:t>评分标准</w:t>
            </w:r>
          </w:p>
        </w:tc>
        <w:tc>
          <w:tcPr>
            <w:tcW w:w="1184" w:type="dxa"/>
            <w:vAlign w:val="center"/>
          </w:tcPr>
          <w:p>
            <w:pPr>
              <w:jc w:val="center"/>
              <w:rPr>
                <w:rFonts w:ascii="宋体" w:hAnsi="宋体"/>
                <w:b/>
                <w:sz w:val="24"/>
                <w:szCs w:val="24"/>
              </w:rPr>
            </w:pPr>
            <w:r>
              <w:rPr>
                <w:rFonts w:hint="eastAsia" w:ascii="宋体" w:hAnsi="宋体"/>
                <w:b/>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 w:hRule="atLeast"/>
        </w:trPr>
        <w:tc>
          <w:tcPr>
            <w:tcW w:w="2660" w:type="dxa"/>
            <w:vAlign w:val="center"/>
          </w:tcPr>
          <w:p>
            <w:pPr>
              <w:jc w:val="center"/>
              <w:rPr>
                <w:rFonts w:ascii="宋体" w:hAnsi="宋体"/>
                <w:sz w:val="24"/>
                <w:szCs w:val="24"/>
              </w:rPr>
            </w:pPr>
            <w:r>
              <w:rPr>
                <w:rFonts w:hint="eastAsia" w:ascii="宋体" w:hAnsi="宋体"/>
                <w:sz w:val="24"/>
                <w:szCs w:val="24"/>
              </w:rPr>
              <w:t>单项选择题</w:t>
            </w:r>
          </w:p>
        </w:tc>
        <w:tc>
          <w:tcPr>
            <w:tcW w:w="4678" w:type="dxa"/>
            <w:vAlign w:val="center"/>
          </w:tcPr>
          <w:p>
            <w:pPr>
              <w:jc w:val="center"/>
              <w:rPr>
                <w:rFonts w:ascii="宋体" w:hAnsi="宋体"/>
                <w:sz w:val="24"/>
                <w:szCs w:val="24"/>
              </w:rPr>
            </w:pPr>
            <w:r>
              <w:rPr>
                <w:rFonts w:hint="eastAsia" w:ascii="宋体" w:hAnsi="宋体"/>
                <w:sz w:val="24"/>
                <w:szCs w:val="24"/>
              </w:rPr>
              <w:t>每题1分，共10题</w:t>
            </w:r>
          </w:p>
        </w:tc>
        <w:tc>
          <w:tcPr>
            <w:tcW w:w="1184" w:type="dxa"/>
            <w:vAlign w:val="center"/>
          </w:tcPr>
          <w:p>
            <w:pPr>
              <w:jc w:val="center"/>
              <w:rPr>
                <w:rFonts w:ascii="宋体" w:hAnsi="宋体"/>
                <w:sz w:val="24"/>
                <w:szCs w:val="24"/>
              </w:rPr>
            </w:pPr>
            <w:r>
              <w:rPr>
                <w:rFonts w:hint="eastAsia" w:ascii="宋体" w:hAnsi="宋体"/>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2660" w:type="dxa"/>
            <w:vAlign w:val="center"/>
          </w:tcPr>
          <w:p>
            <w:pPr>
              <w:jc w:val="center"/>
              <w:rPr>
                <w:rFonts w:ascii="宋体" w:hAnsi="宋体"/>
                <w:sz w:val="24"/>
                <w:szCs w:val="24"/>
              </w:rPr>
            </w:pPr>
            <w:r>
              <w:rPr>
                <w:rFonts w:hint="eastAsia" w:ascii="宋体" w:hAnsi="宋体"/>
                <w:sz w:val="24"/>
                <w:szCs w:val="24"/>
              </w:rPr>
              <w:t>多项选择题</w:t>
            </w:r>
          </w:p>
        </w:tc>
        <w:tc>
          <w:tcPr>
            <w:tcW w:w="4678" w:type="dxa"/>
            <w:vAlign w:val="center"/>
          </w:tcPr>
          <w:p>
            <w:pPr>
              <w:jc w:val="center"/>
              <w:rPr>
                <w:rFonts w:ascii="宋体" w:hAnsi="宋体"/>
                <w:sz w:val="24"/>
                <w:szCs w:val="24"/>
              </w:rPr>
            </w:pPr>
            <w:r>
              <w:rPr>
                <w:rFonts w:hint="eastAsia" w:ascii="宋体" w:hAnsi="宋体"/>
                <w:sz w:val="24"/>
                <w:szCs w:val="24"/>
              </w:rPr>
              <w:t>每题3分，共10题</w:t>
            </w:r>
          </w:p>
        </w:tc>
        <w:tc>
          <w:tcPr>
            <w:tcW w:w="1184" w:type="dxa"/>
            <w:vAlign w:val="center"/>
          </w:tcPr>
          <w:p>
            <w:pPr>
              <w:jc w:val="center"/>
              <w:rPr>
                <w:rFonts w:ascii="宋体" w:hAnsi="宋体"/>
                <w:sz w:val="24"/>
                <w:szCs w:val="24"/>
              </w:rPr>
            </w:pPr>
            <w:r>
              <w:rPr>
                <w:rFonts w:hint="eastAsia" w:ascii="宋体" w:hAnsi="宋体"/>
                <w:sz w:val="24"/>
                <w:szCs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2660" w:type="dxa"/>
            <w:vAlign w:val="center"/>
          </w:tcPr>
          <w:p>
            <w:pPr>
              <w:jc w:val="center"/>
              <w:rPr>
                <w:rFonts w:ascii="宋体" w:hAnsi="宋体"/>
                <w:sz w:val="24"/>
                <w:szCs w:val="24"/>
              </w:rPr>
            </w:pPr>
            <w:r>
              <w:rPr>
                <w:rFonts w:hint="eastAsia" w:ascii="宋体" w:hAnsi="宋体"/>
                <w:sz w:val="24"/>
                <w:szCs w:val="24"/>
              </w:rPr>
              <w:t>填空题</w:t>
            </w:r>
          </w:p>
        </w:tc>
        <w:tc>
          <w:tcPr>
            <w:tcW w:w="4678" w:type="dxa"/>
            <w:vAlign w:val="center"/>
          </w:tcPr>
          <w:p>
            <w:pPr>
              <w:jc w:val="center"/>
              <w:rPr>
                <w:rFonts w:ascii="宋体" w:hAnsi="宋体"/>
                <w:sz w:val="24"/>
                <w:szCs w:val="24"/>
              </w:rPr>
            </w:pPr>
            <w:r>
              <w:rPr>
                <w:rFonts w:hint="eastAsia" w:ascii="宋体" w:hAnsi="宋体"/>
                <w:sz w:val="24"/>
                <w:szCs w:val="24"/>
              </w:rPr>
              <w:t>每题2分，共10题</w:t>
            </w:r>
          </w:p>
        </w:tc>
        <w:tc>
          <w:tcPr>
            <w:tcW w:w="1184" w:type="dxa"/>
            <w:vAlign w:val="center"/>
          </w:tcPr>
          <w:p>
            <w:pPr>
              <w:jc w:val="center"/>
              <w:rPr>
                <w:rFonts w:ascii="宋体" w:hAnsi="宋体"/>
                <w:sz w:val="24"/>
                <w:szCs w:val="24"/>
              </w:rPr>
            </w:pPr>
            <w:r>
              <w:rPr>
                <w:rFonts w:hint="eastAsia" w:ascii="宋体" w:hAnsi="宋体"/>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2660" w:type="dxa"/>
            <w:vAlign w:val="center"/>
          </w:tcPr>
          <w:p>
            <w:pPr>
              <w:jc w:val="center"/>
              <w:rPr>
                <w:rFonts w:ascii="宋体" w:hAnsi="宋体"/>
                <w:sz w:val="24"/>
                <w:szCs w:val="24"/>
              </w:rPr>
            </w:pPr>
            <w:r>
              <w:rPr>
                <w:rFonts w:hint="eastAsia" w:ascii="宋体" w:hAnsi="宋体"/>
                <w:sz w:val="24"/>
                <w:szCs w:val="24"/>
              </w:rPr>
              <w:t>拖拽题</w:t>
            </w:r>
          </w:p>
        </w:tc>
        <w:tc>
          <w:tcPr>
            <w:tcW w:w="4678" w:type="dxa"/>
            <w:vAlign w:val="center"/>
          </w:tcPr>
          <w:p>
            <w:pPr>
              <w:jc w:val="center"/>
              <w:rPr>
                <w:rFonts w:ascii="宋体" w:hAnsi="宋体"/>
                <w:sz w:val="24"/>
                <w:szCs w:val="24"/>
              </w:rPr>
            </w:pPr>
            <w:r>
              <w:rPr>
                <w:rFonts w:hint="eastAsia" w:ascii="宋体" w:hAnsi="宋体"/>
                <w:sz w:val="24"/>
                <w:szCs w:val="24"/>
              </w:rPr>
              <w:t>每题2分，共10题</w:t>
            </w:r>
          </w:p>
        </w:tc>
        <w:tc>
          <w:tcPr>
            <w:tcW w:w="1184" w:type="dxa"/>
            <w:vAlign w:val="center"/>
          </w:tcPr>
          <w:p>
            <w:pPr>
              <w:jc w:val="center"/>
              <w:rPr>
                <w:rFonts w:ascii="宋体" w:hAnsi="宋体"/>
                <w:sz w:val="24"/>
                <w:szCs w:val="24"/>
              </w:rPr>
            </w:pPr>
            <w:r>
              <w:rPr>
                <w:rFonts w:hint="eastAsia" w:ascii="宋体" w:hAnsi="宋体"/>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2660" w:type="dxa"/>
            <w:vAlign w:val="center"/>
          </w:tcPr>
          <w:p>
            <w:pPr>
              <w:jc w:val="center"/>
              <w:rPr>
                <w:rFonts w:ascii="宋体" w:hAnsi="宋体"/>
                <w:sz w:val="24"/>
                <w:szCs w:val="24"/>
              </w:rPr>
            </w:pPr>
            <w:r>
              <w:rPr>
                <w:rFonts w:hint="eastAsia" w:ascii="宋体" w:hAnsi="宋体"/>
                <w:sz w:val="24"/>
                <w:szCs w:val="24"/>
              </w:rPr>
              <w:t>图形选择题</w:t>
            </w:r>
          </w:p>
        </w:tc>
        <w:tc>
          <w:tcPr>
            <w:tcW w:w="4678" w:type="dxa"/>
            <w:vAlign w:val="center"/>
          </w:tcPr>
          <w:p>
            <w:pPr>
              <w:jc w:val="center"/>
              <w:rPr>
                <w:rFonts w:ascii="宋体" w:hAnsi="宋体"/>
                <w:sz w:val="24"/>
                <w:szCs w:val="24"/>
              </w:rPr>
            </w:pPr>
            <w:r>
              <w:rPr>
                <w:rFonts w:hint="eastAsia" w:ascii="宋体" w:hAnsi="宋体"/>
                <w:sz w:val="24"/>
                <w:szCs w:val="24"/>
              </w:rPr>
              <w:t>每题2分，共10题</w:t>
            </w:r>
          </w:p>
        </w:tc>
        <w:tc>
          <w:tcPr>
            <w:tcW w:w="1184" w:type="dxa"/>
            <w:vAlign w:val="center"/>
          </w:tcPr>
          <w:p>
            <w:pPr>
              <w:jc w:val="center"/>
              <w:rPr>
                <w:rFonts w:ascii="宋体" w:hAnsi="宋体"/>
                <w:sz w:val="24"/>
                <w:szCs w:val="24"/>
              </w:rPr>
            </w:pPr>
            <w:r>
              <w:rPr>
                <w:rFonts w:hint="eastAsia" w:ascii="宋体" w:hAnsi="宋体"/>
                <w:sz w:val="24"/>
                <w:szCs w:val="24"/>
              </w:rPr>
              <w:t>20</w:t>
            </w:r>
          </w:p>
        </w:tc>
      </w:tr>
    </w:tbl>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★外贸跟单能力模块</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选手外贸跟单能力模块得分=跟单操作得分×70%+跟单时间得分×30%</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（1）跟单操作得分详细评分标准如下（满分100分）：</w:t>
      </w:r>
    </w:p>
    <w:p>
      <w:pPr>
        <w:snapToGrid w:val="0"/>
        <w:spacing w:line="560" w:lineRule="exact"/>
        <w:jc w:val="center"/>
        <w:rPr>
          <w:rFonts w:ascii="仿宋_GB2312" w:hAnsi="仿宋" w:eastAsia="仿宋_GB2312" w:cs="Arial"/>
          <w:kern w:val="0"/>
          <w:sz w:val="30"/>
          <w:szCs w:val="30"/>
        </w:rPr>
      </w:pPr>
      <w:r>
        <w:rPr>
          <w:rFonts w:hint="eastAsia" w:cs="Arial" w:asciiTheme="minorEastAsia" w:hAnsiTheme="minorEastAsia"/>
          <w:kern w:val="0"/>
          <w:sz w:val="24"/>
          <w:szCs w:val="24"/>
        </w:rPr>
        <w:t>表8 外贸跟单能力模块评分细则</w:t>
      </w:r>
    </w:p>
    <w:tbl>
      <w:tblPr>
        <w:tblStyle w:val="17"/>
        <w:tblW w:w="81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2"/>
        <w:gridCol w:w="5176"/>
        <w:gridCol w:w="9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3" w:hRule="atLeast"/>
          <w:tblHeader/>
          <w:jc w:val="center"/>
        </w:trPr>
        <w:tc>
          <w:tcPr>
            <w:tcW w:w="2032" w:type="dxa"/>
            <w:shd w:val="clear" w:color="auto" w:fill="auto"/>
            <w:vAlign w:val="center"/>
          </w:tcPr>
          <w:p>
            <w:pPr>
              <w:widowControl/>
              <w:jc w:val="center"/>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项目</w:t>
            </w:r>
          </w:p>
        </w:tc>
        <w:tc>
          <w:tcPr>
            <w:tcW w:w="5176" w:type="dxa"/>
            <w:shd w:val="clear" w:color="auto" w:fill="auto"/>
            <w:vAlign w:val="center"/>
          </w:tcPr>
          <w:p>
            <w:pPr>
              <w:widowControl/>
              <w:jc w:val="center"/>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评分细则</w:t>
            </w:r>
          </w:p>
        </w:tc>
        <w:tc>
          <w:tcPr>
            <w:tcW w:w="974" w:type="dxa"/>
            <w:shd w:val="clear" w:color="auto" w:fill="auto"/>
            <w:vAlign w:val="center"/>
          </w:tcPr>
          <w:p>
            <w:pPr>
              <w:widowControl/>
              <w:jc w:val="center"/>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blHeader/>
          <w:jc w:val="center"/>
        </w:trPr>
        <w:tc>
          <w:tcPr>
            <w:tcW w:w="2032"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商业发票的缮制</w:t>
            </w: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单据正确率越高、检查次数越少，得分越高。</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blHeader/>
          <w:jc w:val="center"/>
        </w:trPr>
        <w:tc>
          <w:tcPr>
            <w:tcW w:w="2032"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装箱单的缮制</w:t>
            </w: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单据正确率越高、检查次数越少，得分越高。</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blHeader/>
          <w:jc w:val="center"/>
        </w:trPr>
        <w:tc>
          <w:tcPr>
            <w:tcW w:w="2032" w:type="dxa"/>
            <w:vMerge w:val="restart"/>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出口海运订舱</w:t>
            </w: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国际海运委托书的缮制：</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单据正确率越高、检查次数越少，得分越高。</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0" w:hRule="atLeast"/>
          <w:tblHeader/>
          <w:jc w:val="center"/>
        </w:trPr>
        <w:tc>
          <w:tcPr>
            <w:tcW w:w="2032" w:type="dxa"/>
            <w:vMerge w:val="continue"/>
            <w:vAlign w:val="center"/>
          </w:tcPr>
          <w:p>
            <w:pPr>
              <w:widowControl/>
              <w:jc w:val="center"/>
              <w:rPr>
                <w:rFonts w:cs="宋体" w:asciiTheme="minorEastAsia" w:hAnsiTheme="minorEastAsia" w:eastAsiaTheme="minorEastAsia"/>
                <w:kern w:val="0"/>
                <w:sz w:val="24"/>
              </w:rPr>
            </w:pP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海运方式下办理订舱无操作错误得满分，有操作错误（如提交的单据不正确、流程顺序错误等）则扣分，扣完为止。</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blHeader/>
          <w:jc w:val="center"/>
        </w:trPr>
        <w:tc>
          <w:tcPr>
            <w:tcW w:w="2032" w:type="dxa"/>
            <w:vMerge w:val="restart"/>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出口空运订舱</w:t>
            </w: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国际空运委托书的缮制：</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单据正确率越高、检查次数越少，得分越高。</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atLeast"/>
          <w:tblHeader/>
          <w:jc w:val="center"/>
        </w:trPr>
        <w:tc>
          <w:tcPr>
            <w:tcW w:w="2032" w:type="dxa"/>
            <w:vMerge w:val="continue"/>
            <w:vAlign w:val="center"/>
          </w:tcPr>
          <w:p>
            <w:pPr>
              <w:widowControl/>
              <w:jc w:val="center"/>
              <w:rPr>
                <w:rFonts w:cs="宋体" w:asciiTheme="minorEastAsia" w:hAnsiTheme="minorEastAsia" w:eastAsiaTheme="minorEastAsia"/>
                <w:kern w:val="0"/>
                <w:sz w:val="24"/>
              </w:rPr>
            </w:pP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空运方式下办理订舱无操作错误得满分，有操作错误（如提交的单据不正确、流程顺序错误等）则扣分，扣完为止。</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blHeader/>
          <w:jc w:val="center"/>
        </w:trPr>
        <w:tc>
          <w:tcPr>
            <w:tcW w:w="2032" w:type="dxa"/>
            <w:vMerge w:val="restart"/>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出口申请产地证书</w:t>
            </w: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普惠制产地证/一般原产地证的缮制：</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单据正确率越高、检查次数越少，得分越高。</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0" w:hRule="atLeast"/>
          <w:tblHeader/>
          <w:jc w:val="center"/>
        </w:trPr>
        <w:tc>
          <w:tcPr>
            <w:tcW w:w="2032" w:type="dxa"/>
            <w:vMerge w:val="continue"/>
            <w:vAlign w:val="center"/>
          </w:tcPr>
          <w:p>
            <w:pPr>
              <w:widowControl/>
              <w:jc w:val="center"/>
              <w:rPr>
                <w:rFonts w:cs="宋体" w:asciiTheme="minorEastAsia" w:hAnsiTheme="minorEastAsia" w:eastAsiaTheme="minorEastAsia"/>
                <w:kern w:val="0"/>
                <w:sz w:val="24"/>
              </w:rPr>
            </w:pP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申请普惠制产地证/一般原产地证时无操作错误得满分，有操作错误（如提交的单据不正确、流程顺序错误等）则扣分，扣完为止。</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blHeader/>
          <w:jc w:val="center"/>
        </w:trPr>
        <w:tc>
          <w:tcPr>
            <w:tcW w:w="2032" w:type="dxa"/>
            <w:vMerge w:val="restart"/>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进出口报检</w:t>
            </w: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出境货物报检单、入境货物报检单的缮制：</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单据正确率越高、检查次数越少，得分越高。</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0" w:hRule="atLeast"/>
          <w:tblHeader/>
          <w:jc w:val="center"/>
        </w:trPr>
        <w:tc>
          <w:tcPr>
            <w:tcW w:w="2032" w:type="dxa"/>
            <w:vMerge w:val="continue"/>
            <w:vAlign w:val="center"/>
          </w:tcPr>
          <w:p>
            <w:pPr>
              <w:widowControl/>
              <w:jc w:val="center"/>
              <w:rPr>
                <w:rFonts w:cs="宋体" w:asciiTheme="minorEastAsia" w:hAnsiTheme="minorEastAsia" w:eastAsiaTheme="minorEastAsia"/>
                <w:kern w:val="0"/>
                <w:sz w:val="24"/>
              </w:rPr>
            </w:pP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办理出口报检和进口报检无操作错误得满分，有操作错误（如提交的单据不正确、流程顺序错误等）则扣分，扣完为止。</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blHeader/>
          <w:jc w:val="center"/>
        </w:trPr>
        <w:tc>
          <w:tcPr>
            <w:tcW w:w="2032" w:type="dxa"/>
            <w:vMerge w:val="restart"/>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进出口报关</w:t>
            </w: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出口货物报关单、进口货物报关单的缮制：</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单据正确率越高、检查次数越少，得分越高。</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0" w:hRule="atLeast"/>
          <w:tblHeader/>
          <w:jc w:val="center"/>
        </w:trPr>
        <w:tc>
          <w:tcPr>
            <w:tcW w:w="2032" w:type="dxa"/>
            <w:vMerge w:val="continue"/>
            <w:vAlign w:val="center"/>
          </w:tcPr>
          <w:p>
            <w:pPr>
              <w:widowControl/>
              <w:jc w:val="center"/>
              <w:rPr>
                <w:rFonts w:cs="宋体" w:asciiTheme="minorEastAsia" w:hAnsiTheme="minorEastAsia" w:eastAsiaTheme="minorEastAsia"/>
                <w:kern w:val="0"/>
                <w:sz w:val="24"/>
              </w:rPr>
            </w:pP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办理出口报关、进口报关、缴税无操作错误得满分，有操作错误（如提交的单据不正确、流程顺序错误等）则扣分，扣完为止。</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6" w:hRule="atLeast"/>
          <w:tblHeader/>
          <w:jc w:val="center"/>
        </w:trPr>
        <w:tc>
          <w:tcPr>
            <w:tcW w:w="2032"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出口退税、进口缴税</w:t>
            </w: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办理出口退税、进口缴税无操作错误得满分，有操作错误（如提交的单据不正确、流程顺序错误等）则扣分，扣完为止。</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blHeader/>
          <w:jc w:val="center"/>
        </w:trPr>
        <w:tc>
          <w:tcPr>
            <w:tcW w:w="2032" w:type="dxa"/>
            <w:vMerge w:val="restart"/>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支付运费</w:t>
            </w: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境内汇款申请书的缮制：</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单据正确率越高、检查次数越少，得分越高。</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0" w:hRule="atLeast"/>
          <w:tblHeader/>
          <w:jc w:val="center"/>
        </w:trPr>
        <w:tc>
          <w:tcPr>
            <w:tcW w:w="2032" w:type="dxa"/>
            <w:vMerge w:val="continue"/>
            <w:vAlign w:val="center"/>
          </w:tcPr>
          <w:p>
            <w:pPr>
              <w:widowControl/>
              <w:jc w:val="center"/>
              <w:rPr>
                <w:rFonts w:cs="宋体" w:asciiTheme="minorEastAsia" w:hAnsiTheme="minorEastAsia" w:eastAsiaTheme="minorEastAsia"/>
                <w:kern w:val="0"/>
                <w:sz w:val="24"/>
              </w:rPr>
            </w:pP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办理支付运费无操作错误得满分，有操作错误（如提交的单据不正确、流程顺序错误等）则扣分，扣完为止。</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注：</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1、出口业务在CIF、CFR、CIP、CPT情况下办理支付运费。</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2、进口业务在FOB、FCA情况下办理支付运费。</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blHeader/>
          <w:jc w:val="center"/>
        </w:trPr>
        <w:tc>
          <w:tcPr>
            <w:tcW w:w="2032" w:type="dxa"/>
            <w:vMerge w:val="restart"/>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货物运输保险</w:t>
            </w: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投保单的缮制：</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单据正确率越高、检查次数越少，得分越高。</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90" w:hRule="atLeast"/>
          <w:tblHeader/>
          <w:jc w:val="center"/>
        </w:trPr>
        <w:tc>
          <w:tcPr>
            <w:tcW w:w="2032" w:type="dxa"/>
            <w:vMerge w:val="continue"/>
            <w:vAlign w:val="center"/>
          </w:tcPr>
          <w:p>
            <w:pPr>
              <w:widowControl/>
              <w:jc w:val="center"/>
              <w:rPr>
                <w:rFonts w:cs="宋体" w:asciiTheme="minorEastAsia" w:hAnsiTheme="minorEastAsia" w:eastAsiaTheme="minorEastAsia"/>
                <w:kern w:val="0"/>
                <w:sz w:val="24"/>
              </w:rPr>
            </w:pP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办理保险无操作错误得满分，有操作错误（如提交的单据不正确、流程顺序错误等）则扣分，扣完为止。</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注：</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1、出口业务在CIF、CIP情况下办理保险。</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2、进口业务在FOB、CFR、FCA、CPT情况下办理保险。</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atLeast"/>
          <w:tblHeader/>
          <w:jc w:val="center"/>
        </w:trPr>
        <w:tc>
          <w:tcPr>
            <w:tcW w:w="2032" w:type="dxa"/>
            <w:vMerge w:val="restart"/>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处理信用证</w:t>
            </w: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L/C方式下信用证开证申请书的缮制：</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单据正确率越高、检查次数越少，得分越高。</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注：信用证修改流程根据业务需要选择是否操作，不操作不影响得分。</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atLeast"/>
          <w:tblHeader/>
          <w:jc w:val="center"/>
        </w:trPr>
        <w:tc>
          <w:tcPr>
            <w:tcW w:w="2032" w:type="dxa"/>
            <w:vMerge w:val="continue"/>
            <w:vAlign w:val="center"/>
          </w:tcPr>
          <w:p>
            <w:pPr>
              <w:widowControl/>
              <w:jc w:val="center"/>
              <w:rPr>
                <w:rFonts w:cs="宋体" w:asciiTheme="minorEastAsia" w:hAnsiTheme="minorEastAsia" w:eastAsiaTheme="minorEastAsia"/>
                <w:kern w:val="0"/>
                <w:sz w:val="24"/>
              </w:rPr>
            </w:pP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L/C方式下的出口业务办理领取信用证、交单，进口业务办理申请开证无操作错误得满分，有操作错误（如提交的单据不正确、流程顺序错误等）则扣分，扣完为止。</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blHeader/>
          <w:jc w:val="center"/>
        </w:trPr>
        <w:tc>
          <w:tcPr>
            <w:tcW w:w="2032" w:type="dxa"/>
            <w:vMerge w:val="restart"/>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处理银行托收</w:t>
            </w: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D/P和D/A方式下托收委托书的缮制：</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单据正确率越高、检查次数越少，得分越高。</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atLeast"/>
          <w:tblHeader/>
          <w:jc w:val="center"/>
        </w:trPr>
        <w:tc>
          <w:tcPr>
            <w:tcW w:w="2032" w:type="dxa"/>
            <w:vMerge w:val="continue"/>
            <w:vAlign w:val="center"/>
          </w:tcPr>
          <w:p>
            <w:pPr>
              <w:widowControl/>
              <w:jc w:val="center"/>
              <w:rPr>
                <w:rFonts w:cs="宋体" w:asciiTheme="minorEastAsia" w:hAnsiTheme="minorEastAsia" w:eastAsiaTheme="minorEastAsia"/>
                <w:kern w:val="0"/>
                <w:sz w:val="24"/>
              </w:rPr>
            </w:pP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D/P和D/A方式下的出口业务办理托收、进口业务办理付款无操作错误得满分，有操作错误（如提交的单据不正确、流程顺序错误等）则扣分，扣完为止。</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0" w:hRule="atLeast"/>
          <w:tblHeader/>
          <w:jc w:val="center"/>
        </w:trPr>
        <w:tc>
          <w:tcPr>
            <w:tcW w:w="2032" w:type="dxa"/>
            <w:vMerge w:val="restart"/>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处理电汇</w:t>
            </w: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T/T方式下境外汇款申请书的缮制：</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单据正确率越高、检查次数越少，得分越高。</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注：</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1、100%T/T方式下缮制境外汇款申请书</w:t>
            </w:r>
          </w:p>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2、定金+尾款方式下缮制境外汇款申请书（付定金）与境外汇款申请书（付尾款）</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atLeast"/>
          <w:tblHeader/>
          <w:jc w:val="center"/>
        </w:trPr>
        <w:tc>
          <w:tcPr>
            <w:tcW w:w="2032" w:type="dxa"/>
            <w:vMerge w:val="continue"/>
            <w:vAlign w:val="center"/>
          </w:tcPr>
          <w:p>
            <w:pPr>
              <w:widowControl/>
              <w:jc w:val="center"/>
              <w:rPr>
                <w:rFonts w:cs="宋体" w:asciiTheme="minorEastAsia" w:hAnsiTheme="minorEastAsia" w:eastAsiaTheme="minorEastAsia"/>
                <w:kern w:val="0"/>
                <w:sz w:val="24"/>
              </w:rPr>
            </w:pP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T/T方式下的出口业务办理T/T寄单、进口业务办理付款无操作错误得满分，有操作错误（如提交的单据不正确、流程顺序错误等）则扣分，扣完为止。</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0" w:hRule="atLeast"/>
          <w:tblHeader/>
          <w:jc w:val="center"/>
        </w:trPr>
        <w:tc>
          <w:tcPr>
            <w:tcW w:w="2032"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汇票的缮制</w:t>
            </w: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单据正确率越高、检查次数越少，得分越高。</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blHeader/>
          <w:jc w:val="center"/>
        </w:trPr>
        <w:tc>
          <w:tcPr>
            <w:tcW w:w="2032" w:type="dxa"/>
            <w:vMerge w:val="restart"/>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业务履约完成</w:t>
            </w: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完成一笔出口业务（进入“历史业务”阶段）得满分</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blHeader/>
          <w:jc w:val="center"/>
        </w:trPr>
        <w:tc>
          <w:tcPr>
            <w:tcW w:w="2032" w:type="dxa"/>
            <w:vMerge w:val="continue"/>
            <w:vAlign w:val="center"/>
          </w:tcPr>
          <w:p>
            <w:pPr>
              <w:widowControl/>
              <w:rPr>
                <w:rFonts w:cs="宋体" w:asciiTheme="minorEastAsia" w:hAnsiTheme="minorEastAsia" w:eastAsiaTheme="minorEastAsia"/>
                <w:kern w:val="0"/>
                <w:sz w:val="24"/>
              </w:rPr>
            </w:pPr>
          </w:p>
        </w:tc>
        <w:tc>
          <w:tcPr>
            <w:tcW w:w="5176" w:type="dxa"/>
            <w:shd w:val="clear" w:color="auto" w:fill="auto"/>
            <w:vAlign w:val="center"/>
          </w:tcPr>
          <w:p>
            <w:pPr>
              <w:widowControl/>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完成一笔进口业务（进入“历史业务”阶段）得满分</w:t>
            </w:r>
          </w:p>
        </w:tc>
        <w:tc>
          <w:tcPr>
            <w:tcW w:w="974" w:type="dxa"/>
            <w:shd w:val="clear" w:color="auto" w:fill="auto"/>
            <w:vAlign w:val="center"/>
          </w:tcPr>
          <w:p>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18</w:t>
            </w:r>
          </w:p>
        </w:tc>
      </w:tr>
    </w:tbl>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各单据缮制后必须完成相对应的业务办理方可计入得分。</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跟单操作实际得分=选手卷面得分/试卷的最高总分值×100</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（2）跟单完成时间得分评分标准如下（满分100分）：</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①1笔出口业务和1笔进口业务都完成（业务进入“历史业务”阶段）才能得到跟单时间分，只要有一笔业务没完成则此项得分为0；</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②每笔业务的“完成时间”以办理完最后一个步骤的时间为准（系统会记录准确的时间，精确到毫秒）；</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③每组的跟单完成时间为最后完成的那笔业务的“完成时间”；</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④系统将每组的跟单完成时间进行排序，完成时间最早的组为第一名，以此类推，最晚的为最后一名，并根据名次评分：</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第1名得分=100/参赛总组数×参赛总组数</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第2名得分=100/参赛总组数×（参赛总组数-1）</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第3名得分=100/参赛总组数×（参赛总组数-2）</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以此类推。</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举例：</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如本次竞赛有80支队伍，每支队伍有2组选手，则参赛总组数为160，</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第1名得分=100/160×160=100分</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第2名得分=100/160×（160-1）=99.38分</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第3名得分=100/160×（160-2）=98.75分</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第160名得分=100/160×（160-159）=0.63分</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★外贸英语沟通能力模块</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外贸英语沟通能力模块由评委现场评分。根据比赛内容，从“连贯性、流利度、语速、正确性、语音语调、举止及表现力”等多方面进行现场打分，最后得分为去掉一个最高分，去掉一个最低分，剩余得分的算数平均值。其中Retell部分满分为40分，Q&amp;A部分满分为60分。</w:t>
      </w:r>
    </w:p>
    <w:p>
      <w:pPr>
        <w:snapToGrid w:val="0"/>
        <w:spacing w:line="560" w:lineRule="exact"/>
        <w:jc w:val="center"/>
        <w:rPr>
          <w:rFonts w:cs="Arial" w:asciiTheme="minorEastAsia" w:hAnsiTheme="minorEastAsia"/>
          <w:kern w:val="0"/>
          <w:sz w:val="24"/>
          <w:szCs w:val="24"/>
        </w:rPr>
      </w:pPr>
      <w:r>
        <w:rPr>
          <w:rFonts w:hint="eastAsia" w:cs="Arial" w:asciiTheme="minorEastAsia" w:hAnsiTheme="minorEastAsia"/>
          <w:kern w:val="0"/>
          <w:sz w:val="24"/>
          <w:szCs w:val="24"/>
        </w:rPr>
        <w:t>表9 外贸英语沟通能力模块评分细则</w:t>
      </w:r>
    </w:p>
    <w:tbl>
      <w:tblPr>
        <w:tblStyle w:val="1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1686"/>
        <w:gridCol w:w="4408"/>
        <w:gridCol w:w="816"/>
        <w:gridCol w:w="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tblHeader/>
        </w:trPr>
        <w:tc>
          <w:tcPr>
            <w:tcW w:w="936" w:type="dxa"/>
            <w:vAlign w:val="center"/>
          </w:tcPr>
          <w:p>
            <w:pPr>
              <w:jc w:val="center"/>
              <w:rPr>
                <w:rFonts w:asciiTheme="minorEastAsia" w:hAnsiTheme="minorEastAsia"/>
                <w:b/>
                <w:sz w:val="24"/>
                <w:szCs w:val="24"/>
              </w:rPr>
            </w:pPr>
            <w:r>
              <w:rPr>
                <w:rFonts w:hint="eastAsia" w:asciiTheme="minorEastAsia" w:hAnsiTheme="minorEastAsia"/>
                <w:b/>
                <w:sz w:val="24"/>
                <w:szCs w:val="24"/>
              </w:rPr>
              <w:t>项目</w:t>
            </w:r>
          </w:p>
        </w:tc>
        <w:tc>
          <w:tcPr>
            <w:tcW w:w="6094" w:type="dxa"/>
            <w:gridSpan w:val="2"/>
            <w:vAlign w:val="center"/>
          </w:tcPr>
          <w:p>
            <w:pPr>
              <w:jc w:val="center"/>
              <w:rPr>
                <w:rFonts w:asciiTheme="minorEastAsia" w:hAnsiTheme="minorEastAsia"/>
                <w:b/>
                <w:sz w:val="24"/>
                <w:szCs w:val="24"/>
              </w:rPr>
            </w:pPr>
            <w:r>
              <w:rPr>
                <w:rFonts w:hint="eastAsia" w:asciiTheme="minorEastAsia" w:hAnsiTheme="minorEastAsia"/>
                <w:b/>
                <w:sz w:val="24"/>
                <w:szCs w:val="24"/>
              </w:rPr>
              <w:t>评分标准</w:t>
            </w:r>
          </w:p>
        </w:tc>
        <w:tc>
          <w:tcPr>
            <w:tcW w:w="816" w:type="dxa"/>
            <w:vAlign w:val="center"/>
          </w:tcPr>
          <w:p>
            <w:pPr>
              <w:jc w:val="center"/>
              <w:rPr>
                <w:rFonts w:asciiTheme="minorEastAsia" w:hAnsiTheme="minorEastAsia"/>
                <w:b/>
                <w:sz w:val="24"/>
                <w:szCs w:val="24"/>
              </w:rPr>
            </w:pPr>
            <w:r>
              <w:rPr>
                <w:rFonts w:hint="eastAsia" w:asciiTheme="minorEastAsia" w:hAnsiTheme="minorEastAsia"/>
                <w:b/>
                <w:sz w:val="24"/>
                <w:szCs w:val="24"/>
              </w:rPr>
              <w:t>分值</w:t>
            </w:r>
          </w:p>
        </w:tc>
        <w:tc>
          <w:tcPr>
            <w:tcW w:w="676" w:type="dxa"/>
            <w:vAlign w:val="center"/>
          </w:tcPr>
          <w:p>
            <w:pPr>
              <w:jc w:val="center"/>
              <w:rPr>
                <w:rFonts w:asciiTheme="minorEastAsia" w:hAnsiTheme="minorEastAsia"/>
                <w:b/>
                <w:sz w:val="24"/>
                <w:szCs w:val="24"/>
              </w:rPr>
            </w:pPr>
            <w:r>
              <w:rPr>
                <w:rFonts w:hint="eastAsia" w:asciiTheme="minorEastAsia" w:hAnsiTheme="minorEastAsia"/>
                <w:b/>
                <w:sz w:val="24"/>
                <w:szCs w:val="24"/>
              </w:rPr>
              <w:t>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tblHeader/>
        </w:trPr>
        <w:tc>
          <w:tcPr>
            <w:tcW w:w="936" w:type="dxa"/>
            <w:vMerge w:val="restart"/>
            <w:vAlign w:val="center"/>
          </w:tcPr>
          <w:p>
            <w:pPr>
              <w:jc w:val="center"/>
              <w:rPr>
                <w:rFonts w:asciiTheme="minorEastAsia" w:hAnsiTheme="minorEastAsia"/>
                <w:sz w:val="24"/>
                <w:szCs w:val="24"/>
              </w:rPr>
            </w:pPr>
            <w:r>
              <w:rPr>
                <w:rFonts w:hint="eastAsia" w:asciiTheme="minorEastAsia" w:hAnsiTheme="minorEastAsia"/>
                <w:sz w:val="24"/>
                <w:szCs w:val="24"/>
              </w:rPr>
              <w:t>Retell</w:t>
            </w:r>
          </w:p>
        </w:tc>
        <w:tc>
          <w:tcPr>
            <w:tcW w:w="1686" w:type="dxa"/>
            <w:vMerge w:val="restart"/>
            <w:vAlign w:val="center"/>
          </w:tcPr>
          <w:p>
            <w:pPr>
              <w:rPr>
                <w:rFonts w:asciiTheme="minorEastAsia" w:hAnsiTheme="minorEastAsia"/>
                <w:sz w:val="24"/>
                <w:szCs w:val="24"/>
              </w:rPr>
            </w:pPr>
            <w:r>
              <w:rPr>
                <w:rFonts w:hint="eastAsia" w:asciiTheme="minorEastAsia" w:hAnsiTheme="minorEastAsia"/>
                <w:sz w:val="24"/>
                <w:szCs w:val="24"/>
              </w:rPr>
              <w:t>完整性、正确性</w:t>
            </w: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复述内容完整、正确</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11-15</w:t>
            </w:r>
          </w:p>
        </w:tc>
        <w:tc>
          <w:tcPr>
            <w:tcW w:w="676" w:type="dxa"/>
            <w:vMerge w:val="restart"/>
            <w:vAlign w:val="center"/>
          </w:tcPr>
          <w:p>
            <w:pPr>
              <w:jc w:val="center"/>
              <w:rPr>
                <w:rFonts w:asciiTheme="minorEastAsia" w:hAnsiTheme="minorEastAsia"/>
                <w:sz w:val="24"/>
                <w:szCs w:val="24"/>
              </w:rPr>
            </w:pPr>
            <w:r>
              <w:rPr>
                <w:rFonts w:hint="eastAsia" w:asciiTheme="minorEastAsia" w:hAnsiTheme="minorEastAsia"/>
                <w:sz w:val="24"/>
                <w:szCs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tblHeader/>
        </w:trPr>
        <w:tc>
          <w:tcPr>
            <w:tcW w:w="936" w:type="dxa"/>
            <w:vMerge w:val="continue"/>
            <w:vAlign w:val="center"/>
          </w:tcPr>
          <w:p>
            <w:pPr>
              <w:jc w:val="center"/>
              <w:rPr>
                <w:rFonts w:asciiTheme="minorEastAsia" w:hAnsiTheme="minorEastAsia"/>
                <w:sz w:val="24"/>
                <w:szCs w:val="24"/>
              </w:rPr>
            </w:pPr>
          </w:p>
        </w:tc>
        <w:tc>
          <w:tcPr>
            <w:tcW w:w="1686" w:type="dxa"/>
            <w:vMerge w:val="continue"/>
            <w:vAlign w:val="center"/>
          </w:tcPr>
          <w:p>
            <w:pPr>
              <w:rPr>
                <w:rFonts w:asciiTheme="minorEastAsia" w:hAnsiTheme="minorEastAsia"/>
                <w:sz w:val="24"/>
                <w:szCs w:val="24"/>
              </w:rPr>
            </w:pP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复述内容基本完整、正确</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6-10</w:t>
            </w:r>
          </w:p>
        </w:tc>
        <w:tc>
          <w:tcPr>
            <w:tcW w:w="676" w:type="dxa"/>
            <w:vMerge w:val="continue"/>
            <w:vAlign w:val="center"/>
          </w:tcPr>
          <w:p>
            <w:pPr>
              <w:jc w:val="cente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tblHeader/>
        </w:trPr>
        <w:tc>
          <w:tcPr>
            <w:tcW w:w="936" w:type="dxa"/>
            <w:vMerge w:val="continue"/>
            <w:vAlign w:val="center"/>
          </w:tcPr>
          <w:p>
            <w:pPr>
              <w:jc w:val="center"/>
              <w:rPr>
                <w:rFonts w:asciiTheme="minorEastAsia" w:hAnsiTheme="minorEastAsia"/>
                <w:sz w:val="24"/>
                <w:szCs w:val="24"/>
              </w:rPr>
            </w:pPr>
          </w:p>
        </w:tc>
        <w:tc>
          <w:tcPr>
            <w:tcW w:w="1686" w:type="dxa"/>
            <w:vMerge w:val="continue"/>
            <w:vAlign w:val="center"/>
          </w:tcPr>
          <w:p>
            <w:pPr>
              <w:rPr>
                <w:rFonts w:asciiTheme="minorEastAsia" w:hAnsiTheme="minorEastAsia"/>
                <w:sz w:val="24"/>
                <w:szCs w:val="24"/>
              </w:rPr>
            </w:pP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复述内容完整性及正确性较差</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0-5</w:t>
            </w:r>
          </w:p>
        </w:tc>
        <w:tc>
          <w:tcPr>
            <w:tcW w:w="676" w:type="dxa"/>
            <w:vMerge w:val="continue"/>
            <w:vAlign w:val="center"/>
          </w:tcPr>
          <w:p>
            <w:pPr>
              <w:jc w:val="cente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tblHeader/>
        </w:trPr>
        <w:tc>
          <w:tcPr>
            <w:tcW w:w="936" w:type="dxa"/>
            <w:vMerge w:val="continue"/>
            <w:vAlign w:val="center"/>
          </w:tcPr>
          <w:p>
            <w:pPr>
              <w:jc w:val="center"/>
              <w:rPr>
                <w:rFonts w:asciiTheme="minorEastAsia" w:hAnsiTheme="minorEastAsia"/>
                <w:sz w:val="24"/>
                <w:szCs w:val="24"/>
              </w:rPr>
            </w:pPr>
          </w:p>
        </w:tc>
        <w:tc>
          <w:tcPr>
            <w:tcW w:w="1686" w:type="dxa"/>
            <w:vMerge w:val="restart"/>
            <w:vAlign w:val="center"/>
          </w:tcPr>
          <w:p>
            <w:pPr>
              <w:rPr>
                <w:rFonts w:asciiTheme="minorEastAsia" w:hAnsiTheme="minorEastAsia"/>
                <w:sz w:val="24"/>
                <w:szCs w:val="24"/>
              </w:rPr>
            </w:pPr>
            <w:r>
              <w:rPr>
                <w:rFonts w:hint="eastAsia" w:asciiTheme="minorEastAsia" w:hAnsiTheme="minorEastAsia"/>
                <w:sz w:val="24"/>
                <w:szCs w:val="24"/>
              </w:rPr>
              <w:t>语音、语调、语流</w:t>
            </w: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语音、语调准确，语言流畅</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11-15</w:t>
            </w:r>
          </w:p>
        </w:tc>
        <w:tc>
          <w:tcPr>
            <w:tcW w:w="676" w:type="dxa"/>
            <w:vMerge w:val="restart"/>
            <w:vAlign w:val="center"/>
          </w:tcPr>
          <w:p>
            <w:pPr>
              <w:jc w:val="center"/>
              <w:rPr>
                <w:rFonts w:asciiTheme="minorEastAsia" w:hAnsiTheme="minorEastAsia"/>
                <w:sz w:val="24"/>
                <w:szCs w:val="24"/>
              </w:rPr>
            </w:pPr>
            <w:r>
              <w:rPr>
                <w:rFonts w:hint="eastAsia" w:asciiTheme="minorEastAsia" w:hAnsiTheme="minorEastAsia"/>
                <w:sz w:val="24"/>
                <w:szCs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tblHeader/>
        </w:trPr>
        <w:tc>
          <w:tcPr>
            <w:tcW w:w="936" w:type="dxa"/>
            <w:vMerge w:val="continue"/>
            <w:vAlign w:val="center"/>
          </w:tcPr>
          <w:p>
            <w:pPr>
              <w:jc w:val="center"/>
              <w:rPr>
                <w:rFonts w:asciiTheme="minorEastAsia" w:hAnsiTheme="minorEastAsia"/>
                <w:sz w:val="24"/>
                <w:szCs w:val="24"/>
              </w:rPr>
            </w:pPr>
          </w:p>
        </w:tc>
        <w:tc>
          <w:tcPr>
            <w:tcW w:w="1686" w:type="dxa"/>
            <w:vMerge w:val="continue"/>
            <w:vAlign w:val="center"/>
          </w:tcPr>
          <w:p>
            <w:pPr>
              <w:rPr>
                <w:rFonts w:asciiTheme="minorEastAsia" w:hAnsiTheme="minorEastAsia"/>
                <w:sz w:val="24"/>
                <w:szCs w:val="24"/>
              </w:rPr>
            </w:pP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语音、语调基本准确，语言基本流畅</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6-10</w:t>
            </w:r>
          </w:p>
        </w:tc>
        <w:tc>
          <w:tcPr>
            <w:tcW w:w="676" w:type="dxa"/>
            <w:vMerge w:val="continue"/>
            <w:vAlign w:val="center"/>
          </w:tcPr>
          <w:p>
            <w:pPr>
              <w:jc w:val="cente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tblHeader/>
        </w:trPr>
        <w:tc>
          <w:tcPr>
            <w:tcW w:w="936" w:type="dxa"/>
            <w:vMerge w:val="continue"/>
            <w:vAlign w:val="center"/>
          </w:tcPr>
          <w:p>
            <w:pPr>
              <w:jc w:val="center"/>
              <w:rPr>
                <w:rFonts w:asciiTheme="minorEastAsia" w:hAnsiTheme="minorEastAsia"/>
                <w:sz w:val="24"/>
                <w:szCs w:val="24"/>
              </w:rPr>
            </w:pPr>
          </w:p>
        </w:tc>
        <w:tc>
          <w:tcPr>
            <w:tcW w:w="1686" w:type="dxa"/>
            <w:vMerge w:val="continue"/>
            <w:vAlign w:val="center"/>
          </w:tcPr>
          <w:p>
            <w:pPr>
              <w:rPr>
                <w:rFonts w:asciiTheme="minorEastAsia" w:hAnsiTheme="minorEastAsia"/>
                <w:sz w:val="24"/>
                <w:szCs w:val="24"/>
              </w:rPr>
            </w:pP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语音、语调准确率一般，语言流畅度较差</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0-5</w:t>
            </w:r>
          </w:p>
        </w:tc>
        <w:tc>
          <w:tcPr>
            <w:tcW w:w="676" w:type="dxa"/>
            <w:vMerge w:val="continue"/>
            <w:vAlign w:val="center"/>
          </w:tcPr>
          <w:p>
            <w:pPr>
              <w:jc w:val="cente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tblHeader/>
        </w:trPr>
        <w:tc>
          <w:tcPr>
            <w:tcW w:w="936" w:type="dxa"/>
            <w:vMerge w:val="continue"/>
            <w:vAlign w:val="center"/>
          </w:tcPr>
          <w:p>
            <w:pPr>
              <w:jc w:val="center"/>
              <w:rPr>
                <w:rFonts w:asciiTheme="minorEastAsia" w:hAnsiTheme="minorEastAsia"/>
                <w:sz w:val="24"/>
                <w:szCs w:val="24"/>
              </w:rPr>
            </w:pPr>
          </w:p>
        </w:tc>
        <w:tc>
          <w:tcPr>
            <w:tcW w:w="1686" w:type="dxa"/>
            <w:vMerge w:val="restart"/>
            <w:vAlign w:val="center"/>
          </w:tcPr>
          <w:p>
            <w:pPr>
              <w:rPr>
                <w:rFonts w:asciiTheme="minorEastAsia" w:hAnsiTheme="minorEastAsia"/>
                <w:sz w:val="24"/>
                <w:szCs w:val="24"/>
              </w:rPr>
            </w:pPr>
            <w:r>
              <w:rPr>
                <w:rFonts w:hint="eastAsia" w:asciiTheme="minorEastAsia" w:hAnsiTheme="minorEastAsia"/>
                <w:sz w:val="24"/>
                <w:szCs w:val="24"/>
              </w:rPr>
              <w:t>举止形象、表现力</w:t>
            </w: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举止形象大方得体，有较强表现力</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7-10</w:t>
            </w:r>
          </w:p>
        </w:tc>
        <w:tc>
          <w:tcPr>
            <w:tcW w:w="676" w:type="dxa"/>
            <w:vMerge w:val="restart"/>
            <w:vAlign w:val="center"/>
          </w:tcPr>
          <w:p>
            <w:pPr>
              <w:jc w:val="center"/>
              <w:rPr>
                <w:rFonts w:asciiTheme="minorEastAsia" w:hAnsiTheme="minorEastAsia"/>
                <w:sz w:val="24"/>
                <w:szCs w:val="24"/>
              </w:rPr>
            </w:pPr>
            <w:r>
              <w:rPr>
                <w:rFonts w:hint="eastAsia" w:asciiTheme="minorEastAsia" w:hAnsiTheme="minorEastAsia"/>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tblHeader/>
        </w:trPr>
        <w:tc>
          <w:tcPr>
            <w:tcW w:w="936" w:type="dxa"/>
            <w:vMerge w:val="continue"/>
            <w:vAlign w:val="center"/>
          </w:tcPr>
          <w:p>
            <w:pPr>
              <w:jc w:val="center"/>
              <w:rPr>
                <w:rFonts w:asciiTheme="minorEastAsia" w:hAnsiTheme="minorEastAsia"/>
                <w:sz w:val="24"/>
                <w:szCs w:val="24"/>
              </w:rPr>
            </w:pPr>
          </w:p>
        </w:tc>
        <w:tc>
          <w:tcPr>
            <w:tcW w:w="1686" w:type="dxa"/>
            <w:vMerge w:val="continue"/>
            <w:vAlign w:val="center"/>
          </w:tcPr>
          <w:p>
            <w:pPr>
              <w:rPr>
                <w:rFonts w:asciiTheme="minorEastAsia" w:hAnsiTheme="minorEastAsia"/>
                <w:sz w:val="24"/>
                <w:szCs w:val="24"/>
              </w:rPr>
            </w:pP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举止形象尚可，表现力一般</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4-6</w:t>
            </w:r>
          </w:p>
        </w:tc>
        <w:tc>
          <w:tcPr>
            <w:tcW w:w="676" w:type="dxa"/>
            <w:vMerge w:val="continue"/>
            <w:vAlign w:val="center"/>
          </w:tcPr>
          <w:p>
            <w:pPr>
              <w:jc w:val="cente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tblHeader/>
        </w:trPr>
        <w:tc>
          <w:tcPr>
            <w:tcW w:w="936" w:type="dxa"/>
            <w:vMerge w:val="continue"/>
            <w:vAlign w:val="center"/>
          </w:tcPr>
          <w:p>
            <w:pPr>
              <w:jc w:val="center"/>
              <w:rPr>
                <w:rFonts w:asciiTheme="minorEastAsia" w:hAnsiTheme="minorEastAsia"/>
                <w:sz w:val="24"/>
                <w:szCs w:val="24"/>
              </w:rPr>
            </w:pPr>
          </w:p>
        </w:tc>
        <w:tc>
          <w:tcPr>
            <w:tcW w:w="1686" w:type="dxa"/>
            <w:vMerge w:val="continue"/>
            <w:vAlign w:val="center"/>
          </w:tcPr>
          <w:p>
            <w:pPr>
              <w:rPr>
                <w:rFonts w:asciiTheme="minorEastAsia" w:hAnsiTheme="minorEastAsia"/>
                <w:sz w:val="24"/>
                <w:szCs w:val="24"/>
              </w:rPr>
            </w:pP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举止形象欠佳，表现力较差</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0-3</w:t>
            </w:r>
          </w:p>
        </w:tc>
        <w:tc>
          <w:tcPr>
            <w:tcW w:w="676" w:type="dxa"/>
            <w:vMerge w:val="continue"/>
            <w:vAlign w:val="center"/>
          </w:tcPr>
          <w:p>
            <w:pPr>
              <w:jc w:val="cente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 w:hRule="atLeast"/>
          <w:tblHeader/>
        </w:trPr>
        <w:tc>
          <w:tcPr>
            <w:tcW w:w="936" w:type="dxa"/>
            <w:vMerge w:val="restart"/>
            <w:vAlign w:val="center"/>
          </w:tcPr>
          <w:p>
            <w:pPr>
              <w:jc w:val="center"/>
              <w:rPr>
                <w:rFonts w:asciiTheme="minorEastAsia" w:hAnsiTheme="minorEastAsia"/>
                <w:sz w:val="24"/>
                <w:szCs w:val="24"/>
              </w:rPr>
            </w:pPr>
            <w:r>
              <w:rPr>
                <w:rFonts w:hint="eastAsia" w:asciiTheme="minorEastAsia" w:hAnsiTheme="minorEastAsia"/>
                <w:sz w:val="24"/>
                <w:szCs w:val="24"/>
              </w:rPr>
              <w:t>Q&amp;A</w:t>
            </w:r>
          </w:p>
        </w:tc>
        <w:tc>
          <w:tcPr>
            <w:tcW w:w="1686" w:type="dxa"/>
            <w:vMerge w:val="restart"/>
            <w:vAlign w:val="center"/>
          </w:tcPr>
          <w:p>
            <w:pPr>
              <w:rPr>
                <w:rFonts w:asciiTheme="minorEastAsia" w:hAnsiTheme="minorEastAsia"/>
                <w:sz w:val="24"/>
                <w:szCs w:val="24"/>
              </w:rPr>
            </w:pPr>
            <w:r>
              <w:rPr>
                <w:rFonts w:hint="eastAsia" w:asciiTheme="minorEastAsia" w:hAnsiTheme="minorEastAsia"/>
                <w:sz w:val="24"/>
                <w:szCs w:val="24"/>
              </w:rPr>
              <w:t>完整性、正确性</w:t>
            </w: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内容完整，回答正确，条理清楚</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21-30</w:t>
            </w:r>
          </w:p>
        </w:tc>
        <w:tc>
          <w:tcPr>
            <w:tcW w:w="676" w:type="dxa"/>
            <w:vMerge w:val="restart"/>
            <w:vAlign w:val="center"/>
          </w:tcPr>
          <w:p>
            <w:pPr>
              <w:jc w:val="center"/>
              <w:rPr>
                <w:rFonts w:asciiTheme="minorEastAsia" w:hAnsiTheme="minorEastAsia"/>
                <w:sz w:val="24"/>
                <w:szCs w:val="24"/>
              </w:rPr>
            </w:pPr>
            <w:r>
              <w:rPr>
                <w:rFonts w:hint="eastAsia" w:asciiTheme="minorEastAsia" w:hAnsiTheme="minorEastAsia"/>
                <w:sz w:val="24"/>
                <w:szCs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 w:hRule="atLeast"/>
          <w:tblHeader/>
        </w:trPr>
        <w:tc>
          <w:tcPr>
            <w:tcW w:w="936" w:type="dxa"/>
            <w:vMerge w:val="continue"/>
            <w:vAlign w:val="center"/>
          </w:tcPr>
          <w:p>
            <w:pPr>
              <w:jc w:val="center"/>
              <w:rPr>
                <w:rFonts w:asciiTheme="minorEastAsia" w:hAnsiTheme="minorEastAsia"/>
                <w:sz w:val="24"/>
                <w:szCs w:val="24"/>
              </w:rPr>
            </w:pPr>
          </w:p>
        </w:tc>
        <w:tc>
          <w:tcPr>
            <w:tcW w:w="1686" w:type="dxa"/>
            <w:vMerge w:val="continue"/>
            <w:vAlign w:val="center"/>
          </w:tcPr>
          <w:p>
            <w:pPr>
              <w:rPr>
                <w:rFonts w:asciiTheme="minorEastAsia" w:hAnsiTheme="minorEastAsia"/>
                <w:sz w:val="24"/>
                <w:szCs w:val="24"/>
              </w:rPr>
            </w:pP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内容完整，回答基本正确，条理基本清楚</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11-20</w:t>
            </w:r>
          </w:p>
        </w:tc>
        <w:tc>
          <w:tcPr>
            <w:tcW w:w="676" w:type="dxa"/>
            <w:vMerge w:val="continue"/>
            <w:vAlign w:val="center"/>
          </w:tcPr>
          <w:p>
            <w:pPr>
              <w:jc w:val="cente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 w:hRule="atLeast"/>
          <w:tblHeader/>
        </w:trPr>
        <w:tc>
          <w:tcPr>
            <w:tcW w:w="936" w:type="dxa"/>
            <w:vMerge w:val="continue"/>
            <w:vAlign w:val="center"/>
          </w:tcPr>
          <w:p>
            <w:pPr>
              <w:jc w:val="center"/>
              <w:rPr>
                <w:rFonts w:asciiTheme="minorEastAsia" w:hAnsiTheme="minorEastAsia"/>
                <w:sz w:val="24"/>
                <w:szCs w:val="24"/>
              </w:rPr>
            </w:pPr>
          </w:p>
        </w:tc>
        <w:tc>
          <w:tcPr>
            <w:tcW w:w="1686" w:type="dxa"/>
            <w:vMerge w:val="continue"/>
            <w:vAlign w:val="center"/>
          </w:tcPr>
          <w:p>
            <w:pPr>
              <w:rPr>
                <w:rFonts w:asciiTheme="minorEastAsia" w:hAnsiTheme="minorEastAsia"/>
                <w:sz w:val="24"/>
                <w:szCs w:val="24"/>
              </w:rPr>
            </w:pP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内容基本完整，回答尚可，条理较差</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0-10</w:t>
            </w:r>
          </w:p>
        </w:tc>
        <w:tc>
          <w:tcPr>
            <w:tcW w:w="676" w:type="dxa"/>
            <w:vMerge w:val="continue"/>
            <w:vAlign w:val="center"/>
          </w:tcPr>
          <w:p>
            <w:pPr>
              <w:jc w:val="cente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 w:hRule="atLeast"/>
          <w:tblHeader/>
        </w:trPr>
        <w:tc>
          <w:tcPr>
            <w:tcW w:w="936" w:type="dxa"/>
            <w:vMerge w:val="continue"/>
            <w:vAlign w:val="center"/>
          </w:tcPr>
          <w:p>
            <w:pPr>
              <w:jc w:val="center"/>
              <w:rPr>
                <w:rFonts w:asciiTheme="minorEastAsia" w:hAnsiTheme="minorEastAsia"/>
                <w:sz w:val="24"/>
                <w:szCs w:val="24"/>
              </w:rPr>
            </w:pPr>
          </w:p>
        </w:tc>
        <w:tc>
          <w:tcPr>
            <w:tcW w:w="1686" w:type="dxa"/>
            <w:vMerge w:val="restart"/>
            <w:vAlign w:val="center"/>
          </w:tcPr>
          <w:p>
            <w:pPr>
              <w:rPr>
                <w:rFonts w:asciiTheme="minorEastAsia" w:hAnsiTheme="minorEastAsia"/>
                <w:sz w:val="24"/>
                <w:szCs w:val="24"/>
              </w:rPr>
            </w:pPr>
            <w:r>
              <w:rPr>
                <w:rFonts w:hint="eastAsia" w:asciiTheme="minorEastAsia" w:hAnsiTheme="minorEastAsia"/>
                <w:sz w:val="24"/>
                <w:szCs w:val="24"/>
              </w:rPr>
              <w:t>语音、语调、语流</w:t>
            </w: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语音、语调准确，回答连贯、流利</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14-20</w:t>
            </w:r>
          </w:p>
        </w:tc>
        <w:tc>
          <w:tcPr>
            <w:tcW w:w="676" w:type="dxa"/>
            <w:vMerge w:val="restart"/>
            <w:vAlign w:val="center"/>
          </w:tcPr>
          <w:p>
            <w:pPr>
              <w:jc w:val="center"/>
              <w:rPr>
                <w:rFonts w:asciiTheme="minorEastAsia" w:hAnsiTheme="minorEastAsia"/>
                <w:sz w:val="24"/>
                <w:szCs w:val="24"/>
              </w:rPr>
            </w:pPr>
            <w:r>
              <w:rPr>
                <w:rFonts w:hint="eastAsia" w:asciiTheme="minorEastAsia" w:hAnsiTheme="minorEastAsia"/>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 w:hRule="atLeast"/>
          <w:tblHeader/>
        </w:trPr>
        <w:tc>
          <w:tcPr>
            <w:tcW w:w="936" w:type="dxa"/>
            <w:vMerge w:val="continue"/>
            <w:vAlign w:val="center"/>
          </w:tcPr>
          <w:p>
            <w:pPr>
              <w:jc w:val="center"/>
              <w:rPr>
                <w:rFonts w:asciiTheme="minorEastAsia" w:hAnsiTheme="minorEastAsia"/>
                <w:sz w:val="24"/>
                <w:szCs w:val="24"/>
              </w:rPr>
            </w:pPr>
          </w:p>
        </w:tc>
        <w:tc>
          <w:tcPr>
            <w:tcW w:w="1686" w:type="dxa"/>
            <w:vMerge w:val="continue"/>
            <w:vAlign w:val="center"/>
          </w:tcPr>
          <w:p>
            <w:pPr>
              <w:rPr>
                <w:rFonts w:asciiTheme="minorEastAsia" w:hAnsiTheme="minorEastAsia"/>
                <w:sz w:val="24"/>
                <w:szCs w:val="24"/>
              </w:rPr>
            </w:pP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语音、语调较好，回答基本连贯，流利度尚可</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7-13</w:t>
            </w:r>
          </w:p>
        </w:tc>
        <w:tc>
          <w:tcPr>
            <w:tcW w:w="676" w:type="dxa"/>
            <w:vMerge w:val="continue"/>
            <w:vAlign w:val="center"/>
          </w:tcPr>
          <w:p>
            <w:pPr>
              <w:jc w:val="cente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 w:hRule="atLeast"/>
          <w:tblHeader/>
        </w:trPr>
        <w:tc>
          <w:tcPr>
            <w:tcW w:w="936" w:type="dxa"/>
            <w:vMerge w:val="continue"/>
            <w:vAlign w:val="center"/>
          </w:tcPr>
          <w:p>
            <w:pPr>
              <w:jc w:val="center"/>
              <w:rPr>
                <w:rFonts w:asciiTheme="minorEastAsia" w:hAnsiTheme="minorEastAsia"/>
                <w:sz w:val="24"/>
                <w:szCs w:val="24"/>
              </w:rPr>
            </w:pPr>
          </w:p>
        </w:tc>
        <w:tc>
          <w:tcPr>
            <w:tcW w:w="1686" w:type="dxa"/>
            <w:vMerge w:val="continue"/>
            <w:vAlign w:val="center"/>
          </w:tcPr>
          <w:p>
            <w:pPr>
              <w:rPr>
                <w:rFonts w:asciiTheme="minorEastAsia" w:hAnsiTheme="minorEastAsia"/>
                <w:sz w:val="24"/>
                <w:szCs w:val="24"/>
              </w:rPr>
            </w:pP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语音、语调一般，回答不连贯，流利度较差</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0-6</w:t>
            </w:r>
          </w:p>
        </w:tc>
        <w:tc>
          <w:tcPr>
            <w:tcW w:w="676" w:type="dxa"/>
            <w:vMerge w:val="continue"/>
            <w:vAlign w:val="center"/>
          </w:tcPr>
          <w:p>
            <w:pPr>
              <w:jc w:val="cente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 w:hRule="atLeast"/>
          <w:tblHeader/>
        </w:trPr>
        <w:tc>
          <w:tcPr>
            <w:tcW w:w="936" w:type="dxa"/>
            <w:vMerge w:val="continue"/>
            <w:vAlign w:val="center"/>
          </w:tcPr>
          <w:p>
            <w:pPr>
              <w:jc w:val="center"/>
              <w:rPr>
                <w:rFonts w:asciiTheme="minorEastAsia" w:hAnsiTheme="minorEastAsia"/>
                <w:sz w:val="24"/>
                <w:szCs w:val="24"/>
              </w:rPr>
            </w:pPr>
          </w:p>
        </w:tc>
        <w:tc>
          <w:tcPr>
            <w:tcW w:w="1686" w:type="dxa"/>
            <w:vMerge w:val="restart"/>
            <w:vAlign w:val="center"/>
          </w:tcPr>
          <w:p>
            <w:pPr>
              <w:rPr>
                <w:rFonts w:asciiTheme="minorEastAsia" w:hAnsiTheme="minorEastAsia"/>
                <w:sz w:val="24"/>
                <w:szCs w:val="24"/>
              </w:rPr>
            </w:pPr>
            <w:r>
              <w:rPr>
                <w:rFonts w:hint="eastAsia" w:asciiTheme="minorEastAsia" w:hAnsiTheme="minorEastAsia"/>
                <w:sz w:val="24"/>
                <w:szCs w:val="24"/>
              </w:rPr>
              <w:t>举止形象、反应速度、表现力</w:t>
            </w: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举止形象大方得体，反应迅速，有较强表现力</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7-10</w:t>
            </w:r>
          </w:p>
        </w:tc>
        <w:tc>
          <w:tcPr>
            <w:tcW w:w="676" w:type="dxa"/>
            <w:vMerge w:val="restart"/>
            <w:vAlign w:val="center"/>
          </w:tcPr>
          <w:p>
            <w:pPr>
              <w:jc w:val="center"/>
              <w:rPr>
                <w:rFonts w:asciiTheme="minorEastAsia" w:hAnsiTheme="minorEastAsia"/>
                <w:sz w:val="24"/>
                <w:szCs w:val="24"/>
              </w:rPr>
            </w:pPr>
            <w:r>
              <w:rPr>
                <w:rFonts w:hint="eastAsia" w:asciiTheme="minorEastAsia" w:hAnsiTheme="minorEastAsia"/>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 w:hRule="atLeast"/>
          <w:tblHeader/>
        </w:trPr>
        <w:tc>
          <w:tcPr>
            <w:tcW w:w="936" w:type="dxa"/>
            <w:vMerge w:val="continue"/>
            <w:vAlign w:val="center"/>
          </w:tcPr>
          <w:p>
            <w:pPr>
              <w:jc w:val="center"/>
              <w:rPr>
                <w:rFonts w:asciiTheme="minorEastAsia" w:hAnsiTheme="minorEastAsia"/>
                <w:sz w:val="24"/>
                <w:szCs w:val="24"/>
              </w:rPr>
            </w:pPr>
          </w:p>
        </w:tc>
        <w:tc>
          <w:tcPr>
            <w:tcW w:w="1686" w:type="dxa"/>
            <w:vMerge w:val="continue"/>
            <w:vAlign w:val="center"/>
          </w:tcPr>
          <w:p>
            <w:pPr>
              <w:rPr>
                <w:rFonts w:asciiTheme="minorEastAsia" w:hAnsiTheme="minorEastAsia"/>
                <w:sz w:val="24"/>
                <w:szCs w:val="24"/>
              </w:rPr>
            </w:pP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举止形象尚可，反应一般，表现力一般</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4-6</w:t>
            </w:r>
          </w:p>
        </w:tc>
        <w:tc>
          <w:tcPr>
            <w:tcW w:w="676" w:type="dxa"/>
            <w:vMerge w:val="continue"/>
            <w:vAlign w:val="center"/>
          </w:tcPr>
          <w:p>
            <w:pPr>
              <w:jc w:val="center"/>
              <w:rPr>
                <w:rFonts w:asciiTheme="minorEastAsia"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 w:hRule="atLeast"/>
          <w:tblHeader/>
        </w:trPr>
        <w:tc>
          <w:tcPr>
            <w:tcW w:w="936" w:type="dxa"/>
            <w:vMerge w:val="continue"/>
            <w:vAlign w:val="center"/>
          </w:tcPr>
          <w:p>
            <w:pPr>
              <w:jc w:val="center"/>
              <w:rPr>
                <w:rFonts w:asciiTheme="minorEastAsia" w:hAnsiTheme="minorEastAsia"/>
                <w:sz w:val="24"/>
                <w:szCs w:val="24"/>
              </w:rPr>
            </w:pPr>
          </w:p>
        </w:tc>
        <w:tc>
          <w:tcPr>
            <w:tcW w:w="1686" w:type="dxa"/>
            <w:vMerge w:val="continue"/>
            <w:vAlign w:val="center"/>
          </w:tcPr>
          <w:p>
            <w:pPr>
              <w:rPr>
                <w:rFonts w:asciiTheme="minorEastAsia" w:hAnsiTheme="minorEastAsia"/>
                <w:sz w:val="24"/>
                <w:szCs w:val="24"/>
              </w:rPr>
            </w:pPr>
          </w:p>
        </w:tc>
        <w:tc>
          <w:tcPr>
            <w:tcW w:w="4408" w:type="dxa"/>
            <w:vAlign w:val="center"/>
          </w:tcPr>
          <w:p>
            <w:pPr>
              <w:jc w:val="left"/>
              <w:rPr>
                <w:rFonts w:asciiTheme="minorEastAsia" w:hAnsiTheme="minorEastAsia"/>
                <w:sz w:val="24"/>
                <w:szCs w:val="24"/>
              </w:rPr>
            </w:pPr>
            <w:r>
              <w:rPr>
                <w:rFonts w:hint="eastAsia" w:asciiTheme="minorEastAsia" w:hAnsiTheme="minorEastAsia"/>
                <w:sz w:val="24"/>
                <w:szCs w:val="24"/>
              </w:rPr>
              <w:t>举止形象欠佳，反应较慢，表现力较差</w:t>
            </w:r>
          </w:p>
        </w:tc>
        <w:tc>
          <w:tcPr>
            <w:tcW w:w="816" w:type="dxa"/>
            <w:vAlign w:val="center"/>
          </w:tcPr>
          <w:p>
            <w:pPr>
              <w:jc w:val="center"/>
              <w:rPr>
                <w:rFonts w:asciiTheme="minorEastAsia" w:hAnsiTheme="minorEastAsia"/>
                <w:sz w:val="24"/>
                <w:szCs w:val="24"/>
              </w:rPr>
            </w:pPr>
            <w:r>
              <w:rPr>
                <w:rFonts w:hint="eastAsia" w:asciiTheme="minorEastAsia" w:hAnsiTheme="minorEastAsia"/>
                <w:sz w:val="24"/>
                <w:szCs w:val="24"/>
              </w:rPr>
              <w:t>0-3</w:t>
            </w:r>
          </w:p>
        </w:tc>
        <w:tc>
          <w:tcPr>
            <w:tcW w:w="676" w:type="dxa"/>
            <w:vMerge w:val="continue"/>
            <w:vAlign w:val="center"/>
          </w:tcPr>
          <w:p>
            <w:pPr>
              <w:jc w:val="center"/>
              <w:rPr>
                <w:rFonts w:asciiTheme="minorEastAsia" w:hAnsiTheme="minorEastAsia"/>
                <w:sz w:val="24"/>
                <w:szCs w:val="24"/>
              </w:rPr>
            </w:pPr>
          </w:p>
        </w:tc>
      </w:tr>
    </w:tbl>
    <w:p>
      <w:pPr>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现场评委将在前三位（组）选手比赛完毕后，进行评委合议，根据现场实际情况统一标准，使得评委能够客观、全面地了解参赛选手的实际状况，公正公平地进行评判。</w:t>
      </w:r>
    </w:p>
    <w:p>
      <w:pPr>
        <w:pStyle w:val="2"/>
        <w:ind w:firstLine="600"/>
        <w:rPr>
          <w:rFonts w:ascii="Arial Narrow" w:hAnsi="Arial Narrow" w:eastAsia="仿宋_GB2312" w:cs="Arial"/>
        </w:rPr>
      </w:pPr>
      <w:bookmarkStart w:id="19" w:name="_Toc522017699"/>
      <w:r>
        <w:rPr>
          <w:rFonts w:hint="eastAsia"/>
        </w:rPr>
        <w:t>十一、奖项设置</w:t>
      </w:r>
      <w:bookmarkEnd w:id="19"/>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本赛项奖项设团体奖。竞赛团体奖的设定为：一等奖占比</w:t>
      </w:r>
      <w:r>
        <w:rPr>
          <w:rFonts w:ascii="Arial Narrow" w:hAnsi="Arial Narrow" w:eastAsia="仿宋_GB2312" w:cs="Arial"/>
          <w:sz w:val="30"/>
          <w:szCs w:val="30"/>
        </w:rPr>
        <w:t>10%</w:t>
      </w:r>
      <w:r>
        <w:rPr>
          <w:rFonts w:hint="eastAsia" w:ascii="Arial Narrow" w:hAnsi="Arial Narrow" w:eastAsia="仿宋_GB2312" w:cs="Arial"/>
          <w:sz w:val="30"/>
          <w:szCs w:val="30"/>
        </w:rPr>
        <w:t>，二等奖占比</w:t>
      </w:r>
      <w:r>
        <w:rPr>
          <w:rFonts w:ascii="Arial Narrow" w:hAnsi="Arial Narrow" w:eastAsia="仿宋_GB2312" w:cs="Arial"/>
          <w:sz w:val="30"/>
          <w:szCs w:val="30"/>
        </w:rPr>
        <w:t>20%</w:t>
      </w:r>
      <w:r>
        <w:rPr>
          <w:rFonts w:hint="eastAsia" w:ascii="Arial Narrow" w:hAnsi="Arial Narrow" w:eastAsia="仿宋_GB2312" w:cs="Arial"/>
          <w:sz w:val="30"/>
          <w:szCs w:val="30"/>
        </w:rPr>
        <w:t>，三等奖占比</w:t>
      </w:r>
      <w:r>
        <w:rPr>
          <w:rFonts w:ascii="Arial Narrow" w:hAnsi="Arial Narrow" w:eastAsia="仿宋_GB2312" w:cs="Arial"/>
          <w:sz w:val="30"/>
          <w:szCs w:val="30"/>
        </w:rPr>
        <w:t>30%</w:t>
      </w:r>
      <w:r>
        <w:rPr>
          <w:rFonts w:hint="eastAsia" w:ascii="Arial Narrow" w:hAnsi="Arial Narrow" w:eastAsia="仿宋_GB2312" w:cs="Arial"/>
          <w:sz w:val="30"/>
          <w:szCs w:val="30"/>
        </w:rPr>
        <w:t>。（小数点后四舍五入）</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一等奖参赛队的指导教师获</w:t>
      </w:r>
      <w:r>
        <w:rPr>
          <w:rFonts w:ascii="Arial Narrow" w:hAnsi="Arial Narrow" w:eastAsia="仿宋_GB2312" w:cs="Arial"/>
          <w:sz w:val="30"/>
          <w:szCs w:val="30"/>
        </w:rPr>
        <w:t>“</w:t>
      </w:r>
      <w:r>
        <w:rPr>
          <w:rFonts w:hint="eastAsia" w:ascii="Arial Narrow" w:hAnsi="Arial Narrow" w:eastAsia="仿宋_GB2312" w:cs="Arial"/>
          <w:sz w:val="30"/>
          <w:szCs w:val="30"/>
        </w:rPr>
        <w:t>优秀指导教师奖</w:t>
      </w:r>
      <w:r>
        <w:rPr>
          <w:rFonts w:ascii="Arial Narrow" w:hAnsi="Arial Narrow" w:eastAsia="仿宋_GB2312" w:cs="Arial"/>
          <w:sz w:val="30"/>
          <w:szCs w:val="30"/>
        </w:rPr>
        <w:t>”</w:t>
      </w:r>
      <w:r>
        <w:rPr>
          <w:rFonts w:hint="eastAsia" w:ascii="Arial Narrow" w:hAnsi="Arial Narrow" w:eastAsia="仿宋_GB2312" w:cs="Arial"/>
          <w:sz w:val="30"/>
          <w:szCs w:val="30"/>
        </w:rPr>
        <w:t>。</w:t>
      </w:r>
    </w:p>
    <w:p>
      <w:pPr>
        <w:pStyle w:val="2"/>
        <w:ind w:firstLine="600"/>
        <w:rPr>
          <w:rFonts w:ascii="Arial Narrow" w:hAnsi="Arial Narrow" w:eastAsia="仿宋_GB2312" w:cs="Arial"/>
        </w:rPr>
      </w:pPr>
      <w:bookmarkStart w:id="20" w:name="_Toc522017700"/>
      <w:r>
        <w:rPr>
          <w:rFonts w:hint="eastAsia"/>
        </w:rPr>
        <w:t>十二、技术规范</w:t>
      </w:r>
      <w:bookmarkEnd w:id="20"/>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参赛团队遵循以下规范。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行业标准：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联合国国际货物销售合同公约</w:t>
      </w:r>
      <w:r>
        <w:rPr>
          <w:rFonts w:hint="eastAsia" w:ascii="Arial Narrow" w:hAnsi="Arial Narrow" w:eastAsia="仿宋_GB2312" w:cs="Arial"/>
          <w:sz w:val="30"/>
          <w:szCs w:val="30"/>
        </w:rPr>
        <w:t>》</w:t>
      </w:r>
      <w:r>
        <w:rPr>
          <w:rFonts w:ascii="Times New Roman" w:hAnsi="Arial Narrow" w:eastAsia="仿宋_GB2312"/>
          <w:sz w:val="30"/>
          <w:szCs w:val="30"/>
        </w:rPr>
        <w:t>（</w:t>
      </w:r>
      <w:r>
        <w:rPr>
          <w:rFonts w:ascii="Times New Roman" w:hAnsi="Times New Roman" w:eastAsia="仿宋_GB2312"/>
          <w:sz w:val="30"/>
          <w:szCs w:val="30"/>
        </w:rPr>
        <w:t>the United Nations Convention on Contracts for the International Sale of Goods</w:t>
      </w:r>
      <w:r>
        <w:rPr>
          <w:rFonts w:ascii="Times New Roman" w:hAnsi="Arial Narrow" w:eastAsia="仿宋_GB2312"/>
          <w:sz w:val="30"/>
          <w:szCs w:val="30"/>
        </w:rPr>
        <w:t>，</w:t>
      </w:r>
      <w:r>
        <w:rPr>
          <w:rFonts w:ascii="Times New Roman" w:hAnsi="Times New Roman" w:eastAsia="仿宋_GB2312"/>
          <w:sz w:val="30"/>
          <w:szCs w:val="30"/>
        </w:rPr>
        <w:t>CISG</w:t>
      </w:r>
      <w:r>
        <w:rPr>
          <w:rFonts w:ascii="Times New Roman" w:hAnsi="Arial Narrow" w:eastAsia="仿宋_GB2312"/>
          <w:sz w:val="30"/>
          <w:szCs w:val="30"/>
        </w:rPr>
        <w:t>）</w:t>
      </w:r>
    </w:p>
    <w:p>
      <w:pPr>
        <w:snapToGrid w:val="0"/>
        <w:spacing w:line="560" w:lineRule="exact"/>
        <w:ind w:firstLine="600" w:firstLineChars="200"/>
        <w:rPr>
          <w:rFonts w:ascii="Times New Roman" w:hAnsi="Times New Roman" w:eastAsia="仿宋_GB2312"/>
          <w:sz w:val="30"/>
          <w:szCs w:val="30"/>
        </w:rPr>
      </w:pPr>
      <w:r>
        <w:rPr>
          <w:rFonts w:hint="eastAsia" w:ascii="Arial Narrow" w:hAnsi="Arial Narrow" w:eastAsia="仿宋_GB2312" w:cs="Arial"/>
          <w:sz w:val="30"/>
          <w:szCs w:val="30"/>
        </w:rPr>
        <w:t>国际商会《跟单信用证统一惯例</w:t>
      </w:r>
      <w:r>
        <w:rPr>
          <w:rFonts w:ascii="Times New Roman" w:hAnsi="Arial Narrow" w:eastAsia="仿宋_GB2312"/>
          <w:sz w:val="30"/>
          <w:szCs w:val="30"/>
        </w:rPr>
        <w:t>（</w:t>
      </w:r>
      <w:r>
        <w:rPr>
          <w:rFonts w:ascii="Times New Roman" w:hAnsi="Times New Roman" w:eastAsia="仿宋_GB2312"/>
          <w:sz w:val="30"/>
          <w:szCs w:val="30"/>
        </w:rPr>
        <w:t>UCP600</w:t>
      </w:r>
      <w:r>
        <w:rPr>
          <w:rFonts w:ascii="Times New Roman" w:hAnsi="Arial Narrow" w:eastAsia="仿宋_GB2312"/>
          <w:sz w:val="30"/>
          <w:szCs w:val="30"/>
        </w:rPr>
        <w:t>）</w:t>
      </w:r>
      <w:r>
        <w:rPr>
          <w:rFonts w:hint="eastAsia" w:ascii="Arial Narrow" w:hAnsi="Arial Narrow" w:eastAsia="仿宋_GB2312" w:cs="Arial"/>
          <w:sz w:val="30"/>
          <w:szCs w:val="30"/>
        </w:rPr>
        <w:t>》</w:t>
      </w:r>
      <w:r>
        <w:rPr>
          <w:rFonts w:ascii="Times New Roman" w:hAnsi="Arial Narrow" w:eastAsia="仿宋_GB2312"/>
          <w:sz w:val="30"/>
          <w:szCs w:val="30"/>
        </w:rPr>
        <w:t>（</w:t>
      </w:r>
      <w:r>
        <w:rPr>
          <w:rFonts w:ascii="Times New Roman" w:hAnsi="Times New Roman" w:eastAsia="仿宋_GB2312"/>
          <w:sz w:val="30"/>
          <w:szCs w:val="30"/>
        </w:rPr>
        <w:t>Uniform Customs and Practice for Documentary Credits</w:t>
      </w:r>
      <w:r>
        <w:rPr>
          <w:rFonts w:ascii="Times New Roman" w:hAnsi="Arial Narrow" w:eastAsia="仿宋_GB2312"/>
          <w:sz w:val="30"/>
          <w:szCs w:val="30"/>
        </w:rPr>
        <w:t>）</w:t>
      </w:r>
    </w:p>
    <w:p>
      <w:pPr>
        <w:snapToGrid w:val="0"/>
        <w:spacing w:line="560" w:lineRule="exact"/>
        <w:ind w:firstLine="600" w:firstLineChars="200"/>
        <w:rPr>
          <w:rFonts w:ascii="Times New Roman" w:hAnsi="Times New Roman" w:eastAsia="仿宋_GB2312"/>
          <w:sz w:val="30"/>
          <w:szCs w:val="30"/>
        </w:rPr>
      </w:pPr>
      <w:r>
        <w:rPr>
          <w:rFonts w:ascii="Arial Narrow" w:hAnsi="Arial Narrow" w:eastAsia="仿宋_GB2312" w:cs="Arial"/>
          <w:sz w:val="30"/>
          <w:szCs w:val="30"/>
        </w:rPr>
        <w:t>《</w:t>
      </w:r>
      <w:r>
        <w:rPr>
          <w:rFonts w:hint="eastAsia" w:ascii="仿宋_GB2312" w:hAnsi="Arial Narrow" w:eastAsia="仿宋_GB2312" w:cs="Arial"/>
          <w:sz w:val="30"/>
          <w:szCs w:val="30"/>
        </w:rPr>
        <w:t>2010</w:t>
      </w:r>
      <w:r>
        <w:rPr>
          <w:rFonts w:ascii="Arial Narrow" w:hAnsi="Arial Narrow" w:eastAsia="仿宋_GB2312" w:cs="Arial"/>
          <w:sz w:val="30"/>
          <w:szCs w:val="30"/>
        </w:rPr>
        <w:t>国际贸易术语解释通则》</w:t>
      </w:r>
      <w:r>
        <w:rPr>
          <w:rFonts w:ascii="Times New Roman" w:hAnsi="Arial Narrow" w:eastAsia="仿宋_GB2312"/>
          <w:sz w:val="30"/>
          <w:szCs w:val="30"/>
        </w:rPr>
        <w:t>（</w:t>
      </w:r>
      <w:r>
        <w:rPr>
          <w:rFonts w:ascii="Times New Roman" w:hAnsi="Times New Roman" w:eastAsia="仿宋_GB2312"/>
          <w:sz w:val="30"/>
          <w:szCs w:val="30"/>
        </w:rPr>
        <w:t xml:space="preserve">Incoterms International Rules for the Interpretation of Trade Terms </w:t>
      </w:r>
      <w:r>
        <w:rPr>
          <w:rFonts w:ascii="Times New Roman" w:hAnsi="Arial Narrow" w:eastAsia="仿宋_GB2312"/>
          <w:sz w:val="30"/>
          <w:szCs w:val="30"/>
        </w:rPr>
        <w:t>）</w:t>
      </w:r>
    </w:p>
    <w:p>
      <w:pPr>
        <w:snapToGrid w:val="0"/>
        <w:spacing w:line="560" w:lineRule="exact"/>
        <w:ind w:firstLine="600" w:firstLineChars="200"/>
        <w:rPr>
          <w:rFonts w:ascii="Times New Roman" w:hAnsi="Times New Roman" w:eastAsia="仿宋_GB2312"/>
          <w:sz w:val="30"/>
          <w:szCs w:val="30"/>
        </w:rPr>
      </w:pPr>
      <w:r>
        <w:rPr>
          <w:rFonts w:hint="eastAsia" w:ascii="Arial Narrow" w:hAnsi="Arial Narrow" w:eastAsia="仿宋_GB2312" w:cs="Arial"/>
          <w:sz w:val="30"/>
          <w:szCs w:val="30"/>
        </w:rPr>
        <w:t>国际商会《托收统一规则</w:t>
      </w:r>
      <w:r>
        <w:rPr>
          <w:rFonts w:hint="eastAsia" w:ascii="Times New Roman" w:hAnsi="Arial Narrow" w:eastAsia="仿宋_GB2312"/>
          <w:sz w:val="30"/>
          <w:szCs w:val="30"/>
        </w:rPr>
        <w:t>（URC522）</w:t>
      </w:r>
      <w:r>
        <w:rPr>
          <w:rFonts w:hint="eastAsia" w:ascii="Arial Narrow" w:hAnsi="Arial Narrow" w:eastAsia="仿宋_GB2312" w:cs="Arial"/>
          <w:sz w:val="30"/>
          <w:szCs w:val="30"/>
        </w:rPr>
        <w:t>》</w:t>
      </w:r>
      <w:r>
        <w:rPr>
          <w:rFonts w:ascii="Times New Roman" w:hAnsi="Arial Narrow" w:eastAsia="仿宋_GB2312"/>
          <w:sz w:val="30"/>
          <w:szCs w:val="30"/>
        </w:rPr>
        <w:t>（</w:t>
      </w:r>
      <w:r>
        <w:rPr>
          <w:rFonts w:ascii="Times New Roman" w:hAnsi="Times New Roman" w:eastAsia="仿宋_GB2312"/>
          <w:sz w:val="30"/>
          <w:szCs w:val="30"/>
        </w:rPr>
        <w:t>Uniform RulesforCollections,ICCPublicationNo.522</w:t>
      </w:r>
      <w:r>
        <w:rPr>
          <w:rFonts w:ascii="Times New Roman" w:hAnsi="Arial Narrow" w:eastAsia="仿宋_GB2312"/>
          <w:sz w:val="30"/>
          <w:szCs w:val="30"/>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教学要求：《</w:t>
      </w:r>
      <w:r>
        <w:rPr>
          <w:rFonts w:ascii="Arial Narrow" w:hAnsi="Arial Narrow" w:eastAsia="仿宋_GB2312" w:cs="Arial"/>
          <w:sz w:val="30"/>
          <w:szCs w:val="30"/>
        </w:rPr>
        <w:t>职业教育国际贸易专业国家教学资源库</w:t>
      </w:r>
      <w:r>
        <w:rPr>
          <w:rFonts w:hint="eastAsia" w:ascii="Arial Narrow" w:hAnsi="Arial Narrow" w:eastAsia="仿宋_GB2312" w:cs="Arial"/>
          <w:sz w:val="30"/>
          <w:szCs w:val="30"/>
        </w:rPr>
        <w:t>》</w:t>
      </w:r>
    </w:p>
    <w:p>
      <w:pPr>
        <w:pStyle w:val="2"/>
        <w:ind w:firstLine="600"/>
        <w:rPr>
          <w:rFonts w:ascii="Arial Narrow" w:hAnsi="Arial Narrow" w:eastAsia="仿宋_GB2312" w:cs="Arial"/>
        </w:rPr>
      </w:pPr>
      <w:bookmarkStart w:id="21" w:name="_Toc522017701"/>
      <w:r>
        <w:rPr>
          <w:rFonts w:hint="eastAsia"/>
        </w:rPr>
        <w:t>十三、建议使用的比赛器材、技术平台和场地要求</w:t>
      </w:r>
      <w:bookmarkEnd w:id="21"/>
    </w:p>
    <w:p>
      <w:pPr>
        <w:snapToGrid w:val="0"/>
        <w:spacing w:line="560" w:lineRule="exact"/>
        <w:ind w:firstLine="600" w:firstLineChars="200"/>
        <w:rPr>
          <w:rFonts w:ascii="Arial Narrow" w:hAnsi="Arial Narrow" w:eastAsia="仿宋_GB2312" w:cs="Arial"/>
          <w:sz w:val="30"/>
          <w:szCs w:val="30"/>
        </w:rPr>
      </w:pPr>
      <w:bookmarkStart w:id="22" w:name="_Toc460925254"/>
      <w:bookmarkStart w:id="23" w:name="_Toc492031234"/>
      <w:bookmarkStart w:id="24" w:name="_Toc492031533"/>
      <w:bookmarkStart w:id="25" w:name="_Toc522017423"/>
      <w:r>
        <w:rPr>
          <w:rFonts w:hint="eastAsia" w:ascii="Arial Narrow" w:hAnsi="Arial Narrow" w:eastAsia="仿宋_GB2312" w:cs="Arial"/>
          <w:sz w:val="30"/>
          <w:szCs w:val="30"/>
        </w:rPr>
        <w:t>（一）比赛器材</w:t>
      </w:r>
      <w:bookmarkEnd w:id="22"/>
      <w:bookmarkEnd w:id="23"/>
      <w:bookmarkEnd w:id="24"/>
      <w:bookmarkEnd w:id="25"/>
    </w:p>
    <w:p>
      <w:pPr>
        <w:snapToGrid w:val="0"/>
        <w:spacing w:line="560" w:lineRule="exact"/>
        <w:jc w:val="center"/>
        <w:rPr>
          <w:rFonts w:cs="Arial" w:asciiTheme="minorEastAsia" w:hAnsiTheme="minorEastAsia"/>
          <w:kern w:val="0"/>
          <w:sz w:val="24"/>
          <w:szCs w:val="24"/>
        </w:rPr>
      </w:pPr>
      <w:r>
        <w:rPr>
          <w:rFonts w:hint="eastAsia" w:cs="Arial" w:asciiTheme="minorEastAsia" w:hAnsiTheme="minorEastAsia"/>
          <w:kern w:val="0"/>
          <w:sz w:val="24"/>
          <w:szCs w:val="24"/>
        </w:rPr>
        <w:t>表10 比赛器材</w:t>
      </w:r>
    </w:p>
    <w:tbl>
      <w:tblPr>
        <w:tblStyle w:val="17"/>
        <w:tblW w:w="852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045"/>
        <w:gridCol w:w="647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PrEx>
        <w:trPr>
          <w:tblHeader/>
          <w:jc w:val="center"/>
        </w:trPr>
        <w:tc>
          <w:tcPr>
            <w:tcW w:w="2045" w:type="dxa"/>
            <w:vAlign w:val="center"/>
          </w:tcPr>
          <w:p>
            <w:pPr>
              <w:pStyle w:val="12"/>
              <w:adjustRightInd w:val="0"/>
              <w:snapToGrid w:val="0"/>
              <w:jc w:val="center"/>
              <w:rPr>
                <w:rFonts w:cs="Times New Roman"/>
                <w:b/>
                <w:kern w:val="2"/>
              </w:rPr>
            </w:pPr>
            <w:r>
              <w:rPr>
                <w:rFonts w:hint="eastAsia" w:cs="Times New Roman"/>
                <w:b/>
                <w:kern w:val="2"/>
              </w:rPr>
              <w:t>品名</w:t>
            </w:r>
          </w:p>
        </w:tc>
        <w:tc>
          <w:tcPr>
            <w:tcW w:w="6477" w:type="dxa"/>
            <w:vAlign w:val="center"/>
          </w:tcPr>
          <w:p>
            <w:pPr>
              <w:pStyle w:val="12"/>
              <w:adjustRightInd w:val="0"/>
              <w:snapToGrid w:val="0"/>
              <w:jc w:val="center"/>
              <w:rPr>
                <w:rFonts w:cs="Times New Roman"/>
                <w:b/>
                <w:kern w:val="2"/>
              </w:rPr>
            </w:pPr>
            <w:r>
              <w:rPr>
                <w:rFonts w:hint="eastAsia" w:cs="Times New Roman"/>
                <w:b/>
                <w:kern w:val="2"/>
              </w:rPr>
              <w:t>规格要求说明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2045" w:type="dxa"/>
            <w:vAlign w:val="center"/>
          </w:tcPr>
          <w:p>
            <w:pPr>
              <w:pStyle w:val="12"/>
              <w:adjustRightInd w:val="0"/>
              <w:snapToGrid w:val="0"/>
              <w:jc w:val="both"/>
              <w:rPr>
                <w:rFonts w:asciiTheme="minorEastAsia" w:hAnsiTheme="minorEastAsia" w:eastAsiaTheme="minorEastAsia"/>
                <w:kern w:val="2"/>
              </w:rPr>
            </w:pPr>
            <w:r>
              <w:rPr>
                <w:rFonts w:hint="eastAsia" w:cs="Times New Roman" w:asciiTheme="minorEastAsia" w:hAnsiTheme="minorEastAsia" w:eastAsiaTheme="minorEastAsia"/>
                <w:kern w:val="2"/>
              </w:rPr>
              <w:t>参赛选手计算机</w:t>
            </w:r>
          </w:p>
        </w:tc>
        <w:tc>
          <w:tcPr>
            <w:tcW w:w="6477" w:type="dxa"/>
          </w:tcPr>
          <w:p>
            <w:pPr>
              <w:pStyle w:val="12"/>
              <w:adjustRightInd w:val="0"/>
              <w:snapToGrid w:val="0"/>
              <w:jc w:val="both"/>
              <w:rPr>
                <w:color w:val="0D0D0D"/>
                <w:kern w:val="2"/>
              </w:rPr>
            </w:pPr>
            <w:r>
              <w:rPr>
                <w:rFonts w:hint="eastAsia"/>
                <w:kern w:val="2"/>
                <w:szCs w:val="21"/>
              </w:rPr>
              <w:t>CPU：酷睿I3 双核3.0以上；内存：4G（含）以上；硬盘：100G以上；网卡：百兆网卡；操作系统：Microsoft Windows7操作系统，office 2010,Internet Explorer9.0、Google Chrome浏览器，预装五笔、微软拼音、搜狗拼音等中文输入法和英文输入法，屏蔽usb等外接存储设备接口。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2045" w:type="dxa"/>
            <w:vAlign w:val="center"/>
          </w:tcPr>
          <w:p>
            <w:pPr>
              <w:pStyle w:val="12"/>
              <w:adjustRightInd w:val="0"/>
              <w:snapToGrid w:val="0"/>
              <w:jc w:val="both"/>
              <w:rPr>
                <w:rFonts w:cs="Times New Roman" w:asciiTheme="minorEastAsia" w:hAnsiTheme="minorEastAsia" w:eastAsiaTheme="minorEastAsia"/>
                <w:kern w:val="2"/>
              </w:rPr>
            </w:pPr>
            <w:r>
              <w:rPr>
                <w:rFonts w:hint="eastAsia" w:cs="Times New Roman" w:asciiTheme="minorEastAsia" w:hAnsiTheme="minorEastAsia" w:eastAsiaTheme="minorEastAsia"/>
                <w:kern w:val="2"/>
              </w:rPr>
              <w:t>网络连接设备</w:t>
            </w:r>
          </w:p>
        </w:tc>
        <w:tc>
          <w:tcPr>
            <w:tcW w:w="6477" w:type="dxa"/>
            <w:vAlign w:val="center"/>
          </w:tcPr>
          <w:p>
            <w:pPr>
              <w:pStyle w:val="12"/>
              <w:adjustRightInd w:val="0"/>
              <w:snapToGrid w:val="0"/>
              <w:jc w:val="both"/>
              <w:rPr>
                <w:rFonts w:cs="Times New Roman" w:asciiTheme="minorEastAsia" w:hAnsiTheme="minorEastAsia" w:eastAsiaTheme="minorEastAsia"/>
                <w:kern w:val="2"/>
              </w:rPr>
            </w:pPr>
            <w:r>
              <w:rPr>
                <w:rFonts w:hint="eastAsia" w:cs="Times New Roman" w:asciiTheme="minorEastAsia" w:hAnsiTheme="minorEastAsia" w:eastAsiaTheme="minorEastAsia"/>
                <w:kern w:val="2"/>
              </w:rPr>
              <w:t>提供网络布线、交换机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2045" w:type="dxa"/>
            <w:vAlign w:val="center"/>
          </w:tcPr>
          <w:p>
            <w:pPr>
              <w:pStyle w:val="12"/>
              <w:adjustRightInd w:val="0"/>
              <w:snapToGrid w:val="0"/>
              <w:jc w:val="both"/>
              <w:rPr>
                <w:kern w:val="2"/>
              </w:rPr>
            </w:pPr>
            <w:r>
              <w:rPr>
                <w:rFonts w:hint="eastAsia" w:cs="Times New Roman"/>
                <w:kern w:val="2"/>
              </w:rPr>
              <w:t>竞赛服务器</w:t>
            </w:r>
          </w:p>
        </w:tc>
        <w:tc>
          <w:tcPr>
            <w:tcW w:w="6477" w:type="dxa"/>
            <w:vAlign w:val="center"/>
          </w:tcPr>
          <w:p>
            <w:pPr>
              <w:pStyle w:val="12"/>
              <w:adjustRightInd w:val="0"/>
              <w:snapToGrid w:val="0"/>
              <w:jc w:val="both"/>
              <w:rPr>
                <w:kern w:val="2"/>
              </w:rPr>
            </w:pPr>
            <w:r>
              <w:rPr>
                <w:rFonts w:hint="eastAsia"/>
                <w:kern w:val="2"/>
                <w:szCs w:val="21"/>
              </w:rPr>
              <w:t>CPU：Xeon 2.0G（双核）以上；内存：16GB（含）以上；硬盘：2T（含）以上，有C盘，D盘两个以上硬盘分区；网卡：千兆网卡；操作系统： Windows Server 2008 R2 SP1（或Windows Server 2008 Service Pack 2、Windows Server 2012、Windows Server 2012 R2），安装IIS 7.0以上；数据库： Microsoft SQL Server 2008 R2</w:t>
            </w:r>
          </w:p>
        </w:tc>
      </w:tr>
    </w:tbl>
    <w:p>
      <w:pPr>
        <w:snapToGrid w:val="0"/>
        <w:spacing w:line="560" w:lineRule="exact"/>
        <w:ind w:firstLine="600" w:firstLineChars="200"/>
        <w:rPr>
          <w:rFonts w:ascii="仿宋_GB2312" w:hAnsi="Arial Narrow" w:eastAsia="仿宋_GB2312" w:cs="Arial"/>
          <w:sz w:val="30"/>
          <w:szCs w:val="30"/>
        </w:rPr>
      </w:pPr>
      <w:bookmarkStart w:id="26" w:name="_Toc460925255"/>
      <w:r>
        <w:rPr>
          <w:rFonts w:hint="eastAsia" w:ascii="仿宋_GB2312" w:hAnsi="Arial Narrow" w:eastAsia="仿宋_GB2312" w:cs="Arial"/>
          <w:sz w:val="30"/>
          <w:szCs w:val="30"/>
        </w:rPr>
        <w:t>（二）技术平台</w:t>
      </w:r>
      <w:bookmarkEnd w:id="26"/>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竞赛所采用技术平台为互联网+国际贸易综合技能实训与竞赛平台软件。</w:t>
      </w:r>
    </w:p>
    <w:p>
      <w:pPr>
        <w:snapToGrid w:val="0"/>
        <w:spacing w:line="560" w:lineRule="exact"/>
        <w:ind w:firstLine="600" w:firstLineChars="200"/>
        <w:rPr>
          <w:rFonts w:ascii="仿宋_GB2312" w:hAnsi="Arial Narrow" w:eastAsia="仿宋_GB2312" w:cs="Arial"/>
          <w:sz w:val="30"/>
          <w:szCs w:val="30"/>
        </w:rPr>
      </w:pPr>
      <w:bookmarkStart w:id="27" w:name="_Toc460925256"/>
      <w:r>
        <w:rPr>
          <w:rFonts w:hint="eastAsia" w:ascii="仿宋_GB2312" w:hAnsi="Arial Narrow" w:eastAsia="仿宋_GB2312" w:cs="Arial"/>
          <w:sz w:val="30"/>
          <w:szCs w:val="30"/>
        </w:rPr>
        <w:t>（三）场地要求</w:t>
      </w:r>
      <w:bookmarkEnd w:id="27"/>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1.</w:t>
      </w:r>
      <w:r>
        <w:rPr>
          <w:rFonts w:hint="eastAsia"/>
        </w:rPr>
        <w:t xml:space="preserve"> </w:t>
      </w:r>
      <w:r>
        <w:rPr>
          <w:rFonts w:hint="eastAsia" w:ascii="仿宋_GB2312" w:hAnsi="Arial Narrow" w:eastAsia="仿宋_GB2312" w:cs="Arial"/>
          <w:sz w:val="30"/>
          <w:szCs w:val="30"/>
        </w:rPr>
        <w:t>竞赛根据模块设置不同竞赛场地，其中外贸业务能力B2B模块和外贸跟单能力模块使用同一竞赛场地。</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外贸业务能力B2B模块和外贸跟单能力模块所使用的竞赛场地设在体育馆或电脑机房，场地内设置满足80个团队的竞赛环境，场地将根据报名参赛队伍数量分隔成多个区域，每个区域内设置多个赛位。一个参赛队的每个小组的两名选手一个机位，每个机位两台电脑，其中一台电脑备用，桌椅备足。比赛期间，每个参赛队的2组选手被分配在不同的区域。比赛连续进行，比赛过程中不同组选手不允许进行接触和交流。</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外贸业务能力B2C模块竞赛场地配备一定数量的计算机及备用机，可满足一定数量的选手同时进行比赛。比赛期间，不同组选手不允许进行接触和交流。</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外贸英语沟通能力模块竞赛场地设候赛室、备赛室、赛室及完赛隔离区。</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2.竞赛主场地内设置主席台、裁判席，便于竞赛全程的监督。</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3.竞赛场地内设置背景板、宣传横幅及壁挂图，营造竞赛氛围。</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4.局域网络。采用星形网络拓扑结构，安装千兆交换机。网线与电源线隐蔽铺设。采用独立网络环境，不连接INTERNET，禁止外部电脑接入。</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5.安全保障。采用统一的杀毒软件对服务器进行防毒保护。屏蔽竞赛现场使用的电脑USB接口。部署具有网络管理、账号管理和日志管理功能的综合监控系统。</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6.采用双路供电；利用UPS防止现场因突然断电导致的系统数据丢失，额定功率：3KVA，后备时间：2小时，电池类型：输出电压：230V±5%V。</w:t>
      </w:r>
    </w:p>
    <w:p>
      <w:pPr>
        <w:pStyle w:val="2"/>
        <w:ind w:firstLine="600"/>
        <w:rPr>
          <w:rFonts w:ascii="Arial Narrow" w:hAnsi="Arial Narrow" w:eastAsia="仿宋_GB2312" w:cs="Arial"/>
        </w:rPr>
      </w:pPr>
      <w:bookmarkStart w:id="28" w:name="_Toc522017702"/>
      <w:r>
        <w:rPr>
          <w:rFonts w:hint="eastAsia"/>
        </w:rPr>
        <w:t>十四、安全保障</w:t>
      </w:r>
      <w:bookmarkEnd w:id="28"/>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赛事安全是技能竞赛一切工作顺利开展的先决条件，是赛事筹备和运行工作必须考虑的核心问题。赛项执委会采取切实有效措施保证大赛期间参赛选手、指导教师、工作人员及观众的人身安全。</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（一）比赛环境</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1.执委会在赛前组织专人对比赛现场、住宿场所和交通保障进行考察，并对安全工作提出明确要求。赛场的布置，赛场内的器材、设备，应符合国家有关安全规定。如有必要，也可进行赛场仿真模拟测试，以发现可能出现的问题。承办单位赛前须按照执委会要求排除安全隐患。</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2.赛场周围设立警戒线，防止无关人员进入发生意外事件。</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3.承办单位应提供保证应急预案实施的条件。</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4.执委会会同承办单位制定开放赛场和体验区的人员疏导方案。赛场环境中存在人员密集的区域，除了设置齐全的指示标志外，增加引导人员，并开辟备用通道。</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5.大赛期间，承办单位须在赛场管理的关键岗位，增加力量，建立安全管理日志。</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6.参赛选手进入赛位，赛事裁判及工作人员进入竞赛场所，严禁携带通讯、照相摄录设备，禁止携带记录用具。如确有需要，由赛场统一配置、统一管理。赛项可根据需要配置安检设备对进入赛场重要部位的人员进行安检。</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（二）生活条件</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1.比赛期间，原则上由执委会统一安排参赛选手和指导教师食宿。承办单位须尊重少数民族的信仰及文化，根据国家相关的民族政策，安排好少数民族选手和教师的饮食起居。</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2.比赛期间安排的住宿地应具有宾馆/住宿经营许可资质。以学校宿舍作为住宿地的，大赛期间的住宿、卫生、饮食安全等由执委会和提供宿舍的学校共同负责。</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3.大赛期间有组织的参观和观摩活动的交通安全由执委会负责。执委会和承办单位须保证比赛期间选手、指导教师和裁判员、工作人员的交通安全。</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4.各赛项的安全管理，除了可以采取必要的安全隔离措施外，应严格遵守国家相关法律法规，保护个人隐私和人身自由。</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（三）组队责任</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1.各学校组织代表队时，须安排为参赛选手购买大赛期间的人身意外伤害保险。</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2.各学校代表队组成后，须制定相关管理制度，并对所有选手、指导教师进行安全教育。</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3.各参赛队伍须加强对参与比赛人员的安全管理，实现与赛场安全管理的对接。</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（四）应急处理</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比赛期间发生意外事故，发现者应第一时间报告赛项执委会，同时采取措施避免事态扩大。赛项执委会应立即启动预案予以解决并上报大赛执委会。赛项出现重大安全问题可以停赛，是否停赛由赛项执委会决定。事后，赛项执委会应向大赛执委会报告详细情况。</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（五）处罚措施</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1.因参赛队伍原因造成重大安全事故的，取消其获奖资格。</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2.参赛队伍有发生重大安全事故隐患，经赛场工作人员提示、警告无效的，可取消其继续比赛的资格。</w:t>
      </w:r>
    </w:p>
    <w:p>
      <w:pPr>
        <w:spacing w:line="560" w:lineRule="exact"/>
        <w:ind w:firstLine="600" w:firstLineChars="200"/>
        <w:rPr>
          <w:rFonts w:ascii="仿宋_GB2312" w:hAnsi="Arial Narrow" w:eastAsia="仿宋_GB2312" w:cs="宋体"/>
          <w:sz w:val="30"/>
          <w:szCs w:val="30"/>
        </w:rPr>
      </w:pPr>
      <w:r>
        <w:rPr>
          <w:rFonts w:hint="eastAsia" w:ascii="仿宋_GB2312" w:hAnsi="Arial Narrow" w:eastAsia="仿宋_GB2312" w:cs="宋体"/>
          <w:sz w:val="30"/>
          <w:szCs w:val="30"/>
        </w:rPr>
        <w:t>3.赛事工作人员违规的，按照相应的制度追究责任。情节恶劣并造成重大安全事故的，由司法机关追究相应法律责任。</w:t>
      </w:r>
    </w:p>
    <w:p>
      <w:pPr>
        <w:pStyle w:val="2"/>
        <w:ind w:firstLine="600"/>
      </w:pPr>
      <w:bookmarkStart w:id="29" w:name="_Toc522017703"/>
      <w:r>
        <w:rPr>
          <w:rFonts w:hint="eastAsia"/>
        </w:rPr>
        <w:t>十五、经费概算</w:t>
      </w:r>
      <w:bookmarkEnd w:id="29"/>
    </w:p>
    <w:p>
      <w:pPr>
        <w:snapToGrid w:val="0"/>
        <w:spacing w:line="560" w:lineRule="exact"/>
        <w:jc w:val="center"/>
        <w:rPr>
          <w:rFonts w:cs="Arial" w:asciiTheme="minorEastAsia" w:hAnsiTheme="minorEastAsia"/>
          <w:kern w:val="0"/>
          <w:sz w:val="24"/>
          <w:szCs w:val="24"/>
        </w:rPr>
      </w:pPr>
      <w:r>
        <w:rPr>
          <w:rFonts w:hint="eastAsia" w:cs="Arial" w:asciiTheme="minorEastAsia" w:hAnsiTheme="minorEastAsia"/>
          <w:kern w:val="0"/>
          <w:sz w:val="24"/>
          <w:szCs w:val="24"/>
        </w:rPr>
        <w:t>表11 竞赛经费概算</w:t>
      </w:r>
    </w:p>
    <w:tbl>
      <w:tblPr>
        <w:tblStyle w:val="17"/>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5916"/>
        <w:gridCol w:w="2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blHeader/>
        </w:trPr>
        <w:tc>
          <w:tcPr>
            <w:tcW w:w="878" w:type="dxa"/>
            <w:vAlign w:val="center"/>
          </w:tcPr>
          <w:p>
            <w:pPr>
              <w:snapToGrid w:val="0"/>
              <w:jc w:val="center"/>
              <w:rPr>
                <w:rFonts w:ascii="宋体" w:hAnsi="宋体"/>
                <w:b/>
                <w:sz w:val="24"/>
                <w:szCs w:val="24"/>
              </w:rPr>
            </w:pPr>
            <w:r>
              <w:rPr>
                <w:rFonts w:hint="eastAsia" w:ascii="宋体" w:hAnsi="宋体"/>
                <w:b/>
                <w:sz w:val="24"/>
                <w:szCs w:val="24"/>
              </w:rPr>
              <w:t>序号</w:t>
            </w:r>
          </w:p>
        </w:tc>
        <w:tc>
          <w:tcPr>
            <w:tcW w:w="5916" w:type="dxa"/>
            <w:vAlign w:val="center"/>
          </w:tcPr>
          <w:p>
            <w:pPr>
              <w:snapToGrid w:val="0"/>
              <w:jc w:val="center"/>
              <w:rPr>
                <w:rFonts w:ascii="宋体" w:hAnsi="宋体"/>
                <w:b/>
                <w:sz w:val="24"/>
                <w:szCs w:val="24"/>
              </w:rPr>
            </w:pPr>
            <w:r>
              <w:rPr>
                <w:rFonts w:hint="eastAsia" w:ascii="宋体" w:hAnsi="宋体"/>
                <w:b/>
                <w:sz w:val="24"/>
                <w:szCs w:val="24"/>
              </w:rPr>
              <w:t>资金用途</w:t>
            </w:r>
          </w:p>
        </w:tc>
        <w:tc>
          <w:tcPr>
            <w:tcW w:w="2245" w:type="dxa"/>
            <w:vAlign w:val="center"/>
          </w:tcPr>
          <w:p>
            <w:pPr>
              <w:snapToGrid w:val="0"/>
              <w:jc w:val="center"/>
              <w:rPr>
                <w:rFonts w:ascii="宋体" w:hAnsi="宋体"/>
                <w:b/>
                <w:sz w:val="24"/>
                <w:szCs w:val="24"/>
              </w:rPr>
            </w:pPr>
            <w:r>
              <w:rPr>
                <w:rFonts w:hint="eastAsia" w:ascii="宋体" w:hAnsi="宋体"/>
                <w:b/>
                <w:sz w:val="24"/>
                <w:szCs w:val="24"/>
              </w:rPr>
              <w:t>预算费用（万元）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878" w:type="dxa"/>
            <w:vAlign w:val="center"/>
          </w:tcPr>
          <w:p>
            <w:pPr>
              <w:snapToGrid w:val="0"/>
              <w:jc w:val="center"/>
              <w:rPr>
                <w:rFonts w:ascii="宋体" w:hAnsi="宋体"/>
                <w:sz w:val="24"/>
                <w:szCs w:val="24"/>
              </w:rPr>
            </w:pPr>
            <w:r>
              <w:rPr>
                <w:rFonts w:hint="eastAsia" w:ascii="宋体" w:hAnsi="宋体"/>
                <w:sz w:val="24"/>
                <w:szCs w:val="24"/>
              </w:rPr>
              <w:t>1</w:t>
            </w:r>
          </w:p>
        </w:tc>
        <w:tc>
          <w:tcPr>
            <w:tcW w:w="5916" w:type="dxa"/>
            <w:vAlign w:val="center"/>
          </w:tcPr>
          <w:p>
            <w:pPr>
              <w:snapToGrid w:val="0"/>
              <w:rPr>
                <w:rFonts w:ascii="宋体" w:hAnsi="宋体"/>
                <w:sz w:val="24"/>
                <w:szCs w:val="24"/>
              </w:rPr>
            </w:pPr>
            <w:r>
              <w:rPr>
                <w:rFonts w:hint="eastAsia" w:ascii="宋体" w:hAnsi="宋体"/>
                <w:sz w:val="24"/>
                <w:szCs w:val="24"/>
              </w:rPr>
              <w:t>专家筹备会（含差旅交通、食宿）、赛题库开发</w:t>
            </w:r>
          </w:p>
        </w:tc>
        <w:tc>
          <w:tcPr>
            <w:tcW w:w="2245" w:type="dxa"/>
            <w:vAlign w:val="center"/>
          </w:tcPr>
          <w:p>
            <w:pPr>
              <w:snapToGrid w:val="0"/>
              <w:jc w:val="center"/>
              <w:rPr>
                <w:rFonts w:ascii="宋体" w:hAnsi="宋体"/>
                <w:sz w:val="24"/>
                <w:szCs w:val="24"/>
              </w:rPr>
            </w:pPr>
            <w:r>
              <w:rPr>
                <w:rFonts w:ascii="宋体" w:hAnsi="宋体"/>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878" w:type="dxa"/>
            <w:vAlign w:val="center"/>
          </w:tcPr>
          <w:p>
            <w:pPr>
              <w:snapToGrid w:val="0"/>
              <w:jc w:val="center"/>
              <w:rPr>
                <w:rFonts w:ascii="宋体" w:hAnsi="宋体"/>
                <w:sz w:val="24"/>
                <w:szCs w:val="24"/>
              </w:rPr>
            </w:pPr>
            <w:r>
              <w:rPr>
                <w:rFonts w:hint="eastAsia" w:ascii="宋体" w:hAnsi="宋体"/>
                <w:sz w:val="24"/>
                <w:szCs w:val="24"/>
              </w:rPr>
              <w:t>2</w:t>
            </w:r>
          </w:p>
        </w:tc>
        <w:tc>
          <w:tcPr>
            <w:tcW w:w="5916" w:type="dxa"/>
            <w:vAlign w:val="center"/>
          </w:tcPr>
          <w:p>
            <w:pPr>
              <w:snapToGrid w:val="0"/>
              <w:rPr>
                <w:rFonts w:ascii="宋体" w:hAnsi="宋体"/>
                <w:sz w:val="24"/>
                <w:szCs w:val="24"/>
              </w:rPr>
            </w:pPr>
            <w:r>
              <w:rPr>
                <w:rFonts w:hint="eastAsia" w:ascii="宋体" w:hAnsi="宋体"/>
                <w:sz w:val="24"/>
                <w:szCs w:val="24"/>
              </w:rPr>
              <w:t>全国赛前说明会</w:t>
            </w:r>
          </w:p>
        </w:tc>
        <w:tc>
          <w:tcPr>
            <w:tcW w:w="2245" w:type="dxa"/>
            <w:vAlign w:val="center"/>
          </w:tcPr>
          <w:p>
            <w:pPr>
              <w:snapToGrid w:val="0"/>
              <w:jc w:val="center"/>
              <w:rPr>
                <w:rFonts w:ascii="宋体" w:hAnsi="宋体"/>
                <w:sz w:val="24"/>
                <w:szCs w:val="24"/>
              </w:rPr>
            </w:pPr>
            <w:r>
              <w:rPr>
                <w:rFonts w:hint="eastAsia" w:ascii="宋体" w:hAnsi="宋体"/>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878" w:type="dxa"/>
            <w:vAlign w:val="center"/>
          </w:tcPr>
          <w:p>
            <w:pPr>
              <w:snapToGrid w:val="0"/>
              <w:jc w:val="center"/>
              <w:rPr>
                <w:rFonts w:ascii="宋体" w:hAnsi="宋体"/>
                <w:sz w:val="24"/>
                <w:szCs w:val="24"/>
              </w:rPr>
            </w:pPr>
            <w:r>
              <w:rPr>
                <w:rFonts w:hint="eastAsia" w:ascii="宋体" w:hAnsi="宋体"/>
                <w:sz w:val="24"/>
                <w:szCs w:val="24"/>
              </w:rPr>
              <w:t>3</w:t>
            </w:r>
          </w:p>
        </w:tc>
        <w:tc>
          <w:tcPr>
            <w:tcW w:w="5916" w:type="dxa"/>
            <w:vAlign w:val="center"/>
          </w:tcPr>
          <w:p>
            <w:pPr>
              <w:snapToGrid w:val="0"/>
              <w:rPr>
                <w:rFonts w:ascii="宋体" w:hAnsi="宋体"/>
                <w:sz w:val="24"/>
                <w:szCs w:val="24"/>
              </w:rPr>
            </w:pPr>
            <w:r>
              <w:rPr>
                <w:rFonts w:hint="eastAsia" w:ascii="宋体" w:hAnsi="宋体"/>
                <w:sz w:val="24"/>
                <w:szCs w:val="24"/>
              </w:rPr>
              <w:t>竞赛</w:t>
            </w:r>
            <w:r>
              <w:rPr>
                <w:rFonts w:ascii="宋体" w:hAnsi="宋体"/>
                <w:sz w:val="24"/>
                <w:szCs w:val="24"/>
              </w:rPr>
              <w:t>软件平台</w:t>
            </w:r>
          </w:p>
        </w:tc>
        <w:tc>
          <w:tcPr>
            <w:tcW w:w="2245" w:type="dxa"/>
            <w:vAlign w:val="center"/>
          </w:tcPr>
          <w:p>
            <w:pPr>
              <w:snapToGrid w:val="0"/>
              <w:jc w:val="center"/>
              <w:rPr>
                <w:rFonts w:ascii="宋体" w:hAnsi="宋体"/>
                <w:sz w:val="24"/>
                <w:szCs w:val="24"/>
              </w:rPr>
            </w:pPr>
            <w:r>
              <w:rPr>
                <w:rFonts w:hint="eastAsia" w:ascii="宋体" w:hAnsi="宋体"/>
                <w:sz w:val="24"/>
                <w:szCs w:val="24"/>
              </w:rPr>
              <w:t>厂商提供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878" w:type="dxa"/>
            <w:vAlign w:val="center"/>
          </w:tcPr>
          <w:p>
            <w:pPr>
              <w:snapToGrid w:val="0"/>
              <w:jc w:val="center"/>
              <w:rPr>
                <w:rFonts w:ascii="宋体" w:hAnsi="宋体"/>
                <w:sz w:val="24"/>
                <w:szCs w:val="24"/>
              </w:rPr>
            </w:pPr>
            <w:r>
              <w:rPr>
                <w:rFonts w:hint="eastAsia" w:ascii="宋体" w:hAnsi="宋体"/>
                <w:sz w:val="24"/>
                <w:szCs w:val="24"/>
              </w:rPr>
              <w:t>4</w:t>
            </w:r>
          </w:p>
        </w:tc>
        <w:tc>
          <w:tcPr>
            <w:tcW w:w="5916" w:type="dxa"/>
            <w:vAlign w:val="center"/>
          </w:tcPr>
          <w:p>
            <w:pPr>
              <w:snapToGrid w:val="0"/>
              <w:rPr>
                <w:rFonts w:ascii="宋体" w:hAnsi="宋体"/>
                <w:sz w:val="24"/>
                <w:szCs w:val="24"/>
              </w:rPr>
            </w:pPr>
            <w:r>
              <w:rPr>
                <w:rFonts w:hint="eastAsia" w:ascii="宋体" w:hAnsi="宋体"/>
                <w:sz w:val="24"/>
                <w:szCs w:val="24"/>
              </w:rPr>
              <w:t>赛场环境布置</w:t>
            </w:r>
          </w:p>
        </w:tc>
        <w:tc>
          <w:tcPr>
            <w:tcW w:w="2245" w:type="dxa"/>
            <w:vAlign w:val="center"/>
          </w:tcPr>
          <w:p>
            <w:pPr>
              <w:snapToGrid w:val="0"/>
              <w:jc w:val="center"/>
              <w:rPr>
                <w:rFonts w:ascii="宋体" w:hAnsi="宋体"/>
                <w:sz w:val="24"/>
                <w:szCs w:val="24"/>
              </w:rPr>
            </w:pPr>
            <w:r>
              <w:rPr>
                <w:rFonts w:hint="eastAsia" w:ascii="宋体" w:hAnsi="宋体"/>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878" w:type="dxa"/>
            <w:vAlign w:val="center"/>
          </w:tcPr>
          <w:p>
            <w:pPr>
              <w:snapToGrid w:val="0"/>
              <w:jc w:val="center"/>
              <w:rPr>
                <w:rFonts w:ascii="宋体" w:hAnsi="宋体"/>
                <w:sz w:val="24"/>
                <w:szCs w:val="24"/>
              </w:rPr>
            </w:pPr>
            <w:r>
              <w:rPr>
                <w:rFonts w:hint="eastAsia" w:ascii="宋体" w:hAnsi="宋体"/>
                <w:sz w:val="24"/>
                <w:szCs w:val="24"/>
              </w:rPr>
              <w:t>5</w:t>
            </w:r>
          </w:p>
        </w:tc>
        <w:tc>
          <w:tcPr>
            <w:tcW w:w="5916" w:type="dxa"/>
            <w:vAlign w:val="center"/>
          </w:tcPr>
          <w:p>
            <w:pPr>
              <w:snapToGrid w:val="0"/>
              <w:rPr>
                <w:rFonts w:ascii="宋体" w:hAnsi="宋体"/>
                <w:sz w:val="24"/>
                <w:szCs w:val="24"/>
              </w:rPr>
            </w:pPr>
            <w:r>
              <w:rPr>
                <w:rFonts w:hint="eastAsia" w:ascii="宋体" w:hAnsi="宋体"/>
                <w:sz w:val="24"/>
                <w:szCs w:val="24"/>
              </w:rPr>
              <w:t>赛事用车与交通费用</w:t>
            </w:r>
          </w:p>
        </w:tc>
        <w:tc>
          <w:tcPr>
            <w:tcW w:w="2245" w:type="dxa"/>
            <w:vAlign w:val="center"/>
          </w:tcPr>
          <w:p>
            <w:pPr>
              <w:snapToGrid w:val="0"/>
              <w:jc w:val="center"/>
              <w:rPr>
                <w:rFonts w:ascii="宋体" w:hAnsi="宋体"/>
                <w:sz w:val="24"/>
                <w:szCs w:val="24"/>
              </w:rPr>
            </w:pPr>
            <w:r>
              <w:rPr>
                <w:rFonts w:hint="eastAsia" w:ascii="宋体" w:hAnsi="宋体"/>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878" w:type="dxa"/>
            <w:vAlign w:val="center"/>
          </w:tcPr>
          <w:p>
            <w:pPr>
              <w:snapToGrid w:val="0"/>
              <w:jc w:val="center"/>
              <w:rPr>
                <w:rFonts w:ascii="宋体" w:hAnsi="宋体"/>
                <w:sz w:val="24"/>
                <w:szCs w:val="24"/>
              </w:rPr>
            </w:pPr>
            <w:r>
              <w:rPr>
                <w:rFonts w:hint="eastAsia" w:ascii="宋体" w:hAnsi="宋体"/>
                <w:sz w:val="24"/>
                <w:szCs w:val="24"/>
              </w:rPr>
              <w:t>6</w:t>
            </w:r>
          </w:p>
        </w:tc>
        <w:tc>
          <w:tcPr>
            <w:tcW w:w="5916" w:type="dxa"/>
            <w:vAlign w:val="center"/>
          </w:tcPr>
          <w:p>
            <w:pPr>
              <w:snapToGrid w:val="0"/>
              <w:rPr>
                <w:rFonts w:ascii="宋体" w:hAnsi="宋体"/>
                <w:sz w:val="24"/>
                <w:szCs w:val="24"/>
              </w:rPr>
            </w:pPr>
            <w:r>
              <w:rPr>
                <w:rFonts w:hint="eastAsia" w:ascii="宋体" w:hAnsi="宋体"/>
                <w:sz w:val="24"/>
                <w:szCs w:val="24"/>
              </w:rPr>
              <w:t>专家、监考和裁判、现场技术支持、后勤保障劳务费</w:t>
            </w:r>
          </w:p>
        </w:tc>
        <w:tc>
          <w:tcPr>
            <w:tcW w:w="2245" w:type="dxa"/>
            <w:vAlign w:val="center"/>
          </w:tcPr>
          <w:p>
            <w:pPr>
              <w:snapToGrid w:val="0"/>
              <w:jc w:val="center"/>
              <w:rPr>
                <w:rFonts w:ascii="宋体" w:hAnsi="宋体"/>
                <w:sz w:val="24"/>
                <w:szCs w:val="24"/>
              </w:rPr>
            </w:pPr>
            <w:r>
              <w:rPr>
                <w:rFonts w:hint="eastAsia" w:ascii="宋体" w:hAnsi="宋体"/>
                <w:sz w:val="24"/>
                <w:szCs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878" w:type="dxa"/>
            <w:vAlign w:val="center"/>
          </w:tcPr>
          <w:p>
            <w:pPr>
              <w:snapToGrid w:val="0"/>
              <w:jc w:val="center"/>
              <w:rPr>
                <w:rFonts w:ascii="宋体" w:hAnsi="宋体"/>
                <w:sz w:val="24"/>
                <w:szCs w:val="24"/>
              </w:rPr>
            </w:pPr>
            <w:r>
              <w:rPr>
                <w:rFonts w:hint="eastAsia" w:ascii="宋体" w:hAnsi="宋体"/>
                <w:sz w:val="24"/>
                <w:szCs w:val="24"/>
              </w:rPr>
              <w:t>7</w:t>
            </w:r>
          </w:p>
        </w:tc>
        <w:tc>
          <w:tcPr>
            <w:tcW w:w="5916" w:type="dxa"/>
            <w:vAlign w:val="center"/>
          </w:tcPr>
          <w:p>
            <w:pPr>
              <w:snapToGrid w:val="0"/>
              <w:rPr>
                <w:rFonts w:ascii="宋体" w:hAnsi="宋体"/>
                <w:sz w:val="24"/>
                <w:szCs w:val="24"/>
              </w:rPr>
            </w:pPr>
            <w:r>
              <w:rPr>
                <w:rFonts w:hint="eastAsia" w:ascii="宋体" w:hAnsi="宋体"/>
                <w:sz w:val="24"/>
                <w:szCs w:val="24"/>
              </w:rPr>
              <w:t>场馆综合布线及保障</w:t>
            </w:r>
          </w:p>
        </w:tc>
        <w:tc>
          <w:tcPr>
            <w:tcW w:w="2245" w:type="dxa"/>
            <w:vAlign w:val="center"/>
          </w:tcPr>
          <w:p>
            <w:pPr>
              <w:snapToGrid w:val="0"/>
              <w:jc w:val="center"/>
              <w:rPr>
                <w:rFonts w:ascii="宋体" w:hAnsi="宋体"/>
                <w:sz w:val="24"/>
                <w:szCs w:val="24"/>
              </w:rPr>
            </w:pPr>
            <w:r>
              <w:rPr>
                <w:rFonts w:ascii="宋体" w:hAnsi="宋体"/>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878" w:type="dxa"/>
            <w:vAlign w:val="center"/>
          </w:tcPr>
          <w:p>
            <w:pPr>
              <w:snapToGrid w:val="0"/>
              <w:jc w:val="center"/>
              <w:rPr>
                <w:rFonts w:ascii="宋体" w:hAnsi="宋体"/>
                <w:sz w:val="24"/>
                <w:szCs w:val="24"/>
              </w:rPr>
            </w:pPr>
            <w:r>
              <w:rPr>
                <w:rFonts w:hint="eastAsia" w:ascii="宋体" w:hAnsi="宋体"/>
                <w:sz w:val="24"/>
                <w:szCs w:val="24"/>
              </w:rPr>
              <w:t>8</w:t>
            </w:r>
          </w:p>
        </w:tc>
        <w:tc>
          <w:tcPr>
            <w:tcW w:w="5916" w:type="dxa"/>
            <w:vAlign w:val="center"/>
          </w:tcPr>
          <w:p>
            <w:pPr>
              <w:snapToGrid w:val="0"/>
              <w:rPr>
                <w:rFonts w:ascii="宋体" w:hAnsi="宋体"/>
                <w:sz w:val="24"/>
                <w:szCs w:val="24"/>
              </w:rPr>
            </w:pPr>
            <w:r>
              <w:rPr>
                <w:rFonts w:hint="eastAsia" w:ascii="宋体" w:hAnsi="宋体"/>
                <w:sz w:val="24"/>
                <w:szCs w:val="24"/>
              </w:rPr>
              <w:t>参赛选手奖品</w:t>
            </w:r>
          </w:p>
        </w:tc>
        <w:tc>
          <w:tcPr>
            <w:tcW w:w="2245" w:type="dxa"/>
            <w:vAlign w:val="center"/>
          </w:tcPr>
          <w:p>
            <w:pPr>
              <w:snapToGrid w:val="0"/>
              <w:jc w:val="center"/>
              <w:rPr>
                <w:rFonts w:ascii="宋体" w:hAnsi="宋体"/>
                <w:sz w:val="24"/>
                <w:szCs w:val="24"/>
              </w:rPr>
            </w:pPr>
            <w:r>
              <w:rPr>
                <w:rFonts w:ascii="宋体" w:hAnsi="宋体"/>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878" w:type="dxa"/>
            <w:vAlign w:val="center"/>
          </w:tcPr>
          <w:p>
            <w:pPr>
              <w:snapToGrid w:val="0"/>
              <w:jc w:val="center"/>
              <w:rPr>
                <w:rFonts w:ascii="宋体" w:hAnsi="宋体"/>
                <w:sz w:val="24"/>
                <w:szCs w:val="24"/>
              </w:rPr>
            </w:pPr>
            <w:r>
              <w:rPr>
                <w:rFonts w:hint="eastAsia" w:ascii="宋体" w:hAnsi="宋体"/>
                <w:sz w:val="24"/>
                <w:szCs w:val="24"/>
              </w:rPr>
              <w:t>9</w:t>
            </w:r>
          </w:p>
        </w:tc>
        <w:tc>
          <w:tcPr>
            <w:tcW w:w="5916" w:type="dxa"/>
            <w:vAlign w:val="center"/>
          </w:tcPr>
          <w:p>
            <w:pPr>
              <w:snapToGrid w:val="0"/>
              <w:rPr>
                <w:rFonts w:ascii="宋体" w:hAnsi="宋体"/>
                <w:sz w:val="24"/>
                <w:szCs w:val="24"/>
              </w:rPr>
            </w:pPr>
            <w:r>
              <w:rPr>
                <w:rFonts w:hint="eastAsia" w:ascii="宋体" w:hAnsi="宋体"/>
                <w:sz w:val="24"/>
                <w:szCs w:val="24"/>
              </w:rPr>
              <w:t>竞赛指南印刷、选手服装等</w:t>
            </w:r>
          </w:p>
        </w:tc>
        <w:tc>
          <w:tcPr>
            <w:tcW w:w="2245" w:type="dxa"/>
            <w:vAlign w:val="center"/>
          </w:tcPr>
          <w:p>
            <w:pPr>
              <w:snapToGrid w:val="0"/>
              <w:jc w:val="center"/>
              <w:rPr>
                <w:rFonts w:ascii="宋体" w:hAnsi="宋体"/>
                <w:sz w:val="24"/>
                <w:szCs w:val="24"/>
              </w:rPr>
            </w:pPr>
            <w:r>
              <w:rPr>
                <w:rFonts w:hint="eastAsia" w:ascii="宋体" w:hAnsi="宋体"/>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878" w:type="dxa"/>
            <w:vAlign w:val="center"/>
          </w:tcPr>
          <w:p>
            <w:pPr>
              <w:snapToGrid w:val="0"/>
              <w:jc w:val="center"/>
              <w:rPr>
                <w:rFonts w:ascii="宋体" w:hAnsi="宋体"/>
                <w:sz w:val="24"/>
                <w:szCs w:val="24"/>
              </w:rPr>
            </w:pPr>
            <w:r>
              <w:rPr>
                <w:rFonts w:hint="eastAsia" w:ascii="宋体" w:hAnsi="宋体"/>
                <w:sz w:val="24"/>
                <w:szCs w:val="24"/>
              </w:rPr>
              <w:t>10</w:t>
            </w:r>
          </w:p>
        </w:tc>
        <w:tc>
          <w:tcPr>
            <w:tcW w:w="5916" w:type="dxa"/>
            <w:vAlign w:val="center"/>
          </w:tcPr>
          <w:p>
            <w:pPr>
              <w:snapToGrid w:val="0"/>
              <w:rPr>
                <w:rFonts w:ascii="宋体" w:hAnsi="宋体"/>
                <w:sz w:val="24"/>
                <w:szCs w:val="24"/>
              </w:rPr>
            </w:pPr>
            <w:r>
              <w:rPr>
                <w:rFonts w:hint="eastAsia" w:ascii="宋体" w:hAnsi="宋体"/>
                <w:sz w:val="24"/>
                <w:szCs w:val="24"/>
              </w:rPr>
              <w:t>专家、裁判、工作人员、志愿者、比赛选手餐费</w:t>
            </w:r>
          </w:p>
        </w:tc>
        <w:tc>
          <w:tcPr>
            <w:tcW w:w="2245" w:type="dxa"/>
            <w:vAlign w:val="center"/>
          </w:tcPr>
          <w:p>
            <w:pPr>
              <w:snapToGrid w:val="0"/>
              <w:jc w:val="center"/>
              <w:rPr>
                <w:rFonts w:ascii="宋体" w:hAnsi="宋体"/>
                <w:sz w:val="24"/>
                <w:szCs w:val="24"/>
              </w:rPr>
            </w:pPr>
            <w:r>
              <w:rPr>
                <w:rFonts w:hint="eastAsia" w:ascii="宋体" w:hAnsi="宋体"/>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878" w:type="dxa"/>
            <w:vAlign w:val="center"/>
          </w:tcPr>
          <w:p>
            <w:pPr>
              <w:snapToGrid w:val="0"/>
              <w:jc w:val="center"/>
              <w:rPr>
                <w:rFonts w:ascii="宋体" w:hAnsi="宋体"/>
                <w:sz w:val="24"/>
                <w:szCs w:val="24"/>
              </w:rPr>
            </w:pPr>
            <w:r>
              <w:rPr>
                <w:rFonts w:hint="eastAsia" w:ascii="宋体" w:hAnsi="宋体"/>
                <w:sz w:val="24"/>
                <w:szCs w:val="24"/>
              </w:rPr>
              <w:t>11</w:t>
            </w:r>
          </w:p>
        </w:tc>
        <w:tc>
          <w:tcPr>
            <w:tcW w:w="5916" w:type="dxa"/>
            <w:vAlign w:val="center"/>
          </w:tcPr>
          <w:p>
            <w:pPr>
              <w:snapToGrid w:val="0"/>
              <w:rPr>
                <w:rFonts w:ascii="宋体" w:hAnsi="宋体"/>
                <w:sz w:val="24"/>
                <w:szCs w:val="24"/>
              </w:rPr>
            </w:pPr>
            <w:r>
              <w:rPr>
                <w:rFonts w:hint="eastAsia" w:ascii="宋体" w:hAnsi="宋体"/>
                <w:sz w:val="24"/>
                <w:szCs w:val="24"/>
              </w:rPr>
              <w:t>不可预见费用（预留用以处理突发事件）</w:t>
            </w:r>
          </w:p>
        </w:tc>
        <w:tc>
          <w:tcPr>
            <w:tcW w:w="2245" w:type="dxa"/>
            <w:vAlign w:val="center"/>
          </w:tcPr>
          <w:p>
            <w:pPr>
              <w:snapToGrid w:val="0"/>
              <w:jc w:val="center"/>
              <w:rPr>
                <w:rFonts w:ascii="宋体" w:hAnsi="宋体"/>
                <w:sz w:val="24"/>
                <w:szCs w:val="24"/>
              </w:rPr>
            </w:pPr>
            <w:r>
              <w:rPr>
                <w:rFonts w:hint="eastAsia" w:ascii="宋体" w:hAnsi="宋体"/>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878" w:type="dxa"/>
            <w:vAlign w:val="center"/>
          </w:tcPr>
          <w:p>
            <w:pPr>
              <w:snapToGrid w:val="0"/>
              <w:jc w:val="center"/>
              <w:rPr>
                <w:rFonts w:ascii="宋体" w:hAnsi="宋体"/>
                <w:sz w:val="24"/>
                <w:szCs w:val="24"/>
              </w:rPr>
            </w:pPr>
            <w:r>
              <w:rPr>
                <w:rFonts w:hint="eastAsia" w:ascii="宋体" w:hAnsi="宋体"/>
                <w:sz w:val="24"/>
                <w:szCs w:val="24"/>
              </w:rPr>
              <w:t>12</w:t>
            </w:r>
          </w:p>
        </w:tc>
        <w:tc>
          <w:tcPr>
            <w:tcW w:w="5916" w:type="dxa"/>
            <w:vAlign w:val="center"/>
          </w:tcPr>
          <w:p>
            <w:pPr>
              <w:snapToGrid w:val="0"/>
              <w:rPr>
                <w:rFonts w:ascii="宋体" w:hAnsi="宋体"/>
                <w:sz w:val="24"/>
                <w:szCs w:val="24"/>
              </w:rPr>
            </w:pPr>
            <w:r>
              <w:rPr>
                <w:rFonts w:hint="eastAsia" w:ascii="宋体" w:hAnsi="宋体"/>
                <w:sz w:val="24"/>
                <w:szCs w:val="24"/>
              </w:rPr>
              <w:t>赛事录像以及资源转化的相关费用</w:t>
            </w:r>
          </w:p>
        </w:tc>
        <w:tc>
          <w:tcPr>
            <w:tcW w:w="2245" w:type="dxa"/>
            <w:vAlign w:val="center"/>
          </w:tcPr>
          <w:p>
            <w:pPr>
              <w:snapToGrid w:val="0"/>
              <w:jc w:val="center"/>
              <w:rPr>
                <w:rFonts w:ascii="宋体" w:hAnsi="宋体"/>
                <w:sz w:val="24"/>
                <w:szCs w:val="24"/>
              </w:rPr>
            </w:pPr>
            <w:r>
              <w:rPr>
                <w:rFonts w:hint="eastAsia" w:ascii="宋体" w:hAnsi="宋体"/>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6794" w:type="dxa"/>
            <w:gridSpan w:val="2"/>
            <w:vAlign w:val="center"/>
          </w:tcPr>
          <w:p>
            <w:pPr>
              <w:snapToGrid w:val="0"/>
              <w:jc w:val="right"/>
              <w:rPr>
                <w:rFonts w:ascii="宋体" w:hAnsi="宋体"/>
                <w:sz w:val="24"/>
                <w:szCs w:val="24"/>
              </w:rPr>
            </w:pPr>
            <w:r>
              <w:rPr>
                <w:rFonts w:hint="eastAsia" w:ascii="宋体" w:hAnsi="宋体"/>
                <w:sz w:val="24"/>
                <w:szCs w:val="24"/>
              </w:rPr>
              <w:t>合计</w:t>
            </w:r>
          </w:p>
        </w:tc>
        <w:tc>
          <w:tcPr>
            <w:tcW w:w="2245" w:type="dxa"/>
            <w:vAlign w:val="center"/>
          </w:tcPr>
          <w:p>
            <w:pPr>
              <w:snapToGrid w:val="0"/>
              <w:jc w:val="center"/>
              <w:rPr>
                <w:rFonts w:ascii="宋体" w:hAnsi="宋体"/>
                <w:sz w:val="24"/>
                <w:szCs w:val="24"/>
              </w:rPr>
            </w:pPr>
            <w:r>
              <w:rPr>
                <w:rFonts w:hint="eastAsia" w:ascii="宋体" w:hAnsi="宋体"/>
                <w:sz w:val="24"/>
                <w:szCs w:val="24"/>
              </w:rPr>
              <w:t>60</w:t>
            </w:r>
          </w:p>
        </w:tc>
      </w:tr>
    </w:tbl>
    <w:p>
      <w:pPr>
        <w:pStyle w:val="2"/>
        <w:ind w:firstLine="600"/>
      </w:pPr>
      <w:bookmarkStart w:id="30" w:name="_Toc522017704"/>
      <w:r>
        <w:rPr>
          <w:rFonts w:hint="eastAsia"/>
        </w:rPr>
        <w:t>十六、比赛组织与管理</w:t>
      </w:r>
      <w:bookmarkEnd w:id="30"/>
    </w:p>
    <w:p>
      <w:pPr>
        <w:ind w:firstLine="600" w:firstLineChars="200"/>
        <w:rPr>
          <w:rFonts w:ascii="仿宋_GB2312" w:hAnsi="仿宋" w:eastAsia="仿宋_GB2312"/>
          <w:sz w:val="30"/>
          <w:szCs w:val="30"/>
        </w:rPr>
      </w:pPr>
      <w:bookmarkStart w:id="31" w:name="_Toc492031538"/>
      <w:bookmarkStart w:id="32" w:name="_Toc460925265"/>
      <w:bookmarkStart w:id="33" w:name="_Toc492031236"/>
      <w:bookmarkStart w:id="34" w:name="_Toc522017424"/>
      <w:r>
        <w:rPr>
          <w:rFonts w:hint="eastAsia" w:ascii="仿宋_GB2312" w:hAnsi="仿宋" w:eastAsia="仿宋_GB2312"/>
          <w:sz w:val="30"/>
          <w:szCs w:val="30"/>
        </w:rPr>
        <w:t>（一）赛项执行委员会</w:t>
      </w:r>
      <w:bookmarkEnd w:id="31"/>
      <w:bookmarkEnd w:id="32"/>
      <w:bookmarkEnd w:id="33"/>
      <w:bookmarkEnd w:id="34"/>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由全国外经贸职业教育教学指导委员会、中国国际贸易学会、分赛区执委会、承办院校组建赛项执行委员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pPr>
        <w:ind w:firstLine="600" w:firstLineChars="200"/>
        <w:rPr>
          <w:rFonts w:ascii="仿宋_GB2312" w:eastAsia="仿宋_GB2312"/>
          <w:sz w:val="30"/>
          <w:szCs w:val="30"/>
        </w:rPr>
      </w:pPr>
      <w:bookmarkStart w:id="35" w:name="_Toc460925266"/>
      <w:bookmarkStart w:id="36" w:name="_Toc492031539"/>
      <w:bookmarkStart w:id="37" w:name="_Toc522017425"/>
      <w:bookmarkStart w:id="38" w:name="_Toc492031237"/>
      <w:r>
        <w:rPr>
          <w:rFonts w:hint="eastAsia" w:ascii="仿宋_GB2312" w:eastAsia="仿宋_GB2312"/>
          <w:sz w:val="30"/>
          <w:szCs w:val="30"/>
        </w:rPr>
        <w:t>（二）赛项专家组</w:t>
      </w:r>
      <w:bookmarkEnd w:id="35"/>
      <w:bookmarkEnd w:id="36"/>
      <w:bookmarkEnd w:id="37"/>
      <w:bookmarkEnd w:id="38"/>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赛项专家组负责本赛项技术文件编撰、竞赛命题、赛场设计、设备拟定、赛项裁判人员培训、赛项说明会组织、赛事咨询、教学成果展示体验、赛事观摩、赛事宣传方案设计、赛事技术评点、赛事成果转化以及赛项执委会安排的其他竞赛技术工作。</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大赛专家不得同时参与不同赛项的专家工作。专家组成员可兼任裁判长，但不能负责具体的裁判工作。专家组组长所在单位不得参加本赛项比赛。</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专家应遵守工作纪律，严格遵守赛题管理规定中的保密协议。不得透露与赛项有关的任何涉密信息，不得以专家身份私下接受参赛单位和个人聘请咨询讲课，不得收受他人的财物或者其他好处。</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专家要积极指导支持裁判工作，但不得影响和干扰裁判独立履行裁判职责。</w:t>
      </w:r>
    </w:p>
    <w:p>
      <w:pPr>
        <w:adjustRightInd w:val="0"/>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由赛项设计团队为主组建专家组。</w:t>
      </w:r>
    </w:p>
    <w:p>
      <w:pPr>
        <w:ind w:firstLine="600" w:firstLineChars="200"/>
        <w:rPr>
          <w:rFonts w:ascii="仿宋_GB2312" w:eastAsia="仿宋_GB2312"/>
          <w:sz w:val="30"/>
          <w:szCs w:val="30"/>
        </w:rPr>
      </w:pPr>
      <w:bookmarkStart w:id="39" w:name="_Toc460925267"/>
      <w:bookmarkStart w:id="40" w:name="_Toc492031238"/>
      <w:bookmarkStart w:id="41" w:name="_Toc492031540"/>
      <w:bookmarkStart w:id="42" w:name="_Toc522017426"/>
      <w:r>
        <w:rPr>
          <w:rFonts w:hint="eastAsia" w:ascii="仿宋_GB2312" w:eastAsia="仿宋_GB2312"/>
          <w:sz w:val="30"/>
          <w:szCs w:val="30"/>
        </w:rPr>
        <w:t>（三）赛项承办院校</w:t>
      </w:r>
      <w:bookmarkEnd w:id="39"/>
      <w:bookmarkEnd w:id="40"/>
      <w:bookmarkEnd w:id="41"/>
      <w:bookmarkEnd w:id="42"/>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全国职业院校技能大赛各赛项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pPr>
        <w:pStyle w:val="2"/>
        <w:ind w:firstLine="600"/>
        <w:rPr>
          <w:rFonts w:ascii="Arial Narrow" w:hAnsi="Arial Narrow" w:eastAsia="仿宋_GB2312" w:cs="Arial"/>
        </w:rPr>
      </w:pPr>
      <w:bookmarkStart w:id="43" w:name="_Toc522017705"/>
      <w:r>
        <w:rPr>
          <w:rFonts w:hint="eastAsia"/>
        </w:rPr>
        <w:t>十七、教学资源转化建设方案</w:t>
      </w:r>
      <w:bookmarkEnd w:id="43"/>
    </w:p>
    <w:p>
      <w:pPr>
        <w:snapToGrid w:val="0"/>
        <w:spacing w:line="560" w:lineRule="exact"/>
        <w:ind w:firstLine="600" w:firstLineChars="200"/>
        <w:rPr>
          <w:rFonts w:ascii="仿宋_GB2312" w:hAnsi="微软雅黑" w:eastAsia="仿宋_GB2312" w:cs="Arial"/>
          <w:sz w:val="30"/>
          <w:szCs w:val="30"/>
        </w:rPr>
      </w:pPr>
      <w:r>
        <w:rPr>
          <w:rFonts w:hint="eastAsia" w:ascii="仿宋_GB2312" w:hAnsi="微软雅黑" w:eastAsia="仿宋_GB2312" w:cs="Arial"/>
          <w:sz w:val="30"/>
          <w:szCs w:val="30"/>
        </w:rPr>
        <w:t>通过竞赛，立足于学生实践能力的培养需求，以大赛为框架，深入挖掘典型案例，积极扩大赛事影响，形成实训教学指导书、微课、教学实训任务、试题库等系列教学资源，同时继续在全国范围内举办配套行业赛事，扩大赛事参与面，提高学生参与度，让更多的学生能够从大赛中受益。</w:t>
      </w:r>
      <w:r>
        <w:rPr>
          <w:rFonts w:hint="eastAsia" w:ascii="仿宋_GB2312" w:hAnsi="仿宋" w:eastAsia="仿宋_GB2312"/>
          <w:color w:val="000000"/>
          <w:sz w:val="30"/>
          <w:szCs w:val="30"/>
        </w:rPr>
        <w:t>联合行业协会、企业专家，结合专业教学标准和核心课程标准，探索建立“互联网+国际贸易”职业岗位标准，使院校专业教学紧密对接企业一线实际情况，降低企业人力培训成本。</w:t>
      </w:r>
      <w:r>
        <w:rPr>
          <w:rFonts w:hint="eastAsia" w:ascii="仿宋_GB2312" w:hAnsi="微软雅黑" w:eastAsia="仿宋_GB2312" w:cs="Arial"/>
          <w:sz w:val="30"/>
          <w:szCs w:val="30"/>
        </w:rPr>
        <w:t>具体方案如下：</w:t>
      </w:r>
    </w:p>
    <w:p>
      <w:pPr>
        <w:snapToGrid w:val="0"/>
        <w:spacing w:line="560" w:lineRule="exact"/>
        <w:jc w:val="center"/>
        <w:rPr>
          <w:rFonts w:cs="Arial" w:asciiTheme="minorEastAsia" w:hAnsiTheme="minorEastAsia"/>
          <w:kern w:val="0"/>
          <w:sz w:val="24"/>
          <w:szCs w:val="24"/>
        </w:rPr>
      </w:pPr>
      <w:r>
        <w:rPr>
          <w:rFonts w:hint="eastAsia" w:cs="Arial" w:asciiTheme="minorEastAsia" w:hAnsiTheme="minorEastAsia"/>
          <w:kern w:val="0"/>
          <w:sz w:val="24"/>
          <w:szCs w:val="24"/>
        </w:rPr>
        <w:t>表12 竞赛教学资源转化建设方案</w:t>
      </w:r>
    </w:p>
    <w:tbl>
      <w:tblPr>
        <w:tblStyle w:val="17"/>
        <w:tblW w:w="8583" w:type="dxa"/>
        <w:jc w:val="center"/>
        <w:tblInd w:w="10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7"/>
        <w:gridCol w:w="710"/>
        <w:gridCol w:w="2130"/>
        <w:gridCol w:w="1280"/>
        <w:gridCol w:w="1277"/>
        <w:gridCol w:w="1287"/>
        <w:gridCol w:w="12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0" w:hRule="atLeast"/>
          <w:jc w:val="center"/>
        </w:trPr>
        <w:tc>
          <w:tcPr>
            <w:tcW w:w="3517" w:type="dxa"/>
            <w:gridSpan w:val="3"/>
            <w:vAlign w:val="center"/>
          </w:tcPr>
          <w:p>
            <w:pPr>
              <w:jc w:val="center"/>
              <w:rPr>
                <w:rFonts w:ascii="宋体" w:hAnsi="宋体"/>
                <w:b/>
                <w:sz w:val="24"/>
                <w:szCs w:val="24"/>
              </w:rPr>
            </w:pPr>
            <w:r>
              <w:rPr>
                <w:rFonts w:hint="eastAsia" w:ascii="宋体" w:hAnsi="宋体"/>
                <w:b/>
                <w:sz w:val="24"/>
                <w:szCs w:val="24"/>
              </w:rPr>
              <w:t>资源名称</w:t>
            </w:r>
          </w:p>
        </w:tc>
        <w:tc>
          <w:tcPr>
            <w:tcW w:w="1280" w:type="dxa"/>
            <w:vAlign w:val="center"/>
          </w:tcPr>
          <w:p>
            <w:pPr>
              <w:jc w:val="center"/>
              <w:rPr>
                <w:rFonts w:ascii="宋体" w:hAnsi="宋体"/>
                <w:b/>
                <w:sz w:val="24"/>
                <w:szCs w:val="24"/>
              </w:rPr>
            </w:pPr>
            <w:r>
              <w:rPr>
                <w:rFonts w:hint="eastAsia" w:ascii="宋体" w:hAnsi="宋体"/>
                <w:b/>
                <w:sz w:val="24"/>
                <w:szCs w:val="24"/>
              </w:rPr>
              <w:t>表现形式</w:t>
            </w:r>
          </w:p>
        </w:tc>
        <w:tc>
          <w:tcPr>
            <w:tcW w:w="1277" w:type="dxa"/>
            <w:vAlign w:val="center"/>
          </w:tcPr>
          <w:p>
            <w:pPr>
              <w:jc w:val="center"/>
              <w:rPr>
                <w:rFonts w:ascii="宋体" w:hAnsi="宋体"/>
                <w:b/>
                <w:sz w:val="24"/>
                <w:szCs w:val="24"/>
              </w:rPr>
            </w:pPr>
            <w:r>
              <w:rPr>
                <w:rFonts w:hint="eastAsia" w:ascii="宋体" w:hAnsi="宋体"/>
                <w:b/>
                <w:sz w:val="24"/>
                <w:szCs w:val="24"/>
              </w:rPr>
              <w:t>资源数量</w:t>
            </w:r>
          </w:p>
        </w:tc>
        <w:tc>
          <w:tcPr>
            <w:tcW w:w="1287" w:type="dxa"/>
            <w:vAlign w:val="center"/>
          </w:tcPr>
          <w:p>
            <w:pPr>
              <w:jc w:val="center"/>
              <w:rPr>
                <w:rFonts w:ascii="宋体" w:hAnsi="宋体"/>
                <w:b/>
                <w:sz w:val="24"/>
                <w:szCs w:val="24"/>
              </w:rPr>
            </w:pPr>
            <w:r>
              <w:rPr>
                <w:rFonts w:hint="eastAsia" w:ascii="宋体" w:hAnsi="宋体"/>
                <w:b/>
                <w:sz w:val="24"/>
                <w:szCs w:val="24"/>
              </w:rPr>
              <w:t>资源要求</w:t>
            </w:r>
          </w:p>
        </w:tc>
        <w:tc>
          <w:tcPr>
            <w:tcW w:w="1222" w:type="dxa"/>
            <w:vAlign w:val="center"/>
          </w:tcPr>
          <w:p>
            <w:pPr>
              <w:jc w:val="center"/>
              <w:rPr>
                <w:rFonts w:ascii="宋体" w:hAnsi="宋体"/>
                <w:b/>
                <w:sz w:val="24"/>
                <w:szCs w:val="24"/>
              </w:rPr>
            </w:pPr>
            <w:r>
              <w:rPr>
                <w:rFonts w:hint="eastAsia" w:ascii="宋体" w:hAnsi="宋体"/>
                <w:b/>
                <w:sz w:val="24"/>
                <w:szCs w:val="24"/>
              </w:rPr>
              <w:t>完成时间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7" w:hRule="atLeast"/>
          <w:jc w:val="center"/>
        </w:trPr>
        <w:tc>
          <w:tcPr>
            <w:tcW w:w="677" w:type="dxa"/>
            <w:vMerge w:val="restart"/>
            <w:vAlign w:val="center"/>
          </w:tcPr>
          <w:p>
            <w:pPr>
              <w:jc w:val="center"/>
              <w:rPr>
                <w:rFonts w:ascii="宋体" w:hAnsi="宋体"/>
                <w:sz w:val="24"/>
                <w:szCs w:val="24"/>
              </w:rPr>
            </w:pPr>
            <w:r>
              <w:rPr>
                <w:rFonts w:hint="eastAsia" w:ascii="宋体" w:hAnsi="宋体"/>
                <w:sz w:val="24"/>
                <w:szCs w:val="24"/>
              </w:rPr>
              <w:t>基本</w:t>
            </w:r>
          </w:p>
          <w:p>
            <w:pPr>
              <w:jc w:val="center"/>
              <w:rPr>
                <w:rFonts w:ascii="宋体" w:hAnsi="宋体"/>
                <w:sz w:val="24"/>
                <w:szCs w:val="24"/>
              </w:rPr>
            </w:pPr>
            <w:r>
              <w:rPr>
                <w:rFonts w:hint="eastAsia" w:ascii="宋体" w:hAnsi="宋体"/>
                <w:sz w:val="24"/>
                <w:szCs w:val="24"/>
              </w:rPr>
              <w:t>资源</w:t>
            </w:r>
          </w:p>
        </w:tc>
        <w:tc>
          <w:tcPr>
            <w:tcW w:w="710" w:type="dxa"/>
            <w:vMerge w:val="restart"/>
            <w:vAlign w:val="center"/>
          </w:tcPr>
          <w:p>
            <w:pPr>
              <w:jc w:val="center"/>
              <w:rPr>
                <w:rFonts w:ascii="宋体" w:hAnsi="宋体"/>
                <w:sz w:val="24"/>
                <w:szCs w:val="24"/>
              </w:rPr>
            </w:pPr>
            <w:r>
              <w:rPr>
                <w:rFonts w:hint="eastAsia" w:ascii="宋体" w:hAnsi="宋体"/>
                <w:sz w:val="24"/>
                <w:szCs w:val="24"/>
              </w:rPr>
              <w:t>风采</w:t>
            </w:r>
          </w:p>
          <w:p>
            <w:pPr>
              <w:jc w:val="center"/>
              <w:rPr>
                <w:rFonts w:ascii="宋体" w:hAnsi="宋体"/>
                <w:sz w:val="24"/>
                <w:szCs w:val="24"/>
              </w:rPr>
            </w:pPr>
            <w:r>
              <w:rPr>
                <w:rFonts w:hint="eastAsia" w:ascii="宋体" w:hAnsi="宋体"/>
                <w:sz w:val="24"/>
                <w:szCs w:val="24"/>
              </w:rPr>
              <w:t>展示</w:t>
            </w:r>
          </w:p>
        </w:tc>
        <w:tc>
          <w:tcPr>
            <w:tcW w:w="2130" w:type="dxa"/>
            <w:vAlign w:val="center"/>
          </w:tcPr>
          <w:p>
            <w:pPr>
              <w:jc w:val="center"/>
              <w:rPr>
                <w:rFonts w:ascii="宋体" w:hAnsi="宋体"/>
                <w:sz w:val="24"/>
                <w:szCs w:val="24"/>
              </w:rPr>
            </w:pPr>
            <w:r>
              <w:rPr>
                <w:rFonts w:hint="eastAsia" w:ascii="宋体" w:hAnsi="宋体"/>
                <w:sz w:val="24"/>
                <w:szCs w:val="24"/>
              </w:rPr>
              <w:t>赛项宣传片</w:t>
            </w:r>
          </w:p>
        </w:tc>
        <w:tc>
          <w:tcPr>
            <w:tcW w:w="1280" w:type="dxa"/>
            <w:vAlign w:val="center"/>
          </w:tcPr>
          <w:p>
            <w:pPr>
              <w:jc w:val="center"/>
              <w:rPr>
                <w:rFonts w:ascii="宋体" w:hAnsi="宋体"/>
                <w:sz w:val="24"/>
                <w:szCs w:val="24"/>
              </w:rPr>
            </w:pPr>
            <w:r>
              <w:rPr>
                <w:rFonts w:hint="eastAsia" w:ascii="宋体" w:hAnsi="宋体"/>
                <w:sz w:val="24"/>
                <w:szCs w:val="24"/>
              </w:rPr>
              <w:t>视频</w:t>
            </w:r>
          </w:p>
        </w:tc>
        <w:tc>
          <w:tcPr>
            <w:tcW w:w="1277" w:type="dxa"/>
            <w:vAlign w:val="center"/>
          </w:tcPr>
          <w:p>
            <w:pPr>
              <w:jc w:val="center"/>
              <w:rPr>
                <w:rFonts w:ascii="宋体" w:hAnsi="宋体"/>
                <w:sz w:val="24"/>
                <w:szCs w:val="24"/>
              </w:rPr>
            </w:pPr>
            <w:r>
              <w:rPr>
                <w:rFonts w:hint="eastAsia" w:ascii="宋体" w:hAnsi="宋体"/>
                <w:sz w:val="24"/>
                <w:szCs w:val="24"/>
              </w:rPr>
              <w:t>1</w:t>
            </w:r>
          </w:p>
        </w:tc>
        <w:tc>
          <w:tcPr>
            <w:tcW w:w="1287" w:type="dxa"/>
            <w:vAlign w:val="center"/>
          </w:tcPr>
          <w:p>
            <w:pPr>
              <w:jc w:val="center"/>
              <w:rPr>
                <w:rFonts w:ascii="宋体" w:hAnsi="宋体"/>
                <w:sz w:val="24"/>
                <w:szCs w:val="24"/>
              </w:rPr>
            </w:pPr>
            <w:r>
              <w:rPr>
                <w:rFonts w:ascii="宋体" w:hAnsi="宋体"/>
                <w:sz w:val="24"/>
                <w:szCs w:val="24"/>
              </w:rPr>
              <w:t>15</w:t>
            </w:r>
            <w:r>
              <w:rPr>
                <w:rFonts w:hint="eastAsia" w:ascii="宋体" w:hAnsi="宋体"/>
                <w:sz w:val="24"/>
                <w:szCs w:val="24"/>
              </w:rPr>
              <w:t>分钟以上</w:t>
            </w:r>
          </w:p>
        </w:tc>
        <w:tc>
          <w:tcPr>
            <w:tcW w:w="1222" w:type="dxa"/>
            <w:vMerge w:val="restart"/>
            <w:vAlign w:val="center"/>
          </w:tcPr>
          <w:p>
            <w:pPr>
              <w:jc w:val="center"/>
              <w:rPr>
                <w:rFonts w:ascii="宋体" w:hAnsi="宋体"/>
                <w:sz w:val="24"/>
                <w:szCs w:val="24"/>
              </w:rPr>
            </w:pPr>
            <w:r>
              <w:rPr>
                <w:rFonts w:hint="eastAsia" w:ascii="宋体" w:hAnsi="宋体"/>
                <w:sz w:val="24"/>
                <w:szCs w:val="24"/>
              </w:rPr>
              <w:t>2019.8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0" w:hRule="atLeast"/>
          <w:jc w:val="center"/>
        </w:trPr>
        <w:tc>
          <w:tcPr>
            <w:tcW w:w="677" w:type="dxa"/>
            <w:vMerge w:val="continue"/>
          </w:tcPr>
          <w:p>
            <w:pPr>
              <w:rPr>
                <w:rFonts w:ascii="宋体" w:hAnsi="宋体"/>
                <w:sz w:val="24"/>
                <w:szCs w:val="24"/>
              </w:rPr>
            </w:pPr>
          </w:p>
        </w:tc>
        <w:tc>
          <w:tcPr>
            <w:tcW w:w="710" w:type="dxa"/>
            <w:vMerge w:val="continue"/>
            <w:tcBorders>
              <w:top w:val="nil"/>
            </w:tcBorders>
            <w:vAlign w:val="center"/>
          </w:tcPr>
          <w:p>
            <w:pPr>
              <w:jc w:val="center"/>
              <w:rPr>
                <w:rFonts w:ascii="宋体" w:hAnsi="宋体"/>
                <w:sz w:val="24"/>
                <w:szCs w:val="24"/>
              </w:rPr>
            </w:pPr>
          </w:p>
        </w:tc>
        <w:tc>
          <w:tcPr>
            <w:tcW w:w="2130" w:type="dxa"/>
            <w:vAlign w:val="center"/>
          </w:tcPr>
          <w:p>
            <w:pPr>
              <w:jc w:val="center"/>
              <w:rPr>
                <w:rFonts w:ascii="宋体" w:hAnsi="宋体"/>
                <w:sz w:val="24"/>
                <w:szCs w:val="24"/>
              </w:rPr>
            </w:pPr>
            <w:r>
              <w:rPr>
                <w:rFonts w:hint="eastAsia" w:ascii="宋体" w:hAnsi="宋体"/>
                <w:sz w:val="24"/>
                <w:szCs w:val="24"/>
              </w:rPr>
              <w:t>风采展示片</w:t>
            </w:r>
          </w:p>
        </w:tc>
        <w:tc>
          <w:tcPr>
            <w:tcW w:w="1280" w:type="dxa"/>
            <w:vAlign w:val="center"/>
          </w:tcPr>
          <w:p>
            <w:pPr>
              <w:jc w:val="center"/>
              <w:rPr>
                <w:rFonts w:ascii="宋体" w:hAnsi="宋体"/>
                <w:sz w:val="24"/>
                <w:szCs w:val="24"/>
              </w:rPr>
            </w:pPr>
            <w:r>
              <w:rPr>
                <w:rFonts w:hint="eastAsia" w:ascii="宋体" w:hAnsi="宋体"/>
                <w:sz w:val="24"/>
                <w:szCs w:val="24"/>
              </w:rPr>
              <w:t>视频</w:t>
            </w:r>
          </w:p>
        </w:tc>
        <w:tc>
          <w:tcPr>
            <w:tcW w:w="1277" w:type="dxa"/>
            <w:vAlign w:val="center"/>
          </w:tcPr>
          <w:p>
            <w:pPr>
              <w:jc w:val="center"/>
              <w:rPr>
                <w:rFonts w:ascii="宋体" w:hAnsi="宋体"/>
                <w:sz w:val="24"/>
                <w:szCs w:val="24"/>
              </w:rPr>
            </w:pPr>
            <w:r>
              <w:rPr>
                <w:rFonts w:hint="eastAsia" w:ascii="宋体" w:hAnsi="宋体"/>
                <w:sz w:val="24"/>
                <w:szCs w:val="24"/>
              </w:rPr>
              <w:t>1</w:t>
            </w:r>
          </w:p>
        </w:tc>
        <w:tc>
          <w:tcPr>
            <w:tcW w:w="1287" w:type="dxa"/>
            <w:vAlign w:val="center"/>
          </w:tcPr>
          <w:p>
            <w:pPr>
              <w:jc w:val="center"/>
              <w:rPr>
                <w:rFonts w:ascii="宋体" w:hAnsi="宋体"/>
                <w:sz w:val="24"/>
                <w:szCs w:val="24"/>
              </w:rPr>
            </w:pPr>
            <w:r>
              <w:rPr>
                <w:rFonts w:ascii="宋体" w:hAnsi="宋体"/>
                <w:sz w:val="24"/>
                <w:szCs w:val="24"/>
              </w:rPr>
              <w:t>10</w:t>
            </w:r>
            <w:r>
              <w:rPr>
                <w:rFonts w:hint="eastAsia" w:ascii="宋体" w:hAnsi="宋体"/>
                <w:sz w:val="24"/>
                <w:szCs w:val="24"/>
              </w:rPr>
              <w:t>分钟以上</w:t>
            </w:r>
          </w:p>
        </w:tc>
        <w:tc>
          <w:tcPr>
            <w:tcW w:w="1222" w:type="dxa"/>
            <w:vMerge w:val="continue"/>
            <w:vAlign w:val="center"/>
          </w:tcPr>
          <w:p>
            <w:pPr>
              <w:jc w:val="center"/>
              <w:rPr>
                <w:rFonts w:ascii="宋体" w:hAnsi="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0" w:hRule="atLeast"/>
          <w:jc w:val="center"/>
        </w:trPr>
        <w:tc>
          <w:tcPr>
            <w:tcW w:w="677" w:type="dxa"/>
            <w:vMerge w:val="continue"/>
          </w:tcPr>
          <w:p>
            <w:pPr>
              <w:rPr>
                <w:rFonts w:ascii="宋体" w:hAnsi="宋体"/>
                <w:sz w:val="24"/>
                <w:szCs w:val="24"/>
              </w:rPr>
            </w:pPr>
          </w:p>
        </w:tc>
        <w:tc>
          <w:tcPr>
            <w:tcW w:w="710" w:type="dxa"/>
            <w:vAlign w:val="center"/>
          </w:tcPr>
          <w:p>
            <w:pPr>
              <w:jc w:val="center"/>
              <w:rPr>
                <w:rFonts w:ascii="宋体" w:hAnsi="宋体"/>
                <w:sz w:val="24"/>
                <w:szCs w:val="24"/>
              </w:rPr>
            </w:pPr>
            <w:r>
              <w:rPr>
                <w:rFonts w:hint="eastAsia" w:ascii="宋体" w:hAnsi="宋体"/>
                <w:sz w:val="24"/>
                <w:szCs w:val="24"/>
              </w:rPr>
              <w:t>技能</w:t>
            </w:r>
          </w:p>
          <w:p>
            <w:pPr>
              <w:jc w:val="center"/>
              <w:rPr>
                <w:rFonts w:ascii="宋体" w:hAnsi="宋体"/>
                <w:sz w:val="24"/>
                <w:szCs w:val="24"/>
              </w:rPr>
            </w:pPr>
            <w:r>
              <w:rPr>
                <w:rFonts w:hint="eastAsia" w:ascii="宋体" w:hAnsi="宋体"/>
                <w:sz w:val="24"/>
                <w:szCs w:val="24"/>
              </w:rPr>
              <w:t>概要</w:t>
            </w:r>
          </w:p>
        </w:tc>
        <w:tc>
          <w:tcPr>
            <w:tcW w:w="2130" w:type="dxa"/>
            <w:vAlign w:val="center"/>
          </w:tcPr>
          <w:p>
            <w:pPr>
              <w:jc w:val="center"/>
              <w:rPr>
                <w:rFonts w:ascii="宋体" w:hAnsi="宋体"/>
                <w:sz w:val="24"/>
                <w:szCs w:val="24"/>
              </w:rPr>
            </w:pPr>
            <w:r>
              <w:rPr>
                <w:rFonts w:hint="eastAsia" w:ascii="宋体" w:hAnsi="宋体"/>
                <w:sz w:val="24"/>
                <w:szCs w:val="24"/>
              </w:rPr>
              <w:t>技能介绍</w:t>
            </w:r>
          </w:p>
          <w:p>
            <w:pPr>
              <w:jc w:val="center"/>
              <w:rPr>
                <w:rFonts w:ascii="宋体" w:hAnsi="宋体"/>
                <w:sz w:val="24"/>
                <w:szCs w:val="24"/>
              </w:rPr>
            </w:pPr>
            <w:r>
              <w:rPr>
                <w:rFonts w:hint="eastAsia" w:ascii="宋体" w:hAnsi="宋体"/>
                <w:sz w:val="24"/>
                <w:szCs w:val="24"/>
              </w:rPr>
              <w:t>技能要点</w:t>
            </w:r>
          </w:p>
          <w:p>
            <w:pPr>
              <w:jc w:val="center"/>
              <w:rPr>
                <w:rFonts w:ascii="宋体" w:hAnsi="宋体"/>
                <w:sz w:val="24"/>
                <w:szCs w:val="24"/>
              </w:rPr>
            </w:pPr>
            <w:r>
              <w:rPr>
                <w:rFonts w:hint="eastAsia" w:ascii="宋体" w:hAnsi="宋体"/>
                <w:sz w:val="24"/>
                <w:szCs w:val="24"/>
              </w:rPr>
              <w:t>评价指标</w:t>
            </w:r>
          </w:p>
        </w:tc>
        <w:tc>
          <w:tcPr>
            <w:tcW w:w="1280" w:type="dxa"/>
            <w:vAlign w:val="center"/>
          </w:tcPr>
          <w:p>
            <w:pPr>
              <w:jc w:val="center"/>
              <w:rPr>
                <w:rFonts w:ascii="宋体" w:hAnsi="宋体"/>
                <w:sz w:val="24"/>
                <w:szCs w:val="24"/>
              </w:rPr>
            </w:pPr>
            <w:r>
              <w:rPr>
                <w:rFonts w:hint="eastAsia" w:ascii="宋体" w:hAnsi="宋体"/>
                <w:sz w:val="24"/>
                <w:szCs w:val="24"/>
              </w:rPr>
              <w:t>文本文档</w:t>
            </w:r>
          </w:p>
        </w:tc>
        <w:tc>
          <w:tcPr>
            <w:tcW w:w="1277" w:type="dxa"/>
            <w:vAlign w:val="center"/>
          </w:tcPr>
          <w:p>
            <w:pPr>
              <w:jc w:val="center"/>
              <w:rPr>
                <w:rFonts w:ascii="宋体" w:hAnsi="宋体"/>
                <w:sz w:val="24"/>
                <w:szCs w:val="24"/>
              </w:rPr>
            </w:pPr>
            <w:r>
              <w:rPr>
                <w:rFonts w:hint="eastAsia" w:ascii="宋体" w:hAnsi="宋体"/>
                <w:sz w:val="24"/>
                <w:szCs w:val="24"/>
              </w:rPr>
              <w:t>1</w:t>
            </w:r>
          </w:p>
        </w:tc>
        <w:tc>
          <w:tcPr>
            <w:tcW w:w="1287" w:type="dxa"/>
            <w:vAlign w:val="center"/>
          </w:tcPr>
          <w:p>
            <w:pPr>
              <w:jc w:val="center"/>
              <w:rPr>
                <w:rFonts w:ascii="宋体" w:hAnsi="宋体"/>
                <w:sz w:val="24"/>
                <w:szCs w:val="24"/>
              </w:rPr>
            </w:pPr>
            <w:r>
              <w:rPr>
                <w:rFonts w:hint="eastAsia" w:ascii="宋体" w:hAnsi="宋体"/>
                <w:sz w:val="24"/>
                <w:szCs w:val="24"/>
              </w:rPr>
              <w:t>根据赛项内容罗列应掌握的技能、要点及评价指标</w:t>
            </w:r>
          </w:p>
        </w:tc>
        <w:tc>
          <w:tcPr>
            <w:tcW w:w="1222" w:type="dxa"/>
            <w:vMerge w:val="continue"/>
            <w:vAlign w:val="center"/>
          </w:tcPr>
          <w:p>
            <w:pPr>
              <w:jc w:val="center"/>
              <w:rPr>
                <w:rFonts w:ascii="宋体" w:hAnsi="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0" w:hRule="atLeast"/>
          <w:jc w:val="center"/>
        </w:trPr>
        <w:tc>
          <w:tcPr>
            <w:tcW w:w="677" w:type="dxa"/>
            <w:vMerge w:val="continue"/>
          </w:tcPr>
          <w:p>
            <w:pPr>
              <w:rPr>
                <w:rFonts w:ascii="宋体" w:hAnsi="宋体"/>
                <w:sz w:val="24"/>
                <w:szCs w:val="24"/>
              </w:rPr>
            </w:pPr>
          </w:p>
        </w:tc>
        <w:tc>
          <w:tcPr>
            <w:tcW w:w="710" w:type="dxa"/>
            <w:vMerge w:val="restart"/>
            <w:vAlign w:val="center"/>
          </w:tcPr>
          <w:p>
            <w:pPr>
              <w:jc w:val="center"/>
              <w:rPr>
                <w:rFonts w:ascii="宋体" w:hAnsi="宋体"/>
                <w:sz w:val="24"/>
                <w:szCs w:val="24"/>
              </w:rPr>
            </w:pPr>
            <w:r>
              <w:rPr>
                <w:rFonts w:hint="eastAsia" w:ascii="宋体" w:hAnsi="宋体"/>
                <w:sz w:val="24"/>
                <w:szCs w:val="24"/>
              </w:rPr>
              <w:t>教学</w:t>
            </w:r>
          </w:p>
          <w:p>
            <w:pPr>
              <w:jc w:val="center"/>
              <w:rPr>
                <w:rFonts w:ascii="宋体" w:hAnsi="宋体"/>
                <w:sz w:val="24"/>
                <w:szCs w:val="24"/>
              </w:rPr>
            </w:pPr>
            <w:r>
              <w:rPr>
                <w:rFonts w:hint="eastAsia" w:ascii="宋体" w:hAnsi="宋体"/>
                <w:sz w:val="24"/>
                <w:szCs w:val="24"/>
              </w:rPr>
              <w:t>资源</w:t>
            </w:r>
          </w:p>
        </w:tc>
        <w:tc>
          <w:tcPr>
            <w:tcW w:w="2130" w:type="dxa"/>
            <w:vAlign w:val="center"/>
          </w:tcPr>
          <w:p>
            <w:pPr>
              <w:jc w:val="center"/>
              <w:rPr>
                <w:rFonts w:ascii="宋体" w:hAnsi="宋体"/>
                <w:sz w:val="24"/>
                <w:szCs w:val="24"/>
              </w:rPr>
            </w:pPr>
            <w:r>
              <w:rPr>
                <w:rFonts w:hint="eastAsia" w:ascii="宋体" w:hAnsi="宋体"/>
                <w:sz w:val="24"/>
                <w:szCs w:val="24"/>
              </w:rPr>
              <w:t>实训案例库</w:t>
            </w:r>
          </w:p>
        </w:tc>
        <w:tc>
          <w:tcPr>
            <w:tcW w:w="1280" w:type="dxa"/>
            <w:vAlign w:val="center"/>
          </w:tcPr>
          <w:p>
            <w:pPr>
              <w:jc w:val="center"/>
              <w:rPr>
                <w:rFonts w:ascii="宋体" w:hAnsi="宋体"/>
                <w:sz w:val="24"/>
                <w:szCs w:val="24"/>
              </w:rPr>
            </w:pPr>
            <w:r>
              <w:rPr>
                <w:rFonts w:hint="eastAsia" w:ascii="宋体" w:hAnsi="宋体"/>
                <w:sz w:val="24"/>
                <w:szCs w:val="24"/>
              </w:rPr>
              <w:t>文本文档</w:t>
            </w:r>
          </w:p>
        </w:tc>
        <w:tc>
          <w:tcPr>
            <w:tcW w:w="1277" w:type="dxa"/>
            <w:vAlign w:val="center"/>
          </w:tcPr>
          <w:p>
            <w:pPr>
              <w:jc w:val="center"/>
              <w:rPr>
                <w:rFonts w:ascii="宋体" w:hAnsi="宋体"/>
                <w:sz w:val="24"/>
                <w:szCs w:val="24"/>
              </w:rPr>
            </w:pPr>
            <w:r>
              <w:rPr>
                <w:rFonts w:hint="eastAsia" w:ascii="宋体" w:hAnsi="宋体"/>
                <w:sz w:val="24"/>
                <w:szCs w:val="24"/>
              </w:rPr>
              <w:t>4</w:t>
            </w:r>
          </w:p>
        </w:tc>
        <w:tc>
          <w:tcPr>
            <w:tcW w:w="1287" w:type="dxa"/>
            <w:vAlign w:val="center"/>
          </w:tcPr>
          <w:p>
            <w:pPr>
              <w:jc w:val="center"/>
              <w:rPr>
                <w:rFonts w:ascii="宋体" w:hAnsi="宋体"/>
                <w:sz w:val="24"/>
                <w:szCs w:val="24"/>
              </w:rPr>
            </w:pPr>
            <w:r>
              <w:rPr>
                <w:rFonts w:hint="eastAsia" w:ascii="宋体" w:hAnsi="宋体"/>
                <w:sz w:val="24"/>
                <w:szCs w:val="24"/>
              </w:rPr>
              <w:t>4种不同贸易术语、不同结算方式、不同运输方式背景的实训案例</w:t>
            </w:r>
          </w:p>
        </w:tc>
        <w:tc>
          <w:tcPr>
            <w:tcW w:w="1222" w:type="dxa"/>
            <w:vMerge w:val="continue"/>
            <w:vAlign w:val="center"/>
          </w:tcPr>
          <w:p>
            <w:pPr>
              <w:jc w:val="center"/>
              <w:rPr>
                <w:rFonts w:ascii="宋体" w:hAnsi="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0" w:hRule="atLeast"/>
          <w:jc w:val="center"/>
        </w:trPr>
        <w:tc>
          <w:tcPr>
            <w:tcW w:w="677" w:type="dxa"/>
            <w:vMerge w:val="continue"/>
          </w:tcPr>
          <w:p>
            <w:pPr>
              <w:rPr>
                <w:rFonts w:ascii="宋体" w:hAnsi="宋体"/>
                <w:sz w:val="24"/>
                <w:szCs w:val="24"/>
              </w:rPr>
            </w:pPr>
          </w:p>
        </w:tc>
        <w:tc>
          <w:tcPr>
            <w:tcW w:w="710" w:type="dxa"/>
            <w:vMerge w:val="continue"/>
            <w:vAlign w:val="center"/>
          </w:tcPr>
          <w:p>
            <w:pPr>
              <w:jc w:val="center"/>
              <w:rPr>
                <w:rFonts w:ascii="宋体" w:hAnsi="宋体"/>
                <w:sz w:val="24"/>
                <w:szCs w:val="24"/>
              </w:rPr>
            </w:pPr>
          </w:p>
        </w:tc>
        <w:tc>
          <w:tcPr>
            <w:tcW w:w="2130" w:type="dxa"/>
            <w:vAlign w:val="center"/>
          </w:tcPr>
          <w:p>
            <w:pPr>
              <w:jc w:val="center"/>
              <w:rPr>
                <w:rFonts w:ascii="宋体" w:hAnsi="宋体"/>
                <w:sz w:val="24"/>
                <w:szCs w:val="24"/>
              </w:rPr>
            </w:pPr>
            <w:r>
              <w:rPr>
                <w:rFonts w:hint="eastAsia" w:ascii="宋体" w:hAnsi="宋体"/>
                <w:sz w:val="24"/>
                <w:szCs w:val="24"/>
              </w:rPr>
              <w:t>外贸业务能力B2B模块试题集</w:t>
            </w:r>
          </w:p>
        </w:tc>
        <w:tc>
          <w:tcPr>
            <w:tcW w:w="1280" w:type="dxa"/>
            <w:vAlign w:val="center"/>
          </w:tcPr>
          <w:p>
            <w:pPr>
              <w:jc w:val="center"/>
              <w:rPr>
                <w:rFonts w:ascii="宋体" w:hAnsi="宋体"/>
                <w:sz w:val="24"/>
                <w:szCs w:val="24"/>
              </w:rPr>
            </w:pPr>
            <w:r>
              <w:rPr>
                <w:rFonts w:hint="eastAsia" w:ascii="宋体" w:hAnsi="宋体"/>
                <w:sz w:val="24"/>
                <w:szCs w:val="24"/>
              </w:rPr>
              <w:t>文本文档</w:t>
            </w:r>
          </w:p>
        </w:tc>
        <w:tc>
          <w:tcPr>
            <w:tcW w:w="1277" w:type="dxa"/>
            <w:vAlign w:val="center"/>
          </w:tcPr>
          <w:p>
            <w:pPr>
              <w:jc w:val="center"/>
              <w:rPr>
                <w:rFonts w:ascii="宋体" w:hAnsi="宋体"/>
                <w:sz w:val="24"/>
                <w:szCs w:val="24"/>
              </w:rPr>
            </w:pPr>
            <w:r>
              <w:rPr>
                <w:rFonts w:hint="eastAsia" w:ascii="宋体" w:hAnsi="宋体"/>
                <w:sz w:val="24"/>
                <w:szCs w:val="24"/>
              </w:rPr>
              <w:t>10</w:t>
            </w:r>
          </w:p>
        </w:tc>
        <w:tc>
          <w:tcPr>
            <w:tcW w:w="1287" w:type="dxa"/>
            <w:vAlign w:val="center"/>
          </w:tcPr>
          <w:p>
            <w:pPr>
              <w:jc w:val="center"/>
              <w:rPr>
                <w:rFonts w:ascii="宋体" w:hAnsi="宋体"/>
                <w:sz w:val="24"/>
                <w:szCs w:val="24"/>
              </w:rPr>
            </w:pPr>
            <w:r>
              <w:rPr>
                <w:rFonts w:hint="eastAsia" w:ascii="宋体" w:hAnsi="宋体"/>
                <w:sz w:val="24"/>
                <w:szCs w:val="24"/>
              </w:rPr>
              <w:t>10个不同国家间进行外贸业务磋商的试题</w:t>
            </w:r>
          </w:p>
        </w:tc>
        <w:tc>
          <w:tcPr>
            <w:tcW w:w="1222" w:type="dxa"/>
            <w:vMerge w:val="continue"/>
            <w:vAlign w:val="center"/>
          </w:tcPr>
          <w:p>
            <w:pPr>
              <w:jc w:val="center"/>
              <w:rPr>
                <w:rFonts w:ascii="宋体" w:hAnsi="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0" w:hRule="atLeast"/>
          <w:jc w:val="center"/>
        </w:trPr>
        <w:tc>
          <w:tcPr>
            <w:tcW w:w="677" w:type="dxa"/>
            <w:vMerge w:val="continue"/>
          </w:tcPr>
          <w:p>
            <w:pPr>
              <w:rPr>
                <w:rFonts w:ascii="宋体" w:hAnsi="宋体"/>
                <w:sz w:val="24"/>
                <w:szCs w:val="24"/>
              </w:rPr>
            </w:pPr>
          </w:p>
        </w:tc>
        <w:tc>
          <w:tcPr>
            <w:tcW w:w="710" w:type="dxa"/>
            <w:vMerge w:val="continue"/>
            <w:vAlign w:val="center"/>
          </w:tcPr>
          <w:p>
            <w:pPr>
              <w:jc w:val="center"/>
              <w:rPr>
                <w:rFonts w:ascii="宋体" w:hAnsi="宋体"/>
                <w:sz w:val="24"/>
                <w:szCs w:val="24"/>
              </w:rPr>
            </w:pPr>
          </w:p>
        </w:tc>
        <w:tc>
          <w:tcPr>
            <w:tcW w:w="2130" w:type="dxa"/>
            <w:vAlign w:val="center"/>
          </w:tcPr>
          <w:p>
            <w:pPr>
              <w:jc w:val="center"/>
              <w:rPr>
                <w:rFonts w:ascii="宋体" w:hAnsi="宋体"/>
                <w:sz w:val="24"/>
                <w:szCs w:val="24"/>
              </w:rPr>
            </w:pPr>
            <w:r>
              <w:rPr>
                <w:rFonts w:hint="eastAsia" w:ascii="宋体" w:hAnsi="宋体"/>
                <w:sz w:val="24"/>
                <w:szCs w:val="24"/>
              </w:rPr>
              <w:t>外贸业务能力B2C模块试题集</w:t>
            </w:r>
          </w:p>
        </w:tc>
        <w:tc>
          <w:tcPr>
            <w:tcW w:w="1280" w:type="dxa"/>
            <w:vAlign w:val="center"/>
          </w:tcPr>
          <w:p>
            <w:pPr>
              <w:jc w:val="center"/>
              <w:rPr>
                <w:rFonts w:ascii="宋体" w:hAnsi="宋体"/>
                <w:sz w:val="24"/>
                <w:szCs w:val="24"/>
              </w:rPr>
            </w:pPr>
            <w:r>
              <w:rPr>
                <w:rFonts w:hint="eastAsia" w:ascii="宋体" w:hAnsi="宋体"/>
                <w:sz w:val="24"/>
                <w:szCs w:val="24"/>
              </w:rPr>
              <w:t>文本文档</w:t>
            </w:r>
          </w:p>
        </w:tc>
        <w:tc>
          <w:tcPr>
            <w:tcW w:w="1277" w:type="dxa"/>
            <w:vAlign w:val="center"/>
          </w:tcPr>
          <w:p>
            <w:pPr>
              <w:jc w:val="center"/>
              <w:rPr>
                <w:rFonts w:ascii="宋体" w:hAnsi="宋体"/>
                <w:sz w:val="24"/>
                <w:szCs w:val="24"/>
              </w:rPr>
            </w:pPr>
            <w:r>
              <w:rPr>
                <w:rFonts w:hint="eastAsia" w:ascii="宋体" w:hAnsi="宋体"/>
                <w:sz w:val="24"/>
                <w:szCs w:val="24"/>
              </w:rPr>
              <w:t>1</w:t>
            </w:r>
          </w:p>
        </w:tc>
        <w:tc>
          <w:tcPr>
            <w:tcW w:w="1287" w:type="dxa"/>
            <w:vAlign w:val="center"/>
          </w:tcPr>
          <w:p>
            <w:pPr>
              <w:jc w:val="center"/>
              <w:rPr>
                <w:rFonts w:ascii="宋体" w:hAnsi="宋体"/>
                <w:sz w:val="24"/>
                <w:szCs w:val="24"/>
              </w:rPr>
            </w:pPr>
            <w:r>
              <w:rPr>
                <w:rFonts w:hint="eastAsia" w:ascii="宋体" w:hAnsi="宋体"/>
                <w:sz w:val="24"/>
                <w:szCs w:val="24"/>
              </w:rPr>
              <w:t>400道试题</w:t>
            </w:r>
          </w:p>
        </w:tc>
        <w:tc>
          <w:tcPr>
            <w:tcW w:w="1222" w:type="dxa"/>
            <w:vMerge w:val="continue"/>
            <w:vAlign w:val="center"/>
          </w:tcPr>
          <w:p>
            <w:pPr>
              <w:jc w:val="center"/>
              <w:rPr>
                <w:rFonts w:ascii="宋体" w:hAnsi="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0" w:hRule="atLeast"/>
          <w:jc w:val="center"/>
        </w:trPr>
        <w:tc>
          <w:tcPr>
            <w:tcW w:w="677" w:type="dxa"/>
            <w:vMerge w:val="continue"/>
          </w:tcPr>
          <w:p>
            <w:pPr>
              <w:rPr>
                <w:rFonts w:ascii="宋体" w:hAnsi="宋体"/>
                <w:sz w:val="24"/>
                <w:szCs w:val="24"/>
              </w:rPr>
            </w:pPr>
          </w:p>
        </w:tc>
        <w:tc>
          <w:tcPr>
            <w:tcW w:w="710" w:type="dxa"/>
            <w:vMerge w:val="continue"/>
            <w:vAlign w:val="center"/>
          </w:tcPr>
          <w:p>
            <w:pPr>
              <w:jc w:val="center"/>
              <w:rPr>
                <w:rFonts w:ascii="宋体" w:hAnsi="宋体"/>
                <w:sz w:val="24"/>
                <w:szCs w:val="24"/>
              </w:rPr>
            </w:pPr>
          </w:p>
        </w:tc>
        <w:tc>
          <w:tcPr>
            <w:tcW w:w="2130" w:type="dxa"/>
            <w:vAlign w:val="center"/>
          </w:tcPr>
          <w:p>
            <w:pPr>
              <w:jc w:val="center"/>
              <w:rPr>
                <w:rFonts w:ascii="宋体" w:hAnsi="宋体"/>
                <w:sz w:val="24"/>
                <w:szCs w:val="24"/>
              </w:rPr>
            </w:pPr>
            <w:r>
              <w:rPr>
                <w:rFonts w:hint="eastAsia" w:ascii="宋体" w:hAnsi="宋体"/>
                <w:sz w:val="24"/>
                <w:szCs w:val="24"/>
              </w:rPr>
              <w:t>外贸跟单能力模块试题集</w:t>
            </w:r>
          </w:p>
        </w:tc>
        <w:tc>
          <w:tcPr>
            <w:tcW w:w="1280" w:type="dxa"/>
            <w:vAlign w:val="center"/>
          </w:tcPr>
          <w:p>
            <w:pPr>
              <w:jc w:val="center"/>
              <w:rPr>
                <w:rFonts w:ascii="宋体" w:hAnsi="宋体"/>
                <w:sz w:val="24"/>
                <w:szCs w:val="24"/>
              </w:rPr>
            </w:pPr>
            <w:r>
              <w:rPr>
                <w:rFonts w:hint="eastAsia" w:ascii="宋体" w:hAnsi="宋体"/>
                <w:sz w:val="24"/>
                <w:szCs w:val="24"/>
              </w:rPr>
              <w:t>文本文档</w:t>
            </w:r>
          </w:p>
        </w:tc>
        <w:tc>
          <w:tcPr>
            <w:tcW w:w="1277" w:type="dxa"/>
            <w:vAlign w:val="center"/>
          </w:tcPr>
          <w:p>
            <w:pPr>
              <w:jc w:val="center"/>
              <w:rPr>
                <w:rFonts w:ascii="宋体" w:hAnsi="宋体"/>
                <w:sz w:val="24"/>
                <w:szCs w:val="24"/>
              </w:rPr>
            </w:pPr>
            <w:r>
              <w:rPr>
                <w:rFonts w:hint="eastAsia" w:ascii="宋体" w:hAnsi="宋体"/>
                <w:sz w:val="24"/>
                <w:szCs w:val="24"/>
              </w:rPr>
              <w:t>10</w:t>
            </w:r>
          </w:p>
        </w:tc>
        <w:tc>
          <w:tcPr>
            <w:tcW w:w="1287" w:type="dxa"/>
            <w:vAlign w:val="center"/>
          </w:tcPr>
          <w:p>
            <w:pPr>
              <w:jc w:val="center"/>
              <w:rPr>
                <w:rFonts w:ascii="宋体" w:hAnsi="宋体"/>
                <w:sz w:val="24"/>
                <w:szCs w:val="24"/>
              </w:rPr>
            </w:pPr>
            <w:r>
              <w:rPr>
                <w:rFonts w:hint="eastAsia" w:ascii="宋体" w:hAnsi="宋体"/>
                <w:sz w:val="24"/>
                <w:szCs w:val="24"/>
              </w:rPr>
              <w:t>10种不同国家、不同贸易术语、不同结算方式、不同运输方式背景的外贸跟单试题</w:t>
            </w:r>
          </w:p>
        </w:tc>
        <w:tc>
          <w:tcPr>
            <w:tcW w:w="1222" w:type="dxa"/>
            <w:vMerge w:val="continue"/>
            <w:vAlign w:val="center"/>
          </w:tcPr>
          <w:p>
            <w:pPr>
              <w:jc w:val="center"/>
              <w:rPr>
                <w:rFonts w:ascii="宋体" w:hAnsi="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0" w:hRule="atLeast"/>
          <w:jc w:val="center"/>
        </w:trPr>
        <w:tc>
          <w:tcPr>
            <w:tcW w:w="677" w:type="dxa"/>
            <w:vMerge w:val="continue"/>
          </w:tcPr>
          <w:p>
            <w:pPr>
              <w:rPr>
                <w:rFonts w:ascii="宋体" w:hAnsi="宋体"/>
                <w:sz w:val="24"/>
                <w:szCs w:val="24"/>
              </w:rPr>
            </w:pPr>
          </w:p>
        </w:tc>
        <w:tc>
          <w:tcPr>
            <w:tcW w:w="710" w:type="dxa"/>
            <w:vMerge w:val="continue"/>
          </w:tcPr>
          <w:p>
            <w:pPr>
              <w:rPr>
                <w:rFonts w:ascii="宋体" w:hAnsi="宋体"/>
                <w:sz w:val="24"/>
                <w:szCs w:val="24"/>
              </w:rPr>
            </w:pPr>
          </w:p>
        </w:tc>
        <w:tc>
          <w:tcPr>
            <w:tcW w:w="2130" w:type="dxa"/>
            <w:vAlign w:val="center"/>
          </w:tcPr>
          <w:p>
            <w:pPr>
              <w:jc w:val="center"/>
              <w:rPr>
                <w:rFonts w:ascii="宋体" w:hAnsi="宋体"/>
                <w:sz w:val="24"/>
                <w:szCs w:val="24"/>
              </w:rPr>
            </w:pPr>
            <w:r>
              <w:rPr>
                <w:rFonts w:hint="eastAsia" w:ascii="宋体" w:hAnsi="宋体"/>
                <w:sz w:val="24"/>
                <w:szCs w:val="24"/>
              </w:rPr>
              <w:t>外贸英语沟通能力模块试题集</w:t>
            </w:r>
          </w:p>
        </w:tc>
        <w:tc>
          <w:tcPr>
            <w:tcW w:w="1280" w:type="dxa"/>
            <w:vAlign w:val="center"/>
          </w:tcPr>
          <w:p>
            <w:pPr>
              <w:jc w:val="center"/>
              <w:rPr>
                <w:rFonts w:ascii="宋体" w:hAnsi="宋体"/>
                <w:sz w:val="24"/>
                <w:szCs w:val="24"/>
              </w:rPr>
            </w:pPr>
            <w:r>
              <w:rPr>
                <w:rFonts w:hint="eastAsia" w:ascii="宋体" w:hAnsi="宋体"/>
                <w:sz w:val="24"/>
                <w:szCs w:val="24"/>
              </w:rPr>
              <w:t>文本文档</w:t>
            </w:r>
          </w:p>
        </w:tc>
        <w:tc>
          <w:tcPr>
            <w:tcW w:w="1277" w:type="dxa"/>
            <w:vAlign w:val="center"/>
          </w:tcPr>
          <w:p>
            <w:pPr>
              <w:jc w:val="center"/>
              <w:rPr>
                <w:rFonts w:ascii="宋体" w:hAnsi="宋体"/>
                <w:sz w:val="24"/>
                <w:szCs w:val="24"/>
              </w:rPr>
            </w:pPr>
            <w:r>
              <w:rPr>
                <w:rFonts w:hint="eastAsia" w:ascii="宋体" w:hAnsi="宋体"/>
                <w:sz w:val="24"/>
                <w:szCs w:val="24"/>
              </w:rPr>
              <w:t>10</w:t>
            </w:r>
          </w:p>
        </w:tc>
        <w:tc>
          <w:tcPr>
            <w:tcW w:w="1287" w:type="dxa"/>
            <w:vAlign w:val="center"/>
          </w:tcPr>
          <w:p>
            <w:pPr>
              <w:jc w:val="center"/>
              <w:rPr>
                <w:rFonts w:ascii="宋体" w:hAnsi="宋体"/>
                <w:sz w:val="24"/>
                <w:szCs w:val="24"/>
              </w:rPr>
            </w:pPr>
            <w:r>
              <w:rPr>
                <w:rFonts w:hint="eastAsia" w:ascii="宋体" w:hAnsi="宋体"/>
                <w:sz w:val="24"/>
                <w:szCs w:val="24"/>
              </w:rPr>
              <w:t>10套外贸英语沟通能力试题（Retell文章10篇，外贸业务相关问题10个）</w:t>
            </w:r>
          </w:p>
        </w:tc>
        <w:tc>
          <w:tcPr>
            <w:tcW w:w="1222" w:type="dxa"/>
            <w:vMerge w:val="continue"/>
            <w:vAlign w:val="center"/>
          </w:tcPr>
          <w:p>
            <w:pPr>
              <w:jc w:val="center"/>
              <w:rPr>
                <w:rFonts w:ascii="宋体" w:hAnsi="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0" w:hRule="atLeast"/>
          <w:jc w:val="center"/>
        </w:trPr>
        <w:tc>
          <w:tcPr>
            <w:tcW w:w="677" w:type="dxa"/>
            <w:vMerge w:val="restart"/>
            <w:tcBorders>
              <w:top w:val="nil"/>
            </w:tcBorders>
            <w:vAlign w:val="center"/>
          </w:tcPr>
          <w:p>
            <w:pPr>
              <w:jc w:val="center"/>
              <w:rPr>
                <w:rFonts w:ascii="宋体" w:hAnsi="宋体"/>
                <w:sz w:val="24"/>
                <w:szCs w:val="24"/>
              </w:rPr>
            </w:pPr>
            <w:r>
              <w:rPr>
                <w:rFonts w:hint="eastAsia" w:ascii="宋体" w:hAnsi="宋体"/>
                <w:sz w:val="24"/>
                <w:szCs w:val="24"/>
              </w:rPr>
              <w:t>拓展</w:t>
            </w:r>
          </w:p>
          <w:p>
            <w:pPr>
              <w:jc w:val="center"/>
              <w:rPr>
                <w:rFonts w:ascii="宋体" w:hAnsi="宋体"/>
                <w:sz w:val="24"/>
                <w:szCs w:val="24"/>
              </w:rPr>
            </w:pPr>
            <w:r>
              <w:rPr>
                <w:rFonts w:hint="eastAsia" w:ascii="宋体" w:hAnsi="宋体"/>
                <w:sz w:val="24"/>
                <w:szCs w:val="24"/>
              </w:rPr>
              <w:t>资源</w:t>
            </w:r>
          </w:p>
        </w:tc>
        <w:tc>
          <w:tcPr>
            <w:tcW w:w="2840" w:type="dxa"/>
            <w:gridSpan w:val="2"/>
            <w:vAlign w:val="center"/>
          </w:tcPr>
          <w:p>
            <w:pPr>
              <w:jc w:val="center"/>
              <w:rPr>
                <w:rFonts w:ascii="宋体" w:hAnsi="宋体"/>
                <w:sz w:val="24"/>
                <w:szCs w:val="24"/>
              </w:rPr>
            </w:pPr>
            <w:r>
              <w:rPr>
                <w:rFonts w:hint="eastAsia" w:ascii="宋体" w:hAnsi="宋体"/>
                <w:sz w:val="24"/>
                <w:szCs w:val="24"/>
              </w:rPr>
              <w:t>优秀指导教师访谈</w:t>
            </w:r>
          </w:p>
        </w:tc>
        <w:tc>
          <w:tcPr>
            <w:tcW w:w="1280" w:type="dxa"/>
            <w:vAlign w:val="center"/>
          </w:tcPr>
          <w:p>
            <w:pPr>
              <w:jc w:val="center"/>
              <w:rPr>
                <w:rFonts w:ascii="宋体" w:hAnsi="宋体"/>
                <w:sz w:val="24"/>
                <w:szCs w:val="24"/>
              </w:rPr>
            </w:pPr>
            <w:r>
              <w:rPr>
                <w:rFonts w:hint="eastAsia" w:ascii="宋体" w:hAnsi="宋体"/>
                <w:sz w:val="24"/>
                <w:szCs w:val="24"/>
              </w:rPr>
              <w:t>视频</w:t>
            </w:r>
          </w:p>
        </w:tc>
        <w:tc>
          <w:tcPr>
            <w:tcW w:w="1277" w:type="dxa"/>
            <w:vAlign w:val="center"/>
          </w:tcPr>
          <w:p>
            <w:pPr>
              <w:jc w:val="center"/>
              <w:rPr>
                <w:rFonts w:ascii="宋体" w:hAnsi="宋体"/>
                <w:sz w:val="24"/>
                <w:szCs w:val="24"/>
              </w:rPr>
            </w:pPr>
            <w:r>
              <w:rPr>
                <w:rFonts w:hint="eastAsia" w:ascii="宋体" w:hAnsi="宋体"/>
                <w:sz w:val="24"/>
                <w:szCs w:val="24"/>
              </w:rPr>
              <w:t>2</w:t>
            </w:r>
          </w:p>
        </w:tc>
        <w:tc>
          <w:tcPr>
            <w:tcW w:w="1287" w:type="dxa"/>
            <w:vAlign w:val="center"/>
          </w:tcPr>
          <w:p>
            <w:pPr>
              <w:jc w:val="center"/>
              <w:rPr>
                <w:rFonts w:ascii="宋体" w:hAnsi="宋体"/>
                <w:sz w:val="24"/>
                <w:szCs w:val="24"/>
              </w:rPr>
            </w:pPr>
          </w:p>
        </w:tc>
        <w:tc>
          <w:tcPr>
            <w:tcW w:w="1222" w:type="dxa"/>
            <w:vMerge w:val="continue"/>
            <w:vAlign w:val="center"/>
          </w:tcPr>
          <w:p>
            <w:pPr>
              <w:jc w:val="center"/>
              <w:rPr>
                <w:rFonts w:ascii="宋体" w:hAnsi="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0" w:hRule="atLeast"/>
          <w:jc w:val="center"/>
        </w:trPr>
        <w:tc>
          <w:tcPr>
            <w:tcW w:w="677" w:type="dxa"/>
            <w:vMerge w:val="continue"/>
          </w:tcPr>
          <w:p>
            <w:pPr>
              <w:rPr>
                <w:rFonts w:ascii="宋体" w:hAnsi="宋体"/>
                <w:sz w:val="24"/>
                <w:szCs w:val="24"/>
              </w:rPr>
            </w:pPr>
          </w:p>
        </w:tc>
        <w:tc>
          <w:tcPr>
            <w:tcW w:w="2840" w:type="dxa"/>
            <w:gridSpan w:val="2"/>
            <w:vAlign w:val="center"/>
          </w:tcPr>
          <w:p>
            <w:pPr>
              <w:jc w:val="center"/>
              <w:rPr>
                <w:rFonts w:ascii="宋体" w:hAnsi="宋体"/>
                <w:sz w:val="24"/>
                <w:szCs w:val="24"/>
              </w:rPr>
            </w:pPr>
            <w:r>
              <w:rPr>
                <w:rFonts w:hint="eastAsia" w:ascii="宋体" w:hAnsi="宋体"/>
                <w:sz w:val="24"/>
                <w:szCs w:val="24"/>
              </w:rPr>
              <w:t>优秀选手访谈</w:t>
            </w:r>
          </w:p>
        </w:tc>
        <w:tc>
          <w:tcPr>
            <w:tcW w:w="1280" w:type="dxa"/>
            <w:vAlign w:val="center"/>
          </w:tcPr>
          <w:p>
            <w:pPr>
              <w:jc w:val="center"/>
              <w:rPr>
                <w:rFonts w:ascii="宋体" w:hAnsi="宋体"/>
                <w:sz w:val="24"/>
                <w:szCs w:val="24"/>
              </w:rPr>
            </w:pPr>
            <w:r>
              <w:rPr>
                <w:rFonts w:hint="eastAsia" w:ascii="宋体" w:hAnsi="宋体"/>
                <w:sz w:val="24"/>
                <w:szCs w:val="24"/>
              </w:rPr>
              <w:t>视频</w:t>
            </w:r>
          </w:p>
        </w:tc>
        <w:tc>
          <w:tcPr>
            <w:tcW w:w="1277" w:type="dxa"/>
            <w:vAlign w:val="center"/>
          </w:tcPr>
          <w:p>
            <w:pPr>
              <w:jc w:val="center"/>
              <w:rPr>
                <w:rFonts w:ascii="宋体" w:hAnsi="宋体"/>
                <w:sz w:val="24"/>
                <w:szCs w:val="24"/>
              </w:rPr>
            </w:pPr>
            <w:r>
              <w:rPr>
                <w:rFonts w:hint="eastAsia" w:ascii="宋体" w:hAnsi="宋体"/>
                <w:sz w:val="24"/>
                <w:szCs w:val="24"/>
              </w:rPr>
              <w:t>3</w:t>
            </w:r>
          </w:p>
        </w:tc>
        <w:tc>
          <w:tcPr>
            <w:tcW w:w="1287" w:type="dxa"/>
            <w:vAlign w:val="center"/>
          </w:tcPr>
          <w:p>
            <w:pPr>
              <w:jc w:val="center"/>
              <w:rPr>
                <w:rFonts w:ascii="宋体" w:hAnsi="宋体"/>
                <w:sz w:val="24"/>
                <w:szCs w:val="24"/>
              </w:rPr>
            </w:pPr>
          </w:p>
        </w:tc>
        <w:tc>
          <w:tcPr>
            <w:tcW w:w="1222" w:type="dxa"/>
            <w:vMerge w:val="continue"/>
            <w:vAlign w:val="center"/>
          </w:tcPr>
          <w:p>
            <w:pPr>
              <w:jc w:val="center"/>
              <w:rPr>
                <w:rFonts w:ascii="宋体" w:hAnsi="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0" w:hRule="atLeast"/>
          <w:jc w:val="center"/>
        </w:trPr>
        <w:tc>
          <w:tcPr>
            <w:tcW w:w="677" w:type="dxa"/>
            <w:vMerge w:val="continue"/>
          </w:tcPr>
          <w:p>
            <w:pPr>
              <w:rPr>
                <w:rFonts w:ascii="宋体" w:hAnsi="宋体"/>
                <w:sz w:val="24"/>
                <w:szCs w:val="24"/>
              </w:rPr>
            </w:pPr>
          </w:p>
        </w:tc>
        <w:tc>
          <w:tcPr>
            <w:tcW w:w="2840" w:type="dxa"/>
            <w:gridSpan w:val="2"/>
            <w:vAlign w:val="center"/>
          </w:tcPr>
          <w:p>
            <w:pPr>
              <w:jc w:val="center"/>
              <w:rPr>
                <w:rFonts w:ascii="宋体" w:hAnsi="宋体"/>
                <w:sz w:val="24"/>
                <w:szCs w:val="24"/>
              </w:rPr>
            </w:pPr>
            <w:r>
              <w:rPr>
                <w:rFonts w:hint="eastAsia" w:ascii="宋体" w:hAnsi="宋体"/>
                <w:sz w:val="24"/>
                <w:szCs w:val="24"/>
              </w:rPr>
              <w:t>举办配套行业赛事，提高学生参与度</w:t>
            </w:r>
          </w:p>
        </w:tc>
        <w:tc>
          <w:tcPr>
            <w:tcW w:w="1280" w:type="dxa"/>
            <w:vAlign w:val="center"/>
          </w:tcPr>
          <w:p>
            <w:pPr>
              <w:jc w:val="center"/>
              <w:rPr>
                <w:rFonts w:ascii="宋体" w:hAnsi="宋体"/>
                <w:sz w:val="24"/>
                <w:szCs w:val="24"/>
              </w:rPr>
            </w:pPr>
            <w:r>
              <w:rPr>
                <w:rFonts w:hint="eastAsia" w:ascii="宋体" w:hAnsi="宋体"/>
                <w:sz w:val="24"/>
                <w:szCs w:val="24"/>
              </w:rPr>
              <w:t>网络赛</w:t>
            </w:r>
          </w:p>
        </w:tc>
        <w:tc>
          <w:tcPr>
            <w:tcW w:w="1277" w:type="dxa"/>
            <w:vAlign w:val="center"/>
          </w:tcPr>
          <w:p>
            <w:pPr>
              <w:jc w:val="center"/>
              <w:rPr>
                <w:rFonts w:ascii="宋体" w:hAnsi="宋体"/>
                <w:sz w:val="24"/>
                <w:szCs w:val="24"/>
              </w:rPr>
            </w:pPr>
          </w:p>
        </w:tc>
        <w:tc>
          <w:tcPr>
            <w:tcW w:w="1287" w:type="dxa"/>
            <w:vAlign w:val="center"/>
          </w:tcPr>
          <w:p>
            <w:pPr>
              <w:jc w:val="center"/>
              <w:rPr>
                <w:rFonts w:ascii="宋体" w:hAnsi="宋体"/>
                <w:sz w:val="24"/>
                <w:szCs w:val="24"/>
              </w:rPr>
            </w:pPr>
          </w:p>
        </w:tc>
        <w:tc>
          <w:tcPr>
            <w:tcW w:w="1222" w:type="dxa"/>
            <w:vAlign w:val="center"/>
          </w:tcPr>
          <w:p>
            <w:pPr>
              <w:jc w:val="center"/>
              <w:rPr>
                <w:rFonts w:ascii="宋体" w:hAnsi="宋体"/>
                <w:sz w:val="24"/>
                <w:szCs w:val="24"/>
              </w:rPr>
            </w:pPr>
            <w:r>
              <w:rPr>
                <w:rFonts w:hint="eastAsia" w:ascii="宋体" w:hAnsi="宋体"/>
                <w:sz w:val="24"/>
                <w:szCs w:val="24"/>
              </w:rPr>
              <w:t>2019.4</w:t>
            </w:r>
          </w:p>
          <w:p>
            <w:pPr>
              <w:jc w:val="center"/>
              <w:rPr>
                <w:rFonts w:ascii="宋体" w:hAnsi="宋体"/>
                <w:sz w:val="24"/>
                <w:szCs w:val="24"/>
              </w:rPr>
            </w:pPr>
            <w:r>
              <w:rPr>
                <w:rFonts w:hint="eastAsia" w:ascii="宋体" w:hAnsi="宋体"/>
                <w:sz w:val="24"/>
                <w:szCs w:val="24"/>
              </w:rPr>
              <w:t>2019.11</w:t>
            </w:r>
          </w:p>
        </w:tc>
      </w:tr>
    </w:tbl>
    <w:p>
      <w:pPr>
        <w:pStyle w:val="2"/>
        <w:ind w:firstLine="600"/>
      </w:pPr>
      <w:bookmarkStart w:id="44" w:name="_Toc522017706"/>
      <w:r>
        <w:rPr>
          <w:rFonts w:hint="eastAsia"/>
        </w:rPr>
        <w:t>十八、筹备工作进度时间表</w:t>
      </w:r>
      <w:bookmarkEnd w:id="44"/>
    </w:p>
    <w:p>
      <w:pPr>
        <w:snapToGrid w:val="0"/>
        <w:spacing w:line="560" w:lineRule="exact"/>
        <w:jc w:val="center"/>
        <w:rPr>
          <w:rFonts w:cs="Arial" w:asciiTheme="minorEastAsia" w:hAnsiTheme="minorEastAsia"/>
          <w:kern w:val="0"/>
          <w:sz w:val="24"/>
          <w:szCs w:val="24"/>
        </w:rPr>
      </w:pPr>
      <w:r>
        <w:rPr>
          <w:rFonts w:hint="eastAsia" w:cs="Arial" w:asciiTheme="minorEastAsia" w:hAnsiTheme="minorEastAsia"/>
          <w:kern w:val="0"/>
          <w:sz w:val="24"/>
          <w:szCs w:val="24"/>
        </w:rPr>
        <w:t>表13 竞赛筹备工作进度时间表</w:t>
      </w:r>
    </w:p>
    <w:tbl>
      <w:tblPr>
        <w:tblStyle w:val="17"/>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4658"/>
        <w:gridCol w:w="27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90" w:type="dxa"/>
            <w:shd w:val="clear" w:color="auto" w:fill="auto"/>
            <w:vAlign w:val="center"/>
          </w:tcPr>
          <w:p>
            <w:pPr>
              <w:jc w:val="center"/>
              <w:rPr>
                <w:rFonts w:ascii="宋体" w:hAnsi="宋体"/>
                <w:b/>
                <w:sz w:val="24"/>
                <w:szCs w:val="24"/>
              </w:rPr>
            </w:pPr>
            <w:r>
              <w:rPr>
                <w:rFonts w:hint="eastAsia" w:ascii="宋体" w:hAnsi="宋体"/>
                <w:b/>
                <w:sz w:val="24"/>
                <w:szCs w:val="24"/>
              </w:rPr>
              <w:t>序号</w:t>
            </w:r>
          </w:p>
        </w:tc>
        <w:tc>
          <w:tcPr>
            <w:tcW w:w="4658" w:type="dxa"/>
            <w:shd w:val="clear" w:color="auto" w:fill="auto"/>
            <w:vAlign w:val="center"/>
          </w:tcPr>
          <w:p>
            <w:pPr>
              <w:jc w:val="center"/>
              <w:rPr>
                <w:rFonts w:ascii="宋体" w:hAnsi="宋体"/>
                <w:b/>
                <w:sz w:val="24"/>
                <w:szCs w:val="24"/>
              </w:rPr>
            </w:pPr>
            <w:r>
              <w:rPr>
                <w:rFonts w:hint="eastAsia" w:ascii="宋体" w:hAnsi="宋体"/>
                <w:b/>
                <w:sz w:val="24"/>
                <w:szCs w:val="24"/>
              </w:rPr>
              <w:t>内容</w:t>
            </w:r>
          </w:p>
        </w:tc>
        <w:tc>
          <w:tcPr>
            <w:tcW w:w="2774" w:type="dxa"/>
            <w:shd w:val="clear" w:color="auto" w:fill="auto"/>
            <w:vAlign w:val="center"/>
          </w:tcPr>
          <w:p>
            <w:pPr>
              <w:jc w:val="center"/>
              <w:rPr>
                <w:rFonts w:ascii="宋体" w:hAnsi="宋体"/>
                <w:b/>
                <w:sz w:val="24"/>
                <w:szCs w:val="24"/>
              </w:rPr>
            </w:pPr>
            <w:r>
              <w:rPr>
                <w:rFonts w:hint="eastAsia" w:ascii="宋体" w:hAnsi="宋体"/>
                <w:b/>
                <w:sz w:val="24"/>
                <w:szCs w:val="24"/>
              </w:rPr>
              <w:t>时间安排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1" w:hRule="atLeast"/>
          <w:jc w:val="center"/>
        </w:trPr>
        <w:tc>
          <w:tcPr>
            <w:tcW w:w="1090" w:type="dxa"/>
            <w:shd w:val="clear" w:color="auto" w:fill="auto"/>
            <w:vAlign w:val="center"/>
          </w:tcPr>
          <w:p>
            <w:pPr>
              <w:jc w:val="center"/>
              <w:rPr>
                <w:rFonts w:ascii="宋体" w:hAnsi="宋体"/>
                <w:sz w:val="24"/>
                <w:szCs w:val="24"/>
              </w:rPr>
            </w:pPr>
            <w:r>
              <w:rPr>
                <w:rFonts w:hint="eastAsia" w:ascii="宋体" w:hAnsi="宋体"/>
                <w:sz w:val="24"/>
                <w:szCs w:val="24"/>
              </w:rPr>
              <w:t>1</w:t>
            </w:r>
          </w:p>
        </w:tc>
        <w:tc>
          <w:tcPr>
            <w:tcW w:w="4658" w:type="dxa"/>
            <w:shd w:val="clear" w:color="auto" w:fill="auto"/>
            <w:vAlign w:val="center"/>
          </w:tcPr>
          <w:p>
            <w:pPr>
              <w:rPr>
                <w:rFonts w:ascii="宋体" w:hAnsi="宋体"/>
                <w:sz w:val="24"/>
                <w:szCs w:val="24"/>
              </w:rPr>
            </w:pPr>
            <w:r>
              <w:rPr>
                <w:rFonts w:hint="eastAsia" w:ascii="宋体" w:hAnsi="宋体"/>
                <w:sz w:val="24"/>
                <w:szCs w:val="24"/>
              </w:rPr>
              <w:t>组织专家编制赛项申报方案</w:t>
            </w:r>
          </w:p>
        </w:tc>
        <w:tc>
          <w:tcPr>
            <w:tcW w:w="2774" w:type="dxa"/>
            <w:shd w:val="clear" w:color="auto" w:fill="auto"/>
            <w:vAlign w:val="center"/>
          </w:tcPr>
          <w:p>
            <w:pPr>
              <w:jc w:val="center"/>
              <w:rPr>
                <w:rFonts w:ascii="宋体" w:hAnsi="宋体"/>
                <w:sz w:val="24"/>
                <w:szCs w:val="24"/>
              </w:rPr>
            </w:pPr>
            <w:r>
              <w:rPr>
                <w:rFonts w:hint="eastAsia" w:ascii="宋体" w:hAnsi="宋体"/>
                <w:sz w:val="24"/>
                <w:szCs w:val="24"/>
              </w:rPr>
              <w:t>2018年8月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90" w:type="dxa"/>
            <w:shd w:val="clear" w:color="auto" w:fill="auto"/>
            <w:vAlign w:val="center"/>
          </w:tcPr>
          <w:p>
            <w:pPr>
              <w:jc w:val="center"/>
              <w:rPr>
                <w:rFonts w:ascii="宋体" w:hAnsi="宋体"/>
                <w:sz w:val="24"/>
                <w:szCs w:val="24"/>
              </w:rPr>
            </w:pPr>
            <w:r>
              <w:rPr>
                <w:rFonts w:hint="eastAsia" w:ascii="宋体" w:hAnsi="宋体"/>
                <w:sz w:val="24"/>
                <w:szCs w:val="24"/>
              </w:rPr>
              <w:t>2</w:t>
            </w:r>
          </w:p>
        </w:tc>
        <w:tc>
          <w:tcPr>
            <w:tcW w:w="4658" w:type="dxa"/>
            <w:shd w:val="clear" w:color="auto" w:fill="auto"/>
            <w:vAlign w:val="center"/>
          </w:tcPr>
          <w:p>
            <w:pPr>
              <w:rPr>
                <w:rFonts w:ascii="宋体" w:hAnsi="宋体"/>
                <w:sz w:val="24"/>
                <w:szCs w:val="24"/>
              </w:rPr>
            </w:pPr>
            <w:r>
              <w:rPr>
                <w:rFonts w:hint="eastAsia" w:ascii="宋体" w:hAnsi="宋体"/>
                <w:sz w:val="24"/>
                <w:szCs w:val="24"/>
              </w:rPr>
              <w:t>赛项方案完善、赛项评审答辩</w:t>
            </w:r>
          </w:p>
        </w:tc>
        <w:tc>
          <w:tcPr>
            <w:tcW w:w="2774" w:type="dxa"/>
            <w:shd w:val="clear" w:color="auto" w:fill="auto"/>
            <w:vAlign w:val="center"/>
          </w:tcPr>
          <w:p>
            <w:pPr>
              <w:jc w:val="center"/>
              <w:rPr>
                <w:rFonts w:ascii="宋体" w:hAnsi="宋体"/>
                <w:sz w:val="24"/>
                <w:szCs w:val="24"/>
              </w:rPr>
            </w:pPr>
            <w:r>
              <w:rPr>
                <w:rFonts w:hint="eastAsia" w:ascii="宋体" w:hAnsi="宋体"/>
                <w:sz w:val="24"/>
                <w:szCs w:val="24"/>
              </w:rPr>
              <w:t>2018年9月-12月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jc w:val="center"/>
        </w:trPr>
        <w:tc>
          <w:tcPr>
            <w:tcW w:w="1090" w:type="dxa"/>
            <w:shd w:val="clear" w:color="auto" w:fill="auto"/>
            <w:vAlign w:val="center"/>
          </w:tcPr>
          <w:p>
            <w:pPr>
              <w:jc w:val="center"/>
              <w:rPr>
                <w:rFonts w:ascii="宋体" w:hAnsi="宋体"/>
                <w:sz w:val="24"/>
                <w:szCs w:val="24"/>
              </w:rPr>
            </w:pPr>
            <w:r>
              <w:rPr>
                <w:rFonts w:hint="eastAsia" w:ascii="宋体" w:hAnsi="宋体"/>
                <w:sz w:val="24"/>
                <w:szCs w:val="24"/>
              </w:rPr>
              <w:t>3</w:t>
            </w:r>
          </w:p>
        </w:tc>
        <w:tc>
          <w:tcPr>
            <w:tcW w:w="4658" w:type="dxa"/>
            <w:shd w:val="clear" w:color="auto" w:fill="auto"/>
            <w:vAlign w:val="center"/>
          </w:tcPr>
          <w:p>
            <w:pPr>
              <w:rPr>
                <w:rFonts w:ascii="宋体" w:hAnsi="宋体"/>
                <w:sz w:val="24"/>
                <w:szCs w:val="24"/>
              </w:rPr>
            </w:pPr>
            <w:r>
              <w:rPr>
                <w:rFonts w:hint="eastAsia" w:ascii="宋体" w:hAnsi="宋体"/>
                <w:sz w:val="24"/>
                <w:szCs w:val="24"/>
              </w:rPr>
              <w:t>企业合作方案制定</w:t>
            </w:r>
          </w:p>
        </w:tc>
        <w:tc>
          <w:tcPr>
            <w:tcW w:w="2774" w:type="dxa"/>
            <w:shd w:val="clear" w:color="auto" w:fill="auto"/>
            <w:vAlign w:val="center"/>
          </w:tcPr>
          <w:p>
            <w:pPr>
              <w:jc w:val="center"/>
              <w:rPr>
                <w:rFonts w:ascii="宋体" w:hAnsi="宋体"/>
                <w:sz w:val="24"/>
                <w:szCs w:val="24"/>
              </w:rPr>
            </w:pPr>
            <w:r>
              <w:rPr>
                <w:rFonts w:hint="eastAsia" w:ascii="宋体" w:hAnsi="宋体"/>
                <w:sz w:val="24"/>
                <w:szCs w:val="24"/>
              </w:rPr>
              <w:t>2019年1月-2月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90" w:type="dxa"/>
            <w:shd w:val="clear" w:color="auto" w:fill="auto"/>
            <w:vAlign w:val="center"/>
          </w:tcPr>
          <w:p>
            <w:pPr>
              <w:jc w:val="center"/>
              <w:rPr>
                <w:rFonts w:ascii="宋体" w:hAnsi="宋体"/>
                <w:sz w:val="24"/>
                <w:szCs w:val="24"/>
              </w:rPr>
            </w:pPr>
            <w:r>
              <w:rPr>
                <w:rFonts w:hint="eastAsia" w:ascii="宋体" w:hAnsi="宋体"/>
                <w:sz w:val="24"/>
                <w:szCs w:val="24"/>
              </w:rPr>
              <w:t>4</w:t>
            </w:r>
          </w:p>
        </w:tc>
        <w:tc>
          <w:tcPr>
            <w:tcW w:w="4658" w:type="dxa"/>
            <w:shd w:val="clear" w:color="auto" w:fill="auto"/>
            <w:vAlign w:val="center"/>
          </w:tcPr>
          <w:p>
            <w:pPr>
              <w:rPr>
                <w:rFonts w:ascii="宋体" w:hAnsi="宋体"/>
                <w:sz w:val="24"/>
                <w:szCs w:val="24"/>
              </w:rPr>
            </w:pPr>
            <w:r>
              <w:rPr>
                <w:rFonts w:hint="eastAsia" w:ascii="宋体" w:hAnsi="宋体"/>
                <w:sz w:val="24"/>
                <w:szCs w:val="24"/>
              </w:rPr>
              <w:t>赛项规程、赛项器材方案、赛项预算</w:t>
            </w:r>
          </w:p>
        </w:tc>
        <w:tc>
          <w:tcPr>
            <w:tcW w:w="2774" w:type="dxa"/>
            <w:shd w:val="clear" w:color="auto" w:fill="auto"/>
            <w:vAlign w:val="center"/>
          </w:tcPr>
          <w:p>
            <w:pPr>
              <w:jc w:val="center"/>
              <w:rPr>
                <w:rFonts w:ascii="宋体" w:hAnsi="宋体"/>
                <w:sz w:val="24"/>
                <w:szCs w:val="24"/>
              </w:rPr>
            </w:pPr>
            <w:r>
              <w:rPr>
                <w:rFonts w:hint="eastAsia" w:ascii="宋体" w:hAnsi="宋体"/>
                <w:sz w:val="24"/>
                <w:szCs w:val="24"/>
              </w:rPr>
              <w:t>2019年3月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90" w:type="dxa"/>
            <w:shd w:val="clear" w:color="auto" w:fill="auto"/>
            <w:vAlign w:val="center"/>
          </w:tcPr>
          <w:p>
            <w:pPr>
              <w:jc w:val="center"/>
              <w:rPr>
                <w:rFonts w:ascii="宋体" w:hAnsi="宋体"/>
                <w:sz w:val="24"/>
                <w:szCs w:val="24"/>
              </w:rPr>
            </w:pPr>
            <w:r>
              <w:rPr>
                <w:rFonts w:hint="eastAsia" w:ascii="宋体" w:hAnsi="宋体"/>
                <w:sz w:val="24"/>
                <w:szCs w:val="24"/>
              </w:rPr>
              <w:t>5</w:t>
            </w:r>
          </w:p>
        </w:tc>
        <w:tc>
          <w:tcPr>
            <w:tcW w:w="4658" w:type="dxa"/>
            <w:shd w:val="clear" w:color="auto" w:fill="auto"/>
            <w:vAlign w:val="center"/>
          </w:tcPr>
          <w:p>
            <w:pPr>
              <w:rPr>
                <w:rFonts w:ascii="宋体" w:hAnsi="宋体"/>
                <w:sz w:val="24"/>
                <w:szCs w:val="24"/>
              </w:rPr>
            </w:pPr>
            <w:r>
              <w:rPr>
                <w:rFonts w:hint="eastAsia" w:ascii="宋体" w:hAnsi="宋体"/>
                <w:sz w:val="24"/>
                <w:szCs w:val="24"/>
              </w:rPr>
              <w:t>组织各省省赛</w:t>
            </w:r>
          </w:p>
        </w:tc>
        <w:tc>
          <w:tcPr>
            <w:tcW w:w="2774" w:type="dxa"/>
            <w:shd w:val="clear" w:color="auto" w:fill="auto"/>
            <w:vAlign w:val="center"/>
          </w:tcPr>
          <w:p>
            <w:pPr>
              <w:jc w:val="center"/>
              <w:rPr>
                <w:rFonts w:ascii="宋体" w:hAnsi="宋体"/>
                <w:sz w:val="24"/>
                <w:szCs w:val="24"/>
              </w:rPr>
            </w:pPr>
            <w:r>
              <w:rPr>
                <w:rFonts w:hint="eastAsia" w:ascii="宋体" w:hAnsi="宋体"/>
                <w:sz w:val="24"/>
                <w:szCs w:val="24"/>
              </w:rPr>
              <w:t>2019年3月-5月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90" w:type="dxa"/>
            <w:vMerge w:val="restart"/>
            <w:shd w:val="clear" w:color="auto" w:fill="auto"/>
            <w:vAlign w:val="center"/>
          </w:tcPr>
          <w:p>
            <w:pPr>
              <w:jc w:val="center"/>
              <w:rPr>
                <w:rFonts w:ascii="宋体" w:hAnsi="宋体"/>
                <w:sz w:val="24"/>
                <w:szCs w:val="24"/>
              </w:rPr>
            </w:pPr>
            <w:r>
              <w:rPr>
                <w:rFonts w:hint="eastAsia" w:ascii="宋体" w:hAnsi="宋体"/>
                <w:sz w:val="24"/>
                <w:szCs w:val="24"/>
              </w:rPr>
              <w:t>6</w:t>
            </w:r>
          </w:p>
        </w:tc>
        <w:tc>
          <w:tcPr>
            <w:tcW w:w="4658" w:type="dxa"/>
            <w:shd w:val="clear" w:color="auto" w:fill="auto"/>
            <w:vAlign w:val="center"/>
          </w:tcPr>
          <w:p>
            <w:pPr>
              <w:rPr>
                <w:rFonts w:ascii="宋体" w:hAnsi="宋体"/>
                <w:sz w:val="24"/>
                <w:szCs w:val="24"/>
              </w:rPr>
            </w:pPr>
            <w:r>
              <w:rPr>
                <w:rFonts w:hint="eastAsia" w:ascii="宋体" w:hAnsi="宋体"/>
                <w:sz w:val="24"/>
                <w:szCs w:val="24"/>
              </w:rPr>
              <w:t>组织专家组设计赛题</w:t>
            </w:r>
          </w:p>
        </w:tc>
        <w:tc>
          <w:tcPr>
            <w:tcW w:w="2774" w:type="dxa"/>
            <w:shd w:val="clear" w:color="auto" w:fill="auto"/>
            <w:vAlign w:val="center"/>
          </w:tcPr>
          <w:p>
            <w:pPr>
              <w:jc w:val="center"/>
              <w:rPr>
                <w:rFonts w:ascii="宋体" w:hAnsi="宋体"/>
                <w:sz w:val="24"/>
                <w:szCs w:val="24"/>
              </w:rPr>
            </w:pPr>
            <w:r>
              <w:rPr>
                <w:rFonts w:hint="eastAsia" w:ascii="宋体" w:hAnsi="宋体"/>
                <w:sz w:val="24"/>
                <w:szCs w:val="24"/>
              </w:rPr>
              <w:t>2019年4月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90" w:type="dxa"/>
            <w:vMerge w:val="continue"/>
            <w:shd w:val="clear" w:color="auto" w:fill="auto"/>
            <w:vAlign w:val="center"/>
          </w:tcPr>
          <w:p>
            <w:pPr>
              <w:jc w:val="center"/>
              <w:rPr>
                <w:rFonts w:ascii="宋体" w:hAnsi="宋体"/>
                <w:sz w:val="24"/>
                <w:szCs w:val="24"/>
              </w:rPr>
            </w:pPr>
          </w:p>
        </w:tc>
        <w:tc>
          <w:tcPr>
            <w:tcW w:w="4658" w:type="dxa"/>
            <w:shd w:val="clear" w:color="auto" w:fill="auto"/>
            <w:vAlign w:val="center"/>
          </w:tcPr>
          <w:p>
            <w:pPr>
              <w:rPr>
                <w:rFonts w:ascii="宋体" w:hAnsi="宋体"/>
                <w:sz w:val="24"/>
                <w:szCs w:val="24"/>
              </w:rPr>
            </w:pPr>
            <w:r>
              <w:rPr>
                <w:rFonts w:hint="eastAsia" w:ascii="宋体" w:hAnsi="宋体"/>
                <w:sz w:val="24"/>
                <w:szCs w:val="24"/>
              </w:rPr>
              <w:t>赛项赛前说明会</w:t>
            </w:r>
          </w:p>
        </w:tc>
        <w:tc>
          <w:tcPr>
            <w:tcW w:w="2774" w:type="dxa"/>
            <w:shd w:val="clear" w:color="auto" w:fill="auto"/>
            <w:vAlign w:val="center"/>
          </w:tcPr>
          <w:p>
            <w:pPr>
              <w:jc w:val="center"/>
              <w:rPr>
                <w:rFonts w:ascii="宋体" w:hAnsi="宋体"/>
                <w:sz w:val="24"/>
                <w:szCs w:val="24"/>
              </w:rPr>
            </w:pPr>
            <w:r>
              <w:rPr>
                <w:rFonts w:hint="eastAsia" w:ascii="宋体" w:hAnsi="宋体"/>
                <w:sz w:val="24"/>
                <w:szCs w:val="24"/>
              </w:rPr>
              <w:t>2019年5月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90" w:type="dxa"/>
            <w:vMerge w:val="continue"/>
            <w:shd w:val="clear" w:color="auto" w:fill="auto"/>
            <w:vAlign w:val="center"/>
          </w:tcPr>
          <w:p>
            <w:pPr>
              <w:jc w:val="center"/>
              <w:rPr>
                <w:rFonts w:ascii="宋体" w:hAnsi="宋体"/>
                <w:sz w:val="24"/>
                <w:szCs w:val="24"/>
              </w:rPr>
            </w:pPr>
          </w:p>
        </w:tc>
        <w:tc>
          <w:tcPr>
            <w:tcW w:w="4658" w:type="dxa"/>
            <w:shd w:val="clear" w:color="auto" w:fill="auto"/>
            <w:vAlign w:val="center"/>
          </w:tcPr>
          <w:p>
            <w:pPr>
              <w:rPr>
                <w:rFonts w:ascii="宋体" w:hAnsi="宋体"/>
                <w:sz w:val="24"/>
                <w:szCs w:val="24"/>
              </w:rPr>
            </w:pPr>
            <w:r>
              <w:rPr>
                <w:rFonts w:hint="eastAsia" w:ascii="宋体" w:hAnsi="宋体"/>
                <w:sz w:val="24"/>
                <w:szCs w:val="24"/>
              </w:rPr>
              <w:t>比赛设备安装、调试，编制赛项指南文本</w:t>
            </w:r>
          </w:p>
        </w:tc>
        <w:tc>
          <w:tcPr>
            <w:tcW w:w="2774" w:type="dxa"/>
            <w:shd w:val="clear" w:color="auto" w:fill="auto"/>
            <w:vAlign w:val="center"/>
          </w:tcPr>
          <w:p>
            <w:pPr>
              <w:jc w:val="center"/>
              <w:rPr>
                <w:rFonts w:ascii="宋体" w:hAnsi="宋体"/>
                <w:sz w:val="24"/>
                <w:szCs w:val="24"/>
              </w:rPr>
            </w:pPr>
            <w:r>
              <w:rPr>
                <w:rFonts w:hint="eastAsia" w:ascii="宋体" w:hAnsi="宋体"/>
                <w:sz w:val="24"/>
                <w:szCs w:val="24"/>
              </w:rPr>
              <w:t>2019年5月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90" w:type="dxa"/>
            <w:shd w:val="clear" w:color="auto" w:fill="auto"/>
            <w:vAlign w:val="center"/>
          </w:tcPr>
          <w:p>
            <w:pPr>
              <w:jc w:val="center"/>
              <w:rPr>
                <w:rFonts w:ascii="宋体" w:hAnsi="宋体"/>
                <w:sz w:val="24"/>
                <w:szCs w:val="24"/>
              </w:rPr>
            </w:pPr>
            <w:r>
              <w:rPr>
                <w:rFonts w:hint="eastAsia" w:ascii="宋体" w:hAnsi="宋体"/>
                <w:sz w:val="24"/>
                <w:szCs w:val="24"/>
              </w:rPr>
              <w:t>7</w:t>
            </w:r>
          </w:p>
        </w:tc>
        <w:tc>
          <w:tcPr>
            <w:tcW w:w="4658" w:type="dxa"/>
            <w:shd w:val="clear" w:color="auto" w:fill="auto"/>
            <w:vAlign w:val="center"/>
          </w:tcPr>
          <w:p>
            <w:pPr>
              <w:rPr>
                <w:rFonts w:ascii="宋体" w:hAnsi="宋体"/>
                <w:sz w:val="24"/>
                <w:szCs w:val="24"/>
              </w:rPr>
            </w:pPr>
            <w:r>
              <w:rPr>
                <w:rFonts w:hint="eastAsia" w:ascii="宋体" w:hAnsi="宋体"/>
                <w:sz w:val="24"/>
                <w:szCs w:val="24"/>
              </w:rPr>
              <w:t>正式比赛、竞赛成绩提交、教学资源转化成果与赛项总结</w:t>
            </w:r>
          </w:p>
        </w:tc>
        <w:tc>
          <w:tcPr>
            <w:tcW w:w="2774" w:type="dxa"/>
            <w:shd w:val="clear" w:color="auto" w:fill="auto"/>
            <w:vAlign w:val="center"/>
          </w:tcPr>
          <w:p>
            <w:pPr>
              <w:jc w:val="center"/>
              <w:rPr>
                <w:rFonts w:ascii="宋体" w:hAnsi="宋体"/>
                <w:sz w:val="24"/>
                <w:szCs w:val="24"/>
              </w:rPr>
            </w:pPr>
            <w:r>
              <w:rPr>
                <w:rFonts w:hint="eastAsia" w:ascii="宋体" w:hAnsi="宋体"/>
                <w:sz w:val="24"/>
                <w:szCs w:val="24"/>
              </w:rPr>
              <w:t>2019年6月</w:t>
            </w:r>
          </w:p>
        </w:tc>
      </w:tr>
    </w:tbl>
    <w:p>
      <w:pPr>
        <w:pStyle w:val="2"/>
        <w:ind w:firstLine="600"/>
      </w:pPr>
      <w:bookmarkStart w:id="45" w:name="_Toc522017707"/>
      <w:r>
        <w:rPr>
          <w:rFonts w:hint="eastAsia"/>
        </w:rPr>
        <w:t>十九、裁判人员建议</w:t>
      </w:r>
      <w:bookmarkEnd w:id="45"/>
    </w:p>
    <w:p>
      <w:pPr>
        <w:snapToGrid w:val="0"/>
        <w:spacing w:line="560" w:lineRule="exact"/>
        <w:ind w:firstLine="600" w:firstLineChars="200"/>
        <w:rPr>
          <w:rFonts w:ascii="仿宋_GB2312" w:hAnsi="微软雅黑" w:eastAsia="仿宋_GB2312" w:cs="Arial"/>
          <w:sz w:val="30"/>
          <w:szCs w:val="30"/>
        </w:rPr>
      </w:pPr>
      <w:r>
        <w:rPr>
          <w:rFonts w:hint="eastAsia" w:ascii="仿宋_GB2312" w:hAnsi="微软雅黑" w:eastAsia="仿宋_GB2312" w:cs="Arial"/>
          <w:sz w:val="30"/>
          <w:szCs w:val="30"/>
        </w:rPr>
        <w:t>裁判组设裁判长1名，负责主持各裁判人员工作，另设分项裁判人员25名，其中加密裁判2名，现场裁判16名，现场评分裁判7名。</w:t>
      </w:r>
    </w:p>
    <w:p>
      <w:pPr>
        <w:snapToGrid w:val="0"/>
        <w:spacing w:line="560" w:lineRule="exact"/>
        <w:jc w:val="center"/>
        <w:rPr>
          <w:rFonts w:cs="Arial" w:asciiTheme="minorEastAsia" w:hAnsiTheme="minorEastAsia"/>
          <w:kern w:val="0"/>
          <w:sz w:val="24"/>
          <w:szCs w:val="24"/>
        </w:rPr>
      </w:pPr>
      <w:r>
        <w:rPr>
          <w:rFonts w:hint="eastAsia" w:cs="Arial" w:asciiTheme="minorEastAsia" w:hAnsiTheme="minorEastAsia"/>
          <w:kern w:val="0"/>
          <w:sz w:val="24"/>
          <w:szCs w:val="24"/>
        </w:rPr>
        <w:t>表14 裁判人员建议</w:t>
      </w:r>
    </w:p>
    <w:tbl>
      <w:tblPr>
        <w:tblStyle w:val="17"/>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725"/>
        <w:gridCol w:w="1665"/>
        <w:gridCol w:w="1485"/>
        <w:gridCol w:w="2048"/>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ascii="宋体" w:hAnsi="宋体" w:cs="Arial"/>
                <w:b/>
                <w:color w:val="000000"/>
                <w:sz w:val="24"/>
                <w:szCs w:val="24"/>
              </w:rPr>
              <w:t>序号</w:t>
            </w:r>
          </w:p>
        </w:tc>
        <w:tc>
          <w:tcPr>
            <w:tcW w:w="1725"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ascii="宋体" w:hAnsi="宋体" w:cs="Arial"/>
                <w:b/>
                <w:color w:val="000000"/>
                <w:sz w:val="24"/>
                <w:szCs w:val="24"/>
              </w:rPr>
              <w:t>专业技术方向</w:t>
            </w:r>
          </w:p>
        </w:tc>
        <w:tc>
          <w:tcPr>
            <w:tcW w:w="1665"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ascii="宋体" w:hAnsi="宋体" w:cs="Arial"/>
                <w:b/>
                <w:color w:val="000000"/>
                <w:sz w:val="24"/>
                <w:szCs w:val="24"/>
              </w:rPr>
              <w:t>知识能力要求</w:t>
            </w:r>
          </w:p>
        </w:tc>
        <w:tc>
          <w:tcPr>
            <w:tcW w:w="1485"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hint="eastAsia" w:ascii="宋体" w:hAnsi="宋体" w:cs="Arial"/>
                <w:b/>
                <w:color w:val="000000"/>
                <w:sz w:val="24"/>
                <w:szCs w:val="24"/>
              </w:rPr>
              <w:t>执裁、教学、工作经历</w:t>
            </w:r>
          </w:p>
        </w:tc>
        <w:tc>
          <w:tcPr>
            <w:tcW w:w="2048"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ascii="宋体" w:hAnsi="宋体" w:cs="Arial"/>
                <w:b/>
                <w:color w:val="000000"/>
                <w:sz w:val="24"/>
                <w:szCs w:val="24"/>
              </w:rPr>
              <w:t>专业技术职称</w:t>
            </w:r>
          </w:p>
          <w:p>
            <w:pPr>
              <w:adjustRightInd w:val="0"/>
              <w:snapToGrid w:val="0"/>
              <w:jc w:val="center"/>
              <w:rPr>
                <w:rFonts w:ascii="宋体" w:hAnsi="宋体" w:cs="Arial"/>
                <w:b/>
                <w:color w:val="000000"/>
                <w:sz w:val="24"/>
                <w:szCs w:val="24"/>
              </w:rPr>
            </w:pPr>
            <w:r>
              <w:rPr>
                <w:rFonts w:ascii="宋体" w:hAnsi="宋体" w:cs="Arial"/>
                <w:b/>
                <w:color w:val="000000"/>
                <w:sz w:val="24"/>
                <w:szCs w:val="24"/>
              </w:rPr>
              <w:t>（职业资格等级）</w:t>
            </w:r>
          </w:p>
        </w:tc>
        <w:tc>
          <w:tcPr>
            <w:tcW w:w="779" w:type="dxa"/>
            <w:tcBorders>
              <w:top w:val="single" w:color="auto" w:sz="8" w:space="0"/>
            </w:tcBorders>
            <w:vAlign w:val="center"/>
          </w:tcPr>
          <w:p>
            <w:pPr>
              <w:adjustRightInd w:val="0"/>
              <w:snapToGrid w:val="0"/>
              <w:jc w:val="center"/>
              <w:rPr>
                <w:rFonts w:ascii="宋体" w:hAnsi="宋体" w:cs="Arial"/>
                <w:b/>
                <w:color w:val="000000"/>
                <w:sz w:val="24"/>
                <w:szCs w:val="24"/>
              </w:rPr>
            </w:pPr>
            <w:r>
              <w:rPr>
                <w:rFonts w:ascii="宋体" w:hAnsi="宋体" w:cs="Arial"/>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adjustRightInd w:val="0"/>
              <w:snapToGrid w:val="0"/>
              <w:jc w:val="center"/>
              <w:rPr>
                <w:rFonts w:ascii="宋体" w:hAnsi="宋体"/>
                <w:sz w:val="24"/>
              </w:rPr>
            </w:pPr>
            <w:r>
              <w:rPr>
                <w:rFonts w:hint="eastAsia" w:ascii="宋体" w:hAnsi="宋体"/>
                <w:sz w:val="24"/>
              </w:rPr>
              <w:t>1</w:t>
            </w:r>
          </w:p>
        </w:tc>
        <w:tc>
          <w:tcPr>
            <w:tcW w:w="1725" w:type="dxa"/>
            <w:vAlign w:val="center"/>
          </w:tcPr>
          <w:p>
            <w:pPr>
              <w:adjustRightInd w:val="0"/>
              <w:snapToGrid w:val="0"/>
              <w:rPr>
                <w:rFonts w:ascii="宋体" w:hAnsi="宋体"/>
                <w:sz w:val="24"/>
              </w:rPr>
            </w:pPr>
            <w:r>
              <w:rPr>
                <w:rFonts w:hint="eastAsia" w:ascii="宋体" w:hAnsi="宋体"/>
                <w:sz w:val="24"/>
              </w:rPr>
              <w:t>国际贸易</w:t>
            </w:r>
          </w:p>
        </w:tc>
        <w:tc>
          <w:tcPr>
            <w:tcW w:w="1665" w:type="dxa"/>
          </w:tcPr>
          <w:p>
            <w:pPr>
              <w:adjustRightInd w:val="0"/>
              <w:snapToGrid w:val="0"/>
              <w:jc w:val="left"/>
              <w:rPr>
                <w:rFonts w:ascii="宋体" w:hAnsi="宋体"/>
                <w:sz w:val="24"/>
              </w:rPr>
            </w:pPr>
            <w:r>
              <w:rPr>
                <w:rFonts w:hint="eastAsia" w:ascii="宋体" w:hAnsi="宋体" w:cs="Arial"/>
                <w:kern w:val="0"/>
                <w:sz w:val="24"/>
                <w:szCs w:val="24"/>
              </w:rPr>
              <w:t>掌握扎实国际贸易实务知识，能熟练操作进出口业务</w:t>
            </w:r>
          </w:p>
        </w:tc>
        <w:tc>
          <w:tcPr>
            <w:tcW w:w="1485" w:type="dxa"/>
            <w:vAlign w:val="center"/>
          </w:tcPr>
          <w:p>
            <w:pPr>
              <w:adjustRightInd w:val="0"/>
              <w:snapToGrid w:val="0"/>
              <w:jc w:val="left"/>
              <w:rPr>
                <w:rFonts w:ascii="宋体" w:hAnsi="宋体"/>
                <w:sz w:val="24"/>
              </w:rPr>
            </w:pPr>
            <w:r>
              <w:rPr>
                <w:rFonts w:hint="eastAsia" w:ascii="宋体" w:hAnsi="宋体"/>
                <w:sz w:val="24"/>
              </w:rPr>
              <w:t>具有国赛、省赛或相关行业赛事执裁经历</w:t>
            </w:r>
          </w:p>
        </w:tc>
        <w:tc>
          <w:tcPr>
            <w:tcW w:w="2048" w:type="dxa"/>
            <w:vAlign w:val="center"/>
          </w:tcPr>
          <w:p>
            <w:pPr>
              <w:adjustRightInd w:val="0"/>
              <w:snapToGrid w:val="0"/>
              <w:jc w:val="center"/>
              <w:rPr>
                <w:rFonts w:ascii="宋体" w:hAnsi="宋体"/>
                <w:sz w:val="24"/>
              </w:rPr>
            </w:pPr>
            <w:r>
              <w:rPr>
                <w:rFonts w:hint="eastAsia" w:ascii="宋体" w:hAnsi="宋体"/>
                <w:sz w:val="24"/>
              </w:rPr>
              <w:t>中级及以上</w:t>
            </w:r>
          </w:p>
        </w:tc>
        <w:tc>
          <w:tcPr>
            <w:tcW w:w="779" w:type="dxa"/>
            <w:vAlign w:val="center"/>
          </w:tcPr>
          <w:p>
            <w:pPr>
              <w:adjustRightInd w:val="0"/>
              <w:snapToGrid w:val="0"/>
              <w:jc w:val="center"/>
              <w:rPr>
                <w:rFonts w:ascii="宋体" w:hAnsi="宋体"/>
                <w:sz w:val="24"/>
              </w:rPr>
            </w:pPr>
            <w:r>
              <w:rPr>
                <w:rFonts w:hint="eastAsia" w:ascii="宋体" w:hAnsi="宋体"/>
                <w:sz w:val="24"/>
              </w:rPr>
              <w:t>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adjustRightInd w:val="0"/>
              <w:snapToGrid w:val="0"/>
              <w:jc w:val="center"/>
              <w:rPr>
                <w:rFonts w:ascii="宋体" w:hAnsi="宋体"/>
                <w:sz w:val="24"/>
              </w:rPr>
            </w:pPr>
            <w:r>
              <w:rPr>
                <w:rFonts w:hint="eastAsia" w:ascii="宋体" w:hAnsi="宋体"/>
                <w:sz w:val="24"/>
              </w:rPr>
              <w:t>2</w:t>
            </w:r>
          </w:p>
        </w:tc>
        <w:tc>
          <w:tcPr>
            <w:tcW w:w="1725" w:type="dxa"/>
            <w:vAlign w:val="center"/>
          </w:tcPr>
          <w:p>
            <w:pPr>
              <w:adjustRightInd w:val="0"/>
              <w:snapToGrid w:val="0"/>
              <w:rPr>
                <w:rFonts w:ascii="宋体" w:hAnsi="宋体"/>
                <w:sz w:val="24"/>
              </w:rPr>
            </w:pPr>
            <w:r>
              <w:rPr>
                <w:rFonts w:hint="eastAsia" w:ascii="宋体" w:hAnsi="宋体"/>
                <w:sz w:val="24"/>
              </w:rPr>
              <w:t>商务英语</w:t>
            </w:r>
          </w:p>
        </w:tc>
        <w:tc>
          <w:tcPr>
            <w:tcW w:w="1665" w:type="dxa"/>
            <w:vAlign w:val="center"/>
          </w:tcPr>
          <w:p>
            <w:pPr>
              <w:adjustRightInd w:val="0"/>
              <w:snapToGrid w:val="0"/>
              <w:jc w:val="left"/>
              <w:rPr>
                <w:rFonts w:ascii="宋体" w:hAnsi="宋体" w:cs="Arial"/>
                <w:kern w:val="0"/>
                <w:sz w:val="24"/>
                <w:szCs w:val="24"/>
              </w:rPr>
            </w:pPr>
            <w:r>
              <w:rPr>
                <w:rFonts w:hint="eastAsia" w:ascii="宋体" w:hAnsi="宋体" w:cs="Arial"/>
                <w:kern w:val="0"/>
                <w:sz w:val="24"/>
                <w:szCs w:val="24"/>
              </w:rPr>
              <w:t>掌握扎实国际贸易英语知识，能流利开展英文商务沟通，语音语调准确</w:t>
            </w:r>
          </w:p>
        </w:tc>
        <w:tc>
          <w:tcPr>
            <w:tcW w:w="1485" w:type="dxa"/>
            <w:vAlign w:val="center"/>
          </w:tcPr>
          <w:p>
            <w:pPr>
              <w:adjustRightInd w:val="0"/>
              <w:snapToGrid w:val="0"/>
              <w:jc w:val="left"/>
              <w:rPr>
                <w:rFonts w:ascii="宋体" w:hAnsi="宋体"/>
                <w:sz w:val="24"/>
              </w:rPr>
            </w:pPr>
            <w:r>
              <w:rPr>
                <w:rFonts w:hint="eastAsia" w:ascii="宋体" w:hAnsi="宋体"/>
                <w:sz w:val="24"/>
              </w:rPr>
              <w:t>具备外贸函电、商务英语谈判等教学经验，具有国赛、省赛、市赛、相关行业赛事执裁（评委）经历或使领馆背景、高校外教、海外业务实践经历</w:t>
            </w:r>
          </w:p>
        </w:tc>
        <w:tc>
          <w:tcPr>
            <w:tcW w:w="2048" w:type="dxa"/>
            <w:vAlign w:val="center"/>
          </w:tcPr>
          <w:p>
            <w:pPr>
              <w:adjustRightInd w:val="0"/>
              <w:snapToGrid w:val="0"/>
              <w:jc w:val="center"/>
              <w:rPr>
                <w:rFonts w:ascii="宋体" w:hAnsi="宋体"/>
                <w:sz w:val="24"/>
              </w:rPr>
            </w:pPr>
            <w:r>
              <w:rPr>
                <w:rFonts w:hint="eastAsia" w:ascii="宋体" w:hAnsi="宋体"/>
                <w:sz w:val="24"/>
              </w:rPr>
              <w:t>副高及以上</w:t>
            </w:r>
          </w:p>
          <w:p>
            <w:pPr>
              <w:adjustRightInd w:val="0"/>
              <w:snapToGrid w:val="0"/>
              <w:jc w:val="center"/>
              <w:rPr>
                <w:rFonts w:ascii="宋体" w:hAnsi="宋体"/>
                <w:sz w:val="24"/>
              </w:rPr>
            </w:pPr>
            <w:r>
              <w:rPr>
                <w:rFonts w:hint="eastAsia" w:ascii="宋体" w:hAnsi="宋体"/>
                <w:sz w:val="24"/>
              </w:rPr>
              <w:t>（使领馆背景、高校外教、海外业务实践经历除外）</w:t>
            </w:r>
          </w:p>
        </w:tc>
        <w:tc>
          <w:tcPr>
            <w:tcW w:w="779" w:type="dxa"/>
            <w:vAlign w:val="center"/>
          </w:tcPr>
          <w:p>
            <w:pPr>
              <w:adjustRightInd w:val="0"/>
              <w:snapToGrid w:val="0"/>
              <w:jc w:val="center"/>
              <w:rPr>
                <w:rFonts w:ascii="宋体" w:hAnsi="宋体"/>
                <w:sz w:val="24"/>
              </w:rPr>
            </w:pPr>
            <w:r>
              <w:rPr>
                <w:rFonts w:hint="eastAsia" w:ascii="宋体" w:hAnsi="宋体"/>
                <w:sz w:val="24"/>
              </w:rPr>
              <w:t>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bottom w:val="single" w:color="auto" w:sz="8" w:space="0"/>
            </w:tcBorders>
            <w:vAlign w:val="center"/>
          </w:tcPr>
          <w:p>
            <w:pPr>
              <w:adjustRightInd w:val="0"/>
              <w:snapToGrid w:val="0"/>
              <w:jc w:val="center"/>
              <w:rPr>
                <w:rFonts w:ascii="宋体" w:hAnsi="宋体"/>
                <w:sz w:val="24"/>
              </w:rPr>
            </w:pPr>
            <w:r>
              <w:rPr>
                <w:rFonts w:ascii="宋体" w:hAnsi="宋体" w:cs="Arial"/>
                <w:b/>
                <w:color w:val="000000"/>
                <w:sz w:val="24"/>
                <w:szCs w:val="24"/>
              </w:rPr>
              <w:t>裁判总人数</w:t>
            </w:r>
          </w:p>
        </w:tc>
        <w:tc>
          <w:tcPr>
            <w:tcW w:w="7702" w:type="dxa"/>
            <w:gridSpan w:val="5"/>
            <w:tcBorders>
              <w:bottom w:val="single" w:color="auto" w:sz="8" w:space="0"/>
            </w:tcBorders>
            <w:vAlign w:val="center"/>
          </w:tcPr>
          <w:p>
            <w:pPr>
              <w:adjustRightInd w:val="0"/>
              <w:snapToGrid w:val="0"/>
              <w:rPr>
                <w:rFonts w:ascii="宋体" w:hAnsi="宋体"/>
                <w:sz w:val="24"/>
              </w:rPr>
            </w:pPr>
            <w:r>
              <w:rPr>
                <w:rFonts w:hint="eastAsia" w:ascii="宋体" w:hAnsi="宋体"/>
                <w:sz w:val="24"/>
              </w:rPr>
              <w:t>23人</w:t>
            </w:r>
          </w:p>
        </w:tc>
      </w:tr>
    </w:tbl>
    <w:p>
      <w:pPr>
        <w:pStyle w:val="2"/>
        <w:ind w:firstLine="600"/>
        <w:rPr>
          <w:rFonts w:ascii="Arial Narrow" w:hAnsi="Arial Narrow" w:eastAsia="仿宋_GB2312" w:cs="Arial"/>
          <w:b/>
        </w:rPr>
      </w:pPr>
      <w:bookmarkStart w:id="46" w:name="_Toc522017708"/>
      <w:r>
        <w:rPr>
          <w:rFonts w:hint="eastAsia"/>
        </w:rPr>
        <w:t>二十、赛题公开承诺</w:t>
      </w:r>
      <w:bookmarkEnd w:id="46"/>
    </w:p>
    <w:p>
      <w:pPr>
        <w:snapToGrid w:val="0"/>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本赛项承诺保证于开赛前1个月在大赛网络信息发布平台上（www.chinaskills-jsw.org）公开全部赛题。</w:t>
      </w:r>
    </w:p>
    <w:p>
      <w:pPr>
        <w:pStyle w:val="2"/>
        <w:ind w:firstLine="600"/>
      </w:pPr>
      <w:bookmarkStart w:id="47" w:name="_Toc522017709"/>
      <w:r>
        <w:rPr>
          <w:rFonts w:hint="eastAsia"/>
        </w:rPr>
        <w:t>二十一、其他</w:t>
      </w:r>
      <w:bookmarkEnd w:id="47"/>
    </w:p>
    <w:p>
      <w:pPr>
        <w:spacing w:line="560" w:lineRule="exact"/>
        <w:ind w:firstLine="600" w:firstLineChars="200"/>
        <w:rPr>
          <w:rFonts w:ascii="仿宋_GB2312" w:hAnsi="仿宋" w:eastAsia="仿宋_GB2312"/>
          <w:sz w:val="30"/>
          <w:szCs w:val="30"/>
        </w:rPr>
      </w:pPr>
      <w:r>
        <w:rPr>
          <w:rFonts w:hint="eastAsia" w:ascii="仿宋_GB2312" w:hAnsi="仿宋" w:eastAsia="仿宋_GB2312"/>
          <w:sz w:val="30"/>
          <w:szCs w:val="30"/>
        </w:rPr>
        <w:t>（一）联系人</w:t>
      </w:r>
    </w:p>
    <w:p>
      <w:pPr>
        <w:snapToGrid w:val="0"/>
        <w:spacing w:line="560" w:lineRule="exact"/>
        <w:ind w:firstLine="600" w:firstLineChars="200"/>
        <w:rPr>
          <w:rFonts w:ascii="仿宋_GB2312" w:eastAsia="仿宋_GB2312"/>
          <w:sz w:val="30"/>
          <w:szCs w:val="30"/>
        </w:rPr>
      </w:pPr>
      <w:bookmarkStart w:id="48" w:name="_GoBack"/>
      <w:bookmarkEnd w:id="48"/>
      <w:r>
        <w:rPr>
          <w:rFonts w:hint="eastAsia" w:ascii="仿宋_GB2312" w:eastAsia="仿宋_GB2312"/>
          <w:sz w:val="30"/>
          <w:szCs w:val="30"/>
        </w:rPr>
        <w:t>（二）2018年竞赛介绍</w:t>
      </w:r>
    </w:p>
    <w:p>
      <w:pPr>
        <w:pStyle w:val="5"/>
        <w:spacing w:line="560" w:lineRule="exact"/>
        <w:ind w:left="0" w:firstLine="600" w:firstLineChars="200"/>
        <w:jc w:val="both"/>
        <w:rPr>
          <w:rFonts w:ascii="仿宋_GB2312" w:hAnsi="仿宋" w:eastAsia="仿宋_GB2312"/>
          <w:lang w:eastAsia="zh-CN"/>
        </w:rPr>
      </w:pPr>
      <w:r>
        <w:rPr>
          <w:rFonts w:hint="eastAsia" w:ascii="仿宋_GB2312" w:hAnsi="仿宋" w:eastAsia="仿宋_GB2312"/>
          <w:lang w:eastAsia="zh-CN"/>
        </w:rPr>
        <w:t>互联网+国际贸易综合技能赛项纳入2018年全国职业院校技能大赛拟设赛项以来，全国外经贸职业教育教学指导委员会及中国国际贸易学会领导高度重视，多次组织相关单位召开赛事工作推进会，统筹协调赛事相关的各项工作，从专家、裁判推荐到竞赛场地设置、设备运行保障，从接待服务到安全保卫，精心策划、狠抓落实，确保每一个环节都落实到位。同时，赛项承办校无锡商业职业技术学院成立了以书记、院长为组长、各块分管校领导参加的赛项工作领导小组，下设秘书工作组、赛项审计工作组、专家接待工作组、参赛院校接待及志愿者工作组、场地设施保障组、设备运行保障组、后勤保障组、安全保卫组、宣传工作组等9个工作组。无锡市人民政府还专门召集了多个相关部门听取赛事筹备情况的汇报，进行职能对接，为赛事的顺利进行提供了强有力的保障。</w:t>
      </w:r>
    </w:p>
    <w:p>
      <w:pPr>
        <w:spacing w:line="560" w:lineRule="exact"/>
        <w:ind w:firstLine="600" w:firstLineChars="200"/>
        <w:rPr>
          <w:rFonts w:ascii="仿宋_GB2312" w:hAnsi="仿宋" w:eastAsia="仿宋_GB2312" w:cs="宋体"/>
          <w:kern w:val="0"/>
          <w:sz w:val="30"/>
          <w:szCs w:val="30"/>
        </w:rPr>
      </w:pPr>
      <w:r>
        <w:rPr>
          <w:rFonts w:hint="eastAsia" w:ascii="仿宋_GB2312" w:hAnsi="仿宋" w:eastAsia="仿宋_GB2312" w:cs="宋体"/>
          <w:kern w:val="0"/>
          <w:sz w:val="30"/>
          <w:szCs w:val="30"/>
        </w:rPr>
        <w:t>2018年全国职业院校技能大赛高职组“互联网+国际贸易综合技能”赛项于2018年5月26日-27日在无锡商业职业技术学院举行，共有来自全国28个省、市、自治区74所职业院校的296名选手参加，其中东部地区代表队34支，中部地区代表队23支，西部地区代表队17支。</w:t>
      </w:r>
    </w:p>
    <w:p>
      <w:pPr>
        <w:jc w:val="center"/>
        <w:rPr>
          <w:rFonts w:ascii="仿宋_GB2312" w:hAnsi="仿宋" w:eastAsia="仿宋_GB2312" w:cs="宋体"/>
          <w:kern w:val="0"/>
          <w:sz w:val="30"/>
          <w:szCs w:val="30"/>
        </w:rPr>
      </w:pPr>
      <w:r>
        <w:rPr>
          <w:rFonts w:hint="eastAsia" w:ascii="仿宋_GB2312" w:hAnsi="仿宋" w:eastAsia="仿宋_GB2312" w:cs="宋体"/>
          <w:kern w:val="0"/>
          <w:sz w:val="30"/>
          <w:szCs w:val="30"/>
        </w:rPr>
        <w:drawing>
          <wp:inline distT="0" distB="0" distL="0" distR="0">
            <wp:extent cx="5274945" cy="3514725"/>
            <wp:effectExtent l="19050" t="0" r="1410" b="0"/>
            <wp:docPr id="6" name="图片 1" descr="D:\互联网+国际贸易综合技能国赛资料\2018\宣传视频资料\赛事\IMG_6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D:\互联网+国际贸易综合技能国赛资料\2018\宣传视频资料\赛事\IMG_6640.JPG"/>
                    <pic:cNvPicPr>
                      <a:picLocks noChangeAspect="1" noChangeArrowheads="1"/>
                    </pic:cNvPicPr>
                  </pic:nvPicPr>
                  <pic:blipFill>
                    <a:blip r:embed="rId26" cstate="print"/>
                    <a:srcRect/>
                    <a:stretch>
                      <a:fillRect/>
                    </a:stretch>
                  </pic:blipFill>
                  <pic:spPr>
                    <a:xfrm>
                      <a:off x="0" y="0"/>
                      <a:ext cx="5274945" cy="3514725"/>
                    </a:xfrm>
                    <a:prstGeom prst="rect">
                      <a:avLst/>
                    </a:prstGeom>
                    <a:noFill/>
                    <a:ln w="9525">
                      <a:noFill/>
                      <a:miter lim="800000"/>
                      <a:headEnd/>
                      <a:tailEnd/>
                    </a:ln>
                  </pic:spPr>
                </pic:pic>
              </a:graphicData>
            </a:graphic>
          </wp:inline>
        </w:drawing>
      </w:r>
    </w:p>
    <w:p>
      <w:pPr>
        <w:spacing w:line="560" w:lineRule="exact"/>
        <w:ind w:firstLine="600" w:firstLineChars="200"/>
        <w:rPr>
          <w:rFonts w:ascii="仿宋_GB2312" w:hAnsi="仿宋" w:eastAsia="仿宋_GB2312" w:cs="宋体"/>
          <w:kern w:val="0"/>
          <w:sz w:val="30"/>
          <w:szCs w:val="30"/>
        </w:rPr>
      </w:pPr>
      <w:r>
        <w:rPr>
          <w:rFonts w:hint="eastAsia" w:ascii="仿宋_GB2312" w:hAnsi="仿宋" w:eastAsia="仿宋_GB2312" w:cs="宋体"/>
          <w:kern w:val="0"/>
          <w:sz w:val="30"/>
          <w:szCs w:val="30"/>
        </w:rPr>
        <w:t>经过2天的激烈争夺，江苏经贸职业技术学院等7支代表队获得一等奖，无锡商业职业技术学院等15支代表队获得二等奖，浙江商业职业技术学院等22支代表队获得三等奖。</w:t>
      </w:r>
    </w:p>
    <w:p>
      <w:pPr>
        <w:spacing w:line="560" w:lineRule="exact"/>
        <w:rPr>
          <w:rFonts w:ascii="仿宋_GB2312" w:hAnsi="仿宋" w:eastAsia="仿宋_GB2312" w:cs="宋体"/>
          <w:kern w:val="0"/>
          <w:sz w:val="30"/>
          <w:szCs w:val="30"/>
        </w:rPr>
      </w:pPr>
      <w:r>
        <w:rPr>
          <w:rFonts w:ascii="仿宋_GB2312" w:hAnsi="仿宋" w:eastAsia="仿宋_GB2312" w:cs="宋体"/>
          <w:kern w:val="0"/>
          <w:sz w:val="30"/>
          <w:szCs w:val="30"/>
        </w:rPr>
        <w:drawing>
          <wp:anchor distT="0" distB="0" distL="114300" distR="114300" simplePos="0" relativeHeight="251662336" behindDoc="0" locked="0" layoutInCell="1" allowOverlap="1">
            <wp:simplePos x="0" y="0"/>
            <wp:positionH relativeFrom="column">
              <wp:posOffset>3810</wp:posOffset>
            </wp:positionH>
            <wp:positionV relativeFrom="paragraph">
              <wp:posOffset>94615</wp:posOffset>
            </wp:positionV>
            <wp:extent cx="5274945" cy="3514725"/>
            <wp:effectExtent l="19050" t="0" r="1905" b="0"/>
            <wp:wrapTopAndBottom/>
            <wp:docPr id="5" name="图片 2" descr="D:\互联网+国际贸易综合技能国赛资料\2018\宣传视频资料\闭赛式-获奖单位\IMG_0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D:\互联网+国际贸易综合技能国赛资料\2018\宣传视频资料\闭赛式-获奖单位\IMG_0131.JPG"/>
                    <pic:cNvPicPr>
                      <a:picLocks noChangeAspect="1" noChangeArrowheads="1"/>
                    </pic:cNvPicPr>
                  </pic:nvPicPr>
                  <pic:blipFill>
                    <a:blip r:embed="rId27" cstate="print"/>
                    <a:srcRect/>
                    <a:stretch>
                      <a:fillRect/>
                    </a:stretch>
                  </pic:blipFill>
                  <pic:spPr>
                    <a:xfrm>
                      <a:off x="0" y="0"/>
                      <a:ext cx="5274945" cy="3514725"/>
                    </a:xfrm>
                    <a:prstGeom prst="rect">
                      <a:avLst/>
                    </a:prstGeom>
                    <a:noFill/>
                    <a:ln w="9525">
                      <a:noFill/>
                      <a:miter lim="800000"/>
                      <a:headEnd/>
                      <a:tailEnd/>
                    </a:ln>
                  </pic:spPr>
                </pic:pic>
              </a:graphicData>
            </a:graphic>
          </wp:anchor>
        </w:drawing>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484165"/>
      <w:docPartObj>
        <w:docPartGallery w:val="AutoText"/>
      </w:docPartObj>
    </w:sdtPr>
    <w:sdtContent>
      <w:p>
        <w:pPr>
          <w:pStyle w:val="7"/>
          <w:jc w:val="center"/>
        </w:pPr>
        <w:r>
          <w:fldChar w:fldCharType="begin"/>
        </w:r>
        <w:r>
          <w:instrText xml:space="preserve"> PAGE   \* MERGEFORMAT </w:instrText>
        </w:r>
        <w:r>
          <w:fldChar w:fldCharType="separate"/>
        </w:r>
        <w:r>
          <w:rPr>
            <w:lang w:val="zh-CN"/>
          </w:rPr>
          <w:t>61</w:t>
        </w:r>
        <w:r>
          <w:rPr>
            <w:lang w:val="zh-CN"/>
          </w:rPr>
          <w:fldChar w:fldCharType="end"/>
        </w:r>
      </w:p>
    </w:sdtContent>
  </w:sdt>
  <w:p>
    <w:pPr>
      <w:pStyle w:val="7"/>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1483E"/>
    <w:rsid w:val="00061B1B"/>
    <w:rsid w:val="000C49A3"/>
    <w:rsid w:val="001073EB"/>
    <w:rsid w:val="00192856"/>
    <w:rsid w:val="0030381A"/>
    <w:rsid w:val="00314AFB"/>
    <w:rsid w:val="003644F5"/>
    <w:rsid w:val="003739AE"/>
    <w:rsid w:val="00382CE0"/>
    <w:rsid w:val="003B7A4F"/>
    <w:rsid w:val="003E3CBF"/>
    <w:rsid w:val="00441E0C"/>
    <w:rsid w:val="00463C62"/>
    <w:rsid w:val="00465A6D"/>
    <w:rsid w:val="00493D8A"/>
    <w:rsid w:val="004A37CE"/>
    <w:rsid w:val="004B04B7"/>
    <w:rsid w:val="004E0F22"/>
    <w:rsid w:val="004F36E4"/>
    <w:rsid w:val="004F50D0"/>
    <w:rsid w:val="0053549B"/>
    <w:rsid w:val="005A524F"/>
    <w:rsid w:val="005E2630"/>
    <w:rsid w:val="006470DC"/>
    <w:rsid w:val="00647645"/>
    <w:rsid w:val="00665909"/>
    <w:rsid w:val="00680542"/>
    <w:rsid w:val="00680F63"/>
    <w:rsid w:val="00683FC8"/>
    <w:rsid w:val="006A0A74"/>
    <w:rsid w:val="006A2969"/>
    <w:rsid w:val="00713410"/>
    <w:rsid w:val="007418B2"/>
    <w:rsid w:val="00763335"/>
    <w:rsid w:val="00776BA3"/>
    <w:rsid w:val="00856353"/>
    <w:rsid w:val="00865142"/>
    <w:rsid w:val="00950BBD"/>
    <w:rsid w:val="00A23831"/>
    <w:rsid w:val="00A43B80"/>
    <w:rsid w:val="00A72E78"/>
    <w:rsid w:val="00A755CF"/>
    <w:rsid w:val="00AA7143"/>
    <w:rsid w:val="00AD3946"/>
    <w:rsid w:val="00AD6A2A"/>
    <w:rsid w:val="00AE70DD"/>
    <w:rsid w:val="00B15B79"/>
    <w:rsid w:val="00B24389"/>
    <w:rsid w:val="00B54AC8"/>
    <w:rsid w:val="00B60CD4"/>
    <w:rsid w:val="00B650C3"/>
    <w:rsid w:val="00B72F66"/>
    <w:rsid w:val="00BB562A"/>
    <w:rsid w:val="00BE3D92"/>
    <w:rsid w:val="00C20F5F"/>
    <w:rsid w:val="00C23559"/>
    <w:rsid w:val="00C46CE0"/>
    <w:rsid w:val="00C53293"/>
    <w:rsid w:val="00C77B15"/>
    <w:rsid w:val="00C938B7"/>
    <w:rsid w:val="00CC0A26"/>
    <w:rsid w:val="00CD0DB1"/>
    <w:rsid w:val="00CD2EB6"/>
    <w:rsid w:val="00D31D49"/>
    <w:rsid w:val="00DA55B6"/>
    <w:rsid w:val="00DC3CC4"/>
    <w:rsid w:val="00E604F0"/>
    <w:rsid w:val="00E80AFE"/>
    <w:rsid w:val="00E867BA"/>
    <w:rsid w:val="00E9511E"/>
    <w:rsid w:val="00E973BF"/>
    <w:rsid w:val="00EA3029"/>
    <w:rsid w:val="00EB5A96"/>
    <w:rsid w:val="00EE7C28"/>
    <w:rsid w:val="00EF307D"/>
    <w:rsid w:val="00F1387C"/>
    <w:rsid w:val="00F207FB"/>
    <w:rsid w:val="00F2232C"/>
    <w:rsid w:val="00F5331B"/>
    <w:rsid w:val="00F76DBF"/>
    <w:rsid w:val="00FB015E"/>
    <w:rsid w:val="00FB13F2"/>
    <w:rsid w:val="10907F32"/>
    <w:rsid w:val="15405F2B"/>
    <w:rsid w:val="1B972406"/>
    <w:rsid w:val="28627691"/>
    <w:rsid w:val="4E011963"/>
    <w:rsid w:val="51DB12F6"/>
    <w:rsid w:val="5E4A6A02"/>
    <w:rsid w:val="5F9C1C10"/>
    <w:rsid w:val="62411A37"/>
    <w:rsid w:val="62860A3B"/>
    <w:rsid w:val="7259159D"/>
    <w:rsid w:val="7FB02F1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2"/>
    <w:qFormat/>
    <w:uiPriority w:val="0"/>
    <w:pPr>
      <w:keepNext/>
      <w:keepLines/>
      <w:spacing w:line="560" w:lineRule="exact"/>
      <w:ind w:firstLine="200" w:firstLineChars="200"/>
      <w:outlineLvl w:val="0"/>
    </w:pPr>
    <w:rPr>
      <w:rFonts w:eastAsia="黑体"/>
      <w:bCs/>
      <w:kern w:val="44"/>
      <w:sz w:val="30"/>
      <w:szCs w:val="44"/>
    </w:rPr>
  </w:style>
  <w:style w:type="character" w:default="1" w:styleId="13">
    <w:name w:val="Default Paragraph Font"/>
    <w:semiHidden/>
    <w:unhideWhenUsed/>
    <w:uiPriority w:val="1"/>
  </w:style>
  <w:style w:type="table" w:default="1" w:styleId="17">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subject"/>
    <w:basedOn w:val="4"/>
    <w:next w:val="4"/>
    <w:link w:val="19"/>
    <w:uiPriority w:val="0"/>
    <w:rPr>
      <w:b/>
      <w:bCs/>
    </w:rPr>
  </w:style>
  <w:style w:type="paragraph" w:styleId="4">
    <w:name w:val="annotation text"/>
    <w:basedOn w:val="1"/>
    <w:link w:val="18"/>
    <w:uiPriority w:val="0"/>
    <w:pPr>
      <w:jc w:val="left"/>
    </w:pPr>
  </w:style>
  <w:style w:type="paragraph" w:styleId="5">
    <w:name w:val="Body Text"/>
    <w:basedOn w:val="1"/>
    <w:link w:val="24"/>
    <w:qFormat/>
    <w:uiPriority w:val="1"/>
    <w:pPr>
      <w:autoSpaceDE w:val="0"/>
      <w:autoSpaceDN w:val="0"/>
      <w:ind w:left="120"/>
      <w:jc w:val="left"/>
    </w:pPr>
    <w:rPr>
      <w:rFonts w:ascii="宋体" w:hAnsi="宋体" w:cs="宋体"/>
      <w:kern w:val="0"/>
      <w:sz w:val="30"/>
      <w:szCs w:val="30"/>
      <w:lang w:eastAsia="en-US"/>
    </w:rPr>
  </w:style>
  <w:style w:type="paragraph" w:styleId="6">
    <w:name w:val="Balloon Text"/>
    <w:basedOn w:val="1"/>
    <w:link w:val="20"/>
    <w:qFormat/>
    <w:uiPriority w:val="0"/>
    <w:rPr>
      <w:sz w:val="18"/>
      <w:szCs w:val="18"/>
    </w:rPr>
  </w:style>
  <w:style w:type="paragraph" w:styleId="7">
    <w:name w:val="footer"/>
    <w:basedOn w:val="1"/>
    <w:link w:val="25"/>
    <w:qFormat/>
    <w:uiPriority w:val="99"/>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uiPriority w:val="39"/>
    <w:rPr>
      <w:rFonts w:asciiTheme="minorHAnsi" w:hAnsiTheme="minorHAnsi" w:eastAsiaTheme="minorEastAsia" w:cstheme="minorBidi"/>
    </w:rPr>
  </w:style>
  <w:style w:type="paragraph" w:styleId="10">
    <w:name w:val="footnote text"/>
    <w:basedOn w:val="1"/>
    <w:link w:val="21"/>
    <w:qFormat/>
    <w:uiPriority w:val="0"/>
    <w:pPr>
      <w:snapToGrid w:val="0"/>
      <w:jc w:val="left"/>
    </w:pPr>
    <w:rPr>
      <w:kern w:val="0"/>
      <w:sz w:val="18"/>
      <w:szCs w:val="18"/>
    </w:rPr>
  </w:style>
  <w:style w:type="paragraph" w:styleId="11">
    <w:name w:val="toc 2"/>
    <w:basedOn w:val="1"/>
    <w:next w:val="1"/>
    <w:uiPriority w:val="39"/>
    <w:pPr>
      <w:ind w:left="420" w:leftChars="200"/>
    </w:pPr>
  </w:style>
  <w:style w:type="paragraph" w:styleId="12">
    <w:name w:val="Normal (Web)"/>
    <w:basedOn w:val="1"/>
    <w:unhideWhenUsed/>
    <w:qFormat/>
    <w:uiPriority w:val="99"/>
    <w:pPr>
      <w:widowControl/>
      <w:jc w:val="left"/>
    </w:pPr>
    <w:rPr>
      <w:rFonts w:ascii="宋体" w:hAnsi="宋体" w:cs="宋体"/>
      <w:kern w:val="0"/>
      <w:sz w:val="24"/>
      <w:szCs w:val="24"/>
    </w:rPr>
  </w:style>
  <w:style w:type="character" w:styleId="14">
    <w:name w:val="Hyperlink"/>
    <w:basedOn w:val="13"/>
    <w:uiPriority w:val="99"/>
    <w:rPr>
      <w:color w:val="0563C1" w:themeColor="hyperlink"/>
      <w:u w:val="single"/>
    </w:rPr>
  </w:style>
  <w:style w:type="character" w:styleId="15">
    <w:name w:val="annotation reference"/>
    <w:basedOn w:val="13"/>
    <w:uiPriority w:val="0"/>
    <w:rPr>
      <w:sz w:val="21"/>
      <w:szCs w:val="21"/>
    </w:rPr>
  </w:style>
  <w:style w:type="character" w:styleId="16">
    <w:name w:val="footnote reference"/>
    <w:qFormat/>
    <w:uiPriority w:val="0"/>
    <w:rPr>
      <w:rFonts w:cs="Times New Roman"/>
      <w:vertAlign w:val="superscript"/>
    </w:rPr>
  </w:style>
  <w:style w:type="character" w:customStyle="1" w:styleId="18">
    <w:name w:val="批注文字 Char"/>
    <w:basedOn w:val="13"/>
    <w:link w:val="4"/>
    <w:uiPriority w:val="0"/>
    <w:rPr>
      <w:kern w:val="2"/>
      <w:sz w:val="21"/>
      <w:szCs w:val="22"/>
    </w:rPr>
  </w:style>
  <w:style w:type="character" w:customStyle="1" w:styleId="19">
    <w:name w:val="批注主题 Char"/>
    <w:basedOn w:val="18"/>
    <w:link w:val="3"/>
    <w:qFormat/>
    <w:uiPriority w:val="0"/>
    <w:rPr>
      <w:b/>
      <w:bCs/>
      <w:kern w:val="2"/>
      <w:sz w:val="21"/>
      <w:szCs w:val="22"/>
    </w:rPr>
  </w:style>
  <w:style w:type="character" w:customStyle="1" w:styleId="20">
    <w:name w:val="批注框文本 Char"/>
    <w:basedOn w:val="13"/>
    <w:link w:val="6"/>
    <w:uiPriority w:val="0"/>
    <w:rPr>
      <w:kern w:val="2"/>
      <w:sz w:val="18"/>
      <w:szCs w:val="18"/>
    </w:rPr>
  </w:style>
  <w:style w:type="character" w:customStyle="1" w:styleId="21">
    <w:name w:val="脚注文本 Char"/>
    <w:basedOn w:val="13"/>
    <w:link w:val="10"/>
    <w:uiPriority w:val="0"/>
    <w:rPr>
      <w:sz w:val="18"/>
      <w:szCs w:val="18"/>
    </w:rPr>
  </w:style>
  <w:style w:type="character" w:customStyle="1" w:styleId="22">
    <w:name w:val="标题 1 Char"/>
    <w:basedOn w:val="13"/>
    <w:link w:val="2"/>
    <w:uiPriority w:val="0"/>
    <w:rPr>
      <w:rFonts w:ascii="Calibri" w:hAnsi="Calibri" w:eastAsia="黑体" w:cs="Times New Roman"/>
      <w:bCs/>
      <w:kern w:val="44"/>
      <w:sz w:val="30"/>
      <w:szCs w:val="44"/>
    </w:rPr>
  </w:style>
  <w:style w:type="paragraph" w:customStyle="1" w:styleId="23">
    <w:name w:val="TOC Heading"/>
    <w:basedOn w:val="2"/>
    <w:next w:val="1"/>
    <w:semiHidden/>
    <w:unhideWhenUsed/>
    <w:qFormat/>
    <w:uiPriority w:val="39"/>
    <w:pPr>
      <w:widowControl/>
      <w:spacing w:before="480" w:line="276" w:lineRule="auto"/>
      <w:jc w:val="left"/>
      <w:outlineLvl w:val="9"/>
    </w:pPr>
    <w:rPr>
      <w:rFonts w:asciiTheme="majorHAnsi" w:hAnsiTheme="majorHAnsi" w:eastAsiaTheme="majorEastAsia" w:cstheme="majorBidi"/>
      <w:color w:val="2E75B5" w:themeColor="accent1" w:themeShade="BF"/>
      <w:kern w:val="0"/>
      <w:sz w:val="28"/>
      <w:szCs w:val="28"/>
    </w:rPr>
  </w:style>
  <w:style w:type="character" w:customStyle="1" w:styleId="24">
    <w:name w:val="正文文本 Char"/>
    <w:basedOn w:val="13"/>
    <w:link w:val="5"/>
    <w:uiPriority w:val="1"/>
    <w:rPr>
      <w:rFonts w:ascii="宋体" w:hAnsi="宋体" w:eastAsia="宋体" w:cs="宋体"/>
      <w:sz w:val="30"/>
      <w:szCs w:val="30"/>
      <w:lang w:eastAsia="en-US"/>
    </w:rPr>
  </w:style>
  <w:style w:type="character" w:customStyle="1" w:styleId="25">
    <w:name w:val="页脚 Char"/>
    <w:basedOn w:val="13"/>
    <w:link w:val="7"/>
    <w:uiPriority w:val="99"/>
    <w:rPr>
      <w:rFonts w:ascii="Calibri" w:hAnsi="Calibri" w:eastAsia="宋体" w:cs="Times New Roman"/>
      <w:kern w:val="2"/>
      <w:sz w:val="18"/>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customXml" Target="../customXml/item2.xml"/><Relationship Id="rId28" Type="http://schemas.openxmlformats.org/officeDocument/2006/relationships/customXml" Target="../customXml/item1.xml"/><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EBF8B1-A310-4AAF-AFD9-649DBCC0612D}">
  <ds:schemaRefs/>
</ds:datastoreItem>
</file>

<file path=docProps/app.xml><?xml version="1.0" encoding="utf-8"?>
<Properties xmlns="http://schemas.openxmlformats.org/officeDocument/2006/extended-properties" xmlns:vt="http://schemas.openxmlformats.org/officeDocument/2006/docPropsVTypes">
  <Template>Normal.dotm</Template>
  <Pages>67</Pages>
  <Words>4448</Words>
  <Characters>25359</Characters>
  <Lines>211</Lines>
  <Paragraphs>59</Paragraphs>
  <TotalTime>363</TotalTime>
  <ScaleCrop>false</ScaleCrop>
  <LinksUpToDate>false</LinksUpToDate>
  <CharactersWithSpaces>29748</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徐园园</cp:lastModifiedBy>
  <cp:lastPrinted>2018-08-14T07:26:00Z</cp:lastPrinted>
  <dcterms:modified xsi:type="dcterms:W3CDTF">2018-10-24T02:58:30Z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