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cs="Times New Roman"/>
          <w:b/>
          <w:bCs/>
          <w:sz w:val="36"/>
          <w:szCs w:val="36"/>
        </w:rPr>
      </w:pPr>
      <w:r>
        <w:rPr>
          <w:rFonts w:ascii="Arial Narrow" w:hAnsi="黑体" w:eastAsia="黑体" w:cs="Arial Narrow"/>
          <w:b/>
          <w:bCs/>
          <w:sz w:val="36"/>
          <w:szCs w:val="36"/>
        </w:rPr>
        <w:t>201</w:t>
      </w:r>
      <w:r>
        <w:rPr>
          <w:rFonts w:hint="eastAsia" w:ascii="Arial Narrow" w:hAnsi="黑体" w:eastAsia="黑体" w:cs="Arial Narrow"/>
          <w:b/>
          <w:bCs/>
          <w:sz w:val="36"/>
          <w:szCs w:val="36"/>
        </w:rPr>
        <w:t>9</w:t>
      </w:r>
      <w:r>
        <w:rPr>
          <w:rFonts w:hint="eastAsia" w:ascii="Arial Narrow" w:hAnsi="黑体" w:eastAsia="黑体" w:cs="黑体"/>
          <w:b/>
          <w:bCs/>
          <w:sz w:val="36"/>
          <w:szCs w:val="36"/>
        </w:rPr>
        <w:t>年全国职业院校技能大赛</w:t>
      </w:r>
    </w:p>
    <w:p>
      <w:pPr>
        <w:snapToGrid w:val="0"/>
        <w:spacing w:line="540" w:lineRule="exact"/>
        <w:jc w:val="center"/>
        <w:rPr>
          <w:rFonts w:ascii="Arial Narrow" w:hAnsi="Arial Narrow" w:eastAsia="黑体" w:cs="Times New Roman"/>
          <w:b/>
          <w:bCs/>
          <w:sz w:val="36"/>
          <w:szCs w:val="36"/>
        </w:rPr>
      </w:pPr>
      <w:r>
        <w:rPr>
          <w:rFonts w:hint="eastAsia" w:ascii="Arial Narrow" w:hAnsi="黑体" w:eastAsia="黑体" w:cs="黑体"/>
          <w:b/>
          <w:bCs/>
          <w:sz w:val="36"/>
          <w:szCs w:val="36"/>
        </w:rPr>
        <w:t>赛项申报方案</w:t>
      </w:r>
    </w:p>
    <w:p>
      <w:pPr>
        <w:snapToGrid w:val="0"/>
        <w:spacing w:line="560" w:lineRule="exact"/>
        <w:ind w:firstLine="602" w:firstLineChars="200"/>
        <w:rPr>
          <w:rFonts w:ascii="Arial Narrow" w:hAnsi="Arial Narrow" w:eastAsia="仿宋_GB2312" w:cs="仿宋_GB2312"/>
          <w:b/>
          <w:sz w:val="30"/>
          <w:szCs w:val="30"/>
        </w:rPr>
      </w:pPr>
      <w:r>
        <w:rPr>
          <w:rFonts w:hint="eastAsia" w:ascii="Arial Narrow" w:hAnsi="Arial Narrow" w:eastAsia="仿宋_GB2312" w:cs="仿宋_GB2312"/>
          <w:b/>
          <w:sz w:val="30"/>
          <w:szCs w:val="30"/>
        </w:rPr>
        <w:t>一、赛项名称</w:t>
      </w:r>
    </w:p>
    <w:p>
      <w:pPr>
        <w:snapToGrid w:val="0"/>
        <w:spacing w:line="560" w:lineRule="exact"/>
        <w:ind w:firstLine="600" w:firstLineChars="200"/>
        <w:rPr>
          <w:rFonts w:ascii="Arial Narrow" w:hAnsi="Arial Narrow" w:eastAsia="仿宋_GB2312" w:cs="Times New Roman"/>
          <w:sz w:val="30"/>
          <w:szCs w:val="30"/>
        </w:rPr>
      </w:pPr>
      <w:r>
        <w:rPr>
          <w:rFonts w:hint="eastAsia" w:ascii="Arial Narrow" w:hAnsi="Arial Narrow" w:eastAsia="仿宋_GB2312" w:cs="仿宋_GB2312"/>
          <w:sz w:val="30"/>
          <w:szCs w:val="30"/>
        </w:rPr>
        <w:t>（一）赛项名称</w:t>
      </w:r>
    </w:p>
    <w:p>
      <w:pPr>
        <w:widowControl/>
        <w:adjustRightInd w:val="0"/>
        <w:snapToGrid w:val="0"/>
        <w:spacing w:line="560" w:lineRule="exact"/>
        <w:ind w:firstLine="750" w:firstLineChars="250"/>
        <w:rPr>
          <w:rFonts w:ascii="Arial Narrow" w:hAnsi="Arial Narrow" w:eastAsia="仿宋_GB2312" w:cs="Times New Roman"/>
          <w:sz w:val="30"/>
          <w:szCs w:val="30"/>
        </w:rPr>
      </w:pPr>
      <w:r>
        <w:rPr>
          <w:rFonts w:hint="eastAsia" w:ascii="仿宋_GB2312" w:hAnsi="宋体" w:eastAsia="仿宋_GB2312" w:cs="仿宋_GB2312"/>
          <w:sz w:val="30"/>
          <w:szCs w:val="30"/>
        </w:rPr>
        <w:t>中药传统技能</w:t>
      </w:r>
    </w:p>
    <w:p>
      <w:pPr>
        <w:snapToGrid w:val="0"/>
        <w:spacing w:line="560" w:lineRule="exact"/>
        <w:ind w:firstLine="600" w:firstLineChars="200"/>
        <w:rPr>
          <w:rFonts w:ascii="Arial Narrow" w:hAnsi="Arial Narrow" w:eastAsia="仿宋_GB2312" w:cs="Times New Roman"/>
          <w:sz w:val="30"/>
          <w:szCs w:val="30"/>
        </w:rPr>
      </w:pPr>
      <w:r>
        <w:rPr>
          <w:rFonts w:hint="eastAsia" w:ascii="Arial Narrow" w:hAnsi="Arial Narrow" w:eastAsia="仿宋_GB2312" w:cs="仿宋_GB2312"/>
          <w:sz w:val="30"/>
          <w:szCs w:val="30"/>
        </w:rPr>
        <w:t>（二）压题彩照</w:t>
      </w:r>
    </w:p>
    <w:p>
      <w:pPr>
        <w:snapToGrid w:val="0"/>
        <w:spacing w:line="360" w:lineRule="auto"/>
        <w:jc w:val="center"/>
        <w:rPr>
          <w:rFonts w:ascii="Arial Narrow" w:hAnsi="Arial Narrow" w:eastAsia="仿宋_GB2312" w:cs="Times New Roman"/>
          <w:sz w:val="30"/>
          <w:szCs w:val="30"/>
        </w:rPr>
      </w:pPr>
      <w:r>
        <w:rPr>
          <w:rFonts w:ascii="Arial Narrow" w:hAnsi="Arial Narrow" w:eastAsia="仿宋_GB2312" w:cs="Times New Roman"/>
          <w:sz w:val="30"/>
          <w:szCs w:val="30"/>
        </w:rPr>
        <w:drawing>
          <wp:inline distT="0" distB="0" distL="0" distR="0">
            <wp:extent cx="5100320" cy="3400425"/>
            <wp:effectExtent l="0" t="0" r="5080" b="0"/>
            <wp:docPr id="6" name="图片 6" descr="C:\Users\lenovo01\Desktop\2018年全国职业院校技能大赛材料2017.09\照片--2018年国赛照片\2018.5.31-6.1比赛期间照片\2性状鉴别\AQ0I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01\Desktop\2018年全国职业院校技能大赛材料2017.09\照片--2018年国赛照片\2018.5.31-6.1比赛期间照片\2性状鉴别\AQ0I273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02788" cy="3401859"/>
                    </a:xfrm>
                    <a:prstGeom prst="rect">
                      <a:avLst/>
                    </a:prstGeom>
                    <a:noFill/>
                    <a:ln>
                      <a:noFill/>
                    </a:ln>
                  </pic:spPr>
                </pic:pic>
              </a:graphicData>
            </a:graphic>
          </wp:inline>
        </w:drawing>
      </w:r>
    </w:p>
    <w:p>
      <w:pPr>
        <w:adjustRightInd w:val="0"/>
        <w:snapToGrid w:val="0"/>
        <w:spacing w:line="560" w:lineRule="exact"/>
        <w:ind w:firstLine="600" w:firstLineChars="200"/>
        <w:jc w:val="left"/>
        <w:rPr>
          <w:rFonts w:ascii="Arial Narrow" w:hAnsi="Arial Narrow" w:eastAsia="仿宋_GB2312" w:cs="Times New Roman"/>
          <w:sz w:val="30"/>
          <w:szCs w:val="30"/>
        </w:rPr>
      </w:pPr>
      <w:r>
        <w:rPr>
          <w:rFonts w:hint="eastAsia" w:ascii="Arial Narrow" w:hAnsi="Arial Narrow" w:eastAsia="仿宋_GB2312" w:cs="仿宋_GB2312"/>
          <w:sz w:val="30"/>
          <w:szCs w:val="30"/>
        </w:rPr>
        <w:t>（三）赛项归属产业类型</w:t>
      </w:r>
    </w:p>
    <w:p>
      <w:pPr>
        <w:adjustRightInd w:val="0"/>
        <w:snapToGrid w:val="0"/>
        <w:spacing w:line="560" w:lineRule="exact"/>
        <w:ind w:firstLine="600" w:firstLineChars="200"/>
        <w:jc w:val="left"/>
        <w:rPr>
          <w:rFonts w:ascii="Arial Narrow" w:hAnsi="Arial Narrow" w:eastAsia="仿宋_GB2312" w:cs="Times New Roman"/>
          <w:sz w:val="30"/>
          <w:szCs w:val="30"/>
        </w:rPr>
      </w:pPr>
      <w:r>
        <w:rPr>
          <w:rFonts w:hint="eastAsia" w:ascii="仿宋_GB2312" w:hAnsi="宋体" w:eastAsia="仿宋_GB2312" w:cs="仿宋_GB2312"/>
          <w:sz w:val="30"/>
          <w:szCs w:val="30"/>
        </w:rPr>
        <w:t>制造业、服务业</w:t>
      </w:r>
    </w:p>
    <w:p>
      <w:pPr>
        <w:snapToGrid w:val="0"/>
        <w:spacing w:line="560" w:lineRule="exact"/>
        <w:ind w:firstLine="600" w:firstLineChars="200"/>
        <w:rPr>
          <w:rFonts w:ascii="Arial Narrow" w:hAnsi="Arial Narrow" w:eastAsia="仿宋_GB2312" w:cs="Times New Roman"/>
          <w:sz w:val="30"/>
          <w:szCs w:val="30"/>
        </w:rPr>
      </w:pPr>
      <w:r>
        <w:rPr>
          <w:rFonts w:hint="eastAsia" w:ascii="Arial Narrow" w:hAnsi="Arial Narrow" w:eastAsia="仿宋_GB2312" w:cs="仿宋_GB2312"/>
          <w:sz w:val="30"/>
          <w:szCs w:val="30"/>
        </w:rPr>
        <w:t>（四）赛项归属专业大类</w:t>
      </w:r>
      <w:r>
        <w:rPr>
          <w:rFonts w:ascii="Arial Narrow" w:hAnsi="Arial Narrow" w:eastAsia="仿宋_GB2312" w:cs="Arial Narrow"/>
          <w:sz w:val="30"/>
          <w:szCs w:val="30"/>
        </w:rPr>
        <w:t>/</w:t>
      </w:r>
      <w:r>
        <w:rPr>
          <w:rFonts w:hint="eastAsia" w:ascii="Arial Narrow" w:hAnsi="Arial Narrow" w:eastAsia="仿宋_GB2312" w:cs="仿宋_GB2312"/>
          <w:sz w:val="30"/>
          <w:szCs w:val="30"/>
        </w:rPr>
        <w:t>类</w:t>
      </w:r>
    </w:p>
    <w:tbl>
      <w:tblPr>
        <w:tblStyle w:val="14"/>
        <w:tblW w:w="8557"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2030"/>
        <w:gridCol w:w="141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专业大类</w:t>
            </w:r>
          </w:p>
        </w:tc>
        <w:tc>
          <w:tcPr>
            <w:tcW w:w="2030"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专业类</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专业代码</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vMerge w:val="restart"/>
            <w:tcBorders>
              <w:top w:val="single" w:color="auto" w:sz="4" w:space="0"/>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高职</w:t>
            </w:r>
          </w:p>
          <w:p>
            <w:pPr>
              <w:jc w:val="center"/>
              <w:rPr>
                <w:rFonts w:cs="仿宋_GB2312" w:asciiTheme="minorEastAsia" w:hAnsiTheme="minorEastAsia" w:eastAsiaTheme="minorEastAsia"/>
                <w:sz w:val="24"/>
                <w:szCs w:val="24"/>
              </w:rPr>
            </w:pP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医药卫生大类</w:t>
            </w:r>
          </w:p>
        </w:tc>
        <w:tc>
          <w:tcPr>
            <w:tcW w:w="2030"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药学类</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620302</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中药学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871" w:type="dxa"/>
            <w:vMerge w:val="restart"/>
            <w:tcBorders>
              <w:top w:val="single" w:color="auto" w:sz="4" w:space="0"/>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食品药品与粮食大类</w:t>
            </w:r>
          </w:p>
        </w:tc>
        <w:tc>
          <w:tcPr>
            <w:tcW w:w="2030" w:type="dxa"/>
            <w:vMerge w:val="restart"/>
            <w:tcBorders>
              <w:top w:val="single" w:color="auto" w:sz="4" w:space="0"/>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药品制造类</w:t>
            </w:r>
          </w:p>
        </w:tc>
        <w:tc>
          <w:tcPr>
            <w:tcW w:w="1417"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 xml:space="preserve">590201 </w:t>
            </w:r>
          </w:p>
        </w:tc>
        <w:tc>
          <w:tcPr>
            <w:tcW w:w="2268"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中药生产与加工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871"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2030"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5</w:t>
            </w:r>
            <w:r>
              <w:rPr>
                <w:rFonts w:cs="仿宋_GB2312" w:asciiTheme="minorEastAsia" w:hAnsiTheme="minorEastAsia" w:eastAsiaTheme="minorEastAsia"/>
                <w:sz w:val="24"/>
                <w:szCs w:val="24"/>
              </w:rPr>
              <w:t>90202</w:t>
            </w:r>
          </w:p>
        </w:tc>
        <w:tc>
          <w:tcPr>
            <w:tcW w:w="2268"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药品生产技术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871"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2030"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5</w:t>
            </w:r>
            <w:r>
              <w:rPr>
                <w:rFonts w:cs="仿宋_GB2312" w:asciiTheme="minorEastAsia" w:hAnsiTheme="minorEastAsia" w:eastAsiaTheme="minorEastAsia"/>
                <w:sz w:val="24"/>
                <w:szCs w:val="24"/>
              </w:rPr>
              <w:t>90204</w:t>
            </w:r>
          </w:p>
        </w:tc>
        <w:tc>
          <w:tcPr>
            <w:tcW w:w="2268"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药品质量与安全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871"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2030" w:type="dxa"/>
            <w:vMerge w:val="continue"/>
            <w:tcBorders>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590208</w:t>
            </w:r>
          </w:p>
        </w:tc>
        <w:tc>
          <w:tcPr>
            <w:tcW w:w="2268"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中药制药技术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971"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871" w:type="dxa"/>
            <w:vMerge w:val="continue"/>
            <w:tcBorders>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2030" w:type="dxa"/>
            <w:vMerge w:val="restart"/>
            <w:tcBorders>
              <w:top w:val="single" w:color="auto" w:sz="4" w:space="0"/>
              <w:left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食品药品管理类</w:t>
            </w:r>
          </w:p>
        </w:tc>
        <w:tc>
          <w:tcPr>
            <w:tcW w:w="1417"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59030</w:t>
            </w:r>
            <w:r>
              <w:rPr>
                <w:rFonts w:hint="eastAsia" w:cs="仿宋_GB2312" w:asciiTheme="minorEastAsia" w:hAnsiTheme="minorEastAsia" w:eastAsiaTheme="minorEastAsia"/>
                <w:sz w:val="24"/>
                <w:szCs w:val="24"/>
              </w:rPr>
              <w:t>1</w:t>
            </w:r>
          </w:p>
        </w:tc>
        <w:tc>
          <w:tcPr>
            <w:tcW w:w="2268" w:type="dxa"/>
            <w:tcBorders>
              <w:top w:val="single" w:color="auto" w:sz="4" w:space="0"/>
              <w:left w:val="single" w:color="auto" w:sz="4" w:space="0"/>
              <w:bottom w:val="single" w:color="auto" w:sz="4" w:space="0"/>
              <w:right w:val="single" w:color="auto" w:sz="4" w:space="0"/>
            </w:tcBorders>
            <w:vAlign w:val="center"/>
          </w:tcPr>
          <w:p>
            <w:pPr>
              <w:spacing w:line="60" w:lineRule="auto"/>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药品经营与管理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971" w:type="dxa"/>
            <w:vMerge w:val="continue"/>
            <w:tcBorders>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871" w:type="dxa"/>
            <w:vMerge w:val="continue"/>
            <w:tcBorders>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2030" w:type="dxa"/>
            <w:vMerge w:val="continue"/>
            <w:tcBorders>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590302</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药品服务与管理</w:t>
            </w:r>
          </w:p>
        </w:tc>
      </w:tr>
    </w:tbl>
    <w:p>
      <w:pPr>
        <w:snapToGrid w:val="0"/>
        <w:spacing w:line="560" w:lineRule="exact"/>
        <w:ind w:firstLine="602" w:firstLineChars="200"/>
        <w:rPr>
          <w:rFonts w:ascii="宋体" w:cs="Times New Roman"/>
          <w:color w:val="FF0000"/>
          <w:sz w:val="24"/>
          <w:szCs w:val="24"/>
        </w:rPr>
      </w:pPr>
      <w:r>
        <w:rPr>
          <w:rFonts w:hint="eastAsia" w:ascii="Arial Narrow" w:hAnsi="Arial Narrow" w:eastAsia="仿宋_GB2312" w:cs="仿宋_GB2312"/>
          <w:b/>
          <w:sz w:val="30"/>
          <w:szCs w:val="30"/>
        </w:rPr>
        <w:t>二、赛项申报专家组</w:t>
      </w:r>
      <w:r>
        <w:rPr>
          <w:rFonts w:ascii="黑体" w:hAnsi="黑体" w:eastAsia="黑体" w:cs="黑体"/>
          <w:bCs/>
          <w:sz w:val="30"/>
          <w:szCs w:val="30"/>
        </w:rPr>
        <w:t xml:space="preserve"> </w:t>
      </w:r>
      <w:r>
        <w:rPr>
          <w:rFonts w:ascii="Arial Narrow" w:hAnsi="Arial Narrow" w:eastAsia="仿宋_GB2312" w:cs="Arial Narrow"/>
          <w:b/>
          <w:bCs/>
          <w:sz w:val="30"/>
          <w:szCs w:val="30"/>
        </w:rPr>
        <w:t xml:space="preserve">  </w:t>
      </w:r>
    </w:p>
    <w:p>
      <w:pPr>
        <w:snapToGrid w:val="0"/>
        <w:spacing w:line="560" w:lineRule="exact"/>
        <w:ind w:firstLine="602" w:firstLineChars="200"/>
        <w:rPr>
          <w:rFonts w:ascii="Arial Narrow" w:hAnsi="Arial Narrow" w:eastAsia="仿宋_GB2312" w:cs="仿宋_GB2312"/>
          <w:b/>
          <w:bCs/>
          <w:sz w:val="30"/>
          <w:szCs w:val="30"/>
        </w:rPr>
      </w:pPr>
      <w:r>
        <w:rPr>
          <w:rFonts w:hint="eastAsia" w:ascii="Arial Narrow" w:hAnsi="Arial Narrow" w:eastAsia="仿宋_GB2312" w:cs="仿宋_GB2312"/>
          <w:b/>
          <w:bCs/>
          <w:sz w:val="30"/>
          <w:szCs w:val="30"/>
        </w:rPr>
        <w:t>三、赛项目的</w:t>
      </w:r>
    </w:p>
    <w:p>
      <w:pPr>
        <w:adjustRightInd w:val="0"/>
        <w:snapToGrid w:val="0"/>
        <w:spacing w:line="560" w:lineRule="exact"/>
        <w:ind w:firstLine="600" w:firstLineChars="200"/>
        <w:jc w:val="left"/>
        <w:rPr>
          <w:rFonts w:ascii="仿宋_GB2312" w:eastAsia="仿宋_GB2312"/>
          <w:bCs/>
          <w:color w:val="000000"/>
          <w:sz w:val="30"/>
          <w:szCs w:val="30"/>
        </w:rPr>
      </w:pPr>
      <w:r>
        <w:rPr>
          <w:rFonts w:hint="eastAsia" w:ascii="仿宋_GB2312" w:eastAsia="仿宋_GB2312"/>
          <w:bCs/>
          <w:sz w:val="30"/>
          <w:szCs w:val="30"/>
        </w:rPr>
        <w:t>本赛项的设立，</w:t>
      </w:r>
      <w:r>
        <w:rPr>
          <w:rFonts w:hint="eastAsia" w:ascii="仿宋_GB2312" w:eastAsia="仿宋_GB2312"/>
          <w:sz w:val="30"/>
          <w:szCs w:val="30"/>
        </w:rPr>
        <w:t>是为了切实贯彻国务院《中医药发展战略规划纲要（2016—2030年）》和国家中医药管理局《中医药发展“十三五”规划》的指示精神，</w:t>
      </w:r>
      <w:r>
        <w:rPr>
          <w:rFonts w:hint="eastAsia" w:ascii="Arial Narrow" w:hAnsi="Arial Narrow" w:eastAsia="仿宋_GB2312" w:cs="仿宋_GB2312"/>
          <w:sz w:val="30"/>
          <w:szCs w:val="30"/>
        </w:rPr>
        <w:t>加强</w:t>
      </w:r>
      <w:r>
        <w:rPr>
          <w:rFonts w:hint="eastAsia" w:ascii="仿宋_GB2312" w:eastAsia="仿宋_GB2312"/>
          <w:bCs/>
          <w:sz w:val="30"/>
          <w:szCs w:val="30"/>
        </w:rPr>
        <w:t>中医药的传承</w:t>
      </w:r>
      <w:r>
        <w:rPr>
          <w:rFonts w:hint="eastAsia" w:ascii="Arial Narrow" w:hAnsi="Arial Narrow" w:eastAsia="仿宋_GB2312" w:cs="仿宋_GB2312"/>
          <w:sz w:val="30"/>
          <w:szCs w:val="30"/>
        </w:rPr>
        <w:t>，推进中医药振兴与发展，助力于</w:t>
      </w:r>
      <w:r>
        <w:rPr>
          <w:rFonts w:hint="eastAsia" w:ascii="仿宋_GB2312" w:eastAsia="仿宋_GB2312"/>
          <w:bCs/>
          <w:sz w:val="30"/>
          <w:szCs w:val="30"/>
        </w:rPr>
        <w:t>国家中医药“一带一路”建设</w:t>
      </w:r>
      <w:r>
        <w:rPr>
          <w:rFonts w:hint="eastAsia" w:ascii="仿宋_GB2312" w:eastAsia="仿宋_GB2312"/>
          <w:bCs/>
          <w:color w:val="000000"/>
          <w:sz w:val="30"/>
          <w:szCs w:val="30"/>
        </w:rPr>
        <w:t>。同时，也为了深入推进现代职业教育教学改革，优化完善全国中医药高职院校“赛教融合”机制，为全国高职院校中药学及相关专业师生搭建相互交流与学习的平台，</w:t>
      </w:r>
      <w:r>
        <w:rPr>
          <w:rFonts w:hint="eastAsia" w:ascii="仿宋_GB2312" w:hAnsi="仿宋_GB2312" w:eastAsia="仿宋_GB2312"/>
          <w:color w:val="000000"/>
          <w:sz w:val="30"/>
          <w:szCs w:val="30"/>
        </w:rPr>
        <w:t>把大赛作为企业发现人才的平台和学生事业发展的平台，</w:t>
      </w:r>
      <w:r>
        <w:rPr>
          <w:rFonts w:eastAsia="仿宋_GB2312"/>
          <w:sz w:val="30"/>
          <w:szCs w:val="30"/>
        </w:rPr>
        <w:t>真正达到 “以赛促教、以赛促学、以赛促改”的目的</w:t>
      </w:r>
      <w:r>
        <w:rPr>
          <w:rFonts w:hint="eastAsia" w:eastAsia="仿宋_GB2312"/>
          <w:sz w:val="30"/>
          <w:szCs w:val="30"/>
        </w:rPr>
        <w:t>，从而显著</w:t>
      </w:r>
      <w:r>
        <w:rPr>
          <w:rFonts w:hint="eastAsia" w:ascii="仿宋_GB2312" w:eastAsia="仿宋_GB2312"/>
          <w:bCs/>
          <w:color w:val="000000"/>
          <w:sz w:val="30"/>
          <w:szCs w:val="30"/>
        </w:rPr>
        <w:t>提高专业人才培养质量。</w:t>
      </w:r>
    </w:p>
    <w:p>
      <w:pPr>
        <w:adjustRightInd w:val="0"/>
        <w:snapToGrid w:val="0"/>
        <w:spacing w:line="560" w:lineRule="exact"/>
        <w:ind w:firstLine="600" w:firstLineChars="200"/>
        <w:rPr>
          <w:rFonts w:ascii="Arial Narrow" w:hAnsi="Arial Narrow" w:eastAsia="仿宋_GB2312" w:cs="Times New Roman"/>
          <w:sz w:val="30"/>
          <w:szCs w:val="30"/>
        </w:rPr>
      </w:pPr>
      <w:r>
        <w:rPr>
          <w:rFonts w:hint="eastAsia" w:ascii="Arial Narrow" w:hAnsi="Arial Narrow" w:eastAsia="仿宋_GB2312" w:cs="仿宋_GB2312"/>
          <w:sz w:val="30"/>
          <w:szCs w:val="30"/>
        </w:rPr>
        <w:t>本赛项主要考核高职中药学及相关专业学生的中药性状与真伪鉴定、中药显微鉴定、中药调剂、中药炮制等四大核心知识与技能。通过</w:t>
      </w:r>
      <w:r>
        <w:rPr>
          <w:rFonts w:hint="eastAsia" w:ascii="仿宋_GB2312" w:eastAsia="仿宋_GB2312"/>
          <w:bCs/>
          <w:color w:val="000000"/>
          <w:sz w:val="30"/>
          <w:szCs w:val="30"/>
        </w:rPr>
        <w:t>竞赛</w:t>
      </w:r>
      <w:r>
        <w:rPr>
          <w:rFonts w:hint="eastAsia" w:ascii="Arial Narrow" w:hAnsi="Arial Narrow" w:eastAsia="仿宋_GB2312" w:cs="仿宋_GB2312"/>
          <w:sz w:val="30"/>
          <w:szCs w:val="30"/>
        </w:rPr>
        <w:t>，检验全国中医药职业院校专业建设与教学改革成果，考核与展示各参赛院校学生从事中药生产、流通与服务的岗位通用核心技术和综合职业能力，实现专业与产业对接、课程内容与职业标准对接、教学过程与生产过程对接，促进中药技能的传承与创新，</w:t>
      </w:r>
      <w:r>
        <w:rPr>
          <w:rFonts w:hint="eastAsia" w:ascii="仿宋_GB2312" w:eastAsia="仿宋_GB2312"/>
          <w:bCs/>
          <w:sz w:val="30"/>
          <w:szCs w:val="30"/>
        </w:rPr>
        <w:t>激发中药行业企业关注和参与中药学及相关专业教学改革的主动性和积极性，</w:t>
      </w:r>
      <w:r>
        <w:rPr>
          <w:rFonts w:hint="eastAsia" w:ascii="Arial Narrow" w:hAnsi="Arial Narrow" w:eastAsia="仿宋_GB2312" w:cs="仿宋_GB2312"/>
          <w:sz w:val="30"/>
          <w:szCs w:val="30"/>
        </w:rPr>
        <w:t>提高中医药职业教育的社会认可度，推进中医药职业教育又好又快地发展。</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四、赛项设计原则</w:t>
      </w:r>
    </w:p>
    <w:p>
      <w:pPr>
        <w:snapToGrid w:val="0"/>
        <w:spacing w:line="560" w:lineRule="exact"/>
        <w:ind w:firstLine="600" w:firstLineChars="200"/>
        <w:rPr>
          <w:rFonts w:ascii="Arial Narrow" w:hAnsi="Arial Narrow" w:eastAsia="仿宋_GB2312" w:cs="Times New Roman"/>
          <w:sz w:val="30"/>
          <w:szCs w:val="30"/>
        </w:rPr>
      </w:pPr>
      <w:r>
        <w:rPr>
          <w:rFonts w:hint="eastAsia" w:ascii="Arial Narrow" w:hAnsi="Arial Narrow" w:eastAsia="仿宋_GB2312" w:cs="仿宋_GB2312"/>
          <w:sz w:val="30"/>
          <w:szCs w:val="30"/>
        </w:rPr>
        <w:t>（一）</w:t>
      </w:r>
      <w:r>
        <w:rPr>
          <w:rFonts w:hint="eastAsia" w:ascii="Arial Narrow" w:hAnsi="Arial Narrow" w:eastAsia="仿宋_GB2312" w:cs="仿宋_GB2312"/>
          <w:b/>
          <w:bCs/>
          <w:sz w:val="30"/>
          <w:szCs w:val="30"/>
        </w:rPr>
        <w:t>公开、公平、公正原则</w:t>
      </w:r>
    </w:p>
    <w:p>
      <w:pPr>
        <w:adjustRightInd w:val="0"/>
        <w:snapToGrid w:val="0"/>
        <w:spacing w:line="560" w:lineRule="exact"/>
        <w:ind w:firstLine="600" w:firstLineChars="200"/>
        <w:rPr>
          <w:rFonts w:ascii="Arial Narrow" w:hAnsi="Arial Narrow" w:eastAsia="仿宋_GB2312" w:cs="Times New Roman"/>
          <w:sz w:val="30"/>
          <w:szCs w:val="30"/>
        </w:rPr>
      </w:pPr>
      <w:r>
        <w:rPr>
          <w:rFonts w:hint="eastAsia" w:ascii="Arial Narrow" w:hAnsi="Arial Narrow" w:eastAsia="仿宋_GB2312" w:cs="仿宋_GB2312"/>
          <w:sz w:val="30"/>
          <w:szCs w:val="30"/>
        </w:rPr>
        <w:t>组织与筹备的各环节坚持公开、公平、公正。即，做到竞赛方案公开、竞赛题库公开、竞赛评分标准公开、竞赛成绩公开；竞赛裁判是从国赛专家裁判库中随机挑选的，严格执行加密、回避等制度，体现了公平原则；专家裁判均来自于行业、企业和高校一线专家，并经过系统的技术培训，</w:t>
      </w:r>
      <w:r>
        <w:rPr>
          <w:rFonts w:hint="eastAsia" w:eastAsia="仿宋_GB2312"/>
          <w:sz w:val="28"/>
          <w:szCs w:val="28"/>
        </w:rPr>
        <w:t>执裁</w:t>
      </w:r>
      <w:r>
        <w:rPr>
          <w:rFonts w:eastAsia="仿宋_GB2312"/>
          <w:sz w:val="28"/>
          <w:szCs w:val="28"/>
        </w:rPr>
        <w:t>尺度一致，评判标准统一</w:t>
      </w:r>
      <w:r>
        <w:rPr>
          <w:rFonts w:hint="eastAsia" w:eastAsia="仿宋_GB2312"/>
          <w:sz w:val="28"/>
          <w:szCs w:val="28"/>
        </w:rPr>
        <w:t>，</w:t>
      </w:r>
      <w:r>
        <w:rPr>
          <w:rFonts w:hint="eastAsia" w:ascii="Arial Narrow" w:hAnsi="Arial Narrow" w:eastAsia="仿宋_GB2312" w:cs="仿宋_GB2312"/>
          <w:sz w:val="30"/>
          <w:szCs w:val="30"/>
        </w:rPr>
        <w:t>确保比赛的公正性。</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（二）赛项内容与人才培养对接原则</w:t>
      </w:r>
    </w:p>
    <w:p>
      <w:pPr>
        <w:adjustRightInd w:val="0"/>
        <w:snapToGrid w:val="0"/>
        <w:spacing w:line="560" w:lineRule="exact"/>
        <w:ind w:firstLine="600" w:firstLineChars="200"/>
        <w:rPr>
          <w:rFonts w:ascii="Arial Narrow" w:hAnsi="Arial Narrow" w:eastAsia="仿宋_GB2312" w:cs="Times New Roman"/>
          <w:sz w:val="30"/>
          <w:szCs w:val="30"/>
        </w:rPr>
      </w:pPr>
      <w:r>
        <w:rPr>
          <w:rFonts w:hint="eastAsia" w:ascii="Arial Narrow" w:hAnsi="Arial Narrow" w:eastAsia="仿宋_GB2312" w:cs="仿宋_GB2312"/>
          <w:sz w:val="30"/>
          <w:szCs w:val="30"/>
        </w:rPr>
        <w:t>本赛项内容与</w:t>
      </w:r>
      <w:r>
        <w:rPr>
          <w:rFonts w:hint="eastAsia" w:ascii="仿宋_GB2312" w:eastAsia="仿宋_GB2312"/>
          <w:bCs/>
          <w:color w:val="000000"/>
          <w:sz w:val="30"/>
          <w:szCs w:val="30"/>
        </w:rPr>
        <w:t>专业</w:t>
      </w:r>
      <w:r>
        <w:rPr>
          <w:rFonts w:hint="eastAsia" w:ascii="Arial Narrow" w:hAnsi="Arial Narrow" w:eastAsia="仿宋_GB2312" w:cs="仿宋_GB2312"/>
          <w:sz w:val="30"/>
          <w:szCs w:val="30"/>
        </w:rPr>
        <w:t>人才培养目标高度吻合。关联的职业岗位面广，涵盖中药检验、中药调剂、中药炮制、中药购销等职业岗位，人才需求旺盛。职业院校开设专业点多，据统计，开设中药学及相关专业的职业院校达</w:t>
      </w:r>
      <w:r>
        <w:rPr>
          <w:rFonts w:ascii="Arial Narrow" w:hAnsi="Arial Narrow" w:eastAsia="仿宋_GB2312" w:cs="Arial Narrow"/>
          <w:sz w:val="30"/>
          <w:szCs w:val="30"/>
        </w:rPr>
        <w:t>160</w:t>
      </w:r>
      <w:r>
        <w:rPr>
          <w:rFonts w:hint="eastAsia" w:ascii="Arial Narrow" w:hAnsi="Arial Narrow" w:eastAsia="仿宋_GB2312" w:cs="仿宋_GB2312"/>
          <w:sz w:val="30"/>
          <w:szCs w:val="30"/>
        </w:rPr>
        <w:t>余所。</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（三）竞赛内容与职业岗位对接原则</w:t>
      </w:r>
    </w:p>
    <w:p>
      <w:pPr>
        <w:snapToGrid w:val="0"/>
        <w:spacing w:line="560" w:lineRule="exact"/>
        <w:ind w:firstLine="600" w:firstLineChars="200"/>
        <w:rPr>
          <w:rFonts w:ascii="Arial Narrow" w:hAnsi="Arial Narrow" w:eastAsia="仿宋_GB2312" w:cs="Times New Roman"/>
          <w:sz w:val="30"/>
          <w:szCs w:val="30"/>
        </w:rPr>
      </w:pPr>
      <w:r>
        <w:rPr>
          <w:rFonts w:hint="eastAsia" w:ascii="Arial Narrow" w:hAnsi="Arial Narrow" w:eastAsia="仿宋_GB2312" w:cs="仿宋_GB2312"/>
          <w:sz w:val="30"/>
          <w:szCs w:val="30"/>
        </w:rPr>
        <w:t>本竞赛内容对应相关职业岗位或岗位群、体现专业核心能力与核心知识，涵盖丰富的专业知识与专业技能点。本赛项既能全面考察学生的中药鉴定、中药调剂、中药炮制等职业能力，又能考察学生的责任与使命感，以及质量第一、安全第一、救死扶伤、主动服务、团结协作、依法执业、爱岗敬业等职业素养。</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（四）技术平台成熟与稳定原则</w:t>
      </w:r>
    </w:p>
    <w:p>
      <w:pPr>
        <w:snapToGrid w:val="0"/>
        <w:spacing w:line="560" w:lineRule="exact"/>
        <w:ind w:firstLine="600" w:firstLineChars="200"/>
        <w:rPr>
          <w:rFonts w:ascii="Arial Narrow" w:hAnsi="Arial Narrow" w:eastAsia="仿宋_GB2312" w:cs="Times New Roman"/>
          <w:strike/>
          <w:color w:val="FF0000"/>
          <w:sz w:val="30"/>
          <w:szCs w:val="30"/>
        </w:rPr>
      </w:pPr>
      <w:r>
        <w:rPr>
          <w:rFonts w:hint="eastAsia" w:ascii="Arial Narrow" w:hAnsi="Arial Narrow" w:eastAsia="仿宋_GB2312" w:cs="仿宋_GB2312"/>
          <w:sz w:val="30"/>
          <w:szCs w:val="30"/>
        </w:rPr>
        <w:t>本赛项已举办六届（</w:t>
      </w:r>
      <w:r>
        <w:rPr>
          <w:rFonts w:ascii="Arial Narrow" w:hAnsi="Arial Narrow" w:eastAsia="仿宋_GB2312" w:cs="Arial Narrow"/>
          <w:sz w:val="30"/>
          <w:szCs w:val="30"/>
        </w:rPr>
        <w:t>2012</w:t>
      </w:r>
      <w:r>
        <w:rPr>
          <w:rFonts w:hint="eastAsia" w:ascii="Arial Narrow" w:hAnsi="Arial Narrow" w:eastAsia="仿宋_GB2312" w:cs="仿宋_GB2312"/>
          <w:sz w:val="30"/>
          <w:szCs w:val="30"/>
        </w:rPr>
        <w:t>年、</w:t>
      </w:r>
      <w:r>
        <w:rPr>
          <w:rFonts w:ascii="Arial Narrow" w:hAnsi="Arial Narrow" w:eastAsia="仿宋_GB2312" w:cs="Arial Narrow"/>
          <w:sz w:val="30"/>
          <w:szCs w:val="30"/>
        </w:rPr>
        <w:t>2013</w:t>
      </w:r>
      <w:r>
        <w:rPr>
          <w:rFonts w:hint="eastAsia" w:ascii="Arial Narrow" w:hAnsi="Arial Narrow" w:eastAsia="仿宋_GB2312" w:cs="仿宋_GB2312"/>
          <w:sz w:val="30"/>
          <w:szCs w:val="30"/>
        </w:rPr>
        <w:t>年、</w:t>
      </w:r>
      <w:r>
        <w:rPr>
          <w:rFonts w:ascii="Arial Narrow" w:hAnsi="Arial Narrow" w:eastAsia="仿宋_GB2312" w:cs="Arial Narrow"/>
          <w:sz w:val="30"/>
          <w:szCs w:val="30"/>
        </w:rPr>
        <w:t>2015</w:t>
      </w:r>
      <w:r>
        <w:rPr>
          <w:rFonts w:hint="eastAsia" w:ascii="Arial Narrow" w:hAnsi="Arial Narrow" w:eastAsia="仿宋_GB2312" w:cs="仿宋_GB2312"/>
          <w:sz w:val="30"/>
          <w:szCs w:val="30"/>
        </w:rPr>
        <w:t>年、</w:t>
      </w:r>
      <w:r>
        <w:rPr>
          <w:rFonts w:ascii="Arial Narrow" w:hAnsi="Arial Narrow" w:eastAsia="仿宋_GB2312" w:cs="Arial Narrow"/>
          <w:sz w:val="30"/>
          <w:szCs w:val="30"/>
        </w:rPr>
        <w:t>2016</w:t>
      </w:r>
      <w:r>
        <w:rPr>
          <w:rFonts w:hint="eastAsia" w:ascii="Arial Narrow" w:hAnsi="Arial Narrow" w:eastAsia="仿宋_GB2312" w:cs="仿宋_GB2312"/>
          <w:sz w:val="30"/>
          <w:szCs w:val="30"/>
        </w:rPr>
        <w:t>年、</w:t>
      </w:r>
      <w:r>
        <w:rPr>
          <w:rFonts w:ascii="Arial Narrow" w:hAnsi="Arial Narrow" w:eastAsia="仿宋_GB2312" w:cs="Arial Narrow"/>
          <w:sz w:val="30"/>
          <w:szCs w:val="30"/>
        </w:rPr>
        <w:t>2017</w:t>
      </w:r>
      <w:r>
        <w:rPr>
          <w:rFonts w:hint="eastAsia" w:ascii="Arial Narrow" w:hAnsi="Arial Narrow" w:eastAsia="仿宋_GB2312" w:cs="仿宋_GB2312"/>
          <w:sz w:val="30"/>
          <w:szCs w:val="30"/>
        </w:rPr>
        <w:t>年、2018年），运行平台不断升级使其更加趋于成熟。根据医药卫生行业特点，赛项设计的技术平台及其器材均为竞赛之必需，通用性强，与考核技能无关的器材不列入技术平台。</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五、赛项方案的特色与创新点</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（一）竞赛内容涵盖专业群四大核心能力</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本赛项涉及的职业岗位工种多，竞赛内容从中药学及相关专业人才培养的专业核心能力中，选取了中药性状（中药识别与真伪鉴别）鉴别、中药显微鉴别、中药调剂（含审方理论考试）、中药炮制4个子项目。这四个子项目能充分展现中药行业职业岗位群的中药炮制工、中药检验工、中药调剂员、中药购销员、医药商品购销员等职业岗位的核心技术。</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（二）竞赛过程考核综合职业能力</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本赛项的实施包括专业教学实践训练、培训与选拔、组队竞赛三大环节。各院校在专业教学技能实训的基础上选出省赛选手，各省、自治区、直辖市成立协作训练组开展省级培训和选拔，最后组队参加国赛。选出的选手专业技能娴熟、理论知识扎实、心理素质过硬，充分展现了中药学专业教学改革成果及专业教学水平。全国中医药职业教育教学指导委员会有计划组织安排师资进行技能培训，不仅能提高全国中医药职业院校教师的专业技能，而且推动中药行业技术标准的建设。竞赛过程中，安排全国中医药职业院校教育教学改革成果、校企合作成果展示，促进中药学专业的人才培养和校企合作。</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（三）竞赛结果的评判体现“三公”原则</w:t>
      </w:r>
    </w:p>
    <w:p>
      <w:pPr>
        <w:snapToGrid w:val="0"/>
        <w:spacing w:line="560" w:lineRule="exact"/>
        <w:ind w:firstLine="600" w:firstLineChars="200"/>
        <w:rPr>
          <w:rFonts w:ascii="Arial Narrow" w:hAnsi="Arial Narrow" w:eastAsia="仿宋_GB2312" w:cs="Times New Roman"/>
          <w:sz w:val="30"/>
          <w:szCs w:val="30"/>
        </w:rPr>
      </w:pPr>
      <w:r>
        <w:rPr>
          <w:rFonts w:hint="eastAsia" w:ascii="仿宋_GB2312" w:eastAsia="仿宋_GB2312" w:cs="仿宋_GB2312"/>
          <w:sz w:val="30"/>
          <w:szCs w:val="30"/>
        </w:rPr>
        <w:t>竞赛以</w:t>
      </w:r>
      <w:r>
        <w:rPr>
          <w:rFonts w:hint="eastAsia" w:ascii="Arial Narrow" w:hAnsi="Arial Narrow" w:eastAsia="仿宋_GB2312" w:cs="仿宋_GB2312"/>
          <w:sz w:val="30"/>
          <w:szCs w:val="30"/>
        </w:rPr>
        <w:t>前就将竞赛方案、竞赛题库及样题、竞赛评分标准网上公开，比赛前一天专家组封闭命题，严格按照全国职业院校技能大赛执委会的通知要求推荐竞赛裁判，裁判统一技术培训；正式比赛时分两次加密抽签决定考试场次和考试内容，严格执行保密制度和回避制度，严格标准，达到执裁</w:t>
      </w:r>
      <w:r>
        <w:rPr>
          <w:rFonts w:ascii="Arial Narrow" w:hAnsi="Arial Narrow" w:eastAsia="仿宋_GB2312" w:cs="仿宋_GB2312"/>
          <w:sz w:val="30"/>
          <w:szCs w:val="30"/>
        </w:rPr>
        <w:t>尺度一致，评判标准统一</w:t>
      </w:r>
      <w:r>
        <w:rPr>
          <w:rFonts w:hint="eastAsia" w:ascii="Arial Narrow" w:hAnsi="Arial Narrow" w:eastAsia="仿宋_GB2312" w:cs="仿宋_GB2312"/>
          <w:sz w:val="30"/>
          <w:szCs w:val="30"/>
        </w:rPr>
        <w:t>；比赛后</w:t>
      </w:r>
      <w:r>
        <w:rPr>
          <w:rFonts w:ascii="Arial Narrow" w:hAnsi="Arial Narrow" w:eastAsia="仿宋_GB2312" w:cs="仿宋_GB2312"/>
          <w:sz w:val="30"/>
          <w:szCs w:val="30"/>
        </w:rPr>
        <w:t>2</w:t>
      </w:r>
      <w:r>
        <w:rPr>
          <w:rFonts w:hint="eastAsia" w:ascii="Arial Narrow" w:hAnsi="Arial Narrow" w:eastAsia="仿宋_GB2312" w:cs="仿宋_GB2312"/>
          <w:sz w:val="30"/>
          <w:szCs w:val="30"/>
        </w:rPr>
        <w:t>小时内公布竞赛成绩，确保比赛公开、公平、公正。</w:t>
      </w:r>
    </w:p>
    <w:p>
      <w:pPr>
        <w:adjustRightInd w:val="0"/>
        <w:snapToGrid w:val="0"/>
        <w:spacing w:line="560" w:lineRule="exact"/>
        <w:ind w:firstLine="600" w:firstLineChars="200"/>
        <w:rPr>
          <w:rFonts w:ascii="仿宋_GB2312" w:eastAsia="仿宋_GB2312" w:cs="仿宋_GB2312"/>
          <w:sz w:val="30"/>
          <w:szCs w:val="30"/>
        </w:rPr>
      </w:pPr>
      <w:r>
        <w:rPr>
          <w:rFonts w:hint="eastAsia" w:ascii="仿宋_GB2312" w:eastAsia="仿宋_GB2312" w:cs="仿宋_GB2312"/>
          <w:sz w:val="30"/>
          <w:szCs w:val="30"/>
        </w:rPr>
        <w:t>（四）竞赛资源的转化亮点纷呈</w:t>
      </w:r>
    </w:p>
    <w:p>
      <w:pPr>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竞赛过程和竞赛资源有利于弘扬中医药文化，促进中药技能的传承与发扬。竞赛资源转化成为专业教学资源，使</w:t>
      </w:r>
      <w:r>
        <w:rPr>
          <w:rFonts w:hint="eastAsia" w:eastAsia="仿宋_GB2312"/>
          <w:sz w:val="30"/>
          <w:szCs w:val="30"/>
        </w:rPr>
        <w:t>大赛标准融入专业实践教学标准</w:t>
      </w:r>
      <w:r>
        <w:rPr>
          <w:rFonts w:hint="eastAsia" w:ascii="仿宋_GB2312" w:eastAsia="仿宋_GB2312" w:cs="仿宋_GB2312"/>
          <w:sz w:val="30"/>
          <w:szCs w:val="30"/>
        </w:rPr>
        <w:t>，促进院校之间“道地药材”、中药伪品、中药饮片等互换交流</w:t>
      </w:r>
      <w:r>
        <w:rPr>
          <w:rFonts w:hint="eastAsia" w:eastAsia="仿宋_GB2312"/>
          <w:sz w:val="30"/>
          <w:szCs w:val="30"/>
        </w:rPr>
        <w:t>；</w:t>
      </w:r>
      <w:r>
        <w:rPr>
          <w:rFonts w:hint="eastAsia" w:ascii="仿宋_GB2312" w:eastAsia="仿宋_GB2312" w:cs="仿宋_GB2312"/>
          <w:sz w:val="30"/>
          <w:szCs w:val="30"/>
        </w:rPr>
        <w:t>转化成为数字教学资源，使中药学专业教学资源库</w:t>
      </w:r>
      <w:r>
        <w:rPr>
          <w:rFonts w:hint="eastAsia" w:ascii="仿宋_GB2312" w:eastAsia="仿宋_GB2312"/>
          <w:color w:val="000000"/>
          <w:kern w:val="0"/>
          <w:sz w:val="30"/>
          <w:szCs w:val="30"/>
        </w:rPr>
        <w:t>成功入选国家级专业教学资源库；</w:t>
      </w:r>
      <w:r>
        <w:rPr>
          <w:rFonts w:hint="eastAsia" w:ascii="仿宋_GB2312" w:eastAsia="仿宋_GB2312" w:cs="仿宋_GB2312"/>
          <w:sz w:val="30"/>
          <w:szCs w:val="30"/>
        </w:rPr>
        <w:t>竞赛资源</w:t>
      </w:r>
      <w:r>
        <w:rPr>
          <w:rFonts w:hint="eastAsia" w:ascii="仿宋_GB2312" w:eastAsia="仿宋_GB2312"/>
          <w:color w:val="000000"/>
          <w:kern w:val="0"/>
          <w:sz w:val="30"/>
          <w:szCs w:val="30"/>
        </w:rPr>
        <w:t>促进了工学结合的教材建设，把中药传统技能和职业素养融合到教材内容中；</w:t>
      </w:r>
      <w:r>
        <w:rPr>
          <w:rFonts w:hint="eastAsia" w:ascii="仿宋_GB2312" w:eastAsia="仿宋_GB2312" w:cs="仿宋_GB2312"/>
          <w:sz w:val="30"/>
          <w:szCs w:val="30"/>
        </w:rPr>
        <w:t>竞赛资源</w:t>
      </w:r>
      <w:r>
        <w:rPr>
          <w:rFonts w:hint="eastAsia" w:ascii="仿宋_GB2312" w:eastAsia="仿宋_GB2312"/>
          <w:color w:val="000000"/>
          <w:kern w:val="0"/>
          <w:sz w:val="30"/>
          <w:szCs w:val="30"/>
        </w:rPr>
        <w:t>为中高职教育搭建了合作交流的平台，促进了中职与高职教育协同发展。</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六、竞赛内容简介（须附英文对照简介）</w:t>
      </w:r>
    </w:p>
    <w:p>
      <w:pPr>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比赛为个人赛，参赛选手须完成中药性状鉴别（中药识别与真伪鉴别）、中药显微鉴别、中药调剂（含审方理论考试）和中药炮制四项比赛任务。中药性状鉴别从</w:t>
      </w:r>
      <w:r>
        <w:rPr>
          <w:rFonts w:ascii="仿宋_GB2312" w:eastAsia="仿宋_GB2312" w:cs="仿宋_GB2312"/>
          <w:sz w:val="30"/>
          <w:szCs w:val="30"/>
        </w:rPr>
        <w:t>350</w:t>
      </w:r>
      <w:r>
        <w:rPr>
          <w:rFonts w:hint="eastAsia" w:ascii="仿宋_GB2312" w:eastAsia="仿宋_GB2312" w:cs="仿宋_GB2312"/>
          <w:sz w:val="30"/>
          <w:szCs w:val="30"/>
        </w:rPr>
        <w:t>味中药中选取</w:t>
      </w:r>
      <w:r>
        <w:rPr>
          <w:rFonts w:ascii="仿宋_GB2312" w:eastAsia="仿宋_GB2312" w:cs="仿宋_GB2312"/>
          <w:sz w:val="30"/>
          <w:szCs w:val="30"/>
        </w:rPr>
        <w:t>20</w:t>
      </w:r>
      <w:r>
        <w:rPr>
          <w:rFonts w:hint="eastAsia" w:ascii="仿宋_GB2312" w:eastAsia="仿宋_GB2312" w:cs="仿宋_GB2312"/>
          <w:sz w:val="30"/>
          <w:szCs w:val="30"/>
        </w:rPr>
        <w:t>味比赛，中药真伪鉴别从</w:t>
      </w:r>
      <w:r>
        <w:rPr>
          <w:rFonts w:ascii="仿宋_GB2312" w:eastAsia="仿宋_GB2312" w:cs="仿宋_GB2312"/>
          <w:sz w:val="30"/>
          <w:szCs w:val="30"/>
        </w:rPr>
        <w:t>80</w:t>
      </w:r>
      <w:r>
        <w:rPr>
          <w:rFonts w:hint="eastAsia" w:ascii="仿宋_GB2312" w:eastAsia="仿宋_GB2312" w:cs="仿宋_GB2312"/>
          <w:sz w:val="30"/>
          <w:szCs w:val="30"/>
        </w:rPr>
        <w:t>味中药中选取</w:t>
      </w:r>
      <w:r>
        <w:rPr>
          <w:rFonts w:ascii="仿宋_GB2312" w:eastAsia="仿宋_GB2312" w:cs="仿宋_GB2312"/>
          <w:sz w:val="30"/>
          <w:szCs w:val="30"/>
        </w:rPr>
        <w:t>10</w:t>
      </w:r>
      <w:r>
        <w:rPr>
          <w:rFonts w:hint="eastAsia" w:ascii="仿宋_GB2312" w:eastAsia="仿宋_GB2312" w:cs="仿宋_GB2312"/>
          <w:sz w:val="30"/>
          <w:szCs w:val="30"/>
        </w:rPr>
        <w:t>味比赛，中药显微鉴别从</w:t>
      </w:r>
      <w:r>
        <w:rPr>
          <w:rFonts w:ascii="仿宋_GB2312" w:eastAsia="仿宋_GB2312" w:cs="仿宋_GB2312"/>
          <w:sz w:val="30"/>
          <w:szCs w:val="30"/>
        </w:rPr>
        <w:t>30</w:t>
      </w:r>
      <w:r>
        <w:rPr>
          <w:rFonts w:hint="eastAsia" w:ascii="仿宋_GB2312" w:eastAsia="仿宋_GB2312" w:cs="仿宋_GB2312"/>
          <w:sz w:val="30"/>
          <w:szCs w:val="30"/>
        </w:rPr>
        <w:t>味中药中选取</w:t>
      </w:r>
      <w:r>
        <w:rPr>
          <w:rFonts w:ascii="仿宋_GB2312" w:eastAsia="仿宋_GB2312" w:cs="仿宋_GB2312"/>
          <w:sz w:val="30"/>
          <w:szCs w:val="30"/>
        </w:rPr>
        <w:t>2</w:t>
      </w:r>
      <w:r>
        <w:rPr>
          <w:rFonts w:hint="eastAsia" w:ascii="仿宋_GB2312" w:eastAsia="仿宋_GB2312" w:cs="仿宋_GB2312"/>
          <w:sz w:val="30"/>
          <w:szCs w:val="30"/>
        </w:rPr>
        <w:t>味比赛，中药调剂比赛从</w:t>
      </w:r>
      <w:r>
        <w:rPr>
          <w:rFonts w:ascii="仿宋_GB2312" w:eastAsia="仿宋_GB2312" w:cs="仿宋_GB2312"/>
          <w:sz w:val="30"/>
          <w:szCs w:val="30"/>
        </w:rPr>
        <w:t>350</w:t>
      </w:r>
      <w:r>
        <w:rPr>
          <w:rFonts w:hint="eastAsia" w:ascii="仿宋_GB2312" w:eastAsia="仿宋_GB2312" w:cs="仿宋_GB2312"/>
          <w:sz w:val="30"/>
          <w:szCs w:val="30"/>
        </w:rPr>
        <w:t>味中药饮片中选取</w:t>
      </w:r>
      <w:r>
        <w:rPr>
          <w:rFonts w:ascii="仿宋_GB2312" w:eastAsia="仿宋_GB2312" w:cs="仿宋_GB2312"/>
          <w:sz w:val="30"/>
          <w:szCs w:val="30"/>
        </w:rPr>
        <w:t>10</w:t>
      </w:r>
      <w:r>
        <w:rPr>
          <w:rFonts w:hint="eastAsia" w:ascii="仿宋_GB2312" w:eastAsia="仿宋_GB2312" w:cs="仿宋_GB2312"/>
          <w:sz w:val="30"/>
          <w:szCs w:val="30"/>
        </w:rPr>
        <w:t>味处方饮片比赛，中药炮制从</w:t>
      </w:r>
      <w:r>
        <w:rPr>
          <w:rFonts w:ascii="仿宋_GB2312" w:eastAsia="仿宋_GB2312" w:cs="仿宋_GB2312"/>
          <w:sz w:val="30"/>
          <w:szCs w:val="30"/>
        </w:rPr>
        <w:t>3</w:t>
      </w:r>
      <w:r>
        <w:rPr>
          <w:rFonts w:hint="eastAsia" w:ascii="仿宋_GB2312" w:eastAsia="仿宋_GB2312" w:cs="仿宋_GB2312"/>
          <w:sz w:val="30"/>
          <w:szCs w:val="30"/>
        </w:rPr>
        <w:t>9味中药饮片中选取</w:t>
      </w:r>
      <w:r>
        <w:rPr>
          <w:rFonts w:ascii="仿宋_GB2312" w:eastAsia="仿宋_GB2312" w:cs="仿宋_GB2312"/>
          <w:sz w:val="30"/>
          <w:szCs w:val="30"/>
        </w:rPr>
        <w:t>2</w:t>
      </w:r>
      <w:r>
        <w:rPr>
          <w:rFonts w:hint="eastAsia" w:ascii="仿宋_GB2312" w:eastAsia="仿宋_GB2312" w:cs="仿宋_GB2312"/>
          <w:sz w:val="30"/>
          <w:szCs w:val="30"/>
        </w:rPr>
        <w:t>味比赛。</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组队要求：每省</w:t>
      </w:r>
      <w:r>
        <w:rPr>
          <w:rFonts w:ascii="仿宋_GB2312" w:eastAsia="仿宋_GB2312" w:cs="仿宋_GB2312"/>
          <w:sz w:val="30"/>
          <w:szCs w:val="30"/>
        </w:rPr>
        <w:t>1</w:t>
      </w:r>
      <w:r>
        <w:rPr>
          <w:rFonts w:hint="eastAsia" w:ascii="仿宋_GB2312" w:eastAsia="仿宋_GB2312" w:cs="仿宋_GB2312"/>
          <w:sz w:val="30"/>
          <w:szCs w:val="30"/>
        </w:rPr>
        <w:t>支参赛队，</w:t>
      </w:r>
      <w:r>
        <w:rPr>
          <w:rFonts w:ascii="仿宋_GB2312" w:eastAsia="仿宋_GB2312" w:cs="仿宋_GB2312"/>
          <w:sz w:val="30"/>
          <w:szCs w:val="30"/>
        </w:rPr>
        <w:t>1</w:t>
      </w:r>
      <w:r>
        <w:rPr>
          <w:rFonts w:hint="eastAsia" w:ascii="仿宋_GB2312" w:eastAsia="仿宋_GB2312" w:cs="仿宋_GB2312"/>
          <w:sz w:val="30"/>
          <w:szCs w:val="30"/>
        </w:rPr>
        <w:t>名领队，每队选手名额由大赛执委会确定，每名参赛选手确定1名指导教师。</w:t>
      </w:r>
    </w:p>
    <w:p>
      <w:pPr>
        <w:spacing w:line="360" w:lineRule="auto"/>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The contest is an individual game. The contestants are required to complete all the four tasks including Chinese medicine character and authenticity identification, microscopic identification of traditional Chinese medicine, Chinese medicine dispensing (including prescriptions theory examination) and processing of traditional Chinese medicine. 20 pieces of medicines are selected from 350 for the contest of Chinese medicine character identification; 10 pieces of medicines are selected from 80 for the contest of authenticity identification; 2 pieces of medicines are selected from 30 for the contest of microscopic identification; 10 pieces of medicines are selected from 350 for the contest of Chinese medicine dispensing; 2 pieces of medicines are selected from 39 for the contest of processing.</w:t>
      </w:r>
    </w:p>
    <w:p>
      <w:pPr>
        <w:spacing w:line="360" w:lineRule="auto"/>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Team requirements: one team from every province consisting of one team leader and some contestants and instructional teachers, the number of whom is to be confirmed by the executive committee.</w:t>
      </w:r>
    </w:p>
    <w:p>
      <w:pPr>
        <w:spacing w:line="360" w:lineRule="auto"/>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Location: Yantai, Shandong Province</w:t>
      </w:r>
    </w:p>
    <w:p>
      <w:pPr>
        <w:spacing w:line="360" w:lineRule="auto"/>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Time: Late May, 2019 (to be confirmed)  </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七、竞赛方式（含组队要求、是否邀请境外代表队参赛）</w:t>
      </w:r>
    </w:p>
    <w:p>
      <w:pPr>
        <w:adjustRightInd w:val="0"/>
        <w:snapToGrid w:val="0"/>
        <w:spacing w:line="560" w:lineRule="exact"/>
        <w:ind w:firstLine="450" w:firstLineChars="150"/>
        <w:rPr>
          <w:rFonts w:ascii="仿宋_GB2312" w:hAnsi="仿宋" w:eastAsia="仿宋_GB2312" w:cs="仿宋"/>
          <w:color w:val="000000"/>
          <w:sz w:val="30"/>
          <w:szCs w:val="30"/>
          <w:lang w:val="zh-CN"/>
        </w:rPr>
      </w:pPr>
      <w:bookmarkStart w:id="0" w:name="_Toc513563327"/>
      <w:r>
        <w:rPr>
          <w:rFonts w:hint="eastAsia" w:ascii="仿宋_GB2312" w:hAnsi="仿宋" w:eastAsia="仿宋_GB2312" w:cs="仿宋"/>
          <w:color w:val="000000"/>
          <w:sz w:val="30"/>
          <w:szCs w:val="30"/>
          <w:lang w:val="zh-CN"/>
        </w:rPr>
        <w:t>（一）竞赛形式</w:t>
      </w:r>
      <w:bookmarkEnd w:id="0"/>
    </w:p>
    <w:p>
      <w:pPr>
        <w:adjustRightInd w:val="0"/>
        <w:snapToGrid w:val="0"/>
        <w:spacing w:line="560" w:lineRule="exact"/>
        <w:ind w:firstLine="600" w:firstLineChars="200"/>
        <w:rPr>
          <w:rFonts w:ascii="仿宋_GB2312" w:eastAsia="仿宋_GB2312" w:cs="仿宋_GB2312"/>
          <w:color w:val="000000"/>
          <w:sz w:val="30"/>
          <w:szCs w:val="30"/>
        </w:rPr>
      </w:pPr>
      <w:r>
        <w:rPr>
          <w:rFonts w:hint="eastAsia" w:ascii="仿宋_GB2312" w:eastAsia="仿宋_GB2312" w:cs="仿宋_GB2312"/>
          <w:color w:val="000000"/>
          <w:sz w:val="30"/>
          <w:szCs w:val="30"/>
        </w:rPr>
        <w:t>比赛只设个人赛，不设团体赛。</w:t>
      </w:r>
      <w:r>
        <w:rPr>
          <w:rFonts w:hint="eastAsia" w:ascii="仿宋_GB2312" w:eastAsia="仿宋_GB2312" w:cs="仿宋_GB2312"/>
          <w:sz w:val="30"/>
          <w:szCs w:val="30"/>
        </w:rPr>
        <w:t>竞赛方式包括实践操作和计算机答卷两种形式。</w:t>
      </w:r>
      <w:r>
        <w:rPr>
          <w:rFonts w:hint="eastAsia" w:ascii="仿宋_GB2312" w:eastAsia="仿宋_GB2312" w:cs="仿宋_GB2312"/>
          <w:color w:val="000000"/>
          <w:sz w:val="30"/>
          <w:szCs w:val="30"/>
        </w:rPr>
        <w:t>参赛选手需独立完成所有竞赛项目和内容。</w:t>
      </w:r>
    </w:p>
    <w:p>
      <w:pPr>
        <w:adjustRightInd w:val="0"/>
        <w:snapToGrid w:val="0"/>
        <w:spacing w:line="560" w:lineRule="exact"/>
        <w:ind w:firstLine="450" w:firstLineChars="150"/>
        <w:rPr>
          <w:rFonts w:ascii="仿宋_GB2312" w:hAnsi="仿宋" w:eastAsia="仿宋_GB2312" w:cs="仿宋"/>
          <w:color w:val="000000"/>
          <w:sz w:val="30"/>
          <w:szCs w:val="30"/>
          <w:lang w:val="zh-CN"/>
        </w:rPr>
      </w:pPr>
      <w:bookmarkStart w:id="1" w:name="_Toc513563328"/>
      <w:r>
        <w:rPr>
          <w:rFonts w:hint="eastAsia" w:ascii="仿宋_GB2312" w:hAnsi="仿宋" w:eastAsia="仿宋_GB2312" w:cs="仿宋"/>
          <w:color w:val="000000"/>
          <w:sz w:val="30"/>
          <w:szCs w:val="30"/>
          <w:lang w:val="zh-CN"/>
        </w:rPr>
        <w:t>（二）组队方式</w:t>
      </w:r>
      <w:bookmarkEnd w:id="1"/>
    </w:p>
    <w:p>
      <w:pPr>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按所在</w:t>
      </w:r>
      <w:r>
        <w:rPr>
          <w:rFonts w:ascii="仿宋_GB2312" w:eastAsia="仿宋_GB2312" w:cs="仿宋_GB2312"/>
          <w:sz w:val="30"/>
          <w:szCs w:val="30"/>
        </w:rPr>
        <w:t>省</w:t>
      </w:r>
      <w:r>
        <w:rPr>
          <w:rFonts w:hint="eastAsia" w:ascii="仿宋_GB2312" w:eastAsia="仿宋_GB2312" w:cs="仿宋_GB2312"/>
          <w:sz w:val="30"/>
          <w:szCs w:val="30"/>
        </w:rPr>
        <w:t>、自治区、直辖市组</w:t>
      </w:r>
      <w:r>
        <w:rPr>
          <w:rFonts w:ascii="仿宋_GB2312" w:eastAsia="仿宋_GB2312" w:cs="仿宋_GB2312"/>
          <w:sz w:val="30"/>
          <w:szCs w:val="30"/>
        </w:rPr>
        <w:t>队</w:t>
      </w:r>
      <w:r>
        <w:rPr>
          <w:rFonts w:hint="eastAsia" w:ascii="仿宋_GB2312" w:eastAsia="仿宋_GB2312" w:cs="仿宋_GB2312"/>
          <w:sz w:val="30"/>
          <w:szCs w:val="30"/>
        </w:rPr>
        <w:t>参加竞赛。组队方式按照《全国职业院校技能大赛参赛报名办法》，开展院校层面选拔→省级选拔，依据选拔赛成绩，按照优中选优的原则，于</w:t>
      </w:r>
      <w:r>
        <w:rPr>
          <w:rFonts w:ascii="仿宋_GB2312" w:eastAsia="仿宋_GB2312" w:cs="仿宋_GB2312"/>
          <w:sz w:val="30"/>
          <w:szCs w:val="30"/>
        </w:rPr>
        <w:t>201</w:t>
      </w:r>
      <w:r>
        <w:rPr>
          <w:rFonts w:hint="eastAsia" w:ascii="仿宋_GB2312" w:eastAsia="仿宋_GB2312" w:cs="仿宋_GB2312"/>
          <w:sz w:val="30"/>
          <w:szCs w:val="30"/>
        </w:rPr>
        <w:t>9年</w:t>
      </w:r>
      <w:r>
        <w:rPr>
          <w:rFonts w:ascii="仿宋_GB2312" w:eastAsia="仿宋_GB2312" w:cs="仿宋_GB2312"/>
          <w:sz w:val="30"/>
          <w:szCs w:val="30"/>
        </w:rPr>
        <w:t>4</w:t>
      </w:r>
      <w:r>
        <w:rPr>
          <w:rFonts w:hint="eastAsia" w:ascii="仿宋_GB2312" w:eastAsia="仿宋_GB2312" w:cs="仿宋_GB2312"/>
          <w:sz w:val="30"/>
          <w:szCs w:val="30"/>
        </w:rPr>
        <w:t>月</w:t>
      </w:r>
      <w:r>
        <w:rPr>
          <w:rFonts w:ascii="仿宋_GB2312" w:eastAsia="仿宋_GB2312" w:cs="仿宋_GB2312"/>
          <w:sz w:val="30"/>
          <w:szCs w:val="30"/>
        </w:rPr>
        <w:t>10</w:t>
      </w:r>
      <w:r>
        <w:rPr>
          <w:rFonts w:hint="eastAsia" w:ascii="仿宋_GB2312" w:eastAsia="仿宋_GB2312" w:cs="仿宋_GB2312"/>
          <w:sz w:val="30"/>
          <w:szCs w:val="30"/>
        </w:rPr>
        <w:t>号前确定本省（自治区、直辖市）代表队，每个代表队参赛选手名额由大赛执委会确定。不得出现参赛名额分配的情形，同一院校参赛选手不得超过</w:t>
      </w:r>
      <w:r>
        <w:rPr>
          <w:rFonts w:ascii="仿宋_GB2312" w:eastAsia="仿宋_GB2312" w:cs="仿宋_GB2312"/>
          <w:sz w:val="30"/>
          <w:szCs w:val="30"/>
        </w:rPr>
        <w:t>2</w:t>
      </w:r>
      <w:r>
        <w:rPr>
          <w:rFonts w:hint="eastAsia" w:ascii="仿宋_GB2312" w:eastAsia="仿宋_GB2312" w:cs="仿宋_GB2312"/>
          <w:sz w:val="30"/>
          <w:szCs w:val="30"/>
        </w:rPr>
        <w:t>名。参赛选手应符合大赛执委会规定的条件要求，指导教师需经报名并通过资格审查后确定。</w:t>
      </w:r>
    </w:p>
    <w:p>
      <w:pPr>
        <w:adjustRightInd w:val="0"/>
        <w:snapToGrid w:val="0"/>
        <w:spacing w:line="560" w:lineRule="exact"/>
        <w:ind w:firstLine="450" w:firstLineChars="150"/>
        <w:rPr>
          <w:rFonts w:ascii="仿宋_GB2312" w:hAnsi="仿宋" w:eastAsia="仿宋_GB2312" w:cs="仿宋"/>
          <w:color w:val="000000"/>
          <w:sz w:val="30"/>
          <w:szCs w:val="30"/>
          <w:lang w:val="zh-CN"/>
        </w:rPr>
      </w:pPr>
      <w:r>
        <w:rPr>
          <w:rFonts w:hint="eastAsia" w:ascii="仿宋_GB2312" w:hAnsi="仿宋" w:eastAsia="仿宋_GB2312" w:cs="仿宋"/>
          <w:color w:val="000000"/>
          <w:sz w:val="30"/>
          <w:szCs w:val="30"/>
          <w:lang w:val="zh-CN"/>
        </w:rPr>
        <w:t>（三）境外组队参观</w:t>
      </w:r>
    </w:p>
    <w:p>
      <w:pPr>
        <w:widowControl/>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本次大赛拟邀请台湾、俄罗斯等与中医药相关的学校组队参观交流。</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八、竞赛时间安排与流程</w:t>
      </w:r>
    </w:p>
    <w:p>
      <w:pPr>
        <w:snapToGrid w:val="0"/>
        <w:spacing w:line="560" w:lineRule="exact"/>
        <w:ind w:firstLine="600" w:firstLineChars="200"/>
        <w:rPr>
          <w:rFonts w:ascii="Arial Narrow" w:hAnsi="Arial Narrow" w:eastAsia="仿宋_GB2312" w:cs="仿宋_GB2312"/>
          <w:sz w:val="30"/>
          <w:szCs w:val="30"/>
        </w:rPr>
      </w:pPr>
      <w:r>
        <w:rPr>
          <w:rFonts w:hint="eastAsia" w:ascii="Arial Narrow" w:hAnsi="Arial Narrow" w:eastAsia="仿宋_GB2312" w:cs="仿宋_GB2312"/>
          <w:sz w:val="30"/>
          <w:szCs w:val="30"/>
        </w:rPr>
        <w:t>赛前报到</w:t>
      </w:r>
      <w:r>
        <w:rPr>
          <w:rFonts w:ascii="Arial Narrow" w:hAnsi="Arial Narrow" w:eastAsia="仿宋_GB2312" w:cs="Arial Narrow"/>
          <w:sz w:val="30"/>
          <w:szCs w:val="30"/>
        </w:rPr>
        <w:t>1</w:t>
      </w:r>
      <w:r>
        <w:rPr>
          <w:rFonts w:hint="eastAsia" w:ascii="Arial Narrow" w:hAnsi="Arial Narrow" w:eastAsia="仿宋_GB2312" w:cs="仿宋_GB2312"/>
          <w:sz w:val="30"/>
          <w:szCs w:val="30"/>
        </w:rPr>
        <w:t>天，裁判培训</w:t>
      </w:r>
      <w:r>
        <w:rPr>
          <w:rFonts w:ascii="Arial Narrow" w:hAnsi="Arial Narrow" w:eastAsia="仿宋_GB2312" w:cs="Arial Narrow"/>
          <w:sz w:val="30"/>
          <w:szCs w:val="30"/>
        </w:rPr>
        <w:t>1</w:t>
      </w:r>
      <w:r>
        <w:rPr>
          <w:rFonts w:hint="eastAsia" w:ascii="Arial Narrow" w:hAnsi="Arial Narrow" w:eastAsia="仿宋_GB2312" w:cs="仿宋_GB2312"/>
          <w:sz w:val="30"/>
          <w:szCs w:val="30"/>
        </w:rPr>
        <w:t>天，赛程安排</w:t>
      </w:r>
      <w:r>
        <w:rPr>
          <w:rFonts w:ascii="Arial Narrow" w:hAnsi="Arial Narrow" w:eastAsia="仿宋_GB2312" w:cs="Arial Narrow"/>
          <w:sz w:val="30"/>
          <w:szCs w:val="30"/>
        </w:rPr>
        <w:t>2</w:t>
      </w:r>
      <w:r>
        <w:rPr>
          <w:rFonts w:hint="eastAsia" w:ascii="Arial Narrow" w:hAnsi="Arial Narrow" w:eastAsia="仿宋_GB2312" w:cs="仿宋_GB2312"/>
          <w:sz w:val="30"/>
          <w:szCs w:val="30"/>
        </w:rPr>
        <w:t>天。</w:t>
      </w:r>
    </w:p>
    <w:p>
      <w:pPr>
        <w:snapToGrid w:val="0"/>
        <w:spacing w:line="560" w:lineRule="exact"/>
        <w:ind w:firstLine="600" w:firstLineChars="200"/>
        <w:rPr>
          <w:rFonts w:ascii="Arial Narrow" w:hAnsi="Arial Narrow" w:eastAsia="仿宋_GB2312" w:cs="仿宋_GB2312"/>
          <w:sz w:val="30"/>
          <w:szCs w:val="30"/>
        </w:rPr>
      </w:pPr>
      <w:r>
        <w:rPr>
          <w:rFonts w:hint="eastAsia" w:ascii="Arial Narrow" w:hAnsi="Arial Narrow" w:eastAsia="仿宋_GB2312" w:cs="仿宋_GB2312"/>
          <w:sz w:val="30"/>
          <w:szCs w:val="30"/>
        </w:rPr>
        <w:t>具体流程为：</w:t>
      </w:r>
    </w:p>
    <w:p>
      <w:pPr>
        <w:snapToGrid w:val="0"/>
        <w:spacing w:line="560" w:lineRule="exact"/>
        <w:ind w:firstLine="900" w:firstLineChars="300"/>
        <w:rPr>
          <w:rFonts w:ascii="Arial Narrow" w:hAnsi="Arial Narrow" w:eastAsia="仿宋_GB2312" w:cs="仿宋_GB2312"/>
          <w:sz w:val="30"/>
          <w:szCs w:val="30"/>
        </w:rPr>
      </w:pPr>
      <w:r>
        <w:rPr>
          <w:rFonts w:hint="eastAsia" w:ascii="Arial Narrow" w:hAnsi="Arial Narrow" w:eastAsia="仿宋_GB2312" w:cs="仿宋_GB2312"/>
          <w:sz w:val="30"/>
          <w:szCs w:val="30"/>
        </w:rPr>
        <w:t>第一天：裁判报到→裁判会议→现场培训。</w:t>
      </w:r>
    </w:p>
    <w:p>
      <w:pPr>
        <w:snapToGrid w:val="0"/>
        <w:spacing w:line="560" w:lineRule="exact"/>
        <w:ind w:firstLine="900" w:firstLineChars="300"/>
        <w:rPr>
          <w:rFonts w:ascii="Arial Narrow" w:hAnsi="Arial Narrow" w:eastAsia="仿宋_GB2312" w:cs="仿宋_GB2312"/>
          <w:sz w:val="30"/>
          <w:szCs w:val="30"/>
        </w:rPr>
      </w:pPr>
      <w:r>
        <w:rPr>
          <w:rFonts w:hint="eastAsia" w:ascii="Arial Narrow" w:hAnsi="Arial Narrow" w:eastAsia="仿宋_GB2312" w:cs="仿宋_GB2312"/>
          <w:sz w:val="30"/>
          <w:szCs w:val="30"/>
        </w:rPr>
        <w:t>第二天：参赛队报到→领队会议→选手熟悉现场。</w:t>
      </w:r>
    </w:p>
    <w:p>
      <w:pPr>
        <w:snapToGrid w:val="0"/>
        <w:spacing w:line="560" w:lineRule="exact"/>
        <w:ind w:firstLine="900" w:firstLineChars="300"/>
        <w:rPr>
          <w:rFonts w:ascii="Arial Narrow" w:hAnsi="Arial Narrow" w:eastAsia="仿宋_GB2312" w:cs="仿宋_GB2312"/>
          <w:sz w:val="30"/>
          <w:szCs w:val="30"/>
        </w:rPr>
      </w:pPr>
      <w:r>
        <w:rPr>
          <w:rFonts w:hint="eastAsia" w:ascii="Arial Narrow" w:hAnsi="Arial Narrow" w:eastAsia="仿宋_GB2312" w:cs="仿宋_GB2312"/>
          <w:sz w:val="30"/>
          <w:szCs w:val="30"/>
        </w:rPr>
        <w:t>第三、四天：竞赛开幕式→项目竞赛→赛项</w:t>
      </w:r>
      <w:r>
        <w:rPr>
          <w:rFonts w:ascii="Arial Narrow" w:hAnsi="Arial Narrow" w:eastAsia="仿宋_GB2312" w:cs="仿宋_GB2312"/>
          <w:sz w:val="30"/>
          <w:szCs w:val="30"/>
        </w:rPr>
        <w:t>评价</w:t>
      </w:r>
      <w:r>
        <w:rPr>
          <w:rFonts w:hint="eastAsia" w:ascii="Arial Narrow" w:hAnsi="Arial Narrow" w:eastAsia="仿宋_GB2312" w:cs="仿宋_GB2312"/>
          <w:sz w:val="30"/>
          <w:szCs w:val="30"/>
        </w:rPr>
        <w:t>→闭幕式（技术点评与成绩公布）。</w:t>
      </w:r>
    </w:p>
    <w:p>
      <w:pPr>
        <w:snapToGrid w:val="0"/>
        <w:spacing w:line="560" w:lineRule="exact"/>
        <w:ind w:firstLine="600" w:firstLineChars="200"/>
        <w:rPr>
          <w:rFonts w:ascii="仿宋_GB2312" w:hAnsi="Arial Narrow" w:eastAsia="仿宋_GB2312" w:cs="Times New Roman"/>
          <w:sz w:val="30"/>
          <w:szCs w:val="30"/>
        </w:rPr>
      </w:pPr>
      <w:r>
        <w:rPr>
          <w:rFonts w:hint="eastAsia" w:ascii="Arial Narrow" w:hAnsi="Arial Narrow" w:eastAsia="仿宋_GB2312" w:cs="仿宋_GB2312"/>
          <w:sz w:val="30"/>
          <w:szCs w:val="30"/>
        </w:rPr>
        <w:t>参赛选手的四个子项目的比赛顺序由领队会议抽签确定。每一个子项目竞赛选手的比赛顺序、比赛工位号由赛前两次加密抽签决定。</w:t>
      </w:r>
      <w:r>
        <w:rPr>
          <w:rFonts w:hint="eastAsia" w:ascii="仿宋_GB2312" w:hAnsi="Arial Narrow" w:eastAsia="仿宋_GB2312" w:cs="仿宋_GB2312"/>
          <w:sz w:val="30"/>
          <w:szCs w:val="30"/>
        </w:rPr>
        <w:t>竞赛日程具体安排见表</w:t>
      </w:r>
      <w:r>
        <w:rPr>
          <w:rFonts w:ascii="仿宋_GB2312" w:hAnsi="Arial Narrow" w:eastAsia="仿宋_GB2312" w:cs="仿宋_GB2312"/>
          <w:sz w:val="30"/>
          <w:szCs w:val="30"/>
        </w:rPr>
        <w:t>1</w:t>
      </w:r>
      <w:r>
        <w:rPr>
          <w:rFonts w:hint="eastAsia" w:ascii="仿宋_GB2312" w:hAnsi="Arial Narrow" w:eastAsia="仿宋_GB2312" w:cs="仿宋_GB2312"/>
          <w:sz w:val="30"/>
          <w:szCs w:val="30"/>
        </w:rPr>
        <w:t>，竞赛项目运行安排见表</w:t>
      </w:r>
      <w:r>
        <w:rPr>
          <w:rFonts w:ascii="仿宋_GB2312" w:hAnsi="Arial Narrow" w:eastAsia="仿宋_GB2312" w:cs="仿宋_GB2312"/>
          <w:sz w:val="30"/>
          <w:szCs w:val="30"/>
        </w:rPr>
        <w:t>2</w:t>
      </w:r>
      <w:r>
        <w:rPr>
          <w:rFonts w:hint="eastAsia" w:ascii="仿宋_GB2312" w:hAnsi="Arial Narrow" w:eastAsia="仿宋_GB2312" w:cs="仿宋_GB2312"/>
          <w:sz w:val="30"/>
          <w:szCs w:val="30"/>
        </w:rPr>
        <w:t>。</w:t>
      </w:r>
    </w:p>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表1  赛项日程安排</w:t>
      </w:r>
    </w:p>
    <w:tbl>
      <w:tblPr>
        <w:tblStyle w:val="14"/>
        <w:tblW w:w="8771" w:type="dxa"/>
        <w:tblInd w:w="-1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9"/>
        <w:gridCol w:w="1843"/>
        <w:gridCol w:w="2976"/>
        <w:gridCol w:w="2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Align w:val="center"/>
          </w:tcPr>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日期</w:t>
            </w:r>
          </w:p>
        </w:tc>
        <w:tc>
          <w:tcPr>
            <w:tcW w:w="1843" w:type="dxa"/>
            <w:vAlign w:val="center"/>
          </w:tcPr>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时间</w:t>
            </w:r>
          </w:p>
        </w:tc>
        <w:tc>
          <w:tcPr>
            <w:tcW w:w="2976" w:type="dxa"/>
            <w:vAlign w:val="center"/>
          </w:tcPr>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项目</w:t>
            </w:r>
          </w:p>
        </w:tc>
        <w:tc>
          <w:tcPr>
            <w:tcW w:w="2843" w:type="dxa"/>
            <w:vAlign w:val="center"/>
          </w:tcPr>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1" w:hRule="atLeast"/>
        </w:trPr>
        <w:tc>
          <w:tcPr>
            <w:tcW w:w="1109" w:type="dxa"/>
            <w:vAlign w:val="center"/>
          </w:tcPr>
          <w:p>
            <w:pPr>
              <w:adjustRightInd w:val="0"/>
              <w:snapToGrid w:val="0"/>
              <w:jc w:val="lef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第一天</w:t>
            </w:r>
          </w:p>
        </w:tc>
        <w:tc>
          <w:tcPr>
            <w:tcW w:w="1843" w:type="dxa"/>
            <w:vAlign w:val="center"/>
          </w:tcPr>
          <w:p>
            <w:pPr>
              <w:adjustRightInd w:val="0"/>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全天</w:t>
            </w:r>
          </w:p>
        </w:tc>
        <w:tc>
          <w:tcPr>
            <w:tcW w:w="29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裁判报到</w:t>
            </w:r>
          </w:p>
        </w:tc>
        <w:tc>
          <w:tcPr>
            <w:tcW w:w="2843" w:type="dxa"/>
            <w:vAlign w:val="center"/>
          </w:tcPr>
          <w:p>
            <w:pPr>
              <w:adjustRightInd w:val="0"/>
              <w:snapToGrid w:val="0"/>
              <w:rPr>
                <w:rFonts w:asciiTheme="minorEastAsia" w:hAnsiTheme="minorEastAsia" w:eastAsiaTheme="minorEastAsia"/>
                <w:bCs/>
                <w:sz w:val="24"/>
                <w:szCs w:val="24"/>
              </w:rPr>
            </w:pPr>
            <w:r>
              <w:rPr>
                <w:rFonts w:hint="eastAsia" w:asciiTheme="minorEastAsia" w:hAnsiTheme="minorEastAsia" w:eastAsiaTheme="minorEastAsia"/>
                <w:bCs/>
                <w:sz w:val="24"/>
                <w:szCs w:val="24"/>
              </w:rPr>
              <w:t>裁判住宿宾馆大厅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restart"/>
            <w:vAlign w:val="center"/>
          </w:tcPr>
          <w:p>
            <w:pPr>
              <w:adjustRightInd w:val="0"/>
              <w:snapToGrid w:val="0"/>
              <w:jc w:val="lef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第二天</w:t>
            </w:r>
          </w:p>
        </w:tc>
        <w:tc>
          <w:tcPr>
            <w:tcW w:w="1843" w:type="dxa"/>
            <w:vMerge w:val="restart"/>
            <w:vAlign w:val="center"/>
          </w:tcPr>
          <w:p>
            <w:pPr>
              <w:adjustRightInd w:val="0"/>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8:30～15:30</w:t>
            </w:r>
          </w:p>
        </w:tc>
        <w:tc>
          <w:tcPr>
            <w:tcW w:w="2976" w:type="dxa"/>
            <w:vAlign w:val="center"/>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参赛队报到</w:t>
            </w:r>
          </w:p>
        </w:tc>
        <w:tc>
          <w:tcPr>
            <w:tcW w:w="2843" w:type="dxa"/>
            <w:vAlign w:val="center"/>
          </w:tcPr>
          <w:p>
            <w:pPr>
              <w:adjustRightInd w:val="0"/>
              <w:snapToGrid w:val="0"/>
              <w:rPr>
                <w:rFonts w:asciiTheme="minorEastAsia" w:hAnsiTheme="minorEastAsia" w:eastAsiaTheme="minorEastAsia"/>
                <w:sz w:val="24"/>
                <w:szCs w:val="24"/>
              </w:rPr>
            </w:pPr>
            <w:r>
              <w:rPr>
                <w:rFonts w:hint="eastAsia" w:asciiTheme="minorEastAsia" w:hAnsiTheme="minorEastAsia" w:eastAsiaTheme="minorEastAsia"/>
                <w:bCs/>
                <w:sz w:val="24"/>
                <w:szCs w:val="24"/>
              </w:rPr>
              <w:t>参赛队住宿宾馆大厅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continue"/>
            <w:vAlign w:val="center"/>
          </w:tcPr>
          <w:p>
            <w:pPr>
              <w:adjustRightInd w:val="0"/>
              <w:snapToGrid w:val="0"/>
              <w:jc w:val="left"/>
              <w:rPr>
                <w:rFonts w:asciiTheme="minorEastAsia" w:hAnsiTheme="minorEastAsia" w:eastAsiaTheme="minorEastAsia"/>
                <w:b/>
                <w:bCs/>
                <w:sz w:val="24"/>
                <w:szCs w:val="24"/>
              </w:rPr>
            </w:pPr>
          </w:p>
        </w:tc>
        <w:tc>
          <w:tcPr>
            <w:tcW w:w="1843" w:type="dxa"/>
            <w:vMerge w:val="continue"/>
            <w:vAlign w:val="center"/>
          </w:tcPr>
          <w:p>
            <w:pPr>
              <w:adjustRightInd w:val="0"/>
              <w:snapToGrid w:val="0"/>
              <w:jc w:val="center"/>
              <w:rPr>
                <w:rFonts w:asciiTheme="minorEastAsia" w:hAnsiTheme="minorEastAsia" w:eastAsiaTheme="minorEastAsia"/>
                <w:bCs/>
                <w:sz w:val="24"/>
                <w:szCs w:val="24"/>
              </w:rPr>
            </w:pPr>
          </w:p>
        </w:tc>
        <w:tc>
          <w:tcPr>
            <w:tcW w:w="29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裁判会议、集中培训，分项目竞赛现场场地</w:t>
            </w:r>
          </w:p>
        </w:tc>
        <w:tc>
          <w:tcPr>
            <w:tcW w:w="2843"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学校综合楼15楼会议室；</w:t>
            </w:r>
          </w:p>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各竞赛场地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continue"/>
            <w:vAlign w:val="center"/>
          </w:tcPr>
          <w:p>
            <w:pPr>
              <w:adjustRightInd w:val="0"/>
              <w:snapToGrid w:val="0"/>
              <w:jc w:val="left"/>
              <w:rPr>
                <w:rFonts w:asciiTheme="minorEastAsia" w:hAnsiTheme="minorEastAsia" w:eastAsiaTheme="minorEastAsia"/>
                <w:b/>
                <w:bCs/>
                <w:sz w:val="24"/>
                <w:szCs w:val="24"/>
              </w:rPr>
            </w:pPr>
          </w:p>
        </w:tc>
        <w:tc>
          <w:tcPr>
            <w:tcW w:w="1843" w:type="dxa"/>
            <w:vAlign w:val="center"/>
          </w:tcPr>
          <w:p>
            <w:pPr>
              <w:adjustRightInd w:val="0"/>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15:30～16:30</w:t>
            </w:r>
          </w:p>
        </w:tc>
        <w:tc>
          <w:tcPr>
            <w:tcW w:w="29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参赛代表队领队会议，</w:t>
            </w:r>
          </w:p>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领队抽出参赛选手考号</w:t>
            </w:r>
          </w:p>
        </w:tc>
        <w:tc>
          <w:tcPr>
            <w:tcW w:w="2843"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学校综合楼学术报告厅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continue"/>
            <w:vAlign w:val="center"/>
          </w:tcPr>
          <w:p>
            <w:pPr>
              <w:adjustRightInd w:val="0"/>
              <w:snapToGrid w:val="0"/>
              <w:jc w:val="left"/>
              <w:rPr>
                <w:rFonts w:asciiTheme="minorEastAsia" w:hAnsiTheme="minorEastAsia" w:eastAsiaTheme="minorEastAsia"/>
                <w:b/>
                <w:bCs/>
                <w:sz w:val="24"/>
                <w:szCs w:val="24"/>
              </w:rPr>
            </w:pPr>
          </w:p>
        </w:tc>
        <w:tc>
          <w:tcPr>
            <w:tcW w:w="1843" w:type="dxa"/>
            <w:vAlign w:val="center"/>
          </w:tcPr>
          <w:p>
            <w:pPr>
              <w:adjustRightInd w:val="0"/>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15:30～17:00</w:t>
            </w:r>
          </w:p>
        </w:tc>
        <w:tc>
          <w:tcPr>
            <w:tcW w:w="29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参赛选手熟悉赛场</w:t>
            </w:r>
          </w:p>
        </w:tc>
        <w:tc>
          <w:tcPr>
            <w:tcW w:w="2843"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各竞赛场地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restart"/>
            <w:vAlign w:val="center"/>
          </w:tcPr>
          <w:p>
            <w:pPr>
              <w:adjustRightInd w:val="0"/>
              <w:snapToGrid w:val="0"/>
              <w:jc w:val="lef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第三天</w:t>
            </w:r>
          </w:p>
        </w:tc>
        <w:tc>
          <w:tcPr>
            <w:tcW w:w="1843" w:type="dxa"/>
            <w:vAlign w:val="center"/>
          </w:tcPr>
          <w:p>
            <w:pPr>
              <w:adjustRightInd w:val="0"/>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8:00～9:00</w:t>
            </w:r>
          </w:p>
        </w:tc>
        <w:tc>
          <w:tcPr>
            <w:tcW w:w="29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开幕式</w:t>
            </w:r>
          </w:p>
        </w:tc>
        <w:tc>
          <w:tcPr>
            <w:tcW w:w="2843"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学校综合楼学术报告厅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continue"/>
            <w:vAlign w:val="center"/>
          </w:tcPr>
          <w:p>
            <w:pPr>
              <w:adjustRightInd w:val="0"/>
              <w:snapToGrid w:val="0"/>
              <w:jc w:val="left"/>
              <w:rPr>
                <w:rFonts w:asciiTheme="minorEastAsia" w:hAnsiTheme="minorEastAsia" w:eastAsiaTheme="minorEastAsia"/>
                <w:b/>
                <w:bCs/>
                <w:sz w:val="24"/>
                <w:szCs w:val="24"/>
              </w:rPr>
            </w:pPr>
          </w:p>
        </w:tc>
        <w:tc>
          <w:tcPr>
            <w:tcW w:w="1843" w:type="dxa"/>
            <w:vAlign w:val="center"/>
          </w:tcPr>
          <w:p>
            <w:pPr>
              <w:adjustRightInd w:val="0"/>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9:30～18:30</w:t>
            </w:r>
          </w:p>
        </w:tc>
        <w:tc>
          <w:tcPr>
            <w:tcW w:w="29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各竞赛项目竞赛</w:t>
            </w:r>
          </w:p>
        </w:tc>
        <w:tc>
          <w:tcPr>
            <w:tcW w:w="2843"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各竞赛场地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restart"/>
            <w:vAlign w:val="center"/>
          </w:tcPr>
          <w:p>
            <w:pPr>
              <w:adjustRightInd w:val="0"/>
              <w:snapToGrid w:val="0"/>
              <w:jc w:val="lef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第四天</w:t>
            </w:r>
          </w:p>
        </w:tc>
        <w:tc>
          <w:tcPr>
            <w:tcW w:w="1843" w:type="dxa"/>
            <w:vAlign w:val="center"/>
          </w:tcPr>
          <w:p>
            <w:pPr>
              <w:adjustRightInd w:val="0"/>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8:</w:t>
            </w:r>
            <w:r>
              <w:rPr>
                <w:rFonts w:asciiTheme="minorEastAsia" w:hAnsiTheme="minorEastAsia" w:eastAsiaTheme="minorEastAsia"/>
                <w:bCs/>
                <w:sz w:val="24"/>
                <w:szCs w:val="24"/>
              </w:rPr>
              <w:t>3</w:t>
            </w:r>
            <w:r>
              <w:rPr>
                <w:rFonts w:hint="eastAsia" w:asciiTheme="minorEastAsia" w:hAnsiTheme="minorEastAsia" w:eastAsiaTheme="minorEastAsia"/>
                <w:bCs/>
                <w:sz w:val="24"/>
                <w:szCs w:val="24"/>
              </w:rPr>
              <w:t>0～10:30</w:t>
            </w:r>
          </w:p>
        </w:tc>
        <w:tc>
          <w:tcPr>
            <w:tcW w:w="29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各竞赛项目竞赛</w:t>
            </w:r>
          </w:p>
        </w:tc>
        <w:tc>
          <w:tcPr>
            <w:tcW w:w="2843"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各竞赛场地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continue"/>
            <w:vAlign w:val="center"/>
          </w:tcPr>
          <w:p>
            <w:pPr>
              <w:adjustRightInd w:val="0"/>
              <w:snapToGrid w:val="0"/>
              <w:jc w:val="left"/>
              <w:rPr>
                <w:rFonts w:asciiTheme="minorEastAsia" w:hAnsiTheme="minorEastAsia" w:eastAsiaTheme="minorEastAsia"/>
                <w:bCs/>
                <w:sz w:val="24"/>
                <w:szCs w:val="24"/>
              </w:rPr>
            </w:pPr>
          </w:p>
        </w:tc>
        <w:tc>
          <w:tcPr>
            <w:tcW w:w="1843" w:type="dxa"/>
            <w:vAlign w:val="center"/>
          </w:tcPr>
          <w:p>
            <w:pPr>
              <w:adjustRightInd w:val="0"/>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11:</w:t>
            </w:r>
            <w:r>
              <w:rPr>
                <w:rFonts w:asciiTheme="minorEastAsia" w:hAnsiTheme="minorEastAsia" w:eastAsiaTheme="minorEastAsia"/>
                <w:bCs/>
                <w:sz w:val="24"/>
                <w:szCs w:val="24"/>
              </w:rPr>
              <w:t>1</w:t>
            </w:r>
            <w:r>
              <w:rPr>
                <w:rFonts w:hint="eastAsia" w:asciiTheme="minorEastAsia" w:hAnsiTheme="minorEastAsia" w:eastAsiaTheme="minorEastAsia"/>
                <w:bCs/>
                <w:sz w:val="24"/>
                <w:szCs w:val="24"/>
              </w:rPr>
              <w:t>0～11:</w:t>
            </w:r>
            <w:r>
              <w:rPr>
                <w:rFonts w:asciiTheme="minorEastAsia" w:hAnsiTheme="minorEastAsia" w:eastAsiaTheme="minorEastAsia"/>
                <w:bCs/>
                <w:sz w:val="24"/>
                <w:szCs w:val="24"/>
              </w:rPr>
              <w:t>2</w:t>
            </w:r>
            <w:r>
              <w:rPr>
                <w:rFonts w:hint="eastAsia" w:asciiTheme="minorEastAsia" w:hAnsiTheme="minorEastAsia" w:eastAsiaTheme="minorEastAsia"/>
                <w:bCs/>
                <w:sz w:val="24"/>
                <w:szCs w:val="24"/>
              </w:rPr>
              <w:t>0</w:t>
            </w:r>
          </w:p>
        </w:tc>
        <w:tc>
          <w:tcPr>
            <w:tcW w:w="29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审方理论考试</w:t>
            </w:r>
          </w:p>
        </w:tc>
        <w:tc>
          <w:tcPr>
            <w:tcW w:w="2843"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审方考试室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continue"/>
            <w:vAlign w:val="center"/>
          </w:tcPr>
          <w:p>
            <w:pPr>
              <w:adjustRightInd w:val="0"/>
              <w:snapToGrid w:val="0"/>
              <w:jc w:val="left"/>
              <w:rPr>
                <w:rFonts w:asciiTheme="minorEastAsia" w:hAnsiTheme="minorEastAsia" w:eastAsiaTheme="minorEastAsia"/>
                <w:bCs/>
                <w:sz w:val="24"/>
                <w:szCs w:val="24"/>
              </w:rPr>
            </w:pPr>
          </w:p>
        </w:tc>
        <w:tc>
          <w:tcPr>
            <w:tcW w:w="1843" w:type="dxa"/>
            <w:vAlign w:val="center"/>
          </w:tcPr>
          <w:p>
            <w:pPr>
              <w:adjustRightInd w:val="0"/>
              <w:snapToGrid w:val="0"/>
              <w:jc w:val="center"/>
              <w:rPr>
                <w:rFonts w:asciiTheme="minorEastAsia" w:hAnsiTheme="minorEastAsia" w:eastAsiaTheme="minorEastAsia"/>
                <w:bCs/>
                <w:sz w:val="24"/>
                <w:szCs w:val="24"/>
              </w:rPr>
            </w:pPr>
            <w:r>
              <w:rPr>
                <w:rFonts w:asciiTheme="minorEastAsia" w:hAnsiTheme="minorEastAsia" w:eastAsiaTheme="minorEastAsia"/>
                <w:bCs/>
                <w:sz w:val="24"/>
                <w:szCs w:val="24"/>
              </w:rPr>
              <w:t>13</w:t>
            </w:r>
            <w:r>
              <w:rPr>
                <w:rFonts w:hint="eastAsia" w:asciiTheme="minorEastAsia" w:hAnsiTheme="minorEastAsia" w:eastAsiaTheme="minorEastAsia"/>
                <w:bCs/>
                <w:sz w:val="24"/>
                <w:szCs w:val="24"/>
              </w:rPr>
              <w:t>:</w:t>
            </w:r>
            <w:r>
              <w:rPr>
                <w:rFonts w:asciiTheme="minorEastAsia" w:hAnsiTheme="minorEastAsia" w:eastAsiaTheme="minorEastAsia"/>
                <w:bCs/>
                <w:sz w:val="24"/>
                <w:szCs w:val="24"/>
              </w:rPr>
              <w:t>30</w:t>
            </w:r>
            <w:r>
              <w:rPr>
                <w:rFonts w:hint="eastAsia" w:asciiTheme="minorEastAsia" w:hAnsiTheme="minorEastAsia" w:eastAsiaTheme="minorEastAsia"/>
                <w:bCs/>
                <w:sz w:val="24"/>
                <w:szCs w:val="24"/>
              </w:rPr>
              <w:t>～1</w:t>
            </w:r>
            <w:r>
              <w:rPr>
                <w:rFonts w:asciiTheme="minorEastAsia" w:hAnsiTheme="minorEastAsia" w:eastAsiaTheme="minorEastAsia"/>
                <w:bCs/>
                <w:sz w:val="24"/>
                <w:szCs w:val="24"/>
              </w:rPr>
              <w:t>4</w:t>
            </w:r>
            <w:r>
              <w:rPr>
                <w:rFonts w:hint="eastAsia" w:asciiTheme="minorEastAsia" w:hAnsiTheme="minorEastAsia" w:eastAsiaTheme="minorEastAsia"/>
                <w:bCs/>
                <w:sz w:val="24"/>
                <w:szCs w:val="24"/>
              </w:rPr>
              <w:t>:</w:t>
            </w:r>
            <w:r>
              <w:rPr>
                <w:rFonts w:asciiTheme="minorEastAsia" w:hAnsiTheme="minorEastAsia" w:eastAsiaTheme="minorEastAsia"/>
                <w:bCs/>
                <w:sz w:val="24"/>
                <w:szCs w:val="24"/>
              </w:rPr>
              <w:t>10</w:t>
            </w:r>
          </w:p>
        </w:tc>
        <w:tc>
          <w:tcPr>
            <w:tcW w:w="29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赛项</w:t>
            </w:r>
            <w:r>
              <w:rPr>
                <w:rFonts w:asciiTheme="minorEastAsia" w:hAnsiTheme="minorEastAsia" w:eastAsiaTheme="minorEastAsia"/>
                <w:bCs/>
                <w:sz w:val="24"/>
                <w:szCs w:val="24"/>
              </w:rPr>
              <w:t>评价</w:t>
            </w:r>
          </w:p>
        </w:tc>
        <w:tc>
          <w:tcPr>
            <w:tcW w:w="2843"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图书楼</w:t>
            </w:r>
            <w:r>
              <w:rPr>
                <w:rFonts w:asciiTheme="minorEastAsia" w:hAnsiTheme="minorEastAsia" w:eastAsiaTheme="minorEastAsia"/>
                <w:bCs/>
                <w:sz w:val="24"/>
                <w:szCs w:val="24"/>
              </w:rPr>
              <w:t>六楼</w:t>
            </w:r>
            <w:r>
              <w:rPr>
                <w:rFonts w:hint="eastAsia" w:asciiTheme="minorEastAsia" w:hAnsiTheme="minorEastAsia" w:eastAsiaTheme="minorEastAsia"/>
                <w:bCs/>
                <w:sz w:val="24"/>
                <w:szCs w:val="24"/>
              </w:rPr>
              <w:t>计算机室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1109" w:type="dxa"/>
            <w:vMerge w:val="continue"/>
            <w:tcBorders>
              <w:bottom w:val="single" w:color="auto" w:sz="4" w:space="0"/>
            </w:tcBorders>
            <w:vAlign w:val="center"/>
          </w:tcPr>
          <w:p>
            <w:pPr>
              <w:adjustRightInd w:val="0"/>
              <w:snapToGrid w:val="0"/>
              <w:jc w:val="left"/>
              <w:rPr>
                <w:rFonts w:asciiTheme="minorEastAsia" w:hAnsiTheme="minorEastAsia" w:eastAsiaTheme="minorEastAsia"/>
                <w:bCs/>
                <w:sz w:val="24"/>
                <w:szCs w:val="24"/>
              </w:rPr>
            </w:pPr>
          </w:p>
        </w:tc>
        <w:tc>
          <w:tcPr>
            <w:tcW w:w="1843" w:type="dxa"/>
            <w:tcBorders>
              <w:right w:val="single" w:color="auto" w:sz="4" w:space="0"/>
            </w:tcBorders>
            <w:vAlign w:val="center"/>
          </w:tcPr>
          <w:p>
            <w:pPr>
              <w:adjustRightInd w:val="0"/>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15:00～16:</w:t>
            </w:r>
            <w:r>
              <w:rPr>
                <w:rFonts w:asciiTheme="minorEastAsia" w:hAnsiTheme="minorEastAsia" w:eastAsiaTheme="minorEastAsia"/>
                <w:bCs/>
                <w:sz w:val="24"/>
                <w:szCs w:val="24"/>
              </w:rPr>
              <w:t>0</w:t>
            </w:r>
            <w:r>
              <w:rPr>
                <w:rFonts w:hint="eastAsia" w:asciiTheme="minorEastAsia" w:hAnsiTheme="minorEastAsia" w:eastAsiaTheme="minorEastAsia"/>
                <w:bCs/>
                <w:sz w:val="24"/>
                <w:szCs w:val="24"/>
              </w:rPr>
              <w:t>0</w:t>
            </w:r>
          </w:p>
        </w:tc>
        <w:tc>
          <w:tcPr>
            <w:tcW w:w="2976" w:type="dxa"/>
            <w:tcBorders>
              <w:left w:val="single" w:color="auto" w:sz="4" w:space="0"/>
            </w:tcBorders>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闭幕式</w:t>
            </w:r>
          </w:p>
        </w:tc>
        <w:tc>
          <w:tcPr>
            <w:tcW w:w="2843"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学校综合楼学术报告厅</w:t>
            </w:r>
          </w:p>
        </w:tc>
      </w:tr>
    </w:tbl>
    <w:p>
      <w:pPr>
        <w:adjustRightInd w:val="0"/>
        <w:snapToGrid w:val="0"/>
        <w:spacing w:line="540" w:lineRule="exact"/>
        <w:jc w:val="center"/>
        <w:rPr>
          <w:rFonts w:ascii="宋体" w:cs="Times New Roman"/>
          <w:b/>
          <w:bCs/>
          <w:sz w:val="24"/>
          <w:szCs w:val="24"/>
        </w:rPr>
      </w:pPr>
      <w:r>
        <w:rPr>
          <w:rFonts w:hint="eastAsia" w:ascii="宋体" w:hAnsi="宋体" w:cs="宋体"/>
          <w:b/>
          <w:bCs/>
          <w:sz w:val="24"/>
          <w:szCs w:val="24"/>
        </w:rPr>
        <w:t>表</w:t>
      </w:r>
      <w:r>
        <w:rPr>
          <w:rFonts w:ascii="宋体" w:hAnsi="宋体" w:cs="宋体"/>
          <w:b/>
          <w:bCs/>
          <w:sz w:val="24"/>
          <w:szCs w:val="24"/>
        </w:rPr>
        <w:t xml:space="preserve">2  </w:t>
      </w:r>
      <w:r>
        <w:rPr>
          <w:rFonts w:hint="eastAsia" w:ascii="宋体" w:hAnsi="宋体" w:cs="宋体"/>
          <w:b/>
          <w:bCs/>
          <w:sz w:val="24"/>
          <w:szCs w:val="24"/>
        </w:rPr>
        <w:t>竞赛项目运行安排</w:t>
      </w:r>
    </w:p>
    <w:tbl>
      <w:tblPr>
        <w:tblStyle w:val="14"/>
        <w:tblW w:w="872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925"/>
        <w:gridCol w:w="2142"/>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Align w:val="center"/>
          </w:tcPr>
          <w:p>
            <w:pPr>
              <w:jc w:val="center"/>
              <w:rPr>
                <w:rFonts w:ascii="宋体" w:cs="Times New Roman"/>
                <w:sz w:val="24"/>
                <w:szCs w:val="24"/>
              </w:rPr>
            </w:pPr>
            <w:r>
              <w:rPr>
                <w:rFonts w:hint="eastAsia" w:ascii="宋体" w:hAnsi="宋体" w:cs="宋体"/>
                <w:sz w:val="24"/>
                <w:szCs w:val="24"/>
              </w:rPr>
              <w:t>日期</w:t>
            </w:r>
          </w:p>
        </w:tc>
        <w:tc>
          <w:tcPr>
            <w:tcW w:w="1925" w:type="dxa"/>
          </w:tcPr>
          <w:p>
            <w:pPr>
              <w:jc w:val="center"/>
              <w:rPr>
                <w:rFonts w:ascii="宋体" w:cs="Times New Roman"/>
                <w:sz w:val="24"/>
                <w:szCs w:val="24"/>
              </w:rPr>
            </w:pPr>
            <w:r>
              <w:rPr>
                <w:rFonts w:hint="eastAsia" w:ascii="宋体" w:hAnsi="宋体" w:cs="宋体"/>
                <w:sz w:val="24"/>
                <w:szCs w:val="24"/>
              </w:rPr>
              <w:t>时间</w:t>
            </w:r>
          </w:p>
        </w:tc>
        <w:tc>
          <w:tcPr>
            <w:tcW w:w="2142" w:type="dxa"/>
            <w:vAlign w:val="center"/>
          </w:tcPr>
          <w:p>
            <w:pPr>
              <w:jc w:val="center"/>
              <w:rPr>
                <w:rFonts w:ascii="宋体" w:cs="Times New Roman"/>
                <w:sz w:val="24"/>
                <w:szCs w:val="24"/>
              </w:rPr>
            </w:pPr>
            <w:r>
              <w:rPr>
                <w:rFonts w:hint="eastAsia" w:ascii="宋体" w:hAnsi="宋体" w:cs="宋体"/>
                <w:sz w:val="24"/>
                <w:szCs w:val="24"/>
              </w:rPr>
              <w:t>内容</w:t>
            </w:r>
          </w:p>
        </w:tc>
        <w:tc>
          <w:tcPr>
            <w:tcW w:w="2844" w:type="dxa"/>
            <w:vAlign w:val="center"/>
          </w:tcPr>
          <w:p>
            <w:pPr>
              <w:jc w:val="center"/>
              <w:rPr>
                <w:rFonts w:ascii="宋体" w:cs="Times New Roman"/>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restart"/>
            <w:vAlign w:val="center"/>
          </w:tcPr>
          <w:p>
            <w:pPr>
              <w:jc w:val="center"/>
              <w:rPr>
                <w:rFonts w:ascii="宋体" w:cs="Times New Roman"/>
                <w:sz w:val="24"/>
                <w:szCs w:val="24"/>
              </w:rPr>
            </w:pPr>
            <w:r>
              <w:rPr>
                <w:rFonts w:hint="eastAsia" w:ascii="宋体" w:hAnsi="宋体" w:cs="宋体"/>
                <w:sz w:val="24"/>
                <w:szCs w:val="24"/>
              </w:rPr>
              <w:t>第一天</w:t>
            </w:r>
          </w:p>
        </w:tc>
        <w:tc>
          <w:tcPr>
            <w:tcW w:w="1925" w:type="dxa"/>
            <w:vMerge w:val="restart"/>
            <w:vAlign w:val="center"/>
          </w:tcPr>
          <w:p>
            <w:pPr>
              <w:jc w:val="center"/>
              <w:rPr>
                <w:rFonts w:ascii="宋体" w:hAnsi="宋体" w:cs="宋体"/>
                <w:sz w:val="24"/>
                <w:szCs w:val="24"/>
              </w:rPr>
            </w:pPr>
            <w:r>
              <w:rPr>
                <w:rFonts w:ascii="宋体" w:hAnsi="宋体" w:cs="宋体"/>
                <w:sz w:val="24"/>
                <w:szCs w:val="24"/>
              </w:rPr>
              <w:t>10:00-12:00</w:t>
            </w:r>
          </w:p>
        </w:tc>
        <w:tc>
          <w:tcPr>
            <w:tcW w:w="2142" w:type="dxa"/>
            <w:vAlign w:val="center"/>
          </w:tcPr>
          <w:p>
            <w:pPr>
              <w:jc w:val="center"/>
              <w:rPr>
                <w:rFonts w:ascii="宋体" w:hAnsi="宋体" w:cs="宋体"/>
                <w:sz w:val="24"/>
                <w:szCs w:val="24"/>
              </w:rPr>
            </w:pPr>
            <w:r>
              <w:rPr>
                <w:rFonts w:ascii="宋体" w:hAnsi="宋体" w:cs="宋体"/>
                <w:sz w:val="24"/>
                <w:szCs w:val="24"/>
              </w:rPr>
              <w:t>GA</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GB</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GC</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GD</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restart"/>
            <w:vAlign w:val="center"/>
          </w:tcPr>
          <w:p>
            <w:pPr>
              <w:jc w:val="center"/>
              <w:rPr>
                <w:rFonts w:ascii="宋体" w:hAnsi="宋体" w:cs="宋体"/>
                <w:sz w:val="24"/>
                <w:szCs w:val="24"/>
              </w:rPr>
            </w:pPr>
            <w:r>
              <w:rPr>
                <w:rFonts w:ascii="宋体" w:hAnsi="宋体" w:cs="宋体"/>
                <w:sz w:val="24"/>
                <w:szCs w:val="24"/>
              </w:rPr>
              <w:t>14:00-16:00</w:t>
            </w:r>
          </w:p>
        </w:tc>
        <w:tc>
          <w:tcPr>
            <w:tcW w:w="2142" w:type="dxa"/>
            <w:vAlign w:val="center"/>
          </w:tcPr>
          <w:p>
            <w:pPr>
              <w:jc w:val="center"/>
              <w:rPr>
                <w:rFonts w:ascii="宋体" w:hAnsi="宋体" w:cs="宋体"/>
                <w:sz w:val="24"/>
                <w:szCs w:val="24"/>
              </w:rPr>
            </w:pPr>
            <w:r>
              <w:rPr>
                <w:rFonts w:ascii="宋体" w:hAnsi="宋体" w:cs="宋体"/>
                <w:sz w:val="24"/>
                <w:szCs w:val="24"/>
              </w:rPr>
              <w:t>GB</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GC</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GD</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GA</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restart"/>
            <w:vAlign w:val="center"/>
          </w:tcPr>
          <w:p>
            <w:pPr>
              <w:jc w:val="center"/>
              <w:rPr>
                <w:rFonts w:ascii="宋体" w:hAnsi="宋体" w:cs="宋体"/>
                <w:sz w:val="24"/>
                <w:szCs w:val="24"/>
              </w:rPr>
            </w:pPr>
            <w:r>
              <w:rPr>
                <w:rFonts w:ascii="宋体" w:hAnsi="宋体" w:cs="宋体"/>
                <w:sz w:val="24"/>
                <w:szCs w:val="24"/>
              </w:rPr>
              <w:t>16:30-18:30</w:t>
            </w:r>
          </w:p>
        </w:tc>
        <w:tc>
          <w:tcPr>
            <w:tcW w:w="2142" w:type="dxa"/>
            <w:vAlign w:val="center"/>
          </w:tcPr>
          <w:p>
            <w:pPr>
              <w:jc w:val="center"/>
              <w:rPr>
                <w:rFonts w:ascii="宋体" w:hAnsi="宋体" w:cs="宋体"/>
                <w:sz w:val="24"/>
                <w:szCs w:val="24"/>
              </w:rPr>
            </w:pPr>
            <w:r>
              <w:rPr>
                <w:rFonts w:ascii="宋体" w:hAnsi="宋体" w:cs="宋体"/>
                <w:sz w:val="24"/>
                <w:szCs w:val="24"/>
              </w:rPr>
              <w:t>GC</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GD</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GA</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GB</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restart"/>
            <w:vAlign w:val="center"/>
          </w:tcPr>
          <w:p>
            <w:pPr>
              <w:jc w:val="center"/>
              <w:rPr>
                <w:rFonts w:ascii="宋体" w:cs="Times New Roman"/>
                <w:sz w:val="24"/>
                <w:szCs w:val="24"/>
              </w:rPr>
            </w:pPr>
            <w:r>
              <w:rPr>
                <w:rFonts w:hint="eastAsia" w:ascii="宋体" w:hAnsi="宋体" w:cs="宋体"/>
                <w:sz w:val="24"/>
                <w:szCs w:val="24"/>
              </w:rPr>
              <w:t>第二天</w:t>
            </w:r>
          </w:p>
        </w:tc>
        <w:tc>
          <w:tcPr>
            <w:tcW w:w="1925" w:type="dxa"/>
            <w:vMerge w:val="restart"/>
            <w:vAlign w:val="center"/>
          </w:tcPr>
          <w:p>
            <w:pPr>
              <w:jc w:val="center"/>
              <w:rPr>
                <w:rFonts w:ascii="宋体" w:hAnsi="宋体" w:cs="宋体"/>
                <w:sz w:val="24"/>
                <w:szCs w:val="24"/>
              </w:rPr>
            </w:pPr>
            <w:r>
              <w:rPr>
                <w:rFonts w:ascii="宋体" w:hAnsi="宋体" w:cs="宋体"/>
                <w:sz w:val="24"/>
                <w:szCs w:val="24"/>
              </w:rPr>
              <w:t>8:30-10:30</w:t>
            </w:r>
          </w:p>
        </w:tc>
        <w:tc>
          <w:tcPr>
            <w:tcW w:w="2142" w:type="dxa"/>
            <w:vAlign w:val="center"/>
          </w:tcPr>
          <w:p>
            <w:pPr>
              <w:jc w:val="center"/>
              <w:rPr>
                <w:rFonts w:ascii="宋体" w:hAnsi="宋体" w:cs="宋体"/>
                <w:sz w:val="24"/>
                <w:szCs w:val="24"/>
              </w:rPr>
            </w:pPr>
            <w:r>
              <w:rPr>
                <w:rFonts w:ascii="宋体" w:hAnsi="宋体" w:cs="宋体"/>
                <w:sz w:val="24"/>
                <w:szCs w:val="24"/>
              </w:rPr>
              <w:t>GD</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GA</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GB</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Merge w:val="continue"/>
            <w:vAlign w:val="center"/>
          </w:tcPr>
          <w:p>
            <w:pPr>
              <w:jc w:val="center"/>
              <w:rPr>
                <w:rFonts w:ascii="宋体" w:cs="Times New Roman"/>
                <w:sz w:val="24"/>
                <w:szCs w:val="24"/>
              </w:rPr>
            </w:pPr>
          </w:p>
        </w:tc>
        <w:tc>
          <w:tcPr>
            <w:tcW w:w="2142" w:type="dxa"/>
            <w:vAlign w:val="center"/>
          </w:tcPr>
          <w:p>
            <w:pPr>
              <w:jc w:val="center"/>
              <w:rPr>
                <w:rFonts w:ascii="宋体" w:hAnsi="宋体" w:cs="宋体"/>
                <w:sz w:val="24"/>
                <w:szCs w:val="24"/>
              </w:rPr>
            </w:pPr>
            <w:r>
              <w:rPr>
                <w:rFonts w:ascii="宋体" w:hAnsi="宋体" w:cs="宋体"/>
                <w:sz w:val="24"/>
                <w:szCs w:val="24"/>
              </w:rPr>
              <w:t>GC</w:t>
            </w:r>
            <w:r>
              <w:rPr>
                <w:rFonts w:hint="eastAsia" w:ascii="宋体" w:hAnsi="宋体" w:cs="宋体"/>
                <w:sz w:val="24"/>
                <w:szCs w:val="24"/>
              </w:rPr>
              <w:t>组赛项</w:t>
            </w:r>
          </w:p>
        </w:tc>
        <w:tc>
          <w:tcPr>
            <w:tcW w:w="2844" w:type="dxa"/>
            <w:vAlign w:val="center"/>
          </w:tcPr>
          <w:p>
            <w:pPr>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jc w:val="center"/>
              <w:rPr>
                <w:rFonts w:ascii="宋体" w:cs="Times New Roman"/>
                <w:sz w:val="24"/>
                <w:szCs w:val="24"/>
              </w:rPr>
            </w:pPr>
          </w:p>
        </w:tc>
        <w:tc>
          <w:tcPr>
            <w:tcW w:w="1925" w:type="dxa"/>
            <w:vAlign w:val="center"/>
          </w:tcPr>
          <w:p>
            <w:pPr>
              <w:jc w:val="center"/>
              <w:rPr>
                <w:rFonts w:ascii="宋体" w:hAnsi="宋体" w:cs="宋体"/>
                <w:sz w:val="24"/>
                <w:szCs w:val="24"/>
              </w:rPr>
            </w:pPr>
            <w:r>
              <w:rPr>
                <w:rFonts w:ascii="宋体" w:hAnsi="宋体" w:cs="宋体"/>
                <w:sz w:val="24"/>
                <w:szCs w:val="24"/>
              </w:rPr>
              <w:t>11:20-11:30</w:t>
            </w:r>
          </w:p>
        </w:tc>
        <w:tc>
          <w:tcPr>
            <w:tcW w:w="2142" w:type="dxa"/>
            <w:vAlign w:val="center"/>
          </w:tcPr>
          <w:p>
            <w:pPr>
              <w:jc w:val="center"/>
              <w:rPr>
                <w:rFonts w:ascii="宋体" w:cs="Times New Roman"/>
                <w:sz w:val="24"/>
                <w:szCs w:val="24"/>
              </w:rPr>
            </w:pPr>
            <w:r>
              <w:rPr>
                <w:rFonts w:hint="eastAsia" w:ascii="宋体" w:hAnsi="宋体" w:cs="宋体"/>
                <w:sz w:val="24"/>
                <w:szCs w:val="24"/>
              </w:rPr>
              <w:t>审方理论考试</w:t>
            </w:r>
          </w:p>
          <w:p>
            <w:pPr>
              <w:jc w:val="center"/>
              <w:rPr>
                <w:rFonts w:ascii="宋体" w:cs="Times New Roman"/>
                <w:sz w:val="24"/>
                <w:szCs w:val="24"/>
              </w:rPr>
            </w:pPr>
            <w:r>
              <w:rPr>
                <w:rFonts w:hint="eastAsia" w:ascii="宋体" w:hAnsi="宋体" w:cs="宋体"/>
                <w:sz w:val="24"/>
                <w:szCs w:val="24"/>
              </w:rPr>
              <w:t>（全体参赛选手）</w:t>
            </w:r>
          </w:p>
        </w:tc>
        <w:tc>
          <w:tcPr>
            <w:tcW w:w="2844" w:type="dxa"/>
            <w:vAlign w:val="center"/>
          </w:tcPr>
          <w:p>
            <w:pPr>
              <w:jc w:val="center"/>
              <w:rPr>
                <w:rFonts w:ascii="宋体" w:cs="Times New Roman"/>
                <w:sz w:val="24"/>
                <w:szCs w:val="24"/>
              </w:rPr>
            </w:pPr>
            <w:r>
              <w:rPr>
                <w:rFonts w:hint="eastAsia" w:asciiTheme="minorEastAsia" w:hAnsiTheme="minorEastAsia" w:eastAsiaTheme="minorEastAsia"/>
                <w:bCs/>
                <w:sz w:val="24"/>
                <w:szCs w:val="24"/>
              </w:rPr>
              <w:t>学校图书楼计算机室</w:t>
            </w:r>
          </w:p>
        </w:tc>
      </w:tr>
    </w:tbl>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九、竞赛试题</w:t>
      </w:r>
    </w:p>
    <w:p>
      <w:pPr>
        <w:spacing w:line="560" w:lineRule="exact"/>
        <w:ind w:firstLine="600" w:firstLineChars="200"/>
        <w:rPr>
          <w:rFonts w:ascii="仿宋_GB2312" w:eastAsia="仿宋_GB2312" w:cs="Times New Roman"/>
          <w:b/>
          <w:bCs/>
          <w:sz w:val="30"/>
          <w:szCs w:val="30"/>
        </w:rPr>
      </w:pPr>
      <w:r>
        <w:rPr>
          <w:rFonts w:hint="eastAsia" w:ascii="仿宋_GB2312" w:hAnsi="宋体" w:eastAsia="仿宋_GB2312" w:cs="仿宋_GB2312"/>
          <w:sz w:val="30"/>
          <w:szCs w:val="30"/>
        </w:rPr>
        <w:t>竞赛试题由中药性状鉴别、中药显微鉴别、中药调剂审方理论考试、中药调剂、中药炮制五部分组成。试题库涵盖比赛规定的350种中药的知识点和技能点。样题与考试题的格式完全一样，但药材品种可以不相同，各子项目分别出5～10</w:t>
      </w:r>
      <w:r>
        <w:rPr>
          <w:rFonts w:hint="eastAsia" w:ascii="仿宋_GB2312" w:hAnsi="Arial Narrow" w:eastAsia="仿宋_GB2312"/>
          <w:sz w:val="30"/>
          <w:szCs w:val="30"/>
        </w:rPr>
        <w:t>套</w:t>
      </w:r>
      <w:r>
        <w:rPr>
          <w:rFonts w:hint="eastAsia" w:ascii="仿宋_GB2312" w:hAnsi="宋体" w:eastAsia="仿宋_GB2312" w:cs="仿宋_GB2312"/>
          <w:sz w:val="30"/>
          <w:szCs w:val="30"/>
        </w:rPr>
        <w:t>，</w:t>
      </w:r>
      <w:r>
        <w:rPr>
          <w:rFonts w:hint="eastAsia" w:ascii="仿宋_GB2312" w:hAnsi="Arial Narrow" w:eastAsia="仿宋_GB2312"/>
          <w:sz w:val="30"/>
          <w:szCs w:val="30"/>
        </w:rPr>
        <w:t>各套赛卷的重复率不得超过50%。</w:t>
      </w:r>
      <w:r>
        <w:rPr>
          <w:rFonts w:hint="eastAsia" w:ascii="仿宋_GB2312" w:hAnsi="宋体" w:eastAsia="仿宋_GB2312" w:cs="仿宋_GB2312"/>
          <w:sz w:val="30"/>
          <w:szCs w:val="30"/>
        </w:rPr>
        <w:t>具体样题如下。</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（一）中药性状鉴别样题</w:t>
      </w:r>
    </w:p>
    <w:p>
      <w:pPr>
        <w:adjustRightInd w:val="0"/>
        <w:snapToGrid w:val="0"/>
        <w:spacing w:line="560" w:lineRule="exact"/>
        <w:ind w:firstLine="600" w:firstLineChars="200"/>
        <w:rPr>
          <w:rFonts w:ascii="仿宋_GB2312" w:hAnsi="仿宋" w:eastAsia="仿宋_GB2312" w:cs="仿宋"/>
          <w:sz w:val="30"/>
          <w:szCs w:val="30"/>
          <w:lang w:val="zh-CN"/>
        </w:rPr>
      </w:pPr>
      <w:bookmarkStart w:id="2" w:name="_Toc513563335"/>
      <w:r>
        <w:rPr>
          <w:rFonts w:hint="eastAsia" w:ascii="仿宋_GB2312" w:hAnsi="仿宋" w:eastAsia="仿宋_GB2312" w:cs="仿宋"/>
          <w:sz w:val="30"/>
          <w:szCs w:val="30"/>
          <w:lang w:val="zh-CN"/>
        </w:rPr>
        <w:t>1.中药性状鉴别样题</w:t>
      </w:r>
      <w:bookmarkEnd w:id="2"/>
    </w:p>
    <w:p>
      <w:pPr>
        <w:adjustRightInd w:val="0"/>
        <w:snapToGrid w:val="0"/>
        <w:spacing w:line="560" w:lineRule="exact"/>
        <w:ind w:firstLine="588" w:firstLineChars="196"/>
        <w:rPr>
          <w:rFonts w:ascii="仿宋_GB2312" w:eastAsia="仿宋_GB2312"/>
          <w:bCs/>
          <w:sz w:val="30"/>
          <w:szCs w:val="30"/>
        </w:rPr>
      </w:pPr>
      <w:r>
        <w:rPr>
          <w:rFonts w:hint="eastAsia" w:ascii="仿宋_GB2312" w:eastAsia="仿宋_GB2312"/>
          <w:bCs/>
          <w:sz w:val="30"/>
          <w:szCs w:val="30"/>
        </w:rPr>
        <w:t>包括中药识别与功效操作样题、真伪鉴别操作样题。</w:t>
      </w:r>
    </w:p>
    <w:p>
      <w:pPr>
        <w:adjustRightInd w:val="0"/>
        <w:snapToGrid w:val="0"/>
        <w:spacing w:line="560" w:lineRule="exact"/>
        <w:ind w:firstLine="588" w:firstLineChars="196"/>
        <w:rPr>
          <w:rFonts w:ascii="仿宋_GB2312" w:eastAsia="仿宋_GB2312"/>
          <w:b/>
          <w:bCs/>
          <w:sz w:val="30"/>
          <w:szCs w:val="30"/>
        </w:rPr>
      </w:pPr>
      <w:r>
        <w:rPr>
          <w:rFonts w:hint="eastAsia" w:ascii="仿宋_GB2312" w:eastAsia="仿宋_GB2312"/>
          <w:bCs/>
          <w:sz w:val="30"/>
          <w:szCs w:val="30"/>
        </w:rPr>
        <w:t>（1）识别与功效操作样题</w:t>
      </w:r>
    </w:p>
    <w:p>
      <w:pPr>
        <w:adjustRightInd w:val="0"/>
        <w:snapToGrid w:val="0"/>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2019年全国职业院校技能大赛高职组中药传统技能赛项</w:t>
      </w:r>
    </w:p>
    <w:p>
      <w:pPr>
        <w:adjustRightInd w:val="0"/>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中药性状鉴别</w:t>
      </w:r>
      <w:r>
        <w:rPr>
          <w:rFonts w:ascii="Arial" w:hAnsi="Arial" w:cs="Arial"/>
          <w:b/>
          <w:color w:val="333333"/>
          <w:sz w:val="24"/>
          <w:szCs w:val="24"/>
          <w:shd w:val="clear" w:color="auto" w:fill="FFFFFF"/>
        </w:rPr>
        <w:t>--</w:t>
      </w:r>
      <w:r>
        <w:rPr>
          <w:rFonts w:hint="eastAsia" w:asciiTheme="minorEastAsia" w:hAnsiTheme="minorEastAsia" w:eastAsiaTheme="minorEastAsia"/>
          <w:b/>
          <w:sz w:val="24"/>
          <w:szCs w:val="24"/>
        </w:rPr>
        <w:t>识别与功效</w:t>
      </w:r>
    </w:p>
    <w:tbl>
      <w:tblPr>
        <w:tblStyle w:val="14"/>
        <w:tblW w:w="85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126"/>
        <w:gridCol w:w="4821"/>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b/>
                <w:color w:val="000000"/>
                <w:sz w:val="24"/>
                <w:szCs w:val="24"/>
              </w:rPr>
            </w:pPr>
            <w:r>
              <w:rPr>
                <w:rFonts w:asciiTheme="minorEastAsia" w:hAnsiTheme="minorEastAsia" w:eastAsiaTheme="minorEastAsia"/>
                <w:b/>
                <w:color w:val="000000"/>
                <w:sz w:val="24"/>
                <w:szCs w:val="24"/>
              </w:rPr>
              <w:t>编号</w:t>
            </w:r>
          </w:p>
        </w:tc>
        <w:tc>
          <w:tcPr>
            <w:tcW w:w="2126" w:type="dxa"/>
            <w:shd w:val="clear" w:color="auto" w:fill="auto"/>
            <w:vAlign w:val="center"/>
          </w:tcPr>
          <w:p>
            <w:pPr>
              <w:adjustRightInd w:val="0"/>
              <w:snapToGrid w:val="0"/>
              <w:jc w:val="center"/>
              <w:rPr>
                <w:rFonts w:asciiTheme="minorEastAsia" w:hAnsiTheme="minorEastAsia" w:eastAsiaTheme="minorEastAsia"/>
                <w:b/>
                <w:color w:val="000000"/>
                <w:sz w:val="24"/>
                <w:szCs w:val="24"/>
              </w:rPr>
            </w:pPr>
            <w:r>
              <w:rPr>
                <w:rFonts w:asciiTheme="minorEastAsia" w:hAnsiTheme="minorEastAsia" w:eastAsiaTheme="minorEastAsia"/>
                <w:b/>
                <w:color w:val="000000"/>
                <w:sz w:val="24"/>
                <w:szCs w:val="24"/>
              </w:rPr>
              <w:t>饮片名称（1.5分）</w:t>
            </w:r>
          </w:p>
        </w:tc>
        <w:tc>
          <w:tcPr>
            <w:tcW w:w="4821" w:type="dxa"/>
            <w:shd w:val="clear" w:color="auto" w:fill="auto"/>
            <w:vAlign w:val="center"/>
          </w:tcPr>
          <w:p>
            <w:pPr>
              <w:adjustRightInd w:val="0"/>
              <w:snapToGrid w:val="0"/>
              <w:jc w:val="center"/>
              <w:rPr>
                <w:rFonts w:asciiTheme="minorEastAsia" w:hAnsiTheme="minorEastAsia" w:eastAsiaTheme="minorEastAsia"/>
                <w:b/>
                <w:color w:val="000000"/>
                <w:spacing w:val="-20"/>
                <w:sz w:val="24"/>
                <w:szCs w:val="24"/>
              </w:rPr>
            </w:pPr>
            <w:r>
              <w:rPr>
                <w:rFonts w:asciiTheme="minorEastAsia" w:hAnsiTheme="minorEastAsia" w:eastAsiaTheme="minorEastAsia"/>
                <w:b/>
                <w:color w:val="000000"/>
                <w:sz w:val="24"/>
                <w:szCs w:val="24"/>
              </w:rPr>
              <w:t>主要功效（</w:t>
            </w:r>
            <w:r>
              <w:rPr>
                <w:rFonts w:hint="eastAsia" w:asciiTheme="minorEastAsia" w:hAnsiTheme="minorEastAsia" w:eastAsiaTheme="minorEastAsia"/>
                <w:b/>
                <w:color w:val="000000"/>
                <w:sz w:val="24"/>
                <w:szCs w:val="24"/>
              </w:rPr>
              <w:t>0</w:t>
            </w:r>
            <w:r>
              <w:rPr>
                <w:rFonts w:asciiTheme="minorEastAsia" w:hAnsiTheme="minorEastAsia" w:eastAsiaTheme="minorEastAsia"/>
                <w:b/>
                <w:color w:val="000000"/>
                <w:sz w:val="24"/>
                <w:szCs w:val="24"/>
              </w:rPr>
              <w:t>.5</w:t>
            </w:r>
            <w:r>
              <w:rPr>
                <w:rFonts w:hint="eastAsia" w:asciiTheme="minorEastAsia" w:hAnsiTheme="minorEastAsia" w:eastAsiaTheme="minorEastAsia"/>
                <w:b/>
                <w:color w:val="000000"/>
                <w:sz w:val="24"/>
                <w:szCs w:val="24"/>
              </w:rPr>
              <w:t>分</w:t>
            </w:r>
            <w:r>
              <w:rPr>
                <w:rFonts w:asciiTheme="minorEastAsia" w:hAnsiTheme="minorEastAsia" w:eastAsiaTheme="minorEastAsia"/>
                <w:b/>
                <w:color w:val="000000"/>
                <w:sz w:val="24"/>
                <w:szCs w:val="24"/>
              </w:rPr>
              <w:t>+0.5</w:t>
            </w:r>
            <w:r>
              <w:rPr>
                <w:rFonts w:hint="eastAsia" w:asciiTheme="minorEastAsia" w:hAnsiTheme="minorEastAsia" w:eastAsiaTheme="minorEastAsia"/>
                <w:b/>
                <w:color w:val="000000"/>
                <w:sz w:val="24"/>
                <w:szCs w:val="24"/>
              </w:rPr>
              <w:t>分</w:t>
            </w:r>
            <w:r>
              <w:rPr>
                <w:rFonts w:asciiTheme="minorEastAsia" w:hAnsiTheme="minorEastAsia" w:eastAsiaTheme="minorEastAsia"/>
                <w:b/>
                <w:color w:val="000000"/>
                <w:sz w:val="24"/>
                <w:szCs w:val="24"/>
              </w:rPr>
              <w:t>=1.0分）</w:t>
            </w:r>
          </w:p>
        </w:tc>
        <w:tc>
          <w:tcPr>
            <w:tcW w:w="790" w:type="dxa"/>
            <w:shd w:val="clear" w:color="auto" w:fill="auto"/>
            <w:vAlign w:val="center"/>
          </w:tcPr>
          <w:p>
            <w:pPr>
              <w:adjustRightInd w:val="0"/>
              <w:snapToGrid w:val="0"/>
              <w:jc w:val="center"/>
              <w:rPr>
                <w:rFonts w:asciiTheme="minorEastAsia" w:hAnsiTheme="minorEastAsia" w:eastAsiaTheme="minorEastAsia"/>
                <w:b/>
                <w:color w:val="000000"/>
                <w:spacing w:val="-20"/>
                <w:sz w:val="24"/>
                <w:szCs w:val="24"/>
              </w:rPr>
            </w:pPr>
            <w:r>
              <w:rPr>
                <w:rFonts w:hint="eastAsia" w:asciiTheme="minorEastAsia" w:hAnsiTheme="minorEastAsia" w:eastAsiaTheme="minorEastAsia"/>
                <w:b/>
                <w:color w:val="000000"/>
                <w:spacing w:val="-20"/>
                <w:sz w:val="24"/>
                <w:szCs w:val="24"/>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前胡</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写出《中国药典》2015年版一部的2个功效</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2</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白鲜皮</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3</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槲寄生</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4</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槟榔</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5</w:t>
            </w:r>
          </w:p>
        </w:tc>
        <w:tc>
          <w:tcPr>
            <w:tcW w:w="2126" w:type="dxa"/>
            <w:shd w:val="clear" w:color="auto" w:fill="auto"/>
            <w:vAlign w:val="center"/>
          </w:tcPr>
          <w:p>
            <w:pPr>
              <w:ind w:firstLine="523" w:firstLineChars="218"/>
              <w:jc w:val="left"/>
              <w:rPr>
                <w:rFonts w:cs="Times New Roman" w:asciiTheme="minorEastAsia" w:hAnsiTheme="minorEastAsia" w:eastAsiaTheme="minorEastAsia"/>
                <w:kern w:val="0"/>
                <w:sz w:val="24"/>
                <w:szCs w:val="24"/>
              </w:rPr>
            </w:pPr>
            <w:r>
              <w:rPr>
                <w:rFonts w:hint="eastAsia" w:cs="宋体" w:asciiTheme="minorEastAsia" w:hAnsiTheme="minorEastAsia" w:eastAsiaTheme="minorEastAsia"/>
                <w:sz w:val="24"/>
                <w:szCs w:val="24"/>
              </w:rPr>
              <w:t>川芎</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6</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葶苈子</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7</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细辛</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8</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密蒙花</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9</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白头翁</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10</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白前</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11</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木贼</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12</w:t>
            </w:r>
          </w:p>
        </w:tc>
        <w:tc>
          <w:tcPr>
            <w:tcW w:w="2126" w:type="dxa"/>
            <w:shd w:val="clear" w:color="auto" w:fill="auto"/>
            <w:vAlign w:val="center"/>
          </w:tcPr>
          <w:p>
            <w:pPr>
              <w:widowControl/>
              <w:ind w:firstLine="523" w:firstLineChars="218"/>
              <w:jc w:val="left"/>
              <w:textAlignment w:val="center"/>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通草</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13</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南沙参</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14</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侧柏叶</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15</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川木通</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16</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沙苑子</w:t>
            </w:r>
          </w:p>
        </w:tc>
        <w:tc>
          <w:tcPr>
            <w:tcW w:w="4821"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spacing w:after="156" w:afterLines="5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17</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白蔹</w:t>
            </w:r>
          </w:p>
        </w:tc>
        <w:tc>
          <w:tcPr>
            <w:tcW w:w="4821"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18</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佩兰</w:t>
            </w:r>
          </w:p>
        </w:tc>
        <w:tc>
          <w:tcPr>
            <w:tcW w:w="4821"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19</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垂盆草</w:t>
            </w:r>
          </w:p>
        </w:tc>
        <w:tc>
          <w:tcPr>
            <w:tcW w:w="4821"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exact"/>
          <w:jc w:val="center"/>
        </w:trPr>
        <w:tc>
          <w:tcPr>
            <w:tcW w:w="850" w:type="dxa"/>
            <w:shd w:val="clear" w:color="auto" w:fill="auto"/>
            <w:vAlign w:val="center"/>
          </w:tcPr>
          <w:p>
            <w:pPr>
              <w:adjustRightInd w:val="0"/>
              <w:snapToGrid w:val="0"/>
              <w:jc w:val="center"/>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20</w:t>
            </w:r>
          </w:p>
        </w:tc>
        <w:tc>
          <w:tcPr>
            <w:tcW w:w="2126" w:type="dxa"/>
            <w:shd w:val="clear" w:color="auto" w:fill="auto"/>
            <w:vAlign w:val="center"/>
          </w:tcPr>
          <w:p>
            <w:pPr>
              <w:ind w:firstLine="523" w:firstLineChars="218"/>
              <w:jc w:val="left"/>
              <w:rPr>
                <w:rFonts w:cs="Times New Roman" w:asciiTheme="minorEastAsia" w:hAnsiTheme="minorEastAsia" w:eastAsiaTheme="minorEastAsia"/>
                <w:sz w:val="24"/>
                <w:szCs w:val="24"/>
              </w:rPr>
            </w:pPr>
            <w:r>
              <w:rPr>
                <w:rFonts w:hint="eastAsia" w:cs="宋体" w:asciiTheme="minorEastAsia" w:hAnsiTheme="minorEastAsia" w:eastAsiaTheme="minorEastAsia"/>
                <w:sz w:val="24"/>
                <w:szCs w:val="24"/>
              </w:rPr>
              <w:t>桑枝</w:t>
            </w:r>
          </w:p>
        </w:tc>
        <w:tc>
          <w:tcPr>
            <w:tcW w:w="4821"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同上</w:t>
            </w:r>
          </w:p>
        </w:tc>
        <w:tc>
          <w:tcPr>
            <w:tcW w:w="790"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exact"/>
          <w:jc w:val="center"/>
        </w:trPr>
        <w:tc>
          <w:tcPr>
            <w:tcW w:w="7797" w:type="dxa"/>
            <w:gridSpan w:val="3"/>
            <w:shd w:val="clear" w:color="auto" w:fill="auto"/>
            <w:vAlign w:val="center"/>
          </w:tcPr>
          <w:p>
            <w:pPr>
              <w:adjustRightInd w:val="0"/>
              <w:snapToGrid w:val="0"/>
              <w:jc w:val="center"/>
              <w:rPr>
                <w:rFonts w:asciiTheme="minorEastAsia" w:hAnsiTheme="minorEastAsia" w:eastAsiaTheme="minorEastAsia"/>
                <w:b/>
                <w:bCs/>
                <w:color w:val="000000"/>
                <w:sz w:val="24"/>
                <w:szCs w:val="24"/>
              </w:rPr>
            </w:pPr>
            <w:r>
              <w:rPr>
                <w:rFonts w:asciiTheme="minorEastAsia" w:hAnsiTheme="minorEastAsia" w:eastAsiaTheme="minorEastAsia"/>
                <w:b/>
                <w:kern w:val="0"/>
                <w:sz w:val="24"/>
                <w:szCs w:val="24"/>
              </w:rPr>
              <w:t>扣分合计</w:t>
            </w:r>
          </w:p>
        </w:tc>
        <w:tc>
          <w:tcPr>
            <w:tcW w:w="790"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exact"/>
          <w:jc w:val="center"/>
        </w:trPr>
        <w:tc>
          <w:tcPr>
            <w:tcW w:w="7797" w:type="dxa"/>
            <w:gridSpan w:val="3"/>
            <w:shd w:val="clear" w:color="auto" w:fill="auto"/>
            <w:vAlign w:val="center"/>
          </w:tcPr>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得分合计（满分50分）</w:t>
            </w:r>
          </w:p>
        </w:tc>
        <w:tc>
          <w:tcPr>
            <w:tcW w:w="790" w:type="dxa"/>
            <w:shd w:val="clear" w:color="auto" w:fill="auto"/>
            <w:vAlign w:val="center"/>
          </w:tcPr>
          <w:p>
            <w:pPr>
              <w:adjustRightInd w:val="0"/>
              <w:snapToGrid w:val="0"/>
              <w:jc w:val="center"/>
              <w:rPr>
                <w:rFonts w:asciiTheme="minorEastAsia" w:hAnsiTheme="minorEastAsia" w:eastAsiaTheme="minorEastAsia"/>
                <w:bCs/>
                <w:color w:val="000000"/>
                <w:sz w:val="24"/>
                <w:szCs w:val="24"/>
              </w:rPr>
            </w:pPr>
          </w:p>
        </w:tc>
      </w:tr>
    </w:tbl>
    <w:p>
      <w:pPr>
        <w:adjustRightInd w:val="0"/>
        <w:snapToGrid w:val="0"/>
        <w:spacing w:before="156" w:beforeLines="50" w:line="360" w:lineRule="auto"/>
        <w:ind w:firstLine="588" w:firstLineChars="196"/>
        <w:rPr>
          <w:rFonts w:ascii="仿宋_GB2312" w:eastAsia="仿宋_GB2312"/>
          <w:bCs/>
          <w:sz w:val="30"/>
          <w:szCs w:val="30"/>
        </w:rPr>
      </w:pPr>
      <w:r>
        <w:rPr>
          <w:rFonts w:hint="eastAsia" w:ascii="仿宋_GB2312" w:eastAsia="仿宋_GB2312"/>
          <w:bCs/>
          <w:sz w:val="30"/>
          <w:szCs w:val="30"/>
        </w:rPr>
        <w:t>（2）真伪鉴别操作样题</w:t>
      </w:r>
    </w:p>
    <w:p>
      <w:pPr>
        <w:adjustRightInd w:val="0"/>
        <w:snapToGrid w:val="0"/>
        <w:spacing w:line="360" w:lineRule="auto"/>
        <w:jc w:val="center"/>
        <w:rPr>
          <w:rFonts w:ascii="仿宋_GB2312" w:eastAsia="仿宋_GB2312"/>
          <w:bCs/>
          <w:sz w:val="30"/>
          <w:szCs w:val="30"/>
        </w:rPr>
      </w:pPr>
      <w:r>
        <w:rPr>
          <w:rFonts w:hint="eastAsia" w:ascii="仿宋_GB2312" w:eastAsia="仿宋_GB2312"/>
          <w:bCs/>
          <w:sz w:val="30"/>
          <w:szCs w:val="30"/>
        </w:rPr>
        <w:t>2019年全国职业院校技能大赛高职组中药传统技能赛项</w:t>
      </w:r>
    </w:p>
    <w:p>
      <w:pPr>
        <w:adjustRightInd w:val="0"/>
        <w:snapToGrid w:val="0"/>
        <w:spacing w:line="360" w:lineRule="auto"/>
        <w:jc w:val="center"/>
        <w:rPr>
          <w:rFonts w:ascii="仿宋_GB2312" w:eastAsia="仿宋_GB2312"/>
          <w:bCs/>
          <w:sz w:val="30"/>
          <w:szCs w:val="30"/>
        </w:rPr>
      </w:pPr>
      <w:r>
        <w:rPr>
          <w:rFonts w:hint="eastAsia" w:ascii="仿宋_GB2312" w:eastAsia="仿宋_GB2312"/>
          <w:bCs/>
          <w:sz w:val="30"/>
          <w:szCs w:val="30"/>
        </w:rPr>
        <w:t>中药性状鉴别</w:t>
      </w:r>
      <w:r>
        <w:rPr>
          <w:rFonts w:ascii="仿宋_GB2312" w:eastAsia="仿宋_GB2312"/>
          <w:bCs/>
          <w:sz w:val="30"/>
          <w:szCs w:val="30"/>
        </w:rPr>
        <w:t>--</w:t>
      </w:r>
      <w:r>
        <w:rPr>
          <w:rFonts w:hint="eastAsia" w:ascii="仿宋_GB2312" w:eastAsia="仿宋_GB2312"/>
          <w:bCs/>
          <w:sz w:val="30"/>
          <w:szCs w:val="30"/>
        </w:rPr>
        <w:t>真伪鉴别</w:t>
      </w:r>
    </w:p>
    <w:tbl>
      <w:tblPr>
        <w:tblStyle w:val="14"/>
        <w:tblW w:w="85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811"/>
        <w:gridCol w:w="1559"/>
        <w:gridCol w:w="1985"/>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snapToGrid w:val="0"/>
              <w:jc w:val="center"/>
              <w:rPr>
                <w:rFonts w:asciiTheme="minorEastAsia" w:hAnsiTheme="minorEastAsia" w:eastAsiaTheme="minorEastAsia"/>
                <w:b/>
                <w:color w:val="000000"/>
                <w:sz w:val="24"/>
                <w:szCs w:val="24"/>
              </w:rPr>
            </w:pPr>
            <w:r>
              <w:rPr>
                <w:rFonts w:asciiTheme="minorEastAsia" w:hAnsiTheme="minorEastAsia" w:eastAsiaTheme="minorEastAsia"/>
                <w:b/>
                <w:color w:val="000000"/>
                <w:sz w:val="24"/>
                <w:szCs w:val="24"/>
              </w:rPr>
              <w:t>编号</w:t>
            </w:r>
          </w:p>
        </w:tc>
        <w:tc>
          <w:tcPr>
            <w:tcW w:w="2811" w:type="dxa"/>
            <w:shd w:val="clear" w:color="auto" w:fill="auto"/>
            <w:vAlign w:val="center"/>
          </w:tcPr>
          <w:p>
            <w:pPr>
              <w:widowControl/>
              <w:adjustRightInd w:val="0"/>
              <w:snapToGrid w:val="0"/>
              <w:jc w:val="center"/>
              <w:rPr>
                <w:rFonts w:asciiTheme="minorEastAsia" w:hAnsiTheme="minorEastAsia" w:eastAsiaTheme="minorEastAsia"/>
                <w:b/>
                <w:color w:val="000000"/>
                <w:kern w:val="0"/>
                <w:sz w:val="24"/>
                <w:szCs w:val="24"/>
              </w:rPr>
            </w:pPr>
            <w:r>
              <w:rPr>
                <w:rFonts w:asciiTheme="minorEastAsia" w:hAnsiTheme="minorEastAsia" w:eastAsiaTheme="minorEastAsia"/>
                <w:b/>
                <w:color w:val="000000"/>
                <w:kern w:val="0"/>
                <w:sz w:val="24"/>
                <w:szCs w:val="24"/>
              </w:rPr>
              <w:t>标注药名</w:t>
            </w:r>
          </w:p>
        </w:tc>
        <w:tc>
          <w:tcPr>
            <w:tcW w:w="1559" w:type="dxa"/>
            <w:shd w:val="clear" w:color="auto" w:fill="auto"/>
            <w:vAlign w:val="center"/>
          </w:tcPr>
          <w:p>
            <w:pPr>
              <w:widowControl/>
              <w:adjustRightInd w:val="0"/>
              <w:snapToGrid w:val="0"/>
              <w:jc w:val="center"/>
              <w:rPr>
                <w:rFonts w:asciiTheme="minorEastAsia" w:hAnsiTheme="minorEastAsia" w:eastAsiaTheme="minorEastAsia"/>
                <w:b/>
                <w:color w:val="000000"/>
                <w:kern w:val="0"/>
                <w:sz w:val="24"/>
                <w:szCs w:val="24"/>
              </w:rPr>
            </w:pPr>
            <w:r>
              <w:rPr>
                <w:rFonts w:asciiTheme="minorEastAsia" w:hAnsiTheme="minorEastAsia" w:eastAsiaTheme="minorEastAsia"/>
                <w:b/>
                <w:color w:val="000000"/>
                <w:kern w:val="0"/>
                <w:sz w:val="24"/>
                <w:szCs w:val="24"/>
              </w:rPr>
              <w:t>正品</w:t>
            </w:r>
          </w:p>
        </w:tc>
        <w:tc>
          <w:tcPr>
            <w:tcW w:w="1985" w:type="dxa"/>
            <w:shd w:val="clear" w:color="auto" w:fill="auto"/>
            <w:vAlign w:val="center"/>
          </w:tcPr>
          <w:p>
            <w:pPr>
              <w:widowControl/>
              <w:adjustRightInd w:val="0"/>
              <w:snapToGrid w:val="0"/>
              <w:jc w:val="center"/>
              <w:rPr>
                <w:rFonts w:asciiTheme="minorEastAsia" w:hAnsiTheme="minorEastAsia" w:eastAsiaTheme="minorEastAsia"/>
                <w:b/>
                <w:color w:val="000000"/>
                <w:kern w:val="0"/>
                <w:sz w:val="24"/>
                <w:szCs w:val="24"/>
              </w:rPr>
            </w:pPr>
            <w:r>
              <w:rPr>
                <w:rFonts w:asciiTheme="minorEastAsia" w:hAnsiTheme="minorEastAsia" w:eastAsiaTheme="minorEastAsia"/>
                <w:b/>
                <w:color w:val="000000"/>
                <w:kern w:val="0"/>
                <w:sz w:val="24"/>
                <w:szCs w:val="24"/>
              </w:rPr>
              <w:t>伪品</w:t>
            </w:r>
          </w:p>
        </w:tc>
        <w:tc>
          <w:tcPr>
            <w:tcW w:w="1216" w:type="dxa"/>
            <w:vAlign w:val="center"/>
          </w:tcPr>
          <w:p>
            <w:pPr>
              <w:snapToGrid w:val="0"/>
              <w:jc w:val="center"/>
              <w:rPr>
                <w:rFonts w:asciiTheme="minorEastAsia" w:hAnsiTheme="minorEastAsia" w:eastAsiaTheme="minorEastAsia"/>
                <w:b/>
                <w:color w:val="000000"/>
                <w:spacing w:val="-20"/>
                <w:sz w:val="24"/>
                <w:szCs w:val="24"/>
              </w:rPr>
            </w:pPr>
            <w:r>
              <w:rPr>
                <w:rFonts w:hint="eastAsia" w:asciiTheme="minorEastAsia" w:hAnsiTheme="minorEastAsia" w:eastAsiaTheme="minorEastAsia"/>
                <w:b/>
                <w:color w:val="000000"/>
                <w:spacing w:val="-20"/>
                <w:sz w:val="24"/>
                <w:szCs w:val="24"/>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1</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人参</w:t>
            </w:r>
          </w:p>
        </w:tc>
        <w:tc>
          <w:tcPr>
            <w:tcW w:w="1559" w:type="dxa"/>
            <w:shd w:val="clear" w:color="auto" w:fill="auto"/>
            <w:vAlign w:val="center"/>
          </w:tcPr>
          <w:p>
            <w:pPr>
              <w:snapToGrid w:val="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w:t>
            </w:r>
          </w:p>
        </w:tc>
        <w:tc>
          <w:tcPr>
            <w:tcW w:w="1985" w:type="dxa"/>
            <w:shd w:val="clear" w:color="auto" w:fill="auto"/>
            <w:vAlign w:val="center"/>
          </w:tcPr>
          <w:p>
            <w:pPr>
              <w:snapToGrid w:val="0"/>
              <w:jc w:val="center"/>
              <w:rPr>
                <w:rFonts w:asciiTheme="minorEastAsia" w:hAnsiTheme="minorEastAsia" w:eastAsiaTheme="minorEastAsia"/>
                <w:color w:val="000000"/>
                <w:sz w:val="24"/>
                <w:szCs w:val="24"/>
              </w:rPr>
            </w:pPr>
          </w:p>
        </w:tc>
        <w:tc>
          <w:tcPr>
            <w:tcW w:w="1216" w:type="dxa"/>
            <w:vAlign w:val="center"/>
          </w:tcPr>
          <w:p>
            <w:pPr>
              <w:snapToGrid w:val="0"/>
              <w:jc w:val="center"/>
              <w:rPr>
                <w:rFonts w:asciiTheme="minorEastAsia" w:hAnsiTheme="minorEastAsia" w:eastAsiaTheme="minorEastAsia"/>
                <w:color w:val="000000"/>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2</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皂角刺</w:t>
            </w:r>
          </w:p>
        </w:tc>
        <w:tc>
          <w:tcPr>
            <w:tcW w:w="1559" w:type="dxa"/>
          </w:tcPr>
          <w:p>
            <w:pPr>
              <w:jc w:val="center"/>
              <w:rPr>
                <w:rFonts w:asciiTheme="minorEastAsia" w:hAnsiTheme="minorEastAsia" w:eastAsiaTheme="minorEastAsia"/>
                <w:bCs/>
                <w:color w:val="000000"/>
                <w:sz w:val="24"/>
                <w:szCs w:val="24"/>
              </w:rPr>
            </w:pPr>
          </w:p>
        </w:tc>
        <w:tc>
          <w:tcPr>
            <w:tcW w:w="1985" w:type="dxa"/>
          </w:tcPr>
          <w:p>
            <w:pPr>
              <w:jc w:val="center"/>
              <w:rPr>
                <w:rFonts w:asciiTheme="minorEastAsia" w:hAnsiTheme="minorEastAsia" w:eastAsiaTheme="minorEastAsia"/>
                <w:bCs/>
                <w:color w:val="000000"/>
                <w:sz w:val="24"/>
                <w:szCs w:val="24"/>
              </w:rPr>
            </w:pPr>
            <w:r>
              <w:rPr>
                <w:rFonts w:hint="eastAsia" w:asciiTheme="minorEastAsia" w:hAnsiTheme="minorEastAsia" w:eastAsiaTheme="minorEastAsia"/>
                <w:color w:val="000000"/>
                <w:sz w:val="24"/>
                <w:szCs w:val="24"/>
              </w:rPr>
              <w:t>√</w:t>
            </w: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3</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金钱草</w:t>
            </w:r>
          </w:p>
        </w:tc>
        <w:tc>
          <w:tcPr>
            <w:tcW w:w="1559" w:type="dxa"/>
          </w:tcPr>
          <w:p>
            <w:pPr>
              <w:jc w:val="center"/>
              <w:rPr>
                <w:rFonts w:asciiTheme="minorEastAsia" w:hAnsiTheme="minorEastAsia" w:eastAsiaTheme="minorEastAsia"/>
                <w:bCs/>
                <w:color w:val="000000"/>
                <w:sz w:val="24"/>
                <w:szCs w:val="24"/>
              </w:rPr>
            </w:pPr>
            <w:r>
              <w:rPr>
                <w:rFonts w:hint="eastAsia" w:asciiTheme="minorEastAsia" w:hAnsiTheme="minorEastAsia" w:eastAsiaTheme="minorEastAsia"/>
                <w:color w:val="000000"/>
                <w:sz w:val="24"/>
                <w:szCs w:val="24"/>
              </w:rPr>
              <w:t>√</w:t>
            </w:r>
          </w:p>
        </w:tc>
        <w:tc>
          <w:tcPr>
            <w:tcW w:w="1985" w:type="dxa"/>
          </w:tcPr>
          <w:p>
            <w:pPr>
              <w:jc w:val="center"/>
              <w:rPr>
                <w:rFonts w:asciiTheme="minorEastAsia" w:hAnsiTheme="minorEastAsia" w:eastAsiaTheme="minorEastAsia"/>
                <w:bCs/>
                <w:color w:val="000000"/>
                <w:sz w:val="24"/>
                <w:szCs w:val="24"/>
              </w:rPr>
            </w:pP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4</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石决明</w:t>
            </w:r>
          </w:p>
        </w:tc>
        <w:tc>
          <w:tcPr>
            <w:tcW w:w="1559" w:type="dxa"/>
          </w:tcPr>
          <w:p>
            <w:pPr>
              <w:jc w:val="center"/>
              <w:rPr>
                <w:rFonts w:asciiTheme="minorEastAsia" w:hAnsiTheme="minorEastAsia" w:eastAsiaTheme="minorEastAsia"/>
                <w:bCs/>
                <w:color w:val="000000"/>
                <w:sz w:val="24"/>
                <w:szCs w:val="24"/>
              </w:rPr>
            </w:pPr>
            <w:r>
              <w:rPr>
                <w:rFonts w:hint="eastAsia" w:asciiTheme="minorEastAsia" w:hAnsiTheme="minorEastAsia" w:eastAsiaTheme="minorEastAsia"/>
                <w:color w:val="000000"/>
                <w:sz w:val="24"/>
                <w:szCs w:val="24"/>
              </w:rPr>
              <w:t>√</w:t>
            </w:r>
          </w:p>
        </w:tc>
        <w:tc>
          <w:tcPr>
            <w:tcW w:w="1985" w:type="dxa"/>
          </w:tcPr>
          <w:p>
            <w:pPr>
              <w:jc w:val="center"/>
              <w:rPr>
                <w:rFonts w:asciiTheme="minorEastAsia" w:hAnsiTheme="minorEastAsia" w:eastAsiaTheme="minorEastAsia"/>
                <w:bCs/>
                <w:color w:val="000000"/>
                <w:sz w:val="24"/>
                <w:szCs w:val="24"/>
              </w:rPr>
            </w:pP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5</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金钱白花蛇</w:t>
            </w:r>
          </w:p>
        </w:tc>
        <w:tc>
          <w:tcPr>
            <w:tcW w:w="1559" w:type="dxa"/>
          </w:tcPr>
          <w:p>
            <w:pPr>
              <w:jc w:val="center"/>
              <w:rPr>
                <w:rFonts w:asciiTheme="minorEastAsia" w:hAnsiTheme="minorEastAsia" w:eastAsiaTheme="minorEastAsia"/>
                <w:bCs/>
                <w:color w:val="000000"/>
                <w:sz w:val="24"/>
                <w:szCs w:val="24"/>
              </w:rPr>
            </w:pPr>
            <w:r>
              <w:rPr>
                <w:rFonts w:hint="eastAsia" w:asciiTheme="minorEastAsia" w:hAnsiTheme="minorEastAsia" w:eastAsiaTheme="minorEastAsia"/>
                <w:color w:val="000000"/>
                <w:sz w:val="24"/>
                <w:szCs w:val="24"/>
              </w:rPr>
              <w:t>√</w:t>
            </w:r>
          </w:p>
        </w:tc>
        <w:tc>
          <w:tcPr>
            <w:tcW w:w="1985" w:type="dxa"/>
          </w:tcPr>
          <w:p>
            <w:pPr>
              <w:jc w:val="center"/>
              <w:rPr>
                <w:rFonts w:asciiTheme="minorEastAsia" w:hAnsiTheme="minorEastAsia" w:eastAsiaTheme="minorEastAsia"/>
                <w:bCs/>
                <w:color w:val="000000"/>
                <w:sz w:val="24"/>
                <w:szCs w:val="24"/>
              </w:rPr>
            </w:pP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6</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化橘红</w:t>
            </w:r>
          </w:p>
        </w:tc>
        <w:tc>
          <w:tcPr>
            <w:tcW w:w="1559" w:type="dxa"/>
          </w:tcPr>
          <w:p>
            <w:pPr>
              <w:jc w:val="center"/>
              <w:rPr>
                <w:rFonts w:asciiTheme="minorEastAsia" w:hAnsiTheme="minorEastAsia" w:eastAsiaTheme="minorEastAsia"/>
                <w:bCs/>
                <w:color w:val="000000"/>
                <w:sz w:val="24"/>
                <w:szCs w:val="24"/>
              </w:rPr>
            </w:pPr>
          </w:p>
        </w:tc>
        <w:tc>
          <w:tcPr>
            <w:tcW w:w="1985" w:type="dxa"/>
          </w:tcPr>
          <w:p>
            <w:pPr>
              <w:jc w:val="center"/>
              <w:rPr>
                <w:rFonts w:asciiTheme="minorEastAsia" w:hAnsiTheme="minorEastAsia" w:eastAsiaTheme="minorEastAsia"/>
                <w:bCs/>
                <w:color w:val="000000"/>
                <w:sz w:val="24"/>
                <w:szCs w:val="24"/>
              </w:rPr>
            </w:pPr>
            <w:r>
              <w:rPr>
                <w:rFonts w:hint="eastAsia" w:asciiTheme="minorEastAsia" w:hAnsiTheme="minorEastAsia" w:eastAsiaTheme="minorEastAsia"/>
                <w:color w:val="000000"/>
                <w:sz w:val="24"/>
                <w:szCs w:val="24"/>
              </w:rPr>
              <w:t>√</w:t>
            </w: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7</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白及</w:t>
            </w:r>
          </w:p>
        </w:tc>
        <w:tc>
          <w:tcPr>
            <w:tcW w:w="1559" w:type="dxa"/>
          </w:tcPr>
          <w:p>
            <w:pPr>
              <w:jc w:val="center"/>
              <w:rPr>
                <w:rFonts w:asciiTheme="minorEastAsia" w:hAnsiTheme="minorEastAsia" w:eastAsiaTheme="minorEastAsia"/>
                <w:bCs/>
                <w:color w:val="000000"/>
                <w:sz w:val="24"/>
                <w:szCs w:val="24"/>
              </w:rPr>
            </w:pPr>
            <w:r>
              <w:rPr>
                <w:rFonts w:hint="eastAsia" w:asciiTheme="minorEastAsia" w:hAnsiTheme="minorEastAsia" w:eastAsiaTheme="minorEastAsia"/>
                <w:color w:val="000000"/>
                <w:sz w:val="24"/>
                <w:szCs w:val="24"/>
              </w:rPr>
              <w:t>√</w:t>
            </w:r>
          </w:p>
        </w:tc>
        <w:tc>
          <w:tcPr>
            <w:tcW w:w="1985" w:type="dxa"/>
          </w:tcPr>
          <w:p>
            <w:pPr>
              <w:jc w:val="center"/>
              <w:rPr>
                <w:rFonts w:asciiTheme="minorEastAsia" w:hAnsiTheme="minorEastAsia" w:eastAsiaTheme="minorEastAsia"/>
                <w:bCs/>
                <w:color w:val="000000"/>
                <w:sz w:val="24"/>
                <w:szCs w:val="24"/>
              </w:rPr>
            </w:pP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8</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牛膝</w:t>
            </w:r>
          </w:p>
        </w:tc>
        <w:tc>
          <w:tcPr>
            <w:tcW w:w="1559" w:type="dxa"/>
          </w:tcPr>
          <w:p>
            <w:pPr>
              <w:jc w:val="center"/>
              <w:rPr>
                <w:rFonts w:asciiTheme="minorEastAsia" w:hAnsiTheme="minorEastAsia" w:eastAsiaTheme="minorEastAsia"/>
                <w:bCs/>
                <w:color w:val="000000"/>
                <w:sz w:val="24"/>
                <w:szCs w:val="24"/>
              </w:rPr>
            </w:pPr>
          </w:p>
        </w:tc>
        <w:tc>
          <w:tcPr>
            <w:tcW w:w="1985" w:type="dxa"/>
          </w:tcPr>
          <w:p>
            <w:pPr>
              <w:jc w:val="center"/>
              <w:rPr>
                <w:rFonts w:asciiTheme="minorEastAsia" w:hAnsiTheme="minorEastAsia" w:eastAsiaTheme="minorEastAsia"/>
                <w:bCs/>
                <w:color w:val="000000"/>
                <w:sz w:val="24"/>
                <w:szCs w:val="24"/>
              </w:rPr>
            </w:pPr>
            <w:r>
              <w:rPr>
                <w:rFonts w:hint="eastAsia" w:asciiTheme="minorEastAsia" w:hAnsiTheme="minorEastAsia" w:eastAsiaTheme="minorEastAsia"/>
                <w:color w:val="000000"/>
                <w:sz w:val="24"/>
                <w:szCs w:val="24"/>
              </w:rPr>
              <w:t>√</w:t>
            </w: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9</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金银花</w:t>
            </w:r>
          </w:p>
        </w:tc>
        <w:tc>
          <w:tcPr>
            <w:tcW w:w="1559" w:type="dxa"/>
          </w:tcPr>
          <w:p>
            <w:pPr>
              <w:jc w:val="center"/>
              <w:rPr>
                <w:rFonts w:asciiTheme="minorEastAsia" w:hAnsiTheme="minorEastAsia" w:eastAsiaTheme="minorEastAsia"/>
                <w:bCs/>
                <w:color w:val="000000"/>
                <w:sz w:val="24"/>
                <w:szCs w:val="24"/>
              </w:rPr>
            </w:pPr>
          </w:p>
        </w:tc>
        <w:tc>
          <w:tcPr>
            <w:tcW w:w="1985" w:type="dxa"/>
          </w:tcPr>
          <w:p>
            <w:pPr>
              <w:jc w:val="center"/>
              <w:rPr>
                <w:rFonts w:asciiTheme="minorEastAsia" w:hAnsiTheme="minorEastAsia" w:eastAsiaTheme="minorEastAsia"/>
                <w:bCs/>
                <w:color w:val="000000"/>
                <w:sz w:val="24"/>
                <w:szCs w:val="24"/>
              </w:rPr>
            </w:pPr>
            <w:r>
              <w:rPr>
                <w:rFonts w:hint="eastAsia" w:asciiTheme="minorEastAsia" w:hAnsiTheme="minorEastAsia" w:eastAsiaTheme="minorEastAsia"/>
                <w:color w:val="000000"/>
                <w:sz w:val="24"/>
                <w:szCs w:val="24"/>
              </w:rPr>
              <w:t>√</w:t>
            </w: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6" w:type="dxa"/>
            <w:shd w:val="clear" w:color="auto" w:fill="auto"/>
            <w:vAlign w:val="center"/>
          </w:tcPr>
          <w:p>
            <w:pPr>
              <w:widowControl/>
              <w:adjustRightInd w:val="0"/>
              <w:snapToGrid w:val="0"/>
              <w:jc w:val="center"/>
              <w:rPr>
                <w:rFonts w:asciiTheme="minorEastAsia" w:hAnsiTheme="minorEastAsia" w:eastAsiaTheme="minorEastAsia"/>
                <w:color w:val="000000"/>
                <w:kern w:val="0"/>
                <w:sz w:val="24"/>
                <w:szCs w:val="24"/>
              </w:rPr>
            </w:pPr>
            <w:r>
              <w:rPr>
                <w:rFonts w:asciiTheme="minorEastAsia" w:hAnsiTheme="minorEastAsia" w:eastAsiaTheme="minorEastAsia"/>
                <w:color w:val="000000"/>
                <w:kern w:val="0"/>
                <w:sz w:val="24"/>
                <w:szCs w:val="24"/>
              </w:rPr>
              <w:t>10</w:t>
            </w:r>
          </w:p>
        </w:tc>
        <w:tc>
          <w:tcPr>
            <w:tcW w:w="2811" w:type="dxa"/>
            <w:shd w:val="clear" w:color="auto" w:fill="auto"/>
            <w:vAlign w:val="center"/>
          </w:tcPr>
          <w:p>
            <w:pPr>
              <w:ind w:firstLine="576" w:firstLineChars="24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银柴胡</w:t>
            </w:r>
          </w:p>
        </w:tc>
        <w:tc>
          <w:tcPr>
            <w:tcW w:w="1559" w:type="dxa"/>
          </w:tcPr>
          <w:p>
            <w:pPr>
              <w:jc w:val="center"/>
              <w:rPr>
                <w:rFonts w:asciiTheme="minorEastAsia" w:hAnsiTheme="minorEastAsia" w:eastAsiaTheme="minorEastAsia"/>
                <w:bCs/>
                <w:color w:val="000000"/>
                <w:sz w:val="24"/>
                <w:szCs w:val="24"/>
              </w:rPr>
            </w:pPr>
            <w:r>
              <w:rPr>
                <w:rFonts w:hint="eastAsia" w:asciiTheme="minorEastAsia" w:hAnsiTheme="minorEastAsia" w:eastAsiaTheme="minorEastAsia"/>
                <w:color w:val="000000"/>
                <w:sz w:val="24"/>
                <w:szCs w:val="24"/>
              </w:rPr>
              <w:t>√</w:t>
            </w:r>
          </w:p>
        </w:tc>
        <w:tc>
          <w:tcPr>
            <w:tcW w:w="1985" w:type="dxa"/>
          </w:tcPr>
          <w:p>
            <w:pPr>
              <w:jc w:val="center"/>
              <w:rPr>
                <w:rFonts w:asciiTheme="minorEastAsia" w:hAnsiTheme="minorEastAsia" w:eastAsiaTheme="minorEastAsia"/>
                <w:bCs/>
                <w:color w:val="000000"/>
                <w:sz w:val="24"/>
                <w:szCs w:val="24"/>
              </w:rPr>
            </w:pP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371" w:type="dxa"/>
            <w:gridSpan w:val="4"/>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b/>
                <w:kern w:val="0"/>
                <w:sz w:val="24"/>
                <w:szCs w:val="24"/>
              </w:rPr>
            </w:pPr>
            <w:r>
              <w:rPr>
                <w:rFonts w:asciiTheme="minorEastAsia" w:hAnsiTheme="minorEastAsia" w:eastAsiaTheme="minorEastAsia"/>
                <w:b/>
                <w:kern w:val="0"/>
                <w:sz w:val="24"/>
                <w:szCs w:val="24"/>
              </w:rPr>
              <w:t>扣分合计</w:t>
            </w: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371" w:type="dxa"/>
            <w:gridSpan w:val="4"/>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得分合计（满分50分）</w:t>
            </w:r>
          </w:p>
        </w:tc>
        <w:tc>
          <w:tcPr>
            <w:tcW w:w="1216" w:type="dxa"/>
            <w:shd w:val="clear" w:color="auto" w:fill="auto"/>
            <w:vAlign w:val="center"/>
          </w:tcPr>
          <w:p>
            <w:pPr>
              <w:jc w:val="center"/>
              <w:rPr>
                <w:rFonts w:asciiTheme="minorEastAsia" w:hAnsiTheme="minorEastAsia" w:eastAsiaTheme="minorEastAsia"/>
                <w:bCs/>
                <w:color w:val="000000"/>
                <w:sz w:val="24"/>
                <w:szCs w:val="24"/>
              </w:rPr>
            </w:pPr>
          </w:p>
        </w:tc>
      </w:tr>
    </w:tbl>
    <w:p>
      <w:pPr>
        <w:adjustRightInd w:val="0"/>
        <w:snapToGrid w:val="0"/>
        <w:spacing w:line="560" w:lineRule="exact"/>
        <w:ind w:firstLine="450" w:firstLineChars="150"/>
        <w:rPr>
          <w:rFonts w:ascii="仿宋_GB2312" w:hAnsi="仿宋" w:eastAsia="仿宋_GB2312" w:cs="仿宋"/>
          <w:sz w:val="30"/>
          <w:szCs w:val="30"/>
          <w:lang w:val="zh-CN"/>
        </w:rPr>
      </w:pPr>
      <w:bookmarkStart w:id="3" w:name="_Toc513563336"/>
      <w:r>
        <w:rPr>
          <w:rFonts w:hint="eastAsia" w:ascii="仿宋_GB2312" w:hAnsi="仿宋" w:eastAsia="仿宋_GB2312" w:cs="仿宋"/>
          <w:sz w:val="30"/>
          <w:szCs w:val="30"/>
          <w:lang w:val="zh-CN"/>
        </w:rPr>
        <w:t>2.中药显微鉴别样题</w:t>
      </w:r>
      <w:bookmarkEnd w:id="3"/>
    </w:p>
    <w:p>
      <w:pPr>
        <w:adjustRightInd w:val="0"/>
        <w:snapToGrid w:val="0"/>
        <w:spacing w:line="560" w:lineRule="exact"/>
        <w:jc w:val="center"/>
        <w:rPr>
          <w:rFonts w:ascii="仿宋_GB2312" w:eastAsia="仿宋_GB2312"/>
          <w:bCs/>
          <w:sz w:val="30"/>
          <w:szCs w:val="30"/>
        </w:rPr>
      </w:pPr>
      <w:r>
        <w:rPr>
          <w:rFonts w:hint="eastAsia" w:ascii="仿宋_GB2312" w:eastAsia="仿宋_GB2312"/>
          <w:bCs/>
          <w:sz w:val="30"/>
          <w:szCs w:val="30"/>
        </w:rPr>
        <w:t>2019年全国职业院校技能大赛高职组中药传统技能赛项</w:t>
      </w:r>
    </w:p>
    <w:p>
      <w:pPr>
        <w:adjustRightInd w:val="0"/>
        <w:snapToGrid w:val="0"/>
        <w:spacing w:line="560" w:lineRule="exact"/>
        <w:jc w:val="center"/>
        <w:rPr>
          <w:rFonts w:ascii="仿宋_GB2312" w:eastAsia="仿宋_GB2312"/>
          <w:bCs/>
          <w:sz w:val="30"/>
          <w:szCs w:val="30"/>
        </w:rPr>
      </w:pPr>
      <w:r>
        <w:rPr>
          <w:rFonts w:hint="eastAsia" w:ascii="仿宋_GB2312" w:eastAsia="仿宋_GB2312"/>
          <w:bCs/>
          <w:sz w:val="30"/>
          <w:szCs w:val="30"/>
        </w:rPr>
        <w:t>中药显微鉴别</w:t>
      </w:r>
    </w:p>
    <w:p>
      <w:pPr>
        <w:adjustRightInd w:val="0"/>
        <w:snapToGrid w:val="0"/>
        <w:spacing w:line="560" w:lineRule="exact"/>
        <w:ind w:firstLine="600" w:firstLineChars="200"/>
        <w:jc w:val="left"/>
        <w:rPr>
          <w:rFonts w:ascii="仿宋_GB2312" w:eastAsia="仿宋_GB2312"/>
          <w:bCs/>
          <w:sz w:val="30"/>
          <w:szCs w:val="30"/>
        </w:rPr>
      </w:pPr>
      <w:r>
        <w:rPr>
          <w:rFonts w:hint="eastAsia" w:ascii="仿宋_GB2312" w:eastAsia="仿宋_GB2312"/>
          <w:bCs/>
          <w:sz w:val="30"/>
          <w:szCs w:val="30"/>
        </w:rPr>
        <w:t>要求：请在45分钟内，按照《中国药典》（2015年版）规定的方法，将1包未知混合粉末（2种中药）通过显微鉴别，包括显微制片、显微观察，绘出粉末显微鉴别特征图，得出结论，并写出其理由。</w:t>
      </w:r>
    </w:p>
    <w:p>
      <w:pPr>
        <w:adjustRightInd w:val="0"/>
        <w:snapToGrid w:val="0"/>
        <w:spacing w:line="560" w:lineRule="exact"/>
        <w:jc w:val="center"/>
        <w:rPr>
          <w:rFonts w:ascii="仿宋_GB2312" w:eastAsia="仿宋_GB2312"/>
          <w:bCs/>
          <w:sz w:val="30"/>
          <w:szCs w:val="30"/>
        </w:rPr>
      </w:pPr>
      <w:r>
        <w:rPr>
          <w:rFonts w:hint="eastAsia" w:ascii="仿宋_GB2312" w:eastAsia="仿宋_GB2312"/>
          <w:bCs/>
          <w:sz w:val="30"/>
          <w:szCs w:val="30"/>
        </w:rPr>
        <w:t>标准答案样题</w:t>
      </w:r>
    </w:p>
    <w:p>
      <w:pPr>
        <w:adjustRightInd w:val="0"/>
        <w:snapToGrid w:val="0"/>
        <w:spacing w:line="560" w:lineRule="exact"/>
        <w:ind w:firstLine="600" w:firstLineChars="200"/>
        <w:jc w:val="left"/>
        <w:rPr>
          <w:rFonts w:ascii="仿宋_GB2312" w:eastAsia="仿宋_GB2312"/>
          <w:bCs/>
          <w:sz w:val="30"/>
          <w:szCs w:val="30"/>
        </w:rPr>
      </w:pPr>
      <w:r>
        <w:rPr>
          <w:rFonts w:hint="eastAsia" w:ascii="仿宋_GB2312" w:eastAsia="仿宋_GB2312"/>
          <w:bCs/>
          <w:sz w:val="30"/>
          <w:szCs w:val="30"/>
        </w:rPr>
        <w:t>显微镜下的粉末特征图：</w:t>
      </w:r>
    </w:p>
    <w:p>
      <w:pPr>
        <w:spacing w:before="156" w:beforeLines="50" w:after="156" w:afterLines="50" w:line="480" w:lineRule="auto"/>
        <w:jc w:val="center"/>
        <w:rPr>
          <w:rFonts w:ascii="Times New Roman" w:hAnsi="Times New Roman" w:cs="Times New Roman"/>
          <w:bCs/>
          <w:color w:val="000000"/>
          <w:sz w:val="28"/>
          <w:szCs w:val="28"/>
        </w:rPr>
      </w:pPr>
      <w:r>
        <w:rPr>
          <w:rFonts w:ascii="Times New Roman" w:hAnsi="Times New Roman" w:cs="Times New Roman"/>
          <w:color w:val="FF6600"/>
        </w:rPr>
        <w:drawing>
          <wp:inline distT="0" distB="0" distL="0" distR="0">
            <wp:extent cx="4123690" cy="3648710"/>
            <wp:effectExtent l="0" t="0" r="0" b="8890"/>
            <wp:docPr id="14" name="图片 14" descr="黄芩粉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黄芩粉末图"/>
                    <pic:cNvPicPr>
                      <a:picLocks noChangeAspect="1" noChangeArrowheads="1"/>
                    </pic:cNvPicPr>
                  </pic:nvPicPr>
                  <pic:blipFill>
                    <a:blip r:embed="rId6">
                      <a:extLst>
                        <a:ext uri="{28A0092B-C50C-407E-A947-70E740481C1C}">
                          <a14:useLocalDpi xmlns:a14="http://schemas.microsoft.com/office/drawing/2010/main" val="0"/>
                        </a:ext>
                      </a:extLst>
                    </a:blip>
                    <a:srcRect l="3683" t="2196" r="1315" b="2556"/>
                    <a:stretch>
                      <a:fillRect/>
                    </a:stretch>
                  </pic:blipFill>
                  <pic:spPr>
                    <a:xfrm>
                      <a:off x="0" y="0"/>
                      <a:ext cx="4123690" cy="3648710"/>
                    </a:xfrm>
                    <a:prstGeom prst="rect">
                      <a:avLst/>
                    </a:prstGeom>
                    <a:noFill/>
                    <a:ln>
                      <a:noFill/>
                    </a:ln>
                  </pic:spPr>
                </pic:pic>
              </a:graphicData>
            </a:graphic>
          </wp:inline>
        </w:drawing>
      </w:r>
    </w:p>
    <w:p>
      <w:pPr>
        <w:adjustRightInd w:val="0"/>
        <w:snapToGrid w:val="0"/>
        <w:jc w:val="center"/>
        <w:rPr>
          <w:rFonts w:ascii="Times New Roman" w:hAnsi="Times New Roman" w:cs="Times New Roman"/>
        </w:rPr>
      </w:pPr>
      <w:r>
        <w:rPr>
          <w:rFonts w:hint="eastAsia" w:ascii="Times New Roman" w:hAnsi="Times New Roman" w:cs="Times New Roman"/>
        </w:rPr>
        <w:t xml:space="preserve">图1 </w:t>
      </w:r>
      <w:r>
        <w:rPr>
          <w:rFonts w:ascii="Times New Roman" w:hAnsi="Times New Roman" w:cs="Times New Roman"/>
        </w:rPr>
        <w:t>黄芩粉末图</w:t>
      </w:r>
    </w:p>
    <w:p>
      <w:pPr>
        <w:adjustRightInd w:val="0"/>
        <w:snapToGrid w:val="0"/>
        <w:jc w:val="center"/>
        <w:rPr>
          <w:rFonts w:ascii="Times New Roman" w:hAnsi="Times New Roman" w:cs="Times New Roman"/>
        </w:rPr>
      </w:pPr>
      <w:r>
        <w:rPr>
          <w:rFonts w:ascii="Times New Roman" w:hAnsi="Times New Roman" w:cs="Times New Roman"/>
        </w:rPr>
        <w:t xml:space="preserve">1.韧皮纤维 </w:t>
      </w:r>
      <w:r>
        <w:rPr>
          <w:rFonts w:hint="eastAsia" w:ascii="Times New Roman" w:hAnsi="Times New Roman" w:cs="Times New Roman"/>
        </w:rPr>
        <w:t xml:space="preserve"> </w:t>
      </w:r>
      <w:r>
        <w:rPr>
          <w:rFonts w:ascii="Times New Roman" w:hAnsi="Times New Roman" w:cs="Times New Roman"/>
        </w:rPr>
        <w:t>2.石细胞  3. 木栓细胞  4.导管  5.木纤维 6.淀粉粒</w:t>
      </w:r>
    </w:p>
    <w:p>
      <w:pPr>
        <w:jc w:val="center"/>
        <w:rPr>
          <w:rFonts w:ascii="Times New Roman" w:hAnsi="Times New Roman" w:cs="Times New Roman"/>
          <w:szCs w:val="24"/>
        </w:rPr>
      </w:pPr>
      <w:r>
        <w:rPr>
          <w:rFonts w:hint="eastAsia" w:ascii="Times New Roman" w:hAnsi="Times New Roman" w:cs="Times New Roman"/>
          <w:szCs w:val="24"/>
        </w:rPr>
        <w:drawing>
          <wp:inline distT="0" distB="0" distL="0" distR="0">
            <wp:extent cx="4218305" cy="3200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a:lum bright="2000"/>
                      <a:extLst>
                        <a:ext uri="{28A0092B-C50C-407E-A947-70E740481C1C}">
                          <a14:useLocalDpi xmlns:a14="http://schemas.microsoft.com/office/drawing/2010/main" val="0"/>
                        </a:ext>
                      </a:extLst>
                    </a:blip>
                    <a:srcRect/>
                    <a:stretch>
                      <a:fillRect/>
                    </a:stretch>
                  </pic:blipFill>
                  <pic:spPr>
                    <a:xfrm>
                      <a:off x="0" y="0"/>
                      <a:ext cx="4218305" cy="3200400"/>
                    </a:xfrm>
                    <a:prstGeom prst="rect">
                      <a:avLst/>
                    </a:prstGeom>
                    <a:noFill/>
                    <a:ln>
                      <a:noFill/>
                    </a:ln>
                  </pic:spPr>
                </pic:pic>
              </a:graphicData>
            </a:graphic>
          </wp:inline>
        </w:drawing>
      </w:r>
    </w:p>
    <w:p>
      <w:pPr>
        <w:ind w:right="-21"/>
        <w:jc w:val="center"/>
        <w:rPr>
          <w:rFonts w:ascii="Times New Roman" w:hAnsi="Times New Roman" w:cs="Times New Roman"/>
          <w:color w:val="000000"/>
          <w:szCs w:val="24"/>
        </w:rPr>
      </w:pPr>
      <w:r>
        <w:rPr>
          <w:rFonts w:hint="eastAsia" w:ascii="Times New Roman" w:hAnsi="Times New Roman" w:cs="Times New Roman"/>
          <w:color w:val="000000"/>
          <w:szCs w:val="24"/>
        </w:rPr>
        <w:t>图2  丁香粉末图</w:t>
      </w:r>
    </w:p>
    <w:p>
      <w:pPr>
        <w:adjustRightInd w:val="0"/>
        <w:snapToGrid w:val="0"/>
        <w:jc w:val="center"/>
        <w:rPr>
          <w:rFonts w:ascii="Times New Roman" w:hAnsi="Times New Roman" w:cs="Times New Roman"/>
        </w:rPr>
      </w:pPr>
      <w:r>
        <w:rPr>
          <w:rFonts w:ascii="Times New Roman" w:hAnsi="Times New Roman" w:cs="Times New Roman"/>
          <w:color w:val="000000"/>
          <w:szCs w:val="24"/>
        </w:rPr>
        <w:t>1.</w:t>
      </w:r>
      <w:r>
        <w:rPr>
          <w:rFonts w:hint="eastAsia" w:ascii="Times New Roman" w:hAnsi="Times New Roman" w:cs="Times New Roman"/>
          <w:color w:val="000000"/>
          <w:szCs w:val="24"/>
        </w:rPr>
        <w:t xml:space="preserve">花粉粒 </w:t>
      </w:r>
      <w:r>
        <w:rPr>
          <w:rFonts w:ascii="Times New Roman" w:hAnsi="Times New Roman" w:cs="Times New Roman"/>
          <w:color w:val="000000"/>
          <w:szCs w:val="24"/>
        </w:rPr>
        <w:t>2.</w:t>
      </w:r>
      <w:r>
        <w:rPr>
          <w:rFonts w:hint="eastAsia" w:ascii="Times New Roman" w:hAnsi="Times New Roman" w:cs="Times New Roman"/>
          <w:color w:val="000000"/>
          <w:szCs w:val="24"/>
        </w:rPr>
        <w:t>油室</w:t>
      </w:r>
      <w:r>
        <w:rPr>
          <w:rFonts w:ascii="Times New Roman" w:hAnsi="Times New Roman" w:cs="Times New Roman"/>
          <w:color w:val="000000"/>
          <w:szCs w:val="24"/>
        </w:rPr>
        <w:t xml:space="preserve"> </w:t>
      </w:r>
      <w:r>
        <w:rPr>
          <w:rFonts w:hint="eastAsia" w:ascii="Times New Roman" w:hAnsi="Times New Roman" w:cs="Times New Roman"/>
          <w:color w:val="000000"/>
          <w:szCs w:val="24"/>
        </w:rPr>
        <w:t xml:space="preserve"> </w:t>
      </w:r>
      <w:r>
        <w:rPr>
          <w:rFonts w:ascii="Times New Roman" w:hAnsi="Times New Roman" w:cs="Times New Roman"/>
          <w:color w:val="000000"/>
          <w:szCs w:val="24"/>
        </w:rPr>
        <w:t>3.</w:t>
      </w:r>
      <w:r>
        <w:rPr>
          <w:rFonts w:hint="eastAsia" w:ascii="Times New Roman" w:hAnsi="Times New Roman" w:cs="Times New Roman"/>
          <w:color w:val="000000"/>
          <w:szCs w:val="24"/>
        </w:rPr>
        <w:t xml:space="preserve">纤维 </w:t>
      </w:r>
      <w:r>
        <w:rPr>
          <w:rFonts w:ascii="Times New Roman" w:hAnsi="Times New Roman" w:cs="Times New Roman"/>
          <w:color w:val="000000"/>
          <w:szCs w:val="24"/>
        </w:rPr>
        <w:t>4.</w:t>
      </w:r>
      <w:r>
        <w:rPr>
          <w:rFonts w:hint="eastAsia" w:ascii="Times New Roman" w:hAnsi="Times New Roman" w:cs="Times New Roman"/>
          <w:color w:val="000000"/>
          <w:szCs w:val="24"/>
        </w:rPr>
        <w:t xml:space="preserve">草酸钙簇晶 </w:t>
      </w:r>
      <w:r>
        <w:rPr>
          <w:rFonts w:ascii="Times New Roman" w:hAnsi="Times New Roman" w:cs="Times New Roman"/>
          <w:color w:val="000000"/>
          <w:szCs w:val="24"/>
        </w:rPr>
        <w:t>5.</w:t>
      </w:r>
      <w:r>
        <w:rPr>
          <w:rFonts w:hint="eastAsia" w:ascii="Times New Roman" w:hAnsi="Times New Roman" w:cs="Times New Roman"/>
          <w:color w:val="000000"/>
          <w:szCs w:val="24"/>
        </w:rPr>
        <w:t>花粉囊内壁细胞</w:t>
      </w:r>
    </w:p>
    <w:p>
      <w:pPr>
        <w:adjustRightInd w:val="0"/>
        <w:snapToGrid w:val="0"/>
        <w:spacing w:line="560" w:lineRule="exact"/>
        <w:ind w:firstLine="600" w:firstLineChars="200"/>
        <w:jc w:val="left"/>
        <w:rPr>
          <w:rFonts w:ascii="仿宋_GB2312" w:eastAsia="仿宋_GB2312"/>
          <w:bCs/>
          <w:sz w:val="30"/>
          <w:szCs w:val="30"/>
        </w:rPr>
      </w:pPr>
      <w:r>
        <w:rPr>
          <w:rFonts w:hint="eastAsia" w:ascii="仿宋_GB2312" w:eastAsia="仿宋_GB2312"/>
          <w:bCs/>
          <w:sz w:val="30"/>
          <w:szCs w:val="30"/>
        </w:rPr>
        <w:t xml:space="preserve">鉴别依据： </w:t>
      </w:r>
    </w:p>
    <w:p>
      <w:pPr>
        <w:adjustRightInd w:val="0"/>
        <w:snapToGrid w:val="0"/>
        <w:spacing w:line="560" w:lineRule="exact"/>
        <w:ind w:firstLine="600" w:firstLineChars="200"/>
        <w:jc w:val="left"/>
        <w:rPr>
          <w:rFonts w:ascii="仿宋_GB2312" w:eastAsia="仿宋_GB2312"/>
          <w:bCs/>
          <w:sz w:val="30"/>
          <w:szCs w:val="30"/>
        </w:rPr>
      </w:pPr>
      <w:r>
        <w:rPr>
          <w:rFonts w:hint="eastAsia" w:ascii="仿宋_GB2312" w:eastAsia="仿宋_GB2312"/>
          <w:bCs/>
          <w:sz w:val="30"/>
          <w:szCs w:val="30"/>
        </w:rPr>
        <w:t>图1中“</w:t>
      </w:r>
      <w:r>
        <w:rPr>
          <w:rFonts w:ascii="仿宋_GB2312" w:eastAsia="仿宋_GB2312"/>
          <w:bCs/>
          <w:sz w:val="30"/>
          <w:szCs w:val="30"/>
        </w:rPr>
        <w:t>1.韧皮纤维</w:t>
      </w:r>
      <w:r>
        <w:rPr>
          <w:rFonts w:hint="eastAsia" w:ascii="仿宋_GB2312" w:eastAsia="仿宋_GB2312"/>
          <w:bCs/>
          <w:sz w:val="30"/>
          <w:szCs w:val="30"/>
        </w:rPr>
        <w:t>；</w:t>
      </w:r>
      <w:r>
        <w:rPr>
          <w:rFonts w:ascii="仿宋_GB2312" w:eastAsia="仿宋_GB2312"/>
          <w:bCs/>
          <w:sz w:val="30"/>
          <w:szCs w:val="30"/>
        </w:rPr>
        <w:t>2.石细胞</w:t>
      </w:r>
      <w:r>
        <w:rPr>
          <w:rFonts w:hint="eastAsia" w:ascii="仿宋_GB2312" w:eastAsia="仿宋_GB2312"/>
          <w:bCs/>
          <w:sz w:val="30"/>
          <w:szCs w:val="30"/>
        </w:rPr>
        <w:t>；</w:t>
      </w:r>
      <w:r>
        <w:rPr>
          <w:rFonts w:ascii="仿宋_GB2312" w:eastAsia="仿宋_GB2312"/>
          <w:bCs/>
          <w:sz w:val="30"/>
          <w:szCs w:val="30"/>
        </w:rPr>
        <w:t>4.导管</w:t>
      </w:r>
      <w:r>
        <w:rPr>
          <w:rFonts w:hint="eastAsia" w:ascii="仿宋_GB2312" w:eastAsia="仿宋_GB2312"/>
          <w:bCs/>
          <w:sz w:val="30"/>
          <w:szCs w:val="30"/>
        </w:rPr>
        <w:t>”——</w:t>
      </w:r>
      <w:r>
        <w:rPr>
          <w:rFonts w:ascii="仿宋_GB2312" w:eastAsia="仿宋_GB2312"/>
          <w:bCs/>
          <w:sz w:val="30"/>
          <w:szCs w:val="30"/>
        </w:rPr>
        <w:t>黄芩</w:t>
      </w:r>
    </w:p>
    <w:p>
      <w:pPr>
        <w:adjustRightInd w:val="0"/>
        <w:snapToGrid w:val="0"/>
        <w:spacing w:line="560" w:lineRule="exact"/>
        <w:ind w:firstLine="600" w:firstLineChars="200"/>
        <w:jc w:val="left"/>
        <w:rPr>
          <w:rFonts w:ascii="仿宋_GB2312" w:eastAsia="仿宋_GB2312"/>
          <w:bCs/>
          <w:sz w:val="30"/>
          <w:szCs w:val="30"/>
        </w:rPr>
      </w:pPr>
      <w:r>
        <w:rPr>
          <w:rFonts w:hint="eastAsia" w:ascii="仿宋_GB2312" w:eastAsia="仿宋_GB2312"/>
          <w:bCs/>
          <w:sz w:val="30"/>
          <w:szCs w:val="30"/>
        </w:rPr>
        <w:t>图2中“</w:t>
      </w:r>
      <w:r>
        <w:rPr>
          <w:rFonts w:ascii="仿宋_GB2312" w:eastAsia="仿宋_GB2312"/>
          <w:bCs/>
          <w:sz w:val="30"/>
          <w:szCs w:val="30"/>
        </w:rPr>
        <w:t>1.</w:t>
      </w:r>
      <w:r>
        <w:rPr>
          <w:rFonts w:hint="eastAsia" w:ascii="仿宋_GB2312" w:eastAsia="仿宋_GB2312"/>
          <w:bCs/>
          <w:sz w:val="30"/>
          <w:szCs w:val="30"/>
        </w:rPr>
        <w:t>花粉粒 ；</w:t>
      </w:r>
      <w:r>
        <w:rPr>
          <w:rFonts w:ascii="仿宋_GB2312" w:eastAsia="仿宋_GB2312"/>
          <w:bCs/>
          <w:sz w:val="30"/>
          <w:szCs w:val="30"/>
        </w:rPr>
        <w:t>2.</w:t>
      </w:r>
      <w:r>
        <w:rPr>
          <w:rFonts w:hint="eastAsia" w:ascii="仿宋_GB2312" w:eastAsia="仿宋_GB2312"/>
          <w:bCs/>
          <w:sz w:val="30"/>
          <w:szCs w:val="30"/>
        </w:rPr>
        <w:t>油室；</w:t>
      </w:r>
      <w:r>
        <w:rPr>
          <w:rFonts w:ascii="仿宋_GB2312" w:eastAsia="仿宋_GB2312"/>
          <w:bCs/>
          <w:sz w:val="30"/>
          <w:szCs w:val="30"/>
        </w:rPr>
        <w:t>4.</w:t>
      </w:r>
      <w:r>
        <w:rPr>
          <w:rFonts w:hint="eastAsia" w:ascii="仿宋_GB2312" w:eastAsia="仿宋_GB2312"/>
          <w:bCs/>
          <w:sz w:val="30"/>
          <w:szCs w:val="30"/>
        </w:rPr>
        <w:t>草酸钙簇晶”——丁香</w:t>
      </w:r>
    </w:p>
    <w:p>
      <w:pPr>
        <w:adjustRightInd w:val="0"/>
        <w:snapToGrid w:val="0"/>
        <w:spacing w:line="560" w:lineRule="exact"/>
        <w:ind w:firstLine="600" w:firstLineChars="200"/>
        <w:jc w:val="left"/>
        <w:rPr>
          <w:rFonts w:ascii="仿宋_GB2312" w:eastAsia="仿宋_GB2312"/>
          <w:bCs/>
          <w:sz w:val="30"/>
          <w:szCs w:val="30"/>
        </w:rPr>
      </w:pPr>
      <w:r>
        <w:rPr>
          <w:rFonts w:hint="eastAsia" w:ascii="仿宋_GB2312" w:eastAsia="仿宋_GB2312"/>
          <w:bCs/>
          <w:sz w:val="30"/>
          <w:szCs w:val="30"/>
        </w:rPr>
        <w:t>鉴别结论：黄芩、丁香。</w:t>
      </w:r>
    </w:p>
    <w:p>
      <w:pPr>
        <w:adjustRightInd w:val="0"/>
        <w:snapToGrid w:val="0"/>
        <w:spacing w:line="560" w:lineRule="exact"/>
        <w:ind w:firstLine="450" w:firstLineChars="150"/>
        <w:rPr>
          <w:rFonts w:ascii="仿宋_GB2312" w:hAnsi="仿宋" w:eastAsia="仿宋_GB2312" w:cs="仿宋"/>
          <w:sz w:val="30"/>
          <w:szCs w:val="30"/>
          <w:lang w:val="zh-CN"/>
        </w:rPr>
      </w:pPr>
      <w:bookmarkStart w:id="4" w:name="_Toc513563337"/>
      <w:r>
        <w:rPr>
          <w:rFonts w:hint="eastAsia" w:ascii="仿宋_GB2312" w:hAnsi="仿宋" w:eastAsia="仿宋_GB2312" w:cs="仿宋"/>
          <w:sz w:val="30"/>
          <w:szCs w:val="30"/>
          <w:lang w:val="zh-CN"/>
        </w:rPr>
        <w:t>3.中药调剂样题</w:t>
      </w:r>
      <w:bookmarkEnd w:id="4"/>
    </w:p>
    <w:p>
      <w:pPr>
        <w:adjustRightInd w:val="0"/>
        <w:snapToGrid w:val="0"/>
        <w:spacing w:line="560" w:lineRule="exact"/>
        <w:ind w:firstLine="588" w:firstLineChars="196"/>
        <w:rPr>
          <w:rFonts w:ascii="仿宋_GB2312" w:eastAsia="仿宋_GB2312"/>
          <w:bCs/>
          <w:sz w:val="30"/>
          <w:szCs w:val="30"/>
        </w:rPr>
      </w:pPr>
      <w:r>
        <w:rPr>
          <w:rFonts w:hint="eastAsia" w:ascii="仿宋_GB2312" w:eastAsia="仿宋_GB2312"/>
          <w:bCs/>
          <w:sz w:val="30"/>
          <w:szCs w:val="30"/>
        </w:rPr>
        <w:t>中药调剂样题，包括审方理论考试样题、中药调剂操作样题。</w:t>
      </w:r>
    </w:p>
    <w:p>
      <w:pPr>
        <w:adjustRightInd w:val="0"/>
        <w:snapToGrid w:val="0"/>
        <w:spacing w:line="560" w:lineRule="exact"/>
        <w:ind w:firstLine="600" w:firstLineChars="200"/>
        <w:rPr>
          <w:rFonts w:ascii="仿宋_GB2312" w:eastAsia="仿宋_GB2312"/>
          <w:bCs/>
          <w:sz w:val="30"/>
          <w:szCs w:val="30"/>
        </w:rPr>
      </w:pPr>
      <w:r>
        <w:rPr>
          <w:rFonts w:hint="eastAsia" w:ascii="仿宋_GB2312" w:eastAsia="仿宋_GB2312"/>
          <w:bCs/>
          <w:sz w:val="30"/>
          <w:szCs w:val="30"/>
        </w:rPr>
        <w:t>（1）审方理论考试样题</w:t>
      </w:r>
    </w:p>
    <w:p>
      <w:pPr>
        <w:adjustRightInd w:val="0"/>
        <w:snapToGrid w:val="0"/>
        <w:spacing w:line="560" w:lineRule="exact"/>
        <w:ind w:firstLine="588" w:firstLineChars="196"/>
        <w:rPr>
          <w:rFonts w:ascii="仿宋_GB2312" w:eastAsia="仿宋_GB2312"/>
          <w:bCs/>
          <w:sz w:val="30"/>
          <w:szCs w:val="30"/>
        </w:rPr>
      </w:pPr>
      <w:r>
        <w:rPr>
          <w:rFonts w:hint="eastAsia" w:ascii="仿宋_GB2312" w:eastAsia="仿宋_GB2312"/>
          <w:bCs/>
          <w:sz w:val="30"/>
          <w:szCs w:val="30"/>
        </w:rPr>
        <w:t>201</w:t>
      </w:r>
      <w:r>
        <w:rPr>
          <w:rFonts w:ascii="仿宋_GB2312" w:eastAsia="仿宋_GB2312"/>
          <w:bCs/>
          <w:sz w:val="30"/>
          <w:szCs w:val="30"/>
        </w:rPr>
        <w:t>9</w:t>
      </w:r>
      <w:r>
        <w:rPr>
          <w:rFonts w:hint="eastAsia" w:ascii="仿宋_GB2312" w:eastAsia="仿宋_GB2312"/>
          <w:bCs/>
          <w:sz w:val="30"/>
          <w:szCs w:val="30"/>
        </w:rPr>
        <w:t>年全国职业院校技能大赛高职组中药传统技能赛</w:t>
      </w:r>
    </w:p>
    <w:p>
      <w:pPr>
        <w:adjustRightInd w:val="0"/>
        <w:snapToGrid w:val="0"/>
        <w:spacing w:line="560" w:lineRule="exact"/>
        <w:jc w:val="center"/>
        <w:rPr>
          <w:rFonts w:ascii="仿宋_GB2312" w:eastAsia="仿宋_GB2312"/>
          <w:bCs/>
          <w:sz w:val="30"/>
          <w:szCs w:val="30"/>
        </w:rPr>
      </w:pPr>
      <w:r>
        <w:rPr>
          <w:rFonts w:hint="eastAsia" w:ascii="仿宋_GB2312" w:eastAsia="仿宋_GB2312"/>
          <w:bCs/>
          <w:sz w:val="30"/>
          <w:szCs w:val="30"/>
        </w:rPr>
        <w:t>审方考试用处方笺</w:t>
      </w:r>
    </w:p>
    <w:p>
      <w:pPr>
        <w:rPr>
          <w:rFonts w:ascii="Times New Roman" w:hAnsi="Times New Roman" w:cs="Times New Roman"/>
          <w:sz w:val="36"/>
          <w:szCs w:val="36"/>
        </w:rPr>
      </w:pPr>
      <w:r>
        <w:rPr>
          <w:rFonts w:ascii="Times New Roman" w:hAnsi="Times New Roman" w:cs="Times New Roman"/>
          <w:szCs w:val="24"/>
        </w:rPr>
        <w:pict>
          <v:shape id="文本框 16" o:spid="_x0000_s1026" o:spt="202" type="#_x0000_t202" style="position:absolute;left:0pt;margin-left:333pt;margin-top:15.6pt;height:39pt;width:81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">
            <v:path/>
            <v:fill focussize="0,0"/>
            <v:stroke joinstyle="miter"/>
            <v:imagedata o:title=""/>
            <o:lock v:ext="edit"/>
            <v:textbox>
              <w:txbxContent>
                <w:p>
                  <w:pPr>
                    <w:rPr>
                      <w:b/>
                      <w:sz w:val="30"/>
                      <w:szCs w:val="30"/>
                    </w:rPr>
                  </w:pPr>
                  <w:r>
                    <w:rPr>
                      <w:rFonts w:hint="eastAsia"/>
                      <w:b/>
                      <w:sz w:val="30"/>
                      <w:szCs w:val="30"/>
                    </w:rPr>
                    <w:t>普通处方</w:t>
                  </w:r>
                </w:p>
              </w:txbxContent>
            </v:textbox>
          </v:shape>
        </w:pict>
      </w:r>
    </w:p>
    <w:p>
      <w:pPr>
        <w:spacing w:line="300" w:lineRule="auto"/>
        <w:rPr>
          <w:rFonts w:ascii="Times New Roman" w:hAnsi="Times New Roman" w:cs="Times New Roman"/>
          <w:sz w:val="32"/>
          <w:szCs w:val="32"/>
        </w:rPr>
      </w:pPr>
      <w:r>
        <w:rPr>
          <w:rFonts w:ascii="Times New Roman" w:hAnsi="Times New Roman" w:cs="Times New Roman"/>
          <w:szCs w:val="24"/>
        </w:rPr>
        <w:pict>
          <v:shape id="文本框 15" o:spid="_x0000_s1027" o:spt="202" type="#_x0000_t202" style="position:absolute;left:0pt;margin-left:9pt;margin-top:-15.6pt;height:39pt;width:72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">
            <v:path/>
            <v:fill focussize="0,0"/>
            <v:stroke joinstyle="miter"/>
            <v:imagedata o:title=""/>
            <o:lock v:ext="edit"/>
            <v:textbox>
              <w:txbxContent>
                <w:p>
                  <w:pPr>
                    <w:rPr>
                      <w:b/>
                      <w:sz w:val="30"/>
                      <w:szCs w:val="30"/>
                    </w:rPr>
                  </w:pPr>
                  <w:r>
                    <w:rPr>
                      <w:rFonts w:hint="eastAsia"/>
                      <w:b/>
                      <w:sz w:val="30"/>
                      <w:szCs w:val="30"/>
                    </w:rPr>
                    <w:t>处方A</w:t>
                  </w:r>
                </w:p>
              </w:txbxContent>
            </v:textbox>
          </v:shape>
        </w:pict>
      </w:r>
    </w:p>
    <w:p>
      <w:pPr>
        <w:spacing w:line="480" w:lineRule="auto"/>
        <w:rPr>
          <w:rFonts w:ascii="仿宋_GB2312" w:eastAsia="仿宋_GB2312"/>
          <w:bCs/>
          <w:sz w:val="30"/>
          <w:szCs w:val="30"/>
          <w:u w:val="single"/>
        </w:rPr>
      </w:pPr>
      <w:r>
        <w:rPr>
          <w:rFonts w:hint="eastAsia" w:ascii="仿宋_GB2312" w:eastAsia="仿宋_GB2312"/>
          <w:bCs/>
          <w:sz w:val="30"/>
          <w:szCs w:val="30"/>
          <w:u w:val="single"/>
        </w:rPr>
        <w:t xml:space="preserve">科别   儿科   </w:t>
      </w:r>
      <w:r>
        <w:rPr>
          <w:rFonts w:ascii="仿宋_GB2312" w:eastAsia="仿宋_GB2312"/>
          <w:bCs/>
          <w:sz w:val="30"/>
          <w:szCs w:val="30"/>
          <w:u w:val="single"/>
        </w:rPr>
        <w:t xml:space="preserve">  </w:t>
      </w:r>
      <w:r>
        <w:rPr>
          <w:rFonts w:hint="eastAsia" w:ascii="仿宋_GB2312" w:eastAsia="仿宋_GB2312"/>
          <w:bCs/>
          <w:sz w:val="30"/>
          <w:szCs w:val="30"/>
          <w:u w:val="single"/>
        </w:rPr>
        <w:t xml:space="preserve"> 门诊号  GS201</w:t>
      </w:r>
      <w:r>
        <w:rPr>
          <w:rFonts w:ascii="仿宋_GB2312" w:eastAsia="仿宋_GB2312"/>
          <w:bCs/>
          <w:sz w:val="30"/>
          <w:szCs w:val="30"/>
          <w:u w:val="single"/>
        </w:rPr>
        <w:t>9</w:t>
      </w:r>
      <w:r>
        <w:rPr>
          <w:rFonts w:hint="eastAsia" w:ascii="仿宋_GB2312" w:eastAsia="仿宋_GB2312"/>
          <w:bCs/>
          <w:sz w:val="30"/>
          <w:szCs w:val="30"/>
          <w:u w:val="single"/>
        </w:rPr>
        <w:t xml:space="preserve">01  </w:t>
      </w:r>
      <w:r>
        <w:rPr>
          <w:rFonts w:ascii="仿宋_GB2312" w:eastAsia="仿宋_GB2312"/>
          <w:bCs/>
          <w:sz w:val="30"/>
          <w:szCs w:val="30"/>
          <w:u w:val="single"/>
        </w:rPr>
        <w:t xml:space="preserve">  </w:t>
      </w:r>
      <w:r>
        <w:rPr>
          <w:rFonts w:hint="eastAsia" w:ascii="仿宋_GB2312" w:eastAsia="仿宋_GB2312"/>
          <w:bCs/>
          <w:sz w:val="30"/>
          <w:szCs w:val="30"/>
          <w:u w:val="single"/>
        </w:rPr>
        <w:t xml:space="preserve"> 201</w:t>
      </w:r>
      <w:r>
        <w:rPr>
          <w:rFonts w:ascii="仿宋_GB2312" w:eastAsia="仿宋_GB2312"/>
          <w:bCs/>
          <w:sz w:val="30"/>
          <w:szCs w:val="30"/>
          <w:u w:val="single"/>
        </w:rPr>
        <w:t>9</w:t>
      </w:r>
      <w:r>
        <w:rPr>
          <w:rFonts w:hint="eastAsia" w:ascii="仿宋_GB2312" w:eastAsia="仿宋_GB2312"/>
          <w:bCs/>
          <w:sz w:val="30"/>
          <w:szCs w:val="30"/>
          <w:u w:val="single"/>
        </w:rPr>
        <w:t xml:space="preserve"> 年</w:t>
      </w:r>
      <w:r>
        <w:rPr>
          <w:rFonts w:ascii="仿宋_GB2312" w:eastAsia="仿宋_GB2312"/>
          <w:bCs/>
          <w:sz w:val="30"/>
          <w:szCs w:val="30"/>
          <w:u w:val="single"/>
        </w:rPr>
        <w:t>*</w:t>
      </w:r>
      <w:r>
        <w:rPr>
          <w:rFonts w:hint="eastAsia" w:ascii="仿宋_GB2312" w:eastAsia="仿宋_GB2312"/>
          <w:bCs/>
          <w:sz w:val="30"/>
          <w:szCs w:val="30"/>
          <w:u w:val="single"/>
        </w:rPr>
        <w:t>月</w:t>
      </w:r>
      <w:r>
        <w:rPr>
          <w:rFonts w:ascii="仿宋_GB2312" w:eastAsia="仿宋_GB2312"/>
          <w:bCs/>
          <w:sz w:val="30"/>
          <w:szCs w:val="30"/>
          <w:u w:val="single"/>
        </w:rPr>
        <w:t>*</w:t>
      </w:r>
      <w:r>
        <w:rPr>
          <w:rFonts w:hint="eastAsia" w:ascii="仿宋_GB2312" w:eastAsia="仿宋_GB2312"/>
          <w:bCs/>
          <w:sz w:val="30"/>
          <w:szCs w:val="30"/>
          <w:u w:val="single"/>
        </w:rPr>
        <w:t xml:space="preserve">日 </w:t>
      </w:r>
    </w:p>
    <w:p>
      <w:pPr>
        <w:spacing w:line="480" w:lineRule="auto"/>
        <w:rPr>
          <w:rFonts w:ascii="仿宋_GB2312" w:eastAsia="仿宋_GB2312"/>
          <w:bCs/>
          <w:sz w:val="30"/>
          <w:szCs w:val="30"/>
          <w:u w:val="single"/>
        </w:rPr>
      </w:pPr>
      <w:r>
        <w:rPr>
          <w:rFonts w:hint="eastAsia" w:ascii="仿宋_GB2312" w:eastAsia="仿宋_GB2312"/>
          <w:bCs/>
          <w:sz w:val="30"/>
          <w:szCs w:val="30"/>
          <w:u w:val="single"/>
        </w:rPr>
        <w:t xml:space="preserve">姓名   王兰兰     性别    女          年龄   52 岁      </w:t>
      </w:r>
    </w:p>
    <w:p>
      <w:pPr>
        <w:spacing w:line="480" w:lineRule="auto"/>
        <w:rPr>
          <w:rFonts w:ascii="仿宋_GB2312" w:eastAsia="仿宋_GB2312"/>
          <w:bCs/>
          <w:sz w:val="30"/>
          <w:szCs w:val="30"/>
          <w:u w:val="single"/>
        </w:rPr>
      </w:pPr>
      <w:r>
        <w:rPr>
          <w:rFonts w:hint="eastAsia" w:ascii="仿宋_GB2312" w:eastAsia="仿宋_GB2312"/>
          <w:bCs/>
          <w:sz w:val="30"/>
          <w:szCs w:val="30"/>
          <w:u w:val="single"/>
        </w:rPr>
        <w:t xml:space="preserve">临床诊断      外感风寒                                          </w:t>
      </w:r>
    </w:p>
    <w:p>
      <w:pPr>
        <w:spacing w:line="480" w:lineRule="auto"/>
        <w:rPr>
          <w:rFonts w:ascii="仿宋_GB2312" w:eastAsia="仿宋_GB2312"/>
          <w:bCs/>
          <w:sz w:val="30"/>
          <w:szCs w:val="30"/>
        </w:rPr>
      </w:pPr>
      <w:r>
        <w:rPr>
          <w:rFonts w:hint="eastAsia" w:ascii="仿宋_GB2312" w:eastAsia="仿宋_GB2312"/>
          <w:bCs/>
          <w:sz w:val="30"/>
          <w:szCs w:val="30"/>
        </w:rPr>
        <w:t xml:space="preserve">R： </w:t>
      </w:r>
    </w:p>
    <w:tbl>
      <w:tblPr>
        <w:tblStyle w:val="14"/>
        <w:tblW w:w="8361" w:type="dxa"/>
        <w:jc w:val="center"/>
        <w:tblInd w:w="0" w:type="dxa"/>
        <w:tblLayout w:type="fixed"/>
        <w:tblCellMar>
          <w:top w:w="0" w:type="dxa"/>
          <w:left w:w="108" w:type="dxa"/>
          <w:bottom w:w="0" w:type="dxa"/>
          <w:right w:w="108" w:type="dxa"/>
        </w:tblCellMar>
      </w:tblPr>
      <w:tblGrid>
        <w:gridCol w:w="1672"/>
        <w:gridCol w:w="3353"/>
        <w:gridCol w:w="3336"/>
      </w:tblGrid>
      <w:tr>
        <w:tblPrEx>
          <w:tblLayout w:type="fixed"/>
          <w:tblCellMar>
            <w:top w:w="0" w:type="dxa"/>
            <w:left w:w="108" w:type="dxa"/>
            <w:bottom w:w="0" w:type="dxa"/>
            <w:right w:w="108" w:type="dxa"/>
          </w:tblCellMar>
        </w:tblPrEx>
        <w:trPr>
          <w:trHeight w:val="572" w:hRule="exact"/>
          <w:jc w:val="center"/>
        </w:trPr>
        <w:tc>
          <w:tcPr>
            <w:tcW w:w="1672" w:type="dxa"/>
            <w:vAlign w:val="center"/>
          </w:tcPr>
          <w:p>
            <w:pPr>
              <w:spacing w:line="480" w:lineRule="auto"/>
              <w:rPr>
                <w:rFonts w:ascii="仿宋_GB2312" w:eastAsia="仿宋_GB2312"/>
                <w:bCs/>
                <w:sz w:val="30"/>
                <w:szCs w:val="30"/>
              </w:rPr>
            </w:pPr>
            <w:r>
              <w:rPr>
                <w:rFonts w:hint="eastAsia" w:ascii="仿宋_GB2312" w:eastAsia="仿宋_GB2312"/>
                <w:bCs/>
                <w:sz w:val="30"/>
                <w:szCs w:val="30"/>
              </w:rPr>
              <w:t xml:space="preserve">         </w:t>
            </w:r>
          </w:p>
        </w:tc>
        <w:tc>
          <w:tcPr>
            <w:tcW w:w="3353" w:type="dxa"/>
            <w:vAlign w:val="center"/>
          </w:tcPr>
          <w:p>
            <w:pPr>
              <w:spacing w:line="360" w:lineRule="auto"/>
              <w:rPr>
                <w:rFonts w:ascii="仿宋_GB2312" w:eastAsia="仿宋_GB2312"/>
                <w:bCs/>
                <w:sz w:val="30"/>
                <w:szCs w:val="30"/>
              </w:rPr>
            </w:pPr>
            <w:r>
              <w:rPr>
                <w:rFonts w:hint="eastAsia" w:ascii="仿宋_GB2312" w:eastAsia="仿宋_GB2312"/>
                <w:bCs/>
                <w:sz w:val="30"/>
                <w:szCs w:val="30"/>
              </w:rPr>
              <w:t>紫苏子</w:t>
            </w:r>
            <w:r>
              <w:rPr>
                <w:rFonts w:hint="eastAsia" w:ascii="仿宋_GB2312" w:eastAsia="仿宋_GB2312"/>
                <w:bCs/>
                <w:sz w:val="30"/>
                <w:szCs w:val="30"/>
                <w:vertAlign w:val="superscript"/>
              </w:rPr>
              <w:t>包煎</w:t>
            </w:r>
            <w:r>
              <w:rPr>
                <w:rFonts w:hint="eastAsia" w:ascii="仿宋_GB2312" w:eastAsia="仿宋_GB2312"/>
                <w:bCs/>
                <w:sz w:val="30"/>
                <w:szCs w:val="30"/>
              </w:rPr>
              <w:t>9g</w:t>
            </w:r>
          </w:p>
        </w:tc>
        <w:tc>
          <w:tcPr>
            <w:tcW w:w="3336" w:type="dxa"/>
            <w:vAlign w:val="center"/>
          </w:tcPr>
          <w:p>
            <w:pPr>
              <w:spacing w:line="360" w:lineRule="auto"/>
              <w:rPr>
                <w:rFonts w:ascii="仿宋_GB2312" w:eastAsia="仿宋_GB2312"/>
                <w:bCs/>
                <w:sz w:val="30"/>
                <w:szCs w:val="30"/>
              </w:rPr>
            </w:pPr>
            <w:r>
              <w:rPr>
                <w:rFonts w:hint="eastAsia" w:ascii="仿宋_GB2312" w:eastAsia="仿宋_GB2312"/>
                <w:bCs/>
                <w:sz w:val="30"/>
                <w:szCs w:val="30"/>
              </w:rPr>
              <w:t>麻黄9g</w:t>
            </w:r>
          </w:p>
        </w:tc>
      </w:tr>
      <w:tr>
        <w:tblPrEx>
          <w:tblLayout w:type="fixed"/>
          <w:tblCellMar>
            <w:top w:w="0" w:type="dxa"/>
            <w:left w:w="108" w:type="dxa"/>
            <w:bottom w:w="0" w:type="dxa"/>
            <w:right w:w="108" w:type="dxa"/>
          </w:tblCellMar>
        </w:tblPrEx>
        <w:trPr>
          <w:trHeight w:val="566" w:hRule="exact"/>
          <w:jc w:val="center"/>
        </w:trPr>
        <w:tc>
          <w:tcPr>
            <w:tcW w:w="1672" w:type="dxa"/>
            <w:vAlign w:val="center"/>
          </w:tcPr>
          <w:p>
            <w:pPr>
              <w:spacing w:line="480" w:lineRule="auto"/>
              <w:rPr>
                <w:rFonts w:ascii="仿宋_GB2312" w:eastAsia="仿宋_GB2312"/>
                <w:bCs/>
                <w:sz w:val="30"/>
                <w:szCs w:val="30"/>
              </w:rPr>
            </w:pPr>
          </w:p>
        </w:tc>
        <w:tc>
          <w:tcPr>
            <w:tcW w:w="3353" w:type="dxa"/>
            <w:vAlign w:val="center"/>
          </w:tcPr>
          <w:p>
            <w:pPr>
              <w:spacing w:line="360" w:lineRule="auto"/>
              <w:rPr>
                <w:rFonts w:ascii="仿宋_GB2312" w:eastAsia="仿宋_GB2312"/>
                <w:bCs/>
                <w:sz w:val="30"/>
                <w:szCs w:val="30"/>
              </w:rPr>
            </w:pPr>
            <w:r>
              <w:rPr>
                <w:rFonts w:hint="eastAsia" w:ascii="仿宋_GB2312" w:eastAsia="仿宋_GB2312"/>
                <w:bCs/>
                <w:sz w:val="30"/>
                <w:szCs w:val="30"/>
              </w:rPr>
              <w:t>苦杏仁</w:t>
            </w:r>
            <w:r>
              <w:rPr>
                <w:rFonts w:hint="eastAsia" w:ascii="仿宋_GB2312" w:eastAsia="仿宋_GB2312"/>
                <w:bCs/>
                <w:sz w:val="30"/>
                <w:szCs w:val="30"/>
                <w:vertAlign w:val="superscript"/>
              </w:rPr>
              <w:t>后下</w:t>
            </w:r>
            <w:r>
              <w:rPr>
                <w:rFonts w:hint="eastAsia" w:ascii="仿宋_GB2312" w:eastAsia="仿宋_GB2312"/>
                <w:bCs/>
                <w:sz w:val="30"/>
                <w:szCs w:val="30"/>
              </w:rPr>
              <w:t>9g</w:t>
            </w:r>
          </w:p>
        </w:tc>
        <w:tc>
          <w:tcPr>
            <w:tcW w:w="3336" w:type="dxa"/>
            <w:vAlign w:val="center"/>
          </w:tcPr>
          <w:p>
            <w:pPr>
              <w:spacing w:line="360" w:lineRule="auto"/>
              <w:rPr>
                <w:rFonts w:ascii="仿宋_GB2312" w:eastAsia="仿宋_GB2312"/>
                <w:bCs/>
                <w:sz w:val="30"/>
                <w:szCs w:val="30"/>
              </w:rPr>
            </w:pPr>
            <w:r>
              <w:rPr>
                <w:rFonts w:hint="eastAsia" w:ascii="仿宋_GB2312" w:eastAsia="仿宋_GB2312"/>
                <w:bCs/>
                <w:sz w:val="30"/>
                <w:szCs w:val="30"/>
              </w:rPr>
              <w:t>橘皮9g</w:t>
            </w:r>
          </w:p>
        </w:tc>
      </w:tr>
      <w:tr>
        <w:tblPrEx>
          <w:tblLayout w:type="fixed"/>
          <w:tblCellMar>
            <w:top w:w="0" w:type="dxa"/>
            <w:left w:w="108" w:type="dxa"/>
            <w:bottom w:w="0" w:type="dxa"/>
            <w:right w:w="108" w:type="dxa"/>
          </w:tblCellMar>
        </w:tblPrEx>
        <w:trPr>
          <w:trHeight w:val="560" w:hRule="exact"/>
          <w:jc w:val="center"/>
        </w:trPr>
        <w:tc>
          <w:tcPr>
            <w:tcW w:w="1672" w:type="dxa"/>
            <w:vAlign w:val="center"/>
          </w:tcPr>
          <w:p>
            <w:pPr>
              <w:spacing w:line="480" w:lineRule="auto"/>
              <w:rPr>
                <w:rFonts w:ascii="仿宋_GB2312" w:eastAsia="仿宋_GB2312"/>
                <w:bCs/>
                <w:sz w:val="30"/>
                <w:szCs w:val="30"/>
              </w:rPr>
            </w:pPr>
          </w:p>
        </w:tc>
        <w:tc>
          <w:tcPr>
            <w:tcW w:w="3353" w:type="dxa"/>
            <w:vAlign w:val="center"/>
          </w:tcPr>
          <w:p>
            <w:pPr>
              <w:spacing w:line="360" w:lineRule="auto"/>
              <w:rPr>
                <w:rFonts w:ascii="仿宋_GB2312" w:eastAsia="仿宋_GB2312"/>
                <w:bCs/>
                <w:sz w:val="30"/>
                <w:szCs w:val="30"/>
              </w:rPr>
            </w:pPr>
            <w:r>
              <w:rPr>
                <w:rFonts w:hint="eastAsia" w:ascii="仿宋_GB2312" w:eastAsia="仿宋_GB2312"/>
                <w:bCs/>
                <w:sz w:val="30"/>
                <w:szCs w:val="30"/>
              </w:rPr>
              <w:t>桑白皮9g</w:t>
            </w:r>
          </w:p>
        </w:tc>
        <w:tc>
          <w:tcPr>
            <w:tcW w:w="3336" w:type="dxa"/>
            <w:vAlign w:val="center"/>
          </w:tcPr>
          <w:p>
            <w:pPr>
              <w:spacing w:line="360" w:lineRule="auto"/>
              <w:rPr>
                <w:rFonts w:ascii="仿宋_GB2312" w:eastAsia="仿宋_GB2312"/>
                <w:bCs/>
                <w:sz w:val="30"/>
                <w:szCs w:val="30"/>
              </w:rPr>
            </w:pPr>
            <w:r>
              <w:rPr>
                <w:rFonts w:hint="eastAsia" w:ascii="仿宋_GB2312" w:eastAsia="仿宋_GB2312"/>
                <w:bCs/>
                <w:sz w:val="30"/>
                <w:szCs w:val="30"/>
              </w:rPr>
              <w:t>茯苓9g</w:t>
            </w:r>
          </w:p>
        </w:tc>
      </w:tr>
      <w:tr>
        <w:tblPrEx>
          <w:tblLayout w:type="fixed"/>
          <w:tblCellMar>
            <w:top w:w="0" w:type="dxa"/>
            <w:left w:w="108" w:type="dxa"/>
            <w:bottom w:w="0" w:type="dxa"/>
            <w:right w:w="108" w:type="dxa"/>
          </w:tblCellMar>
        </w:tblPrEx>
        <w:trPr>
          <w:trHeight w:val="568" w:hRule="exact"/>
          <w:jc w:val="center"/>
        </w:trPr>
        <w:tc>
          <w:tcPr>
            <w:tcW w:w="1672" w:type="dxa"/>
            <w:vAlign w:val="center"/>
          </w:tcPr>
          <w:p>
            <w:pPr>
              <w:spacing w:line="480" w:lineRule="auto"/>
              <w:rPr>
                <w:rFonts w:ascii="仿宋_GB2312" w:eastAsia="仿宋_GB2312"/>
                <w:bCs/>
                <w:sz w:val="30"/>
                <w:szCs w:val="30"/>
              </w:rPr>
            </w:pPr>
          </w:p>
        </w:tc>
        <w:tc>
          <w:tcPr>
            <w:tcW w:w="3353" w:type="dxa"/>
            <w:vAlign w:val="center"/>
          </w:tcPr>
          <w:p>
            <w:pPr>
              <w:spacing w:line="360" w:lineRule="auto"/>
              <w:rPr>
                <w:rFonts w:ascii="仿宋_GB2312" w:eastAsia="仿宋_GB2312"/>
                <w:bCs/>
                <w:sz w:val="30"/>
                <w:szCs w:val="30"/>
              </w:rPr>
            </w:pPr>
            <w:r>
              <w:rPr>
                <w:rFonts w:hint="eastAsia" w:ascii="仿宋_GB2312" w:eastAsia="仿宋_GB2312"/>
                <w:bCs/>
                <w:sz w:val="30"/>
                <w:szCs w:val="30"/>
              </w:rPr>
              <w:t>法半夏12g</w:t>
            </w:r>
          </w:p>
        </w:tc>
        <w:tc>
          <w:tcPr>
            <w:tcW w:w="3336" w:type="dxa"/>
            <w:vAlign w:val="center"/>
          </w:tcPr>
          <w:p>
            <w:pPr>
              <w:spacing w:line="360" w:lineRule="auto"/>
              <w:rPr>
                <w:rFonts w:ascii="仿宋_GB2312" w:eastAsia="仿宋_GB2312"/>
                <w:bCs/>
                <w:sz w:val="30"/>
                <w:szCs w:val="30"/>
              </w:rPr>
            </w:pPr>
            <w:r>
              <w:rPr>
                <w:rFonts w:hint="eastAsia" w:ascii="仿宋_GB2312" w:eastAsia="仿宋_GB2312"/>
                <w:bCs/>
                <w:sz w:val="30"/>
                <w:szCs w:val="30"/>
              </w:rPr>
              <w:t>瓜蒌根9g</w:t>
            </w:r>
          </w:p>
        </w:tc>
      </w:tr>
      <w:tr>
        <w:tblPrEx>
          <w:tblLayout w:type="fixed"/>
          <w:tblCellMar>
            <w:top w:w="0" w:type="dxa"/>
            <w:left w:w="108" w:type="dxa"/>
            <w:bottom w:w="0" w:type="dxa"/>
            <w:right w:w="108" w:type="dxa"/>
          </w:tblCellMar>
        </w:tblPrEx>
        <w:trPr>
          <w:trHeight w:val="562" w:hRule="exact"/>
          <w:jc w:val="center"/>
        </w:trPr>
        <w:tc>
          <w:tcPr>
            <w:tcW w:w="1672" w:type="dxa"/>
            <w:vAlign w:val="center"/>
          </w:tcPr>
          <w:p>
            <w:pPr>
              <w:spacing w:line="480" w:lineRule="auto"/>
              <w:rPr>
                <w:rFonts w:ascii="仿宋_GB2312" w:eastAsia="仿宋_GB2312"/>
                <w:bCs/>
                <w:sz w:val="30"/>
                <w:szCs w:val="30"/>
              </w:rPr>
            </w:pPr>
          </w:p>
        </w:tc>
        <w:tc>
          <w:tcPr>
            <w:tcW w:w="3353" w:type="dxa"/>
            <w:vAlign w:val="center"/>
          </w:tcPr>
          <w:p>
            <w:pPr>
              <w:spacing w:line="360" w:lineRule="auto"/>
              <w:rPr>
                <w:rFonts w:ascii="仿宋_GB2312" w:eastAsia="仿宋_GB2312"/>
                <w:bCs/>
                <w:sz w:val="30"/>
                <w:szCs w:val="30"/>
              </w:rPr>
            </w:pPr>
            <w:r>
              <w:rPr>
                <w:rFonts w:hint="eastAsia" w:ascii="仿宋_GB2312" w:eastAsia="仿宋_GB2312"/>
                <w:bCs/>
                <w:sz w:val="30"/>
                <w:szCs w:val="30"/>
              </w:rPr>
              <w:t>甘草6g</w:t>
            </w:r>
          </w:p>
        </w:tc>
        <w:tc>
          <w:tcPr>
            <w:tcW w:w="3336" w:type="dxa"/>
            <w:vAlign w:val="center"/>
          </w:tcPr>
          <w:p>
            <w:pPr>
              <w:spacing w:line="360" w:lineRule="auto"/>
              <w:rPr>
                <w:rFonts w:ascii="仿宋_GB2312" w:eastAsia="仿宋_GB2312"/>
                <w:bCs/>
                <w:sz w:val="30"/>
                <w:szCs w:val="30"/>
              </w:rPr>
            </w:pPr>
          </w:p>
        </w:tc>
      </w:tr>
    </w:tbl>
    <w:p>
      <w:pPr>
        <w:spacing w:line="700" w:lineRule="exact"/>
        <w:jc w:val="center"/>
        <w:rPr>
          <w:rFonts w:ascii="仿宋_GB2312" w:eastAsia="仿宋_GB2312"/>
          <w:bCs/>
          <w:sz w:val="30"/>
          <w:szCs w:val="30"/>
        </w:rPr>
      </w:pPr>
      <w:r>
        <w:rPr>
          <w:rFonts w:hint="eastAsia" w:ascii="仿宋_GB2312" w:eastAsia="仿宋_GB2312"/>
          <w:bCs/>
          <w:sz w:val="30"/>
          <w:szCs w:val="30"/>
        </w:rPr>
        <w:t>每日</w:t>
      </w:r>
      <w:r>
        <w:rPr>
          <w:rFonts w:ascii="仿宋_GB2312" w:eastAsia="仿宋_GB2312"/>
          <w:bCs/>
          <w:sz w:val="30"/>
          <w:szCs w:val="30"/>
        </w:rPr>
        <w:t>1</w:t>
      </w:r>
      <w:r>
        <w:rPr>
          <w:rFonts w:hint="eastAsia" w:ascii="仿宋_GB2312" w:eastAsia="仿宋_GB2312"/>
          <w:bCs/>
          <w:sz w:val="30"/>
          <w:szCs w:val="30"/>
        </w:rPr>
        <w:t>剂，水煎服，早晚各</w:t>
      </w:r>
      <w:r>
        <w:rPr>
          <w:rFonts w:ascii="仿宋_GB2312" w:eastAsia="仿宋_GB2312"/>
          <w:bCs/>
          <w:sz w:val="30"/>
          <w:szCs w:val="30"/>
        </w:rPr>
        <w:t>1</w:t>
      </w:r>
      <w:r>
        <w:rPr>
          <w:rFonts w:hint="eastAsia" w:ascii="仿宋_GB2312" w:eastAsia="仿宋_GB2312"/>
          <w:bCs/>
          <w:sz w:val="30"/>
          <w:szCs w:val="30"/>
        </w:rPr>
        <w:t>次</w:t>
      </w:r>
    </w:p>
    <w:p>
      <w:pPr>
        <w:spacing w:line="700" w:lineRule="exact"/>
        <w:jc w:val="center"/>
        <w:rPr>
          <w:rFonts w:ascii="仿宋_GB2312" w:eastAsia="仿宋_GB2312"/>
          <w:bCs/>
          <w:sz w:val="30"/>
          <w:szCs w:val="30"/>
          <w:u w:val="single"/>
        </w:rPr>
      </w:pPr>
    </w:p>
    <w:tbl>
      <w:tblPr>
        <w:tblStyle w:val="14"/>
        <w:tblW w:w="89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0"/>
        <w:gridCol w:w="1491"/>
        <w:gridCol w:w="1489"/>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4471" w:type="dxa"/>
            <w:gridSpan w:val="2"/>
            <w:tcBorders>
              <w:top w:val="nil"/>
              <w:left w:val="nil"/>
              <w:bottom w:val="single" w:color="auto" w:sz="4" w:space="0"/>
              <w:right w:val="nil"/>
            </w:tcBorders>
            <w:vAlign w:val="center"/>
          </w:tcPr>
          <w:p>
            <w:pPr>
              <w:spacing w:line="400" w:lineRule="exact"/>
              <w:rPr>
                <w:rFonts w:ascii="仿宋_GB2312" w:eastAsia="仿宋_GB2312"/>
                <w:bCs/>
                <w:sz w:val="30"/>
                <w:szCs w:val="30"/>
                <w:u w:val="single"/>
              </w:rPr>
            </w:pPr>
            <w:r>
              <w:rPr>
                <w:rFonts w:hint="eastAsia" w:ascii="仿宋_GB2312" w:eastAsia="仿宋_GB2312"/>
                <w:bCs/>
                <w:sz w:val="30"/>
                <w:szCs w:val="30"/>
              </w:rPr>
              <w:t>医师：刘某某</w:t>
            </w:r>
          </w:p>
        </w:tc>
        <w:tc>
          <w:tcPr>
            <w:tcW w:w="4471" w:type="dxa"/>
            <w:gridSpan w:val="2"/>
            <w:tcBorders>
              <w:top w:val="nil"/>
              <w:left w:val="nil"/>
              <w:bottom w:val="single" w:color="auto" w:sz="4" w:space="0"/>
              <w:right w:val="nil"/>
            </w:tcBorders>
            <w:vAlign w:val="center"/>
          </w:tcPr>
          <w:p>
            <w:pPr>
              <w:spacing w:line="400" w:lineRule="exact"/>
              <w:rPr>
                <w:rFonts w:ascii="仿宋_GB2312" w:eastAsia="仿宋_GB2312"/>
                <w:bCs/>
                <w:sz w:val="30"/>
                <w:szCs w:val="30"/>
                <w:u w:val="single"/>
              </w:rPr>
            </w:pPr>
            <w:r>
              <w:rPr>
                <w:rFonts w:hint="eastAsia" w:ascii="仿宋_GB2312" w:eastAsia="仿宋_GB2312"/>
                <w:bCs/>
                <w:sz w:val="30"/>
                <w:szCs w:val="30"/>
              </w:rPr>
              <w:t>剂数：3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4471" w:type="dxa"/>
            <w:gridSpan w:val="2"/>
            <w:tcBorders>
              <w:top w:val="single" w:color="auto" w:sz="4" w:space="0"/>
              <w:left w:val="nil"/>
              <w:right w:val="nil"/>
            </w:tcBorders>
            <w:vAlign w:val="center"/>
          </w:tcPr>
          <w:p>
            <w:pPr>
              <w:spacing w:line="400" w:lineRule="exact"/>
              <w:rPr>
                <w:rFonts w:ascii="仿宋_GB2312" w:eastAsia="仿宋_GB2312"/>
                <w:bCs/>
                <w:sz w:val="30"/>
                <w:szCs w:val="30"/>
                <w:u w:val="single"/>
              </w:rPr>
            </w:pPr>
            <w:r>
              <w:rPr>
                <w:rFonts w:hint="eastAsia" w:ascii="仿宋_GB2312" w:eastAsia="仿宋_GB2312"/>
                <w:bCs/>
                <w:sz w:val="30"/>
                <w:szCs w:val="30"/>
              </w:rPr>
              <w:t>药价：68.20</w:t>
            </w:r>
          </w:p>
        </w:tc>
        <w:tc>
          <w:tcPr>
            <w:tcW w:w="4471" w:type="dxa"/>
            <w:gridSpan w:val="2"/>
            <w:tcBorders>
              <w:top w:val="single" w:color="auto" w:sz="4" w:space="0"/>
              <w:left w:val="nil"/>
              <w:right w:val="nil"/>
            </w:tcBorders>
            <w:vAlign w:val="center"/>
          </w:tcPr>
          <w:p>
            <w:pPr>
              <w:spacing w:line="400" w:lineRule="exact"/>
              <w:rPr>
                <w:rFonts w:ascii="仿宋_GB2312" w:eastAsia="仿宋_GB2312"/>
                <w:bCs/>
                <w:sz w:val="30"/>
                <w:szCs w:val="30"/>
                <w:u w:val="single"/>
              </w:rPr>
            </w:pPr>
            <w:r>
              <w:rPr>
                <w:rFonts w:hint="eastAsia" w:ascii="仿宋_GB2312" w:eastAsia="仿宋_GB2312"/>
                <w:bCs/>
                <w:sz w:val="30"/>
                <w:szCs w:val="30"/>
              </w:rPr>
              <w:t>计价人：王某某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980" w:type="dxa"/>
            <w:tcBorders>
              <w:left w:val="nil"/>
              <w:right w:val="nil"/>
            </w:tcBorders>
            <w:vAlign w:val="center"/>
          </w:tcPr>
          <w:p>
            <w:pPr>
              <w:spacing w:line="400" w:lineRule="exact"/>
              <w:rPr>
                <w:rFonts w:ascii="仿宋_GB2312" w:eastAsia="仿宋_GB2312"/>
                <w:bCs/>
                <w:sz w:val="30"/>
                <w:szCs w:val="30"/>
                <w:u w:val="single"/>
              </w:rPr>
            </w:pPr>
            <w:r>
              <w:rPr>
                <w:rFonts w:hint="eastAsia" w:ascii="仿宋_GB2312" w:eastAsia="仿宋_GB2312"/>
                <w:bCs/>
                <w:sz w:val="30"/>
                <w:szCs w:val="30"/>
              </w:rPr>
              <w:t>调配：</w:t>
            </w:r>
          </w:p>
        </w:tc>
        <w:tc>
          <w:tcPr>
            <w:tcW w:w="2980" w:type="dxa"/>
            <w:gridSpan w:val="2"/>
            <w:tcBorders>
              <w:left w:val="nil"/>
              <w:right w:val="nil"/>
            </w:tcBorders>
            <w:vAlign w:val="center"/>
          </w:tcPr>
          <w:p>
            <w:pPr>
              <w:spacing w:line="400" w:lineRule="exact"/>
              <w:rPr>
                <w:rFonts w:ascii="仿宋_GB2312" w:eastAsia="仿宋_GB2312"/>
                <w:bCs/>
                <w:sz w:val="30"/>
                <w:szCs w:val="30"/>
              </w:rPr>
            </w:pPr>
            <w:r>
              <w:rPr>
                <w:rFonts w:hint="eastAsia" w:ascii="仿宋_GB2312" w:eastAsia="仿宋_GB2312"/>
                <w:bCs/>
                <w:sz w:val="30"/>
                <w:szCs w:val="30"/>
              </w:rPr>
              <w:t>核对：</w:t>
            </w:r>
          </w:p>
        </w:tc>
        <w:tc>
          <w:tcPr>
            <w:tcW w:w="2982" w:type="dxa"/>
            <w:tcBorders>
              <w:left w:val="nil"/>
              <w:right w:val="nil"/>
            </w:tcBorders>
            <w:vAlign w:val="center"/>
          </w:tcPr>
          <w:p>
            <w:pPr>
              <w:spacing w:line="400" w:lineRule="exact"/>
              <w:rPr>
                <w:rFonts w:ascii="仿宋_GB2312" w:eastAsia="仿宋_GB2312"/>
                <w:bCs/>
                <w:sz w:val="30"/>
                <w:szCs w:val="30"/>
                <w:u w:val="single"/>
              </w:rPr>
            </w:pPr>
            <w:r>
              <w:rPr>
                <w:rFonts w:hint="eastAsia" w:ascii="仿宋_GB2312" w:eastAsia="仿宋_GB2312"/>
                <w:bCs/>
                <w:sz w:val="30"/>
                <w:szCs w:val="30"/>
              </w:rPr>
              <w:t>发药：李某某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980" w:type="dxa"/>
            <w:tcBorders>
              <w:left w:val="nil"/>
              <w:bottom w:val="nil"/>
              <w:right w:val="nil"/>
            </w:tcBorders>
            <w:vAlign w:val="center"/>
          </w:tcPr>
          <w:p>
            <w:pPr>
              <w:spacing w:line="400" w:lineRule="exact"/>
              <w:rPr>
                <w:rFonts w:ascii="仿宋_GB2312" w:eastAsia="仿宋_GB2312"/>
                <w:bCs/>
                <w:sz w:val="30"/>
                <w:szCs w:val="30"/>
              </w:rPr>
            </w:pPr>
          </w:p>
        </w:tc>
        <w:tc>
          <w:tcPr>
            <w:tcW w:w="2980" w:type="dxa"/>
            <w:gridSpan w:val="2"/>
            <w:tcBorders>
              <w:left w:val="nil"/>
              <w:bottom w:val="nil"/>
              <w:right w:val="nil"/>
            </w:tcBorders>
            <w:vAlign w:val="center"/>
          </w:tcPr>
          <w:p>
            <w:pPr>
              <w:spacing w:line="400" w:lineRule="exact"/>
              <w:rPr>
                <w:rFonts w:ascii="仿宋_GB2312" w:eastAsia="仿宋_GB2312"/>
                <w:bCs/>
                <w:sz w:val="30"/>
                <w:szCs w:val="30"/>
              </w:rPr>
            </w:pPr>
          </w:p>
        </w:tc>
        <w:tc>
          <w:tcPr>
            <w:tcW w:w="2982" w:type="dxa"/>
            <w:tcBorders>
              <w:left w:val="nil"/>
              <w:bottom w:val="nil"/>
              <w:right w:val="nil"/>
            </w:tcBorders>
            <w:vAlign w:val="center"/>
          </w:tcPr>
          <w:p>
            <w:pPr>
              <w:spacing w:line="400" w:lineRule="exact"/>
              <w:rPr>
                <w:rFonts w:ascii="仿宋_GB2312" w:eastAsia="仿宋_GB2312"/>
                <w:bCs/>
                <w:sz w:val="30"/>
                <w:szCs w:val="30"/>
              </w:rPr>
            </w:pPr>
            <w:r>
              <w:rPr>
                <w:rFonts w:hint="eastAsia" w:ascii="仿宋_GB2312" w:eastAsia="仿宋_GB2312"/>
                <w:bCs/>
                <w:sz w:val="30"/>
                <w:szCs w:val="30"/>
              </w:rPr>
              <w:t>取药号：06</w:t>
            </w:r>
          </w:p>
        </w:tc>
      </w:tr>
    </w:tbl>
    <w:p>
      <w:pPr>
        <w:jc w:val="center"/>
        <w:rPr>
          <w:rFonts w:ascii="仿宋_GB2312" w:eastAsia="仿宋_GB2312"/>
          <w:bCs/>
          <w:sz w:val="30"/>
          <w:szCs w:val="30"/>
        </w:rPr>
      </w:pPr>
      <w:r>
        <w:rPr>
          <w:rFonts w:hint="eastAsia" w:ascii="仿宋_GB2312" w:eastAsia="仿宋_GB2312"/>
          <w:bCs/>
          <w:sz w:val="30"/>
          <w:szCs w:val="30"/>
        </w:rPr>
        <w:t>调剂审方选择项</w:t>
      </w:r>
    </w:p>
    <w:p>
      <w:pPr>
        <w:spacing w:line="340" w:lineRule="exact"/>
        <w:jc w:val="center"/>
        <w:rPr>
          <w:rFonts w:ascii="黑体" w:hAnsi="黑体" w:eastAsia="黑体" w:cs="黑体"/>
          <w:sz w:val="28"/>
          <w:szCs w:val="28"/>
        </w:rPr>
      </w:pPr>
      <w:r>
        <w:rPr>
          <w:rFonts w:hint="eastAsia" w:ascii="黑体" w:hAnsi="黑体" w:eastAsia="黑体" w:cs="黑体"/>
          <w:sz w:val="28"/>
          <w:szCs w:val="28"/>
        </w:rPr>
        <w:t>审方平台人机对话界面</w:t>
      </w:r>
    </w:p>
    <w:p>
      <w:pPr>
        <w:spacing w:line="340" w:lineRule="exact"/>
        <w:rPr>
          <w:rFonts w:ascii="宋体" w:hAnsi="宋体" w:cs="宋体"/>
        </w:rPr>
      </w:pPr>
      <w:r>
        <w:rPr>
          <w:rFonts w:hint="eastAsia" w:ascii="宋体" w:hAnsi="宋体" w:cs="宋体"/>
        </w:rPr>
        <w:t>审阅处方A，在列表中选中错误的处方类别：审阅处方A，在列表中选中错误的处方类别：</w:t>
      </w:r>
    </w:p>
    <w:tbl>
      <w:tblPr>
        <w:tblStyle w:val="14"/>
        <w:tblW w:w="85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37"/>
        <w:gridCol w:w="1559"/>
        <w:gridCol w:w="1417"/>
        <w:gridCol w:w="1389"/>
        <w:gridCol w:w="1276"/>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序号</w:t>
            </w:r>
          </w:p>
        </w:tc>
        <w:tc>
          <w:tcPr>
            <w:tcW w:w="93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题型</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选项</w:t>
            </w:r>
          </w:p>
        </w:tc>
        <w:tc>
          <w:tcPr>
            <w:tcW w:w="141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A</w:t>
            </w:r>
          </w:p>
        </w:tc>
        <w:tc>
          <w:tcPr>
            <w:tcW w:w="138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B</w:t>
            </w:r>
          </w:p>
        </w:tc>
        <w:tc>
          <w:tcPr>
            <w:tcW w:w="1276"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C</w:t>
            </w:r>
          </w:p>
        </w:tc>
        <w:tc>
          <w:tcPr>
            <w:tcW w:w="124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1</w:t>
            </w:r>
          </w:p>
        </w:tc>
        <w:tc>
          <w:tcPr>
            <w:tcW w:w="93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选择</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处方类别错误</w:t>
            </w:r>
          </w:p>
        </w:tc>
        <w:tc>
          <w:tcPr>
            <w:tcW w:w="141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普通处方</w:t>
            </w:r>
          </w:p>
        </w:tc>
        <w:tc>
          <w:tcPr>
            <w:tcW w:w="1389" w:type="dxa"/>
            <w:shd w:val="clear" w:color="auto" w:fill="auto"/>
            <w:vAlign w:val="center"/>
          </w:tcPr>
          <w:p>
            <w:pPr>
              <w:spacing w:line="340" w:lineRule="exact"/>
              <w:jc w:val="center"/>
              <w:rPr>
                <w:rFonts w:ascii="Times New Roman" w:hAnsi="Times New Roman"/>
                <w:szCs w:val="24"/>
              </w:rPr>
            </w:pPr>
            <w:r>
              <w:rPr>
                <w:rFonts w:hint="eastAsia" w:ascii="宋体" w:hAnsi="宋体"/>
                <w:bCs/>
              </w:rPr>
              <w:t>儿科处方</w:t>
            </w:r>
          </w:p>
        </w:tc>
        <w:tc>
          <w:tcPr>
            <w:tcW w:w="1276"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急诊处方</w:t>
            </w:r>
          </w:p>
        </w:tc>
        <w:tc>
          <w:tcPr>
            <w:tcW w:w="1248" w:type="dxa"/>
            <w:shd w:val="clear" w:color="auto" w:fill="auto"/>
            <w:vAlign w:val="center"/>
          </w:tcPr>
          <w:p>
            <w:pPr>
              <w:spacing w:line="340" w:lineRule="exact"/>
              <w:jc w:val="center"/>
              <w:rPr>
                <w:rFonts w:ascii="Times New Roman" w:hAnsi="Times New Roman"/>
                <w:szCs w:val="24"/>
              </w:rPr>
            </w:pPr>
            <w:r>
              <w:rPr>
                <w:rFonts w:hint="eastAsia" w:ascii="宋体" w:hAnsi="宋体"/>
                <w:bCs/>
              </w:rPr>
              <w:t>外用处方</w:t>
            </w:r>
          </w:p>
        </w:tc>
      </w:tr>
    </w:tbl>
    <w:p>
      <w:pPr>
        <w:spacing w:line="200" w:lineRule="exact"/>
        <w:rPr>
          <w:rFonts w:ascii="宋体" w:hAnsi="宋体" w:cs="宋体"/>
          <w:sz w:val="11"/>
          <w:szCs w:val="11"/>
        </w:rPr>
      </w:pPr>
    </w:p>
    <w:p>
      <w:pPr>
        <w:spacing w:line="340" w:lineRule="exact"/>
        <w:rPr>
          <w:rFonts w:ascii="Times New Roman" w:hAnsi="Times New Roman"/>
          <w:szCs w:val="24"/>
        </w:rPr>
      </w:pPr>
      <w:r>
        <w:rPr>
          <w:rFonts w:hint="eastAsia" w:ascii="宋体" w:hAnsi="宋体" w:cs="宋体"/>
        </w:rPr>
        <w:t>审阅处方A，在下列表中选中错误的处方前记：</w:t>
      </w:r>
    </w:p>
    <w:tbl>
      <w:tblPr>
        <w:tblStyle w:val="14"/>
        <w:tblW w:w="85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08"/>
        <w:gridCol w:w="1673"/>
        <w:gridCol w:w="1332"/>
        <w:gridCol w:w="1418"/>
        <w:gridCol w:w="1276"/>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序号</w:t>
            </w:r>
          </w:p>
        </w:tc>
        <w:tc>
          <w:tcPr>
            <w:tcW w:w="90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题型</w:t>
            </w:r>
          </w:p>
        </w:tc>
        <w:tc>
          <w:tcPr>
            <w:tcW w:w="1673"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选项</w:t>
            </w:r>
          </w:p>
        </w:tc>
        <w:tc>
          <w:tcPr>
            <w:tcW w:w="1332"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A</w:t>
            </w:r>
          </w:p>
        </w:tc>
        <w:tc>
          <w:tcPr>
            <w:tcW w:w="141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B</w:t>
            </w:r>
          </w:p>
        </w:tc>
        <w:tc>
          <w:tcPr>
            <w:tcW w:w="1276"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C</w:t>
            </w:r>
          </w:p>
        </w:tc>
        <w:tc>
          <w:tcPr>
            <w:tcW w:w="121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2</w:t>
            </w:r>
          </w:p>
        </w:tc>
        <w:tc>
          <w:tcPr>
            <w:tcW w:w="90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选择</w:t>
            </w:r>
          </w:p>
        </w:tc>
        <w:tc>
          <w:tcPr>
            <w:tcW w:w="1673"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处方前记错误</w:t>
            </w:r>
          </w:p>
        </w:tc>
        <w:tc>
          <w:tcPr>
            <w:tcW w:w="1332" w:type="dxa"/>
            <w:shd w:val="clear" w:color="auto" w:fill="auto"/>
            <w:vAlign w:val="center"/>
          </w:tcPr>
          <w:p>
            <w:pPr>
              <w:spacing w:line="340" w:lineRule="exact"/>
              <w:jc w:val="center"/>
              <w:rPr>
                <w:rFonts w:ascii="Times New Roman" w:hAnsi="Times New Roman"/>
                <w:szCs w:val="24"/>
              </w:rPr>
            </w:pPr>
            <w:r>
              <w:rPr>
                <w:rFonts w:hint="eastAsia" w:ascii="宋体" w:hAnsi="宋体"/>
                <w:bCs/>
              </w:rPr>
              <w:t>科别</w:t>
            </w:r>
          </w:p>
        </w:tc>
        <w:tc>
          <w:tcPr>
            <w:tcW w:w="1418" w:type="dxa"/>
            <w:shd w:val="clear" w:color="auto" w:fill="auto"/>
            <w:vAlign w:val="center"/>
          </w:tcPr>
          <w:p>
            <w:pPr>
              <w:spacing w:line="340" w:lineRule="exact"/>
              <w:jc w:val="center"/>
              <w:rPr>
                <w:rFonts w:ascii="Times New Roman" w:hAnsi="Times New Roman"/>
                <w:szCs w:val="24"/>
              </w:rPr>
            </w:pPr>
            <w:r>
              <w:rPr>
                <w:rFonts w:hint="eastAsia" w:ascii="宋体" w:hAnsi="宋体"/>
                <w:bCs/>
              </w:rPr>
              <w:t>日期</w:t>
            </w:r>
          </w:p>
        </w:tc>
        <w:tc>
          <w:tcPr>
            <w:tcW w:w="1276"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姓名</w:t>
            </w:r>
          </w:p>
        </w:tc>
        <w:tc>
          <w:tcPr>
            <w:tcW w:w="1219" w:type="dxa"/>
            <w:shd w:val="clear" w:color="auto" w:fill="auto"/>
            <w:vAlign w:val="center"/>
          </w:tcPr>
          <w:p>
            <w:pPr>
              <w:spacing w:line="340" w:lineRule="exact"/>
              <w:jc w:val="center"/>
              <w:rPr>
                <w:rFonts w:ascii="Times New Roman" w:hAnsi="Times New Roman"/>
                <w:szCs w:val="24"/>
              </w:rPr>
            </w:pPr>
            <w:r>
              <w:rPr>
                <w:rFonts w:hint="eastAsia" w:ascii="宋体" w:hAnsi="宋体"/>
                <w:bCs/>
              </w:rPr>
              <w:t>年龄</w:t>
            </w:r>
          </w:p>
        </w:tc>
      </w:tr>
    </w:tbl>
    <w:p>
      <w:pPr>
        <w:spacing w:line="200" w:lineRule="exact"/>
        <w:rPr>
          <w:rFonts w:ascii="宋体" w:hAnsi="宋体" w:cs="宋体"/>
          <w:sz w:val="11"/>
          <w:szCs w:val="11"/>
        </w:rPr>
      </w:pPr>
    </w:p>
    <w:p>
      <w:pPr>
        <w:spacing w:line="340" w:lineRule="exact"/>
        <w:rPr>
          <w:rFonts w:ascii="Times New Roman" w:hAnsi="Times New Roman"/>
          <w:szCs w:val="24"/>
        </w:rPr>
      </w:pPr>
      <w:r>
        <w:rPr>
          <w:rFonts w:hint="eastAsia" w:ascii="宋体" w:hAnsi="宋体" w:cs="宋体"/>
        </w:rPr>
        <w:t>审阅处方A，选中处方中存在用名错误的药味：</w:t>
      </w:r>
    </w:p>
    <w:tbl>
      <w:tblPr>
        <w:tblStyle w:val="14"/>
        <w:tblW w:w="85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37"/>
        <w:gridCol w:w="1559"/>
        <w:gridCol w:w="1417"/>
        <w:gridCol w:w="1418"/>
        <w:gridCol w:w="1276"/>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序号</w:t>
            </w:r>
          </w:p>
        </w:tc>
        <w:tc>
          <w:tcPr>
            <w:tcW w:w="93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题型</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选项</w:t>
            </w:r>
          </w:p>
        </w:tc>
        <w:tc>
          <w:tcPr>
            <w:tcW w:w="141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A</w:t>
            </w:r>
          </w:p>
        </w:tc>
        <w:tc>
          <w:tcPr>
            <w:tcW w:w="141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B</w:t>
            </w:r>
          </w:p>
        </w:tc>
        <w:tc>
          <w:tcPr>
            <w:tcW w:w="1276"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C</w:t>
            </w:r>
          </w:p>
        </w:tc>
        <w:tc>
          <w:tcPr>
            <w:tcW w:w="121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3</w:t>
            </w:r>
          </w:p>
        </w:tc>
        <w:tc>
          <w:tcPr>
            <w:tcW w:w="93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填空</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处方用名错误</w:t>
            </w:r>
          </w:p>
        </w:tc>
        <w:tc>
          <w:tcPr>
            <w:tcW w:w="1417" w:type="dxa"/>
            <w:shd w:val="clear" w:color="auto" w:fill="auto"/>
            <w:vAlign w:val="center"/>
          </w:tcPr>
          <w:p>
            <w:pPr>
              <w:spacing w:line="340" w:lineRule="exact"/>
              <w:jc w:val="center"/>
              <w:rPr>
                <w:rFonts w:ascii="Times New Roman" w:hAnsi="Times New Roman"/>
                <w:szCs w:val="24"/>
              </w:rPr>
            </w:pPr>
          </w:p>
        </w:tc>
        <w:tc>
          <w:tcPr>
            <w:tcW w:w="1418" w:type="dxa"/>
            <w:shd w:val="clear" w:color="auto" w:fill="auto"/>
            <w:vAlign w:val="center"/>
          </w:tcPr>
          <w:p>
            <w:pPr>
              <w:spacing w:line="340" w:lineRule="exact"/>
              <w:jc w:val="center"/>
              <w:rPr>
                <w:rFonts w:ascii="Times New Roman" w:hAnsi="Times New Roman"/>
                <w:szCs w:val="24"/>
              </w:rPr>
            </w:pPr>
          </w:p>
        </w:tc>
        <w:tc>
          <w:tcPr>
            <w:tcW w:w="1276" w:type="dxa"/>
            <w:shd w:val="clear" w:color="auto" w:fill="auto"/>
            <w:vAlign w:val="center"/>
          </w:tcPr>
          <w:p>
            <w:pPr>
              <w:spacing w:line="340" w:lineRule="exact"/>
              <w:jc w:val="center"/>
              <w:rPr>
                <w:rFonts w:ascii="Times New Roman" w:hAnsi="Times New Roman"/>
                <w:szCs w:val="24"/>
              </w:rPr>
            </w:pPr>
          </w:p>
        </w:tc>
        <w:tc>
          <w:tcPr>
            <w:tcW w:w="1219" w:type="dxa"/>
            <w:shd w:val="clear" w:color="auto" w:fill="auto"/>
            <w:vAlign w:val="center"/>
          </w:tcPr>
          <w:p>
            <w:pPr>
              <w:spacing w:line="340" w:lineRule="exact"/>
              <w:jc w:val="center"/>
              <w:rPr>
                <w:rFonts w:ascii="Times New Roman" w:hAnsi="Times New Roman"/>
                <w:szCs w:val="24"/>
              </w:rPr>
            </w:pPr>
          </w:p>
        </w:tc>
      </w:tr>
    </w:tbl>
    <w:p>
      <w:pPr>
        <w:spacing w:line="200" w:lineRule="exact"/>
        <w:rPr>
          <w:rFonts w:ascii="宋体" w:hAnsi="宋体" w:cs="宋体"/>
        </w:rPr>
      </w:pPr>
    </w:p>
    <w:p>
      <w:pPr>
        <w:spacing w:line="340" w:lineRule="exact"/>
        <w:rPr>
          <w:rFonts w:ascii="宋体" w:hAnsi="宋体" w:cs="宋体"/>
        </w:rPr>
      </w:pPr>
      <w:r>
        <w:rPr>
          <w:rFonts w:hint="eastAsia" w:ascii="宋体" w:hAnsi="宋体" w:cs="宋体"/>
        </w:rPr>
        <w:t>审阅处方A，选中处方中存在配伍禁忌的药味：</w:t>
      </w:r>
    </w:p>
    <w:tbl>
      <w:tblPr>
        <w:tblStyle w:val="14"/>
        <w:tblW w:w="8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22"/>
        <w:gridCol w:w="1463"/>
        <w:gridCol w:w="2789"/>
        <w:gridCol w:w="2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序号</w:t>
            </w:r>
          </w:p>
        </w:tc>
        <w:tc>
          <w:tcPr>
            <w:tcW w:w="1022"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题型</w:t>
            </w:r>
          </w:p>
        </w:tc>
        <w:tc>
          <w:tcPr>
            <w:tcW w:w="1463"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选项</w:t>
            </w:r>
          </w:p>
        </w:tc>
        <w:tc>
          <w:tcPr>
            <w:tcW w:w="278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A</w:t>
            </w:r>
          </w:p>
        </w:tc>
        <w:tc>
          <w:tcPr>
            <w:tcW w:w="2530"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4</w:t>
            </w:r>
          </w:p>
        </w:tc>
        <w:tc>
          <w:tcPr>
            <w:tcW w:w="1022"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填空</w:t>
            </w:r>
          </w:p>
        </w:tc>
        <w:tc>
          <w:tcPr>
            <w:tcW w:w="1463"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配伍禁忌</w:t>
            </w:r>
          </w:p>
        </w:tc>
        <w:tc>
          <w:tcPr>
            <w:tcW w:w="2789" w:type="dxa"/>
            <w:shd w:val="clear" w:color="auto" w:fill="auto"/>
            <w:vAlign w:val="center"/>
          </w:tcPr>
          <w:p>
            <w:pPr>
              <w:spacing w:line="340" w:lineRule="exact"/>
              <w:jc w:val="center"/>
              <w:rPr>
                <w:rFonts w:ascii="Times New Roman" w:hAnsi="Times New Roman"/>
                <w:szCs w:val="24"/>
              </w:rPr>
            </w:pPr>
          </w:p>
        </w:tc>
        <w:tc>
          <w:tcPr>
            <w:tcW w:w="2530" w:type="dxa"/>
            <w:shd w:val="clear" w:color="auto" w:fill="auto"/>
            <w:vAlign w:val="center"/>
          </w:tcPr>
          <w:p>
            <w:pPr>
              <w:spacing w:line="340" w:lineRule="exact"/>
              <w:jc w:val="center"/>
              <w:rPr>
                <w:rFonts w:ascii="Times New Roman" w:hAnsi="Times New Roman"/>
                <w:szCs w:val="24"/>
              </w:rPr>
            </w:pPr>
          </w:p>
        </w:tc>
      </w:tr>
    </w:tbl>
    <w:p>
      <w:pPr>
        <w:spacing w:line="200" w:lineRule="exact"/>
        <w:rPr>
          <w:rFonts w:ascii="宋体" w:hAnsi="宋体" w:cs="宋体"/>
        </w:rPr>
      </w:pPr>
    </w:p>
    <w:p>
      <w:pPr>
        <w:spacing w:line="340" w:lineRule="exact"/>
        <w:rPr>
          <w:rFonts w:ascii="宋体" w:hAnsi="宋体" w:cs="宋体"/>
        </w:rPr>
      </w:pPr>
      <w:r>
        <w:rPr>
          <w:rFonts w:hint="eastAsia" w:ascii="宋体" w:hAnsi="宋体" w:cs="宋体"/>
        </w:rPr>
        <w:t>审阅处方A，选中处方中存在妊娠禁忌的药味：</w:t>
      </w:r>
    </w:p>
    <w:tbl>
      <w:tblPr>
        <w:tblStyle w:val="14"/>
        <w:tblW w:w="87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50"/>
        <w:gridCol w:w="1559"/>
        <w:gridCol w:w="1477"/>
        <w:gridCol w:w="1330"/>
        <w:gridCol w:w="1276"/>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序号</w:t>
            </w:r>
          </w:p>
        </w:tc>
        <w:tc>
          <w:tcPr>
            <w:tcW w:w="1050"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题型</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选项</w:t>
            </w:r>
          </w:p>
        </w:tc>
        <w:tc>
          <w:tcPr>
            <w:tcW w:w="147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A</w:t>
            </w:r>
          </w:p>
        </w:tc>
        <w:tc>
          <w:tcPr>
            <w:tcW w:w="1330"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B</w:t>
            </w:r>
          </w:p>
        </w:tc>
        <w:tc>
          <w:tcPr>
            <w:tcW w:w="1276"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C</w:t>
            </w:r>
          </w:p>
        </w:tc>
        <w:tc>
          <w:tcPr>
            <w:tcW w:w="1304"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5</w:t>
            </w:r>
          </w:p>
        </w:tc>
        <w:tc>
          <w:tcPr>
            <w:tcW w:w="1050"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填空</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妊娠禁忌</w:t>
            </w:r>
          </w:p>
        </w:tc>
        <w:tc>
          <w:tcPr>
            <w:tcW w:w="1477" w:type="dxa"/>
            <w:shd w:val="clear" w:color="auto" w:fill="auto"/>
            <w:vAlign w:val="center"/>
          </w:tcPr>
          <w:p>
            <w:pPr>
              <w:spacing w:line="340" w:lineRule="exact"/>
              <w:jc w:val="center"/>
              <w:rPr>
                <w:rFonts w:ascii="Times New Roman" w:hAnsi="Times New Roman"/>
                <w:szCs w:val="24"/>
              </w:rPr>
            </w:pPr>
          </w:p>
        </w:tc>
        <w:tc>
          <w:tcPr>
            <w:tcW w:w="1330" w:type="dxa"/>
            <w:shd w:val="clear" w:color="auto" w:fill="auto"/>
            <w:vAlign w:val="center"/>
          </w:tcPr>
          <w:p>
            <w:pPr>
              <w:spacing w:line="340" w:lineRule="exact"/>
              <w:jc w:val="center"/>
              <w:rPr>
                <w:rFonts w:ascii="Times New Roman" w:hAnsi="Times New Roman"/>
                <w:szCs w:val="24"/>
              </w:rPr>
            </w:pPr>
          </w:p>
        </w:tc>
        <w:tc>
          <w:tcPr>
            <w:tcW w:w="1276" w:type="dxa"/>
            <w:shd w:val="clear" w:color="auto" w:fill="auto"/>
            <w:vAlign w:val="center"/>
          </w:tcPr>
          <w:p>
            <w:pPr>
              <w:spacing w:line="340" w:lineRule="exact"/>
              <w:jc w:val="center"/>
              <w:rPr>
                <w:rFonts w:ascii="Times New Roman" w:hAnsi="Times New Roman"/>
                <w:szCs w:val="24"/>
              </w:rPr>
            </w:pPr>
          </w:p>
        </w:tc>
        <w:tc>
          <w:tcPr>
            <w:tcW w:w="1304" w:type="dxa"/>
            <w:shd w:val="clear" w:color="auto" w:fill="auto"/>
            <w:vAlign w:val="center"/>
          </w:tcPr>
          <w:p>
            <w:pPr>
              <w:spacing w:line="340" w:lineRule="exact"/>
              <w:jc w:val="center"/>
              <w:rPr>
                <w:rFonts w:ascii="Times New Roman" w:hAnsi="Times New Roman"/>
                <w:szCs w:val="24"/>
              </w:rPr>
            </w:pPr>
          </w:p>
        </w:tc>
      </w:tr>
    </w:tbl>
    <w:p>
      <w:pPr>
        <w:spacing w:line="200" w:lineRule="exact"/>
        <w:rPr>
          <w:rFonts w:ascii="宋体" w:hAnsi="宋体" w:cs="宋体"/>
        </w:rPr>
      </w:pPr>
    </w:p>
    <w:p>
      <w:pPr>
        <w:spacing w:line="340" w:lineRule="exact"/>
        <w:rPr>
          <w:rFonts w:ascii="宋体" w:hAnsi="宋体" w:cs="宋体"/>
        </w:rPr>
      </w:pPr>
      <w:r>
        <w:rPr>
          <w:rFonts w:hint="eastAsia" w:ascii="宋体" w:hAnsi="宋体" w:cs="宋体"/>
        </w:rPr>
        <w:t>审阅处方A，选中处方中存在超量的有毒中药：</w:t>
      </w:r>
    </w:p>
    <w:tbl>
      <w:tblPr>
        <w:tblStyle w:val="14"/>
        <w:tblW w:w="87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22"/>
        <w:gridCol w:w="1559"/>
        <w:gridCol w:w="1505"/>
        <w:gridCol w:w="1330"/>
        <w:gridCol w:w="1276"/>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序号</w:t>
            </w:r>
          </w:p>
        </w:tc>
        <w:tc>
          <w:tcPr>
            <w:tcW w:w="1022"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题型</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选项</w:t>
            </w:r>
          </w:p>
        </w:tc>
        <w:tc>
          <w:tcPr>
            <w:tcW w:w="1505"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A</w:t>
            </w:r>
          </w:p>
        </w:tc>
        <w:tc>
          <w:tcPr>
            <w:tcW w:w="1330"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B</w:t>
            </w:r>
          </w:p>
        </w:tc>
        <w:tc>
          <w:tcPr>
            <w:tcW w:w="1276"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C</w:t>
            </w:r>
          </w:p>
        </w:tc>
        <w:tc>
          <w:tcPr>
            <w:tcW w:w="1304"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6</w:t>
            </w:r>
          </w:p>
        </w:tc>
        <w:tc>
          <w:tcPr>
            <w:tcW w:w="1022"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填空</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有毒中药超量</w:t>
            </w:r>
          </w:p>
        </w:tc>
        <w:tc>
          <w:tcPr>
            <w:tcW w:w="1505" w:type="dxa"/>
            <w:shd w:val="clear" w:color="auto" w:fill="auto"/>
            <w:vAlign w:val="center"/>
          </w:tcPr>
          <w:p>
            <w:pPr>
              <w:spacing w:line="340" w:lineRule="exact"/>
              <w:jc w:val="center"/>
              <w:rPr>
                <w:rFonts w:ascii="Times New Roman" w:hAnsi="Times New Roman"/>
                <w:szCs w:val="24"/>
              </w:rPr>
            </w:pPr>
          </w:p>
        </w:tc>
        <w:tc>
          <w:tcPr>
            <w:tcW w:w="1330" w:type="dxa"/>
            <w:shd w:val="clear" w:color="auto" w:fill="auto"/>
            <w:vAlign w:val="center"/>
          </w:tcPr>
          <w:p>
            <w:pPr>
              <w:spacing w:line="340" w:lineRule="exact"/>
              <w:jc w:val="center"/>
              <w:rPr>
                <w:rFonts w:ascii="Times New Roman" w:hAnsi="Times New Roman"/>
                <w:szCs w:val="24"/>
              </w:rPr>
            </w:pPr>
          </w:p>
        </w:tc>
        <w:tc>
          <w:tcPr>
            <w:tcW w:w="1276" w:type="dxa"/>
            <w:shd w:val="clear" w:color="auto" w:fill="auto"/>
            <w:vAlign w:val="center"/>
          </w:tcPr>
          <w:p>
            <w:pPr>
              <w:spacing w:line="340" w:lineRule="exact"/>
              <w:jc w:val="center"/>
              <w:rPr>
                <w:rFonts w:ascii="Times New Roman" w:hAnsi="Times New Roman"/>
                <w:szCs w:val="24"/>
              </w:rPr>
            </w:pPr>
          </w:p>
        </w:tc>
        <w:tc>
          <w:tcPr>
            <w:tcW w:w="1304" w:type="dxa"/>
            <w:shd w:val="clear" w:color="auto" w:fill="auto"/>
            <w:vAlign w:val="center"/>
          </w:tcPr>
          <w:p>
            <w:pPr>
              <w:spacing w:line="340" w:lineRule="exact"/>
              <w:jc w:val="center"/>
              <w:rPr>
                <w:rFonts w:ascii="Times New Roman" w:hAnsi="Times New Roman"/>
                <w:szCs w:val="24"/>
              </w:rPr>
            </w:pPr>
          </w:p>
        </w:tc>
      </w:tr>
    </w:tbl>
    <w:p>
      <w:pPr>
        <w:spacing w:line="200" w:lineRule="exact"/>
        <w:rPr>
          <w:rFonts w:ascii="宋体" w:hAnsi="宋体" w:cs="宋体"/>
        </w:rPr>
      </w:pPr>
    </w:p>
    <w:p>
      <w:pPr>
        <w:spacing w:line="340" w:lineRule="exact"/>
        <w:rPr>
          <w:rFonts w:ascii="宋体" w:hAnsi="宋体" w:cs="宋体"/>
        </w:rPr>
      </w:pPr>
      <w:r>
        <w:rPr>
          <w:rFonts w:hint="eastAsia" w:ascii="宋体" w:hAnsi="宋体" w:cs="宋体"/>
        </w:rPr>
        <w:t>审阅处方A，在列表中选中错误的煎法服法：</w:t>
      </w:r>
    </w:p>
    <w:tbl>
      <w:tblPr>
        <w:tblStyle w:val="14"/>
        <w:tblW w:w="87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22"/>
        <w:gridCol w:w="1559"/>
        <w:gridCol w:w="1505"/>
        <w:gridCol w:w="1188"/>
        <w:gridCol w:w="1418"/>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序号</w:t>
            </w:r>
          </w:p>
        </w:tc>
        <w:tc>
          <w:tcPr>
            <w:tcW w:w="1022"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题型</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选项</w:t>
            </w:r>
          </w:p>
        </w:tc>
        <w:tc>
          <w:tcPr>
            <w:tcW w:w="1505"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A</w:t>
            </w:r>
          </w:p>
        </w:tc>
        <w:tc>
          <w:tcPr>
            <w:tcW w:w="118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B</w:t>
            </w:r>
          </w:p>
        </w:tc>
        <w:tc>
          <w:tcPr>
            <w:tcW w:w="141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C</w:t>
            </w:r>
          </w:p>
        </w:tc>
        <w:tc>
          <w:tcPr>
            <w:tcW w:w="1304"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7</w:t>
            </w:r>
          </w:p>
        </w:tc>
        <w:tc>
          <w:tcPr>
            <w:tcW w:w="1022"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选择</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煎法服法错误</w:t>
            </w:r>
          </w:p>
        </w:tc>
        <w:tc>
          <w:tcPr>
            <w:tcW w:w="1505"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.每日1剂</w:t>
            </w:r>
          </w:p>
        </w:tc>
        <w:tc>
          <w:tcPr>
            <w:tcW w:w="118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水煎服</w:t>
            </w:r>
          </w:p>
        </w:tc>
        <w:tc>
          <w:tcPr>
            <w:tcW w:w="141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.早晚各1次</w:t>
            </w:r>
          </w:p>
        </w:tc>
        <w:tc>
          <w:tcPr>
            <w:tcW w:w="1304"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煎汤剂</w:t>
            </w:r>
          </w:p>
        </w:tc>
      </w:tr>
    </w:tbl>
    <w:p>
      <w:pPr>
        <w:spacing w:line="200" w:lineRule="exact"/>
        <w:rPr>
          <w:rFonts w:ascii="宋体" w:hAnsi="宋体" w:cs="宋体"/>
        </w:rPr>
      </w:pPr>
    </w:p>
    <w:p>
      <w:pPr>
        <w:spacing w:line="340" w:lineRule="exact"/>
        <w:rPr>
          <w:rFonts w:ascii="宋体" w:hAnsi="宋体" w:cs="宋体"/>
        </w:rPr>
      </w:pPr>
      <w:r>
        <w:rPr>
          <w:rFonts w:hint="eastAsia" w:ascii="宋体" w:hAnsi="宋体" w:cs="宋体"/>
        </w:rPr>
        <w:t>审阅处方A，选中处方中存在特殊用法错误的中药：</w:t>
      </w:r>
    </w:p>
    <w:tbl>
      <w:tblPr>
        <w:tblStyle w:val="14"/>
        <w:tblW w:w="86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72"/>
        <w:gridCol w:w="1559"/>
        <w:gridCol w:w="1417"/>
        <w:gridCol w:w="1276"/>
        <w:gridCol w:w="1418"/>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序号</w:t>
            </w:r>
          </w:p>
        </w:tc>
        <w:tc>
          <w:tcPr>
            <w:tcW w:w="972"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题型</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选项</w:t>
            </w:r>
          </w:p>
        </w:tc>
        <w:tc>
          <w:tcPr>
            <w:tcW w:w="141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A</w:t>
            </w:r>
          </w:p>
        </w:tc>
        <w:tc>
          <w:tcPr>
            <w:tcW w:w="1276"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B</w:t>
            </w:r>
          </w:p>
        </w:tc>
        <w:tc>
          <w:tcPr>
            <w:tcW w:w="1418"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C</w:t>
            </w:r>
          </w:p>
        </w:tc>
        <w:tc>
          <w:tcPr>
            <w:tcW w:w="1285"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67"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8</w:t>
            </w:r>
          </w:p>
        </w:tc>
        <w:tc>
          <w:tcPr>
            <w:tcW w:w="972"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填空</w:t>
            </w:r>
          </w:p>
        </w:tc>
        <w:tc>
          <w:tcPr>
            <w:tcW w:w="1559" w:type="dxa"/>
            <w:shd w:val="clear" w:color="auto" w:fill="auto"/>
            <w:vAlign w:val="center"/>
          </w:tcPr>
          <w:p>
            <w:pPr>
              <w:spacing w:line="340" w:lineRule="exact"/>
              <w:jc w:val="center"/>
              <w:rPr>
                <w:rFonts w:ascii="Times New Roman" w:hAnsi="Times New Roman"/>
                <w:szCs w:val="24"/>
              </w:rPr>
            </w:pPr>
            <w:r>
              <w:rPr>
                <w:rFonts w:hint="eastAsia" w:ascii="Times New Roman" w:hAnsi="Times New Roman"/>
                <w:szCs w:val="24"/>
              </w:rPr>
              <w:t>特殊用法错误</w:t>
            </w:r>
          </w:p>
        </w:tc>
        <w:tc>
          <w:tcPr>
            <w:tcW w:w="1417" w:type="dxa"/>
            <w:shd w:val="clear" w:color="auto" w:fill="auto"/>
            <w:vAlign w:val="center"/>
          </w:tcPr>
          <w:p>
            <w:pPr>
              <w:spacing w:line="340" w:lineRule="exact"/>
              <w:jc w:val="center"/>
              <w:rPr>
                <w:rFonts w:ascii="Times New Roman" w:hAnsi="Times New Roman"/>
                <w:szCs w:val="24"/>
              </w:rPr>
            </w:pPr>
          </w:p>
        </w:tc>
        <w:tc>
          <w:tcPr>
            <w:tcW w:w="1276" w:type="dxa"/>
            <w:shd w:val="clear" w:color="auto" w:fill="auto"/>
            <w:vAlign w:val="center"/>
          </w:tcPr>
          <w:p>
            <w:pPr>
              <w:spacing w:line="340" w:lineRule="exact"/>
              <w:jc w:val="center"/>
              <w:rPr>
                <w:rFonts w:ascii="Times New Roman" w:hAnsi="Times New Roman"/>
                <w:szCs w:val="24"/>
              </w:rPr>
            </w:pPr>
          </w:p>
        </w:tc>
        <w:tc>
          <w:tcPr>
            <w:tcW w:w="1418" w:type="dxa"/>
            <w:shd w:val="clear" w:color="auto" w:fill="auto"/>
            <w:vAlign w:val="center"/>
          </w:tcPr>
          <w:p>
            <w:pPr>
              <w:spacing w:line="340" w:lineRule="exact"/>
              <w:jc w:val="center"/>
              <w:rPr>
                <w:rFonts w:ascii="Times New Roman" w:hAnsi="Times New Roman"/>
                <w:szCs w:val="24"/>
              </w:rPr>
            </w:pPr>
          </w:p>
        </w:tc>
        <w:tc>
          <w:tcPr>
            <w:tcW w:w="1285" w:type="dxa"/>
            <w:shd w:val="clear" w:color="auto" w:fill="auto"/>
            <w:vAlign w:val="center"/>
          </w:tcPr>
          <w:p>
            <w:pPr>
              <w:spacing w:line="340" w:lineRule="exact"/>
              <w:jc w:val="center"/>
              <w:rPr>
                <w:rFonts w:ascii="Times New Roman" w:hAnsi="Times New Roman"/>
                <w:szCs w:val="24"/>
              </w:rPr>
            </w:pPr>
          </w:p>
        </w:tc>
      </w:tr>
    </w:tbl>
    <w:p>
      <w:pPr>
        <w:spacing w:line="340" w:lineRule="exact"/>
        <w:rPr>
          <w:rFonts w:ascii="仿宋_GB2312" w:eastAsia="仿宋_GB2312"/>
          <w:bCs/>
          <w:sz w:val="30"/>
          <w:szCs w:val="30"/>
        </w:rPr>
      </w:pPr>
    </w:p>
    <w:p>
      <w:pPr>
        <w:spacing w:line="340" w:lineRule="exact"/>
        <w:rPr>
          <w:rFonts w:ascii="仿宋_GB2312" w:eastAsia="仿宋_GB2312"/>
          <w:bCs/>
          <w:sz w:val="30"/>
          <w:szCs w:val="30"/>
        </w:rPr>
      </w:pPr>
      <w:r>
        <w:rPr>
          <w:rFonts w:hint="eastAsia" w:ascii="仿宋_GB2312" w:eastAsia="仿宋_GB2312"/>
          <w:bCs/>
          <w:sz w:val="30"/>
          <w:szCs w:val="30"/>
        </w:rPr>
        <w:t>（2）中药调剂操作样题</w:t>
      </w:r>
    </w:p>
    <w:p>
      <w:pPr>
        <w:adjustRightInd w:val="0"/>
        <w:snapToGrid w:val="0"/>
        <w:spacing w:line="560" w:lineRule="exact"/>
        <w:ind w:firstLine="600" w:firstLineChars="200"/>
        <w:rPr>
          <w:rFonts w:ascii="仿宋_GB2312" w:eastAsia="仿宋_GB2312"/>
          <w:bCs/>
          <w:sz w:val="30"/>
          <w:szCs w:val="30"/>
        </w:rPr>
      </w:pPr>
      <w:r>
        <w:rPr>
          <w:rFonts w:hint="eastAsia" w:ascii="仿宋_GB2312" w:eastAsia="仿宋_GB2312"/>
          <w:bCs/>
          <w:sz w:val="30"/>
          <w:szCs w:val="30"/>
        </w:rPr>
        <w:t>2019年全国职业院校技能大赛高职组中药传统技能赛项</w:t>
      </w:r>
    </w:p>
    <w:p>
      <w:pPr>
        <w:adjustRightInd w:val="0"/>
        <w:snapToGrid w:val="0"/>
        <w:spacing w:line="560" w:lineRule="exact"/>
        <w:jc w:val="center"/>
        <w:rPr>
          <w:rFonts w:ascii="仿宋_GB2312" w:eastAsia="仿宋_GB2312"/>
          <w:bCs/>
          <w:sz w:val="30"/>
          <w:szCs w:val="30"/>
        </w:rPr>
      </w:pPr>
      <w:r>
        <w:rPr>
          <w:rFonts w:hint="eastAsia" w:ascii="仿宋_GB2312" w:eastAsia="仿宋_GB2312"/>
          <w:bCs/>
          <w:sz w:val="30"/>
          <w:szCs w:val="30"/>
        </w:rPr>
        <w:t>中药调剂处方笺</w:t>
      </w:r>
    </w:p>
    <w:p>
      <w:pPr>
        <w:adjustRightInd w:val="0"/>
        <w:snapToGrid w:val="0"/>
        <w:spacing w:line="360" w:lineRule="auto"/>
        <w:rPr>
          <w:rFonts w:ascii="仿宋_GB2312" w:hAnsi="宋体" w:eastAsia="仿宋_GB2312"/>
          <w:sz w:val="24"/>
          <w:u w:val="single"/>
        </w:rPr>
      </w:pPr>
      <w:r>
        <w:rPr>
          <w:rFonts w:ascii="仿宋_GB2312" w:hAnsi="宋体" w:eastAsia="仿宋_GB2312"/>
          <w:sz w:val="24"/>
        </w:rPr>
        <w:pict>
          <v:shape id="文本框 11" o:spid="_x0000_s1028" o:spt="202" type="#_x0000_t202" style="position:absolute;left:0pt;margin-left:328.25pt;margin-top:4.45pt;height:35.45pt;width:72.8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">
            <v:path/>
            <v:fill focussize="0,0"/>
            <v:stroke joinstyle="miter"/>
            <v:imagedata o:title=""/>
            <o:lock v:ext="edit"/>
            <v:textbox>
              <w:txbxContent>
                <w:p>
                  <w:pPr>
                    <w:rPr>
                      <w:rFonts w:ascii="宋体" w:hAnsi="宋体"/>
                      <w:sz w:val="28"/>
                      <w:szCs w:val="28"/>
                    </w:rPr>
                  </w:pPr>
                  <w:r>
                    <w:rPr>
                      <w:rFonts w:hint="eastAsia" w:ascii="宋体" w:hAnsi="宋体"/>
                      <w:sz w:val="28"/>
                      <w:szCs w:val="28"/>
                    </w:rPr>
                    <w:t>普通处方</w:t>
                  </w:r>
                </w:p>
              </w:txbxContent>
            </v:textbox>
          </v:shape>
        </w:pict>
      </w:r>
    </w:p>
    <w:p>
      <w:pPr>
        <w:adjustRightInd w:val="0"/>
        <w:snapToGrid w:val="0"/>
        <w:spacing w:line="360" w:lineRule="auto"/>
        <w:rPr>
          <w:rFonts w:ascii="仿宋_GB2312" w:hAnsi="宋体" w:eastAsia="仿宋_GB2312"/>
          <w:sz w:val="24"/>
          <w:u w:val="single"/>
        </w:rPr>
      </w:pPr>
    </w:p>
    <w:p>
      <w:pPr>
        <w:adjustRightInd w:val="0"/>
        <w:snapToGrid w:val="0"/>
        <w:spacing w:line="360" w:lineRule="auto"/>
        <w:ind w:firstLine="600" w:firstLineChars="200"/>
        <w:rPr>
          <w:rFonts w:ascii="仿宋_GB2312" w:eastAsia="仿宋_GB2312"/>
          <w:bCs/>
          <w:sz w:val="30"/>
          <w:szCs w:val="30"/>
          <w:u w:val="single"/>
        </w:rPr>
      </w:pPr>
      <w:r>
        <w:rPr>
          <w:rFonts w:hint="eastAsia" w:ascii="仿宋_GB2312" w:eastAsia="仿宋_GB2312"/>
          <w:bCs/>
          <w:sz w:val="30"/>
          <w:szCs w:val="30"/>
          <w:u w:val="single"/>
        </w:rPr>
        <w:t>科别  中医科    门诊号  0105     2019年 5 月3</w:t>
      </w:r>
      <w:r>
        <w:rPr>
          <w:rFonts w:ascii="仿宋_GB2312" w:eastAsia="仿宋_GB2312"/>
          <w:bCs/>
          <w:sz w:val="30"/>
          <w:szCs w:val="30"/>
          <w:u w:val="single"/>
        </w:rPr>
        <w:t>1</w:t>
      </w:r>
      <w:r>
        <w:rPr>
          <w:rFonts w:hint="eastAsia" w:ascii="仿宋_GB2312" w:eastAsia="仿宋_GB2312"/>
          <w:bCs/>
          <w:sz w:val="30"/>
          <w:szCs w:val="30"/>
          <w:u w:val="single"/>
        </w:rPr>
        <w:t xml:space="preserve">  日 </w:t>
      </w:r>
    </w:p>
    <w:p>
      <w:pPr>
        <w:adjustRightInd w:val="0"/>
        <w:snapToGrid w:val="0"/>
        <w:spacing w:line="360" w:lineRule="auto"/>
        <w:ind w:firstLine="600" w:firstLineChars="200"/>
        <w:rPr>
          <w:rFonts w:ascii="仿宋_GB2312" w:eastAsia="仿宋_GB2312"/>
          <w:bCs/>
          <w:sz w:val="30"/>
          <w:szCs w:val="30"/>
          <w:u w:val="single"/>
        </w:rPr>
      </w:pPr>
      <w:r>
        <w:rPr>
          <w:rFonts w:hint="eastAsia" w:ascii="仿宋_GB2312" w:eastAsia="仿宋_GB2312"/>
          <w:bCs/>
          <w:sz w:val="30"/>
          <w:szCs w:val="30"/>
          <w:u w:val="single"/>
        </w:rPr>
        <w:t xml:space="preserve">姓名  郑小美     </w:t>
      </w:r>
      <w:r>
        <w:rPr>
          <w:rFonts w:ascii="仿宋_GB2312" w:eastAsia="仿宋_GB2312"/>
          <w:bCs/>
          <w:sz w:val="30"/>
          <w:szCs w:val="30"/>
          <w:u w:val="single"/>
        </w:rPr>
        <w:t xml:space="preserve">  </w:t>
      </w:r>
      <w:r>
        <w:rPr>
          <w:rFonts w:hint="eastAsia" w:ascii="仿宋_GB2312" w:eastAsia="仿宋_GB2312"/>
          <w:bCs/>
          <w:sz w:val="30"/>
          <w:szCs w:val="30"/>
          <w:u w:val="single"/>
        </w:rPr>
        <w:t xml:space="preserve">性别  女      年龄    </w:t>
      </w:r>
      <w:r>
        <w:rPr>
          <w:rFonts w:ascii="仿宋_GB2312" w:eastAsia="仿宋_GB2312"/>
          <w:bCs/>
          <w:sz w:val="30"/>
          <w:szCs w:val="30"/>
          <w:u w:val="single"/>
        </w:rPr>
        <w:t>2</w:t>
      </w:r>
      <w:r>
        <w:rPr>
          <w:rFonts w:hint="eastAsia" w:ascii="仿宋_GB2312" w:eastAsia="仿宋_GB2312"/>
          <w:bCs/>
          <w:sz w:val="30"/>
          <w:szCs w:val="30"/>
          <w:u w:val="single"/>
        </w:rPr>
        <w:t xml:space="preserve">3岁      </w:t>
      </w:r>
    </w:p>
    <w:p>
      <w:pPr>
        <w:adjustRightInd w:val="0"/>
        <w:snapToGrid w:val="0"/>
        <w:spacing w:line="360" w:lineRule="auto"/>
        <w:ind w:firstLine="600" w:firstLineChars="200"/>
        <w:rPr>
          <w:rFonts w:asciiTheme="minorEastAsia" w:hAnsiTheme="minorEastAsia" w:eastAsiaTheme="minorEastAsia"/>
          <w:sz w:val="30"/>
          <w:szCs w:val="30"/>
        </w:rPr>
      </w:pPr>
      <w:r>
        <w:rPr>
          <w:rFonts w:hint="eastAsia" w:ascii="仿宋_GB2312" w:eastAsia="仿宋_GB2312"/>
          <w:bCs/>
          <w:sz w:val="30"/>
          <w:szCs w:val="30"/>
          <w:u w:val="single"/>
        </w:rPr>
        <w:t xml:space="preserve">临床诊断       纳差、不思饮食                      </w:t>
      </w:r>
      <w:r>
        <w:rPr>
          <w:rFonts w:hint="eastAsia" w:asciiTheme="minorEastAsia" w:hAnsiTheme="minorEastAsia" w:eastAsiaTheme="minorEastAsia"/>
          <w:sz w:val="30"/>
          <w:szCs w:val="30"/>
          <w:u w:val="single"/>
        </w:rPr>
        <w:t xml:space="preserve">       </w:t>
      </w:r>
    </w:p>
    <w:p>
      <w:pPr>
        <w:adjustRightInd w:val="0"/>
        <w:snapToGrid w:val="0"/>
        <w:spacing w:line="360" w:lineRule="auto"/>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 xml:space="preserve">R：  </w:t>
      </w:r>
    </w:p>
    <w:p>
      <w:pPr>
        <w:adjustRightInd w:val="0"/>
        <w:snapToGrid w:val="0"/>
        <w:spacing w:line="360" w:lineRule="auto"/>
        <w:ind w:right="420" w:firstLine="1200" w:firstLineChars="400"/>
        <w:rPr>
          <w:rFonts w:ascii="仿宋_GB2312" w:eastAsia="仿宋_GB2312"/>
          <w:bCs/>
          <w:sz w:val="30"/>
          <w:szCs w:val="30"/>
        </w:rPr>
      </w:pPr>
      <w:r>
        <w:rPr>
          <w:rFonts w:hint="eastAsia" w:ascii="仿宋_GB2312" w:eastAsia="仿宋_GB2312"/>
          <w:bCs/>
          <w:sz w:val="30"/>
          <w:szCs w:val="30"/>
        </w:rPr>
        <w:t>广藿香9g</w:t>
      </w:r>
      <w:r>
        <w:rPr>
          <w:rFonts w:hint="eastAsia" w:ascii="仿宋_GB2312" w:eastAsia="仿宋_GB2312"/>
          <w:bCs/>
          <w:sz w:val="30"/>
          <w:szCs w:val="30"/>
        </w:rPr>
        <w:tab/>
      </w:r>
      <w:r>
        <w:rPr>
          <w:rFonts w:ascii="仿宋_GB2312" w:eastAsia="仿宋_GB2312"/>
          <w:bCs/>
          <w:sz w:val="30"/>
          <w:szCs w:val="30"/>
        </w:rPr>
        <w:t xml:space="preserve">         </w:t>
      </w:r>
      <w:r>
        <w:rPr>
          <w:rFonts w:hint="eastAsia" w:ascii="仿宋_GB2312" w:eastAsia="仿宋_GB2312"/>
          <w:bCs/>
          <w:sz w:val="30"/>
          <w:szCs w:val="30"/>
        </w:rPr>
        <w:t>炒白术9g</w:t>
      </w:r>
    </w:p>
    <w:p>
      <w:pPr>
        <w:adjustRightInd w:val="0"/>
        <w:snapToGrid w:val="0"/>
        <w:spacing w:line="360" w:lineRule="auto"/>
        <w:ind w:right="420" w:firstLine="1200" w:firstLineChars="400"/>
        <w:rPr>
          <w:rFonts w:ascii="仿宋_GB2312" w:eastAsia="仿宋_GB2312"/>
          <w:bCs/>
          <w:sz w:val="30"/>
          <w:szCs w:val="30"/>
        </w:rPr>
      </w:pPr>
      <w:r>
        <w:rPr>
          <w:rFonts w:hint="eastAsia" w:ascii="仿宋_GB2312" w:eastAsia="仿宋_GB2312"/>
          <w:bCs/>
          <w:sz w:val="30"/>
          <w:szCs w:val="30"/>
        </w:rPr>
        <w:t>白茯苓12g</w:t>
      </w:r>
      <w:r>
        <w:rPr>
          <w:rFonts w:hint="eastAsia" w:ascii="仿宋_GB2312" w:eastAsia="仿宋_GB2312"/>
          <w:bCs/>
          <w:sz w:val="30"/>
          <w:szCs w:val="30"/>
        </w:rPr>
        <w:tab/>
      </w:r>
      <w:r>
        <w:rPr>
          <w:rFonts w:ascii="仿宋_GB2312" w:eastAsia="仿宋_GB2312"/>
          <w:bCs/>
          <w:sz w:val="30"/>
          <w:szCs w:val="30"/>
        </w:rPr>
        <w:t xml:space="preserve">      </w:t>
      </w:r>
      <w:r>
        <w:rPr>
          <w:rFonts w:hint="eastAsia" w:ascii="仿宋_GB2312" w:eastAsia="仿宋_GB2312"/>
          <w:bCs/>
          <w:sz w:val="30"/>
          <w:szCs w:val="30"/>
        </w:rPr>
        <w:t>山药12g</w:t>
      </w:r>
    </w:p>
    <w:p>
      <w:pPr>
        <w:adjustRightInd w:val="0"/>
        <w:snapToGrid w:val="0"/>
        <w:spacing w:line="360" w:lineRule="auto"/>
        <w:ind w:right="420" w:firstLine="1200" w:firstLineChars="400"/>
        <w:rPr>
          <w:rFonts w:ascii="仿宋_GB2312" w:eastAsia="仿宋_GB2312"/>
          <w:bCs/>
          <w:sz w:val="30"/>
          <w:szCs w:val="30"/>
        </w:rPr>
      </w:pPr>
      <w:r>
        <w:rPr>
          <w:rFonts w:hint="eastAsia" w:ascii="仿宋_GB2312" w:eastAsia="仿宋_GB2312"/>
          <w:bCs/>
          <w:sz w:val="30"/>
          <w:szCs w:val="30"/>
        </w:rPr>
        <w:t>莲子9g</w:t>
      </w:r>
      <w:r>
        <w:rPr>
          <w:rFonts w:hint="eastAsia" w:ascii="仿宋_GB2312" w:eastAsia="仿宋_GB2312"/>
          <w:bCs/>
          <w:sz w:val="30"/>
          <w:szCs w:val="30"/>
        </w:rPr>
        <w:tab/>
      </w:r>
      <w:r>
        <w:rPr>
          <w:rFonts w:ascii="仿宋_GB2312" w:eastAsia="仿宋_GB2312"/>
          <w:bCs/>
          <w:sz w:val="30"/>
          <w:szCs w:val="30"/>
        </w:rPr>
        <w:t xml:space="preserve">         </w:t>
      </w:r>
      <w:r>
        <w:rPr>
          <w:rFonts w:hint="eastAsia" w:ascii="仿宋_GB2312" w:eastAsia="仿宋_GB2312"/>
          <w:bCs/>
          <w:sz w:val="30"/>
          <w:szCs w:val="30"/>
        </w:rPr>
        <w:t>白扁豆9g</w:t>
      </w:r>
    </w:p>
    <w:p>
      <w:pPr>
        <w:adjustRightInd w:val="0"/>
        <w:snapToGrid w:val="0"/>
        <w:spacing w:line="360" w:lineRule="auto"/>
        <w:ind w:right="420" w:firstLine="1200" w:firstLineChars="400"/>
        <w:rPr>
          <w:rFonts w:ascii="仿宋_GB2312" w:eastAsia="仿宋_GB2312"/>
          <w:bCs/>
          <w:sz w:val="30"/>
          <w:szCs w:val="30"/>
        </w:rPr>
      </w:pPr>
      <w:r>
        <w:rPr>
          <w:rFonts w:hint="eastAsia" w:ascii="仿宋_GB2312" w:eastAsia="仿宋_GB2312"/>
          <w:bCs/>
          <w:sz w:val="30"/>
          <w:szCs w:val="30"/>
        </w:rPr>
        <w:t>薏苡仁10g</w:t>
      </w:r>
      <w:r>
        <w:rPr>
          <w:rFonts w:hint="eastAsia" w:ascii="仿宋_GB2312" w:eastAsia="仿宋_GB2312"/>
          <w:bCs/>
          <w:sz w:val="30"/>
          <w:szCs w:val="30"/>
        </w:rPr>
        <w:tab/>
      </w:r>
      <w:r>
        <w:rPr>
          <w:rFonts w:ascii="仿宋_GB2312" w:eastAsia="仿宋_GB2312"/>
          <w:bCs/>
          <w:sz w:val="30"/>
          <w:szCs w:val="30"/>
        </w:rPr>
        <w:t xml:space="preserve">      </w:t>
      </w:r>
      <w:r>
        <w:rPr>
          <w:rFonts w:hint="eastAsia" w:ascii="仿宋_GB2312" w:eastAsia="仿宋_GB2312"/>
          <w:bCs/>
          <w:sz w:val="30"/>
          <w:szCs w:val="30"/>
        </w:rPr>
        <w:t>砂仁后下6g</w:t>
      </w:r>
    </w:p>
    <w:p>
      <w:pPr>
        <w:adjustRightInd w:val="0"/>
        <w:snapToGrid w:val="0"/>
        <w:spacing w:line="360" w:lineRule="auto"/>
        <w:ind w:right="420" w:firstLine="1200" w:firstLineChars="400"/>
        <w:rPr>
          <w:rFonts w:ascii="仿宋_GB2312" w:eastAsia="仿宋_GB2312"/>
          <w:bCs/>
          <w:sz w:val="30"/>
          <w:szCs w:val="30"/>
        </w:rPr>
      </w:pPr>
      <w:r>
        <w:rPr>
          <w:rFonts w:hint="eastAsia" w:ascii="仿宋_GB2312" w:eastAsia="仿宋_GB2312"/>
          <w:bCs/>
          <w:sz w:val="30"/>
          <w:szCs w:val="30"/>
        </w:rPr>
        <w:t>桔梗12g</w:t>
      </w:r>
      <w:r>
        <w:rPr>
          <w:rFonts w:hint="eastAsia" w:ascii="仿宋_GB2312" w:eastAsia="仿宋_GB2312"/>
          <w:bCs/>
          <w:sz w:val="30"/>
          <w:szCs w:val="30"/>
        </w:rPr>
        <w:tab/>
      </w:r>
      <w:r>
        <w:rPr>
          <w:rFonts w:hint="eastAsia" w:ascii="仿宋_GB2312" w:eastAsia="仿宋_GB2312"/>
          <w:bCs/>
          <w:sz w:val="30"/>
          <w:szCs w:val="30"/>
        </w:rPr>
        <w:tab/>
      </w:r>
      <w:r>
        <w:rPr>
          <w:rFonts w:ascii="仿宋_GB2312" w:eastAsia="仿宋_GB2312"/>
          <w:bCs/>
          <w:sz w:val="30"/>
          <w:szCs w:val="30"/>
        </w:rPr>
        <w:t xml:space="preserve">     </w:t>
      </w:r>
      <w:r>
        <w:rPr>
          <w:rFonts w:hint="eastAsia" w:ascii="仿宋_GB2312" w:eastAsia="仿宋_GB2312"/>
          <w:bCs/>
          <w:sz w:val="30"/>
          <w:szCs w:val="30"/>
        </w:rPr>
        <w:t>甘草12g</w:t>
      </w:r>
    </w:p>
    <w:p>
      <w:pPr>
        <w:adjustRightInd w:val="0"/>
        <w:snapToGrid w:val="0"/>
        <w:spacing w:line="360" w:lineRule="auto"/>
        <w:ind w:right="420" w:firstLine="3750" w:firstLineChars="1250"/>
        <w:rPr>
          <w:rFonts w:ascii="仿宋_GB2312" w:eastAsia="仿宋_GB2312"/>
          <w:bCs/>
          <w:sz w:val="30"/>
          <w:szCs w:val="30"/>
        </w:rPr>
      </w:pPr>
      <w:r>
        <w:rPr>
          <w:rFonts w:hint="eastAsia" w:ascii="仿宋_GB2312" w:eastAsia="仿宋_GB2312"/>
          <w:bCs/>
          <w:sz w:val="30"/>
          <w:szCs w:val="30"/>
        </w:rPr>
        <w:t>每日1剂，水煎服，早晚各1次</w:t>
      </w:r>
    </w:p>
    <w:p>
      <w:pPr>
        <w:adjustRightInd w:val="0"/>
        <w:snapToGrid w:val="0"/>
        <w:spacing w:line="360" w:lineRule="auto"/>
        <w:ind w:firstLine="600" w:firstLineChars="200"/>
        <w:rPr>
          <w:rFonts w:ascii="仿宋_GB2312" w:eastAsia="仿宋_GB2312"/>
          <w:bCs/>
          <w:sz w:val="30"/>
          <w:szCs w:val="30"/>
          <w:u w:val="single"/>
        </w:rPr>
      </w:pPr>
      <w:r>
        <w:rPr>
          <w:rFonts w:hint="eastAsia" w:ascii="仿宋_GB2312" w:eastAsia="仿宋_GB2312"/>
          <w:bCs/>
          <w:sz w:val="30"/>
          <w:szCs w:val="30"/>
          <w:u w:val="single"/>
        </w:rPr>
        <w:t xml:space="preserve">医   师：刘某某                  剂  数：  3       </w:t>
      </w:r>
    </w:p>
    <w:p>
      <w:pPr>
        <w:adjustRightInd w:val="0"/>
        <w:snapToGrid w:val="0"/>
        <w:spacing w:line="360" w:lineRule="auto"/>
        <w:ind w:firstLine="600" w:firstLineChars="200"/>
        <w:rPr>
          <w:rFonts w:ascii="仿宋_GB2312" w:eastAsia="仿宋_GB2312"/>
          <w:bCs/>
          <w:sz w:val="30"/>
          <w:szCs w:val="30"/>
          <w:u w:val="single"/>
        </w:rPr>
      </w:pPr>
      <w:r>
        <w:rPr>
          <w:rFonts w:hint="eastAsia" w:ascii="仿宋_GB2312" w:eastAsia="仿宋_GB2312"/>
          <w:bCs/>
          <w:sz w:val="30"/>
          <w:szCs w:val="30"/>
          <w:u w:val="single"/>
        </w:rPr>
        <w:t>药   价：</w:t>
      </w:r>
      <w:r>
        <w:rPr>
          <w:rFonts w:ascii="仿宋_GB2312" w:eastAsia="仿宋_GB2312"/>
          <w:bCs/>
          <w:sz w:val="30"/>
          <w:szCs w:val="30"/>
          <w:u w:val="single"/>
        </w:rPr>
        <w:t>35.9</w:t>
      </w:r>
      <w:r>
        <w:rPr>
          <w:rFonts w:hint="eastAsia" w:ascii="仿宋_GB2312" w:eastAsia="仿宋_GB2312"/>
          <w:bCs/>
          <w:sz w:val="30"/>
          <w:szCs w:val="30"/>
          <w:u w:val="single"/>
        </w:rPr>
        <w:t>0</w:t>
      </w:r>
      <w:r>
        <w:rPr>
          <w:rFonts w:ascii="仿宋_GB2312" w:eastAsia="仿宋_GB2312"/>
          <w:bCs/>
          <w:sz w:val="30"/>
          <w:szCs w:val="30"/>
          <w:u w:val="single"/>
        </w:rPr>
        <w:t xml:space="preserve">  </w:t>
      </w:r>
      <w:r>
        <w:rPr>
          <w:rFonts w:hint="eastAsia" w:ascii="仿宋_GB2312" w:eastAsia="仿宋_GB2312"/>
          <w:bCs/>
          <w:sz w:val="30"/>
          <w:szCs w:val="30"/>
          <w:u w:val="single"/>
        </w:rPr>
        <w:t xml:space="preserve">元               计价人：蔡某某    </w:t>
      </w:r>
    </w:p>
    <w:p>
      <w:pPr>
        <w:adjustRightInd w:val="0"/>
        <w:snapToGrid w:val="0"/>
        <w:spacing w:line="360" w:lineRule="auto"/>
        <w:ind w:firstLine="600" w:firstLineChars="200"/>
        <w:rPr>
          <w:rFonts w:ascii="仿宋_GB2312" w:eastAsia="仿宋_GB2312"/>
          <w:bCs/>
          <w:sz w:val="30"/>
          <w:szCs w:val="30"/>
          <w:u w:val="single"/>
        </w:rPr>
      </w:pPr>
      <w:r>
        <w:rPr>
          <w:rFonts w:hint="eastAsia" w:ascii="仿宋_GB2312" w:eastAsia="仿宋_GB2312"/>
          <w:bCs/>
          <w:sz w:val="30"/>
          <w:szCs w:val="30"/>
          <w:u w:val="single"/>
        </w:rPr>
        <w:t xml:space="preserve">调   配：            核  对：    发 药：王某某          </w:t>
      </w:r>
    </w:p>
    <w:p>
      <w:pPr>
        <w:adjustRightInd w:val="0"/>
        <w:snapToGrid w:val="0"/>
        <w:spacing w:line="360" w:lineRule="auto"/>
        <w:ind w:firstLine="600" w:firstLineChars="200"/>
        <w:jc w:val="center"/>
        <w:rPr>
          <w:rFonts w:ascii="仿宋_GB2312" w:eastAsia="仿宋_GB2312"/>
          <w:bCs/>
          <w:sz w:val="30"/>
          <w:szCs w:val="30"/>
        </w:rPr>
      </w:pPr>
      <w:r>
        <w:rPr>
          <w:rFonts w:hint="eastAsia" w:asciiTheme="minorEastAsia" w:hAnsiTheme="minorEastAsia" w:eastAsiaTheme="minorEastAsia"/>
          <w:bCs/>
          <w:sz w:val="30"/>
          <w:szCs w:val="30"/>
        </w:rPr>
        <w:t xml:space="preserve">           </w:t>
      </w:r>
      <w:r>
        <w:rPr>
          <w:rFonts w:hint="eastAsia" w:ascii="仿宋_GB2312" w:eastAsia="仿宋_GB2312"/>
          <w:bCs/>
          <w:sz w:val="30"/>
          <w:szCs w:val="30"/>
        </w:rPr>
        <w:t>取药号：06</w:t>
      </w:r>
    </w:p>
    <w:p>
      <w:pPr>
        <w:adjustRightInd w:val="0"/>
        <w:snapToGrid w:val="0"/>
        <w:spacing w:line="560" w:lineRule="exact"/>
        <w:ind w:firstLine="600" w:firstLineChars="200"/>
        <w:rPr>
          <w:rFonts w:ascii="仿宋_GB2312" w:hAnsi="仿宋" w:eastAsia="仿宋_GB2312" w:cs="仿宋"/>
          <w:sz w:val="30"/>
          <w:szCs w:val="30"/>
          <w:lang w:val="zh-CN"/>
        </w:rPr>
      </w:pPr>
      <w:bookmarkStart w:id="5" w:name="_Toc513563338"/>
      <w:r>
        <w:rPr>
          <w:rFonts w:hint="eastAsia" w:ascii="仿宋_GB2312" w:hAnsi="仿宋" w:eastAsia="仿宋_GB2312" w:cs="仿宋"/>
          <w:sz w:val="30"/>
          <w:szCs w:val="30"/>
          <w:lang w:val="zh-CN"/>
        </w:rPr>
        <w:t>4.中药炮制样题</w:t>
      </w:r>
      <w:bookmarkEnd w:id="5"/>
    </w:p>
    <w:p>
      <w:pPr>
        <w:adjustRightInd w:val="0"/>
        <w:snapToGrid w:val="0"/>
        <w:spacing w:line="560" w:lineRule="exact"/>
        <w:jc w:val="center"/>
        <w:rPr>
          <w:rFonts w:ascii="仿宋_GB2312" w:hAnsi="仿宋" w:eastAsia="仿宋_GB2312" w:cs="仿宋"/>
          <w:sz w:val="30"/>
          <w:szCs w:val="30"/>
          <w:lang w:val="zh-CN"/>
        </w:rPr>
      </w:pPr>
      <w:r>
        <w:rPr>
          <w:rFonts w:hint="eastAsia" w:ascii="仿宋_GB2312" w:hAnsi="仿宋" w:eastAsia="仿宋_GB2312" w:cs="仿宋"/>
          <w:sz w:val="30"/>
          <w:szCs w:val="30"/>
          <w:lang w:val="zh-CN"/>
        </w:rPr>
        <w:t>2019年全国职业院校技能大赛高职组中药传统技能赛项</w:t>
      </w:r>
    </w:p>
    <w:p>
      <w:pPr>
        <w:adjustRightInd w:val="0"/>
        <w:snapToGrid w:val="0"/>
        <w:spacing w:line="560" w:lineRule="exact"/>
        <w:ind w:firstLine="600" w:firstLineChars="200"/>
        <w:jc w:val="center"/>
        <w:rPr>
          <w:rFonts w:ascii="仿宋_GB2312" w:hAnsi="仿宋" w:eastAsia="仿宋_GB2312" w:cs="仿宋"/>
          <w:sz w:val="30"/>
          <w:szCs w:val="30"/>
          <w:lang w:val="zh-CN"/>
        </w:rPr>
      </w:pPr>
      <w:r>
        <w:rPr>
          <w:rFonts w:hint="eastAsia" w:ascii="仿宋_GB2312" w:hAnsi="仿宋" w:eastAsia="仿宋_GB2312" w:cs="仿宋"/>
          <w:sz w:val="30"/>
          <w:szCs w:val="30"/>
          <w:lang w:val="zh-CN"/>
        </w:rPr>
        <w:t>中药炮制</w:t>
      </w:r>
    </w:p>
    <w:p>
      <w:pPr>
        <w:adjustRightInd w:val="0"/>
        <w:snapToGrid w:val="0"/>
        <w:spacing w:line="560" w:lineRule="exact"/>
        <w:ind w:firstLine="600" w:firstLineChars="200"/>
        <w:rPr>
          <w:rFonts w:ascii="仿宋_GB2312" w:hAnsi="仿宋" w:eastAsia="仿宋_GB2312" w:cs="仿宋"/>
          <w:sz w:val="30"/>
          <w:szCs w:val="30"/>
          <w:lang w:val="zh-CN"/>
        </w:rPr>
      </w:pPr>
      <w:r>
        <w:rPr>
          <w:rFonts w:hint="eastAsia" w:ascii="仿宋_GB2312" w:hAnsi="仿宋" w:eastAsia="仿宋_GB2312" w:cs="仿宋"/>
          <w:sz w:val="30"/>
          <w:szCs w:val="30"/>
          <w:lang w:val="zh-CN"/>
        </w:rPr>
        <w:t>请参赛选手在20分钟内，按照《中国药典》2015年版规定的方法，完成下列2味待炮制饮片的炮制操作：</w:t>
      </w:r>
    </w:p>
    <w:p>
      <w:pPr>
        <w:adjustRightInd w:val="0"/>
        <w:snapToGrid w:val="0"/>
        <w:spacing w:line="560" w:lineRule="exact"/>
        <w:ind w:firstLine="600" w:firstLineChars="200"/>
        <w:rPr>
          <w:rFonts w:ascii="仿宋_GB2312" w:hAnsi="仿宋" w:eastAsia="仿宋_GB2312" w:cs="仿宋"/>
          <w:sz w:val="30"/>
          <w:szCs w:val="30"/>
          <w:lang w:val="zh-CN"/>
        </w:rPr>
      </w:pPr>
      <w:r>
        <w:rPr>
          <w:rFonts w:hint="eastAsia" w:ascii="仿宋_GB2312" w:hAnsi="仿宋" w:eastAsia="仿宋_GB2312" w:cs="仿宋"/>
          <w:sz w:val="30"/>
          <w:szCs w:val="30"/>
          <w:lang w:val="zh-CN"/>
        </w:rPr>
        <w:t>将100g山楂炮制成焦山楂；</w:t>
      </w:r>
    </w:p>
    <w:p>
      <w:pPr>
        <w:adjustRightInd w:val="0"/>
        <w:snapToGrid w:val="0"/>
        <w:spacing w:line="560" w:lineRule="exact"/>
        <w:ind w:firstLine="600" w:firstLineChars="200"/>
        <w:rPr>
          <w:rFonts w:ascii="仿宋_GB2312" w:hAnsi="仿宋" w:eastAsia="仿宋_GB2312" w:cs="仿宋"/>
          <w:sz w:val="30"/>
          <w:szCs w:val="30"/>
          <w:lang w:val="zh-CN"/>
        </w:rPr>
      </w:pPr>
      <w:r>
        <w:rPr>
          <w:rFonts w:hint="eastAsia" w:ascii="仿宋_GB2312" w:hAnsi="仿宋" w:eastAsia="仿宋_GB2312" w:cs="仿宋"/>
          <w:sz w:val="30"/>
          <w:szCs w:val="30"/>
          <w:lang w:val="zh-CN"/>
        </w:rPr>
        <w:t>将10</w:t>
      </w:r>
      <w:r>
        <w:rPr>
          <w:rFonts w:ascii="仿宋_GB2312" w:hAnsi="仿宋" w:eastAsia="仿宋_GB2312" w:cs="仿宋"/>
          <w:sz w:val="30"/>
          <w:szCs w:val="30"/>
          <w:lang w:val="zh-CN"/>
        </w:rPr>
        <w:t>0</w:t>
      </w:r>
      <w:r>
        <w:rPr>
          <w:rFonts w:hint="eastAsia" w:ascii="仿宋_GB2312" w:hAnsi="仿宋" w:eastAsia="仿宋_GB2312" w:cs="仿宋"/>
          <w:sz w:val="30"/>
          <w:szCs w:val="30"/>
          <w:lang w:val="zh-CN"/>
        </w:rPr>
        <w:t>g黄芪炮制成蜜黄芪。</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十、评分标准制定原则、评分方法、评分细则</w:t>
      </w:r>
    </w:p>
    <w:p>
      <w:pPr>
        <w:spacing w:line="56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（一）评分标准制订原则</w:t>
      </w:r>
    </w:p>
    <w:p>
      <w:pPr>
        <w:spacing w:line="56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竞赛评分本着“公平、公正、公开、科学、规范”的原则。</w:t>
      </w:r>
    </w:p>
    <w:p>
      <w:pPr>
        <w:spacing w:line="44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（二）评分方法</w:t>
      </w:r>
    </w:p>
    <w:p>
      <w:pPr>
        <w:spacing w:line="440" w:lineRule="exact"/>
        <w:ind w:firstLine="120" w:firstLineChars="50"/>
        <w:jc w:val="center"/>
        <w:rPr>
          <w:rFonts w:ascii="宋体" w:cs="Times New Roman"/>
          <w:b/>
          <w:bCs/>
          <w:sz w:val="24"/>
          <w:szCs w:val="24"/>
        </w:rPr>
      </w:pPr>
      <w:r>
        <w:rPr>
          <w:rFonts w:hint="eastAsia" w:ascii="宋体" w:hAnsi="宋体" w:cs="宋体"/>
          <w:b/>
          <w:bCs/>
          <w:sz w:val="24"/>
          <w:szCs w:val="24"/>
        </w:rPr>
        <w:t>表3</w:t>
      </w:r>
      <w:r>
        <w:rPr>
          <w:rFonts w:ascii="宋体" w:hAnsi="宋体" w:cs="宋体"/>
          <w:b/>
          <w:bCs/>
          <w:sz w:val="24"/>
          <w:szCs w:val="24"/>
        </w:rPr>
        <w:t xml:space="preserve">  </w:t>
      </w:r>
      <w:r>
        <w:rPr>
          <w:rFonts w:hint="eastAsia" w:ascii="宋体" w:hAnsi="宋体" w:cs="宋体"/>
          <w:b/>
          <w:bCs/>
          <w:sz w:val="24"/>
          <w:szCs w:val="24"/>
        </w:rPr>
        <w:t>评分项目及评分方法</w:t>
      </w:r>
    </w:p>
    <w:tbl>
      <w:tblPr>
        <w:tblStyle w:val="14"/>
        <w:tblW w:w="824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81"/>
        <w:gridCol w:w="4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5" w:hRule="atLeast"/>
        </w:trPr>
        <w:tc>
          <w:tcPr>
            <w:tcW w:w="4181" w:type="dxa"/>
          </w:tcPr>
          <w:p>
            <w:pPr>
              <w:adjustRightInd w:val="0"/>
              <w:snapToGrid w:val="0"/>
              <w:jc w:val="center"/>
              <w:rPr>
                <w:rFonts w:ascii="宋体" w:cs="Times New Roman"/>
                <w:sz w:val="24"/>
                <w:szCs w:val="24"/>
              </w:rPr>
            </w:pPr>
            <w:r>
              <w:rPr>
                <w:rFonts w:hint="eastAsia" w:ascii="宋体" w:hAnsi="宋体" w:cs="宋体"/>
                <w:sz w:val="24"/>
                <w:szCs w:val="24"/>
              </w:rPr>
              <w:t>项目</w:t>
            </w:r>
          </w:p>
        </w:tc>
        <w:tc>
          <w:tcPr>
            <w:tcW w:w="4065" w:type="dxa"/>
          </w:tcPr>
          <w:p>
            <w:pPr>
              <w:adjustRightInd w:val="0"/>
              <w:snapToGrid w:val="0"/>
              <w:jc w:val="center"/>
              <w:rPr>
                <w:rFonts w:ascii="宋体" w:cs="Times New Roman"/>
                <w:sz w:val="24"/>
                <w:szCs w:val="24"/>
              </w:rPr>
            </w:pPr>
            <w:r>
              <w:rPr>
                <w:rFonts w:hint="eastAsia" w:ascii="宋体" w:hAnsi="宋体" w:cs="宋体"/>
                <w:sz w:val="24"/>
                <w:szCs w:val="24"/>
              </w:rPr>
              <w:t>评分方法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trPr>
        <w:tc>
          <w:tcPr>
            <w:tcW w:w="4181" w:type="dxa"/>
          </w:tcPr>
          <w:p>
            <w:pPr>
              <w:adjustRightInd w:val="0"/>
              <w:snapToGrid w:val="0"/>
              <w:jc w:val="center"/>
              <w:rPr>
                <w:rFonts w:ascii="宋体" w:cs="Times New Roman"/>
                <w:sz w:val="24"/>
                <w:szCs w:val="24"/>
              </w:rPr>
            </w:pPr>
            <w:r>
              <w:rPr>
                <w:rFonts w:hint="eastAsia" w:ascii="宋体" w:hAnsi="宋体" w:cs="宋体"/>
                <w:sz w:val="24"/>
                <w:szCs w:val="24"/>
              </w:rPr>
              <w:t>中药性状与真伪鉴别</w:t>
            </w:r>
          </w:p>
        </w:tc>
        <w:tc>
          <w:tcPr>
            <w:tcW w:w="4065" w:type="dxa"/>
          </w:tcPr>
          <w:p>
            <w:pPr>
              <w:adjustRightInd w:val="0"/>
              <w:snapToGrid w:val="0"/>
              <w:jc w:val="center"/>
              <w:rPr>
                <w:rFonts w:ascii="宋体" w:cs="Times New Roman"/>
                <w:sz w:val="24"/>
                <w:szCs w:val="24"/>
              </w:rPr>
            </w:pPr>
            <w:r>
              <w:rPr>
                <w:rFonts w:hint="eastAsia" w:ascii="宋体" w:hAnsi="宋体" w:cs="宋体"/>
                <w:sz w:val="24"/>
                <w:szCs w:val="24"/>
              </w:rPr>
              <w:t>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5" w:hRule="atLeast"/>
        </w:trPr>
        <w:tc>
          <w:tcPr>
            <w:tcW w:w="4181" w:type="dxa"/>
          </w:tcPr>
          <w:p>
            <w:pPr>
              <w:adjustRightInd w:val="0"/>
              <w:snapToGrid w:val="0"/>
              <w:jc w:val="center"/>
              <w:rPr>
                <w:rFonts w:ascii="宋体" w:cs="Times New Roman"/>
                <w:sz w:val="24"/>
                <w:szCs w:val="24"/>
              </w:rPr>
            </w:pPr>
            <w:r>
              <w:rPr>
                <w:rFonts w:hint="eastAsia" w:ascii="宋体" w:hAnsi="宋体" w:cs="宋体"/>
                <w:sz w:val="24"/>
                <w:szCs w:val="24"/>
              </w:rPr>
              <w:t>中药显微鉴别</w:t>
            </w:r>
          </w:p>
        </w:tc>
        <w:tc>
          <w:tcPr>
            <w:tcW w:w="4065" w:type="dxa"/>
          </w:tcPr>
          <w:p>
            <w:pPr>
              <w:adjustRightInd w:val="0"/>
              <w:snapToGrid w:val="0"/>
              <w:jc w:val="center"/>
              <w:rPr>
                <w:rFonts w:ascii="宋体" w:cs="Times New Roman"/>
                <w:sz w:val="24"/>
                <w:szCs w:val="24"/>
              </w:rPr>
            </w:pPr>
            <w:r>
              <w:rPr>
                <w:rFonts w:hint="eastAsia" w:ascii="宋体" w:hAnsi="宋体" w:cs="宋体"/>
                <w:sz w:val="24"/>
                <w:szCs w:val="24"/>
              </w:rPr>
              <w:t>过程与结果评分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5" w:hRule="atLeast"/>
        </w:trPr>
        <w:tc>
          <w:tcPr>
            <w:tcW w:w="4181" w:type="dxa"/>
          </w:tcPr>
          <w:p>
            <w:pPr>
              <w:adjustRightInd w:val="0"/>
              <w:snapToGrid w:val="0"/>
              <w:jc w:val="center"/>
              <w:rPr>
                <w:rFonts w:ascii="宋体" w:cs="Times New Roman"/>
                <w:sz w:val="24"/>
                <w:szCs w:val="24"/>
              </w:rPr>
            </w:pPr>
            <w:r>
              <w:rPr>
                <w:rFonts w:hint="eastAsia" w:ascii="宋体" w:hAnsi="宋体" w:cs="宋体"/>
                <w:sz w:val="24"/>
                <w:szCs w:val="24"/>
              </w:rPr>
              <w:t>中药调剂审方理论考试</w:t>
            </w:r>
          </w:p>
        </w:tc>
        <w:tc>
          <w:tcPr>
            <w:tcW w:w="4065" w:type="dxa"/>
          </w:tcPr>
          <w:p>
            <w:pPr>
              <w:adjustRightInd w:val="0"/>
              <w:snapToGrid w:val="0"/>
              <w:jc w:val="center"/>
              <w:rPr>
                <w:rFonts w:ascii="宋体" w:cs="Times New Roman"/>
                <w:sz w:val="24"/>
                <w:szCs w:val="24"/>
              </w:rPr>
            </w:pPr>
            <w:r>
              <w:rPr>
                <w:rFonts w:hint="eastAsia" w:ascii="宋体" w:hAnsi="宋体" w:cs="宋体"/>
                <w:sz w:val="24"/>
                <w:szCs w:val="24"/>
              </w:rPr>
              <w:t>计算机自动评分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4181" w:type="dxa"/>
          </w:tcPr>
          <w:p>
            <w:pPr>
              <w:adjustRightInd w:val="0"/>
              <w:snapToGrid w:val="0"/>
              <w:jc w:val="center"/>
              <w:rPr>
                <w:rFonts w:ascii="宋体" w:cs="Times New Roman"/>
                <w:sz w:val="24"/>
                <w:szCs w:val="24"/>
              </w:rPr>
            </w:pPr>
            <w:r>
              <w:rPr>
                <w:rFonts w:hint="eastAsia" w:ascii="宋体" w:hAnsi="宋体" w:cs="宋体"/>
                <w:sz w:val="24"/>
                <w:szCs w:val="24"/>
              </w:rPr>
              <w:t>中药调剂操作</w:t>
            </w:r>
          </w:p>
        </w:tc>
        <w:tc>
          <w:tcPr>
            <w:tcW w:w="4065" w:type="dxa"/>
          </w:tcPr>
          <w:p>
            <w:pPr>
              <w:adjustRightInd w:val="0"/>
              <w:snapToGrid w:val="0"/>
              <w:jc w:val="center"/>
              <w:rPr>
                <w:rFonts w:ascii="宋体" w:cs="Times New Roman"/>
                <w:sz w:val="24"/>
                <w:szCs w:val="24"/>
              </w:rPr>
            </w:pPr>
            <w:r>
              <w:rPr>
                <w:rFonts w:hint="eastAsia" w:ascii="宋体" w:hAnsi="宋体" w:cs="宋体"/>
                <w:sz w:val="24"/>
                <w:szCs w:val="24"/>
              </w:rPr>
              <w:t>过程与结果评分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4181" w:type="dxa"/>
          </w:tcPr>
          <w:p>
            <w:pPr>
              <w:adjustRightInd w:val="0"/>
              <w:snapToGrid w:val="0"/>
              <w:jc w:val="center"/>
              <w:rPr>
                <w:rFonts w:ascii="宋体" w:cs="Times New Roman"/>
                <w:sz w:val="24"/>
                <w:szCs w:val="24"/>
              </w:rPr>
            </w:pPr>
            <w:r>
              <w:rPr>
                <w:rFonts w:hint="eastAsia" w:ascii="宋体" w:hAnsi="宋体" w:cs="宋体"/>
                <w:sz w:val="24"/>
                <w:szCs w:val="24"/>
              </w:rPr>
              <w:t>中药炮制</w:t>
            </w:r>
          </w:p>
        </w:tc>
        <w:tc>
          <w:tcPr>
            <w:tcW w:w="4065" w:type="dxa"/>
          </w:tcPr>
          <w:p>
            <w:pPr>
              <w:adjustRightInd w:val="0"/>
              <w:snapToGrid w:val="0"/>
              <w:jc w:val="center"/>
              <w:rPr>
                <w:rFonts w:ascii="宋体" w:cs="Times New Roman"/>
                <w:sz w:val="24"/>
                <w:szCs w:val="24"/>
              </w:rPr>
            </w:pPr>
            <w:r>
              <w:rPr>
                <w:rFonts w:hint="eastAsia" w:ascii="宋体" w:hAnsi="宋体" w:cs="宋体"/>
                <w:sz w:val="24"/>
                <w:szCs w:val="24"/>
              </w:rPr>
              <w:t>过程与结果评分</w:t>
            </w:r>
          </w:p>
        </w:tc>
      </w:tr>
    </w:tbl>
    <w:p>
      <w:pPr>
        <w:adjustRightInd w:val="0"/>
        <w:snapToGrid w:val="0"/>
        <w:spacing w:line="560" w:lineRule="atLeast"/>
        <w:ind w:firstLine="600" w:firstLineChars="200"/>
        <w:rPr>
          <w:rFonts w:ascii="仿宋_GB2312" w:eastAsia="仿宋_GB2312" w:cs="Times New Roman"/>
          <w:sz w:val="30"/>
          <w:szCs w:val="30"/>
        </w:rPr>
      </w:pPr>
      <w:r>
        <w:rPr>
          <w:rFonts w:hint="eastAsia" w:ascii="仿宋_GB2312" w:eastAsia="仿宋_GB2312" w:cs="仿宋_GB2312"/>
          <w:sz w:val="30"/>
          <w:szCs w:val="30"/>
        </w:rPr>
        <w:t>（三）评分方式</w:t>
      </w:r>
    </w:p>
    <w:p>
      <w:pPr>
        <w:adjustRightInd w:val="0"/>
        <w:snapToGrid w:val="0"/>
        <w:spacing w:line="560" w:lineRule="atLeast"/>
        <w:ind w:firstLine="600" w:firstLineChars="200"/>
        <w:rPr>
          <w:rFonts w:ascii="仿宋_GB2312" w:eastAsia="仿宋_GB2312" w:cs="仿宋_GB2312"/>
          <w:sz w:val="30"/>
          <w:szCs w:val="30"/>
        </w:rPr>
      </w:pPr>
      <w:r>
        <w:rPr>
          <w:rFonts w:hint="eastAsia" w:ascii="仿宋_GB2312" w:eastAsia="仿宋_GB2312" w:cs="仿宋_GB2312"/>
          <w:sz w:val="30"/>
          <w:szCs w:val="30"/>
        </w:rPr>
        <w:t>1.单项成绩</w:t>
      </w:r>
    </w:p>
    <w:p>
      <w:pPr>
        <w:adjustRightInd w:val="0"/>
        <w:snapToGrid w:val="0"/>
        <w:spacing w:line="560" w:lineRule="atLeast"/>
        <w:ind w:firstLine="600" w:firstLineChars="200"/>
        <w:rPr>
          <w:rFonts w:ascii="仿宋_GB2312" w:eastAsia="仿宋_GB2312" w:cs="仿宋_GB2312"/>
          <w:sz w:val="30"/>
          <w:szCs w:val="30"/>
        </w:rPr>
      </w:pPr>
      <w:r>
        <w:rPr>
          <w:rFonts w:hint="eastAsia" w:ascii="仿宋_GB2312" w:eastAsia="仿宋_GB2312" w:cs="仿宋_GB2312"/>
          <w:sz w:val="30"/>
          <w:szCs w:val="30"/>
        </w:rPr>
        <w:t>按照评分标准进行参赛选手单项成绩评定（百分制）。其中，中药性状（中药识别与真伪鉴别）由裁判按评分标准阅卷打分（保留小数点后一位）；中药显微鉴别为裁判过程打分、阅卷打分之和（保留小数点后一位）；审方理论考试由选手在计算机上答卷并确定提交后，计算机自动阅卷打分（保留小数点后一位）；中药调剂操作</w:t>
      </w:r>
      <w:r>
        <w:rPr>
          <w:rFonts w:ascii="仿宋_GB2312" w:eastAsia="仿宋_GB2312" w:cs="仿宋_GB2312"/>
          <w:sz w:val="30"/>
          <w:szCs w:val="30"/>
        </w:rPr>
        <w:t>取</w:t>
      </w:r>
      <w:r>
        <w:rPr>
          <w:rFonts w:hint="eastAsia" w:ascii="仿宋_GB2312" w:eastAsia="仿宋_GB2312" w:cs="仿宋_GB2312"/>
          <w:sz w:val="30"/>
          <w:szCs w:val="30"/>
        </w:rPr>
        <w:t>2名裁判的平均分数作为选手得分（保留小数点后两位）；中药炮制取2名裁判过程评分的平均分数与8名裁判炮制程度评分</w:t>
      </w:r>
      <w:r>
        <w:rPr>
          <w:rFonts w:ascii="仿宋_GB2312" w:eastAsia="仿宋_GB2312" w:cs="仿宋_GB2312"/>
          <w:sz w:val="30"/>
          <w:szCs w:val="30"/>
        </w:rPr>
        <w:t>的</w:t>
      </w:r>
      <w:r>
        <w:rPr>
          <w:rFonts w:hint="eastAsia" w:ascii="仿宋_GB2312" w:eastAsia="仿宋_GB2312" w:cs="仿宋_GB2312"/>
          <w:sz w:val="30"/>
          <w:szCs w:val="30"/>
        </w:rPr>
        <w:t>平均分数得分之和（保留小数点后两位）。</w:t>
      </w:r>
    </w:p>
    <w:p>
      <w:pPr>
        <w:adjustRightInd w:val="0"/>
        <w:snapToGrid w:val="0"/>
        <w:spacing w:line="560" w:lineRule="atLeast"/>
        <w:ind w:firstLine="600" w:firstLineChars="200"/>
        <w:rPr>
          <w:rFonts w:ascii="仿宋_GB2312" w:eastAsia="仿宋_GB2312" w:cs="仿宋_GB2312"/>
          <w:sz w:val="30"/>
          <w:szCs w:val="30"/>
        </w:rPr>
      </w:pPr>
      <w:r>
        <w:rPr>
          <w:rFonts w:hint="eastAsia" w:ascii="仿宋_GB2312" w:eastAsia="仿宋_GB2312" w:cs="仿宋_GB2312"/>
          <w:sz w:val="30"/>
          <w:szCs w:val="30"/>
        </w:rPr>
        <w:t>2.总成绩</w:t>
      </w:r>
    </w:p>
    <w:p>
      <w:pPr>
        <w:adjustRightInd w:val="0"/>
        <w:snapToGrid w:val="0"/>
        <w:spacing w:line="560" w:lineRule="atLeast"/>
        <w:ind w:firstLine="600" w:firstLineChars="200"/>
        <w:rPr>
          <w:rFonts w:ascii="仿宋_GB2312" w:eastAsia="仿宋_GB2312" w:cs="仿宋_GB2312"/>
          <w:sz w:val="30"/>
          <w:szCs w:val="30"/>
        </w:rPr>
      </w:pPr>
      <w:r>
        <w:rPr>
          <w:rFonts w:hint="eastAsia" w:ascii="仿宋_GB2312" w:eastAsia="仿宋_GB2312" w:cs="仿宋_GB2312"/>
          <w:sz w:val="30"/>
          <w:szCs w:val="30"/>
        </w:rPr>
        <w:t>各单项成绩实得分值与所占分值比的乘积之和，为参赛选手个人的总成绩。依据竞赛成绩由高到低排列个人竞赛名次。比赛成绩相同时，以比赛用时少的名次在前。各个项目的比赛</w:t>
      </w:r>
      <w:r>
        <w:rPr>
          <w:rFonts w:ascii="仿宋_GB2312" w:eastAsia="仿宋_GB2312" w:cs="仿宋_GB2312"/>
          <w:sz w:val="30"/>
          <w:szCs w:val="30"/>
        </w:rPr>
        <w:t>时限</w:t>
      </w:r>
      <w:r>
        <w:rPr>
          <w:rFonts w:hint="eastAsia" w:ascii="仿宋_GB2312" w:eastAsia="仿宋_GB2312" w:cs="仿宋_GB2312"/>
          <w:sz w:val="30"/>
          <w:szCs w:val="30"/>
        </w:rPr>
        <w:t>及分值比，见表4。</w:t>
      </w:r>
    </w:p>
    <w:p>
      <w:pPr>
        <w:adjustRightInd w:val="0"/>
        <w:snapToGrid w:val="0"/>
        <w:spacing w:line="360" w:lineRule="auto"/>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表4  比赛项目、时限与成绩指标体系</w:t>
      </w:r>
    </w:p>
    <w:tbl>
      <w:tblPr>
        <w:tblStyle w:val="14"/>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1134"/>
        <w:gridCol w:w="283"/>
        <w:gridCol w:w="1134"/>
        <w:gridCol w:w="851"/>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adjustRightInd w:val="0"/>
              <w:snapToGrid w:val="0"/>
              <w:jc w:val="center"/>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序</w:t>
            </w:r>
          </w:p>
          <w:p>
            <w:pPr>
              <w:adjustRightInd w:val="0"/>
              <w:snapToGrid w:val="0"/>
              <w:jc w:val="center"/>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号</w:t>
            </w:r>
          </w:p>
        </w:tc>
        <w:tc>
          <w:tcPr>
            <w:tcW w:w="2694" w:type="dxa"/>
            <w:vAlign w:val="center"/>
          </w:tcPr>
          <w:p>
            <w:pPr>
              <w:adjustRightInd w:val="0"/>
              <w:snapToGrid w:val="0"/>
              <w:jc w:val="center"/>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项目</w:t>
            </w:r>
          </w:p>
        </w:tc>
        <w:tc>
          <w:tcPr>
            <w:tcW w:w="1134" w:type="dxa"/>
            <w:vAlign w:val="center"/>
          </w:tcPr>
          <w:p>
            <w:pPr>
              <w:adjustRightInd w:val="0"/>
              <w:snapToGrid w:val="0"/>
              <w:jc w:val="center"/>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比赛</w:t>
            </w:r>
          </w:p>
          <w:p>
            <w:pPr>
              <w:adjustRightInd w:val="0"/>
              <w:snapToGrid w:val="0"/>
              <w:jc w:val="center"/>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时限</w:t>
            </w:r>
          </w:p>
        </w:tc>
        <w:tc>
          <w:tcPr>
            <w:tcW w:w="1417" w:type="dxa"/>
            <w:gridSpan w:val="2"/>
            <w:vAlign w:val="center"/>
          </w:tcPr>
          <w:p>
            <w:pPr>
              <w:adjustRightInd w:val="0"/>
              <w:snapToGrid w:val="0"/>
              <w:jc w:val="center"/>
              <w:rPr>
                <w:rFonts w:cs="Arial" w:asciiTheme="minorEastAsia" w:hAnsiTheme="minorEastAsia" w:eastAsiaTheme="minorEastAsia"/>
                <w:b/>
                <w:bCs/>
                <w:color w:val="000000"/>
                <w:sz w:val="24"/>
                <w:szCs w:val="24"/>
              </w:rPr>
            </w:pPr>
            <w:r>
              <w:rPr>
                <w:rFonts w:hint="eastAsia" w:cs="Arial" w:asciiTheme="minorEastAsia" w:hAnsiTheme="minorEastAsia" w:eastAsiaTheme="minorEastAsia"/>
                <w:b/>
                <w:bCs/>
                <w:color w:val="000000"/>
                <w:sz w:val="24"/>
                <w:szCs w:val="24"/>
              </w:rPr>
              <w:t>单项</w:t>
            </w:r>
          </w:p>
          <w:p>
            <w:pPr>
              <w:adjustRightInd w:val="0"/>
              <w:snapToGrid w:val="0"/>
              <w:jc w:val="center"/>
              <w:rPr>
                <w:rFonts w:cs="Arial" w:asciiTheme="minorEastAsia" w:hAnsiTheme="minorEastAsia" w:eastAsiaTheme="minorEastAsia"/>
                <w:b/>
                <w:bCs/>
                <w:color w:val="000000"/>
                <w:sz w:val="24"/>
                <w:szCs w:val="24"/>
              </w:rPr>
            </w:pPr>
            <w:r>
              <w:rPr>
                <w:rFonts w:hint="eastAsia" w:cs="Arial" w:asciiTheme="minorEastAsia" w:hAnsiTheme="minorEastAsia" w:eastAsiaTheme="minorEastAsia"/>
                <w:b/>
                <w:bCs/>
                <w:color w:val="000000"/>
                <w:sz w:val="24"/>
                <w:szCs w:val="24"/>
              </w:rPr>
              <w:t>满分</w:t>
            </w:r>
          </w:p>
        </w:tc>
        <w:tc>
          <w:tcPr>
            <w:tcW w:w="851" w:type="dxa"/>
            <w:vAlign w:val="center"/>
          </w:tcPr>
          <w:p>
            <w:pPr>
              <w:adjustRightInd w:val="0"/>
              <w:snapToGrid w:val="0"/>
              <w:jc w:val="center"/>
              <w:rPr>
                <w:rFonts w:ascii="宋体" w:hAnsi="宋体" w:cs="宋体"/>
                <w:b/>
                <w:bCs/>
                <w:sz w:val="24"/>
                <w:szCs w:val="24"/>
              </w:rPr>
            </w:pPr>
            <w:r>
              <w:rPr>
                <w:rFonts w:hint="eastAsia" w:ascii="宋体" w:hAnsi="宋体" w:cs="宋体"/>
                <w:b/>
                <w:bCs/>
                <w:sz w:val="24"/>
                <w:szCs w:val="24"/>
              </w:rPr>
              <w:t>实际</w:t>
            </w:r>
          </w:p>
          <w:p>
            <w:pPr>
              <w:adjustRightInd w:val="0"/>
              <w:snapToGrid w:val="0"/>
              <w:jc w:val="center"/>
              <w:rPr>
                <w:rFonts w:cs="Arial" w:asciiTheme="minorEastAsia" w:hAnsiTheme="minorEastAsia" w:eastAsiaTheme="minorEastAsia"/>
                <w:b/>
                <w:bCs/>
                <w:color w:val="000000"/>
                <w:sz w:val="24"/>
                <w:szCs w:val="24"/>
              </w:rPr>
            </w:pPr>
            <w:r>
              <w:rPr>
                <w:rFonts w:hint="eastAsia" w:ascii="宋体" w:hAnsi="宋体" w:cs="宋体"/>
                <w:b/>
                <w:bCs/>
                <w:sz w:val="24"/>
                <w:szCs w:val="24"/>
              </w:rPr>
              <w:t>得分</w:t>
            </w:r>
          </w:p>
        </w:tc>
        <w:tc>
          <w:tcPr>
            <w:tcW w:w="850" w:type="dxa"/>
            <w:vAlign w:val="center"/>
          </w:tcPr>
          <w:p>
            <w:pPr>
              <w:adjustRightInd w:val="0"/>
              <w:snapToGrid w:val="0"/>
              <w:jc w:val="center"/>
              <w:rPr>
                <w:rFonts w:cs="Arial" w:asciiTheme="minorEastAsia" w:hAnsiTheme="minorEastAsia" w:eastAsiaTheme="minorEastAsia"/>
                <w:b/>
                <w:bCs/>
                <w:color w:val="000000"/>
                <w:sz w:val="24"/>
                <w:szCs w:val="24"/>
              </w:rPr>
            </w:pPr>
            <w:r>
              <w:rPr>
                <w:rFonts w:hint="eastAsia" w:cs="Arial" w:asciiTheme="minorEastAsia" w:hAnsiTheme="minorEastAsia" w:eastAsiaTheme="minorEastAsia"/>
                <w:b/>
                <w:bCs/>
                <w:color w:val="000000"/>
                <w:sz w:val="24"/>
                <w:szCs w:val="24"/>
              </w:rPr>
              <w:t>分值比</w:t>
            </w:r>
          </w:p>
        </w:tc>
        <w:tc>
          <w:tcPr>
            <w:tcW w:w="851" w:type="dxa"/>
            <w:vAlign w:val="center"/>
          </w:tcPr>
          <w:p>
            <w:pPr>
              <w:adjustRightInd w:val="0"/>
              <w:snapToGrid w:val="0"/>
              <w:jc w:val="center"/>
              <w:rPr>
                <w:rFonts w:cs="Arial" w:asciiTheme="minorEastAsia" w:hAnsiTheme="minorEastAsia" w:eastAsiaTheme="minorEastAsia"/>
                <w:b/>
                <w:bCs/>
                <w:color w:val="000000"/>
                <w:sz w:val="24"/>
                <w:szCs w:val="24"/>
              </w:rPr>
            </w:pPr>
            <w:r>
              <w:rPr>
                <w:rFonts w:hint="eastAsia" w:cs="Arial" w:asciiTheme="minorEastAsia" w:hAnsiTheme="minorEastAsia" w:eastAsiaTheme="minorEastAsia"/>
                <w:b/>
                <w:bCs/>
                <w:color w:val="000000"/>
                <w:sz w:val="24"/>
                <w:szCs w:val="24"/>
              </w:rPr>
              <w:t>总</w:t>
            </w:r>
          </w:p>
          <w:p>
            <w:pPr>
              <w:adjustRightInd w:val="0"/>
              <w:snapToGrid w:val="0"/>
              <w:jc w:val="center"/>
              <w:rPr>
                <w:rFonts w:cs="Arial" w:asciiTheme="minorEastAsia" w:hAnsiTheme="minorEastAsia" w:eastAsiaTheme="minorEastAsia"/>
                <w:b/>
                <w:bCs/>
                <w:color w:val="000000"/>
                <w:sz w:val="24"/>
                <w:szCs w:val="24"/>
              </w:rPr>
            </w:pPr>
            <w:r>
              <w:rPr>
                <w:rFonts w:hint="eastAsia" w:cs="Arial" w:asciiTheme="minorEastAsia" w:hAnsiTheme="minorEastAsia" w:eastAsiaTheme="minorEastAsia"/>
                <w:b/>
                <w:bCs/>
                <w:color w:val="000000"/>
                <w:sz w:val="24"/>
                <w:szCs w:val="24"/>
              </w:rPr>
              <w:t>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675" w:type="dxa"/>
            <w:vMerge w:val="restart"/>
            <w:vAlign w:val="center"/>
          </w:tcPr>
          <w:p>
            <w:pPr>
              <w:adjustRightInd w:val="0"/>
              <w:snapToGrid w:val="0"/>
              <w:jc w:val="center"/>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1</w:t>
            </w:r>
          </w:p>
        </w:tc>
        <w:tc>
          <w:tcPr>
            <w:tcW w:w="2694" w:type="dxa"/>
            <w:vMerge w:val="restart"/>
            <w:vAlign w:val="center"/>
          </w:tcPr>
          <w:p>
            <w:pPr>
              <w:adjustRightInd w:val="0"/>
              <w:snapToGrid w:val="0"/>
              <w:jc w:val="left"/>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中药性状鉴别</w:t>
            </w:r>
          </w:p>
          <w:p>
            <w:pPr>
              <w:adjustRightInd w:val="0"/>
              <w:snapToGrid w:val="0"/>
              <w:jc w:val="left"/>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（中药识别、真伪鉴别）</w:t>
            </w:r>
          </w:p>
        </w:tc>
        <w:tc>
          <w:tcPr>
            <w:tcW w:w="1134" w:type="dxa"/>
            <w:vMerge w:val="restart"/>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13分钟</w:t>
            </w:r>
          </w:p>
        </w:tc>
        <w:tc>
          <w:tcPr>
            <w:tcW w:w="1417" w:type="dxa"/>
            <w:gridSpan w:val="2"/>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识别</w:t>
            </w:r>
            <w:r>
              <w:rPr>
                <w:rFonts w:hint="eastAsia" w:cs="Arial" w:asciiTheme="minorEastAsia" w:hAnsiTheme="minorEastAsia" w:eastAsiaTheme="minorEastAsia"/>
                <w:bCs/>
                <w:color w:val="000000"/>
                <w:sz w:val="24"/>
                <w:szCs w:val="24"/>
              </w:rPr>
              <w:t>50分</w:t>
            </w:r>
          </w:p>
        </w:tc>
        <w:tc>
          <w:tcPr>
            <w:tcW w:w="851" w:type="dxa"/>
          </w:tcPr>
          <w:p>
            <w:pPr>
              <w:adjustRightInd w:val="0"/>
              <w:snapToGrid w:val="0"/>
              <w:jc w:val="center"/>
              <w:rPr>
                <w:rFonts w:cs="Arial" w:asciiTheme="minorEastAsia" w:hAnsiTheme="minorEastAsia" w:eastAsiaTheme="minorEastAsia"/>
                <w:bCs/>
                <w:color w:val="000000"/>
                <w:sz w:val="24"/>
                <w:szCs w:val="24"/>
              </w:rPr>
            </w:pPr>
          </w:p>
        </w:tc>
        <w:tc>
          <w:tcPr>
            <w:tcW w:w="850" w:type="dxa"/>
            <w:vMerge w:val="restart"/>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20%</w:t>
            </w:r>
          </w:p>
        </w:tc>
        <w:tc>
          <w:tcPr>
            <w:tcW w:w="851" w:type="dxa"/>
            <w:vMerge w:val="restart"/>
          </w:tcPr>
          <w:p>
            <w:pPr>
              <w:adjustRightInd w:val="0"/>
              <w:snapToGrid w:val="0"/>
              <w:jc w:val="center"/>
              <w:rPr>
                <w:rFonts w:cs="Arial"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675" w:type="dxa"/>
            <w:vMerge w:val="continue"/>
            <w:vAlign w:val="center"/>
          </w:tcPr>
          <w:p>
            <w:pPr>
              <w:adjustRightInd w:val="0"/>
              <w:snapToGrid w:val="0"/>
              <w:jc w:val="center"/>
              <w:rPr>
                <w:rFonts w:cs="Arial" w:asciiTheme="minorEastAsia" w:hAnsiTheme="minorEastAsia" w:eastAsiaTheme="minorEastAsia"/>
                <w:b/>
                <w:bCs/>
                <w:color w:val="000000"/>
                <w:sz w:val="24"/>
                <w:szCs w:val="24"/>
              </w:rPr>
            </w:pPr>
          </w:p>
        </w:tc>
        <w:tc>
          <w:tcPr>
            <w:tcW w:w="2694" w:type="dxa"/>
            <w:vMerge w:val="continue"/>
            <w:vAlign w:val="center"/>
          </w:tcPr>
          <w:p>
            <w:pPr>
              <w:adjustRightInd w:val="0"/>
              <w:snapToGrid w:val="0"/>
              <w:jc w:val="left"/>
              <w:rPr>
                <w:rFonts w:cs="Arial" w:asciiTheme="minorEastAsia" w:hAnsiTheme="minorEastAsia" w:eastAsiaTheme="minorEastAsia"/>
                <w:bCs/>
                <w:color w:val="000000"/>
                <w:sz w:val="24"/>
                <w:szCs w:val="24"/>
              </w:rPr>
            </w:pPr>
          </w:p>
        </w:tc>
        <w:tc>
          <w:tcPr>
            <w:tcW w:w="1134" w:type="dxa"/>
            <w:vMerge w:val="continue"/>
            <w:vAlign w:val="center"/>
          </w:tcPr>
          <w:p>
            <w:pPr>
              <w:adjustRightInd w:val="0"/>
              <w:snapToGrid w:val="0"/>
              <w:jc w:val="center"/>
              <w:rPr>
                <w:rFonts w:cs="Arial" w:asciiTheme="minorEastAsia" w:hAnsiTheme="minorEastAsia" w:eastAsiaTheme="minorEastAsia"/>
                <w:bCs/>
                <w:color w:val="000000"/>
                <w:sz w:val="24"/>
                <w:szCs w:val="24"/>
              </w:rPr>
            </w:pPr>
          </w:p>
        </w:tc>
        <w:tc>
          <w:tcPr>
            <w:tcW w:w="1417" w:type="dxa"/>
            <w:gridSpan w:val="2"/>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真伪</w:t>
            </w:r>
            <w:r>
              <w:rPr>
                <w:rFonts w:hint="eastAsia" w:cs="Arial" w:asciiTheme="minorEastAsia" w:hAnsiTheme="minorEastAsia" w:eastAsiaTheme="minorEastAsia"/>
                <w:bCs/>
                <w:color w:val="000000"/>
                <w:sz w:val="24"/>
                <w:szCs w:val="24"/>
              </w:rPr>
              <w:t>50分</w:t>
            </w:r>
          </w:p>
        </w:tc>
        <w:tc>
          <w:tcPr>
            <w:tcW w:w="851" w:type="dxa"/>
          </w:tcPr>
          <w:p>
            <w:pPr>
              <w:adjustRightInd w:val="0"/>
              <w:snapToGrid w:val="0"/>
              <w:jc w:val="center"/>
              <w:rPr>
                <w:rFonts w:cs="Arial" w:asciiTheme="minorEastAsia" w:hAnsiTheme="minorEastAsia" w:eastAsiaTheme="minorEastAsia"/>
                <w:bCs/>
                <w:color w:val="000000"/>
                <w:sz w:val="24"/>
                <w:szCs w:val="24"/>
              </w:rPr>
            </w:pPr>
          </w:p>
        </w:tc>
        <w:tc>
          <w:tcPr>
            <w:tcW w:w="850" w:type="dxa"/>
            <w:vMerge w:val="continue"/>
            <w:vAlign w:val="center"/>
          </w:tcPr>
          <w:p>
            <w:pPr>
              <w:adjustRightInd w:val="0"/>
              <w:snapToGrid w:val="0"/>
              <w:jc w:val="center"/>
              <w:rPr>
                <w:rFonts w:cs="Arial" w:asciiTheme="minorEastAsia" w:hAnsiTheme="minorEastAsia" w:eastAsiaTheme="minorEastAsia"/>
                <w:bCs/>
                <w:color w:val="000000"/>
                <w:sz w:val="24"/>
                <w:szCs w:val="24"/>
              </w:rPr>
            </w:pPr>
          </w:p>
        </w:tc>
        <w:tc>
          <w:tcPr>
            <w:tcW w:w="851" w:type="dxa"/>
            <w:vMerge w:val="continue"/>
          </w:tcPr>
          <w:p>
            <w:pPr>
              <w:adjustRightInd w:val="0"/>
              <w:snapToGrid w:val="0"/>
              <w:jc w:val="center"/>
              <w:rPr>
                <w:rFonts w:cs="Arial"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adjustRightInd w:val="0"/>
              <w:snapToGrid w:val="0"/>
              <w:jc w:val="center"/>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2</w:t>
            </w:r>
          </w:p>
        </w:tc>
        <w:tc>
          <w:tcPr>
            <w:tcW w:w="2694" w:type="dxa"/>
            <w:vAlign w:val="center"/>
          </w:tcPr>
          <w:p>
            <w:pPr>
              <w:adjustRightInd w:val="0"/>
              <w:snapToGrid w:val="0"/>
              <w:jc w:val="left"/>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中药显微鉴别</w:t>
            </w:r>
          </w:p>
        </w:tc>
        <w:tc>
          <w:tcPr>
            <w:tcW w:w="1134" w:type="dxa"/>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45分钟</w:t>
            </w:r>
          </w:p>
        </w:tc>
        <w:tc>
          <w:tcPr>
            <w:tcW w:w="1417" w:type="dxa"/>
            <w:gridSpan w:val="2"/>
            <w:vAlign w:val="center"/>
          </w:tcPr>
          <w:p>
            <w:pPr>
              <w:adjustRightInd w:val="0"/>
              <w:snapToGrid w:val="0"/>
              <w:jc w:val="center"/>
              <w:rPr>
                <w:rFonts w:cs="Arial" w:asciiTheme="minorEastAsia" w:hAnsiTheme="minorEastAsia" w:eastAsiaTheme="minorEastAsia"/>
                <w:bCs/>
                <w:color w:val="000000"/>
                <w:sz w:val="24"/>
                <w:szCs w:val="24"/>
              </w:rPr>
            </w:pPr>
            <w:r>
              <w:rPr>
                <w:rFonts w:hint="eastAsia" w:cs="Arial" w:asciiTheme="minorEastAsia" w:hAnsiTheme="minorEastAsia" w:eastAsiaTheme="minorEastAsia"/>
                <w:bCs/>
                <w:color w:val="000000"/>
                <w:sz w:val="24"/>
                <w:szCs w:val="24"/>
              </w:rPr>
              <w:t>100分</w:t>
            </w:r>
          </w:p>
        </w:tc>
        <w:tc>
          <w:tcPr>
            <w:tcW w:w="851" w:type="dxa"/>
          </w:tcPr>
          <w:p>
            <w:pPr>
              <w:adjustRightInd w:val="0"/>
              <w:snapToGrid w:val="0"/>
              <w:jc w:val="center"/>
              <w:rPr>
                <w:rFonts w:cs="Arial" w:asciiTheme="minorEastAsia" w:hAnsiTheme="minorEastAsia" w:eastAsiaTheme="minorEastAsia"/>
                <w:bCs/>
                <w:color w:val="000000"/>
                <w:sz w:val="24"/>
                <w:szCs w:val="24"/>
              </w:rPr>
            </w:pPr>
          </w:p>
        </w:tc>
        <w:tc>
          <w:tcPr>
            <w:tcW w:w="850" w:type="dxa"/>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20%</w:t>
            </w:r>
          </w:p>
        </w:tc>
        <w:tc>
          <w:tcPr>
            <w:tcW w:w="851" w:type="dxa"/>
          </w:tcPr>
          <w:p>
            <w:pPr>
              <w:adjustRightInd w:val="0"/>
              <w:snapToGrid w:val="0"/>
              <w:jc w:val="center"/>
              <w:rPr>
                <w:rFonts w:cs="Arial"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675" w:type="dxa"/>
            <w:vMerge w:val="restart"/>
            <w:vAlign w:val="center"/>
          </w:tcPr>
          <w:p>
            <w:pPr>
              <w:adjustRightInd w:val="0"/>
              <w:snapToGrid w:val="0"/>
              <w:jc w:val="center"/>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3</w:t>
            </w:r>
          </w:p>
        </w:tc>
        <w:tc>
          <w:tcPr>
            <w:tcW w:w="2694" w:type="dxa"/>
            <w:vAlign w:val="center"/>
          </w:tcPr>
          <w:p>
            <w:pPr>
              <w:adjustRightInd w:val="0"/>
              <w:snapToGrid w:val="0"/>
              <w:jc w:val="left"/>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中药调剂</w:t>
            </w:r>
          </w:p>
        </w:tc>
        <w:tc>
          <w:tcPr>
            <w:tcW w:w="1134" w:type="dxa"/>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15分钟</w:t>
            </w:r>
          </w:p>
        </w:tc>
        <w:tc>
          <w:tcPr>
            <w:tcW w:w="1417" w:type="dxa"/>
            <w:gridSpan w:val="2"/>
            <w:vAlign w:val="center"/>
          </w:tcPr>
          <w:p>
            <w:pPr>
              <w:adjustRightInd w:val="0"/>
              <w:snapToGrid w:val="0"/>
              <w:jc w:val="center"/>
              <w:rPr>
                <w:rFonts w:cs="Arial" w:asciiTheme="minorEastAsia" w:hAnsiTheme="minorEastAsia" w:eastAsiaTheme="minorEastAsia"/>
                <w:bCs/>
                <w:color w:val="000000"/>
                <w:sz w:val="24"/>
                <w:szCs w:val="24"/>
              </w:rPr>
            </w:pPr>
            <w:r>
              <w:rPr>
                <w:rFonts w:hint="eastAsia" w:cs="Arial" w:asciiTheme="minorEastAsia" w:hAnsiTheme="minorEastAsia" w:eastAsiaTheme="minorEastAsia"/>
                <w:bCs/>
                <w:color w:val="000000"/>
                <w:sz w:val="24"/>
                <w:szCs w:val="24"/>
              </w:rPr>
              <w:t>90分</w:t>
            </w:r>
          </w:p>
        </w:tc>
        <w:tc>
          <w:tcPr>
            <w:tcW w:w="851" w:type="dxa"/>
          </w:tcPr>
          <w:p>
            <w:pPr>
              <w:adjustRightInd w:val="0"/>
              <w:snapToGrid w:val="0"/>
              <w:jc w:val="center"/>
              <w:rPr>
                <w:rFonts w:cs="Arial" w:asciiTheme="minorEastAsia" w:hAnsiTheme="minorEastAsia" w:eastAsiaTheme="minorEastAsia"/>
                <w:bCs/>
                <w:color w:val="000000"/>
                <w:sz w:val="24"/>
                <w:szCs w:val="24"/>
              </w:rPr>
            </w:pPr>
          </w:p>
        </w:tc>
        <w:tc>
          <w:tcPr>
            <w:tcW w:w="850" w:type="dxa"/>
            <w:vMerge w:val="restart"/>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30%</w:t>
            </w:r>
          </w:p>
        </w:tc>
        <w:tc>
          <w:tcPr>
            <w:tcW w:w="851" w:type="dxa"/>
            <w:vMerge w:val="restart"/>
          </w:tcPr>
          <w:p>
            <w:pPr>
              <w:adjustRightInd w:val="0"/>
              <w:snapToGrid w:val="0"/>
              <w:jc w:val="center"/>
              <w:rPr>
                <w:rFonts w:cs="Arial"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75" w:type="dxa"/>
            <w:vMerge w:val="continue"/>
            <w:vAlign w:val="center"/>
          </w:tcPr>
          <w:p>
            <w:pPr>
              <w:adjustRightInd w:val="0"/>
              <w:snapToGrid w:val="0"/>
              <w:jc w:val="center"/>
              <w:rPr>
                <w:rFonts w:cs="Arial" w:asciiTheme="minorEastAsia" w:hAnsiTheme="minorEastAsia" w:eastAsiaTheme="minorEastAsia"/>
                <w:b/>
                <w:bCs/>
                <w:color w:val="000000"/>
                <w:sz w:val="24"/>
                <w:szCs w:val="24"/>
              </w:rPr>
            </w:pPr>
          </w:p>
        </w:tc>
        <w:tc>
          <w:tcPr>
            <w:tcW w:w="2694" w:type="dxa"/>
            <w:vAlign w:val="center"/>
          </w:tcPr>
          <w:p>
            <w:pPr>
              <w:adjustRightInd w:val="0"/>
              <w:snapToGrid w:val="0"/>
              <w:jc w:val="left"/>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审方理论考试</w:t>
            </w:r>
          </w:p>
        </w:tc>
        <w:tc>
          <w:tcPr>
            <w:tcW w:w="1134" w:type="dxa"/>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10分钟</w:t>
            </w:r>
          </w:p>
        </w:tc>
        <w:tc>
          <w:tcPr>
            <w:tcW w:w="1417" w:type="dxa"/>
            <w:gridSpan w:val="2"/>
            <w:vAlign w:val="center"/>
          </w:tcPr>
          <w:p>
            <w:pPr>
              <w:adjustRightInd w:val="0"/>
              <w:snapToGrid w:val="0"/>
              <w:jc w:val="center"/>
              <w:rPr>
                <w:rFonts w:cs="Arial" w:asciiTheme="minorEastAsia" w:hAnsiTheme="minorEastAsia" w:eastAsiaTheme="minorEastAsia"/>
                <w:bCs/>
                <w:color w:val="000000"/>
                <w:sz w:val="24"/>
                <w:szCs w:val="24"/>
              </w:rPr>
            </w:pPr>
            <w:r>
              <w:rPr>
                <w:rFonts w:hint="eastAsia" w:cs="Arial" w:asciiTheme="minorEastAsia" w:hAnsiTheme="minorEastAsia" w:eastAsiaTheme="minorEastAsia"/>
                <w:bCs/>
                <w:color w:val="000000"/>
                <w:sz w:val="24"/>
                <w:szCs w:val="24"/>
              </w:rPr>
              <w:t>10分</w:t>
            </w:r>
          </w:p>
        </w:tc>
        <w:tc>
          <w:tcPr>
            <w:tcW w:w="851" w:type="dxa"/>
          </w:tcPr>
          <w:p>
            <w:pPr>
              <w:adjustRightInd w:val="0"/>
              <w:snapToGrid w:val="0"/>
              <w:jc w:val="center"/>
              <w:rPr>
                <w:rFonts w:cs="Arial" w:asciiTheme="minorEastAsia" w:hAnsiTheme="minorEastAsia" w:eastAsiaTheme="minorEastAsia"/>
                <w:bCs/>
                <w:color w:val="000000"/>
                <w:sz w:val="24"/>
                <w:szCs w:val="24"/>
              </w:rPr>
            </w:pPr>
          </w:p>
        </w:tc>
        <w:tc>
          <w:tcPr>
            <w:tcW w:w="850" w:type="dxa"/>
            <w:vMerge w:val="continue"/>
            <w:vAlign w:val="center"/>
          </w:tcPr>
          <w:p>
            <w:pPr>
              <w:adjustRightInd w:val="0"/>
              <w:snapToGrid w:val="0"/>
              <w:jc w:val="center"/>
              <w:rPr>
                <w:rFonts w:cs="Arial" w:asciiTheme="minorEastAsia" w:hAnsiTheme="minorEastAsia" w:eastAsiaTheme="minorEastAsia"/>
                <w:bCs/>
                <w:color w:val="000000"/>
                <w:sz w:val="24"/>
                <w:szCs w:val="24"/>
              </w:rPr>
            </w:pPr>
          </w:p>
        </w:tc>
        <w:tc>
          <w:tcPr>
            <w:tcW w:w="851" w:type="dxa"/>
            <w:vMerge w:val="continue"/>
          </w:tcPr>
          <w:p>
            <w:pPr>
              <w:adjustRightInd w:val="0"/>
              <w:snapToGrid w:val="0"/>
              <w:jc w:val="center"/>
              <w:rPr>
                <w:rFonts w:cs="Arial"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5" w:type="dxa"/>
            <w:vAlign w:val="center"/>
          </w:tcPr>
          <w:p>
            <w:pPr>
              <w:adjustRightInd w:val="0"/>
              <w:snapToGrid w:val="0"/>
              <w:jc w:val="center"/>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4</w:t>
            </w:r>
          </w:p>
        </w:tc>
        <w:tc>
          <w:tcPr>
            <w:tcW w:w="2694" w:type="dxa"/>
            <w:vAlign w:val="center"/>
          </w:tcPr>
          <w:p>
            <w:pPr>
              <w:adjustRightInd w:val="0"/>
              <w:snapToGrid w:val="0"/>
              <w:jc w:val="left"/>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中药炮制</w:t>
            </w:r>
          </w:p>
        </w:tc>
        <w:tc>
          <w:tcPr>
            <w:tcW w:w="1134" w:type="dxa"/>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20分钟</w:t>
            </w:r>
          </w:p>
        </w:tc>
        <w:tc>
          <w:tcPr>
            <w:tcW w:w="1417" w:type="dxa"/>
            <w:gridSpan w:val="2"/>
            <w:vAlign w:val="center"/>
          </w:tcPr>
          <w:p>
            <w:pPr>
              <w:adjustRightInd w:val="0"/>
              <w:snapToGrid w:val="0"/>
              <w:jc w:val="center"/>
              <w:rPr>
                <w:rFonts w:cs="Arial" w:asciiTheme="minorEastAsia" w:hAnsiTheme="minorEastAsia" w:eastAsiaTheme="minorEastAsia"/>
                <w:bCs/>
                <w:color w:val="000000"/>
                <w:sz w:val="24"/>
                <w:szCs w:val="24"/>
              </w:rPr>
            </w:pPr>
            <w:r>
              <w:rPr>
                <w:rFonts w:hint="eastAsia" w:cs="Arial" w:asciiTheme="minorEastAsia" w:hAnsiTheme="minorEastAsia" w:eastAsiaTheme="minorEastAsia"/>
                <w:bCs/>
                <w:color w:val="000000"/>
                <w:sz w:val="24"/>
                <w:szCs w:val="24"/>
              </w:rPr>
              <w:t>100分</w:t>
            </w:r>
          </w:p>
        </w:tc>
        <w:tc>
          <w:tcPr>
            <w:tcW w:w="851" w:type="dxa"/>
          </w:tcPr>
          <w:p>
            <w:pPr>
              <w:adjustRightInd w:val="0"/>
              <w:snapToGrid w:val="0"/>
              <w:jc w:val="center"/>
              <w:rPr>
                <w:rFonts w:cs="Arial" w:asciiTheme="minorEastAsia" w:hAnsiTheme="minorEastAsia" w:eastAsiaTheme="minorEastAsia"/>
                <w:bCs/>
                <w:color w:val="000000"/>
                <w:sz w:val="24"/>
                <w:szCs w:val="24"/>
              </w:rPr>
            </w:pPr>
          </w:p>
        </w:tc>
        <w:tc>
          <w:tcPr>
            <w:tcW w:w="850" w:type="dxa"/>
            <w:vAlign w:val="center"/>
          </w:tcPr>
          <w:p>
            <w:pPr>
              <w:adjustRightInd w:val="0"/>
              <w:snapToGrid w:val="0"/>
              <w:jc w:val="center"/>
              <w:rPr>
                <w:rFonts w:cs="Arial" w:asciiTheme="minorEastAsia" w:hAnsiTheme="minorEastAsia" w:eastAsiaTheme="minorEastAsia"/>
                <w:bCs/>
                <w:color w:val="000000"/>
                <w:sz w:val="24"/>
                <w:szCs w:val="24"/>
              </w:rPr>
            </w:pPr>
            <w:r>
              <w:rPr>
                <w:rFonts w:cs="Arial" w:asciiTheme="minorEastAsia" w:hAnsiTheme="minorEastAsia" w:eastAsiaTheme="minorEastAsia"/>
                <w:bCs/>
                <w:color w:val="000000"/>
                <w:sz w:val="24"/>
                <w:szCs w:val="24"/>
              </w:rPr>
              <w:t>30%</w:t>
            </w:r>
          </w:p>
        </w:tc>
        <w:tc>
          <w:tcPr>
            <w:tcW w:w="851" w:type="dxa"/>
          </w:tcPr>
          <w:p>
            <w:pPr>
              <w:adjustRightInd w:val="0"/>
              <w:snapToGrid w:val="0"/>
              <w:jc w:val="center"/>
              <w:rPr>
                <w:rFonts w:cs="Arial" w:asciiTheme="minorEastAsia" w:hAnsiTheme="minorEastAsia" w:eastAsiaTheme="minorEastAsia"/>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786" w:type="dxa"/>
            <w:gridSpan w:val="4"/>
            <w:vAlign w:val="center"/>
          </w:tcPr>
          <w:p>
            <w:pPr>
              <w:adjustRightInd w:val="0"/>
              <w:snapToGrid w:val="0"/>
              <w:ind w:firstLine="472" w:firstLineChars="196"/>
              <w:jc w:val="left"/>
              <w:rPr>
                <w:rFonts w:cs="Arial" w:asciiTheme="minorEastAsia" w:hAnsiTheme="minorEastAsia" w:eastAsiaTheme="minorEastAsia"/>
                <w:b/>
                <w:bCs/>
                <w:color w:val="000000"/>
                <w:sz w:val="24"/>
                <w:szCs w:val="24"/>
              </w:rPr>
            </w:pPr>
            <w:r>
              <w:rPr>
                <w:rFonts w:cs="Arial" w:asciiTheme="minorEastAsia" w:hAnsiTheme="minorEastAsia" w:eastAsiaTheme="minorEastAsia"/>
                <w:b/>
                <w:bCs/>
                <w:color w:val="000000"/>
                <w:sz w:val="24"/>
                <w:szCs w:val="24"/>
              </w:rPr>
              <w:t>总</w:t>
            </w:r>
            <w:r>
              <w:rPr>
                <w:rFonts w:hint="eastAsia" w:cs="Arial" w:asciiTheme="minorEastAsia" w:hAnsiTheme="minorEastAsia" w:eastAsiaTheme="minorEastAsia"/>
                <w:b/>
                <w:bCs/>
                <w:color w:val="000000"/>
                <w:sz w:val="24"/>
                <w:szCs w:val="24"/>
              </w:rPr>
              <w:t>成绩</w:t>
            </w:r>
          </w:p>
        </w:tc>
        <w:tc>
          <w:tcPr>
            <w:tcW w:w="3686" w:type="dxa"/>
            <w:gridSpan w:val="4"/>
          </w:tcPr>
          <w:p>
            <w:pPr>
              <w:adjustRightInd w:val="0"/>
              <w:snapToGrid w:val="0"/>
              <w:jc w:val="center"/>
              <w:rPr>
                <w:rFonts w:cs="Arial" w:asciiTheme="minorEastAsia" w:hAnsiTheme="minorEastAsia" w:eastAsiaTheme="minorEastAsia"/>
                <w:b/>
                <w:bCs/>
                <w:color w:val="000000"/>
                <w:sz w:val="24"/>
                <w:szCs w:val="24"/>
              </w:rPr>
            </w:pPr>
          </w:p>
        </w:tc>
      </w:tr>
    </w:tbl>
    <w:p>
      <w:pPr>
        <w:adjustRightInd w:val="0"/>
        <w:snapToGrid w:val="0"/>
        <w:jc w:val="center"/>
        <w:rPr>
          <w:rFonts w:ascii="宋体" w:hAnsi="宋体" w:cs="宋体"/>
          <w:b/>
          <w:bCs/>
          <w:sz w:val="24"/>
          <w:szCs w:val="24"/>
        </w:rPr>
      </w:pP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（二）评分标准</w:t>
      </w:r>
    </w:p>
    <w:p>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1.中药性状鉴别</w:t>
      </w:r>
    </w:p>
    <w:p>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中药识别为结果评分。每位选手识别20种中药材或饮片，应写出药材或饮片名称，并写出两个功效。中药名称以《中国药典》2015年版为准，药典作为单一品种收载的炮制品，必须按单列的名称书写。中药的主要功效为《中国药典》2015年版记载该药的功效。中药性状鉴别评分标准，见表5。</w:t>
      </w:r>
    </w:p>
    <w:p>
      <w:pPr>
        <w:adjustRightInd w:val="0"/>
        <w:snapToGrid w:val="0"/>
        <w:spacing w:line="560" w:lineRule="exact"/>
        <w:ind w:firstLine="600" w:firstLineChars="200"/>
        <w:rPr>
          <w:rFonts w:ascii="仿宋_GB2312" w:eastAsia="仿宋_GB2312"/>
          <w:b/>
          <w:color w:val="000000"/>
          <w:sz w:val="30"/>
          <w:szCs w:val="30"/>
        </w:rPr>
      </w:pPr>
      <w:r>
        <w:rPr>
          <w:rFonts w:hint="eastAsia" w:ascii="仿宋_GB2312" w:eastAsia="仿宋_GB2312"/>
          <w:color w:val="000000"/>
          <w:sz w:val="30"/>
          <w:szCs w:val="30"/>
        </w:rPr>
        <w:t>真伪鉴别为结果评分。每位选手判断10种中药的真伪。按《中华人民共和国药品管理法》及《中国药典》2015年版的有关规定进行界定。凡符合国家药品标准规定的品种及其特定部位者为“正品”；不符合国家药品标准规定的品种及其特定部位，或有掺杂、变质等现象者为“伪品”。中药真伪鉴别评分标准是：答对者得分，答错者不得分。</w:t>
      </w:r>
    </w:p>
    <w:p>
      <w:pPr>
        <w:adjustRightInd w:val="0"/>
        <w:snapToGrid w:val="0"/>
        <w:spacing w:line="360" w:lineRule="auto"/>
        <w:jc w:val="center"/>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表5  中药性状鉴别评分标准</w:t>
      </w:r>
    </w:p>
    <w:tbl>
      <w:tblPr>
        <w:tblStyle w:val="1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271" w:type="dxa"/>
            <w:vAlign w:val="center"/>
          </w:tcPr>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项目</w:t>
            </w:r>
          </w:p>
        </w:tc>
        <w:tc>
          <w:tcPr>
            <w:tcW w:w="7088" w:type="dxa"/>
            <w:vAlign w:val="center"/>
          </w:tcPr>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评分标准细则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trPr>
        <w:tc>
          <w:tcPr>
            <w:tcW w:w="1271" w:type="dxa"/>
            <w:vMerge w:val="restart"/>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识别与功效</w:t>
            </w:r>
          </w:p>
        </w:tc>
        <w:tc>
          <w:tcPr>
            <w:tcW w:w="7088"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每位选手识别20种中药材或饮片，每种2.5分。其中，中药名称1.5分，主要功效1分，总分50分。名称写对，未写或错写功效，扣1分；中药名称写错，不得分（即扣2.5分）。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271" w:type="dxa"/>
            <w:vMerge w:val="continue"/>
            <w:vAlign w:val="center"/>
          </w:tcPr>
          <w:p>
            <w:pPr>
              <w:adjustRightInd w:val="0"/>
              <w:snapToGrid w:val="0"/>
              <w:jc w:val="left"/>
              <w:rPr>
                <w:rFonts w:asciiTheme="minorEastAsia" w:hAnsiTheme="minorEastAsia" w:eastAsiaTheme="minorEastAsia"/>
                <w:bCs/>
                <w:sz w:val="24"/>
                <w:szCs w:val="24"/>
              </w:rPr>
            </w:pPr>
          </w:p>
        </w:tc>
        <w:tc>
          <w:tcPr>
            <w:tcW w:w="7088"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中药名称以《中国药典》2015年版为准，药典作为单一品种收载的中药炮制品，必须按单列的名称书写；同一中药不同炮制品写出中药名称即可。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trPr>
        <w:tc>
          <w:tcPr>
            <w:tcW w:w="1271" w:type="dxa"/>
            <w:vMerge w:val="continue"/>
            <w:vAlign w:val="center"/>
          </w:tcPr>
          <w:p>
            <w:pPr>
              <w:adjustRightInd w:val="0"/>
              <w:snapToGrid w:val="0"/>
              <w:jc w:val="left"/>
              <w:rPr>
                <w:rFonts w:asciiTheme="minorEastAsia" w:hAnsiTheme="minorEastAsia" w:eastAsiaTheme="minorEastAsia"/>
                <w:bCs/>
                <w:sz w:val="24"/>
                <w:szCs w:val="24"/>
              </w:rPr>
            </w:pPr>
          </w:p>
        </w:tc>
        <w:tc>
          <w:tcPr>
            <w:tcW w:w="7088"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书写药名必须清楚，一个字太潦草导致评委无法辨认的，视为错字；整个药名太潦草无法辨认的，则视为答错。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1271" w:type="dxa"/>
            <w:vMerge w:val="continue"/>
            <w:vAlign w:val="center"/>
          </w:tcPr>
          <w:p>
            <w:pPr>
              <w:adjustRightInd w:val="0"/>
              <w:snapToGrid w:val="0"/>
              <w:jc w:val="left"/>
              <w:rPr>
                <w:rFonts w:asciiTheme="minorEastAsia" w:hAnsiTheme="minorEastAsia" w:eastAsiaTheme="minorEastAsia"/>
                <w:bCs/>
                <w:sz w:val="24"/>
                <w:szCs w:val="24"/>
              </w:rPr>
            </w:pPr>
          </w:p>
        </w:tc>
        <w:tc>
          <w:tcPr>
            <w:tcW w:w="7088"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中药的主要功效为《中国药典》2015年版记载该药的功效，功效较多时，只写出其中两个功效即可，每个功效0.5分。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1271"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真伪鉴别</w:t>
            </w:r>
          </w:p>
        </w:tc>
        <w:tc>
          <w:tcPr>
            <w:tcW w:w="7088"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每位选手对给出的10味中药材或饮片进行真伪鉴别，判断是真品还是伪品，每味中药材或饮片判断正确得5分，总分50分。</w:t>
            </w:r>
          </w:p>
        </w:tc>
      </w:tr>
    </w:tbl>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2.中药显微鉴别</w:t>
      </w:r>
    </w:p>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中药显微鉴别为过程和结果评分。</w:t>
      </w:r>
      <w:r>
        <w:rPr>
          <w:rFonts w:hint="eastAsia" w:ascii="仿宋_GB2312" w:eastAsia="仿宋_GB2312"/>
          <w:color w:val="000000"/>
          <w:sz w:val="30"/>
          <w:szCs w:val="30"/>
        </w:rPr>
        <w:t>每位选手应用显微鉴别判断出2种中药混合粉末的中药名称。中药</w:t>
      </w:r>
      <w:r>
        <w:rPr>
          <w:rFonts w:hint="eastAsia" w:ascii="仿宋_GB2312" w:eastAsia="仿宋_GB2312"/>
          <w:bCs/>
          <w:color w:val="000000"/>
          <w:sz w:val="30"/>
          <w:szCs w:val="30"/>
        </w:rPr>
        <w:t>显微鉴别评分标准，见表6。</w:t>
      </w:r>
    </w:p>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表6  中药显微鉴别评分标准</w:t>
      </w:r>
    </w:p>
    <w:tbl>
      <w:tblPr>
        <w:tblStyle w:val="14"/>
        <w:tblW w:w="87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6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773" w:type="dxa"/>
            <w:vAlign w:val="center"/>
          </w:tcPr>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项目</w:t>
            </w:r>
          </w:p>
        </w:tc>
        <w:tc>
          <w:tcPr>
            <w:tcW w:w="6959" w:type="dxa"/>
            <w:vAlign w:val="center"/>
          </w:tcPr>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评分标准细则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773" w:type="dxa"/>
            <w:vMerge w:val="restart"/>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粉末制片</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w:t>
            </w:r>
            <w:r>
              <w:rPr>
                <w:rFonts w:asciiTheme="minorEastAsia" w:hAnsiTheme="minorEastAsia" w:eastAsiaTheme="minorEastAsia"/>
                <w:bCs/>
                <w:color w:val="000000"/>
                <w:sz w:val="24"/>
                <w:szCs w:val="24"/>
              </w:rPr>
              <w:t>5</w:t>
            </w:r>
            <w:r>
              <w:rPr>
                <w:rFonts w:hint="eastAsia" w:asciiTheme="minorEastAsia" w:hAnsiTheme="minorEastAsia" w:eastAsiaTheme="minorEastAsia"/>
                <w:bCs/>
                <w:color w:val="000000"/>
                <w:sz w:val="24"/>
                <w:szCs w:val="24"/>
              </w:rPr>
              <w:t>分）</w:t>
            </w:r>
          </w:p>
        </w:tc>
        <w:tc>
          <w:tcPr>
            <w:tcW w:w="695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酒精灯使用：正确点火，用完后及时灭火，得</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w:t>
            </w:r>
          </w:p>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用完后不及时灭火者，扣</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1773" w:type="dxa"/>
            <w:vMerge w:val="continue"/>
            <w:vAlign w:val="center"/>
          </w:tcPr>
          <w:p>
            <w:pPr>
              <w:adjustRightInd w:val="0"/>
              <w:snapToGrid w:val="0"/>
              <w:jc w:val="center"/>
              <w:rPr>
                <w:rFonts w:asciiTheme="minorEastAsia" w:hAnsiTheme="minorEastAsia" w:eastAsiaTheme="minorEastAsia"/>
                <w:bCs/>
                <w:color w:val="000000"/>
                <w:sz w:val="24"/>
                <w:szCs w:val="24"/>
              </w:rPr>
            </w:pPr>
          </w:p>
        </w:tc>
        <w:tc>
          <w:tcPr>
            <w:tcW w:w="695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水合氯醛加热制片：取少量混合粉末，置洁净的载玻片上，加水合氯醛试液适量，用食指与大拇指把持住载玻片（如用钳子把持扣</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分），透化，加</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w:t>
            </w:r>
            <w:r>
              <w:rPr>
                <w:rFonts w:asciiTheme="minorEastAsia" w:hAnsiTheme="minorEastAsia" w:eastAsiaTheme="minorEastAsia"/>
                <w:bCs/>
                <w:color w:val="000000"/>
                <w:sz w:val="24"/>
                <w:szCs w:val="24"/>
              </w:rPr>
              <w:t>2</w:t>
            </w:r>
            <w:r>
              <w:rPr>
                <w:rFonts w:hint="eastAsia" w:asciiTheme="minorEastAsia" w:hAnsiTheme="minorEastAsia" w:eastAsiaTheme="minorEastAsia"/>
                <w:bCs/>
                <w:color w:val="000000"/>
                <w:sz w:val="24"/>
                <w:szCs w:val="24"/>
              </w:rPr>
              <w:t>滴稀甘油，加盖洁净的盖玻片，用吸水纸吸取多余的试液，得</w:t>
            </w:r>
            <w:r>
              <w:rPr>
                <w:rFonts w:asciiTheme="minorEastAsia" w:hAnsiTheme="minorEastAsia" w:eastAsiaTheme="minorEastAsia"/>
                <w:bCs/>
                <w:color w:val="000000"/>
                <w:sz w:val="24"/>
                <w:szCs w:val="24"/>
              </w:rPr>
              <w:t>2</w:t>
            </w:r>
            <w:r>
              <w:rPr>
                <w:rFonts w:hint="eastAsia" w:asciiTheme="minorEastAsia" w:hAnsiTheme="minorEastAsia" w:eastAsiaTheme="minorEastAsia"/>
                <w:bCs/>
                <w:color w:val="000000"/>
                <w:sz w:val="24"/>
                <w:szCs w:val="24"/>
              </w:rPr>
              <w:t>分。如粉末焦化，扣</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分；盖玻片表面污染，扣</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773" w:type="dxa"/>
            <w:vMerge w:val="continue"/>
            <w:vAlign w:val="center"/>
          </w:tcPr>
          <w:p>
            <w:pPr>
              <w:adjustRightInd w:val="0"/>
              <w:snapToGrid w:val="0"/>
              <w:jc w:val="center"/>
              <w:rPr>
                <w:rFonts w:asciiTheme="minorEastAsia" w:hAnsiTheme="minorEastAsia" w:eastAsiaTheme="minorEastAsia"/>
                <w:bCs/>
                <w:color w:val="000000"/>
                <w:sz w:val="24"/>
                <w:szCs w:val="24"/>
              </w:rPr>
            </w:pPr>
          </w:p>
        </w:tc>
        <w:tc>
          <w:tcPr>
            <w:tcW w:w="695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水制片：取少量的混合粉末，置洁净的载玻片上，加</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滴水，加盖洁净的盖玻片，用吸水纸吸取多余的水，得</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分。未做者，扣</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1773" w:type="dxa"/>
            <w:vMerge w:val="continue"/>
            <w:vAlign w:val="center"/>
          </w:tcPr>
          <w:p>
            <w:pPr>
              <w:adjustRightInd w:val="0"/>
              <w:snapToGrid w:val="0"/>
              <w:jc w:val="center"/>
              <w:rPr>
                <w:rFonts w:asciiTheme="minorEastAsia" w:hAnsiTheme="minorEastAsia" w:eastAsiaTheme="minorEastAsia"/>
                <w:bCs/>
                <w:color w:val="000000"/>
                <w:sz w:val="24"/>
                <w:szCs w:val="24"/>
              </w:rPr>
            </w:pPr>
          </w:p>
        </w:tc>
        <w:tc>
          <w:tcPr>
            <w:tcW w:w="695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乙醇或水合氯醛不加热制片：取少量混合粉末，置洁净的载玻片上，加</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滴乙醇或水合氯醛试液，加盖洁净的盖玻片，用吸水纸吸取多余的试液，得</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分。未做者扣</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773"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显微镜使用</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w:t>
            </w:r>
            <w:r>
              <w:rPr>
                <w:rFonts w:asciiTheme="minorEastAsia" w:hAnsiTheme="minorEastAsia" w:eastAsiaTheme="minorEastAsia"/>
                <w:bCs/>
                <w:color w:val="000000"/>
                <w:sz w:val="24"/>
                <w:szCs w:val="24"/>
              </w:rPr>
              <w:t>5</w:t>
            </w:r>
            <w:r>
              <w:rPr>
                <w:rFonts w:hint="eastAsia" w:asciiTheme="minorEastAsia" w:hAnsiTheme="minorEastAsia" w:eastAsiaTheme="minorEastAsia"/>
                <w:bCs/>
                <w:color w:val="000000"/>
                <w:sz w:val="24"/>
                <w:szCs w:val="24"/>
              </w:rPr>
              <w:t>分）</w:t>
            </w:r>
          </w:p>
        </w:tc>
        <w:tc>
          <w:tcPr>
            <w:tcW w:w="695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在低倍镜下，将制片放置在显微镜载物台上，得1分，如在高倍镜下放入，扣</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分：正确的使用光源，得</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分；正确使用粗、细调节器，得</w:t>
            </w:r>
            <w:r>
              <w:rPr>
                <w:rFonts w:asciiTheme="minorEastAsia" w:hAnsiTheme="minorEastAsia" w:eastAsiaTheme="minorEastAsia"/>
                <w:bCs/>
                <w:color w:val="000000"/>
                <w:sz w:val="24"/>
                <w:szCs w:val="24"/>
              </w:rPr>
              <w:t>2</w:t>
            </w:r>
            <w:r>
              <w:rPr>
                <w:rFonts w:hint="eastAsia" w:asciiTheme="minorEastAsia" w:hAnsiTheme="minorEastAsia" w:eastAsiaTheme="minorEastAsia"/>
                <w:bCs/>
                <w:color w:val="000000"/>
                <w:sz w:val="24"/>
                <w:szCs w:val="24"/>
              </w:rPr>
              <w:t>分。如在高倍镜下使用粗调节器，造成盖玻片、载玻片被镜头压碎，扣5分。使用完毕时，需要及时清理，显微镜复原回位，未做者扣</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0" w:hRule="atLeast"/>
          <w:jc w:val="center"/>
        </w:trPr>
        <w:tc>
          <w:tcPr>
            <w:tcW w:w="1773"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显微特征描绘</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w:t>
            </w:r>
            <w:r>
              <w:rPr>
                <w:rFonts w:asciiTheme="minorEastAsia" w:hAnsiTheme="minorEastAsia" w:eastAsiaTheme="minorEastAsia"/>
                <w:bCs/>
                <w:color w:val="000000"/>
                <w:sz w:val="24"/>
                <w:szCs w:val="24"/>
              </w:rPr>
              <w:t>50</w:t>
            </w:r>
            <w:r>
              <w:rPr>
                <w:rFonts w:hint="eastAsia" w:asciiTheme="minorEastAsia" w:hAnsiTheme="minorEastAsia" w:eastAsiaTheme="minorEastAsia"/>
                <w:bCs/>
                <w:color w:val="000000"/>
                <w:sz w:val="24"/>
                <w:szCs w:val="24"/>
              </w:rPr>
              <w:t>分）</w:t>
            </w:r>
          </w:p>
        </w:tc>
        <w:tc>
          <w:tcPr>
            <w:tcW w:w="695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鉴别报告中中药的重要显微特征及标注正确，每一显微特征描绘正确且标注正确，得</w:t>
            </w:r>
            <w:r>
              <w:rPr>
                <w:rFonts w:asciiTheme="minorEastAsia" w:hAnsiTheme="minorEastAsia" w:eastAsiaTheme="minorEastAsia"/>
                <w:bCs/>
                <w:color w:val="000000"/>
                <w:sz w:val="24"/>
                <w:szCs w:val="24"/>
              </w:rPr>
              <w:t>10</w:t>
            </w:r>
            <w:r>
              <w:rPr>
                <w:rFonts w:hint="eastAsia" w:asciiTheme="minorEastAsia" w:hAnsiTheme="minorEastAsia" w:eastAsiaTheme="minorEastAsia"/>
                <w:bCs/>
                <w:color w:val="000000"/>
                <w:sz w:val="24"/>
                <w:szCs w:val="24"/>
              </w:rPr>
              <w:t>分；错误者，扣</w:t>
            </w:r>
            <w:r>
              <w:rPr>
                <w:rFonts w:asciiTheme="minorEastAsia" w:hAnsiTheme="minorEastAsia" w:eastAsiaTheme="minorEastAsia"/>
                <w:bCs/>
                <w:color w:val="000000"/>
                <w:sz w:val="24"/>
                <w:szCs w:val="24"/>
              </w:rPr>
              <w:t>10</w:t>
            </w:r>
            <w:r>
              <w:rPr>
                <w:rFonts w:hint="eastAsia" w:asciiTheme="minorEastAsia" w:hAnsiTheme="minorEastAsia" w:eastAsiaTheme="minorEastAsia"/>
                <w:bCs/>
                <w:color w:val="000000"/>
                <w:sz w:val="24"/>
                <w:szCs w:val="24"/>
              </w:rPr>
              <w:t>分。重要的显微特征总数不少于</w:t>
            </w:r>
            <w:r>
              <w:rPr>
                <w:rFonts w:asciiTheme="minorEastAsia" w:hAnsiTheme="minorEastAsia" w:eastAsiaTheme="minorEastAsia"/>
                <w:bCs/>
                <w:color w:val="000000"/>
                <w:sz w:val="24"/>
                <w:szCs w:val="24"/>
              </w:rPr>
              <w:t>5</w:t>
            </w:r>
            <w:r>
              <w:rPr>
                <w:rFonts w:hint="eastAsia" w:asciiTheme="minorEastAsia" w:hAnsiTheme="minorEastAsia" w:eastAsiaTheme="minorEastAsia"/>
                <w:bCs/>
                <w:color w:val="000000"/>
                <w:sz w:val="24"/>
                <w:szCs w:val="24"/>
              </w:rPr>
              <w:t>个，总分</w:t>
            </w:r>
            <w:r>
              <w:rPr>
                <w:rFonts w:asciiTheme="minorEastAsia" w:hAnsiTheme="minorEastAsia" w:eastAsiaTheme="minorEastAsia"/>
                <w:bCs/>
                <w:color w:val="000000"/>
                <w:sz w:val="24"/>
                <w:szCs w:val="24"/>
              </w:rPr>
              <w:t>50</w:t>
            </w:r>
            <w:r>
              <w:rPr>
                <w:rFonts w:hint="eastAsia" w:asciiTheme="minorEastAsia" w:hAnsiTheme="minorEastAsia" w:eastAsiaTheme="minorEastAsia"/>
                <w:bCs/>
                <w:color w:val="000000"/>
                <w:sz w:val="24"/>
                <w:szCs w:val="24"/>
              </w:rPr>
              <w:t>分。每一药材重要显微特征的界定依据，以《中国药典》</w:t>
            </w:r>
            <w:r>
              <w:rPr>
                <w:rFonts w:asciiTheme="minorEastAsia" w:hAnsiTheme="minorEastAsia" w:eastAsiaTheme="minorEastAsia"/>
                <w:bCs/>
                <w:color w:val="000000"/>
                <w:sz w:val="24"/>
                <w:szCs w:val="24"/>
              </w:rPr>
              <w:t>2015</w:t>
            </w:r>
            <w:r>
              <w:rPr>
                <w:rFonts w:hint="eastAsia" w:asciiTheme="minorEastAsia" w:hAnsiTheme="minorEastAsia" w:eastAsiaTheme="minorEastAsia"/>
                <w:bCs/>
                <w:color w:val="000000"/>
                <w:sz w:val="24"/>
                <w:szCs w:val="24"/>
              </w:rPr>
              <w:t>年版记载该药显微鉴别的顺序为准。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773"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显微特征描述</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w:t>
            </w:r>
            <w:r>
              <w:rPr>
                <w:rFonts w:asciiTheme="minorEastAsia" w:hAnsiTheme="minorEastAsia" w:eastAsiaTheme="minorEastAsia"/>
                <w:bCs/>
                <w:color w:val="000000"/>
                <w:sz w:val="24"/>
                <w:szCs w:val="24"/>
              </w:rPr>
              <w:t>20</w:t>
            </w:r>
            <w:r>
              <w:rPr>
                <w:rFonts w:hint="eastAsia" w:asciiTheme="minorEastAsia" w:hAnsiTheme="minorEastAsia" w:eastAsiaTheme="minorEastAsia"/>
                <w:bCs/>
                <w:color w:val="000000"/>
                <w:sz w:val="24"/>
                <w:szCs w:val="24"/>
              </w:rPr>
              <w:t>分）</w:t>
            </w:r>
          </w:p>
        </w:tc>
        <w:tc>
          <w:tcPr>
            <w:tcW w:w="695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按《中国药典》</w:t>
            </w:r>
            <w:r>
              <w:rPr>
                <w:rFonts w:asciiTheme="minorEastAsia" w:hAnsiTheme="minorEastAsia" w:eastAsiaTheme="minorEastAsia"/>
                <w:bCs/>
                <w:color w:val="000000"/>
                <w:sz w:val="24"/>
                <w:szCs w:val="24"/>
              </w:rPr>
              <w:t>2015</w:t>
            </w:r>
            <w:r>
              <w:rPr>
                <w:rFonts w:hint="eastAsia" w:asciiTheme="minorEastAsia" w:hAnsiTheme="minorEastAsia" w:eastAsiaTheme="minorEastAsia"/>
                <w:bCs/>
                <w:color w:val="000000"/>
                <w:sz w:val="24"/>
                <w:szCs w:val="24"/>
              </w:rPr>
              <w:t>年版该药【鉴别】项下的显微鉴别进行界定。每一显微特征描述正确，得</w:t>
            </w:r>
            <w:r>
              <w:rPr>
                <w:rFonts w:asciiTheme="minorEastAsia" w:hAnsiTheme="minorEastAsia" w:eastAsiaTheme="minorEastAsia"/>
                <w:bCs/>
                <w:color w:val="000000"/>
                <w:sz w:val="24"/>
                <w:szCs w:val="24"/>
              </w:rPr>
              <w:t>4</w:t>
            </w:r>
            <w:r>
              <w:rPr>
                <w:rFonts w:hint="eastAsia" w:asciiTheme="minorEastAsia" w:hAnsiTheme="minorEastAsia" w:eastAsiaTheme="minorEastAsia"/>
                <w:bCs/>
                <w:color w:val="000000"/>
                <w:sz w:val="24"/>
                <w:szCs w:val="24"/>
              </w:rPr>
              <w:t>分。错误者，扣</w:t>
            </w:r>
            <w:r>
              <w:rPr>
                <w:rFonts w:asciiTheme="minorEastAsia" w:hAnsiTheme="minorEastAsia" w:eastAsiaTheme="minorEastAsia"/>
                <w:bCs/>
                <w:color w:val="000000"/>
                <w:sz w:val="24"/>
                <w:szCs w:val="24"/>
              </w:rPr>
              <w:t>4</w:t>
            </w:r>
            <w:r>
              <w:rPr>
                <w:rFonts w:hint="eastAsia" w:asciiTheme="minorEastAsia" w:hAnsiTheme="minorEastAsia" w:eastAsiaTheme="minorEastAsia"/>
                <w:bCs/>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1" w:hRule="atLeast"/>
          <w:jc w:val="center"/>
        </w:trPr>
        <w:tc>
          <w:tcPr>
            <w:tcW w:w="1773"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粉末鉴别结论</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w:t>
            </w:r>
            <w:r>
              <w:rPr>
                <w:rFonts w:asciiTheme="minorEastAsia" w:hAnsiTheme="minorEastAsia" w:eastAsiaTheme="minorEastAsia"/>
                <w:bCs/>
                <w:color w:val="000000"/>
                <w:sz w:val="24"/>
                <w:szCs w:val="24"/>
              </w:rPr>
              <w:t>20</w:t>
            </w:r>
            <w:r>
              <w:rPr>
                <w:rFonts w:hint="eastAsia" w:asciiTheme="minorEastAsia" w:hAnsiTheme="minorEastAsia" w:eastAsiaTheme="minorEastAsia"/>
                <w:bCs/>
                <w:color w:val="000000"/>
                <w:sz w:val="24"/>
                <w:szCs w:val="24"/>
              </w:rPr>
              <w:t>分）</w:t>
            </w:r>
          </w:p>
        </w:tc>
        <w:tc>
          <w:tcPr>
            <w:tcW w:w="695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写出混合粉末的中药名称，并将显微特征归属，写出</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味中药名并归属正确，得</w:t>
            </w:r>
            <w:r>
              <w:rPr>
                <w:rFonts w:asciiTheme="minorEastAsia" w:hAnsiTheme="minorEastAsia" w:eastAsiaTheme="minorEastAsia"/>
                <w:bCs/>
                <w:color w:val="000000"/>
                <w:sz w:val="24"/>
                <w:szCs w:val="24"/>
              </w:rPr>
              <w:t>10</w:t>
            </w:r>
            <w:r>
              <w:rPr>
                <w:rFonts w:hint="eastAsia" w:asciiTheme="minorEastAsia" w:hAnsiTheme="minorEastAsia" w:eastAsiaTheme="minorEastAsia"/>
                <w:bCs/>
                <w:color w:val="000000"/>
                <w:sz w:val="24"/>
                <w:szCs w:val="24"/>
              </w:rPr>
              <w:t>分；写出</w:t>
            </w:r>
            <w:r>
              <w:rPr>
                <w:rFonts w:asciiTheme="minorEastAsia" w:hAnsiTheme="minorEastAsia" w:eastAsiaTheme="minorEastAsia"/>
                <w:bCs/>
                <w:color w:val="000000"/>
                <w:sz w:val="24"/>
                <w:szCs w:val="24"/>
              </w:rPr>
              <w:t>2</w:t>
            </w:r>
            <w:r>
              <w:rPr>
                <w:rFonts w:hint="eastAsia" w:asciiTheme="minorEastAsia" w:hAnsiTheme="minorEastAsia" w:eastAsiaTheme="minorEastAsia"/>
                <w:bCs/>
                <w:color w:val="000000"/>
                <w:sz w:val="24"/>
                <w:szCs w:val="24"/>
              </w:rPr>
              <w:t>味中药名并归属正确，得</w:t>
            </w:r>
            <w:r>
              <w:rPr>
                <w:rFonts w:asciiTheme="minorEastAsia" w:hAnsiTheme="minorEastAsia" w:eastAsiaTheme="minorEastAsia"/>
                <w:bCs/>
                <w:color w:val="000000"/>
                <w:sz w:val="24"/>
                <w:szCs w:val="24"/>
              </w:rPr>
              <w:t>20</w:t>
            </w:r>
            <w:r>
              <w:rPr>
                <w:rFonts w:hint="eastAsia" w:asciiTheme="minorEastAsia" w:hAnsiTheme="minorEastAsia" w:eastAsiaTheme="minorEastAsia"/>
                <w:bCs/>
                <w:color w:val="000000"/>
                <w:sz w:val="24"/>
                <w:szCs w:val="24"/>
              </w:rPr>
              <w:t>分。一味中药名称错误，扣</w:t>
            </w:r>
            <w:r>
              <w:rPr>
                <w:rFonts w:asciiTheme="minorEastAsia" w:hAnsiTheme="minorEastAsia" w:eastAsiaTheme="minorEastAsia"/>
                <w:bCs/>
                <w:color w:val="000000"/>
                <w:sz w:val="24"/>
                <w:szCs w:val="24"/>
              </w:rPr>
              <w:t>10</w:t>
            </w:r>
            <w:r>
              <w:rPr>
                <w:rFonts w:hint="eastAsia" w:asciiTheme="minorEastAsia" w:hAnsiTheme="minorEastAsia" w:eastAsiaTheme="minorEastAsia"/>
                <w:bCs/>
                <w:color w:val="000000"/>
                <w:sz w:val="24"/>
                <w:szCs w:val="24"/>
              </w:rPr>
              <w:t>分；两味中药名称错误，扣</w:t>
            </w:r>
            <w:r>
              <w:rPr>
                <w:rFonts w:asciiTheme="minorEastAsia" w:hAnsiTheme="minorEastAsia" w:eastAsiaTheme="minorEastAsia"/>
                <w:bCs/>
                <w:color w:val="000000"/>
                <w:sz w:val="24"/>
                <w:szCs w:val="24"/>
              </w:rPr>
              <w:t>20</w:t>
            </w:r>
            <w:r>
              <w:rPr>
                <w:rFonts w:hint="eastAsia" w:asciiTheme="minorEastAsia" w:hAnsiTheme="minorEastAsia" w:eastAsiaTheme="minorEastAsia"/>
                <w:bCs/>
                <w:color w:val="000000"/>
                <w:sz w:val="24"/>
                <w:szCs w:val="24"/>
              </w:rPr>
              <w:t>分。显微特征归属错误或不全面，每错漏</w:t>
            </w:r>
            <w:r>
              <w:rPr>
                <w:rFonts w:asciiTheme="minorEastAsia" w:hAnsiTheme="minorEastAsia" w:eastAsiaTheme="minorEastAsia"/>
                <w:bCs/>
                <w:color w:val="000000"/>
                <w:sz w:val="24"/>
                <w:szCs w:val="24"/>
              </w:rPr>
              <w:t>1</w:t>
            </w:r>
            <w:r>
              <w:rPr>
                <w:rFonts w:hint="eastAsia" w:asciiTheme="minorEastAsia" w:hAnsiTheme="minorEastAsia" w:eastAsiaTheme="minorEastAsia"/>
                <w:bCs/>
                <w:color w:val="000000"/>
                <w:sz w:val="24"/>
                <w:szCs w:val="24"/>
              </w:rPr>
              <w:t>个，扣</w:t>
            </w:r>
            <w:r>
              <w:rPr>
                <w:rFonts w:asciiTheme="minorEastAsia" w:hAnsiTheme="minorEastAsia" w:eastAsiaTheme="minorEastAsia"/>
                <w:bCs/>
                <w:color w:val="000000"/>
                <w:sz w:val="24"/>
                <w:szCs w:val="24"/>
              </w:rPr>
              <w:t>2</w:t>
            </w:r>
            <w:r>
              <w:rPr>
                <w:rFonts w:hint="eastAsia" w:asciiTheme="minorEastAsia" w:hAnsiTheme="minorEastAsia" w:eastAsiaTheme="minorEastAsia"/>
                <w:bCs/>
                <w:color w:val="000000"/>
                <w:sz w:val="24"/>
                <w:szCs w:val="24"/>
              </w:rPr>
              <w:t>分。书写必须清晰，整个中药名太潦草导致评委无法辨认的，视为答错。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773"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竞赛用时</w:t>
            </w:r>
          </w:p>
        </w:tc>
        <w:tc>
          <w:tcPr>
            <w:tcW w:w="695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总分数相同情况下，可作为排名的依据。</w:t>
            </w:r>
          </w:p>
        </w:tc>
      </w:tr>
    </w:tbl>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3.中药调剂</w:t>
      </w:r>
    </w:p>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中药调剂审方理论考试由计算机自动阅卷评分，专业技术人员在监督员的监督下进行复核并登记成绩。中药调剂审方考试评分标准，见表7。</w:t>
      </w:r>
    </w:p>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 xml:space="preserve">表7 </w:t>
      </w:r>
      <w:r>
        <w:rPr>
          <w:rFonts w:asciiTheme="minorEastAsia" w:hAnsiTheme="minorEastAsia" w:eastAsiaTheme="minorEastAsia"/>
          <w:b/>
          <w:bCs/>
          <w:color w:val="000000"/>
          <w:sz w:val="24"/>
          <w:szCs w:val="24"/>
        </w:rPr>
        <w:t xml:space="preserve"> </w:t>
      </w:r>
      <w:r>
        <w:rPr>
          <w:rFonts w:hint="eastAsia" w:asciiTheme="minorEastAsia" w:hAnsiTheme="minorEastAsia" w:eastAsiaTheme="minorEastAsia"/>
          <w:b/>
          <w:bCs/>
          <w:color w:val="000000"/>
          <w:sz w:val="24"/>
          <w:szCs w:val="24"/>
        </w:rPr>
        <w:t>中药调剂审方考试评分标准</w:t>
      </w:r>
    </w:p>
    <w:tbl>
      <w:tblPr>
        <w:tblStyle w:val="1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68" w:type="dxa"/>
            <w:vAlign w:val="center"/>
          </w:tcPr>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项目</w:t>
            </w:r>
          </w:p>
        </w:tc>
        <w:tc>
          <w:tcPr>
            <w:tcW w:w="6691" w:type="dxa"/>
            <w:vAlign w:val="center"/>
          </w:tcPr>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评分标准细则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68" w:type="dxa"/>
            <w:vMerge w:val="restart"/>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处方格式</w:t>
            </w:r>
          </w:p>
        </w:tc>
        <w:tc>
          <w:tcPr>
            <w:tcW w:w="6691"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处方前记从科别、日期、性别、年龄等是否符合《处方管理办法》中相关规定，找出处方中不规范之处。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68" w:type="dxa"/>
            <w:vMerge w:val="continue"/>
            <w:vAlign w:val="center"/>
          </w:tcPr>
          <w:p>
            <w:pPr>
              <w:adjustRightInd w:val="0"/>
              <w:snapToGrid w:val="0"/>
              <w:jc w:val="center"/>
              <w:rPr>
                <w:rFonts w:asciiTheme="minorEastAsia" w:hAnsiTheme="minorEastAsia" w:eastAsiaTheme="minorEastAsia"/>
                <w:bCs/>
                <w:color w:val="000000"/>
                <w:sz w:val="24"/>
                <w:szCs w:val="24"/>
              </w:rPr>
            </w:pPr>
          </w:p>
        </w:tc>
        <w:tc>
          <w:tcPr>
            <w:tcW w:w="6691"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处方后记从医师签名、剂数、药价、取药号等是否符合《处方管理办法》中相关规定，找出处方中不规范之处。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68" w:type="dxa"/>
            <w:vMerge w:val="continue"/>
            <w:vAlign w:val="center"/>
          </w:tcPr>
          <w:p>
            <w:pPr>
              <w:adjustRightInd w:val="0"/>
              <w:snapToGrid w:val="0"/>
              <w:jc w:val="center"/>
              <w:rPr>
                <w:rFonts w:asciiTheme="minorEastAsia" w:hAnsiTheme="minorEastAsia" w:eastAsiaTheme="minorEastAsia"/>
                <w:bCs/>
                <w:color w:val="000000"/>
                <w:sz w:val="24"/>
                <w:szCs w:val="24"/>
              </w:rPr>
            </w:pPr>
          </w:p>
        </w:tc>
        <w:tc>
          <w:tcPr>
            <w:tcW w:w="6691"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处方类别从普通处方、儿科处方、急诊处方、外用处方等是否符合《处方管理办法》中相关规定，找出处方中不规范之处。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68"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饮片用名</w:t>
            </w:r>
          </w:p>
        </w:tc>
        <w:tc>
          <w:tcPr>
            <w:tcW w:w="6691"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处方饮片用名以《中国药典》2015版为依据，正确书写饮片名和炮制品名，找出不规范饮片用名。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68"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临床诊断</w:t>
            </w:r>
          </w:p>
        </w:tc>
        <w:tc>
          <w:tcPr>
            <w:tcW w:w="6691"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找出处方不规范适应证用语。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68"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配伍禁忌</w:t>
            </w:r>
          </w:p>
        </w:tc>
        <w:tc>
          <w:tcPr>
            <w:tcW w:w="6691"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妊娠禁忌、十九畏、十八反等配伍禁忌以《中国药典》2015版为依据，找出处方中不规范之处。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68"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有毒中药</w:t>
            </w:r>
          </w:p>
        </w:tc>
        <w:tc>
          <w:tcPr>
            <w:tcW w:w="6691"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有毒中药饮片的限量以《中国药典》2015版为准。找出处方中有毒中药用量不规范之处。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68"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煎法服法用量</w:t>
            </w:r>
          </w:p>
        </w:tc>
        <w:tc>
          <w:tcPr>
            <w:tcW w:w="6691"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找出处方中煎法服法用量的不规范之处。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668" w:type="dxa"/>
            <w:vMerge w:val="restart"/>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特殊用法</w:t>
            </w:r>
          </w:p>
        </w:tc>
        <w:tc>
          <w:tcPr>
            <w:tcW w:w="6691"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先煎，以《中国药典》2015版为准。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668" w:type="dxa"/>
            <w:vMerge w:val="continue"/>
            <w:vAlign w:val="center"/>
          </w:tcPr>
          <w:p>
            <w:pPr>
              <w:adjustRightInd w:val="0"/>
              <w:snapToGrid w:val="0"/>
              <w:jc w:val="left"/>
              <w:rPr>
                <w:rFonts w:asciiTheme="minorEastAsia" w:hAnsiTheme="minorEastAsia" w:eastAsiaTheme="minorEastAsia"/>
                <w:bCs/>
                <w:color w:val="000000"/>
                <w:sz w:val="24"/>
                <w:szCs w:val="24"/>
              </w:rPr>
            </w:pPr>
          </w:p>
        </w:tc>
        <w:tc>
          <w:tcPr>
            <w:tcW w:w="6691"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后下，以《中国药典》2015版为准。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668" w:type="dxa"/>
            <w:vMerge w:val="continue"/>
            <w:vAlign w:val="center"/>
          </w:tcPr>
          <w:p>
            <w:pPr>
              <w:adjustRightInd w:val="0"/>
              <w:snapToGrid w:val="0"/>
              <w:jc w:val="left"/>
              <w:rPr>
                <w:rFonts w:asciiTheme="minorEastAsia" w:hAnsiTheme="minorEastAsia" w:eastAsiaTheme="minorEastAsia"/>
                <w:bCs/>
                <w:color w:val="000000"/>
                <w:sz w:val="24"/>
                <w:szCs w:val="24"/>
              </w:rPr>
            </w:pPr>
          </w:p>
        </w:tc>
        <w:tc>
          <w:tcPr>
            <w:tcW w:w="6691"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包煎，以《中国药典》2015版为准。</w:t>
            </w:r>
          </w:p>
        </w:tc>
      </w:tr>
    </w:tbl>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中药调剂操作为过程评分和结果评分。每位选手的中药调剂操作过程每一步骤由2位裁判进行评分；调剂操作完毕，每2位裁判员对同一选手的中药调剂的准确度和熟练程度（调配用时）进行结果评分。两位裁判的过程评分与结果评分相加，再取平均分值作为参赛选手得分。中药调剂操作比赛评分标准，见表8，中药调剂操作比赛称重记录及称量误差率计算，见表9。</w:t>
      </w:r>
    </w:p>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表8  中药调剂操作比赛评分标准</w:t>
      </w:r>
    </w:p>
    <w:tbl>
      <w:tblPr>
        <w:tblStyle w:val="14"/>
        <w:tblW w:w="8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6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1534" w:type="dxa"/>
            <w:vAlign w:val="center"/>
          </w:tcPr>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项目</w:t>
            </w:r>
          </w:p>
        </w:tc>
        <w:tc>
          <w:tcPr>
            <w:tcW w:w="6939" w:type="dxa"/>
            <w:vAlign w:val="center"/>
          </w:tcPr>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评分标准细则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1.审核处方（10分）</w:t>
            </w:r>
          </w:p>
        </w:tc>
        <w:tc>
          <w:tcPr>
            <w:tcW w:w="6939" w:type="dxa"/>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本项按表7的评分标准，通过审方考试，计算机系统阅卷评分。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Merge w:val="restart"/>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2.验戥准备</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（5分）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着装（束紧袖口）戴帽（前面不漏头发），衣帽清洁，双手清洁、指甲合格，得1分。否则扣1分。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Merge w:val="continue"/>
            <w:vAlign w:val="center"/>
          </w:tcPr>
          <w:p>
            <w:pPr>
              <w:adjustRightInd w:val="0"/>
              <w:snapToGrid w:val="0"/>
              <w:jc w:val="center"/>
              <w:rPr>
                <w:rFonts w:asciiTheme="minorEastAsia" w:hAnsiTheme="minorEastAsia" w:eastAsiaTheme="minorEastAsia"/>
                <w:bCs/>
                <w:color w:val="000000"/>
                <w:sz w:val="24"/>
                <w:szCs w:val="24"/>
              </w:rPr>
            </w:pP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检查戥秤是否洁净，纸袋</w:t>
            </w:r>
            <w:r>
              <w:rPr>
                <w:rFonts w:asciiTheme="minorEastAsia" w:hAnsiTheme="minorEastAsia" w:eastAsiaTheme="minorEastAsia"/>
                <w:bCs/>
                <w:color w:val="000000"/>
                <w:sz w:val="24"/>
                <w:szCs w:val="24"/>
              </w:rPr>
              <w:t>、</w:t>
            </w:r>
            <w:r>
              <w:rPr>
                <w:rFonts w:hint="eastAsia" w:asciiTheme="minorEastAsia" w:hAnsiTheme="minorEastAsia" w:eastAsiaTheme="minorEastAsia"/>
                <w:bCs/>
                <w:color w:val="000000"/>
                <w:sz w:val="24"/>
                <w:szCs w:val="24"/>
              </w:rPr>
              <w:t>包装纸整齐放置，得1分，否则扣1分。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Merge w:val="continue"/>
            <w:vAlign w:val="center"/>
          </w:tcPr>
          <w:p>
            <w:pPr>
              <w:adjustRightInd w:val="0"/>
              <w:snapToGrid w:val="0"/>
              <w:jc w:val="center"/>
              <w:rPr>
                <w:rFonts w:asciiTheme="minorEastAsia" w:hAnsiTheme="minorEastAsia" w:eastAsiaTheme="minorEastAsia"/>
                <w:bCs/>
                <w:color w:val="000000"/>
                <w:sz w:val="24"/>
                <w:szCs w:val="24"/>
              </w:rPr>
            </w:pP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持戥（左手持戥，手心向上），查戥，校戥（面向顾客，左手不挨戥），得3分。否则扣3分。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3.分戥称量</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（5分）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调配时逐剂减戥称量，得5分。一次未减戥称量或大把抓药或总量称定后凭经验估分，扣1分。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4.按序调配、单味分列</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（10分）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按序调配、单味分列、无混杂、无散落、无遗漏、无错配等现象，得10分。称量摆放顺序混乱，扣1分；药物混杂，扣1分；药物撒在台面上未拣回或撒落地上，扣1分；每缺1味，扣5分；抓错一味药，调配不得分（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5.单包注明</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（5分）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应先煎、后下等特殊药物按规定单包并注明，得5分。脚注处理错误或未单包，扣5分；单包后未注明或标注错误，每错一项，扣1分。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6.复核装袋（10分）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处方调配完毕后看方对药，认真核对，确认无误后装袋折口，处方签字、药袋上注明工位号，得10分。核对不认真，没有看方对药，扣1分；存在缺味、错配现象没有发现，扣5分；装袋后未折口，扣1分，处方签字不合要求，扣1分；药袋未标注工位号，扣1分。药袋未标注患者姓名，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7.发药交待</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（5分）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发药交待的内容（煎煮器具、加水量、浸泡时间、煎药时间、饮食禁忌等）均按要求在药袋上注明，得5分。未注明，扣5分；标注时有漏项，每项扣1分。只需标注1个药袋。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8.及时清场</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（5分）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调配工作完成后及时清场，做到物归原处、清洁戥盘、戥称复原、工作台整洁，得5分。戥盘未清洁，扣1分；戥称未复原，扣1分；工作台不整洁，扣2分；饮片洒落不清理，扣1分。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asciiTheme="minorEastAsia" w:hAnsiTheme="minorEastAsia" w:eastAsiaTheme="minorEastAsia"/>
                <w:bCs/>
                <w:color w:val="000000"/>
                <w:sz w:val="24"/>
                <w:szCs w:val="24"/>
              </w:rPr>
              <w:t>9</w:t>
            </w:r>
            <w:r>
              <w:rPr>
                <w:rFonts w:hint="eastAsia" w:asciiTheme="minorEastAsia" w:hAnsiTheme="minorEastAsia" w:eastAsiaTheme="minorEastAsia"/>
                <w:bCs/>
                <w:color w:val="000000"/>
                <w:sz w:val="24"/>
                <w:szCs w:val="24"/>
              </w:rPr>
              <w:t>.调配时间（15分）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在9分钟内完成的，得15分；在9.01～10.00分钟内完成的，得14分；在10.01～11.00分钟内完成的，得13分；在11.01～12.00分钟内完成的，得12分；在12.01～13.00分钟内完成的，得11分；在13.01～14.00分钟内完成的，得10分；在14.01～15.00分钟内完成的，得8分；超过15分钟，调配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asciiTheme="minorEastAsia" w:hAnsiTheme="minorEastAsia" w:eastAsiaTheme="minorEastAsia"/>
                <w:bCs/>
                <w:color w:val="000000"/>
                <w:sz w:val="24"/>
                <w:szCs w:val="24"/>
              </w:rPr>
              <w:t>10</w:t>
            </w:r>
            <w:r>
              <w:rPr>
                <w:rFonts w:hint="eastAsia" w:asciiTheme="minorEastAsia" w:hAnsiTheme="minorEastAsia" w:eastAsiaTheme="minorEastAsia"/>
                <w:bCs/>
                <w:color w:val="000000"/>
                <w:sz w:val="24"/>
                <w:szCs w:val="24"/>
              </w:rPr>
              <w:t>.总量误差率（15分）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低于±1.00%的，得15分；±1.01～2.00%的，扣3分（得12分）；±2.01～3.00%的，扣6分（得9分）；±3.01～4.00%的，扣9分（得6分）；±4.01～5.00%的，扣12分（得3分）；超过±5.00%的不得分。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34" w:type="dxa"/>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11.单剂最大误差率</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（15分）</w:t>
            </w:r>
          </w:p>
        </w:tc>
        <w:tc>
          <w:tcPr>
            <w:tcW w:w="6939" w:type="dxa"/>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低于±1.00%的，得15分；±1.01～2.00%的，扣3分（得12分）；±2.01～3.00%的，扣6分（得9分）；±3.01～4.00%的，扣9分（得6分）；±4.01～5.00%的，扣12分（得3分）；超过±5.00%的不得分。</w:t>
            </w:r>
          </w:p>
        </w:tc>
      </w:tr>
    </w:tbl>
    <w:p>
      <w:pPr>
        <w:adjustRightInd w:val="0"/>
        <w:snapToGrid w:val="0"/>
        <w:spacing w:before="156" w:beforeLines="5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表9  中药调剂操作比赛称重记录及称量误差率计算表</w:t>
      </w:r>
    </w:p>
    <w:p>
      <w:pPr>
        <w:adjustRightInd w:val="0"/>
        <w:snapToGrid w:val="0"/>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工位号</w:t>
      </w:r>
      <w:r>
        <w:rPr>
          <w:rFonts w:hint="eastAsia" w:asciiTheme="minorEastAsia" w:hAnsiTheme="minorEastAsia" w:eastAsiaTheme="minorEastAsia"/>
          <w:bCs/>
          <w:color w:val="000000"/>
          <w:sz w:val="24"/>
          <w:szCs w:val="24"/>
        </w:rPr>
        <w:t>：</w:t>
      </w:r>
      <w:r>
        <w:rPr>
          <w:rFonts w:hint="eastAsia" w:asciiTheme="minorEastAsia" w:hAnsiTheme="minorEastAsia" w:eastAsiaTheme="minorEastAsia"/>
          <w:color w:val="000000"/>
          <w:sz w:val="24"/>
          <w:szCs w:val="24"/>
          <w:u w:val="single"/>
        </w:rPr>
        <w:t xml:space="preserve">     </w:t>
      </w:r>
      <w:r>
        <w:rPr>
          <w:rFonts w:asciiTheme="minorEastAsia" w:hAnsiTheme="minorEastAsia" w:eastAsiaTheme="minorEastAsia"/>
          <w:color w:val="000000"/>
          <w:sz w:val="24"/>
          <w:szCs w:val="24"/>
          <w:u w:val="single"/>
        </w:rPr>
        <w:t xml:space="preserve">   </w:t>
      </w:r>
      <w:r>
        <w:rPr>
          <w:rFonts w:hint="eastAsia" w:asciiTheme="minorEastAsia" w:hAnsiTheme="minorEastAsia" w:eastAsiaTheme="minorEastAsia"/>
          <w:color w:val="000000"/>
          <w:sz w:val="24"/>
          <w:szCs w:val="24"/>
          <w:u w:val="single"/>
        </w:rPr>
        <w:t xml:space="preserve">  </w:t>
      </w:r>
      <w:r>
        <w:rPr>
          <w:rFonts w:hint="eastAsia" w:asciiTheme="minorEastAsia" w:hAnsiTheme="minorEastAsia" w:eastAsiaTheme="minorEastAsia"/>
          <w:bCs/>
          <w:color w:val="000000"/>
          <w:sz w:val="24"/>
          <w:szCs w:val="24"/>
        </w:rPr>
        <w:t>组别：</w:t>
      </w:r>
      <w:r>
        <w:rPr>
          <w:rFonts w:hint="eastAsia" w:asciiTheme="minorEastAsia" w:hAnsiTheme="minorEastAsia" w:eastAsiaTheme="minorEastAsia"/>
          <w:bCs/>
          <w:color w:val="000000"/>
          <w:sz w:val="24"/>
          <w:szCs w:val="24"/>
          <w:u w:val="single"/>
        </w:rPr>
        <w:t xml:space="preserve">       </w:t>
      </w:r>
      <w:r>
        <w:rPr>
          <w:rFonts w:asciiTheme="minorEastAsia" w:hAnsiTheme="minorEastAsia" w:eastAsiaTheme="minorEastAsia"/>
          <w:bCs/>
          <w:color w:val="000000"/>
          <w:sz w:val="24"/>
          <w:szCs w:val="24"/>
          <w:u w:val="single"/>
        </w:rPr>
        <w:t xml:space="preserve">   </w:t>
      </w:r>
      <w:r>
        <w:rPr>
          <w:rFonts w:asciiTheme="minorEastAsia" w:hAnsiTheme="minorEastAsia" w:eastAsiaTheme="minorEastAsia"/>
          <w:bCs/>
          <w:color w:val="000000"/>
          <w:sz w:val="24"/>
          <w:szCs w:val="24"/>
        </w:rPr>
        <w:t xml:space="preserve"> </w:t>
      </w:r>
    </w:p>
    <w:tbl>
      <w:tblPr>
        <w:tblStyle w:val="14"/>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84"/>
        <w:gridCol w:w="685"/>
        <w:gridCol w:w="684"/>
        <w:gridCol w:w="684"/>
        <w:gridCol w:w="685"/>
        <w:gridCol w:w="1463"/>
        <w:gridCol w:w="1463"/>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06" w:type="dxa"/>
            <w:gridSpan w:val="6"/>
          </w:tcPr>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单剂称重</w:t>
            </w:r>
          </w:p>
        </w:tc>
        <w:tc>
          <w:tcPr>
            <w:tcW w:w="1463" w:type="dxa"/>
            <w:vMerge w:val="restart"/>
            <w:vAlign w:val="center"/>
          </w:tcPr>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三剂总净</w:t>
            </w:r>
          </w:p>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重量（</w:t>
            </w:r>
            <w:r>
              <w:rPr>
                <w:rFonts w:cs="宋体" w:asciiTheme="minorEastAsia" w:hAnsiTheme="minorEastAsia" w:eastAsiaTheme="minorEastAsia"/>
                <w:b/>
                <w:color w:val="000000"/>
                <w:sz w:val="24"/>
                <w:szCs w:val="24"/>
              </w:rPr>
              <w:t>g</w:t>
            </w:r>
            <w:r>
              <w:rPr>
                <w:rFonts w:hint="eastAsia" w:cs="宋体" w:asciiTheme="minorEastAsia" w:hAnsiTheme="minorEastAsia" w:eastAsiaTheme="minorEastAsia"/>
                <w:b/>
                <w:color w:val="000000"/>
                <w:sz w:val="24"/>
                <w:szCs w:val="24"/>
              </w:rPr>
              <w:t>）</w:t>
            </w:r>
          </w:p>
        </w:tc>
        <w:tc>
          <w:tcPr>
            <w:tcW w:w="1463" w:type="dxa"/>
            <w:vMerge w:val="restart"/>
            <w:vAlign w:val="center"/>
          </w:tcPr>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三剂总量</w:t>
            </w:r>
          </w:p>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误差率（%）</w:t>
            </w:r>
          </w:p>
        </w:tc>
        <w:tc>
          <w:tcPr>
            <w:tcW w:w="1463" w:type="dxa"/>
            <w:vMerge w:val="restart"/>
            <w:vAlign w:val="center"/>
          </w:tcPr>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单剂最大</w:t>
            </w:r>
          </w:p>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误差率（%）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gridSpan w:val="2"/>
          </w:tcPr>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第一剂</w:t>
            </w:r>
          </w:p>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重量（g）</w:t>
            </w:r>
          </w:p>
        </w:tc>
        <w:tc>
          <w:tcPr>
            <w:tcW w:w="1369" w:type="dxa"/>
            <w:gridSpan w:val="2"/>
          </w:tcPr>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第二剂</w:t>
            </w:r>
          </w:p>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重量（</w:t>
            </w:r>
            <w:r>
              <w:rPr>
                <w:rFonts w:cs="宋体" w:asciiTheme="minorEastAsia" w:hAnsiTheme="minorEastAsia" w:eastAsiaTheme="minorEastAsia"/>
                <w:b/>
                <w:color w:val="000000"/>
                <w:sz w:val="24"/>
                <w:szCs w:val="24"/>
              </w:rPr>
              <w:t>g</w:t>
            </w:r>
            <w:r>
              <w:rPr>
                <w:rFonts w:hint="eastAsia" w:cs="宋体" w:asciiTheme="minorEastAsia" w:hAnsiTheme="minorEastAsia" w:eastAsiaTheme="minorEastAsia"/>
                <w:b/>
                <w:color w:val="000000"/>
                <w:sz w:val="24"/>
                <w:szCs w:val="24"/>
              </w:rPr>
              <w:t>）</w:t>
            </w:r>
          </w:p>
        </w:tc>
        <w:tc>
          <w:tcPr>
            <w:tcW w:w="1369" w:type="dxa"/>
            <w:gridSpan w:val="2"/>
          </w:tcPr>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第三剂</w:t>
            </w:r>
          </w:p>
          <w:p>
            <w:pPr>
              <w:adjustRightInd w:val="0"/>
              <w:snapToGrid w:val="0"/>
              <w:jc w:val="center"/>
              <w:rPr>
                <w:rFonts w:cs="宋体" w:asciiTheme="minorEastAsia" w:hAnsiTheme="minorEastAsia" w:eastAsiaTheme="minorEastAsia"/>
                <w:b/>
                <w:color w:val="000000"/>
                <w:sz w:val="24"/>
                <w:szCs w:val="24"/>
              </w:rPr>
            </w:pPr>
            <w:r>
              <w:rPr>
                <w:rFonts w:hint="eastAsia" w:cs="宋体" w:asciiTheme="minorEastAsia" w:hAnsiTheme="minorEastAsia" w:eastAsiaTheme="minorEastAsia"/>
                <w:b/>
                <w:color w:val="000000"/>
                <w:sz w:val="24"/>
                <w:szCs w:val="24"/>
              </w:rPr>
              <w:t>重量（</w:t>
            </w:r>
            <w:r>
              <w:rPr>
                <w:rFonts w:cs="宋体" w:asciiTheme="minorEastAsia" w:hAnsiTheme="minorEastAsia" w:eastAsiaTheme="minorEastAsia"/>
                <w:b/>
                <w:color w:val="000000"/>
                <w:sz w:val="24"/>
                <w:szCs w:val="24"/>
              </w:rPr>
              <w:t>g</w:t>
            </w:r>
            <w:r>
              <w:rPr>
                <w:rFonts w:hint="eastAsia" w:cs="宋体" w:asciiTheme="minorEastAsia" w:hAnsiTheme="minorEastAsia" w:eastAsiaTheme="minorEastAsia"/>
                <w:b/>
                <w:color w:val="000000"/>
                <w:sz w:val="24"/>
                <w:szCs w:val="24"/>
              </w:rPr>
              <w:t>）</w:t>
            </w:r>
          </w:p>
        </w:tc>
        <w:tc>
          <w:tcPr>
            <w:tcW w:w="1463" w:type="dxa"/>
            <w:vMerge w:val="continue"/>
          </w:tcPr>
          <w:p>
            <w:pPr>
              <w:adjustRightInd w:val="0"/>
              <w:snapToGrid w:val="0"/>
              <w:jc w:val="center"/>
              <w:rPr>
                <w:rFonts w:cs="宋体" w:asciiTheme="minorEastAsia" w:hAnsiTheme="minorEastAsia" w:eastAsiaTheme="minorEastAsia"/>
                <w:b/>
                <w:color w:val="000000"/>
                <w:sz w:val="24"/>
                <w:szCs w:val="24"/>
              </w:rPr>
            </w:pPr>
          </w:p>
        </w:tc>
        <w:tc>
          <w:tcPr>
            <w:tcW w:w="1463" w:type="dxa"/>
            <w:vMerge w:val="continue"/>
          </w:tcPr>
          <w:p>
            <w:pPr>
              <w:adjustRightInd w:val="0"/>
              <w:snapToGrid w:val="0"/>
              <w:jc w:val="center"/>
              <w:rPr>
                <w:rFonts w:cs="宋体" w:asciiTheme="minorEastAsia" w:hAnsiTheme="minorEastAsia" w:eastAsiaTheme="minorEastAsia"/>
                <w:b/>
                <w:color w:val="000000"/>
                <w:sz w:val="24"/>
                <w:szCs w:val="24"/>
              </w:rPr>
            </w:pPr>
          </w:p>
        </w:tc>
        <w:tc>
          <w:tcPr>
            <w:tcW w:w="1463" w:type="dxa"/>
            <w:vMerge w:val="continue"/>
          </w:tcPr>
          <w:p>
            <w:pPr>
              <w:adjustRightInd w:val="0"/>
              <w:snapToGrid w:val="0"/>
              <w:jc w:val="center"/>
              <w:rPr>
                <w:rFonts w:cs="宋体" w:asciiTheme="minorEastAsia" w:hAnsiTheme="minorEastAsia" w:eastAsiaTheme="minorEastAsia"/>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4" w:type="dxa"/>
            <w:vAlign w:val="center"/>
          </w:tcPr>
          <w:p>
            <w:pPr>
              <w:adjustRightInd w:val="0"/>
              <w:snapToGrid w:val="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毛</w:t>
            </w:r>
          </w:p>
        </w:tc>
        <w:tc>
          <w:tcPr>
            <w:tcW w:w="684" w:type="dxa"/>
            <w:vAlign w:val="center"/>
          </w:tcPr>
          <w:p>
            <w:pPr>
              <w:adjustRightInd w:val="0"/>
              <w:snapToGrid w:val="0"/>
              <w:jc w:val="center"/>
              <w:rPr>
                <w:rFonts w:cs="宋体" w:asciiTheme="minorEastAsia" w:hAnsiTheme="minorEastAsia" w:eastAsiaTheme="minorEastAsia"/>
                <w:color w:val="000000"/>
                <w:sz w:val="24"/>
                <w:szCs w:val="24"/>
              </w:rPr>
            </w:pPr>
          </w:p>
        </w:tc>
        <w:tc>
          <w:tcPr>
            <w:tcW w:w="685" w:type="dxa"/>
            <w:vAlign w:val="center"/>
          </w:tcPr>
          <w:p>
            <w:pPr>
              <w:adjustRightInd w:val="0"/>
              <w:snapToGrid w:val="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毛</w:t>
            </w:r>
          </w:p>
        </w:tc>
        <w:tc>
          <w:tcPr>
            <w:tcW w:w="684" w:type="dxa"/>
            <w:vAlign w:val="center"/>
          </w:tcPr>
          <w:p>
            <w:pPr>
              <w:adjustRightInd w:val="0"/>
              <w:snapToGrid w:val="0"/>
              <w:jc w:val="center"/>
              <w:rPr>
                <w:rFonts w:cs="宋体" w:asciiTheme="minorEastAsia" w:hAnsiTheme="minorEastAsia" w:eastAsiaTheme="minorEastAsia"/>
                <w:color w:val="000000"/>
                <w:sz w:val="24"/>
                <w:szCs w:val="24"/>
              </w:rPr>
            </w:pPr>
          </w:p>
        </w:tc>
        <w:tc>
          <w:tcPr>
            <w:tcW w:w="684" w:type="dxa"/>
            <w:vAlign w:val="center"/>
          </w:tcPr>
          <w:p>
            <w:pPr>
              <w:adjustRightInd w:val="0"/>
              <w:snapToGrid w:val="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毛</w:t>
            </w:r>
          </w:p>
        </w:tc>
        <w:tc>
          <w:tcPr>
            <w:tcW w:w="685" w:type="dxa"/>
            <w:vAlign w:val="center"/>
          </w:tcPr>
          <w:p>
            <w:pPr>
              <w:adjustRightInd w:val="0"/>
              <w:snapToGrid w:val="0"/>
              <w:jc w:val="center"/>
              <w:rPr>
                <w:rFonts w:cs="宋体" w:asciiTheme="minorEastAsia" w:hAnsiTheme="minorEastAsia" w:eastAsiaTheme="minorEastAsia"/>
                <w:color w:val="000000"/>
                <w:sz w:val="24"/>
                <w:szCs w:val="24"/>
              </w:rPr>
            </w:pPr>
          </w:p>
        </w:tc>
        <w:tc>
          <w:tcPr>
            <w:tcW w:w="1463" w:type="dxa"/>
            <w:vMerge w:val="restart"/>
          </w:tcPr>
          <w:p>
            <w:pPr>
              <w:adjustRightInd w:val="0"/>
              <w:snapToGrid w:val="0"/>
              <w:jc w:val="center"/>
              <w:rPr>
                <w:rFonts w:cs="宋体" w:asciiTheme="minorEastAsia" w:hAnsiTheme="minorEastAsia" w:eastAsiaTheme="minorEastAsia"/>
                <w:color w:val="000000"/>
                <w:sz w:val="24"/>
                <w:szCs w:val="24"/>
              </w:rPr>
            </w:pPr>
          </w:p>
        </w:tc>
        <w:tc>
          <w:tcPr>
            <w:tcW w:w="1463" w:type="dxa"/>
            <w:vMerge w:val="restart"/>
          </w:tcPr>
          <w:p>
            <w:pPr>
              <w:adjustRightInd w:val="0"/>
              <w:snapToGrid w:val="0"/>
              <w:jc w:val="center"/>
              <w:rPr>
                <w:rFonts w:cs="宋体" w:asciiTheme="minorEastAsia" w:hAnsiTheme="minorEastAsia" w:eastAsiaTheme="minorEastAsia"/>
                <w:color w:val="000000"/>
                <w:sz w:val="24"/>
                <w:szCs w:val="24"/>
              </w:rPr>
            </w:pPr>
          </w:p>
        </w:tc>
        <w:tc>
          <w:tcPr>
            <w:tcW w:w="1463" w:type="dxa"/>
            <w:vMerge w:val="restart"/>
          </w:tcPr>
          <w:p>
            <w:pPr>
              <w:adjustRightInd w:val="0"/>
              <w:snapToGrid w:val="0"/>
              <w:jc w:val="center"/>
              <w:rPr>
                <w:rFonts w:cs="宋体" w:asciiTheme="minorEastAsia" w:hAnsiTheme="minorEastAsia" w:eastAsia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4" w:type="dxa"/>
            <w:vAlign w:val="center"/>
          </w:tcPr>
          <w:p>
            <w:pPr>
              <w:adjustRightInd w:val="0"/>
              <w:snapToGrid w:val="0"/>
              <w:jc w:val="center"/>
              <w:rPr>
                <w:rFonts w:cs="宋体" w:asciiTheme="minorEastAsia" w:hAnsiTheme="minorEastAsia" w:eastAsiaTheme="minorEastAsia"/>
                <w:color w:val="000000"/>
                <w:sz w:val="30"/>
                <w:szCs w:val="30"/>
              </w:rPr>
            </w:pPr>
            <w:r>
              <w:rPr>
                <w:rFonts w:hint="eastAsia" w:cs="宋体" w:asciiTheme="minorEastAsia" w:hAnsiTheme="minorEastAsia" w:eastAsiaTheme="minorEastAsia"/>
                <w:color w:val="000000"/>
                <w:sz w:val="30"/>
                <w:szCs w:val="30"/>
              </w:rPr>
              <w:t>净</w:t>
            </w:r>
          </w:p>
        </w:tc>
        <w:tc>
          <w:tcPr>
            <w:tcW w:w="684" w:type="dxa"/>
            <w:vAlign w:val="center"/>
          </w:tcPr>
          <w:p>
            <w:pPr>
              <w:adjustRightInd w:val="0"/>
              <w:snapToGrid w:val="0"/>
              <w:jc w:val="center"/>
              <w:rPr>
                <w:rFonts w:cs="宋体" w:asciiTheme="minorEastAsia" w:hAnsiTheme="minorEastAsia" w:eastAsiaTheme="minorEastAsia"/>
                <w:color w:val="000000"/>
                <w:sz w:val="30"/>
                <w:szCs w:val="30"/>
              </w:rPr>
            </w:pPr>
          </w:p>
        </w:tc>
        <w:tc>
          <w:tcPr>
            <w:tcW w:w="685" w:type="dxa"/>
            <w:vAlign w:val="center"/>
          </w:tcPr>
          <w:p>
            <w:pPr>
              <w:adjustRightInd w:val="0"/>
              <w:snapToGrid w:val="0"/>
              <w:jc w:val="center"/>
              <w:rPr>
                <w:rFonts w:cs="宋体" w:asciiTheme="minorEastAsia" w:hAnsiTheme="minorEastAsia" w:eastAsiaTheme="minorEastAsia"/>
                <w:color w:val="000000"/>
                <w:sz w:val="30"/>
                <w:szCs w:val="30"/>
              </w:rPr>
            </w:pPr>
            <w:r>
              <w:rPr>
                <w:rFonts w:hint="eastAsia" w:cs="宋体" w:asciiTheme="minorEastAsia" w:hAnsiTheme="minorEastAsia" w:eastAsiaTheme="minorEastAsia"/>
                <w:color w:val="000000"/>
                <w:sz w:val="30"/>
                <w:szCs w:val="30"/>
              </w:rPr>
              <w:t>净</w:t>
            </w:r>
          </w:p>
        </w:tc>
        <w:tc>
          <w:tcPr>
            <w:tcW w:w="684" w:type="dxa"/>
            <w:vAlign w:val="center"/>
          </w:tcPr>
          <w:p>
            <w:pPr>
              <w:adjustRightInd w:val="0"/>
              <w:snapToGrid w:val="0"/>
              <w:jc w:val="center"/>
              <w:rPr>
                <w:rFonts w:cs="宋体" w:asciiTheme="minorEastAsia" w:hAnsiTheme="minorEastAsia" w:eastAsiaTheme="minorEastAsia"/>
                <w:color w:val="000000"/>
                <w:sz w:val="30"/>
                <w:szCs w:val="30"/>
              </w:rPr>
            </w:pPr>
          </w:p>
        </w:tc>
        <w:tc>
          <w:tcPr>
            <w:tcW w:w="684" w:type="dxa"/>
            <w:vAlign w:val="center"/>
          </w:tcPr>
          <w:p>
            <w:pPr>
              <w:adjustRightInd w:val="0"/>
              <w:snapToGrid w:val="0"/>
              <w:jc w:val="center"/>
              <w:rPr>
                <w:rFonts w:cs="宋体" w:asciiTheme="minorEastAsia" w:hAnsiTheme="minorEastAsia" w:eastAsiaTheme="minorEastAsia"/>
                <w:color w:val="000000"/>
                <w:sz w:val="30"/>
                <w:szCs w:val="30"/>
              </w:rPr>
            </w:pPr>
            <w:r>
              <w:rPr>
                <w:rFonts w:hint="eastAsia" w:cs="宋体" w:asciiTheme="minorEastAsia" w:hAnsiTheme="minorEastAsia" w:eastAsiaTheme="minorEastAsia"/>
                <w:color w:val="000000"/>
                <w:sz w:val="30"/>
                <w:szCs w:val="30"/>
              </w:rPr>
              <w:t>净</w:t>
            </w:r>
          </w:p>
        </w:tc>
        <w:tc>
          <w:tcPr>
            <w:tcW w:w="685" w:type="dxa"/>
            <w:vAlign w:val="center"/>
          </w:tcPr>
          <w:p>
            <w:pPr>
              <w:adjustRightInd w:val="0"/>
              <w:snapToGrid w:val="0"/>
              <w:jc w:val="center"/>
              <w:rPr>
                <w:rFonts w:cs="宋体" w:asciiTheme="minorEastAsia" w:hAnsiTheme="minorEastAsia" w:eastAsiaTheme="minorEastAsia"/>
                <w:color w:val="000000"/>
                <w:sz w:val="30"/>
                <w:szCs w:val="30"/>
              </w:rPr>
            </w:pPr>
          </w:p>
        </w:tc>
        <w:tc>
          <w:tcPr>
            <w:tcW w:w="1463" w:type="dxa"/>
            <w:vMerge w:val="continue"/>
          </w:tcPr>
          <w:p>
            <w:pPr>
              <w:adjustRightInd w:val="0"/>
              <w:snapToGrid w:val="0"/>
              <w:jc w:val="center"/>
              <w:rPr>
                <w:rFonts w:cs="宋体" w:asciiTheme="minorEastAsia" w:hAnsiTheme="minorEastAsia" w:eastAsiaTheme="minorEastAsia"/>
                <w:color w:val="000000"/>
                <w:sz w:val="30"/>
                <w:szCs w:val="30"/>
              </w:rPr>
            </w:pPr>
          </w:p>
        </w:tc>
        <w:tc>
          <w:tcPr>
            <w:tcW w:w="1463" w:type="dxa"/>
            <w:vMerge w:val="continue"/>
          </w:tcPr>
          <w:p>
            <w:pPr>
              <w:adjustRightInd w:val="0"/>
              <w:snapToGrid w:val="0"/>
              <w:jc w:val="center"/>
              <w:rPr>
                <w:rFonts w:cs="宋体" w:asciiTheme="minorEastAsia" w:hAnsiTheme="minorEastAsia" w:eastAsiaTheme="minorEastAsia"/>
                <w:color w:val="000000"/>
                <w:sz w:val="30"/>
                <w:szCs w:val="30"/>
              </w:rPr>
            </w:pPr>
          </w:p>
        </w:tc>
        <w:tc>
          <w:tcPr>
            <w:tcW w:w="1463" w:type="dxa"/>
            <w:vMerge w:val="continue"/>
          </w:tcPr>
          <w:p>
            <w:pPr>
              <w:adjustRightInd w:val="0"/>
              <w:snapToGrid w:val="0"/>
              <w:jc w:val="center"/>
              <w:rPr>
                <w:rFonts w:cs="宋体" w:asciiTheme="minorEastAsia" w:hAnsiTheme="minorEastAsia" w:eastAsiaTheme="minorEastAsia"/>
                <w:color w:val="000000"/>
                <w:sz w:val="30"/>
                <w:szCs w:val="30"/>
              </w:rPr>
            </w:pPr>
          </w:p>
        </w:tc>
      </w:tr>
    </w:tbl>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4.中药炮制</w:t>
      </w:r>
    </w:p>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中药炮制操作为过程评分和结果评分。比赛按组进行，每组8名选手抽签确定竞赛工位，在规定时间内完成中药炮制操作。先由2位裁判同时监考2位选手，并对其操作过程逐项评分，取其平均值（保留小数点后两位数）作为参赛选手操作得分（满分40分）；再由8位裁判共同对所有选手炮制的成品质量进行比较评分，去掉一个最高分，去掉一个最低分，取其平均值（保留小数点后两位数）作为参赛选手炮制程度得分（满分60分）。操作得分与炮制程度得分相加得参赛选手总分（保留小数点后两位数）。计时员记录对应选手的操作时间。中药炮制竞赛评分标准，见表10。</w:t>
      </w:r>
    </w:p>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表10  中药炮制竞赛评分标准</w:t>
      </w:r>
    </w:p>
    <w:tbl>
      <w:tblPr>
        <w:tblStyle w:val="14"/>
        <w:tblW w:w="83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项目</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评分标准细则</w:t>
            </w:r>
          </w:p>
          <w:p>
            <w:pPr>
              <w:adjustRightInd w:val="0"/>
              <w:snapToGrid w:val="0"/>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（整个炮制操作40分，成品质量60分）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准备</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器具准备齐全、洁净，摆放合理。器具：①器具要洁净，炒前未清洁炒药锅或器具者，扣1分；②器具要一次准备齐全，操作过程中，每再准备一种器具，扣0.5分；③器具摆放不合理或摆放杂乱者，扣1分。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4"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净制</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净制操作规范，饮片净度符合《中国药典》2015年版及《中药饮片质量标准通则（试行）》之规定。①若有明显杂质，未净制者，扣1分，称量完毕后再挑选去杂者，扣3分；②饮片散落到台面上未拣回，或散落到地面上者，扣1分；③</w:t>
            </w:r>
            <w:r>
              <w:rPr>
                <w:rFonts w:hint="eastAsia" w:asciiTheme="minorEastAsia" w:hAnsiTheme="minorEastAsia" w:eastAsiaTheme="minorEastAsia"/>
                <w:color w:val="000000"/>
                <w:sz w:val="24"/>
                <w:szCs w:val="24"/>
              </w:rPr>
              <w:t>净制操作不规范，或使用器具明显不合理者，扣1分。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称量</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待炮制品及辅料称取规范：①称量前不归零者，扣1分；②称量后称盘不放回原位置，或操作完毕后不关机者，扣0.5分；③称量的质量差异超过±5%者，扣1分；超过±5%～10%者，扣3分；超过±10%者，扣5分。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6"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拌润</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拌润手法娴熟，操作规范。①需拌润而未拌润者，扣5分；②拌制不均匀或拌后不润者，扣1分；③炙法辅料加水过多，造成剩余太多者，扣3分；④饮片散落到台面上未拣回，或散落到地面上者，扣1分。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预热</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火力控制适宜，投药时间恰当。①不预热，或违反操作规程者，扣2分；②预热时，中途熄火者，扣1分；③投药前，未用合适的判断方法预测锅温者，扣1分；④火力使用不当者，扣3分。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投药</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生饮片及辅料投放操作规范。①投药操作严重失误者，扣3分；②投药效果或投药手法不符合规定者，扣1分；③麸炒时，麸皮撒布明显不均匀者，扣1分；锅温未达到麸下烟起者，扣2分；蛤粉未预热到合适程度者，扣2分；④砂炒时，河砂用量过少，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3"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翻炒</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翻炒动作娴熟，操作规范。①操作严重失误者，扣10分；②翻炒时，中途熄火者，扣1分；③翻炒明显不熟练、不均匀者，扣3分；④饮片散落到台面上未拣回，或散落到地面者，扣1分；⑤先炒药后加辅料，辅料撒布不匀者，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5"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出锅</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出锅及时，药屑及辅料处理规范；炮制品存放得当。①操作严重失误，或故意除去不合格饮片者，扣5分；②未先熄火就出锅者，扣1分；③出锅太慢，扣1分；④出锅后，未及时摊开晾凉者，扣1分；炊帚等易燃物品放在铁锅内，扣1分；⑤未除去辅料者，扣3分；⑥淬法操作不规范，或淬时辅料用量太少者，扣1分；⑦出锅时饮片散落到台面上未拣回，或散落到地面者，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清场</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按规程清洁器具，清理现场；饮片和器具归类放置。</w:t>
            </w:r>
          </w:p>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①操作严重失误者，扣5分；②器具未清洁者扣1分，清洁不彻底者扣0.5分；③器具未放回原始位置或摆放杂乱者，扣1分；④操作台面不整洁者，扣1分；⑤地面未清洁者，扣1分；⑥未关闭煤气罐阀门者，扣1分；⑦药屑及麸炒辅料未倒入垃圾桶者，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9"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成品质量</w:t>
            </w:r>
          </w:p>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（60分）</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炮制后饮片质量应符合《中国药典》2015年版及《中药饮片质量标准通则（试行）》之规定。适中率95%以上，60分；适中率80%～95%，50分；适中率70%～80%，40分；适中率60%～70%，30分；适中率50%以下（不及或太过），不超过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2" w:hRule="atLeast"/>
        </w:trPr>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备注</w:t>
            </w:r>
          </w:p>
        </w:tc>
        <w:tc>
          <w:tcPr>
            <w:tcW w:w="7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1.选用辅料错误或操作程序错误，即为炮制方法错误，只计准备和清场分数，成品炮制程度为0分。</w:t>
            </w:r>
          </w:p>
          <w:p>
            <w:pPr>
              <w:adjustRightInd w:val="0"/>
              <w:snapToGrid w:val="0"/>
              <w:jc w:val="left"/>
              <w:rPr>
                <w:rFonts w:asciiTheme="minorEastAsia" w:hAnsiTheme="minorEastAsia" w:eastAsiaTheme="minorEastAsia"/>
                <w:bCs/>
                <w:color w:val="000000"/>
                <w:sz w:val="24"/>
                <w:szCs w:val="24"/>
              </w:rPr>
            </w:pPr>
            <w:r>
              <w:rPr>
                <w:rFonts w:hint="eastAsia" w:asciiTheme="minorEastAsia" w:hAnsiTheme="minorEastAsia" w:eastAsiaTheme="minorEastAsia"/>
                <w:bCs/>
                <w:color w:val="000000"/>
                <w:sz w:val="24"/>
                <w:szCs w:val="24"/>
              </w:rPr>
              <w:t>2.每一操作环节按照评分细则扣分，每种饮片总扣分不超过40分。</w:t>
            </w:r>
          </w:p>
        </w:tc>
      </w:tr>
    </w:tbl>
    <w:p>
      <w:pPr>
        <w:adjustRightInd w:val="0"/>
        <w:snapToGrid w:val="0"/>
        <w:spacing w:line="560" w:lineRule="exact"/>
        <w:ind w:firstLine="590" w:firstLineChars="196"/>
        <w:rPr>
          <w:rFonts w:ascii="仿宋_GB2312" w:eastAsia="仿宋_GB2312" w:cs="Times New Roman"/>
          <w:sz w:val="30"/>
          <w:szCs w:val="30"/>
        </w:rPr>
      </w:pPr>
      <w:r>
        <w:rPr>
          <w:rFonts w:hint="eastAsia" w:ascii="Arial Narrow" w:hAnsi="Arial Narrow" w:eastAsia="仿宋_GB2312" w:cs="仿宋_GB2312"/>
          <w:b/>
          <w:bCs/>
          <w:sz w:val="30"/>
          <w:szCs w:val="30"/>
        </w:rPr>
        <w:t>十一、奖项设置</w:t>
      </w:r>
    </w:p>
    <w:p>
      <w:pPr>
        <w:adjustRightInd w:val="0"/>
        <w:snapToGrid w:val="0"/>
        <w:spacing w:line="560" w:lineRule="exact"/>
        <w:ind w:firstLine="600" w:firstLineChars="200"/>
        <w:rPr>
          <w:rFonts w:ascii="仿宋_GB2312" w:eastAsia="仿宋_GB2312"/>
          <w:bCs/>
          <w:color w:val="000000"/>
          <w:sz w:val="30"/>
          <w:szCs w:val="30"/>
        </w:rPr>
      </w:pPr>
      <w:bookmarkStart w:id="6" w:name="OLE_LINK1"/>
      <w:bookmarkStart w:id="7" w:name="OLE_LINK2"/>
      <w:r>
        <w:rPr>
          <w:rFonts w:hint="eastAsia" w:ascii="仿宋_GB2312" w:eastAsia="仿宋_GB2312"/>
          <w:bCs/>
          <w:color w:val="000000"/>
          <w:sz w:val="30"/>
          <w:szCs w:val="30"/>
        </w:rPr>
        <w:t>按照执行《全国职业院校技能大赛奖惩办法》的有关规定。</w:t>
      </w:r>
    </w:p>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（一）赛项个人奖</w:t>
      </w:r>
    </w:p>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本赛项只设参赛选手个人奖。设一等奖、二等奖和三等奖三个奖项，分别占参赛总人数的</w:t>
      </w:r>
      <w:r>
        <w:rPr>
          <w:rFonts w:ascii="仿宋_GB2312" w:eastAsia="仿宋_GB2312"/>
          <w:bCs/>
          <w:color w:val="000000"/>
          <w:sz w:val="30"/>
          <w:szCs w:val="30"/>
        </w:rPr>
        <w:t>10%</w:t>
      </w:r>
      <w:r>
        <w:rPr>
          <w:rFonts w:hint="eastAsia" w:ascii="仿宋_GB2312" w:eastAsia="仿宋_GB2312"/>
          <w:bCs/>
          <w:color w:val="000000"/>
          <w:sz w:val="30"/>
          <w:szCs w:val="30"/>
        </w:rPr>
        <w:t>、</w:t>
      </w:r>
      <w:r>
        <w:rPr>
          <w:rFonts w:ascii="仿宋_GB2312" w:eastAsia="仿宋_GB2312"/>
          <w:bCs/>
          <w:color w:val="000000"/>
          <w:sz w:val="30"/>
          <w:szCs w:val="30"/>
        </w:rPr>
        <w:t>20%</w:t>
      </w:r>
      <w:r>
        <w:rPr>
          <w:rFonts w:hint="eastAsia" w:ascii="仿宋_GB2312" w:eastAsia="仿宋_GB2312"/>
          <w:bCs/>
          <w:color w:val="000000"/>
          <w:sz w:val="30"/>
          <w:szCs w:val="30"/>
        </w:rPr>
        <w:t>和</w:t>
      </w:r>
      <w:r>
        <w:rPr>
          <w:rFonts w:ascii="仿宋_GB2312" w:eastAsia="仿宋_GB2312"/>
          <w:bCs/>
          <w:color w:val="000000"/>
          <w:sz w:val="30"/>
          <w:szCs w:val="30"/>
        </w:rPr>
        <w:t>30%</w:t>
      </w:r>
      <w:r>
        <w:rPr>
          <w:rFonts w:hint="eastAsia" w:ascii="仿宋_GB2312" w:eastAsia="仿宋_GB2312"/>
          <w:bCs/>
          <w:color w:val="000000"/>
          <w:sz w:val="30"/>
          <w:szCs w:val="30"/>
        </w:rPr>
        <w:t>。为获奖选手颁发荣誉证书，同时为一等奖选手颁发大赛奖杯。</w:t>
      </w:r>
    </w:p>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（二）优秀指导教师奖</w:t>
      </w:r>
    </w:p>
    <w:p>
      <w:pPr>
        <w:adjustRightInd w:val="0"/>
        <w:snapToGrid w:val="0"/>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对获一等奖参赛选手的指导老师进行表彰，并颁发优秀指导教师证书。</w:t>
      </w:r>
    </w:p>
    <w:bookmarkEnd w:id="6"/>
    <w:bookmarkEnd w:id="7"/>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十二、技术规范</w:t>
      </w:r>
    </w:p>
    <w:p>
      <w:pPr>
        <w:snapToGrid w:val="0"/>
        <w:spacing w:line="560" w:lineRule="exact"/>
        <w:ind w:firstLine="600" w:firstLineChars="200"/>
        <w:rPr>
          <w:rFonts w:ascii="黑体" w:hAnsi="黑体" w:eastAsia="黑体" w:cs="Arial"/>
          <w:color w:val="FF0000"/>
          <w:sz w:val="30"/>
          <w:szCs w:val="30"/>
        </w:rPr>
      </w:pPr>
      <w:r>
        <w:rPr>
          <w:rFonts w:hint="eastAsia" w:eastAsia="仿宋_GB2312" w:cs="仿宋_GB2312"/>
          <w:sz w:val="30"/>
          <w:szCs w:val="30"/>
        </w:rPr>
        <w:t>包括国家标准、行业管理标准等。（各项标准的详细信息内容太多，无法全部列出。各单位应自行购买或从网上下载获取。</w:t>
      </w:r>
    </w:p>
    <w:p>
      <w:pPr>
        <w:adjustRightInd w:val="0"/>
        <w:snapToGrid w:val="0"/>
        <w:spacing w:line="560" w:lineRule="exact"/>
        <w:ind w:firstLine="600" w:firstLineChars="200"/>
        <w:rPr>
          <w:rFonts w:eastAsia="仿宋_GB2312" w:cs="Times New Roman"/>
          <w:sz w:val="30"/>
          <w:szCs w:val="30"/>
        </w:rPr>
      </w:pPr>
      <w:r>
        <w:rPr>
          <w:rFonts w:hint="eastAsia" w:eastAsia="仿宋_GB2312" w:cs="仿宋_GB2312"/>
          <w:sz w:val="30"/>
          <w:szCs w:val="30"/>
        </w:rPr>
        <w:t>（一）国家标准</w:t>
      </w:r>
    </w:p>
    <w:p>
      <w:pPr>
        <w:adjustRightInd w:val="0"/>
        <w:snapToGrid w:val="0"/>
        <w:spacing w:line="560" w:lineRule="exact"/>
        <w:ind w:firstLine="600" w:firstLineChars="200"/>
        <w:rPr>
          <w:rFonts w:eastAsia="仿宋_GB2312" w:cs="Times New Roman"/>
          <w:sz w:val="30"/>
          <w:szCs w:val="30"/>
        </w:rPr>
      </w:pPr>
      <w:r>
        <w:rPr>
          <w:rFonts w:hint="eastAsia" w:eastAsia="仿宋_GB2312" w:cs="仿宋_GB2312"/>
          <w:sz w:val="30"/>
          <w:szCs w:val="30"/>
        </w:rPr>
        <w:t>执行《中国药典》</w:t>
      </w:r>
      <w:r>
        <w:rPr>
          <w:rFonts w:eastAsia="仿宋_GB2312"/>
          <w:sz w:val="30"/>
          <w:szCs w:val="30"/>
        </w:rPr>
        <w:t>2015</w:t>
      </w:r>
      <w:r>
        <w:rPr>
          <w:rFonts w:hint="eastAsia" w:eastAsia="仿宋_GB2312" w:cs="仿宋_GB2312"/>
          <w:sz w:val="30"/>
          <w:szCs w:val="30"/>
        </w:rPr>
        <w:t>年版一部；《中药饮片质量通则》；</w:t>
      </w:r>
      <w:r>
        <w:rPr>
          <w:rFonts w:hint="eastAsia" w:ascii="Arial Narrow" w:hAnsi="Arial Narrow" w:eastAsia="仿宋_GB2312" w:cs="仿宋_GB2312"/>
          <w:sz w:val="30"/>
          <w:szCs w:val="30"/>
        </w:rPr>
        <w:t>《中华人民共和国职业分类大典》</w:t>
      </w:r>
      <w:r>
        <w:rPr>
          <w:rFonts w:hint="eastAsia" w:eastAsia="仿宋_GB2312" w:cs="仿宋_GB2312"/>
          <w:sz w:val="30"/>
          <w:szCs w:val="30"/>
        </w:rPr>
        <w:t>中药炮制与配制工（职业代码</w:t>
      </w:r>
      <w:r>
        <w:rPr>
          <w:rFonts w:eastAsia="仿宋_GB2312"/>
          <w:sz w:val="30"/>
          <w:szCs w:val="30"/>
        </w:rPr>
        <w:t>6-14-04-01</w:t>
      </w:r>
      <w:r>
        <w:rPr>
          <w:rFonts w:hint="eastAsia" w:eastAsia="仿宋_GB2312" w:cs="仿宋_GB2312"/>
          <w:sz w:val="30"/>
          <w:szCs w:val="30"/>
        </w:rPr>
        <w:t>）、中药检验工（职业代码</w:t>
      </w:r>
      <w:r>
        <w:rPr>
          <w:rFonts w:eastAsia="仿宋_GB2312"/>
          <w:sz w:val="30"/>
          <w:szCs w:val="30"/>
        </w:rPr>
        <w:t>6-26-01-22</w:t>
      </w:r>
      <w:r>
        <w:rPr>
          <w:rFonts w:hint="eastAsia" w:eastAsia="仿宋_GB2312" w:cs="仿宋_GB2312"/>
          <w:sz w:val="30"/>
          <w:szCs w:val="30"/>
        </w:rPr>
        <w:t>）（高级工）国家职业标准。</w:t>
      </w:r>
    </w:p>
    <w:p>
      <w:pPr>
        <w:adjustRightInd w:val="0"/>
        <w:snapToGrid w:val="0"/>
        <w:spacing w:line="560" w:lineRule="exact"/>
        <w:ind w:firstLine="600" w:firstLineChars="200"/>
        <w:rPr>
          <w:rFonts w:eastAsia="仿宋_GB2312" w:cs="Times New Roman"/>
          <w:sz w:val="30"/>
          <w:szCs w:val="30"/>
        </w:rPr>
      </w:pPr>
      <w:r>
        <w:rPr>
          <w:rFonts w:hint="eastAsia" w:eastAsia="仿宋_GB2312" w:cs="仿宋_GB2312"/>
          <w:sz w:val="30"/>
          <w:szCs w:val="30"/>
        </w:rPr>
        <w:t>参考</w:t>
      </w:r>
      <w:r>
        <w:rPr>
          <w:rFonts w:hint="eastAsia" w:ascii="Arial Narrow" w:hAnsi="Arial Narrow" w:eastAsia="仿宋_GB2312" w:cs="仿宋_GB2312"/>
          <w:sz w:val="30"/>
          <w:szCs w:val="30"/>
        </w:rPr>
        <w:t>《中华人民共和国职业分类大典》</w:t>
      </w:r>
      <w:r>
        <w:rPr>
          <w:rFonts w:hint="eastAsia" w:eastAsia="仿宋_GB2312" w:cs="仿宋_GB2312"/>
          <w:sz w:val="30"/>
          <w:szCs w:val="30"/>
        </w:rPr>
        <w:t>中药调剂员（职业代码</w:t>
      </w:r>
      <w:r>
        <w:rPr>
          <w:rFonts w:eastAsia="仿宋_GB2312"/>
          <w:sz w:val="30"/>
          <w:szCs w:val="30"/>
        </w:rPr>
        <w:t>4-01-99-02</w:t>
      </w:r>
      <w:r>
        <w:rPr>
          <w:rFonts w:hint="eastAsia" w:eastAsia="仿宋_GB2312" w:cs="仿宋_GB2312"/>
          <w:sz w:val="30"/>
          <w:szCs w:val="30"/>
        </w:rPr>
        <w:t>）、中药购销员（职业代码</w:t>
      </w:r>
      <w:r>
        <w:rPr>
          <w:rFonts w:eastAsia="仿宋_GB2312"/>
          <w:sz w:val="30"/>
          <w:szCs w:val="30"/>
        </w:rPr>
        <w:t>4-01-03-03</w:t>
      </w:r>
      <w:r>
        <w:rPr>
          <w:rFonts w:hint="eastAsia" w:eastAsia="仿宋_GB2312" w:cs="仿宋_GB2312"/>
          <w:sz w:val="30"/>
          <w:szCs w:val="30"/>
        </w:rPr>
        <w:t>）、医药商品购销员（职业代码</w:t>
      </w:r>
      <w:r>
        <w:rPr>
          <w:rFonts w:eastAsia="仿宋_GB2312"/>
          <w:sz w:val="30"/>
          <w:szCs w:val="30"/>
        </w:rPr>
        <w:t>4-01-99-01</w:t>
      </w:r>
      <w:r>
        <w:rPr>
          <w:rFonts w:hint="eastAsia" w:eastAsia="仿宋_GB2312" w:cs="仿宋_GB2312"/>
          <w:sz w:val="30"/>
          <w:szCs w:val="30"/>
        </w:rPr>
        <w:t>）（高级工）原国家职业标准。</w:t>
      </w:r>
    </w:p>
    <w:p>
      <w:pPr>
        <w:adjustRightInd w:val="0"/>
        <w:snapToGrid w:val="0"/>
        <w:spacing w:line="560" w:lineRule="exact"/>
        <w:ind w:firstLine="600" w:firstLineChars="200"/>
        <w:rPr>
          <w:rFonts w:eastAsia="仿宋_GB2312" w:cs="Times New Roman"/>
          <w:sz w:val="30"/>
          <w:szCs w:val="30"/>
        </w:rPr>
      </w:pPr>
      <w:r>
        <w:rPr>
          <w:rFonts w:hint="eastAsia" w:eastAsia="仿宋_GB2312" w:cs="仿宋_GB2312"/>
          <w:sz w:val="30"/>
          <w:szCs w:val="30"/>
        </w:rPr>
        <w:t>（二）行业管理办法</w:t>
      </w:r>
    </w:p>
    <w:p>
      <w:pPr>
        <w:adjustRightInd w:val="0"/>
        <w:snapToGrid w:val="0"/>
        <w:spacing w:line="560" w:lineRule="exact"/>
        <w:ind w:firstLine="600" w:firstLineChars="200"/>
        <w:rPr>
          <w:rFonts w:ascii="仿宋_GB2312" w:eastAsia="仿宋_GB2312" w:cs="Times New Roman"/>
          <w:sz w:val="30"/>
          <w:szCs w:val="30"/>
        </w:rPr>
      </w:pPr>
      <w:r>
        <w:rPr>
          <w:rFonts w:hint="eastAsia" w:eastAsia="仿宋_GB2312" w:cs="仿宋_GB2312"/>
          <w:sz w:val="30"/>
          <w:szCs w:val="30"/>
        </w:rPr>
        <w:t>《处方管理办法》（中华人民共和国卫生部第</w:t>
      </w:r>
      <w:r>
        <w:rPr>
          <w:rFonts w:eastAsia="仿宋_GB2312"/>
          <w:sz w:val="30"/>
          <w:szCs w:val="30"/>
        </w:rPr>
        <w:t>53</w:t>
      </w:r>
      <w:r>
        <w:rPr>
          <w:rFonts w:hint="eastAsia" w:eastAsia="仿宋_GB2312" w:cs="仿宋_GB2312"/>
          <w:sz w:val="30"/>
          <w:szCs w:val="30"/>
        </w:rPr>
        <w:t>令）。</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十三、建议使用的比赛器材、技术平台和场地要求</w:t>
      </w:r>
    </w:p>
    <w:p>
      <w:pPr>
        <w:spacing w:line="560" w:lineRule="exact"/>
        <w:ind w:firstLine="600" w:firstLineChars="200"/>
        <w:rPr>
          <w:rFonts w:ascii="仿宋_GB2312" w:hAnsi="宋体" w:eastAsia="仿宋_GB2312" w:cs="仿宋_GB2312"/>
          <w:sz w:val="30"/>
          <w:szCs w:val="30"/>
        </w:rPr>
      </w:pPr>
      <w:bookmarkStart w:id="8" w:name="_Toc513563351"/>
      <w:r>
        <w:rPr>
          <w:rFonts w:hint="eastAsia" w:ascii="仿宋_GB2312" w:hAnsi="宋体" w:eastAsia="仿宋_GB2312" w:cs="仿宋_GB2312"/>
          <w:sz w:val="30"/>
          <w:szCs w:val="30"/>
        </w:rPr>
        <w:t>（一）比赛器械与物品</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1.中药性状鉴别所用物品</w:t>
      </w:r>
      <w:bookmarkEnd w:id="8"/>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实验台、软椅、档案柜、紫外灯、烧杯、酒精灯、小锤子、钳子、镊子、滴瓶、秒表、玻璃棒、放大镜、火柴、塑料桶、水瓶、瓷盘（大、小）、刀片、席签、标签纸、记号笔、比赛用药等。竞赛平台沿用2018年国赛技术平台。</w:t>
      </w:r>
    </w:p>
    <w:p>
      <w:pPr>
        <w:spacing w:line="560" w:lineRule="exact"/>
        <w:ind w:firstLine="600" w:firstLineChars="200"/>
        <w:rPr>
          <w:rFonts w:ascii="仿宋_GB2312" w:hAnsi="宋体" w:eastAsia="仿宋_GB2312" w:cs="仿宋_GB2312"/>
          <w:sz w:val="30"/>
          <w:szCs w:val="30"/>
        </w:rPr>
      </w:pPr>
      <w:bookmarkStart w:id="9" w:name="_Toc513563352"/>
      <w:r>
        <w:rPr>
          <w:rFonts w:hint="eastAsia" w:ascii="仿宋_GB2312" w:hAnsi="宋体" w:eastAsia="仿宋_GB2312" w:cs="仿宋_GB2312"/>
          <w:sz w:val="30"/>
          <w:szCs w:val="30"/>
        </w:rPr>
        <w:t>2.中药显微鉴别所用物品</w:t>
      </w:r>
      <w:bookmarkEnd w:id="9"/>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实验台、软椅、酒精灯、载玻片、盖玻片、竹签、探针、吸水纸、水合氯醛试剂滴瓶、蒸馏水试剂滴瓶、稀甘油试剂滴瓶、秒表、火柴、瓷盘（小）、席签、标签纸、记号笔、比赛用药粉末、普通生物显微镜等。竞赛平台沿用2018年国赛技术平台。</w:t>
      </w:r>
    </w:p>
    <w:p>
      <w:pPr>
        <w:spacing w:line="560" w:lineRule="exact"/>
        <w:ind w:firstLine="600" w:firstLineChars="200"/>
        <w:rPr>
          <w:rFonts w:ascii="仿宋_GB2312" w:hAnsi="宋体" w:eastAsia="仿宋_GB2312" w:cs="仿宋_GB2312"/>
          <w:sz w:val="30"/>
          <w:szCs w:val="30"/>
        </w:rPr>
      </w:pPr>
      <w:bookmarkStart w:id="10" w:name="_Toc513563353"/>
      <w:r>
        <w:rPr>
          <w:rFonts w:hint="eastAsia" w:ascii="仿宋_GB2312" w:hAnsi="宋体" w:eastAsia="仿宋_GB2312" w:cs="仿宋_GB2312"/>
          <w:sz w:val="30"/>
          <w:szCs w:val="30"/>
        </w:rPr>
        <w:t>3.中药调剂操作所需物品</w:t>
      </w:r>
      <w:bookmarkEnd w:id="10"/>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戥秤（称量范围0g～50g、50g～250g，精确度1g），秒表，电子秤（称量范围</w:t>
      </w:r>
      <w:r>
        <w:rPr>
          <w:rFonts w:ascii="仿宋_GB2312" w:hAnsi="宋体" w:eastAsia="仿宋_GB2312" w:cs="仿宋_GB2312"/>
          <w:sz w:val="30"/>
          <w:szCs w:val="30"/>
        </w:rPr>
        <w:t>500</w:t>
      </w:r>
      <w:r>
        <w:rPr>
          <w:rFonts w:hint="eastAsia" w:ascii="仿宋_GB2312" w:hAnsi="宋体" w:eastAsia="仿宋_GB2312" w:cs="仿宋_GB2312"/>
          <w:sz w:val="30"/>
          <w:szCs w:val="30"/>
        </w:rPr>
        <w:t>g，精确度0.</w:t>
      </w:r>
      <w:r>
        <w:rPr>
          <w:rFonts w:ascii="仿宋_GB2312" w:hAnsi="宋体" w:eastAsia="仿宋_GB2312" w:cs="仿宋_GB2312"/>
          <w:sz w:val="30"/>
          <w:szCs w:val="30"/>
        </w:rPr>
        <w:t>0</w:t>
      </w:r>
      <w:r>
        <w:rPr>
          <w:rFonts w:hint="eastAsia" w:ascii="仿宋_GB2312" w:hAnsi="宋体" w:eastAsia="仿宋_GB2312" w:cs="仿宋_GB2312"/>
          <w:sz w:val="30"/>
          <w:szCs w:val="30"/>
        </w:rPr>
        <w:t>1g），塑料药盒（</w:t>
      </w:r>
      <w:r>
        <w:rPr>
          <w:rFonts w:ascii="仿宋_GB2312" w:hAnsi="宋体" w:eastAsia="仿宋_GB2312" w:cs="仿宋_GB2312"/>
          <w:sz w:val="30"/>
          <w:szCs w:val="30"/>
        </w:rPr>
        <w:t>3</w:t>
      </w:r>
      <w:r>
        <w:rPr>
          <w:rFonts w:hint="eastAsia" w:ascii="仿宋_GB2312" w:hAnsi="宋体" w:eastAsia="仿宋_GB2312" w:cs="仿宋_GB2312"/>
          <w:sz w:val="30"/>
          <w:szCs w:val="30"/>
        </w:rPr>
        <w:t>0cm*</w:t>
      </w:r>
      <w:r>
        <w:rPr>
          <w:rFonts w:ascii="仿宋_GB2312" w:hAnsi="宋体" w:eastAsia="仿宋_GB2312" w:cs="仿宋_GB2312"/>
          <w:sz w:val="30"/>
          <w:szCs w:val="30"/>
        </w:rPr>
        <w:t>2</w:t>
      </w:r>
      <w:r>
        <w:rPr>
          <w:rFonts w:hint="eastAsia" w:ascii="仿宋_GB2312" w:hAnsi="宋体" w:eastAsia="仿宋_GB2312" w:cs="仿宋_GB2312"/>
          <w:sz w:val="30"/>
          <w:szCs w:val="30"/>
        </w:rPr>
        <w:t>0cm*1</w:t>
      </w:r>
      <w:r>
        <w:rPr>
          <w:rFonts w:ascii="仿宋_GB2312" w:hAnsi="宋体" w:eastAsia="仿宋_GB2312" w:cs="仿宋_GB2312"/>
          <w:sz w:val="30"/>
          <w:szCs w:val="30"/>
        </w:rPr>
        <w:t>0</w:t>
      </w:r>
      <w:r>
        <w:rPr>
          <w:rFonts w:hint="eastAsia" w:ascii="仿宋_GB2312" w:hAnsi="宋体" w:eastAsia="仿宋_GB2312" w:cs="仿宋_GB2312"/>
          <w:sz w:val="30"/>
          <w:szCs w:val="30"/>
        </w:rPr>
        <w:t>cm），胶片(40cm*40cm)，纸袋（25cm*18cm），包装纸（16cm*16cm，18cm*18cm，20cm*20cm），压方板，塑料袋，调剂台及调剂用中药饮片等。竞赛平台沿用2018年国赛技术平台。</w:t>
      </w:r>
    </w:p>
    <w:p>
      <w:pPr>
        <w:spacing w:line="560" w:lineRule="exact"/>
        <w:ind w:firstLine="600" w:firstLineChars="200"/>
        <w:rPr>
          <w:rFonts w:ascii="仿宋_GB2312" w:hAnsi="宋体" w:eastAsia="仿宋_GB2312" w:cs="仿宋_GB2312"/>
          <w:sz w:val="30"/>
          <w:szCs w:val="30"/>
        </w:rPr>
      </w:pPr>
      <w:bookmarkStart w:id="11" w:name="_Toc513563354"/>
      <w:r>
        <w:rPr>
          <w:rFonts w:hint="eastAsia" w:ascii="仿宋_GB2312" w:hAnsi="宋体" w:eastAsia="仿宋_GB2312" w:cs="仿宋_GB2312"/>
          <w:sz w:val="30"/>
          <w:szCs w:val="30"/>
        </w:rPr>
        <w:t>4.中药炮制所用物品</w:t>
      </w:r>
      <w:bookmarkEnd w:id="11"/>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电子秤（称量范围</w:t>
      </w:r>
      <w:r>
        <w:rPr>
          <w:rFonts w:ascii="仿宋_GB2312" w:hAnsi="宋体" w:eastAsia="仿宋_GB2312" w:cs="仿宋_GB2312"/>
          <w:sz w:val="30"/>
          <w:szCs w:val="30"/>
        </w:rPr>
        <w:t>2</w:t>
      </w:r>
      <w:r>
        <w:rPr>
          <w:rFonts w:hint="eastAsia" w:ascii="仿宋_GB2312" w:hAnsi="宋体" w:eastAsia="仿宋_GB2312" w:cs="仿宋_GB2312"/>
          <w:sz w:val="30"/>
          <w:szCs w:val="30"/>
        </w:rPr>
        <w:t>.0kg，精确度0.1g），秒表，煤气罐（5kg），燃气灶，炒药锅（圆底、铸铁、口径约30cm），药铲、瓷盘、盛药盆、喷壶、不锈钢桶、铁丝筛、箩、簸箕、笊篱、烧杯、量筒、拌润盆（或盒）、毛巾、手套及待炮制饮片等。竞赛平台沿用2018年国赛技术平台。</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（二）技术平台</w:t>
      </w:r>
    </w:p>
    <w:p>
      <w:pPr>
        <w:spacing w:line="560" w:lineRule="exact"/>
        <w:ind w:firstLine="600" w:firstLineChars="200"/>
        <w:rPr>
          <w:rFonts w:ascii="仿宋_GB2312" w:hAnsi="宋体" w:eastAsia="仿宋_GB2312" w:cs="Times New Roman"/>
          <w:sz w:val="30"/>
          <w:szCs w:val="30"/>
        </w:rPr>
      </w:pPr>
      <w:r>
        <w:rPr>
          <w:rFonts w:ascii="仿宋_GB2312" w:hAnsi="宋体" w:eastAsia="仿宋_GB2312" w:cs="仿宋_GB2312"/>
          <w:sz w:val="30"/>
          <w:szCs w:val="30"/>
        </w:rPr>
        <w:t>1.</w:t>
      </w:r>
      <w:r>
        <w:rPr>
          <w:rFonts w:hint="eastAsia" w:ascii="仿宋_GB2312" w:hAnsi="宋体" w:eastAsia="仿宋_GB2312" w:cs="仿宋_GB2312"/>
          <w:sz w:val="30"/>
          <w:szCs w:val="30"/>
        </w:rPr>
        <w:t>计算机</w:t>
      </w:r>
      <w:r>
        <w:rPr>
          <w:rFonts w:ascii="仿宋_GB2312" w:hAnsi="宋体" w:eastAsia="仿宋_GB2312" w:cs="仿宋_GB2312"/>
          <w:sz w:val="30"/>
          <w:szCs w:val="30"/>
        </w:rPr>
        <w:t xml:space="preserve">  </w:t>
      </w:r>
      <w:r>
        <w:rPr>
          <w:rFonts w:hint="eastAsia" w:ascii="仿宋_GB2312" w:hAnsi="宋体" w:eastAsia="仿宋_GB2312" w:cs="仿宋_GB2312"/>
          <w:sz w:val="30"/>
          <w:szCs w:val="30"/>
        </w:rPr>
        <w:t>台式计算机</w:t>
      </w:r>
      <w:r>
        <w:rPr>
          <w:rFonts w:hint="eastAsia" w:ascii="仿宋_GB2312" w:eastAsia="仿宋_GB2312" w:cs="仿宋_GB2312"/>
          <w:sz w:val="30"/>
          <w:szCs w:val="30"/>
        </w:rPr>
        <w:t>20</w:t>
      </w:r>
      <w:r>
        <w:rPr>
          <w:rFonts w:ascii="仿宋_GB2312" w:eastAsia="仿宋_GB2312" w:cs="仿宋_GB2312"/>
          <w:sz w:val="30"/>
          <w:szCs w:val="30"/>
        </w:rPr>
        <w:t>0</w:t>
      </w:r>
      <w:r>
        <w:rPr>
          <w:rFonts w:hint="eastAsia" w:ascii="仿宋_GB2312" w:eastAsia="仿宋_GB2312" w:cs="仿宋_GB2312"/>
          <w:sz w:val="30"/>
          <w:szCs w:val="30"/>
        </w:rPr>
        <w:t>台，用于审方理论考核。</w:t>
      </w:r>
      <w:r>
        <w:rPr>
          <w:rFonts w:hint="eastAsia" w:ascii="仿宋_GB2312" w:hAnsi="宋体" w:eastAsia="仿宋_GB2312" w:cs="仿宋_GB2312"/>
          <w:sz w:val="30"/>
          <w:szCs w:val="30"/>
        </w:rPr>
        <w:t>技术要求，见表</w:t>
      </w:r>
      <w:r>
        <w:rPr>
          <w:rFonts w:ascii="仿宋_GB2312" w:hAnsi="宋体" w:eastAsia="仿宋_GB2312" w:cs="仿宋_GB2312"/>
          <w:sz w:val="30"/>
          <w:szCs w:val="30"/>
        </w:rPr>
        <w:t>1</w:t>
      </w:r>
      <w:r>
        <w:rPr>
          <w:rFonts w:hint="eastAsia" w:ascii="仿宋_GB2312" w:hAnsi="宋体" w:eastAsia="仿宋_GB2312" w:cs="仿宋_GB2312"/>
          <w:sz w:val="30"/>
          <w:szCs w:val="30"/>
        </w:rPr>
        <w:t>1。</w:t>
      </w:r>
    </w:p>
    <w:p>
      <w:pPr>
        <w:ind w:firstLine="482" w:firstLineChars="200"/>
        <w:jc w:val="center"/>
        <w:rPr>
          <w:rFonts w:asciiTheme="minorEastAsia" w:hAnsiTheme="minorEastAsia" w:eastAsiaTheme="minorEastAsia"/>
          <w:b/>
          <w:bCs/>
          <w:color w:val="000000"/>
          <w:sz w:val="24"/>
          <w:szCs w:val="24"/>
        </w:rPr>
      </w:pPr>
      <w:r>
        <w:rPr>
          <w:rFonts w:hint="eastAsia" w:ascii="宋体" w:hAnsi="宋体" w:cs="宋体"/>
          <w:b/>
          <w:bCs/>
          <w:sz w:val="24"/>
          <w:szCs w:val="24"/>
        </w:rPr>
        <w:t>表</w:t>
      </w:r>
      <w:r>
        <w:rPr>
          <w:rFonts w:ascii="宋体" w:hAnsi="宋体" w:cs="宋体"/>
          <w:b/>
          <w:bCs/>
          <w:sz w:val="24"/>
          <w:szCs w:val="24"/>
        </w:rPr>
        <w:t>1</w:t>
      </w:r>
      <w:r>
        <w:rPr>
          <w:rFonts w:hint="eastAsia" w:ascii="宋体" w:hAnsi="宋体" w:cs="宋体"/>
          <w:b/>
          <w:bCs/>
          <w:sz w:val="24"/>
          <w:szCs w:val="24"/>
        </w:rPr>
        <w:t>1</w:t>
      </w:r>
      <w:r>
        <w:rPr>
          <w:rFonts w:ascii="宋体" w:hAnsi="宋体" w:cs="宋体"/>
          <w:b/>
          <w:bCs/>
          <w:sz w:val="24"/>
          <w:szCs w:val="24"/>
        </w:rPr>
        <w:t xml:space="preserve">  </w:t>
      </w:r>
      <w:r>
        <w:rPr>
          <w:rFonts w:hint="eastAsia" w:ascii="宋体" w:hAnsi="宋体" w:cs="宋体"/>
          <w:b/>
          <w:bCs/>
          <w:sz w:val="24"/>
          <w:szCs w:val="24"/>
        </w:rPr>
        <w:t>考核用计算机技术要求</w:t>
      </w:r>
    </w:p>
    <w:tbl>
      <w:tblPr>
        <w:tblStyle w:val="14"/>
        <w:tblW w:w="810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2476"/>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7" w:hRule="atLeast"/>
        </w:trPr>
        <w:tc>
          <w:tcPr>
            <w:tcW w:w="1484" w:type="dxa"/>
            <w:tcBorders>
              <w:bottom w:val="single" w:color="auto" w:sz="4" w:space="0"/>
            </w:tcBorders>
            <w:vAlign w:val="center"/>
          </w:tcPr>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项目</w:t>
            </w:r>
          </w:p>
        </w:tc>
        <w:tc>
          <w:tcPr>
            <w:tcW w:w="2476" w:type="dxa"/>
            <w:tcBorders>
              <w:bottom w:val="single" w:color="auto" w:sz="4" w:space="0"/>
            </w:tcBorders>
            <w:vAlign w:val="center"/>
          </w:tcPr>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硬件（最低）配置</w:t>
            </w:r>
          </w:p>
        </w:tc>
        <w:tc>
          <w:tcPr>
            <w:tcW w:w="4140" w:type="dxa"/>
            <w:tcBorders>
              <w:bottom w:val="single" w:color="auto" w:sz="4" w:space="0"/>
            </w:tcBorders>
            <w:vAlign w:val="center"/>
          </w:tcPr>
          <w:p>
            <w:pPr>
              <w:adjustRightInd w:val="0"/>
              <w:snapToGrid w:val="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软件环境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8" w:hRule="atLeast"/>
        </w:trPr>
        <w:tc>
          <w:tcPr>
            <w:tcW w:w="1484" w:type="dxa"/>
            <w:tcBorders>
              <w:bottom w:val="single" w:color="auto" w:sz="4" w:space="0"/>
            </w:tcBorders>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网络服务器</w:t>
            </w:r>
          </w:p>
        </w:tc>
        <w:tc>
          <w:tcPr>
            <w:tcW w:w="2476" w:type="dxa"/>
            <w:tcBorders>
              <w:bottom w:val="single" w:color="auto" w:sz="4" w:space="0"/>
            </w:tcBorders>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酷睿2.0GCPU，2G内存，360G硬盘</w:t>
            </w:r>
          </w:p>
        </w:tc>
        <w:tc>
          <w:tcPr>
            <w:tcW w:w="4140" w:type="dxa"/>
            <w:tcBorders>
              <w:bottom w:val="single" w:color="auto" w:sz="4" w:space="0"/>
            </w:tcBorders>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Windows 2003 Server中文版，安装SQL Server 2000中文版数据库、微软Freamwok2.0插件。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8" w:hRule="atLeast"/>
        </w:trPr>
        <w:tc>
          <w:tcPr>
            <w:tcW w:w="1484"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管理员计算机（裁判用机）</w:t>
            </w:r>
          </w:p>
        </w:tc>
        <w:tc>
          <w:tcPr>
            <w:tcW w:w="24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酷睿1.6GCPU，2G内存，120G硬盘以上配置</w:t>
            </w:r>
          </w:p>
        </w:tc>
        <w:tc>
          <w:tcPr>
            <w:tcW w:w="4140"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WindowsXP（SP2及以上），安装IE7.0或以上浏览器、微软Freamwok2.0插件并安装Office2000及以上版本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8" w:hRule="atLeast"/>
        </w:trPr>
        <w:tc>
          <w:tcPr>
            <w:tcW w:w="1484"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比赛计算机（选手用机）</w:t>
            </w:r>
          </w:p>
        </w:tc>
        <w:tc>
          <w:tcPr>
            <w:tcW w:w="2476"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酷睿1.6GCPU，2G内存，120G硬盘</w:t>
            </w:r>
          </w:p>
        </w:tc>
        <w:tc>
          <w:tcPr>
            <w:tcW w:w="4140" w:type="dxa"/>
            <w:vAlign w:val="center"/>
          </w:tcPr>
          <w:p>
            <w:pPr>
              <w:adjustRightInd w:val="0"/>
              <w:snapToGrid w:val="0"/>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Windows XP（SP2及以上），安装IE7.0或以上浏览器、微软Freamwok2.0插件。</w:t>
            </w:r>
          </w:p>
        </w:tc>
      </w:tr>
    </w:tbl>
    <w:p>
      <w:pPr>
        <w:spacing w:line="560" w:lineRule="exact"/>
        <w:ind w:firstLine="600" w:firstLineChars="200"/>
        <w:rPr>
          <w:rFonts w:ascii="仿宋_GB2312" w:hAnsi="宋体" w:eastAsia="仿宋_GB2312" w:cs="Times New Roman"/>
          <w:sz w:val="30"/>
          <w:szCs w:val="30"/>
        </w:rPr>
      </w:pPr>
      <w:r>
        <w:rPr>
          <w:rFonts w:ascii="仿宋_GB2312" w:hAnsi="宋体" w:eastAsia="仿宋_GB2312" w:cs="仿宋_GB2312"/>
          <w:sz w:val="30"/>
          <w:szCs w:val="30"/>
        </w:rPr>
        <w:t>2.</w:t>
      </w:r>
      <w:r>
        <w:rPr>
          <w:rFonts w:hint="eastAsia" w:ascii="仿宋_GB2312" w:hAnsi="宋体" w:eastAsia="仿宋_GB2312" w:cs="仿宋_GB2312"/>
          <w:sz w:val="30"/>
          <w:szCs w:val="30"/>
        </w:rPr>
        <w:t>软件</w:t>
      </w:r>
      <w:r>
        <w:rPr>
          <w:rFonts w:ascii="仿宋_GB2312" w:hAnsi="宋体" w:eastAsia="仿宋_GB2312" w:cs="仿宋_GB2312"/>
          <w:sz w:val="30"/>
          <w:szCs w:val="30"/>
        </w:rPr>
        <w:t xml:space="preserve">  </w:t>
      </w:r>
      <w:r>
        <w:rPr>
          <w:rFonts w:hint="eastAsia" w:ascii="仿宋_GB2312" w:hAnsi="宋体" w:eastAsia="仿宋_GB2312" w:cs="仿宋_GB2312"/>
          <w:sz w:val="30"/>
          <w:szCs w:val="30"/>
        </w:rPr>
        <w:t>审方理论考核系统软件由赛项执委会牵头开发并于2018年应用于国赛的技术平台，运行用计算机的技术要求不得低于表11所列标准，且需在竞赛前由专业技术人员完成安装与调试工作。</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（三）竞赛环境</w:t>
      </w:r>
    </w:p>
    <w:p>
      <w:pPr>
        <w:adjustRightInd w:val="0"/>
        <w:snapToGrid w:val="0"/>
        <w:spacing w:line="560" w:lineRule="exact"/>
        <w:ind w:firstLine="450" w:firstLineChars="150"/>
        <w:rPr>
          <w:rFonts w:ascii="仿宋_GB2312" w:hAnsi="仿宋" w:eastAsia="仿宋_GB2312" w:cs="仿宋"/>
          <w:color w:val="000000"/>
          <w:sz w:val="30"/>
          <w:szCs w:val="30"/>
          <w:lang w:val="zh-CN"/>
        </w:rPr>
      </w:pPr>
      <w:bookmarkStart w:id="12" w:name="_Toc513563343"/>
      <w:r>
        <w:rPr>
          <w:rFonts w:hint="eastAsia" w:ascii="仿宋_GB2312" w:hAnsi="仿宋" w:eastAsia="仿宋_GB2312" w:cs="仿宋"/>
          <w:color w:val="000000"/>
          <w:sz w:val="30"/>
          <w:szCs w:val="30"/>
          <w:lang w:val="zh-CN"/>
        </w:rPr>
        <w:t>1.中药性状鉴别竞赛环境要求</w:t>
      </w:r>
      <w:bookmarkEnd w:id="12"/>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（1）赛场800m</w:t>
      </w:r>
      <w:r>
        <w:rPr>
          <w:rFonts w:hint="eastAsia" w:ascii="仿宋_GB2312" w:hAnsi="仿宋" w:eastAsia="仿宋_GB2312" w:cs="仿宋"/>
          <w:color w:val="000000"/>
          <w:sz w:val="30"/>
          <w:szCs w:val="30"/>
          <w:vertAlign w:val="superscript"/>
        </w:rPr>
        <w:t>2</w:t>
      </w:r>
      <w:r>
        <w:rPr>
          <w:rFonts w:hint="eastAsia" w:ascii="仿宋_GB2312" w:hAnsi="仿宋" w:eastAsia="仿宋_GB2312" w:cs="仿宋"/>
          <w:color w:val="000000"/>
          <w:sz w:val="30"/>
          <w:szCs w:val="30"/>
        </w:rPr>
        <w:t>以上，有候考区、竞赛区，竞赛区有背景、裁判席等，采光良好。竞赛区拥有8个竞赛位，且标明编号。</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（2）赛场周边设有卫生间、医疗等公共服务区和紧急疏散通道，并在赛场周围设置隔离带。</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（3）设立赛场开放区和安全通道，用于大赛观摩和采访，保证大赛安全有序进行。</w:t>
      </w:r>
    </w:p>
    <w:p>
      <w:pPr>
        <w:adjustRightInd w:val="0"/>
        <w:snapToGrid w:val="0"/>
        <w:spacing w:line="560" w:lineRule="exact"/>
        <w:ind w:firstLine="450" w:firstLineChars="150"/>
        <w:rPr>
          <w:rFonts w:ascii="仿宋_GB2312" w:hAnsi="仿宋" w:eastAsia="仿宋_GB2312" w:cs="仿宋"/>
          <w:color w:val="000000"/>
          <w:sz w:val="30"/>
          <w:szCs w:val="30"/>
          <w:lang w:val="zh-CN"/>
        </w:rPr>
      </w:pPr>
      <w:bookmarkStart w:id="13" w:name="_Toc513563344"/>
      <w:r>
        <w:rPr>
          <w:rFonts w:hint="eastAsia" w:ascii="仿宋_GB2312" w:hAnsi="仿宋" w:eastAsia="仿宋_GB2312" w:cs="仿宋"/>
          <w:color w:val="000000"/>
          <w:sz w:val="30"/>
          <w:szCs w:val="30"/>
          <w:lang w:val="zh-CN"/>
        </w:rPr>
        <w:t>2.中药显微鉴别竞赛环境要求</w:t>
      </w:r>
      <w:bookmarkEnd w:id="13"/>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（1）赛场800m</w:t>
      </w:r>
      <w:r>
        <w:rPr>
          <w:rFonts w:hint="eastAsia" w:ascii="仿宋_GB2312" w:hAnsi="仿宋" w:eastAsia="仿宋_GB2312" w:cs="仿宋"/>
          <w:color w:val="000000"/>
          <w:sz w:val="30"/>
          <w:szCs w:val="30"/>
          <w:vertAlign w:val="superscript"/>
        </w:rPr>
        <w:t>2</w:t>
      </w:r>
      <w:r>
        <w:rPr>
          <w:rFonts w:hint="eastAsia" w:ascii="仿宋_GB2312" w:hAnsi="仿宋" w:eastAsia="仿宋_GB2312" w:cs="仿宋"/>
          <w:color w:val="000000"/>
          <w:sz w:val="30"/>
          <w:szCs w:val="30"/>
        </w:rPr>
        <w:t>以上，有候考区、竞赛区，竞赛区有背景、裁判席等，采光良好。竞赛区拥有</w:t>
      </w:r>
      <w:r>
        <w:rPr>
          <w:rFonts w:ascii="仿宋_GB2312" w:hAnsi="仿宋" w:eastAsia="仿宋_GB2312" w:cs="仿宋"/>
          <w:sz w:val="30"/>
          <w:szCs w:val="30"/>
        </w:rPr>
        <w:t>32</w:t>
      </w:r>
      <w:r>
        <w:rPr>
          <w:rFonts w:hint="eastAsia" w:ascii="仿宋_GB2312" w:hAnsi="仿宋" w:eastAsia="仿宋_GB2312" w:cs="仿宋"/>
          <w:color w:val="000000"/>
          <w:sz w:val="30"/>
          <w:szCs w:val="30"/>
        </w:rPr>
        <w:t>个竞赛位，且标明编号。</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（2）赛场周边设有卫生间、医疗等公共服务区和紧急疏散通道，并在赛场周围设置隔离带。</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（3）设立赛场开放区和安全通道，用于大赛观摩和采访，保证大赛安全有序进行。</w:t>
      </w:r>
    </w:p>
    <w:p>
      <w:pPr>
        <w:adjustRightInd w:val="0"/>
        <w:snapToGrid w:val="0"/>
        <w:spacing w:line="560" w:lineRule="exact"/>
        <w:ind w:firstLine="450" w:firstLineChars="150"/>
        <w:rPr>
          <w:rFonts w:ascii="仿宋_GB2312" w:hAnsi="仿宋" w:eastAsia="仿宋_GB2312" w:cs="仿宋"/>
          <w:color w:val="000000"/>
          <w:sz w:val="30"/>
          <w:szCs w:val="30"/>
          <w:lang w:val="zh-CN"/>
        </w:rPr>
      </w:pPr>
      <w:bookmarkStart w:id="14" w:name="_Toc513563345"/>
      <w:r>
        <w:rPr>
          <w:rFonts w:hint="eastAsia" w:ascii="仿宋_GB2312" w:hAnsi="仿宋" w:eastAsia="仿宋_GB2312" w:cs="仿宋"/>
          <w:color w:val="000000"/>
          <w:sz w:val="30"/>
          <w:szCs w:val="30"/>
          <w:lang w:val="zh-CN"/>
        </w:rPr>
        <w:t>3.中药调剂</w:t>
      </w:r>
      <w:bookmarkEnd w:id="14"/>
      <w:r>
        <w:rPr>
          <w:rFonts w:hint="eastAsia" w:ascii="仿宋_GB2312" w:hAnsi="仿宋" w:eastAsia="仿宋_GB2312" w:cs="仿宋"/>
          <w:color w:val="000000"/>
          <w:sz w:val="30"/>
          <w:szCs w:val="30"/>
          <w:lang w:val="zh-CN"/>
        </w:rPr>
        <w:t>竞赛环境要求</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（1）审方理论考试机房环境要求</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①整个赛场面积不小于800m</w:t>
      </w:r>
      <w:r>
        <w:rPr>
          <w:rFonts w:hint="eastAsia" w:ascii="仿宋_GB2312" w:hAnsi="仿宋" w:eastAsia="仿宋_GB2312" w:cs="仿宋"/>
          <w:color w:val="000000"/>
          <w:sz w:val="30"/>
          <w:szCs w:val="30"/>
          <w:vertAlign w:val="superscript"/>
        </w:rPr>
        <w:t>2</w:t>
      </w:r>
      <w:r>
        <w:rPr>
          <w:rFonts w:hint="eastAsia" w:ascii="仿宋_GB2312" w:hAnsi="仿宋" w:eastAsia="仿宋_GB2312" w:cs="仿宋"/>
          <w:color w:val="000000"/>
          <w:sz w:val="30"/>
          <w:szCs w:val="30"/>
        </w:rPr>
        <w:t>，配备能容纳160台相同配置的台式计算机，机房内配有裁判用计算机、打印机等竞赛评判工具。机房周边设有卫生间、医疗服务站，有正常的电梯及紧急疏散通道，并在赛场周围设置隔离带。</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②竞赛机房内竞赛用计算机摆放合理，各竞赛位相对独立，确保选手独立开展竞赛，不受外界影响。</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③配套稳定的电源和应急设备，并有保安、公安、消防、设备维修等抢险人员待命，以防突发事件。</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（2）中药调剂操作竞赛环境要求</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①赛场800m</w:t>
      </w:r>
      <w:r>
        <w:rPr>
          <w:rFonts w:hint="eastAsia" w:ascii="仿宋_GB2312" w:hAnsi="仿宋" w:eastAsia="仿宋_GB2312" w:cs="仿宋"/>
          <w:color w:val="000000"/>
          <w:sz w:val="30"/>
          <w:szCs w:val="30"/>
          <w:vertAlign w:val="superscript"/>
        </w:rPr>
        <w:t>2</w:t>
      </w:r>
      <w:r>
        <w:rPr>
          <w:rFonts w:hint="eastAsia" w:ascii="仿宋_GB2312" w:hAnsi="仿宋" w:eastAsia="仿宋_GB2312" w:cs="仿宋"/>
          <w:color w:val="000000"/>
          <w:sz w:val="30"/>
          <w:szCs w:val="30"/>
        </w:rPr>
        <w:t>以上，有候考区、竞赛区，竞赛区有背景、裁判席等，采光良好。竞赛区拥有8个竞赛位，且标明编号。</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②赛场周边设有卫生间、医疗等公共服务区和紧急疏散通道，并在赛场周围设置隔离带。</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③设立赛场开放区和安全通道，用于大赛观摩和采访，保证大赛安全有序进行。</w:t>
      </w:r>
    </w:p>
    <w:p>
      <w:pPr>
        <w:adjustRightInd w:val="0"/>
        <w:snapToGrid w:val="0"/>
        <w:spacing w:line="560" w:lineRule="exact"/>
        <w:ind w:firstLine="450" w:firstLineChars="150"/>
        <w:rPr>
          <w:rFonts w:ascii="仿宋_GB2312" w:hAnsi="仿宋" w:eastAsia="仿宋_GB2312" w:cs="仿宋"/>
          <w:color w:val="000000"/>
          <w:sz w:val="30"/>
          <w:szCs w:val="30"/>
          <w:lang w:val="zh-CN"/>
        </w:rPr>
      </w:pPr>
      <w:bookmarkStart w:id="15" w:name="_Toc513563346"/>
      <w:r>
        <w:rPr>
          <w:rFonts w:hint="eastAsia" w:ascii="仿宋_GB2312" w:hAnsi="仿宋" w:eastAsia="仿宋_GB2312" w:cs="仿宋"/>
          <w:color w:val="000000"/>
          <w:sz w:val="30"/>
          <w:szCs w:val="30"/>
          <w:lang w:val="zh-CN"/>
        </w:rPr>
        <w:t>4.中药炮制竞赛环境要求</w:t>
      </w:r>
      <w:bookmarkEnd w:id="15"/>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（1）赛场800m</w:t>
      </w:r>
      <w:r>
        <w:rPr>
          <w:rFonts w:hint="eastAsia" w:ascii="仿宋_GB2312" w:hAnsi="仿宋" w:eastAsia="仿宋_GB2312" w:cs="仿宋"/>
          <w:color w:val="000000"/>
          <w:sz w:val="30"/>
          <w:szCs w:val="30"/>
          <w:vertAlign w:val="superscript"/>
        </w:rPr>
        <w:t>2</w:t>
      </w:r>
      <w:r>
        <w:rPr>
          <w:rFonts w:hint="eastAsia" w:ascii="仿宋_GB2312" w:hAnsi="仿宋" w:eastAsia="仿宋_GB2312" w:cs="仿宋"/>
          <w:color w:val="000000"/>
          <w:sz w:val="30"/>
          <w:szCs w:val="30"/>
        </w:rPr>
        <w:t>以上，有候考区、竞赛区，竞赛区有背景、裁判席等，采光良好。竞赛区拥有8个竞赛位，且标明编号，配有2个备用竞赛位。每个竞赛位均配有所需的炮制设备与器具。竞赛区配有消防灭火器材及烫伤救护药品等应急预案与措施。</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（2）赛场周边设有卫生间、医疗等公共服务区和紧急疏散通道，并在赛场周围设置隔离带。</w:t>
      </w:r>
    </w:p>
    <w:p>
      <w:pPr>
        <w:adjustRightInd w:val="0"/>
        <w:snapToGrid w:val="0"/>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（3）设立赛场开放区和安全通道，用于大赛观摩和采访，保证大赛安全有序进行。</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十四、安全保障</w:t>
      </w:r>
    </w:p>
    <w:p>
      <w:pPr>
        <w:spacing w:line="56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（一）安全操作要求</w:t>
      </w:r>
    </w:p>
    <w:p>
      <w:pPr>
        <w:spacing w:line="560" w:lineRule="exact"/>
        <w:ind w:firstLine="600" w:firstLineChars="200"/>
        <w:rPr>
          <w:rFonts w:ascii="仿宋_GB2312" w:hAnsi="宋体" w:eastAsia="仿宋_GB2312" w:cs="Times New Roman"/>
          <w:sz w:val="30"/>
          <w:szCs w:val="30"/>
        </w:rPr>
      </w:pPr>
      <w:r>
        <w:rPr>
          <w:rFonts w:ascii="仿宋_GB2312" w:hAnsi="宋体" w:eastAsia="仿宋_GB2312" w:cs="仿宋_GB2312"/>
          <w:sz w:val="30"/>
          <w:szCs w:val="30"/>
        </w:rPr>
        <w:t>1.</w:t>
      </w:r>
      <w:r>
        <w:rPr>
          <w:rFonts w:hint="eastAsia" w:ascii="仿宋_GB2312" w:hAnsi="宋体" w:eastAsia="仿宋_GB2312" w:cs="仿宋_GB2312"/>
          <w:sz w:val="30"/>
          <w:szCs w:val="30"/>
        </w:rPr>
        <w:t>选手和裁判进入赛场，须统一着工作服、戴工作帽，禁止穿钉子鞋和高跟鞋，禁止携带手机、火柴、打火机，严禁在比赛现场抽烟，禁止拨打或接听来电。</w:t>
      </w:r>
    </w:p>
    <w:p>
      <w:pPr>
        <w:spacing w:line="560" w:lineRule="exact"/>
        <w:ind w:firstLine="600" w:firstLineChars="200"/>
        <w:rPr>
          <w:rFonts w:ascii="仿宋_GB2312" w:hAnsi="宋体" w:eastAsia="仿宋_GB2312" w:cs="Times New Roman"/>
          <w:sz w:val="30"/>
          <w:szCs w:val="30"/>
        </w:rPr>
      </w:pPr>
      <w:r>
        <w:rPr>
          <w:rFonts w:ascii="仿宋_GB2312" w:hAnsi="宋体" w:eastAsia="仿宋_GB2312" w:cs="仿宋_GB2312"/>
          <w:sz w:val="30"/>
          <w:szCs w:val="30"/>
        </w:rPr>
        <w:t>2.</w:t>
      </w:r>
      <w:r>
        <w:rPr>
          <w:rFonts w:hint="eastAsia" w:ascii="仿宋_GB2312" w:hAnsi="宋体" w:eastAsia="仿宋_GB2312" w:cs="仿宋_GB2312"/>
          <w:sz w:val="30"/>
          <w:szCs w:val="30"/>
        </w:rPr>
        <w:t>竞赛选手须严格按照安全操作规程独立操作，确保安全。</w:t>
      </w:r>
    </w:p>
    <w:p>
      <w:pPr>
        <w:spacing w:line="560" w:lineRule="exact"/>
        <w:ind w:firstLine="600" w:firstLineChars="200"/>
        <w:rPr>
          <w:rFonts w:ascii="仿宋_GB2312" w:hAnsi="宋体" w:eastAsia="仿宋_GB2312" w:cs="Times New Roman"/>
          <w:sz w:val="30"/>
          <w:szCs w:val="30"/>
        </w:rPr>
      </w:pPr>
      <w:r>
        <w:rPr>
          <w:rFonts w:ascii="仿宋_GB2312" w:hAnsi="宋体" w:eastAsia="仿宋_GB2312" w:cs="仿宋_GB2312"/>
          <w:sz w:val="30"/>
          <w:szCs w:val="30"/>
        </w:rPr>
        <w:t>3.</w:t>
      </w:r>
      <w:r>
        <w:rPr>
          <w:rFonts w:hint="eastAsia" w:ascii="仿宋_GB2312" w:hAnsi="宋体" w:eastAsia="仿宋_GB2312" w:cs="仿宋_GB2312"/>
          <w:sz w:val="30"/>
          <w:szCs w:val="30"/>
        </w:rPr>
        <w:t>竞赛结束，选手须检查设备是否处于安全状态、设备是否完好，并清整维护现场，将操作记录、样品等交给裁判，经裁判允许方可退场。</w:t>
      </w:r>
    </w:p>
    <w:p>
      <w:pPr>
        <w:spacing w:line="56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（二）赛场安全保障</w:t>
      </w:r>
    </w:p>
    <w:p>
      <w:pPr>
        <w:spacing w:line="560" w:lineRule="exact"/>
        <w:ind w:firstLine="600" w:firstLineChars="200"/>
        <w:rPr>
          <w:rFonts w:ascii="仿宋_GB2312" w:hAnsi="宋体" w:eastAsia="仿宋_GB2312" w:cs="Times New Roman"/>
          <w:sz w:val="30"/>
          <w:szCs w:val="30"/>
        </w:rPr>
      </w:pPr>
      <w:r>
        <w:rPr>
          <w:rFonts w:ascii="仿宋_GB2312" w:hAnsi="宋体" w:eastAsia="仿宋_GB2312" w:cs="仿宋_GB2312"/>
          <w:sz w:val="30"/>
          <w:szCs w:val="30"/>
        </w:rPr>
        <w:t>1.</w:t>
      </w:r>
      <w:r>
        <w:rPr>
          <w:rFonts w:hint="eastAsia" w:ascii="仿宋_GB2312" w:hAnsi="宋体" w:eastAsia="仿宋_GB2312" w:cs="仿宋_GB2312"/>
          <w:sz w:val="30"/>
          <w:szCs w:val="30"/>
        </w:rPr>
        <w:t>中药炮制操作赛场严格按照中药炮制生产车间要求，配备防火防爆及其他安全设施。</w:t>
      </w:r>
    </w:p>
    <w:p>
      <w:pPr>
        <w:spacing w:line="560" w:lineRule="exact"/>
        <w:ind w:firstLine="600" w:firstLineChars="200"/>
        <w:rPr>
          <w:rFonts w:ascii="仿宋_GB2312" w:hAnsi="宋体" w:eastAsia="仿宋_GB2312" w:cs="Times New Roman"/>
          <w:sz w:val="30"/>
          <w:szCs w:val="30"/>
        </w:rPr>
      </w:pPr>
      <w:r>
        <w:rPr>
          <w:rFonts w:ascii="仿宋_GB2312" w:hAnsi="宋体" w:eastAsia="仿宋_GB2312" w:cs="仿宋_GB2312"/>
          <w:sz w:val="30"/>
          <w:szCs w:val="30"/>
        </w:rPr>
        <w:t>2.</w:t>
      </w:r>
      <w:r>
        <w:rPr>
          <w:rFonts w:hint="eastAsia" w:ascii="仿宋_GB2312" w:hAnsi="宋体" w:eastAsia="仿宋_GB2312" w:cs="仿宋_GB2312"/>
          <w:sz w:val="30"/>
          <w:szCs w:val="30"/>
        </w:rPr>
        <w:t>赛场提供稳定的水、电、气源和供电应急设备，并有保安、公安、消防、设备维修和电力抢险人员待命，以防突发事件。</w:t>
      </w:r>
    </w:p>
    <w:p>
      <w:pPr>
        <w:spacing w:line="560" w:lineRule="exact"/>
        <w:ind w:firstLine="600" w:firstLineChars="200"/>
        <w:rPr>
          <w:rFonts w:ascii="仿宋_GB2312" w:hAnsi="宋体" w:eastAsia="仿宋_GB2312" w:cs="Times New Roman"/>
          <w:sz w:val="30"/>
          <w:szCs w:val="30"/>
        </w:rPr>
      </w:pPr>
      <w:r>
        <w:rPr>
          <w:rFonts w:ascii="仿宋_GB2312" w:hAnsi="宋体" w:eastAsia="仿宋_GB2312" w:cs="仿宋_GB2312"/>
          <w:sz w:val="30"/>
          <w:szCs w:val="30"/>
        </w:rPr>
        <w:t>3.</w:t>
      </w:r>
      <w:r>
        <w:rPr>
          <w:rFonts w:hint="eastAsia" w:ascii="仿宋_GB2312" w:hAnsi="宋体" w:eastAsia="仿宋_GB2312" w:cs="仿宋_GB2312"/>
          <w:sz w:val="30"/>
          <w:szCs w:val="30"/>
        </w:rPr>
        <w:t>所有竞赛现场设有紧急逃生指示图和医疗急救箱。</w:t>
      </w:r>
    </w:p>
    <w:p>
      <w:pPr>
        <w:spacing w:line="56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（三）突发事件紧急处理与应急救援</w:t>
      </w:r>
    </w:p>
    <w:p>
      <w:pPr>
        <w:spacing w:line="560" w:lineRule="exact"/>
        <w:ind w:firstLine="600" w:firstLineChars="200"/>
        <w:rPr>
          <w:rFonts w:ascii="仿宋_GB2312" w:hAnsi="宋体" w:eastAsia="仿宋_GB2312" w:cs="Times New Roman"/>
          <w:sz w:val="30"/>
          <w:szCs w:val="30"/>
        </w:rPr>
      </w:pPr>
      <w:r>
        <w:rPr>
          <w:rFonts w:hint="eastAsia" w:ascii="仿宋_GB2312" w:hAnsi="宋体" w:eastAsia="仿宋_GB2312" w:cs="仿宋_GB2312"/>
          <w:sz w:val="30"/>
          <w:szCs w:val="30"/>
        </w:rPr>
        <w:t>成立比赛期间突发事件处理指挥工作小组，并制定竞赛现场应急救援预案。</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十五、经费概算</w:t>
      </w:r>
    </w:p>
    <w:p>
      <w:pPr>
        <w:adjustRightInd w:val="0"/>
        <w:snapToGri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表</w:t>
      </w:r>
      <w:r>
        <w:rPr>
          <w:rFonts w:cs="仿宋_GB2312" w:asciiTheme="minorEastAsia" w:hAnsiTheme="minorEastAsia" w:eastAsiaTheme="minorEastAsia"/>
          <w:sz w:val="24"/>
          <w:szCs w:val="24"/>
        </w:rPr>
        <w:t>1</w:t>
      </w:r>
      <w:r>
        <w:rPr>
          <w:rFonts w:hint="eastAsia" w:cs="仿宋_GB2312" w:asciiTheme="minorEastAsia" w:hAnsiTheme="minorEastAsia" w:eastAsiaTheme="minorEastAsia"/>
          <w:sz w:val="24"/>
          <w:szCs w:val="24"/>
        </w:rPr>
        <w:t>2</w:t>
      </w:r>
      <w:r>
        <w:rPr>
          <w:rFonts w:cs="仿宋_GB2312" w:asciiTheme="minorEastAsia" w:hAnsiTheme="minorEastAsia" w:eastAsiaTheme="minorEastAsia"/>
          <w:sz w:val="24"/>
          <w:szCs w:val="24"/>
        </w:rPr>
        <w:t xml:space="preserve">  </w:t>
      </w:r>
      <w:r>
        <w:rPr>
          <w:rFonts w:hint="eastAsia" w:cs="仿宋_GB2312" w:asciiTheme="minorEastAsia" w:hAnsiTheme="minorEastAsia" w:eastAsiaTheme="minorEastAsia"/>
          <w:sz w:val="24"/>
          <w:szCs w:val="24"/>
        </w:rPr>
        <w:t>经费预算</w:t>
      </w:r>
    </w:p>
    <w:tbl>
      <w:tblPr>
        <w:tblStyle w:val="14"/>
        <w:tblW w:w="836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0"/>
        <w:gridCol w:w="352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项名称目</w:t>
            </w:r>
          </w:p>
        </w:tc>
        <w:tc>
          <w:tcPr>
            <w:tcW w:w="3524" w:type="dxa"/>
            <w:vAlign w:val="center"/>
          </w:tcPr>
          <w:p>
            <w:pPr>
              <w:widowControl/>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预计费用（万元）</w:t>
            </w:r>
          </w:p>
        </w:tc>
        <w:tc>
          <w:tcPr>
            <w:tcW w:w="1559" w:type="dxa"/>
            <w:vAlign w:val="center"/>
          </w:tcPr>
          <w:p>
            <w:pPr>
              <w:widowControl/>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备</w:t>
            </w:r>
            <w:r>
              <w:rPr>
                <w:rFonts w:cs="仿宋_GB2312" w:asciiTheme="minorEastAsia" w:hAnsiTheme="minorEastAsia" w:eastAsiaTheme="minorEastAsia"/>
                <w:sz w:val="24"/>
                <w:szCs w:val="24"/>
              </w:rPr>
              <w:t xml:space="preserve"> </w:t>
            </w:r>
            <w:r>
              <w:rPr>
                <w:rFonts w:hint="eastAsia" w:cs="仿宋_GB2312" w:asciiTheme="minorEastAsia" w:hAnsiTheme="minorEastAsia" w:eastAsiaTheme="minorEastAsia"/>
                <w:sz w:val="24"/>
                <w:szCs w:val="24"/>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印刷费</w:t>
            </w:r>
          </w:p>
        </w:tc>
        <w:tc>
          <w:tcPr>
            <w:tcW w:w="3524" w:type="dxa"/>
            <w:vAlign w:val="center"/>
          </w:tcPr>
          <w:p>
            <w:pPr>
              <w:widowControl/>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5</w:t>
            </w:r>
          </w:p>
        </w:tc>
        <w:tc>
          <w:tcPr>
            <w:tcW w:w="1559" w:type="dxa"/>
            <w:vAlign w:val="center"/>
          </w:tcPr>
          <w:p>
            <w:pPr>
              <w:widowControl/>
              <w:jc w:val="center"/>
              <w:rPr>
                <w:rFonts w:cs="仿宋_GB2312"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咨询费</w:t>
            </w:r>
          </w:p>
        </w:tc>
        <w:tc>
          <w:tcPr>
            <w:tcW w:w="3524" w:type="dxa"/>
            <w:vAlign w:val="center"/>
          </w:tcPr>
          <w:p>
            <w:pPr>
              <w:widowControl/>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20</w:t>
            </w:r>
          </w:p>
        </w:tc>
        <w:tc>
          <w:tcPr>
            <w:tcW w:w="1559" w:type="dxa"/>
            <w:vAlign w:val="center"/>
          </w:tcPr>
          <w:p>
            <w:pPr>
              <w:widowControl/>
              <w:jc w:val="center"/>
              <w:rPr>
                <w:rFonts w:cs="仿宋_GB2312"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邮电费</w:t>
            </w:r>
          </w:p>
        </w:tc>
        <w:tc>
          <w:tcPr>
            <w:tcW w:w="3524" w:type="dxa"/>
            <w:vAlign w:val="center"/>
          </w:tcPr>
          <w:p>
            <w:pPr>
              <w:widowControl/>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w:t>
            </w:r>
          </w:p>
        </w:tc>
        <w:tc>
          <w:tcPr>
            <w:tcW w:w="1559" w:type="dxa"/>
            <w:vAlign w:val="center"/>
          </w:tcPr>
          <w:p>
            <w:pPr>
              <w:widowControl/>
              <w:jc w:val="center"/>
              <w:rPr>
                <w:rFonts w:cs="仿宋_GB2312"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差旅费</w:t>
            </w:r>
          </w:p>
        </w:tc>
        <w:tc>
          <w:tcPr>
            <w:tcW w:w="3524" w:type="dxa"/>
            <w:vAlign w:val="center"/>
          </w:tcPr>
          <w:p>
            <w:pPr>
              <w:widowControl/>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5</w:t>
            </w:r>
          </w:p>
        </w:tc>
        <w:tc>
          <w:tcPr>
            <w:tcW w:w="1559" w:type="dxa"/>
            <w:vAlign w:val="center"/>
          </w:tcPr>
          <w:p>
            <w:pPr>
              <w:widowControl/>
              <w:jc w:val="center"/>
              <w:rPr>
                <w:rFonts w:cs="仿宋_GB2312"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租赁费</w:t>
            </w:r>
          </w:p>
        </w:tc>
        <w:tc>
          <w:tcPr>
            <w:tcW w:w="3524" w:type="dxa"/>
            <w:vAlign w:val="center"/>
          </w:tcPr>
          <w:p>
            <w:pPr>
              <w:widowControl/>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7</w:t>
            </w:r>
          </w:p>
        </w:tc>
        <w:tc>
          <w:tcPr>
            <w:tcW w:w="1559" w:type="dxa"/>
            <w:vAlign w:val="center"/>
          </w:tcPr>
          <w:p>
            <w:pPr>
              <w:widowControl/>
              <w:jc w:val="center"/>
              <w:rPr>
                <w:rFonts w:cs="仿宋_GB2312"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会议费</w:t>
            </w:r>
          </w:p>
        </w:tc>
        <w:tc>
          <w:tcPr>
            <w:tcW w:w="3524" w:type="dxa"/>
            <w:vAlign w:val="center"/>
          </w:tcPr>
          <w:p>
            <w:pPr>
              <w:widowControl/>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10</w:t>
            </w:r>
          </w:p>
        </w:tc>
        <w:tc>
          <w:tcPr>
            <w:tcW w:w="1559" w:type="dxa"/>
            <w:vAlign w:val="center"/>
          </w:tcPr>
          <w:p>
            <w:pPr>
              <w:widowControl/>
              <w:jc w:val="center"/>
              <w:rPr>
                <w:rFonts w:cs="仿宋_GB2312"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培训费</w:t>
            </w:r>
          </w:p>
        </w:tc>
        <w:tc>
          <w:tcPr>
            <w:tcW w:w="3524" w:type="dxa"/>
            <w:vAlign w:val="center"/>
          </w:tcPr>
          <w:p>
            <w:pPr>
              <w:widowControl/>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w:t>
            </w:r>
          </w:p>
        </w:tc>
        <w:tc>
          <w:tcPr>
            <w:tcW w:w="1559" w:type="dxa"/>
            <w:vAlign w:val="center"/>
          </w:tcPr>
          <w:p>
            <w:pPr>
              <w:widowControl/>
              <w:jc w:val="center"/>
              <w:rPr>
                <w:rFonts w:cs="仿宋_GB2312"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专用材料</w:t>
            </w:r>
            <w:r>
              <w:rPr>
                <w:rFonts w:cs="仿宋_GB2312" w:asciiTheme="minorEastAsia" w:hAnsiTheme="minorEastAsia" w:eastAsiaTheme="minorEastAsia"/>
                <w:sz w:val="24"/>
                <w:szCs w:val="24"/>
              </w:rPr>
              <w:t>费</w:t>
            </w:r>
          </w:p>
        </w:tc>
        <w:tc>
          <w:tcPr>
            <w:tcW w:w="3524" w:type="dxa"/>
            <w:vAlign w:val="center"/>
          </w:tcPr>
          <w:p>
            <w:pPr>
              <w:widowControl/>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30</w:t>
            </w:r>
          </w:p>
        </w:tc>
        <w:tc>
          <w:tcPr>
            <w:tcW w:w="1559" w:type="dxa"/>
            <w:vAlign w:val="center"/>
          </w:tcPr>
          <w:p>
            <w:pPr>
              <w:widowControl/>
              <w:jc w:val="center"/>
              <w:rPr>
                <w:rFonts w:cs="仿宋_GB2312"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其他商品</w:t>
            </w:r>
            <w:r>
              <w:rPr>
                <w:rFonts w:cs="仿宋_GB2312" w:asciiTheme="minorEastAsia" w:hAnsiTheme="minorEastAsia" w:eastAsiaTheme="minorEastAsia"/>
                <w:sz w:val="24"/>
                <w:szCs w:val="24"/>
              </w:rPr>
              <w:t>与服务</w:t>
            </w:r>
          </w:p>
        </w:tc>
        <w:tc>
          <w:tcPr>
            <w:tcW w:w="3524" w:type="dxa"/>
            <w:vAlign w:val="center"/>
          </w:tcPr>
          <w:p>
            <w:pPr>
              <w:widowControl/>
              <w:jc w:val="center"/>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20</w:t>
            </w:r>
          </w:p>
        </w:tc>
        <w:tc>
          <w:tcPr>
            <w:tcW w:w="1559" w:type="dxa"/>
            <w:vAlign w:val="center"/>
          </w:tcPr>
          <w:p>
            <w:pPr>
              <w:widowControl/>
              <w:jc w:val="center"/>
              <w:rPr>
                <w:rFonts w:cs="仿宋_GB2312"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0" w:type="dxa"/>
            <w:vAlign w:val="center"/>
          </w:tcPr>
          <w:p>
            <w:pPr>
              <w:widowControl/>
              <w:ind w:firstLine="988" w:firstLineChars="412"/>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合</w:t>
            </w:r>
            <w:r>
              <w:rPr>
                <w:rFonts w:cs="仿宋_GB2312" w:asciiTheme="minorEastAsia" w:hAnsiTheme="minorEastAsia" w:eastAsiaTheme="minorEastAsia"/>
                <w:sz w:val="24"/>
                <w:szCs w:val="24"/>
              </w:rPr>
              <w:t xml:space="preserve"> </w:t>
            </w:r>
            <w:r>
              <w:rPr>
                <w:rFonts w:hint="eastAsia" w:cs="仿宋_GB2312" w:asciiTheme="minorEastAsia" w:hAnsiTheme="minorEastAsia" w:eastAsiaTheme="minorEastAsia"/>
                <w:sz w:val="24"/>
                <w:szCs w:val="24"/>
              </w:rPr>
              <w:t>计</w:t>
            </w:r>
          </w:p>
        </w:tc>
        <w:tc>
          <w:tcPr>
            <w:tcW w:w="3524" w:type="dxa"/>
            <w:vAlign w:val="center"/>
          </w:tcPr>
          <w:p>
            <w:pPr>
              <w:widowControl/>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100</w:t>
            </w:r>
          </w:p>
        </w:tc>
        <w:tc>
          <w:tcPr>
            <w:tcW w:w="1559" w:type="dxa"/>
            <w:vAlign w:val="center"/>
          </w:tcPr>
          <w:p>
            <w:pPr>
              <w:widowControl/>
              <w:jc w:val="center"/>
              <w:rPr>
                <w:rFonts w:cs="仿宋_GB2312" w:asciiTheme="minorEastAsia" w:hAnsiTheme="minorEastAsia" w:eastAsiaTheme="minorEastAsia"/>
                <w:sz w:val="24"/>
                <w:szCs w:val="24"/>
              </w:rPr>
            </w:pPr>
          </w:p>
        </w:tc>
      </w:tr>
    </w:tbl>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十六、比赛组织与管理</w:t>
      </w:r>
    </w:p>
    <w:p>
      <w:pPr>
        <w:adjustRightInd w:val="0"/>
        <w:snapToGrid w:val="0"/>
        <w:spacing w:line="560" w:lineRule="exact"/>
        <w:ind w:firstLine="600" w:firstLineChars="200"/>
        <w:rPr>
          <w:rFonts w:ascii="仿宋_GB2312" w:eastAsia="仿宋_GB2312" w:cs="Times New Roman"/>
          <w:sz w:val="30"/>
          <w:szCs w:val="30"/>
        </w:rPr>
      </w:pPr>
      <w:r>
        <w:rPr>
          <w:rFonts w:hint="eastAsia" w:ascii="仿宋_GB2312" w:eastAsia="仿宋_GB2312" w:cs="仿宋_GB2312"/>
          <w:sz w:val="30"/>
          <w:szCs w:val="30"/>
        </w:rPr>
        <w:t>成立赛项执委会和专家组，并在大赛组委会和执委会指导下开展工作，严格执行全国职业院校技能大赛执行委员会制定的各项规章制度。赛项执委会领导赛项专家组工作，负责各项筹备和组织工作（包含赛项预算决算编制，赛事运行，本赛项有关的展示和体验环节的组织，比赛成果转化为教学资源等）；专家组负责竞赛方案设计、技术文件撰写、竞赛题库建立、赛场设计、赛事宣传方案设计、设备与工具的拟定和准备、赛事咨询等各项比赛有关工作，负责本赛项有关的展示、体验环节的设计等有关工作。赛项承办学校协助专家组工作，落实比赛场地条件、基本设施；负责比赛的接待、交通、组织、安全等工作；提供赛务工作人员及志愿者；负责比赛外场宣传、体验区、展示区布置及校方工作人员、志愿者费用等。合作企业按约定参与大赛。执委会在分工范围内，按照赛项筹备工作原则和工作时间表，由执委会主任负责独立开展本赛项筹备工作。执委会与承办校在工作期间应及时沟通、相互配合，确保赛项比赛、展示、体验、教学资源转化等环节的设计与筹备工作按时完成。</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十七、教学资源转化建设方案</w:t>
      </w:r>
    </w:p>
    <w:p>
      <w:pPr>
        <w:snapToGrid w:val="0"/>
        <w:spacing w:line="560" w:lineRule="exact"/>
        <w:ind w:firstLine="600" w:firstLineChars="200"/>
        <w:rPr>
          <w:rFonts w:ascii="宋体" w:hAnsi="宋体" w:cs="宋体"/>
          <w:b/>
          <w:bCs/>
          <w:sz w:val="24"/>
          <w:szCs w:val="24"/>
        </w:rPr>
      </w:pPr>
      <w:r>
        <w:rPr>
          <w:rFonts w:hint="eastAsia" w:ascii="Arial Narrow" w:hAnsi="Arial Narrow" w:eastAsia="仿宋_GB2312" w:cs="Arial"/>
          <w:sz w:val="30"/>
          <w:szCs w:val="30"/>
        </w:rPr>
        <w:t>按照《全国职业院校技能大赛赛项资源转化工作办法》的有关要求，制定赛项赛后教学资源转化方案。</w:t>
      </w:r>
    </w:p>
    <w:p>
      <w:pPr>
        <w:adjustRightInd w:val="0"/>
        <w:snapToGrid w:val="0"/>
        <w:spacing w:before="156" w:beforeLines="50" w:line="360" w:lineRule="auto"/>
        <w:jc w:val="center"/>
        <w:rPr>
          <w:rFonts w:asciiTheme="minorEastAsia" w:hAnsiTheme="minorEastAsia" w:eastAsiaTheme="minorEastAsia"/>
          <w:b/>
          <w:bCs/>
          <w:color w:val="000000"/>
          <w:sz w:val="24"/>
          <w:szCs w:val="24"/>
        </w:rPr>
      </w:pPr>
      <w:r>
        <w:rPr>
          <w:rFonts w:hint="eastAsia" w:asciiTheme="minorEastAsia" w:hAnsiTheme="minorEastAsia" w:eastAsiaTheme="minorEastAsia"/>
          <w:b/>
          <w:bCs/>
          <w:color w:val="000000"/>
          <w:sz w:val="24"/>
          <w:szCs w:val="24"/>
        </w:rPr>
        <w:t>表</w:t>
      </w:r>
      <w:r>
        <w:rPr>
          <w:rFonts w:asciiTheme="minorEastAsia" w:hAnsiTheme="minorEastAsia" w:eastAsiaTheme="minorEastAsia"/>
          <w:b/>
          <w:bCs/>
          <w:color w:val="000000"/>
          <w:sz w:val="24"/>
          <w:szCs w:val="24"/>
        </w:rPr>
        <w:t>1</w:t>
      </w:r>
      <w:r>
        <w:rPr>
          <w:rFonts w:hint="eastAsia" w:asciiTheme="minorEastAsia" w:hAnsiTheme="minorEastAsia" w:eastAsiaTheme="minorEastAsia"/>
          <w:b/>
          <w:bCs/>
          <w:color w:val="000000"/>
          <w:sz w:val="24"/>
          <w:szCs w:val="24"/>
        </w:rPr>
        <w:t>3  中药传统技能大赛教学资源转化方案</w:t>
      </w:r>
    </w:p>
    <w:tbl>
      <w:tblPr>
        <w:tblStyle w:val="24"/>
        <w:tblW w:w="85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567"/>
        <w:gridCol w:w="1985"/>
        <w:gridCol w:w="1674"/>
        <w:gridCol w:w="1019"/>
        <w:gridCol w:w="1418"/>
        <w:gridCol w:w="1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1" w:hRule="atLeast"/>
        </w:trPr>
        <w:tc>
          <w:tcPr>
            <w:tcW w:w="3124" w:type="dxa"/>
            <w:gridSpan w:val="3"/>
            <w:vAlign w:val="center"/>
          </w:tcPr>
          <w:p>
            <w:pPr>
              <w:autoSpaceDE w:val="0"/>
              <w:autoSpaceDN w:val="0"/>
              <w:adjustRightInd w:val="0"/>
              <w:snapToGrid w:val="0"/>
              <w:jc w:val="center"/>
              <w:rPr>
                <w:rFonts w:cs="宋体" w:asciiTheme="minorEastAsia" w:hAnsiTheme="minorEastAsia" w:eastAsiaTheme="minorEastAsia"/>
                <w:b/>
                <w:sz w:val="24"/>
                <w:szCs w:val="24"/>
                <w:lang w:val="zh-CN" w:eastAsia="zh-CN" w:bidi="zh-CN"/>
              </w:rPr>
            </w:pPr>
            <w:r>
              <w:rPr>
                <w:rFonts w:cs="宋体" w:asciiTheme="minorEastAsia" w:hAnsiTheme="minorEastAsia" w:eastAsiaTheme="minorEastAsia"/>
                <w:b/>
                <w:sz w:val="24"/>
                <w:szCs w:val="24"/>
                <w:lang w:val="zh-CN" w:eastAsia="en-US" w:bidi="zh-CN"/>
              </w:rPr>
              <w:t>资源</w:t>
            </w:r>
            <w:r>
              <w:rPr>
                <w:rFonts w:hint="eastAsia" w:cs="宋体" w:asciiTheme="minorEastAsia" w:hAnsiTheme="minorEastAsia" w:eastAsiaTheme="minorEastAsia"/>
                <w:b/>
                <w:sz w:val="24"/>
                <w:szCs w:val="24"/>
                <w:lang w:val="zh-CN" w:eastAsia="en-US" w:bidi="zh-CN"/>
              </w:rPr>
              <w:t>名称</w:t>
            </w:r>
          </w:p>
        </w:tc>
        <w:tc>
          <w:tcPr>
            <w:tcW w:w="1674" w:type="dxa"/>
            <w:vAlign w:val="center"/>
          </w:tcPr>
          <w:p>
            <w:pPr>
              <w:autoSpaceDE w:val="0"/>
              <w:autoSpaceDN w:val="0"/>
              <w:adjustRightInd w:val="0"/>
              <w:snapToGrid w:val="0"/>
              <w:jc w:val="center"/>
              <w:rPr>
                <w:rFonts w:cs="宋体" w:asciiTheme="minorEastAsia" w:hAnsiTheme="minorEastAsia" w:eastAsiaTheme="minorEastAsia"/>
                <w:b/>
                <w:sz w:val="24"/>
                <w:szCs w:val="24"/>
                <w:lang w:val="zh-CN" w:eastAsia="en-US" w:bidi="zh-CN"/>
              </w:rPr>
            </w:pPr>
            <w:r>
              <w:rPr>
                <w:rFonts w:cs="宋体" w:asciiTheme="minorEastAsia" w:hAnsiTheme="minorEastAsia" w:eastAsiaTheme="minorEastAsia"/>
                <w:b/>
                <w:sz w:val="24"/>
                <w:szCs w:val="24"/>
                <w:lang w:val="zh-CN" w:eastAsia="en-US" w:bidi="zh-CN"/>
              </w:rPr>
              <w:t>表现形式</w:t>
            </w:r>
          </w:p>
        </w:tc>
        <w:tc>
          <w:tcPr>
            <w:tcW w:w="1019" w:type="dxa"/>
            <w:vAlign w:val="center"/>
          </w:tcPr>
          <w:p>
            <w:pPr>
              <w:autoSpaceDE w:val="0"/>
              <w:autoSpaceDN w:val="0"/>
              <w:adjustRightInd w:val="0"/>
              <w:snapToGrid w:val="0"/>
              <w:jc w:val="center"/>
              <w:rPr>
                <w:rFonts w:cs="宋体" w:asciiTheme="minorEastAsia" w:hAnsiTheme="minorEastAsia" w:eastAsiaTheme="minorEastAsia"/>
                <w:b/>
                <w:sz w:val="24"/>
                <w:szCs w:val="24"/>
                <w:lang w:val="zh-CN" w:eastAsia="en-US" w:bidi="zh-CN"/>
              </w:rPr>
            </w:pPr>
            <w:r>
              <w:rPr>
                <w:rFonts w:cs="宋体" w:asciiTheme="minorEastAsia" w:hAnsiTheme="minorEastAsia" w:eastAsiaTheme="minorEastAsia"/>
                <w:b/>
                <w:sz w:val="24"/>
                <w:szCs w:val="24"/>
                <w:lang w:val="zh-CN" w:eastAsia="en-US" w:bidi="zh-CN"/>
              </w:rPr>
              <w:t>资源数量</w:t>
            </w:r>
          </w:p>
        </w:tc>
        <w:tc>
          <w:tcPr>
            <w:tcW w:w="1418" w:type="dxa"/>
            <w:vAlign w:val="center"/>
          </w:tcPr>
          <w:p>
            <w:pPr>
              <w:autoSpaceDE w:val="0"/>
              <w:autoSpaceDN w:val="0"/>
              <w:adjustRightInd w:val="0"/>
              <w:snapToGrid w:val="0"/>
              <w:jc w:val="center"/>
              <w:rPr>
                <w:rFonts w:cs="宋体" w:asciiTheme="minorEastAsia" w:hAnsiTheme="minorEastAsia" w:eastAsiaTheme="minorEastAsia"/>
                <w:b/>
                <w:sz w:val="24"/>
                <w:szCs w:val="24"/>
                <w:lang w:val="zh-CN" w:eastAsia="en-US" w:bidi="zh-CN"/>
              </w:rPr>
            </w:pPr>
            <w:r>
              <w:rPr>
                <w:rFonts w:cs="宋体" w:asciiTheme="minorEastAsia" w:hAnsiTheme="minorEastAsia" w:eastAsiaTheme="minorEastAsia"/>
                <w:b/>
                <w:sz w:val="24"/>
                <w:szCs w:val="24"/>
                <w:lang w:val="zh-CN" w:eastAsia="en-US" w:bidi="zh-CN"/>
              </w:rPr>
              <w:t>资源要求</w:t>
            </w:r>
          </w:p>
        </w:tc>
        <w:tc>
          <w:tcPr>
            <w:tcW w:w="1349" w:type="dxa"/>
            <w:vAlign w:val="center"/>
          </w:tcPr>
          <w:p>
            <w:pPr>
              <w:autoSpaceDE w:val="0"/>
              <w:autoSpaceDN w:val="0"/>
              <w:adjustRightInd w:val="0"/>
              <w:snapToGrid w:val="0"/>
              <w:jc w:val="center"/>
              <w:rPr>
                <w:rFonts w:cs="宋体" w:asciiTheme="minorEastAsia" w:hAnsiTheme="minorEastAsia" w:eastAsiaTheme="minorEastAsia"/>
                <w:b/>
                <w:sz w:val="24"/>
                <w:szCs w:val="24"/>
                <w:lang w:val="zh-CN" w:eastAsia="en-US" w:bidi="zh-CN"/>
              </w:rPr>
            </w:pPr>
            <w:r>
              <w:rPr>
                <w:rFonts w:cs="宋体" w:asciiTheme="minorEastAsia" w:hAnsiTheme="minorEastAsia" w:eastAsiaTheme="minorEastAsia"/>
                <w:b/>
                <w:sz w:val="24"/>
                <w:szCs w:val="24"/>
                <w:lang w:val="zh-CN" w:eastAsia="en-US" w:bidi="zh-CN"/>
              </w:rPr>
              <w:t>完成时间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trPr>
        <w:tc>
          <w:tcPr>
            <w:tcW w:w="572" w:type="dxa"/>
            <w:vMerge w:val="restart"/>
            <w:vAlign w:val="center"/>
          </w:tcPr>
          <w:p>
            <w:pPr>
              <w:autoSpaceDE w:val="0"/>
              <w:autoSpaceDN w:val="0"/>
              <w:adjustRightInd w:val="0"/>
              <w:snapToGrid w:val="0"/>
              <w:jc w:val="center"/>
              <w:rPr>
                <w:rFonts w:asciiTheme="minorEastAsia" w:hAnsiTheme="minorEastAsia" w:eastAsiaTheme="minorEastAsia"/>
                <w:b/>
                <w:bCs/>
                <w:sz w:val="24"/>
                <w:szCs w:val="24"/>
                <w:lang w:eastAsia="zh-CN"/>
              </w:rPr>
            </w:pPr>
            <w:r>
              <w:rPr>
                <w:rFonts w:asciiTheme="minorEastAsia" w:hAnsiTheme="minorEastAsia" w:eastAsiaTheme="minorEastAsia"/>
                <w:b/>
                <w:bCs/>
                <w:sz w:val="24"/>
                <w:szCs w:val="24"/>
                <w:lang w:eastAsia="zh-CN"/>
              </w:rPr>
              <w:t>基本资源</w:t>
            </w:r>
          </w:p>
        </w:tc>
        <w:tc>
          <w:tcPr>
            <w:tcW w:w="567" w:type="dxa"/>
            <w:vMerge w:val="restart"/>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asciiTheme="minorEastAsia" w:hAnsiTheme="minorEastAsia" w:eastAsiaTheme="minorEastAsia"/>
                <w:bCs/>
                <w:sz w:val="24"/>
                <w:szCs w:val="24"/>
                <w:lang w:eastAsia="en-US"/>
              </w:rPr>
              <w:t>风采展示</w:t>
            </w:r>
          </w:p>
        </w:tc>
        <w:tc>
          <w:tcPr>
            <w:tcW w:w="1985" w:type="dxa"/>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赛项宣传片</w:t>
            </w:r>
          </w:p>
        </w:tc>
        <w:tc>
          <w:tcPr>
            <w:tcW w:w="1674" w:type="dxa"/>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视频</w:t>
            </w:r>
          </w:p>
        </w:tc>
        <w:tc>
          <w:tcPr>
            <w:tcW w:w="101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1</w:t>
            </w:r>
          </w:p>
        </w:tc>
        <w:tc>
          <w:tcPr>
            <w:tcW w:w="1418" w:type="dxa"/>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15分钟以上</w:t>
            </w:r>
          </w:p>
        </w:tc>
        <w:tc>
          <w:tcPr>
            <w:tcW w:w="1349" w:type="dxa"/>
            <w:vAlign w:val="center"/>
          </w:tcPr>
          <w:p>
            <w:pPr>
              <w:autoSpaceDE/>
              <w:autoSpaceDN/>
              <w:adjustRightInd w:val="0"/>
              <w:snapToGrid w:val="0"/>
              <w:jc w:val="left"/>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赛后即时</w:t>
            </w:r>
            <w:r>
              <w:rPr>
                <w:rFonts w:asciiTheme="minorEastAsia" w:hAnsiTheme="minorEastAsia" w:eastAsiaTheme="minorEastAsia"/>
                <w:bCs/>
                <w:sz w:val="24"/>
                <w:szCs w:val="24"/>
                <w:lang w:eastAsia="zh-CN"/>
              </w:rPr>
              <w:t>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572" w:type="dxa"/>
            <w:vMerge w:val="continue"/>
            <w:tcBorders>
              <w:top w:val="nil"/>
            </w:tcBorders>
            <w:vAlign w:val="center"/>
          </w:tcPr>
          <w:p>
            <w:pPr>
              <w:autoSpaceDE w:val="0"/>
              <w:autoSpaceDN w:val="0"/>
              <w:adjustRightInd w:val="0"/>
              <w:snapToGrid w:val="0"/>
              <w:jc w:val="left"/>
              <w:rPr>
                <w:rFonts w:cs="宋体" w:asciiTheme="minorEastAsia" w:hAnsiTheme="minorEastAsia" w:eastAsiaTheme="minorEastAsia"/>
                <w:b/>
                <w:sz w:val="24"/>
                <w:szCs w:val="24"/>
                <w:lang w:val="zh-CN" w:eastAsia="en-US" w:bidi="zh-CN"/>
              </w:rPr>
            </w:pPr>
          </w:p>
        </w:tc>
        <w:tc>
          <w:tcPr>
            <w:tcW w:w="567" w:type="dxa"/>
            <w:vMerge w:val="continue"/>
            <w:tcBorders>
              <w:top w:val="nil"/>
            </w:tcBorders>
            <w:vAlign w:val="center"/>
          </w:tcPr>
          <w:p>
            <w:pPr>
              <w:autoSpaceDE/>
              <w:autoSpaceDN/>
              <w:adjustRightInd w:val="0"/>
              <w:snapToGrid w:val="0"/>
              <w:jc w:val="center"/>
              <w:rPr>
                <w:rFonts w:asciiTheme="minorEastAsia" w:hAnsiTheme="minorEastAsia" w:eastAsiaTheme="minorEastAsia"/>
                <w:bCs/>
                <w:sz w:val="24"/>
                <w:szCs w:val="24"/>
                <w:lang w:eastAsia="en-US"/>
              </w:rPr>
            </w:pPr>
          </w:p>
        </w:tc>
        <w:tc>
          <w:tcPr>
            <w:tcW w:w="1985" w:type="dxa"/>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风采展示片</w:t>
            </w:r>
          </w:p>
        </w:tc>
        <w:tc>
          <w:tcPr>
            <w:tcW w:w="1674" w:type="dxa"/>
            <w:vAlign w:val="center"/>
          </w:tcPr>
          <w:p>
            <w:pPr>
              <w:autoSpaceDE/>
              <w:autoSpaceDN/>
              <w:adjustRightInd w:val="0"/>
              <w:snapToGrid w:val="0"/>
              <w:ind w:left="136" w:right="133"/>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视频</w:t>
            </w:r>
          </w:p>
        </w:tc>
        <w:tc>
          <w:tcPr>
            <w:tcW w:w="101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1</w:t>
            </w:r>
          </w:p>
        </w:tc>
        <w:tc>
          <w:tcPr>
            <w:tcW w:w="1418" w:type="dxa"/>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10分钟以上</w:t>
            </w:r>
          </w:p>
        </w:tc>
        <w:tc>
          <w:tcPr>
            <w:tcW w:w="1349" w:type="dxa"/>
            <w:vAlign w:val="center"/>
          </w:tcPr>
          <w:p>
            <w:pPr>
              <w:autoSpaceDE/>
              <w:autoSpaceDN/>
              <w:adjustRightInd w:val="0"/>
              <w:snapToGrid w:val="0"/>
              <w:jc w:val="left"/>
              <w:rPr>
                <w:rFonts w:asciiTheme="minorEastAsia" w:hAnsiTheme="minorEastAsia" w:eastAsiaTheme="minorEastAsia"/>
                <w:bCs/>
                <w:sz w:val="24"/>
                <w:szCs w:val="24"/>
                <w:lang w:eastAsia="en-US"/>
              </w:rPr>
            </w:pPr>
            <w:r>
              <w:rPr>
                <w:rFonts w:hint="eastAsia" w:asciiTheme="minorEastAsia" w:hAnsiTheme="minorEastAsia" w:eastAsiaTheme="minorEastAsia"/>
                <w:bCs/>
                <w:sz w:val="24"/>
                <w:szCs w:val="24"/>
                <w:lang w:eastAsia="zh-CN"/>
              </w:rPr>
              <w:t>赛后即时</w:t>
            </w:r>
            <w:r>
              <w:rPr>
                <w:rFonts w:asciiTheme="minorEastAsia" w:hAnsiTheme="minorEastAsia" w:eastAsiaTheme="minorEastAsia"/>
                <w:bCs/>
                <w:sz w:val="24"/>
                <w:szCs w:val="24"/>
                <w:lang w:eastAsia="zh-CN"/>
              </w:rPr>
              <w:t>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4" w:hRule="atLeast"/>
        </w:trPr>
        <w:tc>
          <w:tcPr>
            <w:tcW w:w="572" w:type="dxa"/>
            <w:vMerge w:val="continue"/>
            <w:tcBorders>
              <w:top w:val="nil"/>
            </w:tcBorders>
            <w:vAlign w:val="center"/>
          </w:tcPr>
          <w:p>
            <w:pPr>
              <w:autoSpaceDE w:val="0"/>
              <w:autoSpaceDN w:val="0"/>
              <w:adjustRightInd w:val="0"/>
              <w:snapToGrid w:val="0"/>
              <w:jc w:val="left"/>
              <w:rPr>
                <w:rFonts w:cs="宋体" w:asciiTheme="minorEastAsia" w:hAnsiTheme="minorEastAsia" w:eastAsiaTheme="minorEastAsia"/>
                <w:b/>
                <w:sz w:val="24"/>
                <w:szCs w:val="24"/>
                <w:lang w:val="zh-CN" w:eastAsia="en-US" w:bidi="zh-CN"/>
              </w:rPr>
            </w:pPr>
          </w:p>
        </w:tc>
        <w:tc>
          <w:tcPr>
            <w:tcW w:w="567" w:type="dxa"/>
            <w:vMerge w:val="restart"/>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技能概要</w:t>
            </w:r>
          </w:p>
        </w:tc>
        <w:tc>
          <w:tcPr>
            <w:tcW w:w="1985" w:type="dxa"/>
            <w:tcBorders>
              <w:bottom w:val="single" w:color="auto" w:sz="4" w:space="0"/>
            </w:tcBorders>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技能介绍</w:t>
            </w:r>
          </w:p>
        </w:tc>
        <w:tc>
          <w:tcPr>
            <w:tcW w:w="1674" w:type="dxa"/>
            <w:vMerge w:val="restart"/>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en-US"/>
              </w:rPr>
              <w:t>文</w:t>
            </w:r>
            <w:r>
              <w:rPr>
                <w:rFonts w:hint="eastAsia" w:asciiTheme="minorEastAsia" w:hAnsiTheme="minorEastAsia" w:eastAsiaTheme="minorEastAsia"/>
                <w:bCs/>
                <w:sz w:val="24"/>
                <w:szCs w:val="24"/>
                <w:lang w:eastAsia="zh-CN"/>
              </w:rPr>
              <w:t>本/视频</w:t>
            </w:r>
          </w:p>
        </w:tc>
        <w:tc>
          <w:tcPr>
            <w:tcW w:w="1019" w:type="dxa"/>
            <w:vMerge w:val="restart"/>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en-US"/>
              </w:rPr>
              <w:t>≥20</w:t>
            </w:r>
          </w:p>
        </w:tc>
        <w:tc>
          <w:tcPr>
            <w:tcW w:w="1418" w:type="dxa"/>
            <w:vMerge w:val="restart"/>
            <w:vAlign w:val="center"/>
          </w:tcPr>
          <w:p>
            <w:pPr>
              <w:autoSpaceDE/>
              <w:autoSpaceDN/>
              <w:adjustRightInd w:val="0"/>
              <w:snapToGrid w:val="0"/>
              <w:jc w:val="left"/>
              <w:rPr>
                <w:rFonts w:asciiTheme="minorEastAsia" w:hAnsiTheme="minorEastAsia" w:eastAsiaTheme="minorEastAsia"/>
                <w:bCs/>
                <w:sz w:val="24"/>
                <w:szCs w:val="24"/>
                <w:lang w:eastAsia="zh-CN"/>
              </w:rPr>
            </w:pPr>
          </w:p>
        </w:tc>
        <w:tc>
          <w:tcPr>
            <w:tcW w:w="1349" w:type="dxa"/>
            <w:vMerge w:val="restart"/>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2019.</w:t>
            </w:r>
            <w:r>
              <w:rPr>
                <w:rFonts w:asciiTheme="minorEastAsia" w:hAnsiTheme="minorEastAsia" w:eastAsiaTheme="minorEastAsia"/>
                <w:bCs/>
                <w:sz w:val="24"/>
                <w:szCs w:val="24"/>
                <w:lang w:eastAsia="zh-CN"/>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72" w:type="dxa"/>
            <w:vMerge w:val="continue"/>
            <w:tcBorders>
              <w:top w:val="nil"/>
            </w:tcBorders>
            <w:vAlign w:val="center"/>
          </w:tcPr>
          <w:p>
            <w:pPr>
              <w:autoSpaceDE w:val="0"/>
              <w:autoSpaceDN w:val="0"/>
              <w:adjustRightInd w:val="0"/>
              <w:snapToGrid w:val="0"/>
              <w:jc w:val="left"/>
              <w:rPr>
                <w:rFonts w:cs="宋体" w:asciiTheme="minorEastAsia" w:hAnsiTheme="minorEastAsia" w:eastAsiaTheme="minorEastAsia"/>
                <w:b/>
                <w:sz w:val="24"/>
                <w:szCs w:val="24"/>
                <w:lang w:val="zh-CN" w:eastAsia="en-US" w:bidi="zh-CN"/>
              </w:rPr>
            </w:pPr>
          </w:p>
        </w:tc>
        <w:tc>
          <w:tcPr>
            <w:tcW w:w="567" w:type="dxa"/>
            <w:vMerge w:val="continue"/>
            <w:vAlign w:val="center"/>
          </w:tcPr>
          <w:p>
            <w:pPr>
              <w:autoSpaceDE/>
              <w:autoSpaceDN/>
              <w:adjustRightInd w:val="0"/>
              <w:snapToGrid w:val="0"/>
              <w:jc w:val="center"/>
              <w:rPr>
                <w:rFonts w:asciiTheme="minorEastAsia" w:hAnsiTheme="minorEastAsia" w:eastAsiaTheme="minorEastAsia"/>
                <w:bCs/>
                <w:sz w:val="24"/>
                <w:szCs w:val="24"/>
                <w:lang w:eastAsia="en-US"/>
              </w:rPr>
            </w:pPr>
          </w:p>
        </w:tc>
        <w:tc>
          <w:tcPr>
            <w:tcW w:w="1985" w:type="dxa"/>
            <w:tcBorders>
              <w:top w:val="single" w:color="auto" w:sz="4" w:space="0"/>
              <w:bottom w:val="single" w:color="auto" w:sz="4" w:space="0"/>
            </w:tcBorders>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技能要点</w:t>
            </w:r>
          </w:p>
        </w:tc>
        <w:tc>
          <w:tcPr>
            <w:tcW w:w="1674" w:type="dxa"/>
            <w:vMerge w:val="continue"/>
            <w:tcBorders>
              <w:bottom w:val="single" w:color="auto" w:sz="4" w:space="0"/>
            </w:tcBorders>
            <w:vAlign w:val="center"/>
          </w:tcPr>
          <w:p>
            <w:pPr>
              <w:autoSpaceDE w:val="0"/>
              <w:autoSpaceDN w:val="0"/>
              <w:adjustRightInd w:val="0"/>
              <w:snapToGrid w:val="0"/>
              <w:jc w:val="center"/>
              <w:rPr>
                <w:rFonts w:asciiTheme="minorEastAsia" w:hAnsiTheme="minorEastAsia" w:eastAsiaTheme="minorEastAsia"/>
                <w:bCs/>
                <w:sz w:val="24"/>
                <w:szCs w:val="24"/>
                <w:lang w:eastAsia="zh-CN"/>
              </w:rPr>
            </w:pPr>
          </w:p>
        </w:tc>
        <w:tc>
          <w:tcPr>
            <w:tcW w:w="1019" w:type="dxa"/>
            <w:vMerge w:val="continue"/>
            <w:tcBorders>
              <w:bottom w:val="single" w:color="auto" w:sz="4" w:space="0"/>
            </w:tcBorders>
            <w:vAlign w:val="center"/>
          </w:tcPr>
          <w:p>
            <w:pPr>
              <w:autoSpaceDE w:val="0"/>
              <w:autoSpaceDN w:val="0"/>
              <w:adjustRightInd w:val="0"/>
              <w:snapToGrid w:val="0"/>
              <w:jc w:val="center"/>
              <w:rPr>
                <w:rFonts w:asciiTheme="minorEastAsia" w:hAnsiTheme="minorEastAsia" w:eastAsiaTheme="minorEastAsia"/>
                <w:bCs/>
                <w:sz w:val="24"/>
                <w:szCs w:val="24"/>
                <w:lang w:eastAsia="zh-CN"/>
              </w:rPr>
            </w:pPr>
          </w:p>
        </w:tc>
        <w:tc>
          <w:tcPr>
            <w:tcW w:w="1418" w:type="dxa"/>
            <w:vMerge w:val="continue"/>
            <w:tcBorders>
              <w:bottom w:val="single" w:color="auto" w:sz="4" w:space="0"/>
            </w:tcBorders>
            <w:vAlign w:val="center"/>
          </w:tcPr>
          <w:p>
            <w:pPr>
              <w:autoSpaceDE w:val="0"/>
              <w:autoSpaceDN w:val="0"/>
              <w:adjustRightInd w:val="0"/>
              <w:snapToGrid w:val="0"/>
              <w:jc w:val="left"/>
              <w:rPr>
                <w:rFonts w:asciiTheme="minorEastAsia" w:hAnsiTheme="minorEastAsia" w:eastAsiaTheme="minorEastAsia"/>
                <w:bCs/>
                <w:sz w:val="24"/>
                <w:szCs w:val="24"/>
                <w:lang w:eastAsia="en-US"/>
              </w:rPr>
            </w:pPr>
          </w:p>
        </w:tc>
        <w:tc>
          <w:tcPr>
            <w:tcW w:w="1349" w:type="dxa"/>
            <w:vMerge w:val="continue"/>
            <w:tcBorders>
              <w:bottom w:val="single" w:color="auto" w:sz="4" w:space="0"/>
            </w:tcBorders>
            <w:vAlign w:val="center"/>
          </w:tcPr>
          <w:p>
            <w:pPr>
              <w:autoSpaceDE w:val="0"/>
              <w:autoSpaceDN w:val="0"/>
              <w:adjustRightInd w:val="0"/>
              <w:snapToGrid w:val="0"/>
              <w:jc w:val="center"/>
              <w:rPr>
                <w:rFonts w:asciiTheme="minorEastAsia" w:hAnsiTheme="minorEastAsia" w:eastAsiaTheme="minorEastAsia"/>
                <w:bCs/>
                <w:sz w:val="24"/>
                <w:szCs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72" w:type="dxa"/>
            <w:vMerge w:val="continue"/>
            <w:tcBorders>
              <w:top w:val="nil"/>
            </w:tcBorders>
            <w:vAlign w:val="center"/>
          </w:tcPr>
          <w:p>
            <w:pPr>
              <w:autoSpaceDE w:val="0"/>
              <w:autoSpaceDN w:val="0"/>
              <w:adjustRightInd w:val="0"/>
              <w:snapToGrid w:val="0"/>
              <w:jc w:val="left"/>
              <w:rPr>
                <w:rFonts w:cs="宋体" w:asciiTheme="minorEastAsia" w:hAnsiTheme="minorEastAsia" w:eastAsiaTheme="minorEastAsia"/>
                <w:b/>
                <w:sz w:val="24"/>
                <w:szCs w:val="24"/>
                <w:lang w:val="zh-CN" w:eastAsia="en-US" w:bidi="zh-CN"/>
              </w:rPr>
            </w:pPr>
          </w:p>
        </w:tc>
        <w:tc>
          <w:tcPr>
            <w:tcW w:w="567" w:type="dxa"/>
            <w:vMerge w:val="continue"/>
            <w:vAlign w:val="center"/>
          </w:tcPr>
          <w:p>
            <w:pPr>
              <w:autoSpaceDE/>
              <w:autoSpaceDN/>
              <w:adjustRightInd w:val="0"/>
              <w:snapToGrid w:val="0"/>
              <w:jc w:val="center"/>
              <w:rPr>
                <w:rFonts w:asciiTheme="minorEastAsia" w:hAnsiTheme="minorEastAsia" w:eastAsiaTheme="minorEastAsia"/>
                <w:bCs/>
                <w:sz w:val="24"/>
                <w:szCs w:val="24"/>
                <w:lang w:eastAsia="en-US"/>
              </w:rPr>
            </w:pPr>
          </w:p>
        </w:tc>
        <w:tc>
          <w:tcPr>
            <w:tcW w:w="1985" w:type="dxa"/>
            <w:tcBorders>
              <w:top w:val="single" w:color="auto" w:sz="4" w:space="0"/>
            </w:tcBorders>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评价指标</w:t>
            </w:r>
          </w:p>
        </w:tc>
        <w:tc>
          <w:tcPr>
            <w:tcW w:w="1674" w:type="dxa"/>
            <w:tcBorders>
              <w:top w:val="single" w:color="auto" w:sz="4" w:space="0"/>
            </w:tcBorders>
            <w:vAlign w:val="center"/>
          </w:tcPr>
          <w:p>
            <w:pPr>
              <w:autoSpaceDE w:val="0"/>
              <w:autoSpaceDN w:val="0"/>
              <w:adjustRightInd w:val="0"/>
              <w:snapToGrid w:val="0"/>
              <w:jc w:val="center"/>
              <w:rPr>
                <w:rFonts w:asciiTheme="minorEastAsia" w:hAnsiTheme="minorEastAsia" w:eastAsiaTheme="minorEastAsia"/>
                <w:bCs/>
                <w:sz w:val="24"/>
                <w:szCs w:val="24"/>
                <w:lang w:eastAsia="en-US"/>
              </w:rPr>
            </w:pPr>
            <w:r>
              <w:rPr>
                <w:rFonts w:hint="eastAsia" w:asciiTheme="minorEastAsia" w:hAnsiTheme="minorEastAsia" w:eastAsiaTheme="minorEastAsia"/>
                <w:bCs/>
                <w:sz w:val="24"/>
                <w:szCs w:val="24"/>
                <w:lang w:eastAsia="en-US"/>
              </w:rPr>
              <w:t>文</w:t>
            </w:r>
            <w:r>
              <w:rPr>
                <w:rFonts w:hint="eastAsia" w:asciiTheme="minorEastAsia" w:hAnsiTheme="minorEastAsia" w:eastAsiaTheme="minorEastAsia"/>
                <w:bCs/>
                <w:sz w:val="24"/>
                <w:szCs w:val="24"/>
                <w:lang w:eastAsia="zh-CN"/>
              </w:rPr>
              <w:t>本文档</w:t>
            </w:r>
          </w:p>
        </w:tc>
        <w:tc>
          <w:tcPr>
            <w:tcW w:w="1019" w:type="dxa"/>
            <w:tcBorders>
              <w:top w:val="single" w:color="auto" w:sz="4" w:space="0"/>
            </w:tcBorders>
            <w:vAlign w:val="center"/>
          </w:tcPr>
          <w:p>
            <w:pPr>
              <w:autoSpaceDE w:val="0"/>
              <w:autoSpaceDN w:val="0"/>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4</w:t>
            </w:r>
          </w:p>
        </w:tc>
        <w:tc>
          <w:tcPr>
            <w:tcW w:w="1418" w:type="dxa"/>
            <w:tcBorders>
              <w:top w:val="single" w:color="auto" w:sz="4" w:space="0"/>
            </w:tcBorders>
            <w:vAlign w:val="center"/>
          </w:tcPr>
          <w:p>
            <w:pPr>
              <w:autoSpaceDE w:val="0"/>
              <w:autoSpaceDN w:val="0"/>
              <w:adjustRightInd w:val="0"/>
              <w:snapToGrid w:val="0"/>
              <w:jc w:val="left"/>
              <w:rPr>
                <w:rFonts w:asciiTheme="minorEastAsia" w:hAnsiTheme="minorEastAsia" w:eastAsiaTheme="minorEastAsia"/>
                <w:bCs/>
                <w:sz w:val="24"/>
                <w:szCs w:val="24"/>
                <w:lang w:eastAsia="en-US"/>
              </w:rPr>
            </w:pPr>
          </w:p>
        </w:tc>
        <w:tc>
          <w:tcPr>
            <w:tcW w:w="1349" w:type="dxa"/>
            <w:tcBorders>
              <w:top w:val="single" w:color="auto" w:sz="4" w:space="0"/>
            </w:tcBorders>
            <w:vAlign w:val="center"/>
          </w:tcPr>
          <w:p>
            <w:pPr>
              <w:autoSpaceDE w:val="0"/>
              <w:autoSpaceDN w:val="0"/>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2019.06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572" w:type="dxa"/>
            <w:vMerge w:val="continue"/>
            <w:tcBorders>
              <w:top w:val="nil"/>
            </w:tcBorders>
            <w:vAlign w:val="center"/>
          </w:tcPr>
          <w:p>
            <w:pPr>
              <w:autoSpaceDE w:val="0"/>
              <w:autoSpaceDN w:val="0"/>
              <w:adjustRightInd w:val="0"/>
              <w:snapToGrid w:val="0"/>
              <w:jc w:val="left"/>
              <w:rPr>
                <w:rFonts w:cs="宋体" w:asciiTheme="minorEastAsia" w:hAnsiTheme="minorEastAsia" w:eastAsiaTheme="minorEastAsia"/>
                <w:b/>
                <w:sz w:val="24"/>
                <w:szCs w:val="24"/>
                <w:lang w:val="zh-CN" w:eastAsia="en-US" w:bidi="zh-CN"/>
              </w:rPr>
            </w:pPr>
          </w:p>
        </w:tc>
        <w:tc>
          <w:tcPr>
            <w:tcW w:w="567" w:type="dxa"/>
            <w:tcBorders>
              <w:top w:val="single" w:color="auto" w:sz="4" w:space="0"/>
            </w:tcBorders>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教学资源</w:t>
            </w:r>
          </w:p>
        </w:tc>
        <w:tc>
          <w:tcPr>
            <w:tcW w:w="1985" w:type="dxa"/>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技能操作规程</w:t>
            </w:r>
          </w:p>
        </w:tc>
        <w:tc>
          <w:tcPr>
            <w:tcW w:w="1674"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文本文档</w:t>
            </w:r>
          </w:p>
        </w:tc>
        <w:tc>
          <w:tcPr>
            <w:tcW w:w="101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4</w:t>
            </w:r>
          </w:p>
        </w:tc>
        <w:tc>
          <w:tcPr>
            <w:tcW w:w="1418" w:type="dxa"/>
            <w:vAlign w:val="center"/>
          </w:tcPr>
          <w:p>
            <w:pPr>
              <w:autoSpaceDE/>
              <w:autoSpaceDN/>
              <w:adjustRightInd w:val="0"/>
              <w:snapToGrid w:val="0"/>
              <w:jc w:val="left"/>
              <w:rPr>
                <w:rFonts w:asciiTheme="minorEastAsia" w:hAnsiTheme="minorEastAsia" w:eastAsiaTheme="minorEastAsia"/>
                <w:bCs/>
                <w:sz w:val="24"/>
                <w:szCs w:val="24"/>
                <w:lang w:eastAsia="en-US"/>
              </w:rPr>
            </w:pPr>
          </w:p>
        </w:tc>
        <w:tc>
          <w:tcPr>
            <w:tcW w:w="134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2019.05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572" w:type="dxa"/>
            <w:vMerge w:val="restart"/>
            <w:tcBorders>
              <w:top w:val="single" w:color="auto" w:sz="4" w:space="0"/>
            </w:tcBorders>
            <w:vAlign w:val="center"/>
          </w:tcPr>
          <w:p>
            <w:pPr>
              <w:autoSpaceDE w:val="0"/>
              <w:autoSpaceDN w:val="0"/>
              <w:adjustRightInd w:val="0"/>
              <w:snapToGrid w:val="0"/>
              <w:jc w:val="center"/>
              <w:rPr>
                <w:rFonts w:cs="宋体" w:asciiTheme="minorEastAsia" w:hAnsiTheme="minorEastAsia" w:eastAsiaTheme="minorEastAsia"/>
                <w:sz w:val="24"/>
                <w:szCs w:val="24"/>
                <w:lang w:val="zh-CN" w:eastAsia="en-US" w:bidi="zh-CN"/>
              </w:rPr>
            </w:pPr>
            <w:r>
              <w:rPr>
                <w:rFonts w:asciiTheme="minorEastAsia" w:hAnsiTheme="minorEastAsia" w:eastAsiaTheme="minorEastAsia"/>
                <w:b/>
                <w:bCs/>
                <w:sz w:val="24"/>
                <w:szCs w:val="24"/>
                <w:lang w:eastAsia="zh-CN"/>
              </w:rPr>
              <w:t>拓展</w:t>
            </w:r>
            <w:r>
              <w:rPr>
                <w:rFonts w:hint="eastAsia" w:asciiTheme="minorEastAsia" w:hAnsiTheme="minorEastAsia" w:eastAsiaTheme="minorEastAsia"/>
                <w:b/>
                <w:bCs/>
                <w:sz w:val="24"/>
                <w:szCs w:val="24"/>
                <w:lang w:eastAsia="zh-CN"/>
              </w:rPr>
              <w:t>资</w:t>
            </w:r>
            <w:r>
              <w:rPr>
                <w:rFonts w:asciiTheme="minorEastAsia" w:hAnsiTheme="minorEastAsia" w:eastAsiaTheme="minorEastAsia"/>
                <w:b/>
                <w:bCs/>
                <w:sz w:val="24"/>
                <w:szCs w:val="24"/>
                <w:lang w:eastAsia="zh-CN"/>
              </w:rPr>
              <w:t>源</w:t>
            </w:r>
          </w:p>
        </w:tc>
        <w:tc>
          <w:tcPr>
            <w:tcW w:w="2552" w:type="dxa"/>
            <w:gridSpan w:val="2"/>
            <w:tcBorders>
              <w:top w:val="single" w:color="auto" w:sz="4" w:space="0"/>
            </w:tcBorders>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素材资源库</w:t>
            </w:r>
          </w:p>
        </w:tc>
        <w:tc>
          <w:tcPr>
            <w:tcW w:w="1674"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文本文档</w:t>
            </w:r>
          </w:p>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图形/图像</w:t>
            </w:r>
          </w:p>
        </w:tc>
        <w:tc>
          <w:tcPr>
            <w:tcW w:w="101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asciiTheme="minorEastAsia" w:hAnsiTheme="minorEastAsia" w:eastAsiaTheme="minorEastAsia"/>
                <w:bCs/>
                <w:sz w:val="24"/>
                <w:szCs w:val="24"/>
                <w:lang w:eastAsia="zh-CN"/>
              </w:rPr>
              <w:t>30</w:t>
            </w:r>
          </w:p>
        </w:tc>
        <w:tc>
          <w:tcPr>
            <w:tcW w:w="1418" w:type="dxa"/>
            <w:vAlign w:val="center"/>
          </w:tcPr>
          <w:p>
            <w:pPr>
              <w:autoSpaceDE/>
              <w:autoSpaceDN/>
              <w:adjustRightInd w:val="0"/>
              <w:snapToGrid w:val="0"/>
              <w:jc w:val="left"/>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en-US"/>
              </w:rPr>
              <w:t>中药粉末</w:t>
            </w:r>
            <w:r>
              <w:rPr>
                <w:rFonts w:hint="eastAsia" w:asciiTheme="minorEastAsia" w:hAnsiTheme="minorEastAsia" w:eastAsiaTheme="minorEastAsia"/>
                <w:bCs/>
                <w:sz w:val="24"/>
                <w:szCs w:val="24"/>
                <w:lang w:eastAsia="zh-CN"/>
              </w:rPr>
              <w:t>显微特征</w:t>
            </w:r>
          </w:p>
        </w:tc>
        <w:tc>
          <w:tcPr>
            <w:tcW w:w="134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2019.05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572" w:type="dxa"/>
            <w:vMerge w:val="continue"/>
            <w:tcBorders>
              <w:top w:val="nil"/>
            </w:tcBorders>
            <w:vAlign w:val="center"/>
          </w:tcPr>
          <w:p>
            <w:pPr>
              <w:autoSpaceDE w:val="0"/>
              <w:autoSpaceDN w:val="0"/>
              <w:adjustRightInd w:val="0"/>
              <w:snapToGrid w:val="0"/>
              <w:jc w:val="left"/>
              <w:rPr>
                <w:rFonts w:cs="宋体" w:asciiTheme="minorEastAsia" w:hAnsiTheme="minorEastAsia" w:eastAsiaTheme="minorEastAsia"/>
                <w:sz w:val="24"/>
                <w:szCs w:val="24"/>
                <w:lang w:val="zh-CN" w:eastAsia="en-US" w:bidi="zh-CN"/>
              </w:rPr>
            </w:pPr>
          </w:p>
        </w:tc>
        <w:tc>
          <w:tcPr>
            <w:tcW w:w="2552" w:type="dxa"/>
            <w:gridSpan w:val="2"/>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赛题库</w:t>
            </w:r>
          </w:p>
        </w:tc>
        <w:tc>
          <w:tcPr>
            <w:tcW w:w="1674" w:type="dxa"/>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hint="eastAsia" w:asciiTheme="minorEastAsia" w:hAnsiTheme="minorEastAsia" w:eastAsiaTheme="minorEastAsia"/>
                <w:bCs/>
                <w:sz w:val="24"/>
                <w:szCs w:val="24"/>
                <w:lang w:eastAsia="en-US"/>
              </w:rPr>
              <w:t>文</w:t>
            </w:r>
            <w:r>
              <w:rPr>
                <w:rFonts w:hint="eastAsia" w:asciiTheme="minorEastAsia" w:hAnsiTheme="minorEastAsia" w:eastAsiaTheme="minorEastAsia"/>
                <w:bCs/>
                <w:sz w:val="24"/>
                <w:szCs w:val="24"/>
                <w:lang w:eastAsia="zh-CN"/>
              </w:rPr>
              <w:t>本文档</w:t>
            </w:r>
          </w:p>
        </w:tc>
        <w:tc>
          <w:tcPr>
            <w:tcW w:w="101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en-US"/>
              </w:rPr>
              <w:t>≥</w:t>
            </w:r>
            <w:r>
              <w:rPr>
                <w:rFonts w:hint="eastAsia" w:asciiTheme="minorEastAsia" w:hAnsiTheme="minorEastAsia" w:eastAsiaTheme="minorEastAsia"/>
                <w:bCs/>
                <w:sz w:val="24"/>
                <w:szCs w:val="24"/>
                <w:lang w:eastAsia="zh-CN"/>
              </w:rPr>
              <w:t>4</w:t>
            </w:r>
            <w:r>
              <w:rPr>
                <w:rFonts w:asciiTheme="minorEastAsia" w:hAnsiTheme="minorEastAsia" w:eastAsiaTheme="minorEastAsia"/>
                <w:bCs/>
                <w:sz w:val="24"/>
                <w:szCs w:val="24"/>
                <w:lang w:eastAsia="zh-CN"/>
              </w:rPr>
              <w:t>0</w:t>
            </w:r>
          </w:p>
        </w:tc>
        <w:tc>
          <w:tcPr>
            <w:tcW w:w="1418" w:type="dxa"/>
            <w:vAlign w:val="center"/>
          </w:tcPr>
          <w:p>
            <w:pPr>
              <w:autoSpaceDE/>
              <w:autoSpaceDN/>
              <w:adjustRightInd w:val="0"/>
              <w:snapToGrid w:val="0"/>
              <w:jc w:val="left"/>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各</w:t>
            </w:r>
            <w:r>
              <w:rPr>
                <w:rFonts w:asciiTheme="minorEastAsia" w:hAnsiTheme="minorEastAsia" w:eastAsiaTheme="minorEastAsia"/>
                <w:bCs/>
                <w:sz w:val="24"/>
                <w:szCs w:val="24"/>
                <w:lang w:eastAsia="zh-CN"/>
              </w:rPr>
              <w:t>比赛项目不少于</w:t>
            </w:r>
            <w:r>
              <w:rPr>
                <w:rFonts w:hint="eastAsia" w:asciiTheme="minorEastAsia" w:hAnsiTheme="minorEastAsia" w:eastAsiaTheme="minorEastAsia"/>
                <w:bCs/>
                <w:sz w:val="24"/>
                <w:szCs w:val="24"/>
                <w:lang w:eastAsia="zh-CN"/>
              </w:rPr>
              <w:t>10套</w:t>
            </w:r>
          </w:p>
        </w:tc>
        <w:tc>
          <w:tcPr>
            <w:tcW w:w="134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2019.05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572" w:type="dxa"/>
            <w:vMerge w:val="continue"/>
            <w:tcBorders>
              <w:top w:val="nil"/>
              <w:bottom w:val="single" w:color="auto" w:sz="4" w:space="0"/>
            </w:tcBorders>
            <w:vAlign w:val="center"/>
          </w:tcPr>
          <w:p>
            <w:pPr>
              <w:autoSpaceDE w:val="0"/>
              <w:autoSpaceDN w:val="0"/>
              <w:adjustRightInd w:val="0"/>
              <w:snapToGrid w:val="0"/>
              <w:jc w:val="left"/>
              <w:rPr>
                <w:rFonts w:cs="宋体" w:asciiTheme="minorEastAsia" w:hAnsiTheme="minorEastAsia" w:eastAsiaTheme="minorEastAsia"/>
                <w:sz w:val="24"/>
                <w:szCs w:val="24"/>
                <w:lang w:val="zh-CN" w:eastAsia="en-US" w:bidi="zh-CN"/>
              </w:rPr>
            </w:pPr>
          </w:p>
        </w:tc>
        <w:tc>
          <w:tcPr>
            <w:tcW w:w="2552" w:type="dxa"/>
            <w:gridSpan w:val="2"/>
            <w:vAlign w:val="center"/>
          </w:tcPr>
          <w:p>
            <w:pPr>
              <w:autoSpaceDE/>
              <w:autoSpaceDN/>
              <w:adjustRightInd w:val="0"/>
              <w:snapToGrid w:val="0"/>
              <w:jc w:val="center"/>
              <w:rPr>
                <w:rFonts w:asciiTheme="minorEastAsia" w:hAnsiTheme="minorEastAsia" w:eastAsiaTheme="minorEastAsia"/>
                <w:bCs/>
                <w:sz w:val="24"/>
                <w:szCs w:val="24"/>
                <w:lang w:eastAsia="en-US"/>
              </w:rPr>
            </w:pPr>
            <w:r>
              <w:rPr>
                <w:rFonts w:asciiTheme="minorEastAsia" w:hAnsiTheme="minorEastAsia" w:eastAsiaTheme="minorEastAsia"/>
                <w:bCs/>
                <w:sz w:val="24"/>
                <w:szCs w:val="24"/>
                <w:lang w:eastAsia="en-US"/>
              </w:rPr>
              <w:t>优秀选手访谈</w:t>
            </w:r>
          </w:p>
        </w:tc>
        <w:tc>
          <w:tcPr>
            <w:tcW w:w="1674"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视频</w:t>
            </w:r>
          </w:p>
        </w:tc>
        <w:tc>
          <w:tcPr>
            <w:tcW w:w="101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en-US"/>
              </w:rPr>
              <w:t>≥</w:t>
            </w:r>
            <w:r>
              <w:rPr>
                <w:rFonts w:hint="eastAsia" w:asciiTheme="minorEastAsia" w:hAnsiTheme="minorEastAsia" w:eastAsiaTheme="minorEastAsia"/>
                <w:bCs/>
                <w:sz w:val="24"/>
                <w:szCs w:val="24"/>
                <w:lang w:eastAsia="zh-CN"/>
              </w:rPr>
              <w:t>1</w:t>
            </w:r>
            <w:r>
              <w:rPr>
                <w:rFonts w:asciiTheme="minorEastAsia" w:hAnsiTheme="minorEastAsia" w:eastAsiaTheme="minorEastAsia"/>
                <w:bCs/>
                <w:sz w:val="24"/>
                <w:szCs w:val="24"/>
                <w:lang w:eastAsia="zh-CN"/>
              </w:rPr>
              <w:t>2</w:t>
            </w:r>
          </w:p>
        </w:tc>
        <w:tc>
          <w:tcPr>
            <w:tcW w:w="1418" w:type="dxa"/>
            <w:vAlign w:val="center"/>
          </w:tcPr>
          <w:p>
            <w:pPr>
              <w:autoSpaceDE/>
              <w:autoSpaceDN/>
              <w:adjustRightInd w:val="0"/>
              <w:snapToGrid w:val="0"/>
              <w:jc w:val="left"/>
              <w:rPr>
                <w:rFonts w:asciiTheme="minorEastAsia" w:hAnsiTheme="minorEastAsia" w:eastAsiaTheme="minorEastAsia"/>
                <w:bCs/>
                <w:sz w:val="24"/>
                <w:szCs w:val="24"/>
                <w:lang w:eastAsia="en-US"/>
              </w:rPr>
            </w:pPr>
          </w:p>
        </w:tc>
        <w:tc>
          <w:tcPr>
            <w:tcW w:w="1349" w:type="dxa"/>
            <w:vAlign w:val="center"/>
          </w:tcPr>
          <w:p>
            <w:pPr>
              <w:autoSpaceDE/>
              <w:autoSpaceDN/>
              <w:adjustRightInd w:val="0"/>
              <w:snapToGrid w:val="0"/>
              <w:jc w:val="center"/>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2019.06</w:t>
            </w:r>
          </w:p>
        </w:tc>
      </w:tr>
    </w:tbl>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十八、筹备工作进度时间表</w:t>
      </w:r>
    </w:p>
    <w:p>
      <w:pPr>
        <w:snapToGrid w:val="0"/>
        <w:spacing w:line="560" w:lineRule="exact"/>
        <w:jc w:val="center"/>
        <w:rPr>
          <w:rFonts w:ascii="仿宋_GB2312" w:eastAsia="仿宋_GB2312" w:cs="仿宋_GB2312"/>
          <w:color w:val="FF0000"/>
          <w:sz w:val="30"/>
          <w:szCs w:val="30"/>
        </w:rPr>
      </w:pPr>
      <w:r>
        <w:rPr>
          <w:rFonts w:hint="eastAsia" w:ascii="宋体" w:hAnsi="宋体" w:cs="宋体"/>
          <w:b/>
          <w:bCs/>
          <w:sz w:val="24"/>
          <w:szCs w:val="24"/>
        </w:rPr>
        <w:t>表14  筹备工作进度时间表</w:t>
      </w:r>
    </w:p>
    <w:tbl>
      <w:tblPr>
        <w:tblStyle w:val="1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56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adjustRightInd w:val="0"/>
              <w:snapToGrid w:val="0"/>
              <w:jc w:val="center"/>
              <w:rPr>
                <w:rFonts w:cs="仿宋_GB2312" w:asciiTheme="majorEastAsia" w:hAnsiTheme="majorEastAsia" w:eastAsiaTheme="majorEastAsia"/>
                <w:b/>
                <w:sz w:val="24"/>
                <w:szCs w:val="24"/>
              </w:rPr>
            </w:pPr>
            <w:r>
              <w:rPr>
                <w:rFonts w:hint="eastAsia" w:cs="仿宋_GB2312" w:asciiTheme="majorEastAsia" w:hAnsiTheme="majorEastAsia" w:eastAsiaTheme="majorEastAsia"/>
                <w:b/>
                <w:sz w:val="24"/>
                <w:szCs w:val="24"/>
              </w:rPr>
              <w:t>时间</w:t>
            </w:r>
          </w:p>
        </w:tc>
        <w:tc>
          <w:tcPr>
            <w:tcW w:w="5634" w:type="dxa"/>
          </w:tcPr>
          <w:p>
            <w:pPr>
              <w:adjustRightInd w:val="0"/>
              <w:snapToGrid w:val="0"/>
              <w:jc w:val="center"/>
              <w:rPr>
                <w:rFonts w:cs="仿宋_GB2312" w:asciiTheme="majorEastAsia" w:hAnsiTheme="majorEastAsia" w:eastAsiaTheme="majorEastAsia"/>
                <w:b/>
                <w:sz w:val="24"/>
                <w:szCs w:val="24"/>
              </w:rPr>
            </w:pPr>
            <w:r>
              <w:rPr>
                <w:rFonts w:hint="eastAsia" w:cs="仿宋_GB2312" w:asciiTheme="majorEastAsia" w:hAnsiTheme="majorEastAsia" w:eastAsiaTheme="majorEastAsia"/>
                <w:b/>
                <w:sz w:val="24"/>
                <w:szCs w:val="24"/>
              </w:rPr>
              <w:t>内容</w:t>
            </w:r>
          </w:p>
        </w:tc>
        <w:tc>
          <w:tcPr>
            <w:tcW w:w="1417" w:type="dxa"/>
          </w:tcPr>
          <w:p>
            <w:pPr>
              <w:adjustRightInd w:val="0"/>
              <w:snapToGrid w:val="0"/>
              <w:jc w:val="center"/>
              <w:rPr>
                <w:rFonts w:cs="仿宋_GB2312" w:asciiTheme="majorEastAsia" w:hAnsiTheme="majorEastAsia" w:eastAsiaTheme="majorEastAsia"/>
                <w:b/>
                <w:sz w:val="24"/>
                <w:szCs w:val="24"/>
              </w:rPr>
            </w:pPr>
            <w:r>
              <w:rPr>
                <w:rFonts w:hint="eastAsia" w:cs="仿宋_GB2312" w:asciiTheme="majorEastAsia" w:hAnsiTheme="majorEastAsia" w:eastAsiaTheme="majorEastAsia"/>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adjustRightInd w:val="0"/>
              <w:snapToGrid w:val="0"/>
              <w:jc w:val="center"/>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2018.08</w:t>
            </w:r>
          </w:p>
        </w:tc>
        <w:tc>
          <w:tcPr>
            <w:tcW w:w="5634" w:type="dxa"/>
            <w:vAlign w:val="center"/>
          </w:tcPr>
          <w:p>
            <w:pPr>
              <w:adjustRightInd w:val="0"/>
              <w:snapToGrid w:val="0"/>
              <w:jc w:val="left"/>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成立申报工作小组</w:t>
            </w:r>
          </w:p>
        </w:tc>
        <w:tc>
          <w:tcPr>
            <w:tcW w:w="1417" w:type="dxa"/>
            <w:vAlign w:val="center"/>
          </w:tcPr>
          <w:p>
            <w:pPr>
              <w:adjustRightInd w:val="0"/>
              <w:snapToGrid w:val="0"/>
              <w:jc w:val="center"/>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赛项执委会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adjustRightInd w:val="0"/>
              <w:snapToGrid w:val="0"/>
              <w:jc w:val="center"/>
              <w:rPr>
                <w:rFonts w:cs="仿宋_GB2312" w:asciiTheme="majorEastAsia" w:hAnsiTheme="majorEastAsia" w:eastAsiaTheme="majorEastAsia"/>
                <w:sz w:val="24"/>
                <w:szCs w:val="24"/>
              </w:rPr>
            </w:pPr>
            <w:r>
              <w:rPr>
                <w:rFonts w:cs="仿宋_GB2312" w:asciiTheme="majorEastAsia" w:hAnsiTheme="majorEastAsia" w:eastAsiaTheme="majorEastAsia"/>
                <w:sz w:val="24"/>
                <w:szCs w:val="24"/>
              </w:rPr>
              <w:t>201</w:t>
            </w:r>
            <w:r>
              <w:rPr>
                <w:rFonts w:hint="eastAsia" w:cs="仿宋_GB2312" w:asciiTheme="majorEastAsia" w:hAnsiTheme="majorEastAsia" w:eastAsiaTheme="majorEastAsia"/>
                <w:sz w:val="24"/>
                <w:szCs w:val="24"/>
              </w:rPr>
              <w:t>8.</w:t>
            </w:r>
            <w:r>
              <w:rPr>
                <w:rFonts w:cs="仿宋_GB2312" w:asciiTheme="majorEastAsia" w:hAnsiTheme="majorEastAsia" w:eastAsiaTheme="majorEastAsia"/>
                <w:sz w:val="24"/>
                <w:szCs w:val="24"/>
              </w:rPr>
              <w:t>12</w:t>
            </w:r>
            <w:r>
              <w:rPr>
                <w:rFonts w:hint="eastAsia" w:cs="仿宋_GB2312" w:asciiTheme="majorEastAsia" w:hAnsiTheme="majorEastAsia" w:eastAsiaTheme="majorEastAsia"/>
                <w:sz w:val="24"/>
                <w:szCs w:val="24"/>
              </w:rPr>
              <w:t>.</w:t>
            </w:r>
            <w:r>
              <w:rPr>
                <w:rFonts w:cs="仿宋_GB2312" w:asciiTheme="majorEastAsia" w:hAnsiTheme="majorEastAsia" w:eastAsiaTheme="majorEastAsia"/>
                <w:sz w:val="24"/>
                <w:szCs w:val="24"/>
              </w:rPr>
              <w:t>31</w:t>
            </w:r>
            <w:r>
              <w:rPr>
                <w:rFonts w:hint="eastAsia" w:cs="仿宋_GB2312" w:asciiTheme="majorEastAsia" w:hAnsiTheme="majorEastAsia" w:eastAsiaTheme="majorEastAsia"/>
                <w:sz w:val="24"/>
                <w:szCs w:val="24"/>
              </w:rPr>
              <w:t>前</w:t>
            </w:r>
          </w:p>
        </w:tc>
        <w:tc>
          <w:tcPr>
            <w:tcW w:w="5634" w:type="dxa"/>
            <w:vAlign w:val="center"/>
          </w:tcPr>
          <w:p>
            <w:pPr>
              <w:adjustRightInd w:val="0"/>
              <w:snapToGrid w:val="0"/>
              <w:jc w:val="left"/>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召开筹备工作会议，明确分工，各项筹备工作正有序开展</w:t>
            </w:r>
          </w:p>
        </w:tc>
        <w:tc>
          <w:tcPr>
            <w:tcW w:w="1417" w:type="dxa"/>
            <w:vAlign w:val="center"/>
          </w:tcPr>
          <w:p>
            <w:pPr>
              <w:adjustRightInd w:val="0"/>
              <w:snapToGrid w:val="0"/>
              <w:jc w:val="center"/>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赛项执委会承办单位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adjustRightInd w:val="0"/>
              <w:snapToGrid w:val="0"/>
              <w:jc w:val="center"/>
              <w:rPr>
                <w:rFonts w:cs="仿宋_GB2312" w:asciiTheme="majorEastAsia" w:hAnsiTheme="majorEastAsia" w:eastAsiaTheme="majorEastAsia"/>
                <w:sz w:val="24"/>
                <w:szCs w:val="24"/>
              </w:rPr>
            </w:pPr>
            <w:r>
              <w:rPr>
                <w:rFonts w:cs="仿宋_GB2312" w:asciiTheme="majorEastAsia" w:hAnsiTheme="majorEastAsia" w:eastAsiaTheme="majorEastAsia"/>
                <w:sz w:val="24"/>
                <w:szCs w:val="24"/>
              </w:rPr>
              <w:t>201</w:t>
            </w:r>
            <w:r>
              <w:rPr>
                <w:rFonts w:hint="eastAsia" w:cs="仿宋_GB2312" w:asciiTheme="majorEastAsia" w:hAnsiTheme="majorEastAsia" w:eastAsiaTheme="majorEastAsia"/>
                <w:sz w:val="24"/>
                <w:szCs w:val="24"/>
              </w:rPr>
              <w:t>9.01.</w:t>
            </w:r>
            <w:r>
              <w:rPr>
                <w:rFonts w:cs="仿宋_GB2312" w:asciiTheme="majorEastAsia" w:hAnsiTheme="majorEastAsia" w:eastAsiaTheme="majorEastAsia"/>
                <w:sz w:val="24"/>
                <w:szCs w:val="24"/>
              </w:rPr>
              <w:t>31</w:t>
            </w:r>
            <w:r>
              <w:rPr>
                <w:rFonts w:hint="eastAsia" w:cs="仿宋_GB2312" w:asciiTheme="majorEastAsia" w:hAnsiTheme="majorEastAsia" w:eastAsiaTheme="majorEastAsia"/>
                <w:sz w:val="24"/>
                <w:szCs w:val="24"/>
              </w:rPr>
              <w:t>前</w:t>
            </w:r>
          </w:p>
        </w:tc>
        <w:tc>
          <w:tcPr>
            <w:tcW w:w="5634" w:type="dxa"/>
            <w:vAlign w:val="center"/>
          </w:tcPr>
          <w:p>
            <w:pPr>
              <w:adjustRightInd w:val="0"/>
              <w:snapToGrid w:val="0"/>
              <w:jc w:val="left"/>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制定大赛方案、赛事规程、赛事器材方案、企业合作方案、赛场开放方案、宣传方案、参赛选手报名表、汇总表及评分标准。</w:t>
            </w:r>
          </w:p>
        </w:tc>
        <w:tc>
          <w:tcPr>
            <w:tcW w:w="1417" w:type="dxa"/>
            <w:vAlign w:val="center"/>
          </w:tcPr>
          <w:p>
            <w:pPr>
              <w:adjustRightInd w:val="0"/>
              <w:snapToGrid w:val="0"/>
              <w:jc w:val="center"/>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赛项执委会承办单位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adjustRightInd w:val="0"/>
              <w:snapToGrid w:val="0"/>
              <w:jc w:val="center"/>
              <w:rPr>
                <w:rFonts w:cs="仿宋_GB2312" w:asciiTheme="majorEastAsia" w:hAnsiTheme="majorEastAsia" w:eastAsiaTheme="majorEastAsia"/>
                <w:sz w:val="24"/>
                <w:szCs w:val="24"/>
              </w:rPr>
            </w:pPr>
            <w:r>
              <w:rPr>
                <w:rFonts w:cs="仿宋_GB2312" w:asciiTheme="majorEastAsia" w:hAnsiTheme="majorEastAsia" w:eastAsiaTheme="majorEastAsia"/>
                <w:sz w:val="24"/>
                <w:szCs w:val="24"/>
              </w:rPr>
              <w:t>201</w:t>
            </w:r>
            <w:r>
              <w:rPr>
                <w:rFonts w:hint="eastAsia" w:cs="仿宋_GB2312" w:asciiTheme="majorEastAsia" w:hAnsiTheme="majorEastAsia" w:eastAsiaTheme="majorEastAsia"/>
                <w:sz w:val="24"/>
                <w:szCs w:val="24"/>
              </w:rPr>
              <w:t>9.04.</w:t>
            </w:r>
            <w:r>
              <w:rPr>
                <w:rFonts w:cs="仿宋_GB2312" w:asciiTheme="majorEastAsia" w:hAnsiTheme="majorEastAsia" w:eastAsiaTheme="majorEastAsia"/>
                <w:sz w:val="24"/>
                <w:szCs w:val="24"/>
              </w:rPr>
              <w:t>10</w:t>
            </w:r>
            <w:r>
              <w:rPr>
                <w:rFonts w:hint="eastAsia" w:cs="仿宋_GB2312" w:asciiTheme="majorEastAsia" w:hAnsiTheme="majorEastAsia" w:eastAsiaTheme="majorEastAsia"/>
                <w:sz w:val="24"/>
                <w:szCs w:val="24"/>
              </w:rPr>
              <w:t>前</w:t>
            </w:r>
          </w:p>
        </w:tc>
        <w:tc>
          <w:tcPr>
            <w:tcW w:w="5634" w:type="dxa"/>
            <w:vAlign w:val="center"/>
          </w:tcPr>
          <w:p>
            <w:pPr>
              <w:adjustRightInd w:val="0"/>
              <w:snapToGrid w:val="0"/>
              <w:jc w:val="left"/>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制定大赛预通知及赛项说明会</w:t>
            </w:r>
          </w:p>
        </w:tc>
        <w:tc>
          <w:tcPr>
            <w:tcW w:w="1417" w:type="dxa"/>
            <w:vAlign w:val="center"/>
          </w:tcPr>
          <w:p>
            <w:pPr>
              <w:adjustRightInd w:val="0"/>
              <w:snapToGrid w:val="0"/>
              <w:jc w:val="center"/>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赛项执委会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adjustRightInd w:val="0"/>
              <w:snapToGrid w:val="0"/>
              <w:jc w:val="center"/>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2019.05.20前</w:t>
            </w:r>
          </w:p>
        </w:tc>
        <w:tc>
          <w:tcPr>
            <w:tcW w:w="5634" w:type="dxa"/>
            <w:vAlign w:val="center"/>
          </w:tcPr>
          <w:p>
            <w:pPr>
              <w:adjustRightInd w:val="0"/>
              <w:snapToGrid w:val="0"/>
              <w:jc w:val="left"/>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各项准备工作就绪，确保比赛圆满成功</w:t>
            </w:r>
          </w:p>
        </w:tc>
        <w:tc>
          <w:tcPr>
            <w:tcW w:w="1417" w:type="dxa"/>
            <w:vAlign w:val="center"/>
          </w:tcPr>
          <w:p>
            <w:pPr>
              <w:adjustRightInd w:val="0"/>
              <w:snapToGrid w:val="0"/>
              <w:jc w:val="center"/>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赛项执委会</w:t>
            </w:r>
          </w:p>
          <w:p>
            <w:pPr>
              <w:adjustRightInd w:val="0"/>
              <w:snapToGrid w:val="0"/>
              <w:jc w:val="center"/>
              <w:rPr>
                <w:rFonts w:cs="仿宋_GB2312" w:asciiTheme="majorEastAsia" w:hAnsiTheme="majorEastAsia" w:eastAsiaTheme="majorEastAsia"/>
                <w:sz w:val="24"/>
                <w:szCs w:val="24"/>
              </w:rPr>
            </w:pPr>
            <w:r>
              <w:rPr>
                <w:rFonts w:hint="eastAsia" w:cs="仿宋_GB2312" w:asciiTheme="majorEastAsia" w:hAnsiTheme="majorEastAsia" w:eastAsiaTheme="majorEastAsia"/>
                <w:sz w:val="24"/>
                <w:szCs w:val="24"/>
              </w:rPr>
              <w:t>承办单位</w:t>
            </w:r>
          </w:p>
        </w:tc>
      </w:tr>
    </w:tbl>
    <w:p>
      <w:pPr>
        <w:snapToGrid w:val="0"/>
        <w:spacing w:line="560" w:lineRule="exact"/>
        <w:ind w:firstLine="585"/>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十九、裁判人员建议</w:t>
      </w:r>
    </w:p>
    <w:p>
      <w:pPr>
        <w:snapToGrid w:val="0"/>
        <w:jc w:val="center"/>
        <w:rPr>
          <w:rFonts w:ascii="宋体" w:cs="Times New Roman"/>
          <w:b/>
          <w:bCs/>
          <w:sz w:val="24"/>
          <w:szCs w:val="24"/>
        </w:rPr>
      </w:pPr>
      <w:r>
        <w:rPr>
          <w:rFonts w:hint="eastAsia" w:ascii="宋体" w:hAnsi="宋体" w:cs="宋体"/>
          <w:b/>
          <w:bCs/>
          <w:sz w:val="24"/>
          <w:szCs w:val="24"/>
        </w:rPr>
        <w:t>表</w:t>
      </w:r>
      <w:r>
        <w:rPr>
          <w:rFonts w:ascii="宋体" w:hAnsi="宋体" w:cs="宋体"/>
          <w:b/>
          <w:bCs/>
          <w:sz w:val="24"/>
          <w:szCs w:val="24"/>
        </w:rPr>
        <w:t xml:space="preserve">15  </w:t>
      </w:r>
      <w:r>
        <w:rPr>
          <w:rFonts w:hint="eastAsia" w:ascii="宋体" w:hAnsi="宋体" w:cs="宋体"/>
          <w:b/>
          <w:bCs/>
          <w:sz w:val="24"/>
          <w:szCs w:val="24"/>
        </w:rPr>
        <w:t>裁判人员</w:t>
      </w:r>
    </w:p>
    <w:tbl>
      <w:tblPr>
        <w:tblStyle w:val="14"/>
        <w:tblpPr w:leftFromText="180" w:rightFromText="180" w:vertAnchor="text" w:horzAnchor="margin" w:tblpX="-34" w:tblpY="82"/>
        <w:tblW w:w="87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43"/>
        <w:gridCol w:w="1701"/>
        <w:gridCol w:w="1559"/>
        <w:gridCol w:w="2127"/>
        <w:gridCol w:w="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8" w:space="0"/>
            </w:tcBorders>
            <w:vAlign w:val="center"/>
          </w:tcPr>
          <w:p>
            <w:pPr>
              <w:adjustRightInd w:val="0"/>
              <w:snapToGrid w:val="0"/>
              <w:jc w:val="center"/>
              <w:rPr>
                <w:rFonts w:ascii="宋体" w:cs="Times New Roman"/>
                <w:b/>
                <w:bCs/>
                <w:sz w:val="24"/>
                <w:szCs w:val="24"/>
              </w:rPr>
            </w:pPr>
            <w:r>
              <w:rPr>
                <w:rFonts w:hint="eastAsia" w:ascii="宋体" w:hAnsi="宋体" w:cs="宋体"/>
                <w:b/>
                <w:bCs/>
                <w:sz w:val="24"/>
                <w:szCs w:val="24"/>
              </w:rPr>
              <w:t>序号</w:t>
            </w:r>
          </w:p>
        </w:tc>
        <w:tc>
          <w:tcPr>
            <w:tcW w:w="1843" w:type="dxa"/>
            <w:tcBorders>
              <w:top w:val="single" w:color="auto" w:sz="8" w:space="0"/>
            </w:tcBorders>
            <w:vAlign w:val="center"/>
          </w:tcPr>
          <w:p>
            <w:pPr>
              <w:adjustRightInd w:val="0"/>
              <w:snapToGrid w:val="0"/>
              <w:jc w:val="center"/>
              <w:rPr>
                <w:rFonts w:ascii="宋体" w:cs="Times New Roman"/>
                <w:b/>
                <w:bCs/>
                <w:sz w:val="24"/>
                <w:szCs w:val="24"/>
              </w:rPr>
            </w:pPr>
            <w:r>
              <w:rPr>
                <w:rFonts w:hint="eastAsia" w:ascii="宋体" w:hAnsi="宋体" w:cs="宋体"/>
                <w:b/>
                <w:bCs/>
                <w:sz w:val="24"/>
                <w:szCs w:val="24"/>
              </w:rPr>
              <w:t>专业技术方向</w:t>
            </w:r>
          </w:p>
        </w:tc>
        <w:tc>
          <w:tcPr>
            <w:tcW w:w="1701" w:type="dxa"/>
            <w:tcBorders>
              <w:top w:val="single" w:color="auto" w:sz="8" w:space="0"/>
            </w:tcBorders>
            <w:vAlign w:val="center"/>
          </w:tcPr>
          <w:p>
            <w:pPr>
              <w:adjustRightInd w:val="0"/>
              <w:snapToGrid w:val="0"/>
              <w:jc w:val="center"/>
              <w:rPr>
                <w:rFonts w:ascii="宋体" w:cs="Times New Roman"/>
                <w:b/>
                <w:bCs/>
                <w:sz w:val="24"/>
                <w:szCs w:val="24"/>
              </w:rPr>
            </w:pPr>
            <w:r>
              <w:rPr>
                <w:rFonts w:hint="eastAsia" w:ascii="宋体" w:hAnsi="宋体" w:cs="宋体"/>
                <w:b/>
                <w:bCs/>
                <w:sz w:val="24"/>
                <w:szCs w:val="24"/>
              </w:rPr>
              <w:t>知识能力要求</w:t>
            </w:r>
          </w:p>
        </w:tc>
        <w:tc>
          <w:tcPr>
            <w:tcW w:w="1559" w:type="dxa"/>
            <w:tcBorders>
              <w:top w:val="single" w:color="auto" w:sz="8" w:space="0"/>
            </w:tcBorders>
          </w:tcPr>
          <w:p>
            <w:pPr>
              <w:adjustRightInd w:val="0"/>
              <w:snapToGrid w:val="0"/>
              <w:jc w:val="center"/>
              <w:rPr>
                <w:rFonts w:ascii="宋体" w:cs="Times New Roman"/>
                <w:b/>
                <w:bCs/>
                <w:sz w:val="24"/>
                <w:szCs w:val="24"/>
              </w:rPr>
            </w:pPr>
            <w:r>
              <w:rPr>
                <w:rFonts w:hint="eastAsia" w:ascii="宋体" w:hAnsi="宋体" w:cs="宋体"/>
                <w:b/>
                <w:bCs/>
                <w:sz w:val="24"/>
                <w:szCs w:val="24"/>
              </w:rPr>
              <w:t>执裁、教学、工作经历</w:t>
            </w:r>
          </w:p>
        </w:tc>
        <w:tc>
          <w:tcPr>
            <w:tcW w:w="2127" w:type="dxa"/>
            <w:tcBorders>
              <w:top w:val="single" w:color="auto" w:sz="8" w:space="0"/>
            </w:tcBorders>
            <w:vAlign w:val="center"/>
          </w:tcPr>
          <w:p>
            <w:pPr>
              <w:adjustRightInd w:val="0"/>
              <w:snapToGrid w:val="0"/>
              <w:jc w:val="center"/>
              <w:rPr>
                <w:rFonts w:ascii="宋体" w:cs="Times New Roman"/>
                <w:b/>
                <w:bCs/>
                <w:sz w:val="24"/>
                <w:szCs w:val="24"/>
              </w:rPr>
            </w:pPr>
            <w:r>
              <w:rPr>
                <w:rFonts w:hint="eastAsia" w:ascii="宋体" w:hAnsi="宋体" w:cs="宋体"/>
                <w:b/>
                <w:bCs/>
                <w:sz w:val="24"/>
                <w:szCs w:val="24"/>
              </w:rPr>
              <w:t>专业技术职称</w:t>
            </w:r>
          </w:p>
          <w:p>
            <w:pPr>
              <w:adjustRightInd w:val="0"/>
              <w:snapToGrid w:val="0"/>
              <w:jc w:val="center"/>
              <w:rPr>
                <w:rFonts w:ascii="宋体" w:cs="Times New Roman"/>
                <w:b/>
                <w:bCs/>
                <w:sz w:val="24"/>
                <w:szCs w:val="24"/>
              </w:rPr>
            </w:pPr>
            <w:r>
              <w:rPr>
                <w:rFonts w:hint="eastAsia" w:ascii="宋体" w:hAnsi="宋体" w:cs="宋体"/>
                <w:b/>
                <w:bCs/>
                <w:sz w:val="24"/>
                <w:szCs w:val="24"/>
              </w:rPr>
              <w:t>（职业资格等级）</w:t>
            </w:r>
          </w:p>
        </w:tc>
        <w:tc>
          <w:tcPr>
            <w:tcW w:w="816" w:type="dxa"/>
            <w:tcBorders>
              <w:top w:val="single" w:color="auto" w:sz="8" w:space="0"/>
            </w:tcBorders>
            <w:vAlign w:val="center"/>
          </w:tcPr>
          <w:p>
            <w:pPr>
              <w:adjustRightInd w:val="0"/>
              <w:snapToGrid w:val="0"/>
              <w:jc w:val="center"/>
              <w:rPr>
                <w:rFonts w:ascii="宋体" w:cs="Times New Roman"/>
                <w:b/>
                <w:bCs/>
                <w:sz w:val="24"/>
                <w:szCs w:val="24"/>
              </w:rPr>
            </w:pPr>
            <w:r>
              <w:rPr>
                <w:rFonts w:hint="eastAsia" w:ascii="宋体" w:hAnsi="宋体" w:cs="宋体"/>
                <w:b/>
                <w:bCs/>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vAlign w:val="center"/>
          </w:tcPr>
          <w:p>
            <w:pPr>
              <w:adjustRightInd w:val="0"/>
              <w:snapToGrid w:val="0"/>
              <w:jc w:val="center"/>
              <w:rPr>
                <w:rFonts w:ascii="宋体" w:hAnsi="宋体" w:cs="宋体"/>
                <w:sz w:val="24"/>
                <w:szCs w:val="24"/>
              </w:rPr>
            </w:pPr>
            <w:r>
              <w:rPr>
                <w:rFonts w:ascii="宋体" w:hAnsi="宋体" w:cs="宋体"/>
                <w:sz w:val="24"/>
                <w:szCs w:val="24"/>
              </w:rPr>
              <w:t>1</w:t>
            </w:r>
          </w:p>
        </w:tc>
        <w:tc>
          <w:tcPr>
            <w:tcW w:w="1843" w:type="dxa"/>
            <w:vAlign w:val="center"/>
          </w:tcPr>
          <w:p>
            <w:pPr>
              <w:adjustRightInd w:val="0"/>
              <w:snapToGrid w:val="0"/>
              <w:jc w:val="left"/>
              <w:rPr>
                <w:rFonts w:ascii="宋体" w:cs="Times New Roman"/>
                <w:sz w:val="24"/>
                <w:szCs w:val="24"/>
              </w:rPr>
            </w:pPr>
            <w:r>
              <w:rPr>
                <w:rFonts w:hint="eastAsia" w:ascii="宋体" w:hAnsi="宋体" w:cs="宋体"/>
                <w:sz w:val="24"/>
                <w:szCs w:val="24"/>
              </w:rPr>
              <w:t>裁判长</w:t>
            </w:r>
          </w:p>
        </w:tc>
        <w:tc>
          <w:tcPr>
            <w:tcW w:w="1701" w:type="dxa"/>
            <w:vAlign w:val="center"/>
          </w:tcPr>
          <w:p>
            <w:pPr>
              <w:adjustRightInd w:val="0"/>
              <w:snapToGrid w:val="0"/>
              <w:jc w:val="left"/>
              <w:rPr>
                <w:rFonts w:ascii="宋体" w:cs="Times New Roman"/>
                <w:sz w:val="24"/>
                <w:szCs w:val="24"/>
              </w:rPr>
            </w:pPr>
            <w:r>
              <w:rPr>
                <w:rFonts w:hint="eastAsia" w:ascii="宋体" w:cs="宋体"/>
                <w:sz w:val="24"/>
                <w:szCs w:val="24"/>
              </w:rPr>
              <w:t>中药学专业</w:t>
            </w:r>
          </w:p>
        </w:tc>
        <w:tc>
          <w:tcPr>
            <w:tcW w:w="1559" w:type="dxa"/>
            <w:vAlign w:val="center"/>
          </w:tcPr>
          <w:p>
            <w:pPr>
              <w:adjustRightInd w:val="0"/>
              <w:snapToGrid w:val="0"/>
              <w:jc w:val="left"/>
              <w:rPr>
                <w:rFonts w:ascii="宋体" w:cs="Times New Roman"/>
                <w:sz w:val="24"/>
                <w:szCs w:val="24"/>
              </w:rPr>
            </w:pPr>
            <w:r>
              <w:rPr>
                <w:rFonts w:hint="eastAsia" w:ascii="宋体" w:cs="宋体"/>
                <w:sz w:val="24"/>
                <w:szCs w:val="24"/>
              </w:rPr>
              <w:t>有丰富的组织管理能力</w:t>
            </w:r>
          </w:p>
        </w:tc>
        <w:tc>
          <w:tcPr>
            <w:tcW w:w="2127" w:type="dxa"/>
            <w:vAlign w:val="center"/>
          </w:tcPr>
          <w:p>
            <w:pPr>
              <w:adjustRightInd w:val="0"/>
              <w:snapToGrid w:val="0"/>
              <w:jc w:val="left"/>
              <w:rPr>
                <w:rFonts w:ascii="宋体" w:cs="Times New Roman"/>
                <w:sz w:val="24"/>
                <w:szCs w:val="24"/>
              </w:rPr>
            </w:pPr>
            <w:r>
              <w:rPr>
                <w:rFonts w:hint="eastAsia" w:ascii="宋体" w:cs="宋体"/>
                <w:sz w:val="24"/>
                <w:szCs w:val="24"/>
              </w:rPr>
              <w:t>赛项执委会聘任</w:t>
            </w:r>
          </w:p>
        </w:tc>
        <w:tc>
          <w:tcPr>
            <w:tcW w:w="816" w:type="dxa"/>
            <w:vAlign w:val="center"/>
          </w:tcPr>
          <w:p>
            <w:pPr>
              <w:adjustRightInd w:val="0"/>
              <w:snapToGrid w:val="0"/>
              <w:jc w:val="center"/>
              <w:rPr>
                <w:rFonts w:ascii="宋体" w:cs="Times New Roman"/>
                <w:sz w:val="24"/>
                <w:szCs w:val="24"/>
              </w:rPr>
            </w:pPr>
            <w:r>
              <w:rPr>
                <w:rFonts w:ascii="宋体" w:hAnsi="宋体" w:cs="宋体"/>
                <w:sz w:val="24"/>
                <w:szCs w:val="24"/>
              </w:rPr>
              <w:t>1</w:t>
            </w:r>
            <w:r>
              <w:rPr>
                <w:rFonts w:hint="eastAsia" w:ascii="宋体" w:hAnsi="宋体" w:cs="宋体"/>
                <w:sz w:val="24"/>
                <w:szCs w:val="24"/>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vAlign w:val="center"/>
          </w:tcPr>
          <w:p>
            <w:pPr>
              <w:adjustRightInd w:val="0"/>
              <w:snapToGrid w:val="0"/>
              <w:jc w:val="center"/>
              <w:rPr>
                <w:rFonts w:ascii="宋体" w:hAnsi="宋体" w:cs="宋体"/>
                <w:sz w:val="24"/>
                <w:szCs w:val="24"/>
              </w:rPr>
            </w:pPr>
            <w:r>
              <w:rPr>
                <w:rFonts w:ascii="宋体" w:hAnsi="宋体" w:cs="宋体"/>
                <w:sz w:val="24"/>
                <w:szCs w:val="24"/>
              </w:rPr>
              <w:t>2</w:t>
            </w:r>
          </w:p>
        </w:tc>
        <w:tc>
          <w:tcPr>
            <w:tcW w:w="1843" w:type="dxa"/>
            <w:vAlign w:val="center"/>
          </w:tcPr>
          <w:p>
            <w:pPr>
              <w:adjustRightInd w:val="0"/>
              <w:snapToGrid w:val="0"/>
              <w:jc w:val="left"/>
              <w:rPr>
                <w:rFonts w:ascii="宋体" w:cs="Times New Roman"/>
                <w:sz w:val="24"/>
                <w:szCs w:val="24"/>
              </w:rPr>
            </w:pPr>
            <w:r>
              <w:rPr>
                <w:rFonts w:hint="eastAsia" w:ascii="宋体" w:hAnsi="宋体" w:cs="宋体"/>
                <w:sz w:val="24"/>
                <w:szCs w:val="24"/>
              </w:rPr>
              <w:t>加密裁判</w:t>
            </w:r>
          </w:p>
        </w:tc>
        <w:tc>
          <w:tcPr>
            <w:tcW w:w="1701" w:type="dxa"/>
            <w:vAlign w:val="center"/>
          </w:tcPr>
          <w:p>
            <w:pPr>
              <w:adjustRightInd w:val="0"/>
              <w:snapToGrid w:val="0"/>
              <w:jc w:val="left"/>
              <w:rPr>
                <w:rFonts w:ascii="宋体" w:cs="Times New Roman"/>
                <w:sz w:val="24"/>
                <w:szCs w:val="24"/>
              </w:rPr>
            </w:pPr>
          </w:p>
        </w:tc>
        <w:tc>
          <w:tcPr>
            <w:tcW w:w="1559" w:type="dxa"/>
            <w:vAlign w:val="center"/>
          </w:tcPr>
          <w:p>
            <w:pPr>
              <w:adjustRightInd w:val="0"/>
              <w:snapToGrid w:val="0"/>
              <w:jc w:val="left"/>
              <w:rPr>
                <w:rFonts w:ascii="宋体" w:cs="Times New Roman"/>
                <w:sz w:val="24"/>
                <w:szCs w:val="24"/>
              </w:rPr>
            </w:pPr>
            <w:r>
              <w:rPr>
                <w:rFonts w:hint="eastAsia" w:ascii="宋体" w:cs="宋体"/>
                <w:sz w:val="24"/>
                <w:szCs w:val="24"/>
              </w:rPr>
              <w:t>有相关工作经历</w:t>
            </w:r>
          </w:p>
        </w:tc>
        <w:tc>
          <w:tcPr>
            <w:tcW w:w="2127" w:type="dxa"/>
            <w:vAlign w:val="center"/>
          </w:tcPr>
          <w:p>
            <w:pPr>
              <w:adjustRightInd w:val="0"/>
              <w:snapToGrid w:val="0"/>
              <w:jc w:val="left"/>
              <w:rPr>
                <w:rFonts w:ascii="宋体" w:cs="Times New Roman"/>
                <w:sz w:val="24"/>
                <w:szCs w:val="24"/>
              </w:rPr>
            </w:pPr>
            <w:r>
              <w:rPr>
                <w:rFonts w:hint="eastAsia" w:ascii="宋体" w:cs="Times New Roman"/>
                <w:sz w:val="24"/>
                <w:szCs w:val="24"/>
              </w:rPr>
              <w:t>教授、副教授、副研究员以上</w:t>
            </w:r>
          </w:p>
        </w:tc>
        <w:tc>
          <w:tcPr>
            <w:tcW w:w="816" w:type="dxa"/>
            <w:vAlign w:val="center"/>
          </w:tcPr>
          <w:p>
            <w:pPr>
              <w:adjustRightInd w:val="0"/>
              <w:snapToGrid w:val="0"/>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vAlign w:val="center"/>
          </w:tcPr>
          <w:p>
            <w:pPr>
              <w:adjustRightInd w:val="0"/>
              <w:snapToGrid w:val="0"/>
              <w:jc w:val="center"/>
              <w:rPr>
                <w:rFonts w:ascii="宋体" w:hAnsi="宋体" w:cs="宋体"/>
                <w:sz w:val="24"/>
                <w:szCs w:val="24"/>
              </w:rPr>
            </w:pPr>
            <w:r>
              <w:rPr>
                <w:rFonts w:ascii="宋体" w:hAnsi="宋体" w:cs="宋体"/>
                <w:sz w:val="24"/>
                <w:szCs w:val="24"/>
              </w:rPr>
              <w:t>3</w:t>
            </w:r>
          </w:p>
        </w:tc>
        <w:tc>
          <w:tcPr>
            <w:tcW w:w="1843" w:type="dxa"/>
            <w:vAlign w:val="center"/>
          </w:tcPr>
          <w:p>
            <w:pPr>
              <w:adjustRightInd w:val="0"/>
              <w:snapToGrid w:val="0"/>
              <w:jc w:val="left"/>
              <w:rPr>
                <w:rFonts w:ascii="宋体" w:cs="Times New Roman"/>
                <w:sz w:val="24"/>
                <w:szCs w:val="24"/>
              </w:rPr>
            </w:pPr>
            <w:r>
              <w:rPr>
                <w:rFonts w:hint="eastAsia" w:ascii="宋体" w:hAnsi="宋体" w:cs="宋体"/>
                <w:sz w:val="24"/>
                <w:szCs w:val="24"/>
              </w:rPr>
              <w:t>中药性状与真伪鉴别</w:t>
            </w:r>
          </w:p>
        </w:tc>
        <w:tc>
          <w:tcPr>
            <w:tcW w:w="1701" w:type="dxa"/>
            <w:vAlign w:val="center"/>
          </w:tcPr>
          <w:p>
            <w:pPr>
              <w:adjustRightInd w:val="0"/>
              <w:snapToGrid w:val="0"/>
              <w:jc w:val="left"/>
              <w:rPr>
                <w:rFonts w:ascii="宋体" w:cs="Times New Roman"/>
                <w:sz w:val="24"/>
                <w:szCs w:val="24"/>
              </w:rPr>
            </w:pPr>
            <w:r>
              <w:rPr>
                <w:rFonts w:hint="eastAsia" w:ascii="宋体" w:hAnsi="宋体" w:cs="宋体"/>
                <w:sz w:val="24"/>
                <w:szCs w:val="24"/>
              </w:rPr>
              <w:t>中药鉴定</w:t>
            </w:r>
          </w:p>
        </w:tc>
        <w:tc>
          <w:tcPr>
            <w:tcW w:w="1559" w:type="dxa"/>
            <w:vAlign w:val="center"/>
          </w:tcPr>
          <w:p>
            <w:pPr>
              <w:adjustRightInd w:val="0"/>
              <w:snapToGrid w:val="0"/>
              <w:jc w:val="left"/>
              <w:rPr>
                <w:rFonts w:ascii="宋体" w:cs="Times New Roman"/>
                <w:sz w:val="24"/>
                <w:szCs w:val="24"/>
              </w:rPr>
            </w:pPr>
            <w:r>
              <w:rPr>
                <w:rFonts w:hint="eastAsia" w:ascii="宋体" w:cs="宋体"/>
                <w:sz w:val="24"/>
                <w:szCs w:val="24"/>
              </w:rPr>
              <w:t>有相关工作经历</w:t>
            </w:r>
          </w:p>
        </w:tc>
        <w:tc>
          <w:tcPr>
            <w:tcW w:w="2127" w:type="dxa"/>
            <w:vAlign w:val="center"/>
          </w:tcPr>
          <w:p>
            <w:pPr>
              <w:adjustRightInd w:val="0"/>
              <w:snapToGrid w:val="0"/>
              <w:jc w:val="left"/>
              <w:rPr>
                <w:rFonts w:ascii="宋体" w:cs="Times New Roman"/>
                <w:sz w:val="24"/>
                <w:szCs w:val="24"/>
              </w:rPr>
            </w:pPr>
            <w:r>
              <w:rPr>
                <w:rFonts w:hint="eastAsia" w:ascii="宋体" w:hAnsi="宋体" w:cs="宋体"/>
                <w:sz w:val="24"/>
                <w:szCs w:val="24"/>
              </w:rPr>
              <w:t>教授、副教授</w:t>
            </w:r>
          </w:p>
        </w:tc>
        <w:tc>
          <w:tcPr>
            <w:tcW w:w="816" w:type="dxa"/>
            <w:vAlign w:val="center"/>
          </w:tcPr>
          <w:p>
            <w:pPr>
              <w:adjustRightInd w:val="0"/>
              <w:snapToGrid w:val="0"/>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vAlign w:val="center"/>
          </w:tcPr>
          <w:p>
            <w:pPr>
              <w:adjustRightInd w:val="0"/>
              <w:snapToGrid w:val="0"/>
              <w:jc w:val="center"/>
              <w:rPr>
                <w:rFonts w:ascii="宋体" w:hAnsi="宋体" w:cs="宋体"/>
                <w:sz w:val="24"/>
                <w:szCs w:val="24"/>
              </w:rPr>
            </w:pPr>
            <w:r>
              <w:rPr>
                <w:rFonts w:ascii="宋体" w:hAnsi="宋体" w:cs="宋体"/>
                <w:sz w:val="24"/>
                <w:szCs w:val="24"/>
              </w:rPr>
              <w:t>4</w:t>
            </w:r>
          </w:p>
        </w:tc>
        <w:tc>
          <w:tcPr>
            <w:tcW w:w="1843" w:type="dxa"/>
            <w:vAlign w:val="center"/>
          </w:tcPr>
          <w:p>
            <w:pPr>
              <w:adjustRightInd w:val="0"/>
              <w:snapToGrid w:val="0"/>
              <w:jc w:val="left"/>
              <w:rPr>
                <w:rFonts w:ascii="宋体" w:cs="Times New Roman"/>
                <w:sz w:val="24"/>
                <w:szCs w:val="24"/>
              </w:rPr>
            </w:pPr>
            <w:r>
              <w:rPr>
                <w:rFonts w:hint="eastAsia" w:ascii="宋体" w:hAnsi="宋体" w:cs="宋体"/>
                <w:sz w:val="24"/>
                <w:szCs w:val="24"/>
              </w:rPr>
              <w:t>中药显微鉴别</w:t>
            </w:r>
          </w:p>
        </w:tc>
        <w:tc>
          <w:tcPr>
            <w:tcW w:w="1701" w:type="dxa"/>
            <w:vAlign w:val="center"/>
          </w:tcPr>
          <w:p>
            <w:pPr>
              <w:adjustRightInd w:val="0"/>
              <w:snapToGrid w:val="0"/>
              <w:jc w:val="left"/>
              <w:rPr>
                <w:rFonts w:ascii="宋体" w:cs="Times New Roman"/>
                <w:sz w:val="24"/>
                <w:szCs w:val="24"/>
              </w:rPr>
            </w:pPr>
            <w:r>
              <w:rPr>
                <w:rFonts w:hint="eastAsia" w:ascii="宋体" w:hAnsi="宋体" w:cs="宋体"/>
                <w:sz w:val="24"/>
                <w:szCs w:val="24"/>
              </w:rPr>
              <w:t>中药鉴定</w:t>
            </w:r>
          </w:p>
        </w:tc>
        <w:tc>
          <w:tcPr>
            <w:tcW w:w="1559" w:type="dxa"/>
            <w:vAlign w:val="center"/>
          </w:tcPr>
          <w:p>
            <w:pPr>
              <w:adjustRightInd w:val="0"/>
              <w:snapToGrid w:val="0"/>
              <w:jc w:val="left"/>
              <w:rPr>
                <w:rFonts w:ascii="宋体" w:cs="Times New Roman"/>
                <w:sz w:val="24"/>
                <w:szCs w:val="24"/>
              </w:rPr>
            </w:pPr>
            <w:r>
              <w:rPr>
                <w:rFonts w:hint="eastAsia" w:ascii="宋体" w:cs="宋体"/>
                <w:sz w:val="24"/>
                <w:szCs w:val="24"/>
              </w:rPr>
              <w:t>有相关工作经历</w:t>
            </w:r>
          </w:p>
        </w:tc>
        <w:tc>
          <w:tcPr>
            <w:tcW w:w="2127" w:type="dxa"/>
            <w:vAlign w:val="center"/>
          </w:tcPr>
          <w:p>
            <w:pPr>
              <w:adjustRightInd w:val="0"/>
              <w:snapToGrid w:val="0"/>
              <w:jc w:val="left"/>
              <w:rPr>
                <w:rFonts w:ascii="宋体" w:cs="Times New Roman"/>
                <w:sz w:val="24"/>
                <w:szCs w:val="24"/>
              </w:rPr>
            </w:pPr>
            <w:r>
              <w:rPr>
                <w:rFonts w:hint="eastAsia" w:ascii="宋体" w:hAnsi="宋体" w:cs="宋体"/>
                <w:sz w:val="24"/>
                <w:szCs w:val="24"/>
              </w:rPr>
              <w:t>教授、副教授</w:t>
            </w:r>
          </w:p>
        </w:tc>
        <w:tc>
          <w:tcPr>
            <w:tcW w:w="816" w:type="dxa"/>
            <w:vAlign w:val="center"/>
          </w:tcPr>
          <w:p>
            <w:pPr>
              <w:adjustRightInd w:val="0"/>
              <w:snapToGrid w:val="0"/>
              <w:jc w:val="center"/>
              <w:rPr>
                <w:rFonts w:ascii="宋体" w:cs="Times New Roman"/>
                <w:sz w:val="24"/>
                <w:szCs w:val="24"/>
              </w:rPr>
            </w:pPr>
            <w:r>
              <w:rPr>
                <w:rFonts w:ascii="宋体" w:hAnsi="宋体" w:cs="宋体"/>
                <w:sz w:val="24"/>
                <w:szCs w:val="24"/>
              </w:rPr>
              <w:t>4</w:t>
            </w:r>
            <w:r>
              <w:rPr>
                <w:rFonts w:hint="eastAsia" w:ascii="宋体" w:hAnsi="宋体" w:cs="宋体"/>
                <w:sz w:val="24"/>
                <w:szCs w:val="24"/>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vAlign w:val="center"/>
          </w:tcPr>
          <w:p>
            <w:pPr>
              <w:adjustRightInd w:val="0"/>
              <w:snapToGrid w:val="0"/>
              <w:jc w:val="center"/>
              <w:rPr>
                <w:rFonts w:ascii="宋体" w:hAnsi="宋体" w:cs="宋体"/>
                <w:sz w:val="24"/>
                <w:szCs w:val="24"/>
              </w:rPr>
            </w:pPr>
            <w:r>
              <w:rPr>
                <w:rFonts w:ascii="宋体" w:hAnsi="宋体" w:cs="宋体"/>
                <w:sz w:val="24"/>
                <w:szCs w:val="24"/>
              </w:rPr>
              <w:t>5</w:t>
            </w:r>
          </w:p>
        </w:tc>
        <w:tc>
          <w:tcPr>
            <w:tcW w:w="1843" w:type="dxa"/>
            <w:vAlign w:val="center"/>
          </w:tcPr>
          <w:p>
            <w:pPr>
              <w:adjustRightInd w:val="0"/>
              <w:snapToGrid w:val="0"/>
              <w:jc w:val="left"/>
              <w:rPr>
                <w:rFonts w:ascii="宋体" w:cs="Times New Roman"/>
                <w:sz w:val="24"/>
                <w:szCs w:val="24"/>
              </w:rPr>
            </w:pPr>
            <w:r>
              <w:rPr>
                <w:rFonts w:hint="eastAsia" w:ascii="宋体" w:hAnsi="宋体" w:cs="宋体"/>
                <w:sz w:val="24"/>
                <w:szCs w:val="24"/>
              </w:rPr>
              <w:t>中药调剂</w:t>
            </w:r>
          </w:p>
        </w:tc>
        <w:tc>
          <w:tcPr>
            <w:tcW w:w="1701" w:type="dxa"/>
            <w:vAlign w:val="center"/>
          </w:tcPr>
          <w:p>
            <w:pPr>
              <w:adjustRightInd w:val="0"/>
              <w:snapToGrid w:val="0"/>
              <w:jc w:val="left"/>
              <w:rPr>
                <w:rFonts w:ascii="宋体" w:cs="Times New Roman"/>
                <w:sz w:val="24"/>
                <w:szCs w:val="24"/>
              </w:rPr>
            </w:pPr>
            <w:r>
              <w:rPr>
                <w:rFonts w:hint="eastAsia" w:ascii="宋体" w:hAnsi="宋体" w:cs="宋体"/>
                <w:sz w:val="24"/>
                <w:szCs w:val="24"/>
              </w:rPr>
              <w:t>中药调剂</w:t>
            </w:r>
          </w:p>
        </w:tc>
        <w:tc>
          <w:tcPr>
            <w:tcW w:w="1559" w:type="dxa"/>
            <w:vAlign w:val="center"/>
          </w:tcPr>
          <w:p>
            <w:pPr>
              <w:adjustRightInd w:val="0"/>
              <w:snapToGrid w:val="0"/>
              <w:jc w:val="left"/>
              <w:rPr>
                <w:rFonts w:ascii="宋体" w:cs="Times New Roman"/>
                <w:sz w:val="24"/>
                <w:szCs w:val="24"/>
              </w:rPr>
            </w:pPr>
            <w:r>
              <w:rPr>
                <w:rFonts w:hint="eastAsia" w:ascii="宋体" w:cs="宋体"/>
                <w:sz w:val="24"/>
                <w:szCs w:val="24"/>
              </w:rPr>
              <w:t>有相关工作经历</w:t>
            </w:r>
          </w:p>
        </w:tc>
        <w:tc>
          <w:tcPr>
            <w:tcW w:w="2127" w:type="dxa"/>
            <w:vAlign w:val="center"/>
          </w:tcPr>
          <w:p>
            <w:pPr>
              <w:adjustRightInd w:val="0"/>
              <w:snapToGrid w:val="0"/>
              <w:jc w:val="left"/>
              <w:rPr>
                <w:rFonts w:ascii="宋体" w:cs="Times New Roman"/>
                <w:sz w:val="24"/>
                <w:szCs w:val="24"/>
              </w:rPr>
            </w:pPr>
            <w:r>
              <w:rPr>
                <w:rFonts w:hint="eastAsia" w:ascii="宋体" w:hAnsi="宋体" w:cs="宋体"/>
                <w:sz w:val="24"/>
                <w:szCs w:val="24"/>
              </w:rPr>
              <w:t>教授、副教授</w:t>
            </w:r>
            <w:r>
              <w:rPr>
                <w:rFonts w:ascii="宋体" w:hAnsi="宋体" w:cs="宋体"/>
                <w:sz w:val="24"/>
                <w:szCs w:val="24"/>
              </w:rPr>
              <w:t>/</w:t>
            </w:r>
            <w:r>
              <w:rPr>
                <w:rFonts w:hint="eastAsia" w:ascii="宋体" w:hAnsi="宋体" w:cs="宋体"/>
                <w:sz w:val="24"/>
                <w:szCs w:val="24"/>
              </w:rPr>
              <w:t>主任中药师、副主任中药师</w:t>
            </w:r>
          </w:p>
        </w:tc>
        <w:tc>
          <w:tcPr>
            <w:tcW w:w="816" w:type="dxa"/>
            <w:vAlign w:val="center"/>
          </w:tcPr>
          <w:p>
            <w:pPr>
              <w:adjustRightInd w:val="0"/>
              <w:snapToGrid w:val="0"/>
              <w:jc w:val="center"/>
              <w:rPr>
                <w:rFonts w:ascii="宋体" w:cs="Times New Roman"/>
                <w:sz w:val="24"/>
                <w:szCs w:val="24"/>
              </w:rPr>
            </w:pPr>
            <w:r>
              <w:rPr>
                <w:rFonts w:ascii="宋体" w:hAnsi="宋体" w:cs="宋体"/>
                <w:sz w:val="24"/>
                <w:szCs w:val="24"/>
              </w:rPr>
              <w:t>16</w:t>
            </w:r>
            <w:r>
              <w:rPr>
                <w:rFonts w:hint="eastAsia" w:ascii="宋体" w:hAnsi="宋体" w:cs="宋体"/>
                <w:sz w:val="24"/>
                <w:szCs w:val="24"/>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vAlign w:val="center"/>
          </w:tcPr>
          <w:p>
            <w:pPr>
              <w:adjustRightInd w:val="0"/>
              <w:snapToGrid w:val="0"/>
              <w:jc w:val="center"/>
              <w:rPr>
                <w:rFonts w:ascii="宋体" w:cs="Times New Roman"/>
                <w:sz w:val="24"/>
                <w:szCs w:val="24"/>
              </w:rPr>
            </w:pPr>
            <w:r>
              <w:rPr>
                <w:rFonts w:ascii="宋体" w:hAnsi="宋体" w:cs="宋体"/>
                <w:sz w:val="24"/>
                <w:szCs w:val="24"/>
              </w:rPr>
              <w:t>6</w:t>
            </w:r>
          </w:p>
        </w:tc>
        <w:tc>
          <w:tcPr>
            <w:tcW w:w="1843" w:type="dxa"/>
            <w:vAlign w:val="center"/>
          </w:tcPr>
          <w:p>
            <w:pPr>
              <w:adjustRightInd w:val="0"/>
              <w:snapToGrid w:val="0"/>
              <w:jc w:val="left"/>
              <w:rPr>
                <w:rFonts w:ascii="宋体" w:cs="Times New Roman"/>
                <w:sz w:val="24"/>
                <w:szCs w:val="24"/>
              </w:rPr>
            </w:pPr>
            <w:r>
              <w:rPr>
                <w:rFonts w:hint="eastAsia" w:ascii="宋体" w:hAnsi="宋体" w:cs="宋体"/>
                <w:sz w:val="24"/>
                <w:szCs w:val="24"/>
              </w:rPr>
              <w:t>中药炮制</w:t>
            </w:r>
          </w:p>
        </w:tc>
        <w:tc>
          <w:tcPr>
            <w:tcW w:w="1701" w:type="dxa"/>
            <w:vAlign w:val="center"/>
          </w:tcPr>
          <w:p>
            <w:pPr>
              <w:adjustRightInd w:val="0"/>
              <w:snapToGrid w:val="0"/>
              <w:jc w:val="left"/>
              <w:rPr>
                <w:rFonts w:ascii="宋体" w:cs="Times New Roman"/>
                <w:sz w:val="24"/>
                <w:szCs w:val="24"/>
              </w:rPr>
            </w:pPr>
            <w:r>
              <w:rPr>
                <w:rFonts w:hint="eastAsia" w:ascii="宋体" w:hAnsi="宋体" w:cs="宋体"/>
                <w:sz w:val="24"/>
                <w:szCs w:val="24"/>
              </w:rPr>
              <w:t>中药炮制</w:t>
            </w:r>
          </w:p>
        </w:tc>
        <w:tc>
          <w:tcPr>
            <w:tcW w:w="1559" w:type="dxa"/>
            <w:vAlign w:val="center"/>
          </w:tcPr>
          <w:p>
            <w:pPr>
              <w:adjustRightInd w:val="0"/>
              <w:snapToGrid w:val="0"/>
              <w:jc w:val="left"/>
              <w:rPr>
                <w:rFonts w:ascii="宋体" w:cs="Times New Roman"/>
                <w:sz w:val="24"/>
                <w:szCs w:val="24"/>
              </w:rPr>
            </w:pPr>
            <w:r>
              <w:rPr>
                <w:rFonts w:hint="eastAsia" w:ascii="宋体" w:cs="宋体"/>
                <w:sz w:val="24"/>
                <w:szCs w:val="24"/>
              </w:rPr>
              <w:t>有相关工作经历</w:t>
            </w:r>
          </w:p>
        </w:tc>
        <w:tc>
          <w:tcPr>
            <w:tcW w:w="2127" w:type="dxa"/>
            <w:vAlign w:val="center"/>
          </w:tcPr>
          <w:p>
            <w:pPr>
              <w:adjustRightInd w:val="0"/>
              <w:snapToGrid w:val="0"/>
              <w:jc w:val="left"/>
              <w:rPr>
                <w:rFonts w:ascii="宋体" w:cs="Times New Roman"/>
                <w:sz w:val="24"/>
                <w:szCs w:val="24"/>
              </w:rPr>
            </w:pPr>
            <w:r>
              <w:rPr>
                <w:rFonts w:hint="eastAsia" w:ascii="宋体" w:hAnsi="宋体" w:cs="宋体"/>
                <w:sz w:val="24"/>
                <w:szCs w:val="24"/>
              </w:rPr>
              <w:t>教授、副教授</w:t>
            </w:r>
            <w:r>
              <w:rPr>
                <w:rFonts w:ascii="宋体" w:hAnsi="宋体" w:cs="宋体"/>
                <w:sz w:val="24"/>
                <w:szCs w:val="24"/>
              </w:rPr>
              <w:t>/</w:t>
            </w:r>
            <w:r>
              <w:rPr>
                <w:rFonts w:hint="eastAsia" w:ascii="宋体" w:hAnsi="宋体" w:cs="宋体"/>
                <w:sz w:val="24"/>
                <w:szCs w:val="24"/>
              </w:rPr>
              <w:t>主任中药师、副主任中药师</w:t>
            </w:r>
          </w:p>
        </w:tc>
        <w:tc>
          <w:tcPr>
            <w:tcW w:w="816" w:type="dxa"/>
            <w:vAlign w:val="center"/>
          </w:tcPr>
          <w:p>
            <w:pPr>
              <w:adjustRightInd w:val="0"/>
              <w:snapToGrid w:val="0"/>
              <w:jc w:val="center"/>
              <w:rPr>
                <w:rFonts w:ascii="宋体" w:cs="Times New Roman"/>
                <w:sz w:val="24"/>
                <w:szCs w:val="24"/>
              </w:rPr>
            </w:pPr>
            <w:r>
              <w:rPr>
                <w:rFonts w:ascii="宋体" w:hAnsi="宋体" w:cs="宋体"/>
                <w:sz w:val="24"/>
                <w:szCs w:val="24"/>
              </w:rPr>
              <w:t>8</w:t>
            </w:r>
            <w:r>
              <w:rPr>
                <w:rFonts w:hint="eastAsia" w:ascii="宋体" w:hAnsi="宋体" w:cs="宋体"/>
                <w:sz w:val="24"/>
                <w:szCs w:val="24"/>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bottom w:val="single" w:color="auto" w:sz="8" w:space="0"/>
            </w:tcBorders>
            <w:vAlign w:val="center"/>
          </w:tcPr>
          <w:p>
            <w:pPr>
              <w:adjustRightInd w:val="0"/>
              <w:snapToGrid w:val="0"/>
              <w:jc w:val="center"/>
              <w:rPr>
                <w:rFonts w:ascii="宋体" w:cs="Times New Roman"/>
                <w:b/>
                <w:sz w:val="24"/>
                <w:szCs w:val="24"/>
              </w:rPr>
            </w:pPr>
            <w:r>
              <w:rPr>
                <w:rFonts w:hint="eastAsia" w:ascii="宋体" w:hAnsi="宋体" w:cs="宋体"/>
                <w:b/>
                <w:sz w:val="24"/>
                <w:szCs w:val="24"/>
              </w:rPr>
              <w:t>裁判总人数</w:t>
            </w:r>
          </w:p>
        </w:tc>
        <w:tc>
          <w:tcPr>
            <w:tcW w:w="8046" w:type="dxa"/>
            <w:gridSpan w:val="5"/>
            <w:tcBorders>
              <w:bottom w:val="single" w:color="auto" w:sz="8" w:space="0"/>
            </w:tcBorders>
            <w:vAlign w:val="center"/>
          </w:tcPr>
          <w:p>
            <w:pPr>
              <w:adjustRightInd w:val="0"/>
              <w:snapToGrid w:val="0"/>
              <w:ind w:firstLine="240" w:firstLineChars="100"/>
              <w:rPr>
                <w:rFonts w:ascii="宋体" w:cs="Times New Roman"/>
                <w:sz w:val="24"/>
                <w:szCs w:val="24"/>
              </w:rPr>
            </w:pPr>
            <w:r>
              <w:rPr>
                <w:rFonts w:ascii="宋体" w:hAnsi="宋体" w:cs="宋体"/>
                <w:sz w:val="24"/>
                <w:szCs w:val="24"/>
              </w:rPr>
              <w:t>37</w:t>
            </w:r>
            <w:r>
              <w:rPr>
                <w:rFonts w:hint="eastAsia" w:ascii="宋体" w:hAnsi="宋体" w:cs="宋体"/>
                <w:sz w:val="24"/>
                <w:szCs w:val="24"/>
              </w:rPr>
              <w:t>人（含裁判长</w:t>
            </w:r>
            <w:r>
              <w:rPr>
                <w:rFonts w:ascii="宋体" w:hAnsi="宋体" w:cs="宋体"/>
                <w:sz w:val="24"/>
                <w:szCs w:val="24"/>
              </w:rPr>
              <w:t>1</w:t>
            </w:r>
            <w:r>
              <w:rPr>
                <w:rFonts w:hint="eastAsia" w:ascii="宋体" w:hAnsi="宋体" w:cs="宋体"/>
                <w:sz w:val="24"/>
                <w:szCs w:val="24"/>
              </w:rPr>
              <w:t>名、裁判</w:t>
            </w:r>
            <w:r>
              <w:rPr>
                <w:rFonts w:ascii="宋体" w:hAnsi="宋体" w:cs="宋体"/>
                <w:sz w:val="24"/>
                <w:szCs w:val="24"/>
              </w:rPr>
              <w:t>36</w:t>
            </w:r>
            <w:r>
              <w:rPr>
                <w:rFonts w:hint="eastAsia" w:ascii="宋体" w:hAnsi="宋体" w:cs="宋体"/>
                <w:sz w:val="24"/>
                <w:szCs w:val="24"/>
              </w:rPr>
              <w:t>人）</w:t>
            </w:r>
          </w:p>
        </w:tc>
      </w:tr>
    </w:tbl>
    <w:p>
      <w:pPr>
        <w:snapToGrid w:val="0"/>
        <w:spacing w:line="560" w:lineRule="exact"/>
        <w:ind w:firstLine="602" w:firstLineChars="200"/>
        <w:rPr>
          <w:rFonts w:ascii="Arial Narrow" w:hAnsi="Arial Narrow" w:eastAsia="仿宋_GB2312" w:cs="仿宋_GB2312"/>
          <w:b/>
          <w:bCs/>
          <w:sz w:val="30"/>
          <w:szCs w:val="30"/>
        </w:rPr>
      </w:pPr>
      <w:r>
        <w:rPr>
          <w:rFonts w:hint="eastAsia" w:ascii="Arial Narrow" w:hAnsi="Arial Narrow" w:eastAsia="仿宋_GB2312" w:cs="仿宋_GB2312"/>
          <w:b/>
          <w:bCs/>
          <w:sz w:val="30"/>
          <w:szCs w:val="30"/>
        </w:rPr>
        <w:t>二十、赛题公开</w:t>
      </w:r>
      <w:bookmarkStart w:id="16" w:name="_GoBack"/>
      <w:r>
        <w:rPr>
          <w:rFonts w:hint="eastAsia" w:ascii="Arial Narrow" w:hAnsi="Arial Narrow" w:eastAsia="仿宋_GB2312" w:cs="仿宋_GB2312"/>
          <w:b/>
          <w:bCs/>
          <w:sz w:val="30"/>
          <w:szCs w:val="30"/>
        </w:rPr>
        <w:t>承诺</w:t>
      </w:r>
      <w:bookmarkEnd w:id="16"/>
    </w:p>
    <w:p>
      <w:pPr>
        <w:snapToGrid w:val="0"/>
        <w:spacing w:line="560" w:lineRule="exact"/>
        <w:ind w:firstLine="600" w:firstLineChars="200"/>
        <w:rPr>
          <w:rFonts w:ascii="黑体" w:hAnsi="黑体" w:eastAsia="黑体" w:cs="黑体"/>
          <w:b/>
          <w:sz w:val="30"/>
          <w:szCs w:val="30"/>
        </w:rPr>
      </w:pPr>
      <w:r>
        <w:rPr>
          <w:rFonts w:hint="eastAsia" w:ascii="仿宋_GB2312" w:eastAsia="仿宋_GB2312"/>
          <w:sz w:val="30"/>
          <w:szCs w:val="30"/>
        </w:rPr>
        <w:t>公开承诺：本赛项保证于开赛1个月前在大赛网络信息发布平台上（www.chinaskills-jsw.org)公开四个子项目的赛题样题，并将350味中药知识点、技能点以赛题库的形式公开。</w:t>
      </w:r>
    </w:p>
    <w:p>
      <w:pPr>
        <w:snapToGrid w:val="0"/>
        <w:spacing w:line="560" w:lineRule="exact"/>
        <w:ind w:firstLine="602" w:firstLineChars="200"/>
        <w:rPr>
          <w:rFonts w:ascii="Arial Narrow" w:hAnsi="Arial Narrow" w:eastAsia="仿宋_GB2312" w:cs="Times New Roman"/>
          <w:b/>
          <w:bCs/>
          <w:sz w:val="30"/>
          <w:szCs w:val="30"/>
        </w:rPr>
      </w:pPr>
      <w:r>
        <w:rPr>
          <w:rFonts w:hint="eastAsia" w:ascii="Arial Narrow" w:hAnsi="Arial Narrow" w:eastAsia="仿宋_GB2312" w:cs="仿宋_GB2312"/>
          <w:b/>
          <w:bCs/>
          <w:sz w:val="30"/>
          <w:szCs w:val="30"/>
        </w:rPr>
        <w:t>二十一、其他</w:t>
      </w:r>
    </w:p>
    <w:p>
      <w:pPr>
        <w:snapToGrid w:val="0"/>
        <w:spacing w:line="560" w:lineRule="exact"/>
        <w:ind w:firstLine="594" w:firstLineChars="198"/>
        <w:jc w:val="left"/>
        <w:rPr>
          <w:rFonts w:ascii="仿宋_GB2312" w:eastAsia="仿宋_GB2312" w:cs="Times New Roman"/>
          <w:sz w:val="30"/>
          <w:szCs w:val="30"/>
        </w:rPr>
      </w:pPr>
      <w:r>
        <w:rPr>
          <w:rFonts w:hint="eastAsia" w:ascii="仿宋_GB2312" w:eastAsia="仿宋_GB2312" w:cs="仿宋_GB2312"/>
          <w:sz w:val="30"/>
          <w:szCs w:val="30"/>
        </w:rPr>
        <w:t>中药传统技能赛项专职联络人信息</w:t>
      </w:r>
    </w:p>
    <w:p>
      <w:pPr>
        <w:snapToGrid w:val="0"/>
        <w:spacing w:line="560" w:lineRule="exact"/>
        <w:jc w:val="center"/>
        <w:rPr>
          <w:rFonts w:ascii="仿宋_GB2312" w:eastAsia="仿宋_GB2312" w:cs="Times New Roman"/>
          <w:b/>
          <w:bCs/>
          <w:sz w:val="30"/>
          <w:szCs w:val="30"/>
        </w:rPr>
      </w:pPr>
      <w:r>
        <w:rPr>
          <w:rFonts w:hint="eastAsia" w:ascii="仿宋_GB2312" w:eastAsia="仿宋_GB2312" w:cs="仿宋_GB2312"/>
          <w:b/>
          <w:bCs/>
          <w:sz w:val="30"/>
          <w:szCs w:val="30"/>
        </w:rPr>
        <w:t>表</w:t>
      </w:r>
      <w:r>
        <w:rPr>
          <w:rFonts w:ascii="仿宋_GB2312" w:eastAsia="仿宋_GB2312" w:cs="仿宋_GB2312"/>
          <w:b/>
          <w:bCs/>
          <w:sz w:val="30"/>
          <w:szCs w:val="30"/>
        </w:rPr>
        <w:t xml:space="preserve">16  </w:t>
      </w:r>
      <w:r>
        <w:rPr>
          <w:rFonts w:hint="eastAsia" w:ascii="仿宋_GB2312" w:eastAsia="仿宋_GB2312" w:cs="仿宋_GB2312"/>
          <w:b/>
          <w:bCs/>
          <w:sz w:val="30"/>
          <w:szCs w:val="30"/>
        </w:rPr>
        <w:t>中药传统技能赛项专职联络人的具体情况表</w:t>
      </w:r>
    </w:p>
    <w:p>
      <w:pPr>
        <w:snapToGrid w:val="0"/>
        <w:spacing w:line="560" w:lineRule="exact"/>
        <w:jc w:val="left"/>
        <w:rPr>
          <w:rFonts w:ascii="仿宋_GB2312" w:hAnsi="Arial Narrow" w:eastAsia="仿宋_GB2312" w:cs="Times New Roman"/>
          <w:sz w:val="30"/>
          <w:szCs w:val="30"/>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A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cs="Times New Roman"/>
      </w:rPr>
    </w:pPr>
    <w:r>
      <w:fldChar w:fldCharType="begin"/>
    </w:r>
    <w:r>
      <w:instrText xml:space="preserve"> PAGE  \* MERGEFORMAT </w:instrText>
    </w:r>
    <w:r>
      <w:fldChar w:fldCharType="separate"/>
    </w:r>
    <w:r>
      <w:t>6</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00EC6"/>
    <w:rsid w:val="00003D01"/>
    <w:rsid w:val="0002201A"/>
    <w:rsid w:val="000232B0"/>
    <w:rsid w:val="00025AB4"/>
    <w:rsid w:val="000307F2"/>
    <w:rsid w:val="00031775"/>
    <w:rsid w:val="00033558"/>
    <w:rsid w:val="00034E9E"/>
    <w:rsid w:val="00044719"/>
    <w:rsid w:val="000451C2"/>
    <w:rsid w:val="00046DDD"/>
    <w:rsid w:val="0006032C"/>
    <w:rsid w:val="00093F57"/>
    <w:rsid w:val="00097B12"/>
    <w:rsid w:val="000B41C5"/>
    <w:rsid w:val="000B7B16"/>
    <w:rsid w:val="000C2A60"/>
    <w:rsid w:val="000E6D74"/>
    <w:rsid w:val="000E7DBE"/>
    <w:rsid w:val="000F2031"/>
    <w:rsid w:val="000F74E0"/>
    <w:rsid w:val="00111DF1"/>
    <w:rsid w:val="00122C3D"/>
    <w:rsid w:val="0012639A"/>
    <w:rsid w:val="001335D7"/>
    <w:rsid w:val="00134EE3"/>
    <w:rsid w:val="001360FF"/>
    <w:rsid w:val="00136D51"/>
    <w:rsid w:val="001374A5"/>
    <w:rsid w:val="0014055C"/>
    <w:rsid w:val="00156515"/>
    <w:rsid w:val="0017159A"/>
    <w:rsid w:val="00173219"/>
    <w:rsid w:val="00177947"/>
    <w:rsid w:val="001905C1"/>
    <w:rsid w:val="001916CB"/>
    <w:rsid w:val="00193C4C"/>
    <w:rsid w:val="001A7F60"/>
    <w:rsid w:val="001B481D"/>
    <w:rsid w:val="001D2E14"/>
    <w:rsid w:val="001D4F9E"/>
    <w:rsid w:val="001E0601"/>
    <w:rsid w:val="001E09CB"/>
    <w:rsid w:val="001F693F"/>
    <w:rsid w:val="00202478"/>
    <w:rsid w:val="00204227"/>
    <w:rsid w:val="00205BB2"/>
    <w:rsid w:val="00215888"/>
    <w:rsid w:val="00222B52"/>
    <w:rsid w:val="00225727"/>
    <w:rsid w:val="0023349A"/>
    <w:rsid w:val="00233C10"/>
    <w:rsid w:val="00237CB6"/>
    <w:rsid w:val="00244FD5"/>
    <w:rsid w:val="00271E52"/>
    <w:rsid w:val="002738A3"/>
    <w:rsid w:val="0027508F"/>
    <w:rsid w:val="00276FEB"/>
    <w:rsid w:val="00277E97"/>
    <w:rsid w:val="00282761"/>
    <w:rsid w:val="0028758D"/>
    <w:rsid w:val="00291B4E"/>
    <w:rsid w:val="00293380"/>
    <w:rsid w:val="00293EF9"/>
    <w:rsid w:val="00294A1C"/>
    <w:rsid w:val="002A43B8"/>
    <w:rsid w:val="002B1B1D"/>
    <w:rsid w:val="002B3ACF"/>
    <w:rsid w:val="002B45D2"/>
    <w:rsid w:val="002D2F49"/>
    <w:rsid w:val="002E364C"/>
    <w:rsid w:val="002E74FF"/>
    <w:rsid w:val="002F1242"/>
    <w:rsid w:val="002F5001"/>
    <w:rsid w:val="002F6976"/>
    <w:rsid w:val="00304C7E"/>
    <w:rsid w:val="00336063"/>
    <w:rsid w:val="0034502C"/>
    <w:rsid w:val="003475DA"/>
    <w:rsid w:val="00354E3D"/>
    <w:rsid w:val="003576A5"/>
    <w:rsid w:val="00366513"/>
    <w:rsid w:val="00372EBE"/>
    <w:rsid w:val="00375A56"/>
    <w:rsid w:val="00376980"/>
    <w:rsid w:val="003867AA"/>
    <w:rsid w:val="00386B97"/>
    <w:rsid w:val="003B25ED"/>
    <w:rsid w:val="003B513E"/>
    <w:rsid w:val="003D71F8"/>
    <w:rsid w:val="003D78F1"/>
    <w:rsid w:val="003F1535"/>
    <w:rsid w:val="003F5B83"/>
    <w:rsid w:val="004049C8"/>
    <w:rsid w:val="00414D9C"/>
    <w:rsid w:val="004271E9"/>
    <w:rsid w:val="004456B7"/>
    <w:rsid w:val="00453CC3"/>
    <w:rsid w:val="00457FA1"/>
    <w:rsid w:val="00467891"/>
    <w:rsid w:val="00472AAA"/>
    <w:rsid w:val="00480A9A"/>
    <w:rsid w:val="004979FD"/>
    <w:rsid w:val="004B5299"/>
    <w:rsid w:val="004C4A5F"/>
    <w:rsid w:val="004C57D2"/>
    <w:rsid w:val="004D1A48"/>
    <w:rsid w:val="004D247B"/>
    <w:rsid w:val="004D2DD5"/>
    <w:rsid w:val="004D2FF0"/>
    <w:rsid w:val="004D4178"/>
    <w:rsid w:val="004E0F22"/>
    <w:rsid w:val="004E254E"/>
    <w:rsid w:val="004E2CF5"/>
    <w:rsid w:val="004E3511"/>
    <w:rsid w:val="004F2344"/>
    <w:rsid w:val="004F47BD"/>
    <w:rsid w:val="004F6683"/>
    <w:rsid w:val="00517BFE"/>
    <w:rsid w:val="0053428B"/>
    <w:rsid w:val="005640CF"/>
    <w:rsid w:val="0056554A"/>
    <w:rsid w:val="0056618C"/>
    <w:rsid w:val="0057025C"/>
    <w:rsid w:val="00575EED"/>
    <w:rsid w:val="0058239E"/>
    <w:rsid w:val="00590749"/>
    <w:rsid w:val="00591BD6"/>
    <w:rsid w:val="00593164"/>
    <w:rsid w:val="005A0436"/>
    <w:rsid w:val="005A0C2B"/>
    <w:rsid w:val="005A4993"/>
    <w:rsid w:val="005A4A2F"/>
    <w:rsid w:val="005B60A3"/>
    <w:rsid w:val="005B732C"/>
    <w:rsid w:val="005C7430"/>
    <w:rsid w:val="005D164F"/>
    <w:rsid w:val="005D3538"/>
    <w:rsid w:val="005D50C0"/>
    <w:rsid w:val="005D68B4"/>
    <w:rsid w:val="005F15AB"/>
    <w:rsid w:val="005F5415"/>
    <w:rsid w:val="005F6070"/>
    <w:rsid w:val="00601A16"/>
    <w:rsid w:val="00605863"/>
    <w:rsid w:val="0061283D"/>
    <w:rsid w:val="0061406B"/>
    <w:rsid w:val="00624D47"/>
    <w:rsid w:val="00631926"/>
    <w:rsid w:val="006320B4"/>
    <w:rsid w:val="00634997"/>
    <w:rsid w:val="006376F8"/>
    <w:rsid w:val="00657EF4"/>
    <w:rsid w:val="00682B1C"/>
    <w:rsid w:val="00682D1C"/>
    <w:rsid w:val="00686E09"/>
    <w:rsid w:val="0069746A"/>
    <w:rsid w:val="00697FBB"/>
    <w:rsid w:val="006A06C2"/>
    <w:rsid w:val="006C0252"/>
    <w:rsid w:val="006C2F91"/>
    <w:rsid w:val="006C3B59"/>
    <w:rsid w:val="006D4C28"/>
    <w:rsid w:val="006D556A"/>
    <w:rsid w:val="006E7A03"/>
    <w:rsid w:val="006F5F45"/>
    <w:rsid w:val="006F62CC"/>
    <w:rsid w:val="00735374"/>
    <w:rsid w:val="00756A7A"/>
    <w:rsid w:val="00760A49"/>
    <w:rsid w:val="007639D3"/>
    <w:rsid w:val="007761E1"/>
    <w:rsid w:val="00777CD2"/>
    <w:rsid w:val="007834E1"/>
    <w:rsid w:val="00785D6E"/>
    <w:rsid w:val="007922E0"/>
    <w:rsid w:val="007A08D0"/>
    <w:rsid w:val="007A496F"/>
    <w:rsid w:val="007B02CB"/>
    <w:rsid w:val="007B1B6F"/>
    <w:rsid w:val="007B43D7"/>
    <w:rsid w:val="007B72F0"/>
    <w:rsid w:val="007C26DC"/>
    <w:rsid w:val="007D1D46"/>
    <w:rsid w:val="007D4EAF"/>
    <w:rsid w:val="007E3562"/>
    <w:rsid w:val="007E43F8"/>
    <w:rsid w:val="007F6BD0"/>
    <w:rsid w:val="00823D58"/>
    <w:rsid w:val="00827D49"/>
    <w:rsid w:val="00830D21"/>
    <w:rsid w:val="00843957"/>
    <w:rsid w:val="00843BC7"/>
    <w:rsid w:val="00852706"/>
    <w:rsid w:val="00860984"/>
    <w:rsid w:val="00866667"/>
    <w:rsid w:val="0088506E"/>
    <w:rsid w:val="008A42B2"/>
    <w:rsid w:val="008A723C"/>
    <w:rsid w:val="008B314C"/>
    <w:rsid w:val="008B4F55"/>
    <w:rsid w:val="008D10A7"/>
    <w:rsid w:val="008D2A04"/>
    <w:rsid w:val="008D3DAF"/>
    <w:rsid w:val="008E3A98"/>
    <w:rsid w:val="008F5D56"/>
    <w:rsid w:val="00904491"/>
    <w:rsid w:val="00914EFB"/>
    <w:rsid w:val="00924F01"/>
    <w:rsid w:val="0094228B"/>
    <w:rsid w:val="00967460"/>
    <w:rsid w:val="0097683B"/>
    <w:rsid w:val="0099116D"/>
    <w:rsid w:val="009B4EB8"/>
    <w:rsid w:val="009B7F91"/>
    <w:rsid w:val="009C29AF"/>
    <w:rsid w:val="009C6CA1"/>
    <w:rsid w:val="009D2F25"/>
    <w:rsid w:val="009D3343"/>
    <w:rsid w:val="009E2932"/>
    <w:rsid w:val="009E7158"/>
    <w:rsid w:val="009F2465"/>
    <w:rsid w:val="009F33BB"/>
    <w:rsid w:val="009F52B0"/>
    <w:rsid w:val="00A010BE"/>
    <w:rsid w:val="00A01217"/>
    <w:rsid w:val="00A06EF9"/>
    <w:rsid w:val="00A114FC"/>
    <w:rsid w:val="00A25285"/>
    <w:rsid w:val="00A4540A"/>
    <w:rsid w:val="00A7203C"/>
    <w:rsid w:val="00A74CD8"/>
    <w:rsid w:val="00A7584B"/>
    <w:rsid w:val="00A85E8D"/>
    <w:rsid w:val="00A85E98"/>
    <w:rsid w:val="00A92B9E"/>
    <w:rsid w:val="00A95ACB"/>
    <w:rsid w:val="00AA26F8"/>
    <w:rsid w:val="00AA5AE4"/>
    <w:rsid w:val="00AB3DE7"/>
    <w:rsid w:val="00AC0DD8"/>
    <w:rsid w:val="00AC7D2E"/>
    <w:rsid w:val="00AF00D9"/>
    <w:rsid w:val="00B0272C"/>
    <w:rsid w:val="00B12EE8"/>
    <w:rsid w:val="00B15A98"/>
    <w:rsid w:val="00B35D2F"/>
    <w:rsid w:val="00B45433"/>
    <w:rsid w:val="00B5053A"/>
    <w:rsid w:val="00B63DF5"/>
    <w:rsid w:val="00B650C3"/>
    <w:rsid w:val="00B76EA1"/>
    <w:rsid w:val="00B9245E"/>
    <w:rsid w:val="00B93951"/>
    <w:rsid w:val="00BA18FF"/>
    <w:rsid w:val="00BB7119"/>
    <w:rsid w:val="00BC1EAB"/>
    <w:rsid w:val="00BE1676"/>
    <w:rsid w:val="00BE64C2"/>
    <w:rsid w:val="00C066C4"/>
    <w:rsid w:val="00C0673C"/>
    <w:rsid w:val="00C076C9"/>
    <w:rsid w:val="00C15D7E"/>
    <w:rsid w:val="00C17B79"/>
    <w:rsid w:val="00C23559"/>
    <w:rsid w:val="00C36C07"/>
    <w:rsid w:val="00C40D53"/>
    <w:rsid w:val="00C719ED"/>
    <w:rsid w:val="00C83DAC"/>
    <w:rsid w:val="00CA160E"/>
    <w:rsid w:val="00CB119C"/>
    <w:rsid w:val="00CD7A87"/>
    <w:rsid w:val="00CF4D74"/>
    <w:rsid w:val="00D101FD"/>
    <w:rsid w:val="00D20612"/>
    <w:rsid w:val="00D235C1"/>
    <w:rsid w:val="00D2438D"/>
    <w:rsid w:val="00D260B8"/>
    <w:rsid w:val="00D34007"/>
    <w:rsid w:val="00D37567"/>
    <w:rsid w:val="00D453E6"/>
    <w:rsid w:val="00D5163F"/>
    <w:rsid w:val="00D52665"/>
    <w:rsid w:val="00D701E0"/>
    <w:rsid w:val="00D817F4"/>
    <w:rsid w:val="00D85880"/>
    <w:rsid w:val="00D85BF0"/>
    <w:rsid w:val="00D90407"/>
    <w:rsid w:val="00D946D1"/>
    <w:rsid w:val="00DA13BE"/>
    <w:rsid w:val="00DA6894"/>
    <w:rsid w:val="00DD1EC9"/>
    <w:rsid w:val="00DE0F52"/>
    <w:rsid w:val="00DE2114"/>
    <w:rsid w:val="00DE404C"/>
    <w:rsid w:val="00E0504B"/>
    <w:rsid w:val="00E075B6"/>
    <w:rsid w:val="00E077B5"/>
    <w:rsid w:val="00E15A03"/>
    <w:rsid w:val="00E22E2B"/>
    <w:rsid w:val="00E2582C"/>
    <w:rsid w:val="00E41749"/>
    <w:rsid w:val="00E42DC1"/>
    <w:rsid w:val="00E603CA"/>
    <w:rsid w:val="00E623E6"/>
    <w:rsid w:val="00E65D70"/>
    <w:rsid w:val="00E878EE"/>
    <w:rsid w:val="00E91A68"/>
    <w:rsid w:val="00E96939"/>
    <w:rsid w:val="00EA69F6"/>
    <w:rsid w:val="00EB0380"/>
    <w:rsid w:val="00EC0BBF"/>
    <w:rsid w:val="00EC5B4A"/>
    <w:rsid w:val="00ED3445"/>
    <w:rsid w:val="00ED4869"/>
    <w:rsid w:val="00EE0489"/>
    <w:rsid w:val="00EF3F83"/>
    <w:rsid w:val="00EF4FB4"/>
    <w:rsid w:val="00F11D84"/>
    <w:rsid w:val="00F218B5"/>
    <w:rsid w:val="00F45CFD"/>
    <w:rsid w:val="00F65F0E"/>
    <w:rsid w:val="00F67C36"/>
    <w:rsid w:val="00F7356A"/>
    <w:rsid w:val="00F801AE"/>
    <w:rsid w:val="00F87942"/>
    <w:rsid w:val="00F941F5"/>
    <w:rsid w:val="00F97129"/>
    <w:rsid w:val="00FD0231"/>
    <w:rsid w:val="00FD1F6A"/>
    <w:rsid w:val="00FD2DE5"/>
    <w:rsid w:val="00FD7068"/>
    <w:rsid w:val="00FE2A8D"/>
    <w:rsid w:val="00FE724D"/>
    <w:rsid w:val="00FE7EE6"/>
    <w:rsid w:val="01EA3CB9"/>
    <w:rsid w:val="10907F32"/>
    <w:rsid w:val="15405F2B"/>
    <w:rsid w:val="28627691"/>
    <w:rsid w:val="33807D1B"/>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qFormat="1" w:unhideWhenUsed="0" w:uiPriority="0" w:semiHidden="0" w:name="footnote text"/>
    <w:lsdException w:unhideWhenUsed="0" w:uiPriority="99" w:name="annotation text"/>
    <w:lsdException w:unhideWhenUsed="0" w:uiPriority="99" w:semiHidden="0" w:name="header"/>
    <w:lsdException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0" w:semiHidden="0" w:name="footnote reference"/>
    <w:lsdException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6"/>
    <w:qFormat/>
    <w:uiPriority w:val="99"/>
    <w:pPr>
      <w:keepNext/>
      <w:outlineLvl w:val="0"/>
    </w:pPr>
    <w:rPr>
      <w:rFonts w:ascii="Times New Roman" w:hAnsi="Times New Roman" w:cs="Times New Roman"/>
      <w:b/>
      <w:bCs/>
      <w:sz w:val="24"/>
      <w:szCs w:val="24"/>
    </w:rPr>
  </w:style>
  <w:style w:type="character" w:default="1" w:styleId="10">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18"/>
    <w:semiHidden/>
    <w:uiPriority w:val="99"/>
    <w:rPr>
      <w:b/>
      <w:bCs/>
    </w:rPr>
  </w:style>
  <w:style w:type="paragraph" w:styleId="4">
    <w:name w:val="annotation text"/>
    <w:basedOn w:val="1"/>
    <w:link w:val="17"/>
    <w:semiHidden/>
    <w:uiPriority w:val="99"/>
    <w:pPr>
      <w:jc w:val="left"/>
    </w:pPr>
    <w:rPr>
      <w:sz w:val="22"/>
      <w:szCs w:val="22"/>
    </w:rPr>
  </w:style>
  <w:style w:type="paragraph" w:styleId="5">
    <w:name w:val="Balloon Text"/>
    <w:basedOn w:val="1"/>
    <w:link w:val="19"/>
    <w:semiHidden/>
    <w:uiPriority w:val="99"/>
    <w:rPr>
      <w:sz w:val="18"/>
      <w:szCs w:val="18"/>
    </w:rPr>
  </w:style>
  <w:style w:type="paragraph" w:styleId="6">
    <w:name w:val="footer"/>
    <w:basedOn w:val="1"/>
    <w:link w:val="20"/>
    <w:uiPriority w:val="99"/>
    <w:pPr>
      <w:tabs>
        <w:tab w:val="center" w:pos="4153"/>
        <w:tab w:val="right" w:pos="8306"/>
      </w:tabs>
      <w:snapToGrid w:val="0"/>
      <w:jc w:val="left"/>
    </w:pPr>
    <w:rPr>
      <w:sz w:val="22"/>
      <w:szCs w:val="22"/>
    </w:rPr>
  </w:style>
  <w:style w:type="paragraph" w:styleId="7">
    <w:name w:val="header"/>
    <w:basedOn w:val="1"/>
    <w:link w:val="21"/>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22"/>
      <w:szCs w:val="22"/>
    </w:rPr>
  </w:style>
  <w:style w:type="paragraph" w:styleId="8">
    <w:name w:val="footnote text"/>
    <w:basedOn w:val="1"/>
    <w:link w:val="22"/>
    <w:qFormat/>
    <w:uiPriority w:val="0"/>
    <w:pPr>
      <w:snapToGrid w:val="0"/>
      <w:jc w:val="left"/>
    </w:pPr>
    <w:rPr>
      <w:kern w:val="0"/>
      <w:sz w:val="18"/>
      <w:szCs w:val="18"/>
    </w:rPr>
  </w:style>
  <w:style w:type="paragraph" w:styleId="9">
    <w:name w:val="Normal (Web)"/>
    <w:basedOn w:val="1"/>
    <w:uiPriority w:val="99"/>
    <w:pPr>
      <w:widowControl/>
      <w:spacing w:before="100" w:beforeAutospacing="1" w:after="100" w:afterAutospacing="1"/>
      <w:jc w:val="left"/>
    </w:pPr>
    <w:rPr>
      <w:rFonts w:ascii="宋体" w:hAnsi="宋体" w:cs="宋体"/>
      <w:kern w:val="0"/>
      <w:sz w:val="24"/>
      <w:szCs w:val="24"/>
    </w:rPr>
  </w:style>
  <w:style w:type="character" w:styleId="11">
    <w:name w:val="Hyperlink"/>
    <w:basedOn w:val="10"/>
    <w:unhideWhenUsed/>
    <w:locked/>
    <w:uiPriority w:val="99"/>
    <w:rPr>
      <w:color w:val="0000FF" w:themeColor="hyperlink"/>
      <w:u w:val="single"/>
    </w:rPr>
  </w:style>
  <w:style w:type="character" w:styleId="12">
    <w:name w:val="annotation reference"/>
    <w:basedOn w:val="10"/>
    <w:semiHidden/>
    <w:uiPriority w:val="99"/>
    <w:rPr>
      <w:sz w:val="21"/>
      <w:szCs w:val="21"/>
    </w:rPr>
  </w:style>
  <w:style w:type="character" w:styleId="13">
    <w:name w:val="footnote reference"/>
    <w:basedOn w:val="10"/>
    <w:qFormat/>
    <w:uiPriority w:val="0"/>
    <w:rPr>
      <w:vertAlign w:val="superscript"/>
    </w:rPr>
  </w:style>
  <w:style w:type="table" w:styleId="15">
    <w:name w:val="Table Grid"/>
    <w:basedOn w:val="14"/>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标题 1 Char"/>
    <w:basedOn w:val="10"/>
    <w:link w:val="2"/>
    <w:locked/>
    <w:uiPriority w:val="99"/>
    <w:rPr>
      <w:rFonts w:ascii="Times New Roman" w:hAnsi="Times New Roman" w:eastAsia="宋体" w:cs="Times New Roman"/>
      <w:b/>
      <w:bCs/>
      <w:kern w:val="2"/>
      <w:sz w:val="24"/>
      <w:szCs w:val="24"/>
    </w:rPr>
  </w:style>
  <w:style w:type="character" w:customStyle="1" w:styleId="17">
    <w:name w:val="批注文字 Char"/>
    <w:basedOn w:val="10"/>
    <w:link w:val="4"/>
    <w:locked/>
    <w:uiPriority w:val="99"/>
    <w:rPr>
      <w:kern w:val="2"/>
      <w:sz w:val="22"/>
      <w:szCs w:val="22"/>
    </w:rPr>
  </w:style>
  <w:style w:type="character" w:customStyle="1" w:styleId="18">
    <w:name w:val="批注主题 Char"/>
    <w:basedOn w:val="17"/>
    <w:link w:val="3"/>
    <w:locked/>
    <w:uiPriority w:val="99"/>
    <w:rPr>
      <w:b/>
      <w:bCs/>
      <w:kern w:val="2"/>
      <w:sz w:val="22"/>
      <w:szCs w:val="22"/>
    </w:rPr>
  </w:style>
  <w:style w:type="character" w:customStyle="1" w:styleId="19">
    <w:name w:val="批注框文本 Char"/>
    <w:basedOn w:val="10"/>
    <w:link w:val="5"/>
    <w:locked/>
    <w:uiPriority w:val="99"/>
    <w:rPr>
      <w:kern w:val="2"/>
      <w:sz w:val="18"/>
      <w:szCs w:val="18"/>
    </w:rPr>
  </w:style>
  <w:style w:type="character" w:customStyle="1" w:styleId="20">
    <w:name w:val="页脚 Char"/>
    <w:basedOn w:val="10"/>
    <w:link w:val="6"/>
    <w:locked/>
    <w:uiPriority w:val="99"/>
    <w:rPr>
      <w:kern w:val="2"/>
      <w:sz w:val="22"/>
      <w:szCs w:val="22"/>
    </w:rPr>
  </w:style>
  <w:style w:type="character" w:customStyle="1" w:styleId="21">
    <w:name w:val="页眉 Char"/>
    <w:basedOn w:val="10"/>
    <w:link w:val="7"/>
    <w:locked/>
    <w:uiPriority w:val="99"/>
    <w:rPr>
      <w:kern w:val="2"/>
      <w:sz w:val="22"/>
      <w:szCs w:val="22"/>
    </w:rPr>
  </w:style>
  <w:style w:type="character" w:customStyle="1" w:styleId="22">
    <w:name w:val="脚注文本 Char"/>
    <w:basedOn w:val="10"/>
    <w:link w:val="8"/>
    <w:locked/>
    <w:uiPriority w:val="0"/>
    <w:rPr>
      <w:sz w:val="18"/>
      <w:szCs w:val="18"/>
    </w:rPr>
  </w:style>
  <w:style w:type="paragraph" w:styleId="23">
    <w:name w:val="List Paragraph"/>
    <w:basedOn w:val="1"/>
    <w:qFormat/>
    <w:uiPriority w:val="99"/>
    <w:pPr>
      <w:ind w:firstLine="420" w:firstLineChars="200"/>
    </w:pPr>
    <w:rPr>
      <w:rFonts w:ascii="Times New Roman" w:hAnsi="Times New Roman" w:cs="Times New Roman"/>
    </w:rPr>
  </w:style>
  <w:style w:type="table" w:customStyle="1" w:styleId="24">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table" w:customStyle="1" w:styleId="25">
    <w:name w:val="网格型1"/>
    <w:basedOn w:val="14"/>
    <w:unhideWhenUsed/>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B162D3-E7F0-4F21-BD7A-3AB4D09A7E1E}">
  <ds:schemaRefs/>
</ds:datastoreItem>
</file>

<file path=docProps/app.xml><?xml version="1.0" encoding="utf-8"?>
<Properties xmlns="http://schemas.openxmlformats.org/officeDocument/2006/extended-properties" xmlns:vt="http://schemas.openxmlformats.org/officeDocument/2006/docPropsVTypes">
  <Template>Normal.dotm</Template>
  <Company>山东中医药高等专科学校</Company>
  <Pages>30</Pages>
  <Words>2841</Words>
  <Characters>16198</Characters>
  <Lines>134</Lines>
  <Paragraphs>38</Paragraphs>
  <TotalTime>33</TotalTime>
  <ScaleCrop>false</ScaleCrop>
  <LinksUpToDate>false</LinksUpToDate>
  <CharactersWithSpaces>19001</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2018-08-11T11:00:00Z</dcterms:created>
  <dc:creator>Administrator</dc:creator>
  <cp:lastModifiedBy>守望</cp:lastModifiedBy>
  <cp:lastPrinted>2018-08-09T10:19:00Z</cp:lastPrinted>
  <dcterms:modified xsi:type="dcterms:W3CDTF">2018-09-21T02:23:51Z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