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2" w:firstLineChars="200"/>
        <w:rPr>
          <w:rFonts w:ascii="黑体" w:hAnsi="黑体" w:eastAsia="黑体" w:cs="黑体"/>
          <w:b/>
          <w:bCs/>
          <w:sz w:val="30"/>
          <w:szCs w:val="30"/>
        </w:rPr>
      </w:pPr>
      <w:r>
        <w:rPr>
          <w:rFonts w:hint="eastAsia" w:ascii="黑体" w:hAnsi="黑体" w:eastAsia="黑体" w:cs="黑体"/>
          <w:b/>
          <w:bCs/>
          <w:sz w:val="30"/>
          <w:szCs w:val="30"/>
        </w:rPr>
        <w:t>一、赛项名称</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移动互联网应用软件开发</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cs="Arial" w:asciiTheme="minorEastAsia" w:hAnsiTheme="minorEastAsia" w:eastAsiaTheme="minorEastAsia"/>
          <w:color w:val="000000" w:themeColor="text1"/>
          <w:sz w:val="30"/>
          <w:szCs w:val="30"/>
        </w:rPr>
        <w:drawing>
          <wp:anchor distT="0" distB="0" distL="114300" distR="114300" simplePos="0" relativeHeight="251657216" behindDoc="1" locked="0" layoutInCell="1" allowOverlap="1">
            <wp:simplePos x="0" y="0"/>
            <wp:positionH relativeFrom="column">
              <wp:posOffset>259080</wp:posOffset>
            </wp:positionH>
            <wp:positionV relativeFrom="paragraph">
              <wp:posOffset>124460</wp:posOffset>
            </wp:positionV>
            <wp:extent cx="5033645" cy="5255895"/>
            <wp:effectExtent l="0" t="0" r="14605" b="59055"/>
            <wp:wrapTight wrapText="bothSides">
              <wp:wrapPolygon>
                <wp:start x="0" y="0"/>
                <wp:lineTo x="0" y="21530"/>
                <wp:lineTo x="21499" y="21530"/>
                <wp:lineTo x="21499" y="0"/>
                <wp:lineTo x="0" y="0"/>
              </wp:wrapPolygon>
            </wp:wrapTight>
            <wp:docPr id="7" name="图片 19" descr="http://www.niit.edu.cn/upfiles/news/201706/20170612110346898.jpg"/>
            <wp:cNvGraphicFramePr/>
            <a:graphic xmlns:a="http://schemas.openxmlformats.org/drawingml/2006/main">
              <a:graphicData uri="http://schemas.openxmlformats.org/drawingml/2006/picture">
                <pic:pic xmlns:pic="http://schemas.openxmlformats.org/drawingml/2006/picture">
                  <pic:nvPicPr>
                    <pic:cNvPr id="7" name="图片 19" descr="http://www.niit.edu.cn/upfiles/news/201706/20170612110346898.jpg"/>
                    <pic:cNvPicPr/>
                  </pic:nvPicPr>
                  <pic:blipFill>
                    <a:blip r:embed="rId5" cstate="print">
                      <a:extLst>
                        <a:ext uri="{28A0092B-C50C-407E-A947-70E740481C1C}">
                          <a14:useLocalDpi xmlns:a14="http://schemas.microsoft.com/office/drawing/2010/main" val="0"/>
                        </a:ext>
                      </a:extLst>
                    </a:blip>
                    <a:srcRect t="33749" b="17499"/>
                    <a:stretch>
                      <a:fillRect/>
                    </a:stretch>
                  </pic:blipFill>
                  <pic:spPr>
                    <a:xfrm>
                      <a:off x="0" y="0"/>
                      <a:ext cx="5033645" cy="5255895"/>
                    </a:xfrm>
                    <a:prstGeom prst="rect">
                      <a:avLst/>
                    </a:prstGeom>
                    <a:noFill/>
                    <a:ln>
                      <a:noFill/>
                    </a:ln>
                  </pic:spPr>
                </pic:pic>
              </a:graphicData>
            </a:graphic>
          </wp:anchor>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2" w:firstLineChars="200"/>
        <w:rPr>
          <w:rFonts w:ascii="Arial Narrow" w:hAnsi="Arial Narrow" w:eastAsia="仿宋_GB2312" w:cs="Arial"/>
          <w:b/>
          <w:sz w:val="30"/>
          <w:szCs w:val="30"/>
        </w:rPr>
      </w:pPr>
      <w:bookmarkStart w:id="0" w:name="_GoBack"/>
      <w:bookmarkEnd w:id="0"/>
      <w:r>
        <w:rPr>
          <w:rFonts w:hint="eastAsia" w:ascii="Arial Narrow" w:hAnsi="Arial Narrow" w:eastAsia="仿宋_GB2312" w:cs="Arial"/>
          <w:b/>
          <w:sz w:val="30"/>
          <w:szCs w:val="30"/>
        </w:rPr>
        <w:t>（三）赛项归属产业类型：电子信息产业</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（四）赛项归属专业大类</w:t>
      </w:r>
      <w:r>
        <w:rPr>
          <w:rFonts w:ascii="Arial Narrow" w:hAnsi="Arial Narrow" w:eastAsia="仿宋_GB2312" w:cs="Arial"/>
          <w:b/>
          <w:sz w:val="30"/>
          <w:szCs w:val="30"/>
        </w:rPr>
        <w:t>/</w:t>
      </w:r>
      <w:r>
        <w:rPr>
          <w:rFonts w:hint="eastAsia" w:ascii="Arial Narrow" w:hAnsi="Arial Narrow" w:eastAsia="仿宋_GB2312" w:cs="Arial"/>
          <w:b/>
          <w:sz w:val="30"/>
          <w:szCs w:val="30"/>
        </w:rPr>
        <w:t>类</w:t>
      </w:r>
    </w:p>
    <w:tbl>
      <w:tblPr>
        <w:tblStyle w:val="14"/>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610212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移动应用开发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w:t>
            </w:r>
            <w:r>
              <w:rPr>
                <w:rFonts w:ascii="仿宋_GB2312" w:hAnsi="仿宋_GB2312" w:eastAsia="仿宋_GB2312" w:cs="仿宋_GB2312"/>
                <w:sz w:val="24"/>
                <w:szCs w:val="24"/>
              </w:rPr>
              <w:t>10205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软件技术</w:t>
            </w:r>
          </w:p>
        </w:tc>
      </w:tr>
    </w:tbl>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二、赛项申报专家组</w:t>
      </w:r>
    </w:p>
    <w:tbl>
      <w:tblPr>
        <w:tblStyle w:val="14"/>
        <w:tblW w:w="85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15"/>
        <w:gridCol w:w="993"/>
        <w:gridCol w:w="1417"/>
        <w:gridCol w:w="851"/>
        <w:gridCol w:w="1284"/>
        <w:gridCol w:w="1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82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姓名</w:t>
            </w:r>
          </w:p>
        </w:tc>
        <w:tc>
          <w:tcPr>
            <w:tcW w:w="211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单位</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专业</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职务/职称</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年龄</w:t>
            </w:r>
          </w:p>
        </w:tc>
        <w:tc>
          <w:tcPr>
            <w:tcW w:w="128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手机号码</w:t>
            </w:r>
          </w:p>
        </w:tc>
        <w:tc>
          <w:tcPr>
            <w:tcW w:w="105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cs="Arial"/>
                <w:bCs/>
                <w:color w:val="000000"/>
                <w:sz w:val="24"/>
                <w:szCs w:val="24"/>
              </w:rPr>
            </w:pPr>
            <w:r>
              <w:rPr>
                <w:rFonts w:hint="eastAsia" w:ascii="仿宋_GB2312" w:hAnsi="仿宋" w:eastAsia="仿宋_GB2312" w:cs="Arial"/>
                <w:bCs/>
                <w:color w:val="000000"/>
                <w:sz w:val="24"/>
                <w:szCs w:val="24"/>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2115"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993"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417"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851"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284"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059"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2115"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993"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417"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851"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284"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059"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2115"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993"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417"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851"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284"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059"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2115"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993"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417"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851"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284"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c>
          <w:tcPr>
            <w:tcW w:w="1059" w:type="dxa"/>
            <w:tcBorders>
              <w:top w:val="single" w:color="auto" w:sz="4" w:space="0"/>
              <w:left w:val="single" w:color="auto" w:sz="4" w:space="0"/>
              <w:bottom w:val="single" w:color="auto" w:sz="4" w:space="0"/>
              <w:right w:val="single" w:color="auto" w:sz="4" w:space="0"/>
            </w:tcBorders>
          </w:tcPr>
          <w:p>
            <w:pPr>
              <w:adjustRightInd w:val="0"/>
              <w:snapToGrid w:val="0"/>
              <w:rPr>
                <w:rFonts w:ascii="Arial Narrow" w:hAnsi="Arial Narrow" w:cs="宋体"/>
                <w:sz w:val="24"/>
                <w:szCs w:val="24"/>
              </w:rPr>
            </w:pPr>
          </w:p>
        </w:tc>
      </w:tr>
    </w:tbl>
    <w:p>
      <w:pPr>
        <w:snapToGrid w:val="0"/>
        <w:spacing w:line="460" w:lineRule="exact"/>
        <w:ind w:firstLine="400" w:firstLineChars="200"/>
        <w:rPr>
          <w:rFonts w:ascii="Arial Narrow" w:hAnsi="Arial Narrow" w:eastAsia="仿宋_GB2312" w:cs="Arial"/>
          <w:b/>
          <w:sz w:val="30"/>
          <w:szCs w:val="30"/>
        </w:rPr>
      </w:pPr>
      <w:r>
        <w:rPr>
          <w:rFonts w:hint="eastAsia" w:ascii="Arial Narrow" w:hAnsi="Arial Narrow" w:eastAsia="仿宋_GB2312" w:cs="Arial"/>
          <w:sz w:val="20"/>
          <w:szCs w:val="20"/>
        </w:rPr>
        <w:t>注：申报中职组赛项专家组中来自中职院校的专家不少于</w:t>
      </w:r>
      <w:r>
        <w:rPr>
          <w:rFonts w:ascii="Arial Narrow" w:hAnsi="Arial Narrow" w:eastAsia="仿宋_GB2312" w:cs="Arial"/>
          <w:sz w:val="20"/>
          <w:szCs w:val="20"/>
        </w:rPr>
        <w:t>2</w:t>
      </w:r>
      <w:r>
        <w:rPr>
          <w:rFonts w:hint="eastAsia" w:ascii="Arial Narrow" w:hAnsi="Arial Narrow" w:eastAsia="仿宋_GB2312" w:cs="Arial"/>
          <w:sz w:val="20"/>
          <w:szCs w:val="20"/>
        </w:rPr>
        <w:t>名；高职组赛项专家组中来自高职院校的专家不少于</w:t>
      </w:r>
      <w:r>
        <w:rPr>
          <w:rFonts w:ascii="Arial Narrow" w:hAnsi="Arial Narrow" w:eastAsia="仿宋_GB2312" w:cs="Arial"/>
          <w:sz w:val="20"/>
          <w:szCs w:val="20"/>
        </w:rPr>
        <w:t>2</w:t>
      </w:r>
      <w:r>
        <w:rPr>
          <w:rFonts w:hint="eastAsia" w:ascii="Arial Narrow" w:hAnsi="Arial Narrow" w:eastAsia="仿宋_GB2312" w:cs="Arial"/>
          <w:sz w:val="20"/>
          <w:szCs w:val="20"/>
        </w:rPr>
        <w:t>名。赛项申报专家组成员须经本人同意。</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旨在考察参赛选手在企业真实项目环境下移动应用开发的工程实践能力、设计能力和创新能力，以及团队协作、沟通力、抗压力、职业规范等职场素质，展现职业院校移动应用开发专业学生技能与风采，激发学生的求知欲和参与教学活动的热情，以达到“以赛促学”的目的；搭建校企合作平台，引导更多行业企业参与校企合作，深化产教融合，推进产教融合人才培养模式，使参赛院校更加清楚的了解到产业的发展趋势以及产业界对人才的需求标准，从而满足国家互联网+战略发展对软件人才的紧迫需求，引领移动应用开发等相关专业改革与发展，适应互联网</w:t>
      </w:r>
      <w:r>
        <w:rPr>
          <w:rFonts w:ascii="Arial Narrow" w:hAnsi="Arial Narrow" w:eastAsia="仿宋_GB2312" w:cs="Arial"/>
          <w:sz w:val="30"/>
          <w:szCs w:val="30"/>
        </w:rPr>
        <w:t>+、</w:t>
      </w:r>
      <w:r>
        <w:rPr>
          <w:rFonts w:hint="eastAsia" w:ascii="Arial Narrow" w:hAnsi="Arial Narrow" w:eastAsia="仿宋_GB2312" w:cs="Arial"/>
          <w:sz w:val="30"/>
          <w:szCs w:val="30"/>
        </w:rPr>
        <w:t>移动互联、</w:t>
      </w:r>
      <w:r>
        <w:rPr>
          <w:rFonts w:ascii="Arial Narrow" w:hAnsi="Arial Narrow" w:eastAsia="仿宋_GB2312" w:cs="Arial"/>
          <w:sz w:val="30"/>
          <w:szCs w:val="30"/>
        </w:rPr>
        <w:t>大数据、智慧城市等新技术、新模式、新业态、新应用的发展，</w:t>
      </w:r>
      <w:r>
        <w:rPr>
          <w:rFonts w:hint="eastAsia" w:ascii="Arial Narrow" w:hAnsi="Arial Narrow" w:eastAsia="仿宋_GB2312" w:cs="Arial"/>
          <w:sz w:val="30"/>
          <w:szCs w:val="30"/>
        </w:rPr>
        <w:t>以达到“以赛促改”的目的；培养一批“实践能力强、教学水平高、敬业精神佳”的双师型“种子教师”师资队伍，建设一批高质量、立体化、一体化的专业、课程、项目教学资源，以达到“以赛促教”的目的。</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四、赛项设计原则</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（一）遵守大赛制度，确保赛项公开、公平、公正。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公开、公平、公正是赛项设计的第一准则。本赛项严格遵循《全国职业院校技能大赛制度汇编》要求，规范赛项设计、组织、实施各环节流程，确保赛项公开、公平、公正。</w:t>
      </w:r>
    </w:p>
    <w:p>
      <w:pPr>
        <w:spacing w:line="360" w:lineRule="auto"/>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（二）对接岗位需求、生产过程和行业标准，设计竞赛内容、形式和规范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本赛项关联就业岗位主要包括移动应用开发工程师、软件开发工程师、UI工程师、测试工程师等核心岗位。赛项内容涵盖上述岗位的核心知识、技能，包括</w:t>
      </w:r>
      <w:r>
        <w:rPr>
          <w:rFonts w:ascii="Arial Narrow" w:hAnsi="Arial Narrow" w:eastAsia="仿宋_GB2312" w:cs="Arial"/>
          <w:sz w:val="30"/>
          <w:szCs w:val="30"/>
        </w:rPr>
        <w:t>MVP</w:t>
      </w:r>
      <w:r>
        <w:rPr>
          <w:rFonts w:hint="eastAsia" w:ascii="Arial Narrow" w:hAnsi="Arial Narrow" w:eastAsia="仿宋_GB2312" w:cs="Arial"/>
          <w:sz w:val="30"/>
          <w:szCs w:val="30"/>
        </w:rPr>
        <w:t>设计模式、UI设计标准</w:t>
      </w:r>
      <w:r>
        <w:rPr>
          <w:rFonts w:ascii="Arial Narrow" w:hAnsi="Arial Narrow" w:eastAsia="仿宋_GB2312" w:cs="Arial"/>
          <w:sz w:val="30"/>
          <w:szCs w:val="30"/>
        </w:rPr>
        <w:t>MaterialDesign</w:t>
      </w:r>
      <w:r>
        <w:rPr>
          <w:rFonts w:hint="eastAsia" w:ascii="Arial Narrow" w:hAnsi="Arial Narrow" w:eastAsia="仿宋_GB2312" w:cs="Arial"/>
          <w:sz w:val="30"/>
          <w:szCs w:val="30"/>
        </w:rPr>
        <w:t>、四大组件、</w:t>
      </w:r>
      <w:r>
        <w:rPr>
          <w:rFonts w:ascii="Arial Narrow" w:hAnsi="Arial Narrow" w:eastAsia="仿宋_GB2312" w:cs="Arial"/>
          <w:sz w:val="30"/>
          <w:szCs w:val="30"/>
        </w:rPr>
        <w:t>Handler/</w:t>
      </w:r>
      <w:r>
        <w:rPr>
          <w:rFonts w:hint="eastAsia" w:ascii="Arial Narrow" w:hAnsi="Arial Narrow" w:eastAsia="仿宋_GB2312" w:cs="Arial"/>
          <w:sz w:val="30"/>
          <w:szCs w:val="30"/>
        </w:rPr>
        <w:t>多线程</w:t>
      </w:r>
      <w:r>
        <w:rPr>
          <w:rFonts w:ascii="Arial Narrow" w:hAnsi="Arial Narrow" w:eastAsia="仿宋_GB2312" w:cs="Arial"/>
          <w:sz w:val="30"/>
          <w:szCs w:val="30"/>
        </w:rPr>
        <w:t>/</w:t>
      </w:r>
      <w:r>
        <w:rPr>
          <w:rFonts w:hint="eastAsia" w:ascii="Arial Narrow" w:hAnsi="Arial Narrow" w:eastAsia="仿宋_GB2312" w:cs="Arial"/>
          <w:sz w:val="30"/>
          <w:szCs w:val="30"/>
        </w:rPr>
        <w:t>定时器、网络请求框架、数据封装和解析、多媒体、数据库管理、依赖注入、</w:t>
      </w:r>
      <w:r>
        <w:rPr>
          <w:rFonts w:ascii="Arial Narrow" w:hAnsi="Arial Narrow" w:eastAsia="仿宋_GB2312" w:cs="Arial"/>
          <w:sz w:val="30"/>
          <w:szCs w:val="30"/>
        </w:rPr>
        <w:t>事件传递</w:t>
      </w:r>
      <w:r>
        <w:rPr>
          <w:rFonts w:hint="eastAsia" w:ascii="Arial Narrow" w:hAnsi="Arial Narrow" w:eastAsia="仿宋_GB2312" w:cs="Arial"/>
          <w:sz w:val="30"/>
          <w:szCs w:val="30"/>
        </w:rPr>
        <w:t>、手势识别、内存泄漏管理、业务逻辑、数据分析和开源图表库</w:t>
      </w:r>
      <w:r>
        <w:rPr>
          <w:rFonts w:ascii="Arial Narrow" w:hAnsi="Arial Narrow" w:eastAsia="仿宋_GB2312" w:cs="Arial"/>
          <w:sz w:val="30"/>
          <w:szCs w:val="30"/>
        </w:rPr>
        <w:t>MPAndroidChart</w:t>
      </w:r>
      <w:r>
        <w:rPr>
          <w:rFonts w:hint="eastAsia" w:ascii="Arial Narrow" w:hAnsi="Arial Narrow" w:eastAsia="仿宋_GB2312" w:cs="Arial"/>
          <w:sz w:val="30"/>
          <w:szCs w:val="30"/>
        </w:rPr>
        <w:t xml:space="preserve"> API等。</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按照软件工程瀑布式开发模型“需求分析—设计—编码—测试—发布”的软件开发流程，竞赛过程涵盖软件生命周期的各个模块，引导学生熟悉软件开发流程，符合软件人才培养规律。</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邀请东软、联想、华为、华信等软件公司以及滴滴、美团等互联网公司和院校，系统梳理软件开发过程中的文档规范、代码规范等，同时参照《GB8566-88 计算机软件开发规范》，设计赛项竞赛规范。这些规范以资源包的形式，共享给参赛院校，更好地引领移动应用开发、软件技术专业教学。</w:t>
      </w:r>
    </w:p>
    <w:p>
      <w:pPr>
        <w:spacing w:line="360" w:lineRule="auto"/>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（三）竞赛技术平台成熟稳定</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结合赛项竞赛内容、竞赛形式需求，推荐能体现移动互联网应用软件开发领域主流应用、在院校中具有较好的覆盖面、成熟可靠、市场价格合理的技术平台。优先推荐已经在国赛中使用并经过验证的成熟技术平台。赛后将竞赛设备等资源进行资源转换，以便更好地应用于各参赛院校理论和实践教学中，实现教学和竞赛的双复用，切实提高竞赛设备的利用率。</w:t>
      </w:r>
    </w:p>
    <w:p>
      <w:pPr>
        <w:spacing w:line="360" w:lineRule="auto"/>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（四）对接教学需求，做好资源转化，引领专业建设</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连续多年举办移动互联网应用软件开发赛项，开发和积累了大量教学资源，核心课程的微课、教案、试题库和课件资源。未来资源转化工作，将根据技术发展和教学需求继续优化、迭代、升级上述资源。着重建设“移动应用开发生产实际教学案例库”，基本覆盖移动应用开发、软件技术等相关专业课程级、课程群级、专业级实训教学所需的项目资源，为专业实践教学提供丰富、高质量的项目教学资源。</w:t>
      </w:r>
    </w:p>
    <w:p>
      <w:pPr>
        <w:spacing w:line="360" w:lineRule="auto"/>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（五）引进来、走出去，提升大赛和中国职业教育国际影响力</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大赛举办过程中，按照“引进来、走出去”的原则，同期举办国际邀请赛等国际活动，吸引更多国家和地区参与到全国职业院校技能大赛中来；同时，积极发挥赛项支持企业的国际业务优势，将全国职业院校技能大赛的模式、中国职业教育的先进经验和方法输送到更多的国家，全方位提升全国职业院校技能大赛以及中国职业教育的影响力。</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本赛项经过多年的比赛实践，紧密结合产业技术发展，主要有以下特点：</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（一）比赛内容面向移动应用开发核心岗位，紧跟产业发展新技术新趋势，覆盖岗位主要知识和技能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对企业的广泛调研，企业对高职院校学生主要需求核心岗位为移动应用开发工程师、软件开发工程师、UI工程师、测试工程师。面向上述核心岗位技能要求，将企业真实项目“智能交通”系统进行产教转换，设计Android应用软件，满足竞赛、教学和实践需要。赛项技能覆盖移动应用开发专业所需的核心知识和技能，重点考察参赛选手的工程实践能力、工程规范和职业素养。同时通过赛题设计有选择性、针对性的考察参赛选手的工程设计能力和工程创新能力。赛项资源可以满足3~5年的国赛及专业教学需求。</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（二）赛题设计引入IT项目实施规范，选手能参赛即能做项目</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联合优势的合作企业，将企业内部多年以来的真实工程项目经验沉淀下来，融入大赛考题中，锻炼考生的工程项目思维。按照软件工程瀑布式开发模型“需求分析—设计—编码—测试—发布”的软件开发流程，竞赛过程涵盖软件生命周期的各个模块，引导学生熟悉软件开发流程，符合软件人才培养规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题设计中将工程项目中各个模块都独立分割开，对考生掌握软件工程项目的实际业务场景有帮助，便于学生在尚未走出校园就能通过大赛的考题内隐含设计逻辑和出题分工来体验企业日常的项目开展思路。每一块即相互独立又有关联，最大限度的考查学员的整体对项目的理解和把握能力。</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（三）竞赛全方位开放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对竞赛方式、考察范围、赛项规程、赛题库等按规定进行公开、公示，让各个参赛队对竞赛组织过程有充分的了解。赛前，安排参赛队参观竞赛赛场，熟悉赛场环境；赛中，全过程安排现场视频直播以及网络直播，进一步提升比赛的透明度；赛后，集中研讨和点评竞赛中高频率出现的问题，让参赛队伍明确各自的差距，实现了竞赛全方位开放。并在竞赛赛场外部署开放式展区，对公众进行移动互联网发展进行科普宣传，促进专业建设融合产业发展。</w:t>
      </w:r>
    </w:p>
    <w:p>
      <w:pPr>
        <w:snapToGrid w:val="0"/>
        <w:spacing w:line="560" w:lineRule="exact"/>
        <w:ind w:firstLine="602" w:firstLineChars="200"/>
        <w:rPr>
          <w:rFonts w:ascii="Arial Narrow" w:hAnsi="Arial Narrow" w:eastAsia="仿宋_GB2312" w:cs="Arial"/>
          <w:b/>
          <w:sz w:val="30"/>
          <w:szCs w:val="30"/>
        </w:rPr>
      </w:pPr>
      <w:r>
        <w:rPr>
          <w:rFonts w:ascii="Arial Narrow" w:hAnsi="Arial Narrow" w:eastAsia="仿宋_GB2312" w:cs="Arial"/>
          <w:b/>
          <w:sz w:val="30"/>
          <w:szCs w:val="30"/>
        </w:rPr>
        <w:t>（</w:t>
      </w:r>
      <w:r>
        <w:rPr>
          <w:rFonts w:hint="eastAsia" w:ascii="Arial Narrow" w:hAnsi="Arial Narrow" w:eastAsia="仿宋_GB2312" w:cs="Arial"/>
          <w:b/>
          <w:sz w:val="30"/>
          <w:szCs w:val="30"/>
        </w:rPr>
        <w:t>四</w:t>
      </w:r>
      <w:r>
        <w:rPr>
          <w:rFonts w:ascii="Arial Narrow" w:hAnsi="Arial Narrow" w:eastAsia="仿宋_GB2312" w:cs="Arial"/>
          <w:b/>
          <w:sz w:val="30"/>
          <w:szCs w:val="30"/>
        </w:rPr>
        <w:t>）</w:t>
      </w:r>
      <w:r>
        <w:rPr>
          <w:rFonts w:hint="eastAsia" w:ascii="Arial Narrow" w:hAnsi="Arial Narrow" w:eastAsia="仿宋_GB2312" w:cs="Arial"/>
          <w:b/>
          <w:sz w:val="30"/>
          <w:szCs w:val="30"/>
        </w:rPr>
        <w:t>赛项分组独立评判，公平公正，客观评价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整个赛项评判过程严格按照大赛组委会的成绩管理办法执行，由专家组对比赛命题和评判规则进行制定和评审。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加密裁判：竞赛一次加密、二次加密和三次加密，每个环节设置一名独立裁判，每个环节结束后，数据立即封存于裁判长，加密裁判直接隔离。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2.裁判独立隔离。比赛开始前1小时，收缴所有裁判通讯设备，统一保管。所有评分裁判比赛期间不进入赛场，隔离在远离比赛场地的独立办公区域，所有裁判不得随意出入该区域。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3.评分裁判：评分环节采用结果评分方式。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（1）裁判进行随机抽签分组，杜绝主观意愿组队，各自完全独立评分，裁判员间互不干涉。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（2）裁判统一安排在一间工作室内唱分，比赛监督人员全程监督。</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（五）依托大赛打造</w:t>
      </w:r>
      <w:r>
        <w:rPr>
          <w:rFonts w:ascii="Arial Narrow" w:hAnsi="Arial Narrow" w:eastAsia="仿宋_GB2312" w:cs="Arial"/>
          <w:b/>
          <w:sz w:val="30"/>
          <w:szCs w:val="30"/>
        </w:rPr>
        <w:t>产业服务与人才培养生态圈</w:t>
      </w:r>
      <w:r>
        <w:rPr>
          <w:rFonts w:hint="eastAsia" w:ascii="Arial Narrow" w:hAnsi="Arial Narrow" w:eastAsia="仿宋_GB2312" w:cs="Arial"/>
          <w:b/>
          <w:sz w:val="30"/>
          <w:szCs w:val="30"/>
        </w:rPr>
        <w:t>，创新校企合作机制，深化产教融合、协同育人</w:t>
      </w:r>
    </w:p>
    <w:p>
      <w:pPr>
        <w:ind w:firstLine="600" w:firstLineChars="200"/>
        <w:rPr>
          <w:rStyle w:val="21"/>
          <w:rFonts w:ascii="黑体" w:hAnsi="黑体" w:eastAsia="黑体" w:cs="Arial"/>
          <w:b w:val="0"/>
          <w:bCs w:val="0"/>
          <w:sz w:val="36"/>
          <w:szCs w:val="36"/>
        </w:rPr>
      </w:pPr>
      <w:r>
        <w:rPr>
          <w:rFonts w:hint="eastAsia" w:ascii="Arial Narrow" w:hAnsi="Arial Narrow" w:eastAsia="仿宋_GB2312" w:cs="Arial"/>
          <w:sz w:val="30"/>
          <w:szCs w:val="30"/>
        </w:rPr>
        <w:t>依托参加大赛的院校和企业合作伙伴，联合联想、京东、腾讯、百度、东软、文思海辉、海尔、万国数据等企业，与院校共同打造一个校企合作的产教融合生态圈，</w:t>
      </w:r>
      <w:r>
        <w:rPr>
          <w:rFonts w:ascii="Arial Narrow" w:hAnsi="Arial Narrow" w:eastAsia="仿宋_GB2312" w:cs="Arial"/>
          <w:sz w:val="30"/>
          <w:szCs w:val="30"/>
        </w:rPr>
        <w:t>充分发挥行业企业和职教集团资源优势，积极开展校企之间、校际之间的交流与合作，形成资源共享、课程融通，优势互补、良性互动的产学研共同体，围绕IT产业人才培养需求，创新人才培养模式、提高技术技能型人才培养质量等目标，提升职业教育服务中国经济社会发展的能力，为我国IT行业发展、“中国制造2025”、“一带一路”和京津冀协同发展等重大战略的实施提供有力支撑。</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（六）开展国际赛，提升技能大赛国际影响力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往年移动互联网应用软件开发赛项，吸引了英国、德国、泰国三个国家三支代表队，得到了广泛好评。在此基础上，移动互联网应用软件开发赛项将继续加大力度宣传，计划吸引“一带一路”沿线等国家来中参加竞赛，进一步提升全国职业院校技能大赛的国际化水平和国际影响力。</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（七）夯实资源转化工作，引领专业建设和教学改革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通过过去</w:t>
      </w:r>
      <w:r>
        <w:rPr>
          <w:rFonts w:ascii="Arial Narrow" w:hAnsi="Arial Narrow" w:eastAsia="仿宋_GB2312" w:cs="Arial"/>
          <w:sz w:val="30"/>
          <w:szCs w:val="30"/>
        </w:rPr>
        <w:t>6</w:t>
      </w:r>
      <w:r>
        <w:rPr>
          <w:rFonts w:hint="eastAsia" w:ascii="Arial Narrow" w:hAnsi="Arial Narrow" w:eastAsia="仿宋_GB2312" w:cs="Arial"/>
          <w:sz w:val="30"/>
          <w:szCs w:val="30"/>
        </w:rPr>
        <w:t>届移动互联网应用软件开发赛项的举办，赛项已经开展了成果丰富的资源转化工作。开发了移动应用开发专业基础课、专业核心课、专业拓展课等近1</w:t>
      </w:r>
      <w:r>
        <w:rPr>
          <w:rFonts w:ascii="Arial Narrow" w:hAnsi="Arial Narrow" w:eastAsia="仿宋_GB2312" w:cs="Arial"/>
          <w:sz w:val="30"/>
          <w:szCs w:val="30"/>
        </w:rPr>
        <w:t>5</w:t>
      </w:r>
      <w:r>
        <w:rPr>
          <w:rFonts w:hint="eastAsia" w:ascii="Arial Narrow" w:hAnsi="Arial Narrow" w:eastAsia="仿宋_GB2312" w:cs="Arial"/>
          <w:sz w:val="30"/>
          <w:szCs w:val="30"/>
        </w:rPr>
        <w:t>门课程配套的教材和数字资源。并开发了涉及Java</w:t>
      </w:r>
      <w:r>
        <w:rPr>
          <w:rFonts w:ascii="Arial Narrow" w:hAnsi="Arial Narrow" w:eastAsia="仿宋_GB2312" w:cs="Arial"/>
          <w:sz w:val="30"/>
          <w:szCs w:val="30"/>
        </w:rPr>
        <w:t xml:space="preserve"> </w:t>
      </w:r>
      <w:r>
        <w:rPr>
          <w:rFonts w:hint="eastAsia" w:ascii="Arial Narrow" w:hAnsi="Arial Narrow" w:eastAsia="仿宋_GB2312" w:cs="Arial"/>
          <w:sz w:val="30"/>
          <w:szCs w:val="30"/>
        </w:rPr>
        <w:t>Web、Android、前端开发等与移动应用开发相关岗位的综合实训项目1</w:t>
      </w:r>
      <w:r>
        <w:rPr>
          <w:rFonts w:ascii="Arial Narrow" w:hAnsi="Arial Narrow" w:eastAsia="仿宋_GB2312" w:cs="Arial"/>
          <w:sz w:val="30"/>
          <w:szCs w:val="30"/>
        </w:rPr>
        <w:t>5</w:t>
      </w:r>
      <w:r>
        <w:rPr>
          <w:rFonts w:hint="eastAsia" w:ascii="Arial Narrow" w:hAnsi="Arial Narrow" w:eastAsia="仿宋_GB2312" w:cs="Arial"/>
          <w:sz w:val="30"/>
          <w:szCs w:val="30"/>
        </w:rPr>
        <w:t>个，转换成果已在</w:t>
      </w:r>
      <w:r>
        <w:rPr>
          <w:rFonts w:ascii="Arial Narrow" w:hAnsi="Arial Narrow" w:eastAsia="仿宋_GB2312" w:cs="Arial"/>
          <w:sz w:val="30"/>
          <w:szCs w:val="30"/>
        </w:rPr>
        <w:t>10</w:t>
      </w:r>
      <w:r>
        <w:rPr>
          <w:rFonts w:hint="eastAsia" w:ascii="Arial Narrow" w:hAnsi="Arial Narrow" w:eastAsia="仿宋_GB2312" w:cs="Arial"/>
          <w:sz w:val="30"/>
          <w:szCs w:val="30"/>
        </w:rPr>
        <w:t>0余所院校中使用。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未来，赛项将对接行业五新（新理念、新标准、新技术、新应用、新产品），结合岗位能力需求，持续优化完善教学资源，形成覆盖移动应用开发、软件技术等相关专业课程级、课程群级、专业级实训教学所需的课程与项目资源。</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移动互联网应用软件开发赛项应用智能交通领域企业真实案例，通过“系统文档”“程序排错”“功能编码”及“创意设计”四种赛题形式，考查参赛选手实际工程项目的编码能力、文档编写能力、综合分析能力、技术架构设计能力、创意创新能力、大数据分析能力。考核技术点包括：</w:t>
      </w:r>
      <w:r>
        <w:rPr>
          <w:rFonts w:ascii="Arial Narrow" w:hAnsi="Arial Narrow" w:eastAsia="仿宋_GB2312" w:cs="Arial"/>
          <w:sz w:val="30"/>
          <w:szCs w:val="30"/>
        </w:rPr>
        <w:t>MVP</w:t>
      </w:r>
      <w:r>
        <w:rPr>
          <w:rFonts w:hint="eastAsia" w:ascii="Arial Narrow" w:hAnsi="Arial Narrow" w:eastAsia="仿宋_GB2312" w:cs="Arial"/>
          <w:sz w:val="30"/>
          <w:szCs w:val="30"/>
        </w:rPr>
        <w:t>设计模式、UI设计标准</w:t>
      </w:r>
      <w:r>
        <w:rPr>
          <w:rFonts w:ascii="Arial Narrow" w:hAnsi="Arial Narrow" w:eastAsia="仿宋_GB2312" w:cs="Arial"/>
          <w:sz w:val="30"/>
          <w:szCs w:val="30"/>
        </w:rPr>
        <w:t>MaterialDesign</w:t>
      </w:r>
      <w:r>
        <w:rPr>
          <w:rFonts w:hint="eastAsia" w:ascii="Arial Narrow" w:hAnsi="Arial Narrow" w:eastAsia="仿宋_GB2312" w:cs="Arial"/>
          <w:sz w:val="30"/>
          <w:szCs w:val="30"/>
        </w:rPr>
        <w:t>、四大组件、资源使用、Handler/多线程/定时器、网络请求框架、数据封装和解析、多媒体、手势识别、依赖注入、</w:t>
      </w:r>
      <w:r>
        <w:rPr>
          <w:rFonts w:ascii="Arial Narrow" w:hAnsi="Arial Narrow" w:eastAsia="仿宋_GB2312" w:cs="Arial"/>
          <w:sz w:val="30"/>
          <w:szCs w:val="30"/>
        </w:rPr>
        <w:t>事件传递</w:t>
      </w:r>
      <w:r>
        <w:rPr>
          <w:rFonts w:hint="eastAsia" w:ascii="Arial Narrow" w:hAnsi="Arial Narrow" w:eastAsia="仿宋_GB2312" w:cs="Arial"/>
          <w:sz w:val="30"/>
          <w:szCs w:val="30"/>
        </w:rPr>
        <w:t>、内存泄漏管理、数据存储、业务逻辑、数据挖掘和开源图表库</w:t>
      </w:r>
      <w:r>
        <w:rPr>
          <w:rFonts w:ascii="Arial Narrow" w:hAnsi="Arial Narrow" w:eastAsia="仿宋_GB2312" w:cs="Arial"/>
          <w:sz w:val="30"/>
          <w:szCs w:val="30"/>
        </w:rPr>
        <w:t>MPAndroidChart</w:t>
      </w:r>
      <w:r>
        <w:rPr>
          <w:rFonts w:hint="eastAsia" w:ascii="Arial Narrow" w:hAnsi="Arial Narrow" w:eastAsia="仿宋_GB2312" w:cs="Arial"/>
          <w:sz w:val="30"/>
          <w:szCs w:val="30"/>
        </w:rPr>
        <w:t xml:space="preserve"> API等。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竞赛项目比赛内容及分值比例如下：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1.系统文档（5%）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系统文档模块重点考核参赛选手的系统设计能力，比赛时由赛项执委会给每队参赛选手提供完整的系统需求说明书及需要进行系统详细设计的功能模块清单。参赛选手完成清单中所述模块的概要及详细功能设计并根据所给模板要求输出设计文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2.程序排错（10%）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程序排错重点考核参赛选手的代码阅读能力及缺陷修改能力，比赛时由赛项执委会提供部分智能交通项目代码及3个缺陷报告单。参赛选手根据缺陷报告单中所描述的缺陷现象，定位该问题所处的代码位置并修改代码以实现正确的功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3.功能编码（79%）</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功能编码模块重点考核参赛选手的代码编写能力，比赛时由赛项执委会给每队参赛选手提供完整的系统需求说明书及相应App框架代码，参赛选手根据试题要求，参考所提供的文档，完成8个功能模块或方法的编码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4.创意设计（6%）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创意设计模块重点考核参赛选手的创意设计能力，比赛时由赛项执委会给每队参赛选手在系统的某个界面提供一个“创意”的入口，参赛选手通过该入口进入到自主设计的创意模块，然后按照指定要求完成该模块的创意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本赛项的竞赛时长为4个小时。</w:t>
      </w:r>
    </w:p>
    <w:p>
      <w:pPr>
        <w:ind w:firstLine="420"/>
        <w:rPr>
          <w:rFonts w:ascii="Arial Narrow" w:hAnsi="Arial Narrow" w:eastAsia="仿宋_GB2312" w:cs="Arial"/>
          <w:sz w:val="30"/>
          <w:szCs w:val="30"/>
        </w:rPr>
      </w:pPr>
      <w:r>
        <w:rPr>
          <w:rFonts w:ascii="Arial Narrow" w:hAnsi="Arial Narrow" w:eastAsia="仿宋_GB2312" w:cs="Arial"/>
          <w:sz w:val="30"/>
          <w:szCs w:val="30"/>
        </w:rPr>
        <w:t xml:space="preserve">The mobile Internet application software development competition, which applies the real cases in intelligent transportation enterprises, tests the contestants’ coding ability, document writing ability, comprehensive analysis ability, technical architecture design ability, creative innovation ability, and </w:t>
      </w:r>
      <w:r>
        <w:rPr>
          <w:rFonts w:hint="eastAsia" w:ascii="Arial Narrow" w:hAnsi="Arial Narrow" w:eastAsia="仿宋_GB2312" w:cs="Arial"/>
          <w:sz w:val="30"/>
          <w:szCs w:val="30"/>
        </w:rPr>
        <w:t>big</w:t>
      </w:r>
      <w:r>
        <w:rPr>
          <w:rFonts w:ascii="Arial Narrow" w:hAnsi="Arial Narrow" w:eastAsia="仿宋_GB2312" w:cs="Arial"/>
          <w:sz w:val="30"/>
          <w:szCs w:val="30"/>
        </w:rPr>
        <w:t xml:space="preserve"> data analysis ability in real projects through the four testing forms of "system documentation", "program troubleshooting", "functional coding" and "creative design". The testing technical points include MVP design patterns, UI design standards MaterialDesign, four components, resource using, Handler / multithreading / timers, network request framework, data wrapping and parsing, multimedia, gesture recognition, dependency injection, event delivery, memory leak management, data storage, business logic, data mining and open source chart library MPAndroidChart API and so on.</w:t>
      </w:r>
    </w:p>
    <w:p>
      <w:pPr>
        <w:ind w:firstLine="420"/>
        <w:rPr>
          <w:rFonts w:ascii="Arial Narrow" w:hAnsi="Arial Narrow" w:eastAsia="仿宋_GB2312" w:cs="Arial"/>
          <w:sz w:val="30"/>
          <w:szCs w:val="30"/>
        </w:rPr>
      </w:pPr>
      <w:r>
        <w:rPr>
          <w:rFonts w:ascii="Arial Narrow" w:hAnsi="Arial Narrow" w:eastAsia="仿宋_GB2312" w:cs="Arial"/>
          <w:sz w:val="30"/>
          <w:szCs w:val="30"/>
        </w:rPr>
        <w:t>The contents and scores of the competition are as follows.</w:t>
      </w:r>
    </w:p>
    <w:p>
      <w:pPr>
        <w:ind w:firstLine="420"/>
        <w:rPr>
          <w:rFonts w:ascii="Arial Narrow" w:hAnsi="Arial Narrow" w:eastAsia="仿宋_GB2312" w:cs="Arial"/>
          <w:sz w:val="30"/>
          <w:szCs w:val="30"/>
        </w:rPr>
      </w:pPr>
      <w:r>
        <w:rPr>
          <w:rFonts w:ascii="Arial Narrow" w:hAnsi="Arial Narrow" w:eastAsia="仿宋_GB2312" w:cs="Arial"/>
          <w:sz w:val="30"/>
          <w:szCs w:val="30"/>
        </w:rPr>
        <w:t>1. System documentation (5%)</w:t>
      </w:r>
    </w:p>
    <w:p>
      <w:pPr>
        <w:ind w:firstLine="420"/>
        <w:rPr>
          <w:rFonts w:ascii="Arial Narrow" w:hAnsi="Arial Narrow" w:eastAsia="仿宋_GB2312" w:cs="Arial"/>
          <w:sz w:val="30"/>
          <w:szCs w:val="30"/>
        </w:rPr>
      </w:pPr>
      <w:r>
        <w:rPr>
          <w:rFonts w:ascii="Arial Narrow" w:hAnsi="Arial Narrow" w:eastAsia="仿宋_GB2312" w:cs="Arial"/>
          <w:sz w:val="30"/>
          <w:szCs w:val="30"/>
        </w:rPr>
        <w:t>The system documentation module mainly tests the system design capability of the contestants. The complete system requirement specification and the functional modules list, which need systematic and detailed design, will be provided to the contestants by the competition committee during the competition. The contestants complete the outline of modules in the list, and detailed functions design, then output the design document according to the requirements of provided modules.</w:t>
      </w:r>
    </w:p>
    <w:p>
      <w:pPr>
        <w:ind w:firstLine="420"/>
        <w:rPr>
          <w:rFonts w:ascii="Arial Narrow" w:hAnsi="Arial Narrow" w:eastAsia="仿宋_GB2312" w:cs="Arial"/>
          <w:sz w:val="30"/>
          <w:szCs w:val="30"/>
        </w:rPr>
      </w:pPr>
      <w:r>
        <w:rPr>
          <w:rFonts w:ascii="Arial Narrow" w:hAnsi="Arial Narrow" w:eastAsia="仿宋_GB2312" w:cs="Arial"/>
          <w:sz w:val="30"/>
          <w:szCs w:val="30"/>
        </w:rPr>
        <w:t>2. Program troubleshooting (10%)</w:t>
      </w:r>
    </w:p>
    <w:p>
      <w:pPr>
        <w:ind w:firstLine="420"/>
        <w:rPr>
          <w:rFonts w:ascii="Arial Narrow" w:hAnsi="Arial Narrow" w:eastAsia="仿宋_GB2312" w:cs="Arial"/>
          <w:sz w:val="30"/>
          <w:szCs w:val="30"/>
        </w:rPr>
      </w:pPr>
      <w:r>
        <w:rPr>
          <w:rFonts w:ascii="Arial Narrow" w:hAnsi="Arial Narrow" w:eastAsia="仿宋_GB2312" w:cs="Arial"/>
          <w:sz w:val="30"/>
          <w:szCs w:val="30"/>
        </w:rPr>
        <w:t>The program troubleshooting mainly tests the code reading ability and defect modification ability of contestants. A certain part of intelligent project code and three defect reports will be provided to the contestants by the competition committee during the competition. The contestants locate the code position that the defaults are in, and modify the code to realize the correct functions according to the defects described in the defect reports.</w:t>
      </w:r>
    </w:p>
    <w:p>
      <w:pPr>
        <w:ind w:firstLine="420"/>
        <w:rPr>
          <w:rFonts w:ascii="Arial Narrow" w:hAnsi="Arial Narrow" w:eastAsia="仿宋_GB2312" w:cs="Arial"/>
          <w:sz w:val="30"/>
          <w:szCs w:val="30"/>
        </w:rPr>
      </w:pPr>
      <w:r>
        <w:rPr>
          <w:rFonts w:ascii="Arial Narrow" w:hAnsi="Arial Narrow" w:eastAsia="仿宋_GB2312" w:cs="Arial"/>
          <w:sz w:val="30"/>
          <w:szCs w:val="30"/>
        </w:rPr>
        <w:t>3. Function coding (79%)</w:t>
      </w:r>
    </w:p>
    <w:p>
      <w:pPr>
        <w:ind w:firstLine="420"/>
        <w:rPr>
          <w:rFonts w:ascii="Arial Narrow" w:hAnsi="Arial Narrow" w:eastAsia="仿宋_GB2312" w:cs="Arial"/>
          <w:sz w:val="30"/>
          <w:szCs w:val="30"/>
        </w:rPr>
      </w:pPr>
      <w:r>
        <w:rPr>
          <w:rFonts w:ascii="Arial Narrow" w:hAnsi="Arial Narrow" w:eastAsia="仿宋_GB2312" w:cs="Arial"/>
          <w:sz w:val="30"/>
          <w:szCs w:val="30"/>
        </w:rPr>
        <w:t>The function coding module mainly tests the code writing ability of contestants. The complete system requirement specification and relevant App framework code will be provided to the contestants by the competition committee during the competition. The contestants complete the coding of eight function modules or methods referring the provided documents according to the test requirements.</w:t>
      </w:r>
    </w:p>
    <w:p>
      <w:pPr>
        <w:ind w:firstLine="420"/>
        <w:rPr>
          <w:rFonts w:ascii="Arial Narrow" w:hAnsi="Arial Narrow" w:eastAsia="仿宋_GB2312" w:cs="Arial"/>
          <w:sz w:val="30"/>
          <w:szCs w:val="30"/>
        </w:rPr>
      </w:pPr>
      <w:r>
        <w:rPr>
          <w:rFonts w:ascii="Arial Narrow" w:hAnsi="Arial Narrow" w:eastAsia="仿宋_GB2312" w:cs="Arial"/>
          <w:sz w:val="30"/>
          <w:szCs w:val="30"/>
        </w:rPr>
        <w:t>4. Creative design (6%)</w:t>
      </w:r>
    </w:p>
    <w:p>
      <w:pPr>
        <w:ind w:firstLine="420"/>
        <w:rPr>
          <w:rFonts w:ascii="Arial Narrow" w:hAnsi="Arial Narrow" w:eastAsia="仿宋_GB2312" w:cs="Arial"/>
          <w:sz w:val="30"/>
          <w:szCs w:val="30"/>
        </w:rPr>
      </w:pPr>
      <w:r>
        <w:rPr>
          <w:rFonts w:ascii="Arial Narrow" w:hAnsi="Arial Narrow" w:eastAsia="仿宋_GB2312" w:cs="Arial"/>
          <w:sz w:val="30"/>
          <w:szCs w:val="30"/>
        </w:rPr>
        <w:t>The creative design module mainly tests the creative design ability of contestants. A "creative" entrance will be provided in uncertain interface to the contestants by the competition committee during the competition. The contestants enter into the self-designed creative module through this interface, and then complete the creative design according to the specified requirements.</w:t>
      </w:r>
    </w:p>
    <w:p>
      <w:pPr>
        <w:ind w:firstLine="420"/>
        <w:rPr>
          <w:rFonts w:ascii="Arial Narrow" w:hAnsi="Arial Narrow" w:eastAsia="仿宋_GB2312" w:cs="Arial"/>
          <w:sz w:val="30"/>
          <w:szCs w:val="30"/>
        </w:rPr>
      </w:pPr>
      <w:r>
        <w:rPr>
          <w:rFonts w:ascii="Arial Narrow" w:hAnsi="Arial Narrow" w:eastAsia="仿宋_GB2312" w:cs="Arial"/>
          <w:sz w:val="30"/>
          <w:szCs w:val="30"/>
        </w:rPr>
        <w:t>The duration of this competition is 4 hours.</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w:t>
      </w:r>
      <w:r>
        <w:rPr>
          <w:rFonts w:hint="eastAsia" w:ascii="Arial Narrow" w:hAnsi="Arial Narrow" w:eastAsia="仿宋_GB2312" w:cs="Arial"/>
          <w:sz w:val="30"/>
          <w:szCs w:val="30"/>
        </w:rPr>
        <w:t>本赛项为团体赛，每支参赛队由3名选手组成，须为同校在籍高职学生，其中队长1名，性别和年级不限。最多2名指导教师。</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二</w:t>
      </w:r>
      <w:r>
        <w:rPr>
          <w:rFonts w:ascii="Arial Narrow" w:hAnsi="Arial Narrow" w:eastAsia="仿宋_GB2312" w:cs="Arial"/>
          <w:sz w:val="30"/>
          <w:szCs w:val="30"/>
        </w:rPr>
        <w:t>）</w:t>
      </w:r>
      <w:r>
        <w:rPr>
          <w:rFonts w:hint="eastAsia" w:ascii="Arial Narrow" w:hAnsi="Arial Narrow" w:eastAsia="仿宋_GB2312" w:cs="Arial"/>
          <w:sz w:val="30"/>
          <w:szCs w:val="30"/>
        </w:rPr>
        <w:t>本赛项设单一场次，参赛选手在现场根据给定的项目任务，在4个小时内相互配合，在设备上完成 “系统设计”、“程序排错”、“功能编码”和“创意设计”，并保证整个团队并行开发和调试。</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三</w:t>
      </w:r>
      <w:r>
        <w:rPr>
          <w:rFonts w:ascii="Arial Narrow" w:hAnsi="Arial Narrow" w:eastAsia="仿宋_GB2312" w:cs="Arial"/>
          <w:sz w:val="30"/>
          <w:szCs w:val="30"/>
        </w:rPr>
        <w:t>）</w:t>
      </w:r>
      <w:r>
        <w:rPr>
          <w:rFonts w:hint="eastAsia" w:ascii="Arial Narrow" w:hAnsi="Arial Narrow" w:eastAsia="仿宋_GB2312" w:cs="Arial"/>
          <w:sz w:val="30"/>
          <w:szCs w:val="30"/>
        </w:rPr>
        <w:t>本赛项不计选手个人成绩，由评分裁判对参赛队伍提交的作品采取客观性结果评分。各参赛队总成绩=系统文档模块得分+程序排错模块得分+功能编码模块得分+创意设计模块得分。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四</w:t>
      </w:r>
      <w:r>
        <w:rPr>
          <w:rFonts w:ascii="Arial Narrow" w:hAnsi="Arial Narrow" w:eastAsia="仿宋_GB2312" w:cs="Arial"/>
          <w:sz w:val="30"/>
          <w:szCs w:val="30"/>
        </w:rPr>
        <w:t>）</w:t>
      </w:r>
      <w:r>
        <w:rPr>
          <w:rFonts w:hint="eastAsia" w:ascii="Arial Narrow" w:hAnsi="Arial Narrow" w:eastAsia="仿宋_GB2312" w:cs="Arial"/>
          <w:sz w:val="30"/>
          <w:szCs w:val="30"/>
        </w:rPr>
        <w:t>本赛项邀请一带一路沿线国家参加国际邀请赛，欢迎社会各界人士到赛场观摩。</w:t>
      </w:r>
    </w:p>
    <w:p>
      <w:pPr>
        <w:snapToGrid w:val="0"/>
        <w:spacing w:line="560" w:lineRule="exact"/>
        <w:ind w:firstLine="602" w:firstLineChars="200"/>
        <w:rPr>
          <w:rFonts w:ascii="黑体" w:hAnsi="黑体" w:eastAsia="黑体" w:cs="黑体"/>
          <w:b/>
          <w:bCs/>
          <w:sz w:val="30"/>
          <w:szCs w:val="30"/>
        </w:rPr>
      </w:pPr>
      <w:r>
        <w:rPr>
          <w:rFonts w:hint="eastAsia" w:ascii="黑体" w:hAnsi="黑体" w:eastAsia="黑体" w:cs="黑体"/>
          <w:b/>
          <w:bCs/>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比赛时间：共240分钟。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流程安排参考如下：</w:t>
      </w:r>
    </w:p>
    <w:p>
      <w:pPr>
        <w:snapToGrid w:val="0"/>
        <w:spacing w:line="560" w:lineRule="exact"/>
        <w:ind w:firstLine="600" w:firstLineChars="200"/>
        <w:rPr>
          <w:rFonts w:ascii="Arial Narrow" w:hAnsi="Arial Narrow" w:eastAsia="仿宋_GB2312" w:cs="Arial"/>
          <w:sz w:val="30"/>
          <w:szCs w:val="30"/>
        </w:rPr>
      </w:pPr>
    </w:p>
    <w:tbl>
      <w:tblPr>
        <w:tblStyle w:val="14"/>
        <w:tblW w:w="9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9"/>
        <w:gridCol w:w="2169"/>
        <w:gridCol w:w="5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9525" w:type="dxa"/>
            <w:gridSpan w:val="3"/>
            <w:shd w:val="clear" w:color="auto" w:fill="auto"/>
          </w:tcPr>
          <w:p>
            <w:pPr>
              <w:widowControl/>
              <w:ind w:firstLine="422"/>
              <w:jc w:val="center"/>
              <w:rPr>
                <w:rFonts w:asciiTheme="minorEastAsia" w:hAnsiTheme="minorEastAsia"/>
                <w:b/>
                <w:sz w:val="24"/>
                <w:szCs w:val="24"/>
              </w:rPr>
            </w:pPr>
            <w:r>
              <w:rPr>
                <w:rFonts w:asciiTheme="minorEastAsia" w:hAnsiTheme="minorEastAsia"/>
                <w:b/>
                <w:sz w:val="24"/>
                <w:szCs w:val="24"/>
              </w:rPr>
              <w:t>日程安排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restart"/>
          </w:tcPr>
          <w:p>
            <w:pPr>
              <w:widowControl/>
              <w:ind w:firstLine="420"/>
              <w:jc w:val="center"/>
              <w:rPr>
                <w:rFonts w:asciiTheme="minorEastAsia" w:hAnsiTheme="minorEastAsia"/>
                <w:sz w:val="24"/>
                <w:szCs w:val="24"/>
              </w:rPr>
            </w:pPr>
            <w:r>
              <w:rPr>
                <w:rFonts w:hint="eastAsia" w:asciiTheme="minorEastAsia" w:hAnsiTheme="minorEastAsia"/>
                <w:sz w:val="24"/>
                <w:szCs w:val="24"/>
              </w:rPr>
              <w:t>第一天</w:t>
            </w: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14:00前</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参赛队报到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15:00—15:30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参赛队参观赛场，熟悉比赛环境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15:30—16:00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领队会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16:30—17:30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检查比赛环境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17:30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赛场封闭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restart"/>
          </w:tcPr>
          <w:p>
            <w:pPr>
              <w:widowControl/>
              <w:ind w:firstLine="420"/>
              <w:jc w:val="center"/>
              <w:rPr>
                <w:rFonts w:asciiTheme="minorEastAsia" w:hAnsiTheme="minorEastAsia"/>
                <w:sz w:val="24"/>
                <w:szCs w:val="24"/>
              </w:rPr>
            </w:pPr>
            <w:r>
              <w:rPr>
                <w:rFonts w:hint="eastAsia" w:asciiTheme="minorEastAsia" w:hAnsiTheme="minorEastAsia"/>
                <w:sz w:val="24"/>
                <w:szCs w:val="24"/>
              </w:rPr>
              <w:t>第二天</w:t>
            </w: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7:30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评分裁判封闭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7:00—7:30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开启赛场，检查比赛环境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7:30—8:00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参赛队检录、一次加密、二次加密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8:00—12:00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12:00—14:00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申诉仲裁受理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13:00—14:00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三次加密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13:00—14:00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评分裁判培训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tcPr>
          <w:p>
            <w:pPr>
              <w:widowControl/>
              <w:ind w:firstLine="420"/>
              <w:jc w:val="center"/>
              <w:rPr>
                <w:rFonts w:asciiTheme="minorEastAsia" w:hAnsiTheme="minorEastAsia"/>
                <w:sz w:val="24"/>
                <w:szCs w:val="24"/>
              </w:rPr>
            </w:pP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14:00—20:00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tcPr>
          <w:p>
            <w:pPr>
              <w:widowControl/>
              <w:ind w:firstLine="420"/>
              <w:jc w:val="center"/>
              <w:rPr>
                <w:rFonts w:asciiTheme="minorEastAsia" w:hAnsiTheme="minorEastAsia"/>
                <w:sz w:val="24"/>
                <w:szCs w:val="24"/>
              </w:rPr>
            </w:pPr>
            <w:r>
              <w:rPr>
                <w:rFonts w:hint="eastAsia" w:asciiTheme="minorEastAsia" w:hAnsiTheme="minorEastAsia"/>
                <w:sz w:val="24"/>
                <w:szCs w:val="24"/>
              </w:rPr>
              <w:t>第三天</w:t>
            </w:r>
          </w:p>
        </w:tc>
        <w:tc>
          <w:tcPr>
            <w:tcW w:w="2169"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8:30—9:30</w:t>
            </w:r>
          </w:p>
        </w:tc>
        <w:tc>
          <w:tcPr>
            <w:tcW w:w="5187" w:type="dxa"/>
            <w:vAlign w:val="center"/>
          </w:tcPr>
          <w:p>
            <w:pPr>
              <w:widowControl/>
              <w:ind w:firstLine="420"/>
              <w:jc w:val="center"/>
              <w:rPr>
                <w:rFonts w:asciiTheme="minorEastAsia" w:hAnsiTheme="minorEastAsia"/>
                <w:sz w:val="24"/>
                <w:szCs w:val="24"/>
              </w:rPr>
            </w:pPr>
            <w:r>
              <w:rPr>
                <w:rFonts w:hint="eastAsia" w:asciiTheme="minorEastAsia" w:hAnsiTheme="minorEastAsia"/>
                <w:sz w:val="24"/>
                <w:szCs w:val="24"/>
              </w:rPr>
              <w:t>闭赛式</w:t>
            </w:r>
          </w:p>
        </w:tc>
      </w:tr>
    </w:tbl>
    <w:p>
      <w:pPr>
        <w:snapToGrid w:val="0"/>
        <w:spacing w:line="560" w:lineRule="exact"/>
        <w:ind w:firstLine="560" w:firstLineChars="200"/>
        <w:rPr>
          <w:rFonts w:ascii="Arial Narrow" w:hAnsi="Arial Narrow" w:eastAsia="仿宋_GB2312" w:cs="Arial"/>
          <w:sz w:val="28"/>
          <w:szCs w:val="28"/>
        </w:rPr>
      </w:pPr>
      <w:r>
        <w:rPr>
          <w:rFonts w:ascii="Arial Narrow" w:hAnsi="Arial Narrow" w:eastAsia="仿宋_GB2312" w:cs="Arial"/>
          <w:sz w:val="28"/>
          <w:szCs w:val="28"/>
        </w:rPr>
        <w:pict>
          <v:shape id="对象 3" o:spid="_x0000_s1069" o:spt="75" type="#_x0000_t75" style="position:absolute;left:0pt;margin-left:0.1pt;margin-top:6.75pt;height:405pt;width:414.75pt;mso-wrap-distance-bottom:0pt;mso-wrap-distance-left:9pt;mso-wrap-distance-right:9pt;mso-wrap-distance-top:0pt;z-index:251659264;mso-width-relative:page;mso-height-relative:page;" o:ole="t" filled="f" o:preferrelative="t" stroked="f" coordsize="21600,21600">
            <v:path/>
            <v:fill on="f" focussize="0,0"/>
            <v:stroke on="f" joinstyle="miter"/>
            <v:imagedata r:id="rId7" o:title=""/>
            <o:lock v:ext="edit" aspectratio="t"/>
            <w10:wrap type="square"/>
          </v:shape>
          <o:OLEObject Type="Embed" ProgID="Visio.Drawing.11" ShapeID="对象 3" DrawAspect="Content" ObjectID="_1468075725" r:id="rId6">
            <o:LockedField>false</o:LockedField>
          </o:OLEObject>
        </w:pic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九、竞赛试题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赛项提供样卷（见附件一）。</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sz w:val="30"/>
          <w:szCs w:val="30"/>
        </w:rPr>
        <w:t>根据大赛办统一要求，赛项将在提供赛题库。赛题库将提供不少于1</w:t>
      </w:r>
      <w:r>
        <w:rPr>
          <w:rFonts w:ascii="仿宋_GB2312" w:hAnsi="Arial Narrow" w:eastAsia="仿宋_GB2312"/>
          <w:sz w:val="30"/>
          <w:szCs w:val="30"/>
        </w:rPr>
        <w:t>0</w:t>
      </w:r>
      <w:r>
        <w:rPr>
          <w:rFonts w:hint="eastAsia" w:ascii="仿宋_GB2312" w:hAnsi="Arial Narrow" w:eastAsia="仿宋_GB2312"/>
          <w:sz w:val="30"/>
          <w:szCs w:val="30"/>
        </w:rPr>
        <w:t>套的竞赛赛卷（各套赛卷的重复率不得超过50%）。</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十、评分标准制定原则、评分方法、评分细则</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（一）评分原则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客观性结果评分原则。评分裁判对参赛队伍提交的竞赛作品，依据赛项评价标准进行客观评分。竞赛名次按照成绩总分从高到低排序。相同成绩的依次按功能编码、程序排错、系统文档部分得分高低决定排名次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三层加密原则。比赛过程采取三层加密，通过抽取参赛编号、工位号和竞赛成果号，屏蔽参赛队信息，每个环节设置一名独立裁判，每个环节结束后，数据立即封存于裁判长，加密裁判直接隔离，确保成绩评定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3.独立评分原则。根据裁判分工，负责相同模块评分工作的不同裁判采取随机抽签独立评分，确保成绩评定严谨、客观、准确。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（1）裁判进行随机抽签分组，杜绝主观意愿组队，各自完全独立评分，裁判员间互不干涉。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（2）裁判统一安排在一间工作室内唱分，比赛监督人员可随机监督。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（3）利用计算机程序进行自动解密，减少人工干预环节。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4.错误不传递原则。各环节分别计算得分，错误不传递，按规定比例计入团队总分。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5.抽查复核原则。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（1）为保障成绩评判的准确性，监督组对赛项总成绩排名前30%的所有参赛队伍（选手）的成绩进行复核；对其余成绩进行抽检复核，抽检覆盖率不得低于15%。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（2）监督组需将复检中发现的错误以书面方式及时告知裁判长，由裁判长更正成绩并签字确认。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（3）复核、抽检错误率超过5%的，则认定为非小概率事件，裁判组需对所有成绩进行复核。</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（二）评分细则</w:t>
      </w:r>
    </w:p>
    <w:tbl>
      <w:tblPr>
        <w:tblStyle w:val="14"/>
        <w:tblW w:w="82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594"/>
        <w:gridCol w:w="816"/>
        <w:gridCol w:w="2968"/>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jc w:val="center"/>
        </w:trPr>
        <w:tc>
          <w:tcPr>
            <w:tcW w:w="1294" w:type="dxa"/>
            <w:vAlign w:val="center"/>
          </w:tcPr>
          <w:p>
            <w:pPr>
              <w:pStyle w:val="23"/>
              <w:snapToGrid w:val="0"/>
              <w:ind w:firstLine="0" w:firstLineChars="0"/>
              <w:jc w:val="center"/>
              <w:rPr>
                <w:rFonts w:ascii="宋体" w:hAnsi="宋体" w:cs="Times New Roman"/>
                <w:b/>
                <w:bCs/>
                <w:color w:val="000000"/>
                <w:sz w:val="24"/>
              </w:rPr>
            </w:pPr>
            <w:r>
              <w:rPr>
                <w:rFonts w:hint="eastAsia" w:ascii="宋体" w:hAnsi="宋体" w:cs="仿宋"/>
                <w:b/>
                <w:bCs/>
                <w:color w:val="000000"/>
                <w:sz w:val="24"/>
              </w:rPr>
              <w:t>考试模块</w:t>
            </w:r>
          </w:p>
        </w:tc>
        <w:tc>
          <w:tcPr>
            <w:tcW w:w="1594" w:type="dxa"/>
            <w:vAlign w:val="center"/>
          </w:tcPr>
          <w:p>
            <w:pPr>
              <w:pStyle w:val="23"/>
              <w:snapToGrid w:val="0"/>
              <w:ind w:firstLine="0" w:firstLineChars="0"/>
              <w:jc w:val="center"/>
              <w:rPr>
                <w:rFonts w:ascii="宋体" w:hAnsi="宋体" w:cs="Times New Roman"/>
                <w:b/>
                <w:bCs/>
                <w:color w:val="000000"/>
                <w:sz w:val="24"/>
              </w:rPr>
            </w:pPr>
            <w:r>
              <w:rPr>
                <w:rFonts w:hint="eastAsia" w:ascii="宋体" w:hAnsi="宋体" w:cs="仿宋"/>
                <w:b/>
                <w:bCs/>
                <w:color w:val="000000"/>
                <w:sz w:val="24"/>
              </w:rPr>
              <w:t>考查点</w:t>
            </w:r>
          </w:p>
        </w:tc>
        <w:tc>
          <w:tcPr>
            <w:tcW w:w="816" w:type="dxa"/>
            <w:vAlign w:val="center"/>
          </w:tcPr>
          <w:p>
            <w:pPr>
              <w:pStyle w:val="23"/>
              <w:snapToGrid w:val="0"/>
              <w:ind w:firstLine="0" w:firstLineChars="0"/>
              <w:jc w:val="center"/>
              <w:rPr>
                <w:rFonts w:ascii="宋体" w:hAnsi="宋体" w:cs="Times New Roman"/>
                <w:b/>
                <w:bCs/>
                <w:color w:val="000000"/>
                <w:sz w:val="24"/>
              </w:rPr>
            </w:pPr>
            <w:r>
              <w:rPr>
                <w:rFonts w:hint="eastAsia" w:ascii="宋体" w:hAnsi="宋体" w:cs="仿宋"/>
                <w:b/>
                <w:bCs/>
                <w:color w:val="000000"/>
                <w:sz w:val="24"/>
              </w:rPr>
              <w:t>权重</w:t>
            </w:r>
          </w:p>
        </w:tc>
        <w:tc>
          <w:tcPr>
            <w:tcW w:w="2968" w:type="dxa"/>
            <w:vAlign w:val="center"/>
          </w:tcPr>
          <w:p>
            <w:pPr>
              <w:pStyle w:val="23"/>
              <w:snapToGrid w:val="0"/>
              <w:ind w:firstLine="0" w:firstLineChars="0"/>
              <w:jc w:val="center"/>
              <w:rPr>
                <w:rFonts w:ascii="宋体" w:hAnsi="宋体" w:cs="Times New Roman"/>
                <w:b/>
                <w:bCs/>
                <w:color w:val="000000"/>
                <w:sz w:val="24"/>
              </w:rPr>
            </w:pPr>
            <w:r>
              <w:rPr>
                <w:rFonts w:hint="eastAsia" w:ascii="宋体" w:hAnsi="宋体" w:cs="仿宋"/>
                <w:b/>
                <w:bCs/>
                <w:color w:val="000000"/>
                <w:sz w:val="24"/>
              </w:rPr>
              <w:t>描述</w:t>
            </w:r>
          </w:p>
        </w:tc>
        <w:tc>
          <w:tcPr>
            <w:tcW w:w="1584" w:type="dxa"/>
            <w:vAlign w:val="center"/>
          </w:tcPr>
          <w:p>
            <w:pPr>
              <w:pStyle w:val="23"/>
              <w:snapToGrid w:val="0"/>
              <w:ind w:firstLine="0" w:firstLineChars="0"/>
              <w:jc w:val="center"/>
              <w:rPr>
                <w:rFonts w:ascii="宋体" w:hAnsi="宋体" w:cs="Times New Roman"/>
                <w:b/>
                <w:bCs/>
                <w:color w:val="000000"/>
                <w:sz w:val="24"/>
              </w:rPr>
            </w:pPr>
            <w:r>
              <w:rPr>
                <w:rFonts w:hint="eastAsia" w:ascii="宋体" w:hAnsi="宋体" w:cs="仿宋"/>
                <w:b/>
                <w:bCs/>
                <w:color w:val="000000"/>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restart"/>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系统</w:t>
            </w:r>
            <w:r>
              <w:rPr>
                <w:rFonts w:ascii="宋体" w:hAnsi="宋体" w:cs="仿宋"/>
                <w:color w:val="000000"/>
                <w:sz w:val="24"/>
              </w:rPr>
              <w:t>文档</w:t>
            </w: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olor w:val="000000" w:themeColor="text1"/>
                <w:sz w:val="24"/>
              </w:rPr>
              <w:t>流程图</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olor w:val="000000" w:themeColor="text1"/>
                <w:sz w:val="24"/>
              </w:rPr>
              <w:t>1</w:t>
            </w:r>
            <w:r>
              <w:rPr>
                <w:rFonts w:hint="eastAsia" w:ascii="宋体" w:hAnsi="宋体"/>
                <w:color w:val="000000" w:themeColor="text1"/>
                <w:sz w:val="24"/>
              </w:rPr>
              <w:t>%</w:t>
            </w:r>
          </w:p>
        </w:tc>
        <w:tc>
          <w:tcPr>
            <w:tcW w:w="2968" w:type="dxa"/>
            <w:vAlign w:val="center"/>
          </w:tcPr>
          <w:p>
            <w:pPr>
              <w:pStyle w:val="23"/>
              <w:snapToGrid w:val="0"/>
              <w:ind w:firstLine="0" w:firstLineChars="0"/>
              <w:jc w:val="left"/>
              <w:rPr>
                <w:rFonts w:ascii="宋体" w:hAnsi="宋体" w:cs="仿宋"/>
                <w:color w:val="000000"/>
                <w:sz w:val="24"/>
              </w:rPr>
            </w:pPr>
            <w:r>
              <w:rPr>
                <w:rFonts w:hint="eastAsia" w:ascii="宋体" w:hAnsi="宋体"/>
                <w:color w:val="000000" w:themeColor="text1"/>
                <w:sz w:val="24"/>
              </w:rPr>
              <w:t>绘制系统指定模块的流程图</w:t>
            </w:r>
          </w:p>
        </w:tc>
        <w:tc>
          <w:tcPr>
            <w:tcW w:w="1584" w:type="dxa"/>
            <w:vMerge w:val="restart"/>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结果评分（客观）</w:t>
            </w:r>
          </w:p>
          <w:p>
            <w:pPr>
              <w:pStyle w:val="23"/>
              <w:snapToGrid w:val="0"/>
              <w:ind w:firstLine="0" w:firstLineChars="0"/>
              <w:jc w:val="center"/>
              <w:rPr>
                <w:rFonts w:ascii="宋体" w:hAnsi="宋体" w:cs="仿宋"/>
                <w:color w:val="000000"/>
                <w:sz w:val="24"/>
              </w:rPr>
            </w:pPr>
            <w:r>
              <w:rPr>
                <w:rFonts w:hint="eastAsia" w:ascii="宋体" w:hAnsi="宋体" w:cs="宋体"/>
                <w:color w:val="000000"/>
                <w:kern w:val="0"/>
                <w:sz w:val="24"/>
              </w:rPr>
              <w:t>（每组2名裁判随机抽取独立评分）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仿宋"/>
                <w:color w:val="000000"/>
                <w:sz w:val="24"/>
              </w:rPr>
            </w:pPr>
          </w:p>
        </w:tc>
        <w:tc>
          <w:tcPr>
            <w:tcW w:w="1594" w:type="dxa"/>
            <w:vAlign w:val="center"/>
          </w:tcPr>
          <w:p>
            <w:pPr>
              <w:pStyle w:val="23"/>
              <w:snapToGrid w:val="0"/>
              <w:ind w:firstLine="0" w:firstLineChars="0"/>
              <w:jc w:val="center"/>
              <w:rPr>
                <w:rFonts w:ascii="宋体" w:hAnsi="宋体"/>
                <w:color w:val="000000" w:themeColor="text1"/>
                <w:sz w:val="24"/>
              </w:rPr>
            </w:pPr>
            <w:r>
              <w:rPr>
                <w:rFonts w:hint="eastAsia" w:ascii="宋体" w:hAnsi="宋体"/>
                <w:color w:val="000000" w:themeColor="text1"/>
                <w:sz w:val="24"/>
              </w:rPr>
              <w:t>类图/领域模型</w:t>
            </w:r>
          </w:p>
        </w:tc>
        <w:tc>
          <w:tcPr>
            <w:tcW w:w="816" w:type="dxa"/>
            <w:vAlign w:val="center"/>
          </w:tcPr>
          <w:p>
            <w:pPr>
              <w:pStyle w:val="23"/>
              <w:snapToGrid w:val="0"/>
              <w:ind w:firstLine="0" w:firstLineChars="0"/>
              <w:jc w:val="center"/>
              <w:rPr>
                <w:rFonts w:ascii="宋体" w:hAnsi="宋体"/>
                <w:color w:val="000000" w:themeColor="text1"/>
                <w:sz w:val="24"/>
              </w:rPr>
            </w:pPr>
            <w:r>
              <w:rPr>
                <w:rFonts w:ascii="宋体" w:hAnsi="宋体"/>
                <w:color w:val="000000" w:themeColor="text1"/>
                <w:sz w:val="24"/>
              </w:rPr>
              <w:t>1</w:t>
            </w:r>
            <w:r>
              <w:rPr>
                <w:rFonts w:hint="eastAsia" w:ascii="宋体" w:hAnsi="宋体"/>
                <w:color w:val="000000" w:themeColor="text1"/>
                <w:sz w:val="24"/>
              </w:rPr>
              <w:t>%</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绘制系统指定模块的流程图的类图/领域模型</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仿宋"/>
                <w:color w:val="000000"/>
                <w:sz w:val="24"/>
              </w:rPr>
            </w:pPr>
          </w:p>
        </w:tc>
        <w:tc>
          <w:tcPr>
            <w:tcW w:w="1594" w:type="dxa"/>
            <w:vAlign w:val="center"/>
          </w:tcPr>
          <w:p>
            <w:pPr>
              <w:pStyle w:val="23"/>
              <w:snapToGrid w:val="0"/>
              <w:ind w:firstLine="0" w:firstLineChars="0"/>
              <w:jc w:val="center"/>
              <w:rPr>
                <w:rFonts w:ascii="宋体" w:hAnsi="宋体"/>
                <w:color w:val="000000" w:themeColor="text1"/>
                <w:sz w:val="24"/>
              </w:rPr>
            </w:pPr>
            <w:r>
              <w:rPr>
                <w:rFonts w:hint="eastAsia" w:ascii="宋体" w:hAnsi="宋体"/>
                <w:color w:val="000000" w:themeColor="text1"/>
                <w:sz w:val="24"/>
              </w:rPr>
              <w:t>时序图</w:t>
            </w:r>
          </w:p>
        </w:tc>
        <w:tc>
          <w:tcPr>
            <w:tcW w:w="816" w:type="dxa"/>
            <w:vAlign w:val="center"/>
          </w:tcPr>
          <w:p>
            <w:pPr>
              <w:pStyle w:val="23"/>
              <w:snapToGrid w:val="0"/>
              <w:ind w:firstLine="0" w:firstLineChars="0"/>
              <w:jc w:val="center"/>
              <w:rPr>
                <w:rFonts w:ascii="宋体" w:hAnsi="宋体"/>
                <w:color w:val="000000" w:themeColor="text1"/>
                <w:sz w:val="24"/>
              </w:rPr>
            </w:pPr>
            <w:r>
              <w:rPr>
                <w:rFonts w:ascii="宋体" w:hAnsi="宋体"/>
                <w:color w:val="000000" w:themeColor="text1"/>
                <w:sz w:val="24"/>
              </w:rPr>
              <w:t>1</w:t>
            </w:r>
            <w:r>
              <w:rPr>
                <w:rFonts w:hint="eastAsia" w:ascii="宋体" w:hAnsi="宋体"/>
                <w:color w:val="000000" w:themeColor="text1"/>
                <w:sz w:val="24"/>
              </w:rPr>
              <w:t>%</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绘制系统指定模块的时序图</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仿宋"/>
                <w:color w:val="000000"/>
                <w:sz w:val="24"/>
              </w:rPr>
            </w:pPr>
          </w:p>
        </w:tc>
        <w:tc>
          <w:tcPr>
            <w:tcW w:w="1594" w:type="dxa"/>
            <w:vAlign w:val="center"/>
          </w:tcPr>
          <w:p>
            <w:pPr>
              <w:pStyle w:val="23"/>
              <w:snapToGrid w:val="0"/>
              <w:ind w:firstLine="0" w:firstLineChars="0"/>
              <w:jc w:val="center"/>
              <w:rPr>
                <w:rFonts w:ascii="宋体" w:hAnsi="宋体"/>
                <w:color w:val="000000" w:themeColor="text1"/>
                <w:sz w:val="24"/>
              </w:rPr>
            </w:pPr>
            <w:r>
              <w:rPr>
                <w:rFonts w:hint="eastAsia" w:ascii="宋体" w:hAnsi="宋体"/>
                <w:color w:val="000000" w:themeColor="text1"/>
                <w:sz w:val="24"/>
              </w:rPr>
              <w:t>数据库</w:t>
            </w:r>
          </w:p>
        </w:tc>
        <w:tc>
          <w:tcPr>
            <w:tcW w:w="816" w:type="dxa"/>
            <w:vAlign w:val="center"/>
          </w:tcPr>
          <w:p>
            <w:pPr>
              <w:pStyle w:val="23"/>
              <w:snapToGrid w:val="0"/>
              <w:ind w:firstLine="0" w:firstLineChars="0"/>
              <w:jc w:val="center"/>
              <w:rPr>
                <w:rFonts w:ascii="宋体" w:hAnsi="宋体"/>
                <w:color w:val="000000" w:themeColor="text1"/>
                <w:sz w:val="24"/>
              </w:rPr>
            </w:pPr>
            <w:r>
              <w:rPr>
                <w:rFonts w:ascii="宋体" w:hAnsi="宋体"/>
                <w:color w:val="000000" w:themeColor="text1"/>
                <w:sz w:val="24"/>
              </w:rPr>
              <w:t>1</w:t>
            </w:r>
            <w:r>
              <w:rPr>
                <w:rFonts w:hint="eastAsia" w:ascii="宋体" w:hAnsi="宋体"/>
                <w:color w:val="000000" w:themeColor="text1"/>
                <w:sz w:val="24"/>
              </w:rPr>
              <w:t>%</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绘制系统指定模块的数据库表设计</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仿宋"/>
                <w:color w:val="000000"/>
                <w:sz w:val="24"/>
              </w:rPr>
            </w:pPr>
          </w:p>
        </w:tc>
        <w:tc>
          <w:tcPr>
            <w:tcW w:w="1594" w:type="dxa"/>
            <w:vAlign w:val="center"/>
          </w:tcPr>
          <w:p>
            <w:pPr>
              <w:pStyle w:val="23"/>
              <w:snapToGrid w:val="0"/>
              <w:ind w:firstLine="0" w:firstLineChars="0"/>
              <w:jc w:val="center"/>
              <w:rPr>
                <w:rFonts w:ascii="宋体" w:hAnsi="宋体"/>
                <w:color w:val="000000" w:themeColor="text1"/>
                <w:sz w:val="24"/>
              </w:rPr>
            </w:pPr>
            <w:r>
              <w:rPr>
                <w:rFonts w:hint="eastAsia" w:ascii="宋体" w:hAnsi="宋体"/>
                <w:color w:val="000000" w:themeColor="text1"/>
                <w:sz w:val="24"/>
              </w:rPr>
              <w:t>代码规范</w:t>
            </w:r>
          </w:p>
        </w:tc>
        <w:tc>
          <w:tcPr>
            <w:tcW w:w="816" w:type="dxa"/>
            <w:vAlign w:val="center"/>
          </w:tcPr>
          <w:p>
            <w:pPr>
              <w:pStyle w:val="23"/>
              <w:snapToGrid w:val="0"/>
              <w:ind w:firstLine="0" w:firstLineChars="0"/>
              <w:jc w:val="center"/>
              <w:rPr>
                <w:rFonts w:ascii="宋体" w:hAnsi="宋体"/>
                <w:color w:val="000000" w:themeColor="text1"/>
                <w:sz w:val="24"/>
              </w:rPr>
            </w:pPr>
            <w:r>
              <w:rPr>
                <w:rFonts w:ascii="宋体" w:hAnsi="宋体"/>
                <w:color w:val="000000" w:themeColor="text1"/>
                <w:sz w:val="24"/>
              </w:rPr>
              <w:t>1</w:t>
            </w:r>
            <w:r>
              <w:rPr>
                <w:rFonts w:hint="eastAsia" w:ascii="宋体" w:hAnsi="宋体"/>
                <w:color w:val="000000" w:themeColor="text1"/>
                <w:sz w:val="24"/>
              </w:rPr>
              <w:t>%</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展示系统指定模块的部分功能编码</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restart"/>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程序排错</w:t>
            </w:r>
          </w:p>
        </w:tc>
        <w:tc>
          <w:tcPr>
            <w:tcW w:w="1594" w:type="dxa"/>
            <w:vAlign w:val="center"/>
          </w:tcPr>
          <w:p>
            <w:pPr>
              <w:pStyle w:val="23"/>
              <w:snapToGrid w:val="0"/>
              <w:ind w:firstLine="0" w:firstLineChars="0"/>
              <w:jc w:val="center"/>
              <w:rPr>
                <w:rFonts w:ascii="宋体" w:hAnsi="宋体" w:cs="Times New Roman"/>
                <w:color w:val="000000"/>
                <w:sz w:val="24"/>
              </w:rPr>
            </w:pPr>
            <w:r>
              <w:rPr>
                <w:rFonts w:ascii="宋体" w:hAnsi="宋体" w:cs="仿宋"/>
                <w:color w:val="000000"/>
                <w:sz w:val="24"/>
              </w:rPr>
              <w:t>UI</w:t>
            </w:r>
            <w:r>
              <w:rPr>
                <w:rFonts w:hint="eastAsia" w:ascii="宋体" w:hAnsi="宋体" w:cs="仿宋"/>
                <w:color w:val="000000"/>
                <w:sz w:val="24"/>
              </w:rPr>
              <w:t>设计</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根据界面原型与实际显示之间的差异，定位并修改相应代码，以实现正确功能</w:t>
            </w:r>
          </w:p>
        </w:tc>
        <w:tc>
          <w:tcPr>
            <w:tcW w:w="1584" w:type="dxa"/>
            <w:vMerge w:val="restart"/>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结果评分（客观）</w:t>
            </w:r>
          </w:p>
          <w:p>
            <w:pPr>
              <w:pStyle w:val="23"/>
              <w:snapToGrid w:val="0"/>
              <w:ind w:firstLine="0" w:firstLineChars="0"/>
              <w:jc w:val="center"/>
              <w:rPr>
                <w:rFonts w:ascii="宋体" w:hAnsi="宋体" w:cs="Times New Roman"/>
                <w:color w:val="000000"/>
                <w:sz w:val="24"/>
              </w:rPr>
            </w:pPr>
            <w:r>
              <w:rPr>
                <w:rFonts w:hint="eastAsia" w:ascii="宋体" w:hAnsi="宋体" w:cs="宋体"/>
                <w:color w:val="000000"/>
                <w:kern w:val="0"/>
                <w:sz w:val="24"/>
              </w:rPr>
              <w:t>（每组2名裁判随机抽取独立评分）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业务逻辑</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5</w:t>
            </w:r>
            <w:r>
              <w:rPr>
                <w:rFonts w:ascii="宋体" w:hAnsi="宋体" w:cs="仿宋"/>
                <w:color w:val="000000"/>
                <w:sz w:val="24"/>
              </w:rPr>
              <w:t>%</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根据需求描述及对功能的理解，并位并修复系统中业务逻辑存在的错误</w:t>
            </w:r>
          </w:p>
        </w:tc>
        <w:tc>
          <w:tcPr>
            <w:tcW w:w="1584" w:type="dxa"/>
            <w:vMerge w:val="continue"/>
            <w:vAlign w:val="center"/>
          </w:tcPr>
          <w:p>
            <w:pPr>
              <w:pStyle w:val="23"/>
              <w:snapToGrid w:val="0"/>
              <w:ind w:firstLine="0" w:firstLineChars="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restart"/>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功能编码</w:t>
            </w:r>
          </w:p>
        </w:tc>
        <w:tc>
          <w:tcPr>
            <w:tcW w:w="1594" w:type="dxa"/>
            <w:vAlign w:val="center"/>
          </w:tcPr>
          <w:p>
            <w:pPr>
              <w:pStyle w:val="23"/>
              <w:snapToGrid w:val="0"/>
              <w:ind w:firstLine="0" w:firstLineChars="0"/>
              <w:jc w:val="center"/>
              <w:rPr>
                <w:rFonts w:ascii="宋体" w:hAnsi="宋体" w:cs="Times New Roman"/>
                <w:color w:val="000000"/>
                <w:sz w:val="24"/>
              </w:rPr>
            </w:pPr>
            <w:r>
              <w:rPr>
                <w:rFonts w:ascii="宋体" w:hAnsi="宋体" w:cs="仿宋"/>
                <w:color w:val="000000"/>
                <w:sz w:val="24"/>
              </w:rPr>
              <w:t>UI</w:t>
            </w:r>
            <w:r>
              <w:rPr>
                <w:rFonts w:hint="eastAsia" w:ascii="宋体" w:hAnsi="宋体" w:cs="仿宋"/>
                <w:color w:val="000000"/>
                <w:sz w:val="24"/>
              </w:rPr>
              <w:t>设计</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5</w:t>
            </w:r>
            <w:r>
              <w:rPr>
                <w:rFonts w:ascii="宋体" w:hAnsi="宋体" w:cs="仿宋"/>
                <w:color w:val="000000"/>
                <w:sz w:val="24"/>
              </w:rPr>
              <w:t>%</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根据给定的资源和界面原型，自行设计</w:t>
            </w:r>
            <w:r>
              <w:rPr>
                <w:rFonts w:ascii="宋体" w:hAnsi="宋体" w:cs="仿宋"/>
                <w:color w:val="000000"/>
                <w:sz w:val="24"/>
              </w:rPr>
              <w:t>/</w:t>
            </w:r>
            <w:r>
              <w:rPr>
                <w:rFonts w:hint="eastAsia" w:ascii="宋体" w:hAnsi="宋体" w:cs="仿宋"/>
                <w:color w:val="000000"/>
                <w:sz w:val="24"/>
              </w:rPr>
              <w:t>编写布局代码，实现与原型相一致的界面布局功能</w:t>
            </w:r>
          </w:p>
        </w:tc>
        <w:tc>
          <w:tcPr>
            <w:tcW w:w="1584" w:type="dxa"/>
            <w:vMerge w:val="restart"/>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结果评分（客观）</w:t>
            </w:r>
          </w:p>
          <w:p>
            <w:pPr>
              <w:pStyle w:val="23"/>
              <w:snapToGrid w:val="0"/>
              <w:ind w:firstLine="0" w:firstLineChars="0"/>
              <w:jc w:val="center"/>
              <w:rPr>
                <w:rFonts w:ascii="宋体" w:hAnsi="宋体" w:cs="Times New Roman"/>
                <w:color w:val="000000"/>
                <w:sz w:val="24"/>
              </w:rPr>
            </w:pPr>
            <w:r>
              <w:rPr>
                <w:rFonts w:hint="eastAsia" w:ascii="宋体" w:hAnsi="宋体" w:cs="宋体"/>
                <w:color w:val="000000"/>
                <w:kern w:val="0"/>
                <w:sz w:val="24"/>
              </w:rPr>
              <w:t>（每组2名裁判随机抽取独立评分）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四大组件</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6%</w:t>
            </w:r>
          </w:p>
        </w:tc>
        <w:tc>
          <w:tcPr>
            <w:tcW w:w="2968" w:type="dxa"/>
            <w:vAlign w:val="center"/>
          </w:tcPr>
          <w:p>
            <w:pPr>
              <w:pStyle w:val="23"/>
              <w:snapToGrid w:val="0"/>
              <w:ind w:firstLine="0" w:firstLineChars="0"/>
              <w:jc w:val="left"/>
              <w:rPr>
                <w:rFonts w:ascii="宋体" w:hAnsi="宋体" w:cs="Times New Roman"/>
                <w:sz w:val="24"/>
              </w:rPr>
            </w:pPr>
            <w:r>
              <w:rPr>
                <w:rFonts w:hint="eastAsia" w:ascii="宋体" w:hAnsi="宋体" w:cs="仿宋"/>
                <w:sz w:val="24"/>
              </w:rPr>
              <w:t>A</w:t>
            </w:r>
            <w:r>
              <w:rPr>
                <w:rFonts w:ascii="宋体" w:hAnsi="宋体" w:cs="仿宋"/>
                <w:sz w:val="24"/>
              </w:rPr>
              <w:t>ctivity</w:t>
            </w:r>
            <w:r>
              <w:rPr>
                <w:rFonts w:hint="eastAsia" w:ascii="宋体" w:hAnsi="宋体" w:cs="仿宋"/>
                <w:sz w:val="24"/>
              </w:rPr>
              <w:t>、</w:t>
            </w:r>
            <w:r>
              <w:rPr>
                <w:rFonts w:ascii="宋体" w:hAnsi="宋体" w:cs="仿宋"/>
                <w:sz w:val="24"/>
              </w:rPr>
              <w:t>Service、Broadcast Receiver</w:t>
            </w:r>
            <w:r>
              <w:rPr>
                <w:rFonts w:hint="eastAsia" w:ascii="宋体" w:hAnsi="宋体" w:cs="仿宋"/>
                <w:sz w:val="24"/>
              </w:rPr>
              <w:t>和</w:t>
            </w:r>
            <w:r>
              <w:rPr>
                <w:rFonts w:ascii="宋体" w:hAnsi="宋体" w:cs="仿宋"/>
                <w:sz w:val="24"/>
              </w:rPr>
              <w:t>Content Provider</w:t>
            </w:r>
            <w:r>
              <w:rPr>
                <w:rFonts w:hint="eastAsia" w:ascii="宋体" w:hAnsi="宋体" w:cs="仿宋"/>
                <w:sz w:val="24"/>
              </w:rPr>
              <w:t>的使用</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自定义控件</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3%</w:t>
            </w:r>
          </w:p>
        </w:tc>
        <w:tc>
          <w:tcPr>
            <w:tcW w:w="2968" w:type="dxa"/>
            <w:vAlign w:val="center"/>
          </w:tcPr>
          <w:p>
            <w:pPr>
              <w:pStyle w:val="23"/>
              <w:snapToGrid w:val="0"/>
              <w:ind w:firstLine="0" w:firstLineChars="0"/>
              <w:jc w:val="left"/>
              <w:rPr>
                <w:rFonts w:ascii="宋体" w:hAnsi="宋体" w:cs="仿宋"/>
                <w:sz w:val="24"/>
              </w:rPr>
            </w:pPr>
            <w:r>
              <w:rPr>
                <w:rFonts w:hint="eastAsia" w:ascii="宋体" w:hAnsi="宋体" w:cs="仿宋"/>
                <w:sz w:val="24"/>
              </w:rPr>
              <w:t>实现自定义控件设计</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资源管理</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6%</w:t>
            </w:r>
          </w:p>
        </w:tc>
        <w:tc>
          <w:tcPr>
            <w:tcW w:w="2968" w:type="dxa"/>
            <w:vAlign w:val="center"/>
          </w:tcPr>
          <w:p>
            <w:pPr>
              <w:pStyle w:val="23"/>
              <w:snapToGrid w:val="0"/>
              <w:ind w:firstLine="0" w:firstLineChars="0"/>
              <w:jc w:val="left"/>
              <w:rPr>
                <w:rFonts w:ascii="宋体" w:hAnsi="宋体" w:cs="Times New Roman"/>
                <w:sz w:val="24"/>
              </w:rPr>
            </w:pPr>
            <w:r>
              <w:rPr>
                <w:rFonts w:hint="eastAsia" w:ascii="宋体" w:hAnsi="宋体" w:cs="仿宋"/>
                <w:sz w:val="24"/>
              </w:rPr>
              <w:t>各种</w:t>
            </w:r>
            <w:r>
              <w:rPr>
                <w:rFonts w:ascii="宋体" w:hAnsi="宋体" w:cs="仿宋"/>
                <w:sz w:val="24"/>
              </w:rPr>
              <w:t>类型资源的使用，</w:t>
            </w:r>
            <w:r>
              <w:rPr>
                <w:rFonts w:hint="eastAsia" w:ascii="宋体" w:hAnsi="宋体" w:cs="仿宋"/>
                <w:sz w:val="24"/>
              </w:rPr>
              <w:t>例如</w:t>
            </w:r>
            <w:r>
              <w:rPr>
                <w:rFonts w:ascii="宋体" w:hAnsi="宋体" w:cs="仿宋"/>
                <w:sz w:val="24"/>
              </w:rPr>
              <w:t>：布局、</w:t>
            </w:r>
            <w:r>
              <w:rPr>
                <w:rFonts w:hint="eastAsia" w:ascii="宋体" w:hAnsi="宋体" w:cs="仿宋"/>
                <w:sz w:val="24"/>
              </w:rPr>
              <w:t>图形</w:t>
            </w:r>
            <w:r>
              <w:rPr>
                <w:rFonts w:ascii="宋体" w:hAnsi="宋体" w:cs="仿宋"/>
                <w:sz w:val="24"/>
              </w:rPr>
              <w:t>、字符串</w:t>
            </w:r>
            <w:r>
              <w:rPr>
                <w:rFonts w:hint="eastAsia" w:ascii="宋体" w:hAnsi="宋体" w:cs="仿宋"/>
                <w:sz w:val="24"/>
              </w:rPr>
              <w:t>和颜色</w:t>
            </w:r>
            <w:r>
              <w:rPr>
                <w:rFonts w:ascii="宋体" w:hAnsi="宋体" w:cs="仿宋"/>
                <w:sz w:val="24"/>
              </w:rPr>
              <w:t>等</w:t>
            </w:r>
            <w:r>
              <w:rPr>
                <w:rFonts w:hint="eastAsia" w:ascii="宋体" w:hAnsi="宋体" w:cs="仿宋"/>
                <w:sz w:val="24"/>
              </w:rPr>
              <w:t>资源</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动画效果</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3</w:t>
            </w:r>
            <w:r>
              <w:rPr>
                <w:rFonts w:hint="eastAsia" w:ascii="宋体" w:hAnsi="宋体" w:cs="仿宋"/>
                <w:color w:val="000000"/>
                <w:sz w:val="24"/>
              </w:rPr>
              <w:t>%</w:t>
            </w:r>
          </w:p>
        </w:tc>
        <w:tc>
          <w:tcPr>
            <w:tcW w:w="2968" w:type="dxa"/>
            <w:vAlign w:val="center"/>
          </w:tcPr>
          <w:p>
            <w:pPr>
              <w:pStyle w:val="23"/>
              <w:snapToGrid w:val="0"/>
              <w:ind w:firstLine="0" w:firstLineChars="0"/>
              <w:jc w:val="left"/>
              <w:rPr>
                <w:rFonts w:ascii="宋体" w:hAnsi="宋体" w:cs="仿宋"/>
                <w:sz w:val="24"/>
              </w:rPr>
            </w:pPr>
            <w:r>
              <w:rPr>
                <w:rFonts w:hint="eastAsia" w:ascii="宋体" w:hAnsi="宋体" w:cs="仿宋"/>
                <w:sz w:val="24"/>
              </w:rPr>
              <w:t>动画技术的使用，例如属性动画、视图动画、过度动画</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 xml:space="preserve">网络请求框架使用 </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根据给定的网络通讯API接口，实现网络数据请求</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数据封装和解析</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5%</w:t>
            </w:r>
          </w:p>
        </w:tc>
        <w:tc>
          <w:tcPr>
            <w:tcW w:w="2968" w:type="dxa"/>
            <w:vAlign w:val="center"/>
          </w:tcPr>
          <w:p>
            <w:pPr>
              <w:pStyle w:val="23"/>
              <w:snapToGrid w:val="0"/>
              <w:ind w:firstLine="0" w:firstLineChars="0"/>
              <w:jc w:val="left"/>
              <w:rPr>
                <w:rFonts w:ascii="宋体" w:hAnsi="宋体" w:cs="仿宋"/>
                <w:color w:val="000000"/>
                <w:sz w:val="24"/>
              </w:rPr>
            </w:pPr>
            <w:r>
              <w:rPr>
                <w:rFonts w:hint="eastAsia" w:ascii="宋体" w:hAnsi="宋体" w:cs="仿宋"/>
                <w:color w:val="000000"/>
                <w:sz w:val="24"/>
              </w:rPr>
              <w:t>编程实现网络数据的传送和解析</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ascii="宋体" w:hAnsi="宋体" w:cs="仿宋"/>
                <w:color w:val="000000"/>
                <w:sz w:val="24"/>
              </w:rPr>
              <w:t>Handler/</w:t>
            </w:r>
            <w:r>
              <w:rPr>
                <w:rFonts w:hint="eastAsia" w:ascii="宋体" w:hAnsi="宋体" w:cs="仿宋"/>
                <w:color w:val="000000"/>
                <w:sz w:val="24"/>
              </w:rPr>
              <w:t>多线程</w:t>
            </w:r>
            <w:r>
              <w:rPr>
                <w:rFonts w:ascii="宋体" w:hAnsi="宋体" w:cs="仿宋"/>
                <w:color w:val="000000"/>
                <w:sz w:val="24"/>
              </w:rPr>
              <w:t>/</w:t>
            </w:r>
            <w:r>
              <w:rPr>
                <w:rFonts w:hint="eastAsia" w:ascii="宋体" w:hAnsi="宋体" w:cs="仿宋"/>
                <w:color w:val="000000"/>
                <w:sz w:val="24"/>
              </w:rPr>
              <w:t>定时器</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利用</w:t>
            </w:r>
            <w:r>
              <w:rPr>
                <w:rFonts w:ascii="宋体" w:hAnsi="宋体" w:cs="仿宋"/>
                <w:color w:val="000000"/>
                <w:sz w:val="24"/>
              </w:rPr>
              <w:t>Handler</w:t>
            </w:r>
            <w:r>
              <w:rPr>
                <w:rFonts w:hint="eastAsia" w:ascii="宋体" w:hAnsi="宋体" w:cs="仿宋"/>
                <w:color w:val="000000"/>
                <w:sz w:val="24"/>
              </w:rPr>
              <w:t>、多线程、定时器等技术，实现系统的同步</w:t>
            </w:r>
            <w:r>
              <w:rPr>
                <w:rFonts w:ascii="宋体" w:hAnsi="宋体" w:cs="仿宋"/>
                <w:color w:val="000000"/>
                <w:sz w:val="24"/>
              </w:rPr>
              <w:t>/</w:t>
            </w:r>
            <w:r>
              <w:rPr>
                <w:rFonts w:hint="eastAsia" w:ascii="宋体" w:hAnsi="宋体" w:cs="仿宋"/>
                <w:color w:val="000000"/>
                <w:sz w:val="24"/>
              </w:rPr>
              <w:t>异步信息处理</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多媒体</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p>
        </w:tc>
        <w:tc>
          <w:tcPr>
            <w:tcW w:w="2968" w:type="dxa"/>
            <w:vAlign w:val="center"/>
          </w:tcPr>
          <w:p>
            <w:pPr>
              <w:pStyle w:val="23"/>
              <w:snapToGrid w:val="0"/>
              <w:ind w:firstLine="0" w:firstLineChars="0"/>
              <w:jc w:val="left"/>
              <w:rPr>
                <w:rFonts w:ascii="宋体" w:hAnsi="宋体" w:cs="Times New Roman"/>
                <w:color w:val="000000"/>
                <w:sz w:val="24"/>
              </w:rPr>
            </w:pPr>
            <w:r>
              <w:rPr>
                <w:rFonts w:hint="eastAsia" w:ascii="宋体" w:hAnsi="宋体" w:cs="仿宋"/>
                <w:color w:val="000000"/>
                <w:sz w:val="24"/>
              </w:rPr>
              <w:t>图片</w:t>
            </w:r>
            <w:r>
              <w:rPr>
                <w:rFonts w:ascii="宋体" w:hAnsi="宋体" w:cs="仿宋"/>
                <w:color w:val="000000"/>
                <w:sz w:val="24"/>
              </w:rPr>
              <w:t>、音频和</w:t>
            </w:r>
            <w:r>
              <w:rPr>
                <w:rFonts w:hint="eastAsia" w:ascii="宋体" w:hAnsi="宋体" w:cs="仿宋"/>
                <w:color w:val="000000"/>
                <w:sz w:val="24"/>
              </w:rPr>
              <w:t>视频</w:t>
            </w:r>
            <w:r>
              <w:rPr>
                <w:rFonts w:ascii="宋体" w:hAnsi="宋体" w:cs="仿宋"/>
                <w:color w:val="000000"/>
                <w:sz w:val="24"/>
              </w:rPr>
              <w:t>等的使用</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通知</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3%</w:t>
            </w:r>
          </w:p>
        </w:tc>
        <w:tc>
          <w:tcPr>
            <w:tcW w:w="2968" w:type="dxa"/>
            <w:vAlign w:val="center"/>
          </w:tcPr>
          <w:p>
            <w:pPr>
              <w:pStyle w:val="23"/>
              <w:snapToGrid w:val="0"/>
              <w:ind w:firstLine="0" w:firstLineChars="0"/>
              <w:jc w:val="left"/>
              <w:rPr>
                <w:rFonts w:ascii="宋体" w:hAnsi="宋体" w:cs="仿宋"/>
                <w:color w:val="000000"/>
                <w:sz w:val="24"/>
              </w:rPr>
            </w:pPr>
            <w:r>
              <w:rPr>
                <w:rFonts w:hint="eastAsia" w:ascii="宋体" w:hAnsi="宋体" w:cs="仿宋"/>
                <w:color w:val="000000"/>
                <w:sz w:val="24"/>
              </w:rPr>
              <w:t>利用</w:t>
            </w:r>
            <w:r>
              <w:rPr>
                <w:rFonts w:ascii="宋体" w:hAnsi="宋体" w:cs="仿宋"/>
                <w:color w:val="000000"/>
                <w:sz w:val="24"/>
              </w:rPr>
              <w:t>Notification</w:t>
            </w:r>
            <w:r>
              <w:rPr>
                <w:rFonts w:hint="eastAsia" w:ascii="宋体" w:hAnsi="宋体" w:cs="仿宋"/>
                <w:color w:val="000000"/>
                <w:sz w:val="24"/>
              </w:rPr>
              <w:t>实现消息提示</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事件处理和手势识别</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6%</w:t>
            </w:r>
          </w:p>
        </w:tc>
        <w:tc>
          <w:tcPr>
            <w:tcW w:w="2968" w:type="dxa"/>
            <w:vAlign w:val="center"/>
          </w:tcPr>
          <w:p>
            <w:pPr>
              <w:pStyle w:val="23"/>
              <w:snapToGrid w:val="0"/>
              <w:ind w:firstLine="0" w:firstLineChars="0"/>
              <w:jc w:val="left"/>
              <w:rPr>
                <w:rFonts w:ascii="宋体" w:hAnsi="宋体" w:cs="仿宋"/>
                <w:color w:val="000000"/>
                <w:sz w:val="24"/>
              </w:rPr>
            </w:pPr>
            <w:r>
              <w:rPr>
                <w:rFonts w:hint="eastAsia" w:ascii="宋体" w:hAnsi="宋体" w:cs="仿宋"/>
                <w:color w:val="000000"/>
                <w:sz w:val="24"/>
              </w:rPr>
              <w:t>手势识别API的使用</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仿宋"/>
                <w:color w:val="000000"/>
                <w:sz w:val="24"/>
              </w:rPr>
              <w:t>数据存储</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7%</w:t>
            </w:r>
          </w:p>
        </w:tc>
        <w:tc>
          <w:tcPr>
            <w:tcW w:w="2968" w:type="dxa"/>
            <w:vAlign w:val="center"/>
          </w:tcPr>
          <w:p>
            <w:pPr>
              <w:pStyle w:val="23"/>
              <w:snapToGrid w:val="0"/>
              <w:ind w:firstLine="0" w:firstLineChars="0"/>
              <w:jc w:val="left"/>
              <w:rPr>
                <w:rFonts w:ascii="宋体" w:hAnsi="宋体" w:cs="Times New Roman"/>
                <w:sz w:val="24"/>
              </w:rPr>
            </w:pPr>
            <w:r>
              <w:rPr>
                <w:rFonts w:ascii="宋体" w:hAnsi="宋体" w:cs="仿宋"/>
                <w:sz w:val="24"/>
              </w:rPr>
              <w:t>Shared Preferences</w:t>
            </w:r>
            <w:r>
              <w:rPr>
                <w:rFonts w:hint="eastAsia" w:ascii="宋体" w:hAnsi="宋体" w:cs="仿宋"/>
                <w:sz w:val="24"/>
              </w:rPr>
              <w:t>、文件</w:t>
            </w:r>
            <w:r>
              <w:rPr>
                <w:rFonts w:ascii="宋体" w:hAnsi="宋体" w:cs="仿宋"/>
                <w:sz w:val="24"/>
              </w:rPr>
              <w:t>、</w:t>
            </w:r>
            <w:r>
              <w:rPr>
                <w:rFonts w:hint="eastAsia" w:ascii="宋体" w:hAnsi="宋体" w:cs="仿宋"/>
                <w:sz w:val="24"/>
              </w:rPr>
              <w:t>SQLite等</w:t>
            </w:r>
            <w:r>
              <w:rPr>
                <w:rFonts w:ascii="宋体" w:hAnsi="宋体" w:cs="仿宋"/>
                <w:sz w:val="24"/>
              </w:rPr>
              <w:t>数据存储方式的使用</w:t>
            </w:r>
            <w:r>
              <w:rPr>
                <w:rFonts w:hint="eastAsia" w:ascii="宋体" w:hAnsi="宋体" w:cs="仿宋"/>
                <w:sz w:val="24"/>
              </w:rPr>
              <w:t>，以及第三方开源</w:t>
            </w:r>
            <w:r>
              <w:rPr>
                <w:rFonts w:ascii="宋体" w:hAnsi="宋体" w:cs="仿宋"/>
                <w:sz w:val="24"/>
              </w:rPr>
              <w:t>litepal</w:t>
            </w:r>
            <w:r>
              <w:rPr>
                <w:rFonts w:hint="eastAsia" w:ascii="宋体" w:hAnsi="宋体" w:cs="仿宋"/>
                <w:sz w:val="24"/>
              </w:rPr>
              <w:t>等插件使用</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WebView</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r>
              <w:rPr>
                <w:rFonts w:hint="eastAsia" w:ascii="宋体" w:hAnsi="宋体" w:cs="仿宋"/>
                <w:color w:val="000000"/>
                <w:sz w:val="24"/>
              </w:rPr>
              <w:t>%</w:t>
            </w:r>
          </w:p>
        </w:tc>
        <w:tc>
          <w:tcPr>
            <w:tcW w:w="2968" w:type="dxa"/>
            <w:vAlign w:val="center"/>
          </w:tcPr>
          <w:p>
            <w:pPr>
              <w:pStyle w:val="23"/>
              <w:snapToGrid w:val="0"/>
              <w:ind w:firstLine="0" w:firstLineChars="0"/>
              <w:jc w:val="left"/>
              <w:rPr>
                <w:rFonts w:ascii="宋体" w:hAnsi="宋体" w:cs="仿宋"/>
                <w:sz w:val="24"/>
              </w:rPr>
            </w:pPr>
            <w:r>
              <w:rPr>
                <w:rFonts w:ascii="宋体" w:hAnsi="宋体" w:cs="仿宋"/>
                <w:sz w:val="24"/>
              </w:rPr>
              <w:t>WebView</w:t>
            </w:r>
            <w:r>
              <w:rPr>
                <w:rFonts w:hint="eastAsia" w:ascii="宋体" w:hAnsi="宋体" w:cs="仿宋"/>
                <w:sz w:val="24"/>
              </w:rPr>
              <w:t>使用及与原生态数据交互</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地图导航</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5%</w:t>
            </w:r>
          </w:p>
        </w:tc>
        <w:tc>
          <w:tcPr>
            <w:tcW w:w="2968" w:type="dxa"/>
            <w:vAlign w:val="center"/>
          </w:tcPr>
          <w:p>
            <w:pPr>
              <w:pStyle w:val="23"/>
              <w:snapToGrid w:val="0"/>
              <w:ind w:firstLine="0" w:firstLineChars="0"/>
              <w:jc w:val="left"/>
              <w:rPr>
                <w:rFonts w:ascii="宋体" w:hAnsi="宋体" w:cs="仿宋"/>
                <w:sz w:val="24"/>
              </w:rPr>
            </w:pPr>
            <w:r>
              <w:rPr>
                <w:rFonts w:hint="eastAsia" w:ascii="宋体" w:hAnsi="宋体" w:cs="仿宋"/>
                <w:sz w:val="24"/>
              </w:rPr>
              <w:t>利用高德离线地图，实现导航等功能</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s="Times New Roman"/>
                <w:color w:val="000000"/>
                <w:sz w:val="24"/>
              </w:rPr>
              <w:t>大数据分析</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5%</w:t>
            </w:r>
          </w:p>
        </w:tc>
        <w:tc>
          <w:tcPr>
            <w:tcW w:w="2968" w:type="dxa"/>
            <w:vAlign w:val="center"/>
          </w:tcPr>
          <w:p>
            <w:pPr>
              <w:pStyle w:val="23"/>
              <w:snapToGrid w:val="0"/>
              <w:ind w:firstLine="0" w:firstLineChars="0"/>
              <w:jc w:val="left"/>
              <w:rPr>
                <w:rFonts w:ascii="宋体" w:hAnsi="宋体" w:cs="仿宋"/>
                <w:sz w:val="24"/>
              </w:rPr>
            </w:pPr>
            <w:r>
              <w:rPr>
                <w:rFonts w:hint="eastAsia" w:ascii="宋体" w:hAnsi="宋体" w:cs="Times New Roman"/>
                <w:sz w:val="24"/>
              </w:rPr>
              <w:t>利用服务器提供大数据API接口，进行数据分析</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s="Times New Roman"/>
                <w:color w:val="000000"/>
                <w:sz w:val="24"/>
              </w:rPr>
            </w:pPr>
          </w:p>
        </w:tc>
        <w:tc>
          <w:tcPr>
            <w:tcW w:w="1594" w:type="dxa"/>
            <w:vAlign w:val="center"/>
          </w:tcPr>
          <w:p>
            <w:pPr>
              <w:pStyle w:val="23"/>
              <w:snapToGrid w:val="0"/>
              <w:ind w:firstLine="0" w:firstLineChars="0"/>
              <w:jc w:val="center"/>
              <w:rPr>
                <w:rFonts w:ascii="宋体" w:hAnsi="宋体" w:cs="Times New Roman"/>
                <w:color w:val="000000"/>
                <w:sz w:val="24"/>
              </w:rPr>
            </w:pPr>
            <w:r>
              <w:rPr>
                <w:rFonts w:hint="eastAsia" w:ascii="宋体" w:hAnsi="宋体" w:cs="Times New Roman"/>
                <w:color w:val="000000"/>
                <w:sz w:val="24"/>
              </w:rPr>
              <w:t>依赖关系</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5</w:t>
            </w:r>
            <w:r>
              <w:rPr>
                <w:rFonts w:hint="eastAsia" w:ascii="宋体" w:hAnsi="宋体" w:cs="仿宋"/>
                <w:color w:val="000000"/>
                <w:sz w:val="24"/>
              </w:rPr>
              <w:t>%</w:t>
            </w:r>
          </w:p>
        </w:tc>
        <w:tc>
          <w:tcPr>
            <w:tcW w:w="2968" w:type="dxa"/>
            <w:vAlign w:val="center"/>
          </w:tcPr>
          <w:p>
            <w:pPr>
              <w:pStyle w:val="23"/>
              <w:snapToGrid w:val="0"/>
              <w:ind w:firstLine="0" w:firstLineChars="0"/>
              <w:jc w:val="left"/>
              <w:rPr>
                <w:rFonts w:ascii="宋体" w:hAnsi="宋体" w:cs="Times New Roman"/>
                <w:sz w:val="24"/>
              </w:rPr>
            </w:pPr>
            <w:r>
              <w:rPr>
                <w:rFonts w:hint="eastAsia" w:ascii="宋体" w:hAnsi="宋体" w:cs="Times New Roman"/>
                <w:sz w:val="24"/>
              </w:rPr>
              <w:t>利用第三方开源图表库进行图形化分析显示。</w:t>
            </w:r>
          </w:p>
        </w:tc>
        <w:tc>
          <w:tcPr>
            <w:tcW w:w="1584" w:type="dxa"/>
            <w:vMerge w:val="continue"/>
            <w:vAlign w:val="center"/>
          </w:tcPr>
          <w:p>
            <w:pPr>
              <w:pStyle w:val="23"/>
              <w:snapToGrid w:val="0"/>
              <w:ind w:firstLine="480"/>
              <w:jc w:val="center"/>
              <w:rPr>
                <w:rFonts w:ascii="宋体" w:hAnsi="宋体"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restart"/>
            <w:vAlign w:val="center"/>
          </w:tcPr>
          <w:p>
            <w:pPr>
              <w:pStyle w:val="23"/>
              <w:snapToGrid w:val="0"/>
              <w:ind w:firstLine="0" w:firstLineChars="0"/>
              <w:jc w:val="center"/>
              <w:rPr>
                <w:rFonts w:ascii="宋体" w:hAnsi="宋体" w:cs="Times New Roman"/>
                <w:color w:val="000000"/>
                <w:sz w:val="24"/>
              </w:rPr>
            </w:pPr>
            <w:r>
              <w:rPr>
                <w:rFonts w:hint="eastAsia" w:ascii="宋体" w:hAnsi="宋体"/>
                <w:color w:val="000000" w:themeColor="text1"/>
                <w:sz w:val="24"/>
              </w:rPr>
              <w:t>创意设计</w:t>
            </w:r>
          </w:p>
        </w:tc>
        <w:tc>
          <w:tcPr>
            <w:tcW w:w="1594" w:type="dxa"/>
            <w:vAlign w:val="center"/>
          </w:tcPr>
          <w:p>
            <w:pPr>
              <w:pStyle w:val="23"/>
              <w:snapToGrid w:val="0"/>
              <w:ind w:firstLine="0" w:firstLineChars="0"/>
              <w:jc w:val="center"/>
              <w:rPr>
                <w:rFonts w:ascii="宋体" w:hAnsi="宋体" w:cs="仿宋"/>
                <w:color w:val="000000"/>
                <w:sz w:val="24"/>
              </w:rPr>
            </w:pPr>
            <w:r>
              <w:rPr>
                <w:rFonts w:hint="eastAsia" w:ascii="宋体" w:hAnsi="宋体"/>
                <w:color w:val="000000" w:themeColor="text1"/>
                <w:sz w:val="24"/>
              </w:rPr>
              <w:t>美观性</w:t>
            </w:r>
          </w:p>
        </w:tc>
        <w:tc>
          <w:tcPr>
            <w:tcW w:w="816" w:type="dxa"/>
            <w:vAlign w:val="center"/>
          </w:tcPr>
          <w:p>
            <w:pPr>
              <w:pStyle w:val="23"/>
              <w:snapToGrid w:val="0"/>
              <w:ind w:firstLine="0" w:firstLineChars="0"/>
              <w:jc w:val="center"/>
              <w:rPr>
                <w:rFonts w:ascii="宋体" w:hAnsi="宋体" w:cs="仿宋"/>
                <w:color w:val="000000"/>
                <w:sz w:val="24"/>
              </w:rPr>
            </w:pPr>
            <w:r>
              <w:rPr>
                <w:rFonts w:ascii="宋体" w:hAnsi="宋体" w:cs="仿宋"/>
                <w:color w:val="000000"/>
                <w:sz w:val="24"/>
              </w:rPr>
              <w:t>2%</w:t>
            </w:r>
          </w:p>
        </w:tc>
        <w:tc>
          <w:tcPr>
            <w:tcW w:w="2968" w:type="dxa"/>
            <w:vAlign w:val="center"/>
          </w:tcPr>
          <w:p>
            <w:pPr>
              <w:pStyle w:val="23"/>
              <w:snapToGrid w:val="0"/>
              <w:ind w:firstLine="0" w:firstLineChars="0"/>
              <w:jc w:val="left"/>
              <w:rPr>
                <w:rFonts w:ascii="宋体" w:hAnsi="宋体" w:cs="仿宋"/>
                <w:color w:val="000000"/>
                <w:sz w:val="24"/>
              </w:rPr>
            </w:pPr>
            <w:r>
              <w:rPr>
                <w:rFonts w:hint="eastAsia" w:ascii="宋体" w:hAnsi="宋体"/>
                <w:color w:val="000000" w:themeColor="text1"/>
                <w:sz w:val="24"/>
              </w:rPr>
              <w:t>界面具备可视化，美观简洁易懂，操作符合人体工程学</w:t>
            </w:r>
          </w:p>
        </w:tc>
        <w:tc>
          <w:tcPr>
            <w:tcW w:w="1584" w:type="dxa"/>
            <w:vMerge w:val="restart"/>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结果评分（客观）</w:t>
            </w:r>
          </w:p>
          <w:p>
            <w:pPr>
              <w:pStyle w:val="23"/>
              <w:snapToGrid w:val="0"/>
              <w:ind w:firstLine="0" w:firstLineChars="0"/>
              <w:rPr>
                <w:rFonts w:ascii="宋体" w:hAnsi="宋体" w:cs="Times New Roman"/>
                <w:color w:val="000000"/>
                <w:sz w:val="24"/>
              </w:rPr>
            </w:pPr>
            <w:r>
              <w:rPr>
                <w:rFonts w:hint="eastAsia" w:ascii="宋体" w:hAnsi="宋体" w:cs="宋体"/>
                <w:color w:val="000000"/>
                <w:kern w:val="0"/>
                <w:sz w:val="24"/>
              </w:rPr>
              <w:t>（每组2名裁判随机抽取独立评分）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olor w:val="000000" w:themeColor="text1"/>
                <w:sz w:val="24"/>
              </w:rPr>
            </w:pPr>
          </w:p>
        </w:tc>
        <w:tc>
          <w:tcPr>
            <w:tcW w:w="1594"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主题性</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1%</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符合智能交通主题，传递的理念积极向上，融于智能理念</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olor w:val="000000" w:themeColor="text1"/>
                <w:sz w:val="24"/>
              </w:rPr>
            </w:pPr>
          </w:p>
        </w:tc>
        <w:tc>
          <w:tcPr>
            <w:tcW w:w="1594"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实用性</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1%</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构思与设计的完善性与合理性，能为生活提供服务便利</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olor w:val="000000" w:themeColor="text1"/>
                <w:sz w:val="24"/>
              </w:rPr>
            </w:pPr>
          </w:p>
        </w:tc>
        <w:tc>
          <w:tcPr>
            <w:tcW w:w="1594"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技术性</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1%</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模块的技术含量，以及复杂度</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Merge w:val="continue"/>
            <w:vAlign w:val="center"/>
          </w:tcPr>
          <w:p>
            <w:pPr>
              <w:pStyle w:val="23"/>
              <w:snapToGrid w:val="0"/>
              <w:ind w:firstLine="0" w:firstLineChars="0"/>
              <w:jc w:val="center"/>
              <w:rPr>
                <w:rFonts w:ascii="宋体" w:hAnsi="宋体"/>
                <w:color w:val="000000" w:themeColor="text1"/>
                <w:sz w:val="24"/>
              </w:rPr>
            </w:pPr>
          </w:p>
        </w:tc>
        <w:tc>
          <w:tcPr>
            <w:tcW w:w="1594"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创意性</w:t>
            </w:r>
          </w:p>
        </w:tc>
        <w:tc>
          <w:tcPr>
            <w:tcW w:w="816" w:type="dxa"/>
            <w:vAlign w:val="center"/>
          </w:tcPr>
          <w:p>
            <w:pPr>
              <w:pStyle w:val="23"/>
              <w:snapToGrid w:val="0"/>
              <w:ind w:firstLine="0" w:firstLineChars="0"/>
              <w:jc w:val="center"/>
              <w:rPr>
                <w:rFonts w:ascii="宋体" w:hAnsi="宋体" w:cs="仿宋"/>
                <w:color w:val="000000"/>
                <w:sz w:val="24"/>
              </w:rPr>
            </w:pPr>
            <w:r>
              <w:rPr>
                <w:rFonts w:hint="eastAsia" w:ascii="宋体" w:hAnsi="宋体" w:cs="仿宋"/>
                <w:color w:val="000000"/>
                <w:sz w:val="24"/>
              </w:rPr>
              <w:t>1%</w:t>
            </w: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olor w:val="000000" w:themeColor="text1"/>
                <w:sz w:val="24"/>
              </w:rPr>
              <w:t>创意新颖程度</w:t>
            </w:r>
          </w:p>
        </w:tc>
        <w:tc>
          <w:tcPr>
            <w:tcW w:w="1584" w:type="dxa"/>
            <w:vMerge w:val="continue"/>
            <w:vAlign w:val="center"/>
          </w:tcPr>
          <w:p>
            <w:pPr>
              <w:widowControl/>
              <w:jc w:val="center"/>
              <w:rPr>
                <w:rFonts w:ascii="宋体" w:hAnsi="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4" w:type="dxa"/>
            <w:vAlign w:val="center"/>
          </w:tcPr>
          <w:p>
            <w:pPr>
              <w:pStyle w:val="23"/>
              <w:snapToGrid w:val="0"/>
              <w:ind w:firstLine="0" w:firstLineChars="0"/>
              <w:jc w:val="center"/>
              <w:rPr>
                <w:rFonts w:ascii="宋体" w:hAnsi="宋体"/>
                <w:color w:val="000000" w:themeColor="text1"/>
                <w:sz w:val="24"/>
              </w:rPr>
            </w:pPr>
            <w:r>
              <w:rPr>
                <w:rFonts w:hint="eastAsia" w:ascii="宋体" w:hAnsi="宋体" w:cs="宋体"/>
                <w:color w:val="000000"/>
                <w:kern w:val="0"/>
                <w:sz w:val="24"/>
              </w:rPr>
              <w:t>扣分项</w:t>
            </w:r>
          </w:p>
        </w:tc>
        <w:tc>
          <w:tcPr>
            <w:tcW w:w="1594"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s="宋体"/>
                <w:color w:val="000000"/>
                <w:kern w:val="0"/>
                <w:sz w:val="24"/>
                <w:szCs w:val="24"/>
              </w:rPr>
              <w:t>违纪扣分</w:t>
            </w:r>
          </w:p>
        </w:tc>
        <w:tc>
          <w:tcPr>
            <w:tcW w:w="816" w:type="dxa"/>
            <w:vAlign w:val="center"/>
          </w:tcPr>
          <w:p>
            <w:pPr>
              <w:pStyle w:val="23"/>
              <w:snapToGrid w:val="0"/>
              <w:ind w:firstLine="0" w:firstLineChars="0"/>
              <w:jc w:val="center"/>
              <w:rPr>
                <w:rFonts w:ascii="宋体" w:hAnsi="宋体" w:cs="仿宋"/>
                <w:color w:val="000000"/>
                <w:sz w:val="24"/>
              </w:rPr>
            </w:pPr>
          </w:p>
        </w:tc>
        <w:tc>
          <w:tcPr>
            <w:tcW w:w="2968" w:type="dxa"/>
            <w:vAlign w:val="center"/>
          </w:tcPr>
          <w:p>
            <w:pPr>
              <w:pStyle w:val="23"/>
              <w:snapToGrid w:val="0"/>
              <w:ind w:firstLine="0" w:firstLineChars="0"/>
              <w:jc w:val="left"/>
              <w:rPr>
                <w:rFonts w:ascii="宋体" w:hAnsi="宋体"/>
                <w:color w:val="000000" w:themeColor="text1"/>
                <w:sz w:val="24"/>
              </w:rPr>
            </w:pPr>
            <w:r>
              <w:rPr>
                <w:rFonts w:hint="eastAsia" w:ascii="宋体" w:hAnsi="宋体" w:cs="宋体"/>
                <w:color w:val="000000"/>
                <w:kern w:val="0"/>
                <w:sz w:val="24"/>
              </w:rPr>
              <w:t>视情节而定</w:t>
            </w:r>
          </w:p>
        </w:tc>
        <w:tc>
          <w:tcPr>
            <w:tcW w:w="1584" w:type="dxa"/>
            <w:vAlign w:val="center"/>
          </w:tcPr>
          <w:p>
            <w:pPr>
              <w:pStyle w:val="23"/>
              <w:snapToGrid w:val="0"/>
              <w:ind w:firstLine="0" w:firstLineChars="0"/>
              <w:rPr>
                <w:rFonts w:ascii="宋体" w:hAnsi="宋体"/>
                <w:color w:val="000000" w:themeColor="text1"/>
                <w:sz w:val="24"/>
              </w:rPr>
            </w:pPr>
            <w:r>
              <w:rPr>
                <w:rFonts w:hint="eastAsia" w:ascii="宋体" w:hAnsi="宋体" w:cs="宋体"/>
                <w:color w:val="000000"/>
                <w:kern w:val="0"/>
                <w:sz w:val="24"/>
              </w:rPr>
              <w:t>裁判长</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注：本次赛项采用题库形式，实际抽题次序及内容可能同本表有所不同。</w:t>
      </w:r>
    </w:p>
    <w:tbl>
      <w:tblPr>
        <w:tblStyle w:val="14"/>
        <w:tblW w:w="84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8" w:type="dxa"/>
            <w:vAlign w:val="center"/>
          </w:tcPr>
          <w:p>
            <w:pPr>
              <w:pStyle w:val="22"/>
              <w:snapToGrid w:val="0"/>
              <w:ind w:firstLine="0" w:firstLineChars="0"/>
              <w:jc w:val="center"/>
              <w:rPr>
                <w:rFonts w:ascii="宋体" w:hAnsi="宋体"/>
                <w:b/>
                <w:color w:val="000000" w:themeColor="text1"/>
                <w:sz w:val="24"/>
                <w:szCs w:val="24"/>
              </w:rPr>
            </w:pPr>
            <w:r>
              <w:rPr>
                <w:rFonts w:hint="eastAsia" w:ascii="宋体" w:hAnsi="宋体"/>
                <w:b/>
                <w:color w:val="000000" w:themeColor="text1"/>
                <w:sz w:val="24"/>
                <w:szCs w:val="24"/>
              </w:rPr>
              <w:t>考试模块</w:t>
            </w:r>
          </w:p>
        </w:tc>
        <w:tc>
          <w:tcPr>
            <w:tcW w:w="7180" w:type="dxa"/>
            <w:vAlign w:val="center"/>
          </w:tcPr>
          <w:p>
            <w:pPr>
              <w:pStyle w:val="22"/>
              <w:snapToGrid w:val="0"/>
              <w:ind w:firstLine="0" w:firstLineChars="0"/>
              <w:jc w:val="center"/>
              <w:rPr>
                <w:rFonts w:ascii="宋体" w:hAnsi="宋体"/>
                <w:b/>
                <w:color w:val="000000" w:themeColor="text1"/>
                <w:sz w:val="24"/>
                <w:szCs w:val="24"/>
              </w:rPr>
            </w:pPr>
            <w:r>
              <w:rPr>
                <w:rFonts w:hint="eastAsia" w:ascii="宋体" w:hAnsi="宋体"/>
                <w:b/>
                <w:color w:val="000000" w:themeColor="text1"/>
                <w:sz w:val="24"/>
                <w:szCs w:val="24"/>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8"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系统文档</w:t>
            </w:r>
          </w:p>
        </w:tc>
        <w:tc>
          <w:tcPr>
            <w:tcW w:w="7180" w:type="dxa"/>
            <w:vAlign w:val="center"/>
          </w:tcPr>
          <w:p>
            <w:pPr>
              <w:pStyle w:val="22"/>
              <w:snapToGrid w:val="0"/>
              <w:ind w:firstLine="0" w:firstLineChars="0"/>
              <w:jc w:val="left"/>
              <w:rPr>
                <w:rFonts w:ascii="宋体" w:hAnsi="宋体"/>
                <w:color w:val="000000" w:themeColor="text1"/>
                <w:sz w:val="24"/>
                <w:szCs w:val="24"/>
              </w:rPr>
            </w:pPr>
            <w:r>
              <w:rPr>
                <w:rFonts w:hint="eastAsia" w:ascii="宋体" w:hAnsi="宋体"/>
                <w:color w:val="000000" w:themeColor="text1"/>
                <w:sz w:val="24"/>
                <w:szCs w:val="24"/>
              </w:rPr>
              <w:t>根据模板符合度现场评分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08" w:type="dxa"/>
            <w:vMerge w:val="restart"/>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程序</w:t>
            </w:r>
            <w:r>
              <w:rPr>
                <w:rFonts w:ascii="宋体" w:hAnsi="宋体"/>
                <w:color w:val="000000" w:themeColor="text1"/>
                <w:sz w:val="24"/>
                <w:szCs w:val="24"/>
              </w:rPr>
              <w:t>排错</w:t>
            </w:r>
          </w:p>
        </w:tc>
        <w:tc>
          <w:tcPr>
            <w:tcW w:w="7180" w:type="dxa"/>
            <w:vMerge w:val="restart"/>
            <w:vAlign w:val="center"/>
          </w:tcPr>
          <w:p>
            <w:pPr>
              <w:pStyle w:val="22"/>
              <w:numPr>
                <w:ilvl w:val="0"/>
                <w:numId w:val="1"/>
              </w:numPr>
              <w:snapToGrid w:val="0"/>
              <w:ind w:left="403" w:hanging="403" w:firstLineChars="0"/>
              <w:jc w:val="left"/>
              <w:rPr>
                <w:rFonts w:ascii="宋体" w:hAnsi="宋体"/>
                <w:color w:val="000000" w:themeColor="text1"/>
                <w:sz w:val="24"/>
                <w:szCs w:val="24"/>
              </w:rPr>
            </w:pPr>
            <w:r>
              <w:rPr>
                <w:rFonts w:hint="eastAsia" w:ascii="宋体" w:hAnsi="宋体"/>
                <w:color w:val="000000" w:themeColor="text1"/>
                <w:sz w:val="24"/>
                <w:szCs w:val="24"/>
              </w:rPr>
              <w:t>实现：100%：缺陷已修改，功能正确实现，未导致其他新缺陷出现</w:t>
            </w:r>
          </w:p>
          <w:p>
            <w:pPr>
              <w:pStyle w:val="22"/>
              <w:numPr>
                <w:ilvl w:val="0"/>
                <w:numId w:val="1"/>
              </w:numPr>
              <w:snapToGrid w:val="0"/>
              <w:ind w:left="403" w:hanging="403" w:firstLineChars="0"/>
              <w:jc w:val="left"/>
              <w:rPr>
                <w:rFonts w:ascii="宋体" w:hAnsi="宋体"/>
                <w:color w:val="000000" w:themeColor="text1"/>
                <w:sz w:val="24"/>
                <w:szCs w:val="24"/>
              </w:rPr>
            </w:pPr>
            <w:r>
              <w:rPr>
                <w:rFonts w:hint="eastAsia" w:ascii="宋体" w:hAnsi="宋体"/>
                <w:color w:val="000000" w:themeColor="text1"/>
                <w:sz w:val="24"/>
                <w:szCs w:val="24"/>
              </w:rPr>
              <w:t>未实现：0%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08" w:type="dxa"/>
            <w:vMerge w:val="continue"/>
            <w:vAlign w:val="center"/>
          </w:tcPr>
          <w:p>
            <w:pPr>
              <w:pStyle w:val="22"/>
              <w:snapToGrid w:val="0"/>
              <w:ind w:firstLine="0" w:firstLineChars="0"/>
              <w:jc w:val="center"/>
              <w:rPr>
                <w:rFonts w:ascii="宋体" w:hAnsi="宋体"/>
                <w:color w:val="000000" w:themeColor="text1"/>
                <w:sz w:val="24"/>
                <w:szCs w:val="24"/>
              </w:rPr>
            </w:pPr>
          </w:p>
        </w:tc>
        <w:tc>
          <w:tcPr>
            <w:tcW w:w="7180" w:type="dxa"/>
            <w:vMerge w:val="continue"/>
            <w:vAlign w:val="center"/>
          </w:tcPr>
          <w:p>
            <w:pPr>
              <w:pStyle w:val="22"/>
              <w:snapToGrid w:val="0"/>
              <w:ind w:firstLine="0" w:firstLineChars="0"/>
              <w:jc w:val="center"/>
              <w:rPr>
                <w:rFonts w:ascii="宋体" w:hAnsi="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08"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功能</w:t>
            </w:r>
            <w:r>
              <w:rPr>
                <w:rFonts w:ascii="宋体" w:hAnsi="宋体"/>
                <w:color w:val="000000" w:themeColor="text1"/>
                <w:sz w:val="24"/>
                <w:szCs w:val="24"/>
              </w:rPr>
              <w:t>编码</w:t>
            </w:r>
          </w:p>
        </w:tc>
        <w:tc>
          <w:tcPr>
            <w:tcW w:w="7180" w:type="dxa"/>
            <w:vAlign w:val="center"/>
          </w:tcPr>
          <w:p>
            <w:pPr>
              <w:pStyle w:val="22"/>
              <w:numPr>
                <w:ilvl w:val="0"/>
                <w:numId w:val="2"/>
              </w:numPr>
              <w:snapToGrid w:val="0"/>
              <w:ind w:left="403" w:hanging="403" w:firstLineChars="0"/>
              <w:jc w:val="left"/>
              <w:rPr>
                <w:rFonts w:ascii="宋体" w:hAnsi="宋体"/>
                <w:color w:val="000000" w:themeColor="text1"/>
                <w:sz w:val="24"/>
                <w:szCs w:val="24"/>
              </w:rPr>
            </w:pPr>
            <w:r>
              <w:rPr>
                <w:rFonts w:hint="eastAsia" w:ascii="宋体" w:hAnsi="宋体"/>
                <w:color w:val="000000" w:themeColor="text1"/>
                <w:sz w:val="24"/>
                <w:szCs w:val="24"/>
              </w:rPr>
              <w:t>实现：100%：运行结果完全达标(功能，界面符合设计要求)，程序可正确实现功能，无异常信息出现</w:t>
            </w:r>
          </w:p>
          <w:p>
            <w:pPr>
              <w:pStyle w:val="22"/>
              <w:numPr>
                <w:ilvl w:val="0"/>
                <w:numId w:val="2"/>
              </w:numPr>
              <w:snapToGrid w:val="0"/>
              <w:ind w:left="403" w:hanging="403" w:firstLineChars="0"/>
              <w:jc w:val="left"/>
              <w:rPr>
                <w:rFonts w:ascii="宋体" w:hAnsi="宋体"/>
                <w:color w:val="000000" w:themeColor="text1"/>
                <w:sz w:val="24"/>
                <w:szCs w:val="24"/>
              </w:rPr>
            </w:pPr>
            <w:r>
              <w:rPr>
                <w:rFonts w:hint="eastAsia" w:ascii="宋体" w:hAnsi="宋体"/>
                <w:color w:val="000000" w:themeColor="text1"/>
                <w:sz w:val="24"/>
                <w:szCs w:val="24"/>
              </w:rPr>
              <w:t>未实现：0%：无界面，无功能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08" w:type="dxa"/>
            <w:vAlign w:val="center"/>
          </w:tcPr>
          <w:p>
            <w:pPr>
              <w:pStyle w:val="22"/>
              <w:snapToGrid w:val="0"/>
              <w:ind w:firstLine="0" w:firstLineChars="0"/>
              <w:jc w:val="center"/>
              <w:rPr>
                <w:rFonts w:ascii="宋体" w:hAnsi="宋体"/>
                <w:color w:val="000000" w:themeColor="text1"/>
                <w:sz w:val="24"/>
                <w:szCs w:val="24"/>
              </w:rPr>
            </w:pPr>
            <w:r>
              <w:rPr>
                <w:rFonts w:hint="eastAsia" w:ascii="宋体" w:hAnsi="宋体"/>
                <w:color w:val="000000" w:themeColor="text1"/>
                <w:sz w:val="24"/>
                <w:szCs w:val="24"/>
              </w:rPr>
              <w:t>创意设计</w:t>
            </w:r>
          </w:p>
        </w:tc>
        <w:tc>
          <w:tcPr>
            <w:tcW w:w="7180" w:type="dxa"/>
            <w:vAlign w:val="center"/>
          </w:tcPr>
          <w:p>
            <w:pPr>
              <w:pStyle w:val="22"/>
              <w:numPr>
                <w:ilvl w:val="0"/>
                <w:numId w:val="3"/>
              </w:numPr>
              <w:snapToGrid w:val="0"/>
              <w:ind w:left="0" w:firstLine="0" w:firstLineChars="0"/>
              <w:jc w:val="left"/>
              <w:rPr>
                <w:rFonts w:ascii="宋体" w:hAnsi="宋体"/>
                <w:color w:val="000000" w:themeColor="text1"/>
                <w:sz w:val="24"/>
                <w:szCs w:val="24"/>
              </w:rPr>
            </w:pPr>
            <w:r>
              <w:rPr>
                <w:rFonts w:hint="eastAsia" w:ascii="宋体" w:hAnsi="宋体"/>
                <w:color w:val="000000" w:themeColor="text1"/>
                <w:sz w:val="24"/>
                <w:szCs w:val="24"/>
              </w:rPr>
              <w:t>根据规范符合度现场评分</w:t>
            </w:r>
          </w:p>
        </w:tc>
      </w:tr>
    </w:tbl>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（三）评分方法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1.竞赛满分为100分。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2.团队比赛的评分成绩=系统文档得分+程序排错得分+功能编码得分+创意设计得分。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3.竞赛设置裁判22人，包括裁判长1名，裁判21名。其中加密裁判3人，现场裁判4人，评分裁判14人。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竞赛采取三次加密。第一次加密裁判组织参赛队选手第一次抽签，抽取参赛编号，替代选手参赛证等个人信息；第二次加密裁判组织参赛选手进行第二次抽签，确定赛位号，替换选手参赛编号；第三次加密裁判对各参赛队竞赛结果进行加密，替换赛位号。三次加密信息由不同加密裁判密封后保管，在评分结束后进行解密并统计成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竞赛对参赛队伍提交的作品采取客观性结果评分。采取分步得分、累计总分的计分方式。各环节分别计算得分，错误不传递，按规定比例计入团队总分。根据赛题情况划分模块，每两名裁判负责一个模块进行独立评分。裁判长在竞赛结束18小时内提交评分结果，经复核无误，由裁判长、监督人员签字确认后公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6.裁判长正式提交评分结果并复核无误后，加密裁判在监督人员监督下进行三层解密：竞赛结果编号到工位号解密；工位号到参赛编号解密；参赛编号到参赛队名称解密。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7.为保障成绩评判的准确性，监督组对赛项总成绩排名前30%的所有参赛队伍的成绩进行复核；其余成绩进行抽检复核，抽检覆盖率不低于15%。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8.监督组在复检中发现错误，需以书面形式及时告知裁判长，由裁判长更正成绩并签字确认。如复核、抽检错误率超过5%，裁判组需对所有成绩进行复核。</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9</w:t>
      </w:r>
      <w:r>
        <w:rPr>
          <w:rFonts w:hint="eastAsia" w:ascii="Arial Narrow" w:hAnsi="Arial Narrow" w:eastAsia="仿宋_GB2312" w:cs="Arial"/>
          <w:sz w:val="30"/>
          <w:szCs w:val="30"/>
        </w:rPr>
        <w:t>.在竞赛过程中，参赛选手如有不服从裁判裁决、扰乱赛场秩序、舞弊等行为的，由裁判长按照规定扣减相应分数，情节严重的将取消比赛资格，比赛成绩计0分。</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十一、奖项设置</w:t>
      </w:r>
    </w:p>
    <w:p>
      <w:pPr>
        <w:spacing w:line="360" w:lineRule="auto"/>
        <w:ind w:firstLine="600" w:firstLineChars="200"/>
        <w:rPr>
          <w:rFonts w:ascii="Arial Narrow" w:hAnsi="Arial Narrow" w:eastAsia="仿宋_GB2312" w:cs="Arial"/>
          <w:sz w:val="30"/>
          <w:szCs w:val="30"/>
        </w:rPr>
      </w:pPr>
      <w:r>
        <w:rPr>
          <w:rFonts w:ascii="Arial Narrow" w:hAnsi="Arial Narrow" w:eastAsia="仿宋_GB2312" w:cs="Arial"/>
          <w:sz w:val="30"/>
          <w:szCs w:val="30"/>
        </w:rPr>
        <w:t>竞赛奖项只设置团体奖，团体奖根据参赛代表队总得分进行排序。设一等奖10%，二等奖20%，三等奖30%。</w:t>
      </w:r>
    </w:p>
    <w:p>
      <w:pPr>
        <w:spacing w:line="360" w:lineRule="auto"/>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获得一等奖的代表队指导老师为优秀指导教师。</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十二、技术规范</w:t>
      </w:r>
    </w:p>
    <w:tbl>
      <w:tblPr>
        <w:tblStyle w:val="14"/>
        <w:tblW w:w="8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2376"/>
        <w:gridCol w:w="5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br w:type="page"/>
            </w:r>
            <w:r>
              <w:rPr>
                <w:rFonts w:hint="eastAsia" w:ascii="宋体" w:hAnsi="宋体"/>
                <w:b/>
                <w:color w:val="000000" w:themeColor="text1"/>
                <w:sz w:val="24"/>
                <w:szCs w:val="24"/>
              </w:rPr>
              <w:t>序号</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标准号</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1</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GB/T16260—2006</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软件工程  产品质量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GB/T</w:t>
            </w:r>
            <w:r>
              <w:rPr>
                <w:rFonts w:ascii="宋体" w:hAnsi="宋体"/>
                <w:color w:val="000000" w:themeColor="text1"/>
                <w:sz w:val="24"/>
                <w:szCs w:val="24"/>
              </w:rPr>
              <w:t>9385</w:t>
            </w:r>
            <w:r>
              <w:rPr>
                <w:rFonts w:hint="eastAsia" w:ascii="宋体" w:hAnsi="宋体"/>
                <w:color w:val="000000" w:themeColor="text1"/>
                <w:sz w:val="24"/>
                <w:szCs w:val="24"/>
              </w:rPr>
              <w:t>—2008</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计算机软件</w:t>
            </w:r>
            <w:r>
              <w:rPr>
                <w:rFonts w:ascii="宋体" w:hAnsi="宋体"/>
                <w:color w:val="000000" w:themeColor="text1"/>
                <w:sz w:val="24"/>
                <w:szCs w:val="24"/>
              </w:rPr>
              <w:t>需求规格说明规范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3</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GB/T18905—2002</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软件工程  产品评价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4</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GB/T8567-2006</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计算机软件文档编制规范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9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5</w:t>
            </w:r>
          </w:p>
        </w:tc>
        <w:tc>
          <w:tcPr>
            <w:tcW w:w="23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ascii="宋体" w:hAnsi="宋体"/>
                <w:color w:val="000000" w:themeColor="text1"/>
                <w:sz w:val="24"/>
                <w:szCs w:val="24"/>
              </w:rPr>
              <w:t>SJ/T11291-2003</w:t>
            </w:r>
          </w:p>
        </w:tc>
        <w:tc>
          <w:tcPr>
            <w:tcW w:w="52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szCs w:val="24"/>
              </w:rPr>
            </w:pPr>
            <w:r>
              <w:rPr>
                <w:rFonts w:hint="eastAsia" w:ascii="宋体" w:hAnsi="宋体"/>
                <w:color w:val="000000" w:themeColor="text1"/>
                <w:sz w:val="24"/>
                <w:szCs w:val="24"/>
              </w:rPr>
              <w:t>面向对象</w:t>
            </w:r>
            <w:r>
              <w:rPr>
                <w:rFonts w:ascii="宋体" w:hAnsi="宋体"/>
                <w:color w:val="000000" w:themeColor="text1"/>
                <w:sz w:val="24"/>
                <w:szCs w:val="24"/>
              </w:rPr>
              <w:t>的软件系统建模规范</w:t>
            </w:r>
          </w:p>
        </w:tc>
      </w:tr>
    </w:tbl>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十三、建议使用的比赛器材、技术平台和场地要求</w:t>
      </w:r>
    </w:p>
    <w:p>
      <w:pPr>
        <w:snapToGrid w:val="0"/>
        <w:spacing w:line="560" w:lineRule="exact"/>
        <w:ind w:firstLine="562" w:firstLineChars="200"/>
        <w:rPr>
          <w:rFonts w:ascii="Arial Narrow" w:hAnsi="Arial Narrow" w:eastAsia="仿宋_GB2312" w:cs="Arial"/>
          <w:b/>
          <w:sz w:val="28"/>
          <w:szCs w:val="28"/>
        </w:rPr>
      </w:pPr>
      <w:r>
        <w:rPr>
          <w:rFonts w:hint="eastAsia" w:ascii="Arial Narrow" w:hAnsi="Arial Narrow" w:eastAsia="仿宋_GB2312" w:cs="Arial"/>
          <w:b/>
          <w:sz w:val="28"/>
          <w:szCs w:val="28"/>
        </w:rPr>
        <w:t>（一）硬件平台</w:t>
      </w:r>
    </w:p>
    <w:tbl>
      <w:tblPr>
        <w:tblStyle w:val="14"/>
        <w:tblW w:w="82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510"/>
        <w:gridCol w:w="6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707"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序号</w:t>
            </w:r>
          </w:p>
        </w:tc>
        <w:tc>
          <w:tcPr>
            <w:tcW w:w="1510"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设备名称</w:t>
            </w:r>
          </w:p>
        </w:tc>
        <w:tc>
          <w:tcPr>
            <w:tcW w:w="6008"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1</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计算机</w:t>
            </w:r>
          </w:p>
        </w:tc>
        <w:tc>
          <w:tcPr>
            <w:tcW w:w="6008" w:type="dxa"/>
            <w:vAlign w:val="center"/>
          </w:tcPr>
          <w:p>
            <w:pPr>
              <w:snapToGrid w:val="0"/>
              <w:rPr>
                <w:rFonts w:ascii="仿宋" w:hAnsi="仿宋" w:eastAsia="仿宋" w:cs="Arial"/>
                <w:color w:val="000000"/>
                <w:sz w:val="24"/>
              </w:rPr>
            </w:pPr>
            <w:r>
              <w:rPr>
                <w:rFonts w:ascii="仿宋" w:hAnsi="仿宋" w:eastAsia="仿宋" w:cs="Arial"/>
                <w:color w:val="000000"/>
                <w:sz w:val="24"/>
              </w:rPr>
              <w:t>i3</w:t>
            </w:r>
            <w:r>
              <w:rPr>
                <w:rFonts w:hint="eastAsia" w:ascii="仿宋" w:hAnsi="仿宋" w:eastAsia="仿宋" w:cs="Arial"/>
                <w:color w:val="000000"/>
                <w:sz w:val="24"/>
              </w:rPr>
              <w:t>以上处理器（支持</w:t>
            </w:r>
            <w:r>
              <w:rPr>
                <w:rFonts w:ascii="仿宋" w:hAnsi="仿宋" w:eastAsia="仿宋" w:cs="Arial"/>
                <w:color w:val="000000"/>
                <w:sz w:val="24"/>
              </w:rPr>
              <w:t>VT</w:t>
            </w:r>
            <w:r>
              <w:rPr>
                <w:rFonts w:hint="eastAsia" w:ascii="仿宋" w:hAnsi="仿宋" w:eastAsia="仿宋" w:cs="Arial"/>
                <w:color w:val="000000"/>
                <w:sz w:val="24"/>
              </w:rPr>
              <w:t>），8G以上内存，200G以上硬盘，显示器</w:t>
            </w:r>
            <w:r>
              <w:rPr>
                <w:rFonts w:ascii="仿宋" w:hAnsi="仿宋" w:eastAsia="仿宋" w:cs="Arial"/>
                <w:color w:val="000000"/>
                <w:sz w:val="24"/>
              </w:rPr>
              <w:t>分辨率</w:t>
            </w:r>
            <w:r>
              <w:rPr>
                <w:rFonts w:hint="eastAsia" w:ascii="仿宋" w:hAnsi="仿宋" w:eastAsia="仿宋" w:cs="Arial"/>
                <w:color w:val="000000"/>
                <w:sz w:val="24"/>
              </w:rPr>
              <w:t>1024</w:t>
            </w:r>
            <w:r>
              <w:rPr>
                <w:rFonts w:ascii="仿宋" w:hAnsi="仿宋" w:eastAsia="仿宋" w:cs="Arial"/>
                <w:color w:val="000000"/>
                <w:sz w:val="24"/>
              </w:rPr>
              <w:t>x768</w:t>
            </w:r>
            <w:r>
              <w:rPr>
                <w:rFonts w:hint="eastAsia" w:ascii="仿宋" w:hAnsi="仿宋" w:eastAsia="仿宋" w:cs="Arial"/>
                <w:color w:val="000000"/>
                <w:sz w:val="24"/>
              </w:rPr>
              <w:t>以上，百兆网络接口，USB接口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2</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服务器</w:t>
            </w:r>
          </w:p>
        </w:tc>
        <w:tc>
          <w:tcPr>
            <w:tcW w:w="6008" w:type="dxa"/>
            <w:vAlign w:val="center"/>
          </w:tcPr>
          <w:p>
            <w:pPr>
              <w:snapToGrid w:val="0"/>
              <w:rPr>
                <w:rFonts w:ascii="仿宋" w:hAnsi="仿宋" w:eastAsia="仿宋" w:cs="Arial"/>
                <w:color w:val="000000"/>
                <w:sz w:val="24"/>
              </w:rPr>
            </w:pPr>
            <w:r>
              <w:rPr>
                <w:rFonts w:ascii="仿宋" w:hAnsi="仿宋" w:eastAsia="仿宋" w:cs="Arial"/>
                <w:color w:val="000000"/>
                <w:sz w:val="24"/>
              </w:rPr>
              <w:t>i3</w:t>
            </w:r>
            <w:r>
              <w:rPr>
                <w:rFonts w:hint="eastAsia" w:ascii="仿宋" w:hAnsi="仿宋" w:eastAsia="仿宋" w:cs="Arial"/>
                <w:color w:val="000000"/>
                <w:sz w:val="24"/>
              </w:rPr>
              <w:t>以上处理器，8G以上内存，200G以上硬盘，显示器</w:t>
            </w:r>
            <w:r>
              <w:rPr>
                <w:rFonts w:ascii="仿宋" w:hAnsi="仿宋" w:eastAsia="仿宋" w:cs="Arial"/>
                <w:color w:val="000000"/>
                <w:sz w:val="24"/>
              </w:rPr>
              <w:t>分辨率</w:t>
            </w:r>
            <w:r>
              <w:rPr>
                <w:rFonts w:hint="eastAsia" w:ascii="仿宋" w:hAnsi="仿宋" w:eastAsia="仿宋" w:cs="Arial"/>
                <w:color w:val="000000"/>
                <w:sz w:val="24"/>
              </w:rPr>
              <w:t>1024</w:t>
            </w:r>
            <w:r>
              <w:rPr>
                <w:rFonts w:ascii="仿宋" w:hAnsi="仿宋" w:eastAsia="仿宋" w:cs="Arial"/>
                <w:color w:val="000000"/>
                <w:sz w:val="24"/>
              </w:rPr>
              <w:t>x768</w:t>
            </w:r>
            <w:r>
              <w:rPr>
                <w:rFonts w:hint="eastAsia" w:ascii="仿宋" w:hAnsi="仿宋" w:eastAsia="仿宋" w:cs="Arial"/>
                <w:color w:val="000000"/>
                <w:sz w:val="24"/>
              </w:rPr>
              <w:t>以上，百兆网络接口，USB接口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3</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智能交通沙盘</w:t>
            </w:r>
          </w:p>
        </w:tc>
        <w:tc>
          <w:tcPr>
            <w:tcW w:w="6008"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主频1.4Ghz、四核心ARM Cortex-A9 quad-core、2GB DDR3、8GB iNand、直流电源输入接口，12V/2A电源输入、100/10Mbps以太网芯片，RJ45接口、1920*1080 高清屏、电容触摸、标准SD卡接口</w:t>
            </w:r>
          </w:p>
          <w:p>
            <w:pPr>
              <w:snapToGrid w:val="0"/>
              <w:rPr>
                <w:rFonts w:ascii="仿宋" w:hAnsi="仿宋" w:eastAsia="仿宋" w:cs="Arial"/>
                <w:color w:val="000000"/>
                <w:sz w:val="24"/>
              </w:rPr>
            </w:pPr>
            <w:r>
              <w:rPr>
                <w:rFonts w:hint="eastAsia" w:ascii="仿宋" w:hAnsi="仿宋" w:eastAsia="仿宋" w:cs="Arial"/>
                <w:color w:val="000000"/>
                <w:sz w:val="24"/>
              </w:rPr>
              <w:t>智能交通沙盘提供的功能，主要包括：交通沙盘模拟显示、红绿灯、智能路灯、智能公交、环境检测、智能小车、智能停车场、ETC、公交站信息发布、车辆定位等功能模块。通过各个模块中的传感器获得相应的数据，这些数据被传送到中控进行处理，中控通过对数据的分析在发送出相应的指令来控制各个模块，最终使各个模块协同稳定的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4</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Android应用平台设备</w:t>
            </w:r>
          </w:p>
        </w:tc>
        <w:tc>
          <w:tcPr>
            <w:tcW w:w="6008"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CPU：ARM Exynos4412 Quad-core</w:t>
            </w:r>
          </w:p>
          <w:p>
            <w:pPr>
              <w:snapToGrid w:val="0"/>
              <w:rPr>
                <w:rFonts w:ascii="仿宋" w:hAnsi="仿宋" w:eastAsia="仿宋" w:cs="Arial"/>
                <w:color w:val="000000"/>
                <w:sz w:val="24"/>
              </w:rPr>
            </w:pPr>
            <w:r>
              <w:rPr>
                <w:rFonts w:hint="eastAsia" w:ascii="仿宋" w:hAnsi="仿宋" w:eastAsia="仿宋" w:cs="Arial"/>
                <w:color w:val="000000"/>
                <w:sz w:val="24"/>
              </w:rPr>
              <w:t>主频：1.4~1.6GHz</w:t>
            </w:r>
          </w:p>
          <w:p>
            <w:pPr>
              <w:snapToGrid w:val="0"/>
              <w:rPr>
                <w:rFonts w:ascii="仿宋" w:hAnsi="仿宋" w:eastAsia="仿宋" w:cs="Arial"/>
                <w:color w:val="000000"/>
                <w:sz w:val="24"/>
              </w:rPr>
            </w:pPr>
            <w:r>
              <w:rPr>
                <w:rFonts w:hint="eastAsia" w:ascii="仿宋" w:hAnsi="仿宋" w:eastAsia="仿宋" w:cs="Arial"/>
                <w:color w:val="000000"/>
                <w:sz w:val="24"/>
              </w:rPr>
              <w:t>内存：2G Bytes DDR3</w:t>
            </w:r>
          </w:p>
          <w:p>
            <w:pPr>
              <w:snapToGrid w:val="0"/>
              <w:rPr>
                <w:rFonts w:ascii="仿宋" w:hAnsi="仿宋" w:eastAsia="仿宋" w:cs="Arial"/>
                <w:color w:val="000000"/>
                <w:sz w:val="24"/>
              </w:rPr>
            </w:pPr>
            <w:r>
              <w:rPr>
                <w:rFonts w:hint="eastAsia" w:ascii="仿宋" w:hAnsi="仿宋" w:eastAsia="仿宋" w:cs="Arial"/>
                <w:color w:val="000000"/>
                <w:sz w:val="24"/>
              </w:rPr>
              <w:t>内置存储：iNAND 8GB</w:t>
            </w:r>
          </w:p>
          <w:p>
            <w:pPr>
              <w:snapToGrid w:val="0"/>
              <w:rPr>
                <w:rFonts w:ascii="仿宋" w:hAnsi="仿宋" w:eastAsia="仿宋" w:cs="Arial"/>
                <w:color w:val="000000"/>
                <w:sz w:val="24"/>
              </w:rPr>
            </w:pPr>
            <w:r>
              <w:rPr>
                <w:rFonts w:hint="eastAsia" w:ascii="仿宋" w:hAnsi="仿宋" w:eastAsia="仿宋" w:cs="Arial"/>
                <w:color w:val="000000"/>
                <w:sz w:val="24"/>
              </w:rPr>
              <w:t>Flash：NAND FLASH接口</w:t>
            </w:r>
          </w:p>
          <w:p>
            <w:pPr>
              <w:snapToGrid w:val="0"/>
              <w:rPr>
                <w:rFonts w:ascii="仿宋" w:hAnsi="仿宋" w:eastAsia="仿宋" w:cs="Arial"/>
                <w:color w:val="000000"/>
                <w:sz w:val="24"/>
              </w:rPr>
            </w:pPr>
            <w:r>
              <w:rPr>
                <w:rFonts w:hint="eastAsia" w:ascii="仿宋" w:hAnsi="仿宋" w:eastAsia="仿宋" w:cs="Arial"/>
                <w:color w:val="000000"/>
                <w:sz w:val="24"/>
              </w:rPr>
              <w:t>PMU：特有的PMU管理芯片，ACT8847</w:t>
            </w:r>
          </w:p>
          <w:p>
            <w:pPr>
              <w:snapToGrid w:val="0"/>
              <w:rPr>
                <w:rFonts w:ascii="仿宋" w:hAnsi="仿宋" w:eastAsia="仿宋" w:cs="Arial"/>
                <w:color w:val="000000"/>
                <w:sz w:val="24"/>
              </w:rPr>
            </w:pPr>
            <w:r>
              <w:rPr>
                <w:rFonts w:hint="eastAsia" w:ascii="仿宋" w:hAnsi="仿宋" w:eastAsia="仿宋" w:cs="Arial"/>
                <w:color w:val="000000"/>
                <w:sz w:val="24"/>
              </w:rPr>
              <w:t>显示接口：LCD、LVDS、VGA(THS8136PHP，符合VESA标准，兼容所有设备)</w:t>
            </w:r>
          </w:p>
          <w:p>
            <w:pPr>
              <w:snapToGrid w:val="0"/>
              <w:rPr>
                <w:rFonts w:ascii="仿宋" w:hAnsi="仿宋" w:eastAsia="仿宋" w:cs="Arial"/>
                <w:color w:val="000000"/>
                <w:sz w:val="24"/>
              </w:rPr>
            </w:pPr>
            <w:r>
              <w:rPr>
                <w:rFonts w:hint="eastAsia" w:ascii="仿宋" w:hAnsi="仿宋" w:eastAsia="仿宋" w:cs="Arial"/>
                <w:color w:val="000000"/>
                <w:sz w:val="24"/>
              </w:rPr>
              <w:t>以太网：DM9000，支持10M/100M自适应网络</w:t>
            </w:r>
          </w:p>
          <w:p>
            <w:pPr>
              <w:snapToGrid w:val="0"/>
              <w:rPr>
                <w:rFonts w:ascii="仿宋" w:hAnsi="仿宋" w:eastAsia="仿宋" w:cs="Arial"/>
                <w:color w:val="000000"/>
                <w:sz w:val="24"/>
              </w:rPr>
            </w:pPr>
            <w:r>
              <w:rPr>
                <w:rFonts w:hint="eastAsia" w:ascii="仿宋" w:hAnsi="仿宋" w:eastAsia="仿宋" w:cs="Arial"/>
                <w:color w:val="000000"/>
                <w:sz w:val="24"/>
              </w:rPr>
              <w:t>USB接口：两路独立的USB Host2.0接口，其中一路一扩四</w:t>
            </w:r>
          </w:p>
          <w:p>
            <w:pPr>
              <w:snapToGrid w:val="0"/>
              <w:rPr>
                <w:rFonts w:ascii="仿宋" w:hAnsi="仿宋" w:eastAsia="仿宋" w:cs="Arial"/>
                <w:color w:val="000000"/>
                <w:sz w:val="24"/>
              </w:rPr>
            </w:pPr>
            <w:r>
              <w:rPr>
                <w:rFonts w:hint="eastAsia" w:ascii="仿宋" w:hAnsi="仿宋" w:eastAsia="仿宋" w:cs="Arial"/>
                <w:color w:val="000000"/>
                <w:sz w:val="24"/>
              </w:rPr>
              <w:t>HDMI接口：A型，HDMI1.4，支持3D输出，1080P高清分辨率</w:t>
            </w:r>
          </w:p>
          <w:p>
            <w:pPr>
              <w:snapToGrid w:val="0"/>
              <w:rPr>
                <w:rFonts w:ascii="仿宋" w:hAnsi="仿宋" w:eastAsia="仿宋" w:cs="Arial"/>
                <w:color w:val="000000"/>
                <w:sz w:val="24"/>
              </w:rPr>
            </w:pPr>
            <w:r>
              <w:rPr>
                <w:rFonts w:hint="eastAsia" w:ascii="仿宋" w:hAnsi="仿宋" w:eastAsia="仿宋" w:cs="Arial"/>
                <w:color w:val="000000"/>
                <w:sz w:val="24"/>
              </w:rPr>
              <w:t>串口：4路UART接口</w:t>
            </w:r>
          </w:p>
        </w:tc>
      </w:tr>
    </w:tbl>
    <w:p>
      <w:pPr>
        <w:snapToGrid w:val="0"/>
        <w:spacing w:line="560" w:lineRule="exact"/>
        <w:ind w:firstLine="562" w:firstLineChars="200"/>
        <w:rPr>
          <w:rFonts w:ascii="Arial Narrow" w:hAnsi="Arial Narrow" w:eastAsia="仿宋_GB2312" w:cs="Arial"/>
          <w:b/>
          <w:sz w:val="28"/>
          <w:szCs w:val="28"/>
        </w:rPr>
      </w:pPr>
      <w:r>
        <w:rPr>
          <w:rFonts w:hint="eastAsia" w:ascii="Arial Narrow" w:hAnsi="Arial Narrow" w:eastAsia="仿宋_GB2312" w:cs="Arial"/>
          <w:b/>
          <w:sz w:val="28"/>
          <w:szCs w:val="28"/>
        </w:rPr>
        <w:t>（二）软件平台</w:t>
      </w:r>
    </w:p>
    <w:tbl>
      <w:tblPr>
        <w:tblStyle w:val="14"/>
        <w:tblW w:w="82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510"/>
        <w:gridCol w:w="6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707"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序号</w:t>
            </w:r>
          </w:p>
        </w:tc>
        <w:tc>
          <w:tcPr>
            <w:tcW w:w="1510"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设备名称</w:t>
            </w:r>
          </w:p>
        </w:tc>
        <w:tc>
          <w:tcPr>
            <w:tcW w:w="6008" w:type="dxa"/>
            <w:shd w:val="clear" w:color="auto" w:fill="auto"/>
            <w:vAlign w:val="center"/>
          </w:tcPr>
          <w:p>
            <w:pPr>
              <w:snapToGrid w:val="0"/>
              <w:jc w:val="center"/>
              <w:rPr>
                <w:rFonts w:ascii="仿宋" w:hAnsi="仿宋" w:eastAsia="仿宋" w:cs="Arial"/>
                <w:b/>
                <w:color w:val="000000"/>
                <w:sz w:val="24"/>
              </w:rPr>
            </w:pPr>
            <w:r>
              <w:rPr>
                <w:rFonts w:hint="eastAsia" w:ascii="仿宋" w:hAnsi="仿宋" w:eastAsia="仿宋" w:cs="Arial"/>
                <w:b/>
                <w:color w:val="000000"/>
                <w:sz w:val="24"/>
              </w:rPr>
              <w:t>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1</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计算机</w:t>
            </w:r>
          </w:p>
        </w:tc>
        <w:tc>
          <w:tcPr>
            <w:tcW w:w="6008" w:type="dxa"/>
            <w:vAlign w:val="center"/>
          </w:tcPr>
          <w:p>
            <w:pPr>
              <w:snapToGrid w:val="0"/>
              <w:rPr>
                <w:rFonts w:ascii="仿宋" w:hAnsi="仿宋" w:eastAsia="仿宋" w:cs="Arial"/>
                <w:color w:val="000000"/>
                <w:sz w:val="24"/>
              </w:rPr>
            </w:pPr>
            <w:r>
              <w:rPr>
                <w:rFonts w:ascii="仿宋" w:hAnsi="仿宋" w:eastAsia="仿宋" w:cs="Arial"/>
                <w:color w:val="000000"/>
                <w:sz w:val="24"/>
              </w:rPr>
              <w:t>Windows 7</w:t>
            </w:r>
            <w:r>
              <w:rPr>
                <w:rFonts w:hint="eastAsia" w:ascii="仿宋" w:hAnsi="仿宋" w:eastAsia="仿宋" w:cs="Arial"/>
                <w:color w:val="000000"/>
                <w:sz w:val="24"/>
              </w:rPr>
              <w:t>（</w:t>
            </w:r>
            <w:r>
              <w:rPr>
                <w:rFonts w:ascii="仿宋" w:hAnsi="仿宋" w:eastAsia="仿宋" w:cs="Arial"/>
                <w:color w:val="000000"/>
                <w:sz w:val="24"/>
              </w:rPr>
              <w:t>64</w:t>
            </w:r>
            <w:r>
              <w:rPr>
                <w:rFonts w:hint="eastAsia" w:ascii="仿宋" w:hAnsi="仿宋" w:eastAsia="仿宋" w:cs="Arial"/>
                <w:color w:val="000000"/>
                <w:sz w:val="24"/>
              </w:rPr>
              <w:t>位）或更新版本</w:t>
            </w:r>
          </w:p>
          <w:p>
            <w:pPr>
              <w:snapToGrid w:val="0"/>
              <w:rPr>
                <w:rFonts w:ascii="仿宋" w:hAnsi="仿宋" w:eastAsia="仿宋" w:cs="Arial"/>
                <w:color w:val="000000"/>
                <w:sz w:val="24"/>
              </w:rPr>
            </w:pPr>
            <w:r>
              <w:rPr>
                <w:rFonts w:ascii="仿宋" w:hAnsi="仿宋" w:eastAsia="仿宋" w:cs="Arial"/>
                <w:color w:val="000000"/>
                <w:sz w:val="24"/>
              </w:rPr>
              <w:t>jdk-8u66-windows</w:t>
            </w:r>
          </w:p>
          <w:p>
            <w:pPr>
              <w:snapToGrid w:val="0"/>
              <w:rPr>
                <w:rFonts w:ascii="仿宋" w:hAnsi="仿宋" w:eastAsia="仿宋" w:cs="Arial"/>
                <w:color w:val="000000"/>
                <w:sz w:val="24"/>
              </w:rPr>
            </w:pPr>
            <w:r>
              <w:rPr>
                <w:rFonts w:hint="eastAsia" w:ascii="仿宋" w:hAnsi="仿宋" w:eastAsia="仿宋" w:cs="Arial"/>
                <w:color w:val="000000"/>
                <w:sz w:val="24"/>
              </w:rPr>
              <w:t>Android Studio v2.</w:t>
            </w:r>
            <w:r>
              <w:rPr>
                <w:rFonts w:ascii="仿宋" w:hAnsi="仿宋" w:eastAsia="仿宋" w:cs="Arial"/>
                <w:color w:val="000000"/>
                <w:sz w:val="24"/>
              </w:rPr>
              <w:t>3</w:t>
            </w:r>
            <w:r>
              <w:rPr>
                <w:rFonts w:hint="eastAsia" w:ascii="仿宋" w:hAnsi="仿宋" w:eastAsia="仿宋" w:cs="Arial"/>
                <w:color w:val="000000"/>
                <w:sz w:val="24"/>
              </w:rPr>
              <w:t>或以上</w:t>
            </w:r>
          </w:p>
          <w:p>
            <w:pPr>
              <w:snapToGrid w:val="0"/>
              <w:rPr>
                <w:rFonts w:ascii="仿宋" w:hAnsi="仿宋" w:eastAsia="仿宋" w:cs="Arial"/>
                <w:color w:val="000000"/>
                <w:sz w:val="24"/>
              </w:rPr>
            </w:pPr>
            <w:r>
              <w:rPr>
                <w:rFonts w:hint="eastAsia" w:ascii="仿宋" w:hAnsi="仿宋" w:eastAsia="仿宋" w:cs="Arial"/>
                <w:color w:val="000000"/>
                <w:sz w:val="24"/>
              </w:rPr>
              <w:t>SDK Platforms：Android 4.0.3、5.0、6.0、7.0（SDK、APIs和Intel x86 64 Image）</w:t>
            </w:r>
          </w:p>
          <w:p>
            <w:pPr>
              <w:snapToGrid w:val="0"/>
              <w:rPr>
                <w:rFonts w:ascii="仿宋" w:hAnsi="仿宋" w:eastAsia="仿宋" w:cs="Arial"/>
                <w:color w:val="000000"/>
                <w:sz w:val="24"/>
              </w:rPr>
            </w:pPr>
            <w:r>
              <w:rPr>
                <w:rFonts w:ascii="仿宋" w:hAnsi="仿宋" w:eastAsia="仿宋" w:cs="Arial"/>
                <w:color w:val="000000"/>
                <w:sz w:val="24"/>
              </w:rPr>
              <w:t>gradle-3.3-all</w:t>
            </w:r>
          </w:p>
          <w:p>
            <w:pPr>
              <w:snapToGrid w:val="0"/>
              <w:rPr>
                <w:rFonts w:ascii="仿宋" w:hAnsi="仿宋" w:eastAsia="仿宋" w:cs="Arial"/>
                <w:color w:val="000000"/>
                <w:sz w:val="24"/>
              </w:rPr>
            </w:pPr>
            <w:r>
              <w:rPr>
                <w:rFonts w:hint="eastAsia" w:ascii="仿宋" w:hAnsi="仿宋" w:eastAsia="仿宋" w:cs="Arial"/>
                <w:color w:val="000000"/>
                <w:sz w:val="24"/>
              </w:rPr>
              <w:t>Build Tools Version：21.0.0、22.0.0、23.0.0、24.0.0、25.0.0</w:t>
            </w:r>
          </w:p>
          <w:p>
            <w:pPr>
              <w:snapToGrid w:val="0"/>
              <w:rPr>
                <w:rFonts w:ascii="仿宋" w:hAnsi="仿宋" w:eastAsia="仿宋" w:cs="Arial"/>
                <w:color w:val="000000"/>
                <w:sz w:val="24"/>
              </w:rPr>
            </w:pPr>
            <w:r>
              <w:rPr>
                <w:rFonts w:hint="eastAsia" w:ascii="仿宋" w:hAnsi="仿宋" w:eastAsia="仿宋" w:cs="Arial"/>
                <w:color w:val="000000"/>
                <w:sz w:val="24"/>
              </w:rPr>
              <w:t>Office2010(word、visio)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2</w:t>
            </w:r>
          </w:p>
        </w:tc>
        <w:tc>
          <w:tcPr>
            <w:tcW w:w="1510"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智能交通管理系统</w:t>
            </w:r>
          </w:p>
        </w:tc>
        <w:tc>
          <w:tcPr>
            <w:tcW w:w="6008" w:type="dxa"/>
            <w:vAlign w:val="center"/>
          </w:tcPr>
          <w:p>
            <w:pPr>
              <w:snapToGrid w:val="0"/>
              <w:rPr>
                <w:rFonts w:ascii="仿宋" w:hAnsi="仿宋" w:eastAsia="仿宋" w:cs="Arial"/>
                <w:color w:val="000000"/>
                <w:sz w:val="24"/>
              </w:rPr>
            </w:pPr>
            <w:r>
              <w:rPr>
                <w:rFonts w:hint="eastAsia" w:ascii="仿宋" w:hAnsi="仿宋" w:eastAsia="仿宋" w:cs="Arial"/>
                <w:color w:val="000000"/>
                <w:sz w:val="24"/>
              </w:rPr>
              <w:t>系统提供的管理功能主要包括：用户管理、权限控制、环境监测单元、中控单元、ETC收费模块、智能停车场模块、智能小车模块、红绿灯控制模块、路灯控制模块等功能接口协议。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07" w:type="dxa"/>
            <w:vAlign w:val="center"/>
          </w:tcPr>
          <w:p>
            <w:pPr>
              <w:snapToGrid w:val="0"/>
              <w:jc w:val="center"/>
              <w:rPr>
                <w:rFonts w:ascii="仿宋" w:hAnsi="仿宋" w:eastAsia="仿宋" w:cs="Arial"/>
                <w:color w:val="000000"/>
                <w:sz w:val="24"/>
              </w:rPr>
            </w:pPr>
            <w:r>
              <w:rPr>
                <w:rFonts w:hint="eastAsia" w:ascii="仿宋" w:hAnsi="仿宋" w:eastAsia="仿宋" w:cs="Arial"/>
                <w:color w:val="000000"/>
                <w:sz w:val="24"/>
              </w:rPr>
              <w:t>3</w:t>
            </w:r>
          </w:p>
        </w:tc>
        <w:tc>
          <w:tcPr>
            <w:tcW w:w="1510" w:type="dxa"/>
            <w:vAlign w:val="center"/>
          </w:tcPr>
          <w:p>
            <w:pPr>
              <w:snapToGrid w:val="0"/>
              <w:rPr>
                <w:rFonts w:ascii="仿宋" w:hAnsi="仿宋" w:eastAsia="仿宋" w:cs="Arial"/>
                <w:sz w:val="24"/>
              </w:rPr>
            </w:pPr>
            <w:r>
              <w:rPr>
                <w:rFonts w:hint="eastAsia" w:ascii="仿宋" w:hAnsi="仿宋" w:eastAsia="仿宋" w:cs="Arial"/>
                <w:sz w:val="24"/>
              </w:rPr>
              <w:t>其他软件</w:t>
            </w:r>
          </w:p>
        </w:tc>
        <w:tc>
          <w:tcPr>
            <w:tcW w:w="6008" w:type="dxa"/>
            <w:vAlign w:val="center"/>
          </w:tcPr>
          <w:p>
            <w:pPr>
              <w:snapToGrid w:val="0"/>
              <w:rPr>
                <w:rFonts w:ascii="仿宋" w:hAnsi="仿宋" w:eastAsia="仿宋" w:cs="Arial"/>
                <w:sz w:val="24"/>
              </w:rPr>
            </w:pPr>
            <w:r>
              <w:rPr>
                <w:rFonts w:hint="eastAsia" w:ascii="仿宋" w:hAnsi="仿宋" w:eastAsia="仿宋" w:cs="Arial"/>
                <w:sz w:val="24"/>
              </w:rPr>
              <w:t>mysql-installer-community-5.7.9.1</w:t>
            </w:r>
          </w:p>
          <w:p>
            <w:pPr>
              <w:snapToGrid w:val="0"/>
              <w:rPr>
                <w:rFonts w:ascii="仿宋" w:hAnsi="仿宋" w:eastAsia="仿宋" w:cs="Arial"/>
                <w:sz w:val="24"/>
              </w:rPr>
            </w:pPr>
            <w:r>
              <w:rPr>
                <w:rFonts w:ascii="仿宋" w:hAnsi="仿宋" w:eastAsia="仿宋" w:cs="Arial"/>
                <w:sz w:val="24"/>
              </w:rPr>
              <w:t>navicat8_mysql_cs</w:t>
            </w:r>
          </w:p>
          <w:p>
            <w:pPr>
              <w:snapToGrid w:val="0"/>
              <w:rPr>
                <w:rFonts w:ascii="仿宋" w:hAnsi="仿宋" w:eastAsia="仿宋" w:cs="Arial"/>
                <w:sz w:val="24"/>
              </w:rPr>
            </w:pPr>
            <w:r>
              <w:rPr>
                <w:rFonts w:ascii="仿宋" w:hAnsi="仿宋" w:eastAsia="仿宋" w:cs="Arial"/>
                <w:sz w:val="24"/>
              </w:rPr>
              <w:t>Postman-win64-4.10.3</w:t>
            </w:r>
          </w:p>
          <w:p>
            <w:pPr>
              <w:snapToGrid w:val="0"/>
              <w:rPr>
                <w:rFonts w:ascii="仿宋" w:hAnsi="仿宋" w:eastAsia="仿宋" w:cs="Arial"/>
                <w:sz w:val="24"/>
              </w:rPr>
            </w:pPr>
            <w:r>
              <w:rPr>
                <w:rFonts w:ascii="仿宋" w:hAnsi="仿宋" w:eastAsia="仿宋" w:cs="Arial"/>
                <w:sz w:val="24"/>
              </w:rPr>
              <w:t>GitStack_2.3.9</w:t>
            </w:r>
          </w:p>
        </w:tc>
      </w:tr>
    </w:tbl>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（三）竞赛环境：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1.竞赛场地宽敞明亮，照明电源使用安全，赛场供电、用电及电源使用必须遵守相关的用电规范和要求，安全第一。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2.赛场用电要求是双路供电：交流电源总线两端要分别从两个不同的配电箱引出。每组考试位使用带有漏电保护装置的插线板单独供电，电源线径必须满足供电需求，并考虑留有冗余；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3.为了保证比赛正常使用，赛场照明机空调独立于比赛用电，并且每赛位最好能提供独立UPS电源供电；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4.比赛场地交流电源不能有明线走线，必须走地槽并具有明显的标识和警示，走线要标准规范，且电源接地良好。 </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（四）赛位设置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1.赛位设置：既满足竞赛加密的相关要求，更便于参赛选手方便确定赛位；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2.每赛位的单位面积不得低于12平方米；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3.每赛位参赛选手确定活动的范围，赛位四周使用不同颜色进行警戒标示。</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赛项根据赛项具体特点做好安全事故防范和应急预案。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（一）安全防范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消防安全：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1.赛前赛场进行严格的场地清理，将易燃易爆材料和与比赛无关物品设备等清理出赛场。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2.在赛场准备一定数量的灭火器散布在赛场中。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3.设立防火巡视员，禁烟员，赛场及其周围严禁吸烟。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4.比赛场地要有紧急疏散通道，比赛期间要保证通道畅通，让所有人都知晓疏散通道的出口，并做出明显的引导指示标志。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安保措施：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1.出入人员均需佩戴专用证件，不同身份角色证件样式（或颜色）不同，最好配有照片。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2.场地出入口要有安保人员值守，场地内部要有安保人员巡逻。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3.进入场地要进行安全检查（至少要用手持金属扫描仪进行扫描）。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4.箱包给予寄存，任何存储设备和手机等都不得带进赛场，不得带任何液体进场，场内准备饮用水。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5.赛场应配有视频监控，对大赛考场进行监控，在出现纠纷时进行举证。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服务人员保障：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1.保安（安全员）若干名，对赛场和赛场周围的安全进行保障，遇到有人闹事，立刻带出现场进行场外调解，并处理协调突发意外事件的发生；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2.赛场服务人员，引导员、赛场服务后勤保障人员必须坚守岗位，且持证上岗，带有大赛组委会统一制作的工作人员胸牌；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医疗（或备用常用药品）人员，现场最好要配备医护人员，配备一些常用应急药品，参赛相关人员如突发疾病，要立刻拨打医疗求救电话，如果当地医疗保障设施不是很完善，建议配备备用车辆，在救护车不能及时到达的情况下，由现场医护人员陪同自行把病号送往就近医院。</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前应组织安保人员进行培训，提前进行安全教育和演习，使安保人员熟悉大赛的安全预案，明确各自的分工和职责。督促各部门检查消防设施，做好安全保卫工作，防止火灾、踩踏等群体性事件发生，确保大赛期间赛场财产的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竞赛过程中如若发生安全事故，应立即报告现场总指挥，同时启动事故处理应急预案，各类人员按照分工各尽其责，立即展开现场抢救和组织人员疏散，最大限度地减少人员伤害及财产损失。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竞赛结束时，要及时进行安全检查，重点做好防火、防盗以及电气、设备的安全检查，防止因疏忽而发生事故。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安全防范基本要求：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①坚守岗位，认真履职。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②听从指挥，反应迅速。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③保持联络，及时沟通。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④明确责任，问责追究。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赛场周围要设立警戒线，防止无关人员进入，发生意外事件。比赛现场内应参照相关职业岗位的要求为选手提供必要的劳动保护。在具有危险性的操作环节，裁判员要严防选手出现错误操作。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tbl>
      <w:tblPr>
        <w:tblStyle w:val="14"/>
        <w:tblW w:w="80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3394"/>
        <w:gridCol w:w="2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jc w:val="center"/>
        </w:trPr>
        <w:tc>
          <w:tcPr>
            <w:tcW w:w="1951" w:type="dxa"/>
          </w:tcPr>
          <w:p>
            <w:pPr>
              <w:pStyle w:val="24"/>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突发事件</w:t>
            </w:r>
          </w:p>
        </w:tc>
        <w:tc>
          <w:tcPr>
            <w:tcW w:w="3394" w:type="dxa"/>
          </w:tcPr>
          <w:p>
            <w:pPr>
              <w:pStyle w:val="24"/>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预防措施</w:t>
            </w:r>
          </w:p>
        </w:tc>
        <w:tc>
          <w:tcPr>
            <w:tcW w:w="2752" w:type="dxa"/>
          </w:tcPr>
          <w:p>
            <w:pPr>
              <w:pStyle w:val="24"/>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事件发生后应对措施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24"/>
              <w:rPr>
                <w:rFonts w:cs="Arial" w:asciiTheme="minorEastAsia" w:hAnsiTheme="minorEastAsia" w:eastAsiaTheme="minorEastAsia"/>
                <w:color w:val="auto"/>
                <w:sz w:val="24"/>
                <w:szCs w:val="24"/>
              </w:rPr>
            </w:pPr>
            <w:r>
              <w:rPr>
                <w:rFonts w:cs="Arial" w:asciiTheme="minorEastAsia" w:hAnsiTheme="minorEastAsia" w:eastAsiaTheme="minorEastAsia"/>
                <w:color w:val="auto"/>
                <w:sz w:val="24"/>
                <w:szCs w:val="24"/>
              </w:rPr>
              <w:t>参赛选手发病或受伤</w:t>
            </w:r>
          </w:p>
        </w:tc>
        <w:tc>
          <w:tcPr>
            <w:tcW w:w="3394"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在各工位张贴安全操作说明。</w:t>
            </w:r>
          </w:p>
        </w:tc>
        <w:tc>
          <w:tcPr>
            <w:tcW w:w="2752" w:type="dxa"/>
            <w:vAlign w:val="center"/>
          </w:tcPr>
          <w:p>
            <w:pPr>
              <w:pStyle w:val="24"/>
              <w:rPr>
                <w:rFonts w:cs="Arial" w:asciiTheme="minorEastAsia" w:hAnsiTheme="minorEastAsia" w:eastAsiaTheme="minorEastAsia"/>
                <w:color w:val="auto"/>
                <w:sz w:val="24"/>
                <w:szCs w:val="24"/>
              </w:rPr>
            </w:pPr>
            <w:r>
              <w:rPr>
                <w:rFonts w:cs="Arial" w:asciiTheme="minorEastAsia" w:hAnsiTheme="minorEastAsia" w:eastAsiaTheme="minorEastAsia"/>
                <w:color w:val="auto"/>
                <w:sz w:val="24"/>
                <w:szCs w:val="24"/>
              </w:rPr>
              <w:t>医务人员应采取紧急救护措施，及时进行救治，如病情或伤势严重，应及时送往最近医院进行救治。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24"/>
              <w:rPr>
                <w:rFonts w:cs="Arial" w:asciiTheme="minorEastAsia" w:hAnsiTheme="minorEastAsia" w:eastAsiaTheme="minorEastAsia"/>
                <w:color w:val="auto"/>
                <w:sz w:val="24"/>
                <w:szCs w:val="24"/>
              </w:rPr>
            </w:pPr>
            <w:r>
              <w:rPr>
                <w:rFonts w:cs="Arial" w:asciiTheme="minorEastAsia" w:hAnsiTheme="minorEastAsia" w:eastAsiaTheme="minorEastAsia"/>
                <w:color w:val="auto"/>
                <w:sz w:val="24"/>
                <w:szCs w:val="24"/>
              </w:rPr>
              <w:t>人员发生食物中毒</w:t>
            </w:r>
          </w:p>
        </w:tc>
        <w:tc>
          <w:tcPr>
            <w:tcW w:w="3394"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比赛期间指定的住宿/餐饮场地符合国家相关资质要求。并协调地方卫生部门做好检查工作。</w:t>
            </w:r>
          </w:p>
        </w:tc>
        <w:tc>
          <w:tcPr>
            <w:tcW w:w="2752" w:type="dxa"/>
            <w:vAlign w:val="center"/>
          </w:tcPr>
          <w:p>
            <w:pPr>
              <w:pStyle w:val="24"/>
              <w:rPr>
                <w:rFonts w:cs="Arial" w:asciiTheme="minorEastAsia" w:hAnsiTheme="minorEastAsia" w:eastAsiaTheme="minorEastAsia"/>
                <w:color w:val="auto"/>
                <w:sz w:val="24"/>
                <w:szCs w:val="24"/>
              </w:rPr>
            </w:pPr>
            <w:r>
              <w:rPr>
                <w:rFonts w:cs="Arial" w:asciiTheme="minorEastAsia" w:hAnsiTheme="minorEastAsia" w:eastAsiaTheme="minorEastAsia"/>
                <w:color w:val="auto"/>
                <w:sz w:val="24"/>
                <w:szCs w:val="24"/>
              </w:rPr>
              <w:t>立即组织对中毒人员进行救治，必要时送往最近医院进行检查治疗。同时对可疑的食品、饮水及其有关原料、工具设备和场所以及可能受污染的区域采取保留、控制措施，组织开展现场调查，迅速查明原因，并及时向大赛组委会报告</w:t>
            </w:r>
            <w:r>
              <w:rPr>
                <w:rFonts w:hint="eastAsia" w:cs="Arial" w:asciiTheme="minorEastAsia" w:hAnsiTheme="minorEastAsia" w:eastAsiaTheme="minorEastAsia"/>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设备损坏（如不能启动、反复重启等）</w:t>
            </w:r>
          </w:p>
        </w:tc>
        <w:tc>
          <w:tcPr>
            <w:tcW w:w="3394"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提前一天烤机，所有设备开机运行；现场放置备机。</w:t>
            </w:r>
          </w:p>
        </w:tc>
        <w:tc>
          <w:tcPr>
            <w:tcW w:w="2752"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参赛选手举手示意后，监考人员计时，裁判确认后更换备机，并由主裁判确定应计入延时时间。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951"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设备掉电</w:t>
            </w:r>
          </w:p>
        </w:tc>
        <w:tc>
          <w:tcPr>
            <w:tcW w:w="3394"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竞赛前技术人员及监考人员检查所有电源插头，确保牢固；电源线尽量绑扎在参赛选手碰不到的地方，如桌子后面等；</w:t>
            </w:r>
          </w:p>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竞赛前提醒参赛选手注意尽量不要碰到电源，配置文件要随时保存。</w:t>
            </w:r>
          </w:p>
        </w:tc>
        <w:tc>
          <w:tcPr>
            <w:tcW w:w="2752"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参赛选手举手示意后，监考人员计时，裁判确认后重启机器，并由主裁判确定应计入延时的时间。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951"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现场网络线缆故障</w:t>
            </w:r>
          </w:p>
        </w:tc>
        <w:tc>
          <w:tcPr>
            <w:tcW w:w="3394"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现场走线要规范，尽量走暗槽或现场人员接触不到的地方；对主要线路要在走线槽内留有备线。</w:t>
            </w:r>
          </w:p>
        </w:tc>
        <w:tc>
          <w:tcPr>
            <w:tcW w:w="2752" w:type="dxa"/>
            <w:vAlign w:val="center"/>
          </w:tcPr>
          <w:p>
            <w:pPr>
              <w:pStyle w:val="24"/>
              <w:rPr>
                <w:rFonts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启用备线。</w:t>
            </w:r>
          </w:p>
        </w:tc>
      </w:tr>
    </w:tbl>
    <w:p>
      <w:pPr>
        <w:snapToGrid w:val="0"/>
        <w:spacing w:line="560" w:lineRule="exact"/>
        <w:ind w:firstLine="602" w:firstLineChars="200"/>
        <w:rPr>
          <w:rFonts w:ascii="黑体" w:hAnsi="黑体" w:eastAsia="黑体" w:cs="黑体"/>
          <w:b/>
          <w:bCs/>
          <w:sz w:val="30"/>
          <w:szCs w:val="30"/>
        </w:rPr>
      </w:pPr>
      <w:r>
        <w:rPr>
          <w:rFonts w:hint="eastAsia" w:ascii="黑体" w:hAnsi="黑体" w:eastAsia="黑体" w:cs="黑体"/>
          <w:b/>
          <w:bCs/>
          <w:sz w:val="30"/>
          <w:szCs w:val="30"/>
        </w:rPr>
        <w:t>十五、经费概算</w:t>
      </w:r>
    </w:p>
    <w:tbl>
      <w:tblPr>
        <w:tblStyle w:val="14"/>
        <w:tblW w:w="81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20"/>
        <w:gridCol w:w="1275"/>
        <w:gridCol w:w="3686"/>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0" w:hRule="atLeast"/>
          <w:jc w:val="center"/>
        </w:trPr>
        <w:tc>
          <w:tcPr>
            <w:tcW w:w="766" w:type="dxa"/>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序号</w:t>
            </w:r>
          </w:p>
        </w:tc>
        <w:tc>
          <w:tcPr>
            <w:tcW w:w="1320" w:type="dxa"/>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项目阶段</w:t>
            </w:r>
          </w:p>
        </w:tc>
        <w:tc>
          <w:tcPr>
            <w:tcW w:w="4961" w:type="dxa"/>
            <w:gridSpan w:val="2"/>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资金用途</w:t>
            </w:r>
          </w:p>
        </w:tc>
        <w:tc>
          <w:tcPr>
            <w:tcW w:w="1090" w:type="dxa"/>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费用</w:t>
            </w:r>
          </w:p>
          <w:p>
            <w:pPr>
              <w:jc w:val="center"/>
              <w:rPr>
                <w:rFonts w:ascii="宋体" w:hAnsi="宋体"/>
                <w:b/>
                <w:color w:val="000000" w:themeColor="text1"/>
                <w:sz w:val="24"/>
                <w:szCs w:val="24"/>
              </w:rPr>
            </w:pPr>
            <w:r>
              <w:rPr>
                <w:rFonts w:hint="eastAsia" w:ascii="宋体" w:hAnsi="宋体"/>
                <w:b/>
                <w:color w:val="000000" w:themeColor="text1"/>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76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1</w:t>
            </w:r>
          </w:p>
        </w:tc>
        <w:tc>
          <w:tcPr>
            <w:tcW w:w="132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方案论证</w:t>
            </w:r>
          </w:p>
        </w:tc>
        <w:tc>
          <w:tcPr>
            <w:tcW w:w="4961"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专家论证会议</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766"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w:t>
            </w:r>
          </w:p>
          <w:p>
            <w:pPr>
              <w:jc w:val="center"/>
              <w:rPr>
                <w:rFonts w:ascii="宋体" w:hAnsi="宋体"/>
                <w:color w:val="000000" w:themeColor="text1"/>
                <w:sz w:val="24"/>
                <w:szCs w:val="24"/>
              </w:rPr>
            </w:pPr>
          </w:p>
        </w:tc>
        <w:tc>
          <w:tcPr>
            <w:tcW w:w="1320"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赛前准备</w:t>
            </w:r>
          </w:p>
        </w:tc>
        <w:tc>
          <w:tcPr>
            <w:tcW w:w="4961"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模拟题开发，培训内容整理</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免费技术培训</w:t>
            </w: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面授约2场</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网络约2场</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766"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3</w:t>
            </w:r>
          </w:p>
        </w:tc>
        <w:tc>
          <w:tcPr>
            <w:tcW w:w="1320"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比赛现场</w:t>
            </w:r>
          </w:p>
        </w:tc>
        <w:tc>
          <w:tcPr>
            <w:tcW w:w="1275"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场内活动</w:t>
            </w: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比赛用设备（合作企业免费提供）</w:t>
            </w:r>
          </w:p>
        </w:tc>
        <w:tc>
          <w:tcPr>
            <w:tcW w:w="1090" w:type="dxa"/>
            <w:vAlign w:val="center"/>
          </w:tcPr>
          <w:p>
            <w:pPr>
              <w:jc w:val="center"/>
              <w:rPr>
                <w:rFonts w:ascii="宋体" w:hAnsi="宋体"/>
                <w:color w:val="000000" w:themeColor="text1"/>
                <w:sz w:val="24"/>
                <w:szCs w:val="24"/>
              </w:rPr>
            </w:pPr>
            <w:r>
              <w:rPr>
                <w:rFonts w:ascii="宋体" w:hAnsi="宋体"/>
                <w:color w:val="000000" w:themeColor="text1"/>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设备运输、安装调试</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出题、监考、</w:t>
            </w:r>
            <w:r>
              <w:rPr>
                <w:rFonts w:ascii="宋体" w:hAnsi="宋体"/>
                <w:color w:val="000000" w:themeColor="text1"/>
                <w:sz w:val="24"/>
                <w:szCs w:val="24"/>
              </w:rPr>
              <w:t>工作人员</w:t>
            </w:r>
            <w:r>
              <w:rPr>
                <w:rFonts w:hint="eastAsia" w:ascii="宋体" w:hAnsi="宋体"/>
                <w:color w:val="000000" w:themeColor="text1"/>
                <w:sz w:val="24"/>
                <w:szCs w:val="24"/>
              </w:rPr>
              <w:t>、裁判和</w:t>
            </w:r>
            <w:r>
              <w:rPr>
                <w:rFonts w:ascii="宋体" w:hAnsi="宋体"/>
                <w:color w:val="000000" w:themeColor="text1"/>
                <w:sz w:val="24"/>
                <w:szCs w:val="24"/>
              </w:rPr>
              <w:t>专家</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布展</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场外活动</w:t>
            </w: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技术展示体验</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场地租金</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atLeast"/>
          <w:jc w:val="center"/>
        </w:trPr>
        <w:tc>
          <w:tcPr>
            <w:tcW w:w="766" w:type="dxa"/>
            <w:vMerge w:val="continue"/>
            <w:vAlign w:val="center"/>
          </w:tcPr>
          <w:p>
            <w:pPr>
              <w:jc w:val="center"/>
              <w:rPr>
                <w:rFonts w:ascii="宋体" w:hAnsi="宋体"/>
                <w:color w:val="000000" w:themeColor="text1"/>
                <w:sz w:val="24"/>
                <w:szCs w:val="24"/>
              </w:rPr>
            </w:pPr>
          </w:p>
        </w:tc>
        <w:tc>
          <w:tcPr>
            <w:tcW w:w="1320" w:type="dxa"/>
            <w:vMerge w:val="continue"/>
            <w:vAlign w:val="center"/>
          </w:tcPr>
          <w:p>
            <w:pPr>
              <w:jc w:val="center"/>
              <w:rPr>
                <w:rFonts w:ascii="宋体" w:hAnsi="宋体"/>
                <w:color w:val="000000" w:themeColor="text1"/>
                <w:sz w:val="24"/>
                <w:szCs w:val="24"/>
              </w:rPr>
            </w:pPr>
          </w:p>
        </w:tc>
        <w:tc>
          <w:tcPr>
            <w:tcW w:w="1275" w:type="dxa"/>
            <w:vMerge w:val="continue"/>
            <w:vAlign w:val="center"/>
          </w:tcPr>
          <w:p>
            <w:pPr>
              <w:jc w:val="center"/>
              <w:rPr>
                <w:rFonts w:ascii="宋体" w:hAnsi="宋体"/>
                <w:color w:val="000000" w:themeColor="text1"/>
                <w:sz w:val="24"/>
                <w:szCs w:val="24"/>
              </w:rPr>
            </w:pPr>
          </w:p>
        </w:tc>
        <w:tc>
          <w:tcPr>
            <w:tcW w:w="368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媒体宣传报道</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4</w:t>
            </w:r>
          </w:p>
        </w:tc>
        <w:tc>
          <w:tcPr>
            <w:tcW w:w="132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比赛总结</w:t>
            </w:r>
          </w:p>
        </w:tc>
        <w:tc>
          <w:tcPr>
            <w:tcW w:w="4961"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总结研讨会</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47" w:type="dxa"/>
            <w:gridSpan w:val="4"/>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小计</w:t>
            </w:r>
            <w:r>
              <w:rPr>
                <w:rFonts w:ascii="宋体" w:hAnsi="宋体"/>
                <w:color w:val="000000" w:themeColor="text1"/>
                <w:sz w:val="24"/>
                <w:szCs w:val="24"/>
              </w:rPr>
              <w:t>(</w:t>
            </w:r>
            <w:r>
              <w:rPr>
                <w:rFonts w:hint="eastAsia" w:ascii="宋体" w:hAnsi="宋体"/>
                <w:color w:val="000000" w:themeColor="text1"/>
                <w:sz w:val="24"/>
                <w:szCs w:val="24"/>
              </w:rPr>
              <w:t>单位：万元)</w:t>
            </w:r>
          </w:p>
        </w:tc>
        <w:tc>
          <w:tcPr>
            <w:tcW w:w="1090"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42</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组织机构与职能分工》《全国职业院校技能大赛赛项设备与设施管理办法》《全国职业院校技能大赛赛项监督与仲裁管理办法》等，明确主要组织单位、协办单位的任务分工和各单位工作职责，制定操作性强的赛项竞赛组织与管理方案。</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（一）赛项机构设置及职责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1.赛项执行委员会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3.赛项承办院校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（二）比赛保障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1.建立完善的赛项保障组织管理机制，做到各竞赛单元均有专人负责指挥和协调，确保大赛有序进行。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2.设置生活保障组，为竞赛选手与裁判提供相应的生活服务和后勤保障。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4.设置医疗保障服务站，提供可能发生的急救、伤口处理等应急服务。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5.设置外围安保组，对赛场核心区域的外围进行警戒与引导服务。</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（三）赛场建设与监督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1.制定详细的赛场建设方案和建设进度表，并遵照执行。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2.赛项专家组根据已制定的建设方案和进度进行检查，确保在比赛前建设完成。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3.在正式比赛前一周，赛项专家组会同承办方对赛场建设结果进行验收与查漏。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4.赛场设备、设施、环境应进行赛前测试和试运行，确保赛项设备设施完好完善。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5.赛场验收：正式比赛前，专家组会同承办方应根据建设方案对赛场进行验收。并在验收报告上签字确认。经验收后的赛场应禁止无关人员出入。</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（四）申诉与仲裁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1.各参赛队对不符合大赛和赛项规程规定的仪器、设备、工装、材料、物件、计算机软硬件、竞赛使用工具、用品，竞赛执裁、赛场管理、竞赛成绩，以及工作人员的不规范行为等，可向赛项仲裁组提出申诉。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2.申诉主体为参赛队领队。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3.申诉启动时，参赛队以该队领队亲笔签字同意的书面报告的形式递交赛项仲裁组。报告应对申诉事件的现象、发生时间、涉及人员、申诉依据等进行充分、实事求是的叙述。非书面申诉不予受理。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4.提出申诉应在赛项比赛结束后不超过2小时内提出。超过时效不予受理。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7.申诉方可随时提出放弃申诉。</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通过连续</w:t>
      </w:r>
      <w:r>
        <w:rPr>
          <w:rFonts w:ascii="Arial Narrow" w:hAnsi="Arial Narrow" w:eastAsia="仿宋_GB2312" w:cs="Arial"/>
          <w:sz w:val="30"/>
          <w:szCs w:val="30"/>
        </w:rPr>
        <w:t>6</w:t>
      </w:r>
      <w:r>
        <w:rPr>
          <w:rFonts w:hint="eastAsia" w:ascii="Arial Narrow" w:hAnsi="Arial Narrow" w:eastAsia="仿宋_GB2312" w:cs="Arial"/>
          <w:sz w:val="30"/>
          <w:szCs w:val="30"/>
        </w:rPr>
        <w:t>年举办全国职业院校技能大赛移动互联网应用软件开发赛项，开发和积累了丰富的教学资源成果，设计课程教学规范1套，出版4门教材、7门课件、7门教案、微课211节、综合实训项目2个，具体包括：</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b/>
                <w:sz w:val="24"/>
                <w:szCs w:val="24"/>
              </w:rPr>
            </w:pPr>
            <w:r>
              <w:rPr>
                <w:rFonts w:hint="eastAsia" w:ascii="宋体" w:hAnsi="宋体" w:cs="Arial"/>
                <w:b/>
                <w:sz w:val="24"/>
                <w:szCs w:val="24"/>
              </w:rPr>
              <w:t>资源名称</w:t>
            </w:r>
          </w:p>
        </w:tc>
        <w:tc>
          <w:tcPr>
            <w:tcW w:w="4261" w:type="dxa"/>
          </w:tcPr>
          <w:p>
            <w:pPr>
              <w:snapToGrid w:val="0"/>
              <w:outlineLvl w:val="0"/>
              <w:rPr>
                <w:rFonts w:ascii="宋体" w:hAnsi="宋体" w:cs="Arial"/>
                <w:b/>
                <w:sz w:val="24"/>
                <w:szCs w:val="24"/>
              </w:rPr>
            </w:pPr>
            <w:r>
              <w:rPr>
                <w:rFonts w:hint="eastAsia" w:ascii="宋体" w:hAnsi="宋体" w:cs="Arial"/>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移动应用开发专业教学规范</w:t>
            </w:r>
          </w:p>
        </w:tc>
        <w:tc>
          <w:tcPr>
            <w:tcW w:w="4261" w:type="dxa"/>
          </w:tcPr>
          <w:p>
            <w:pPr>
              <w:snapToGrid w:val="0"/>
              <w:outlineLvl w:val="0"/>
              <w:rPr>
                <w:rFonts w:ascii="宋体" w:hAnsi="宋体" w:cs="Arial"/>
                <w:sz w:val="24"/>
                <w:szCs w:val="24"/>
              </w:rPr>
            </w:pPr>
            <w:r>
              <w:rPr>
                <w:rFonts w:hint="eastAsia" w:ascii="宋体" w:hAnsi="宋体" w:cs="Arial"/>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Android移动应用开发（基础）</w:t>
            </w:r>
          </w:p>
        </w:tc>
        <w:tc>
          <w:tcPr>
            <w:tcW w:w="4261" w:type="dxa"/>
          </w:tcPr>
          <w:p>
            <w:pPr>
              <w:snapToGrid w:val="0"/>
              <w:outlineLvl w:val="0"/>
              <w:rPr>
                <w:rFonts w:ascii="宋体" w:hAnsi="宋体" w:cs="Arial"/>
                <w:sz w:val="24"/>
                <w:szCs w:val="24"/>
              </w:rPr>
            </w:pPr>
            <w:r>
              <w:rPr>
                <w:rFonts w:hint="eastAsia" w:ascii="宋体" w:hAnsi="宋体" w:cs="Arial"/>
                <w:sz w:val="24"/>
                <w:szCs w:val="24"/>
              </w:rPr>
              <w:t>教材：1部</w:t>
            </w:r>
          </w:p>
          <w:p>
            <w:pPr>
              <w:snapToGrid w:val="0"/>
              <w:outlineLvl w:val="0"/>
              <w:rPr>
                <w:rFonts w:ascii="宋体" w:hAnsi="宋体" w:cs="Arial"/>
                <w:sz w:val="24"/>
                <w:szCs w:val="24"/>
              </w:rPr>
            </w:pPr>
            <w:r>
              <w:rPr>
                <w:rFonts w:hint="eastAsia" w:ascii="宋体" w:hAnsi="宋体" w:cs="Arial"/>
                <w:sz w:val="24"/>
                <w:szCs w:val="24"/>
              </w:rPr>
              <w:t>微课：21节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Android移动应用开发（高级）</w:t>
            </w:r>
          </w:p>
        </w:tc>
        <w:tc>
          <w:tcPr>
            <w:tcW w:w="4261" w:type="dxa"/>
          </w:tcPr>
          <w:p>
            <w:pPr>
              <w:snapToGrid w:val="0"/>
              <w:outlineLvl w:val="0"/>
              <w:rPr>
                <w:rFonts w:ascii="宋体" w:hAnsi="宋体" w:cs="Arial"/>
                <w:sz w:val="24"/>
                <w:szCs w:val="24"/>
              </w:rPr>
            </w:pPr>
            <w:r>
              <w:rPr>
                <w:rFonts w:hint="eastAsia" w:ascii="宋体" w:hAnsi="宋体" w:cs="Arial"/>
                <w:sz w:val="24"/>
                <w:szCs w:val="24"/>
              </w:rPr>
              <w:t>微课：25节</w:t>
            </w:r>
          </w:p>
          <w:p>
            <w:pPr>
              <w:snapToGrid w:val="0"/>
              <w:outlineLvl w:val="0"/>
              <w:rPr>
                <w:rFonts w:ascii="宋体" w:hAnsi="宋体" w:cs="Arial"/>
                <w:sz w:val="24"/>
                <w:szCs w:val="24"/>
              </w:rPr>
            </w:pPr>
            <w:r>
              <w:rPr>
                <w:rFonts w:hint="eastAsia" w:ascii="宋体" w:hAnsi="宋体" w:cs="Arial"/>
                <w:sz w:val="24"/>
                <w:szCs w:val="24"/>
              </w:rPr>
              <w:t>教材：开发中</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Java语言程序设计</w:t>
            </w:r>
          </w:p>
        </w:tc>
        <w:tc>
          <w:tcPr>
            <w:tcW w:w="4261" w:type="dxa"/>
          </w:tcPr>
          <w:p>
            <w:pPr>
              <w:snapToGrid w:val="0"/>
              <w:outlineLvl w:val="0"/>
              <w:rPr>
                <w:rFonts w:ascii="宋体" w:hAnsi="宋体" w:cs="Arial"/>
                <w:sz w:val="24"/>
                <w:szCs w:val="24"/>
              </w:rPr>
            </w:pPr>
            <w:r>
              <w:rPr>
                <w:rFonts w:hint="eastAsia" w:ascii="宋体" w:hAnsi="宋体" w:cs="Arial"/>
                <w:sz w:val="24"/>
                <w:szCs w:val="24"/>
              </w:rPr>
              <w:t>教材：1部</w:t>
            </w:r>
          </w:p>
          <w:p>
            <w:pPr>
              <w:snapToGrid w:val="0"/>
              <w:outlineLvl w:val="0"/>
              <w:rPr>
                <w:rFonts w:ascii="宋体" w:hAnsi="宋体" w:cs="Arial"/>
                <w:sz w:val="24"/>
                <w:szCs w:val="24"/>
              </w:rPr>
            </w:pPr>
            <w:r>
              <w:rPr>
                <w:rFonts w:hint="eastAsia" w:ascii="宋体" w:hAnsi="宋体" w:cs="Arial"/>
                <w:sz w:val="24"/>
                <w:szCs w:val="24"/>
              </w:rPr>
              <w:t>微课：31节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面向对象系统分析与设计</w:t>
            </w:r>
          </w:p>
        </w:tc>
        <w:tc>
          <w:tcPr>
            <w:tcW w:w="4261" w:type="dxa"/>
          </w:tcPr>
          <w:p>
            <w:pPr>
              <w:snapToGrid w:val="0"/>
              <w:outlineLvl w:val="0"/>
              <w:rPr>
                <w:rFonts w:ascii="宋体" w:hAnsi="宋体" w:cs="Arial"/>
                <w:sz w:val="24"/>
                <w:szCs w:val="24"/>
              </w:rPr>
            </w:pPr>
            <w:r>
              <w:rPr>
                <w:rFonts w:hint="eastAsia" w:ascii="宋体" w:hAnsi="宋体" w:cs="Arial"/>
                <w:sz w:val="24"/>
                <w:szCs w:val="24"/>
              </w:rPr>
              <w:t>微课：23节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Java Web开发技术</w:t>
            </w:r>
          </w:p>
        </w:tc>
        <w:tc>
          <w:tcPr>
            <w:tcW w:w="4261" w:type="dxa"/>
          </w:tcPr>
          <w:p>
            <w:pPr>
              <w:snapToGrid w:val="0"/>
              <w:outlineLvl w:val="0"/>
              <w:rPr>
                <w:rFonts w:ascii="宋体" w:hAnsi="宋体" w:cs="Arial"/>
                <w:sz w:val="24"/>
                <w:szCs w:val="24"/>
              </w:rPr>
            </w:pPr>
            <w:r>
              <w:rPr>
                <w:rFonts w:hint="eastAsia" w:ascii="宋体" w:hAnsi="宋体" w:cs="Arial"/>
                <w:sz w:val="24"/>
                <w:szCs w:val="24"/>
              </w:rPr>
              <w:t>教材：1部</w:t>
            </w:r>
          </w:p>
          <w:p>
            <w:pPr>
              <w:snapToGrid w:val="0"/>
              <w:outlineLvl w:val="0"/>
              <w:rPr>
                <w:rFonts w:ascii="宋体" w:hAnsi="宋体" w:cs="Arial"/>
                <w:sz w:val="24"/>
                <w:szCs w:val="24"/>
              </w:rPr>
            </w:pPr>
            <w:r>
              <w:rPr>
                <w:rFonts w:hint="eastAsia" w:ascii="宋体" w:hAnsi="宋体" w:cs="Arial"/>
                <w:sz w:val="24"/>
                <w:szCs w:val="24"/>
              </w:rPr>
              <w:t>微课：21节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HTML5网页设计（基础）</w:t>
            </w:r>
          </w:p>
        </w:tc>
        <w:tc>
          <w:tcPr>
            <w:tcW w:w="4261" w:type="dxa"/>
          </w:tcPr>
          <w:p>
            <w:pPr>
              <w:snapToGrid w:val="0"/>
              <w:outlineLvl w:val="0"/>
              <w:rPr>
                <w:rFonts w:ascii="宋体" w:hAnsi="宋体" w:cs="Arial"/>
                <w:sz w:val="24"/>
                <w:szCs w:val="24"/>
              </w:rPr>
            </w:pPr>
            <w:r>
              <w:rPr>
                <w:rFonts w:hint="eastAsia" w:ascii="宋体" w:hAnsi="宋体" w:cs="Arial"/>
                <w:sz w:val="24"/>
                <w:szCs w:val="24"/>
              </w:rPr>
              <w:t>微课：21节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HTML5网页设计（高级）</w:t>
            </w:r>
          </w:p>
        </w:tc>
        <w:tc>
          <w:tcPr>
            <w:tcW w:w="4261" w:type="dxa"/>
          </w:tcPr>
          <w:p>
            <w:pPr>
              <w:snapToGrid w:val="0"/>
              <w:outlineLvl w:val="0"/>
              <w:rPr>
                <w:rFonts w:ascii="宋体" w:hAnsi="宋体" w:cs="Arial"/>
                <w:sz w:val="24"/>
                <w:szCs w:val="24"/>
              </w:rPr>
            </w:pPr>
            <w:r>
              <w:rPr>
                <w:rFonts w:hint="eastAsia" w:ascii="宋体" w:hAnsi="宋体" w:cs="Arial"/>
                <w:sz w:val="24"/>
                <w:szCs w:val="24"/>
              </w:rPr>
              <w:t>微课：22节</w:t>
            </w:r>
          </w:p>
          <w:p>
            <w:pPr>
              <w:snapToGrid w:val="0"/>
              <w:outlineLvl w:val="0"/>
              <w:rPr>
                <w:rFonts w:ascii="宋体" w:hAnsi="宋体" w:cs="Arial"/>
                <w:sz w:val="24"/>
                <w:szCs w:val="24"/>
              </w:rPr>
            </w:pPr>
            <w:r>
              <w:rPr>
                <w:rFonts w:hint="eastAsia" w:ascii="宋体" w:hAnsi="宋体" w:cs="Arial"/>
                <w:sz w:val="24"/>
                <w:szCs w:val="24"/>
              </w:rPr>
              <w:t>教案：1套</w:t>
            </w:r>
          </w:p>
          <w:p>
            <w:pPr>
              <w:snapToGrid w:val="0"/>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移动智能交通系统实训项目（课程级）</w:t>
            </w:r>
          </w:p>
        </w:tc>
        <w:tc>
          <w:tcPr>
            <w:tcW w:w="4261" w:type="dxa"/>
          </w:tcPr>
          <w:p>
            <w:pPr>
              <w:snapToGrid w:val="0"/>
              <w:outlineLvl w:val="0"/>
              <w:rPr>
                <w:rFonts w:ascii="宋体" w:hAnsi="宋体" w:cs="Arial"/>
                <w:sz w:val="24"/>
                <w:szCs w:val="24"/>
              </w:rPr>
            </w:pPr>
            <w:r>
              <w:rPr>
                <w:rFonts w:hint="eastAsia" w:ascii="宋体" w:hAnsi="宋体" w:cs="Arial"/>
                <w:sz w:val="24"/>
                <w:szCs w:val="24"/>
              </w:rPr>
              <w:t>微课：16个</w:t>
            </w:r>
          </w:p>
          <w:p>
            <w:pPr>
              <w:snapToGrid w:val="0"/>
              <w:outlineLvl w:val="0"/>
              <w:rPr>
                <w:rFonts w:ascii="宋体" w:hAnsi="宋体" w:cs="Arial"/>
                <w:sz w:val="24"/>
                <w:szCs w:val="24"/>
              </w:rPr>
            </w:pPr>
            <w:r>
              <w:rPr>
                <w:rFonts w:hint="eastAsia" w:ascii="宋体" w:hAnsi="宋体" w:cs="Arial"/>
                <w:sz w:val="24"/>
                <w:szCs w:val="24"/>
              </w:rPr>
              <w:t>功能模块：4个；子任务：16个；小任务：77个</w:t>
            </w:r>
          </w:p>
          <w:p>
            <w:pPr>
              <w:snapToGrid w:val="0"/>
              <w:outlineLvl w:val="0"/>
              <w:rPr>
                <w:rFonts w:ascii="宋体" w:hAnsi="宋体" w:cs="Arial"/>
                <w:sz w:val="24"/>
                <w:szCs w:val="24"/>
              </w:rPr>
            </w:pPr>
            <w:r>
              <w:rPr>
                <w:rFonts w:hint="eastAsia" w:ascii="宋体" w:hAnsi="宋体" w:cs="Arial"/>
                <w:sz w:val="24"/>
                <w:szCs w:val="24"/>
              </w:rPr>
              <w:t>代码量：1500行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napToGrid w:val="0"/>
              <w:outlineLvl w:val="0"/>
              <w:rPr>
                <w:rFonts w:ascii="宋体" w:hAnsi="宋体" w:cs="Arial"/>
                <w:sz w:val="24"/>
                <w:szCs w:val="24"/>
              </w:rPr>
            </w:pPr>
            <w:r>
              <w:rPr>
                <w:rFonts w:hint="eastAsia" w:ascii="宋体" w:hAnsi="宋体" w:cs="Arial"/>
                <w:sz w:val="24"/>
                <w:szCs w:val="24"/>
              </w:rPr>
              <w:t>移动智能交通系统实训项目（专业级）</w:t>
            </w:r>
          </w:p>
        </w:tc>
        <w:tc>
          <w:tcPr>
            <w:tcW w:w="4261" w:type="dxa"/>
          </w:tcPr>
          <w:p>
            <w:pPr>
              <w:snapToGrid w:val="0"/>
              <w:outlineLvl w:val="0"/>
              <w:rPr>
                <w:rFonts w:ascii="宋体" w:hAnsi="宋体" w:cs="Arial"/>
                <w:sz w:val="24"/>
                <w:szCs w:val="24"/>
              </w:rPr>
            </w:pPr>
            <w:r>
              <w:rPr>
                <w:rFonts w:hint="eastAsia" w:ascii="宋体" w:hAnsi="宋体" w:cs="Arial"/>
                <w:sz w:val="24"/>
                <w:szCs w:val="24"/>
              </w:rPr>
              <w:t>微课：30个</w:t>
            </w:r>
          </w:p>
          <w:p>
            <w:pPr>
              <w:snapToGrid w:val="0"/>
              <w:outlineLvl w:val="0"/>
              <w:rPr>
                <w:rFonts w:ascii="宋体" w:hAnsi="宋体" w:cs="Arial"/>
                <w:sz w:val="24"/>
                <w:szCs w:val="24"/>
              </w:rPr>
            </w:pPr>
            <w:r>
              <w:rPr>
                <w:rFonts w:hint="eastAsia" w:ascii="宋体" w:hAnsi="宋体" w:cs="Arial"/>
                <w:sz w:val="24"/>
                <w:szCs w:val="24"/>
              </w:rPr>
              <w:t>功能模块：8个；子任务：40个；小任务：220个</w:t>
            </w:r>
          </w:p>
          <w:p>
            <w:pPr>
              <w:snapToGrid w:val="0"/>
              <w:outlineLvl w:val="0"/>
              <w:rPr>
                <w:rFonts w:ascii="宋体" w:hAnsi="宋体" w:cs="Arial"/>
                <w:sz w:val="24"/>
                <w:szCs w:val="24"/>
              </w:rPr>
            </w:pPr>
            <w:r>
              <w:rPr>
                <w:rFonts w:hint="eastAsia" w:ascii="宋体" w:hAnsi="宋体" w:cs="Arial"/>
                <w:sz w:val="24"/>
                <w:szCs w:val="24"/>
              </w:rPr>
              <w:t>代码量：6000行</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在此基础上，201</w:t>
      </w:r>
      <w:r>
        <w:rPr>
          <w:rFonts w:ascii="Arial Narrow" w:hAnsi="Arial Narrow" w:eastAsia="仿宋_GB2312" w:cs="Arial"/>
          <w:sz w:val="30"/>
          <w:szCs w:val="30"/>
        </w:rPr>
        <w:t>9</w:t>
      </w:r>
      <w:r>
        <w:rPr>
          <w:rFonts w:hint="eastAsia" w:ascii="Arial Narrow" w:hAnsi="Arial Narrow" w:eastAsia="仿宋_GB2312" w:cs="Arial"/>
          <w:sz w:val="30"/>
          <w:szCs w:val="30"/>
        </w:rPr>
        <w:t>年全国职业院校技能大赛移动互联网应用软件开发资源转化工作主要聚焦完善升级课程资源、开展师资培养、建设移动应用开发生产实际教学案例库等工作。具体如下：</w:t>
      </w:r>
    </w:p>
    <w:tbl>
      <w:tblPr>
        <w:tblStyle w:val="15"/>
        <w:tblW w:w="8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5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snapToGrid w:val="0"/>
              <w:jc w:val="center"/>
              <w:outlineLvl w:val="0"/>
              <w:rPr>
                <w:rFonts w:ascii="宋体" w:hAnsi="宋体" w:cs="Arial"/>
                <w:b/>
                <w:sz w:val="24"/>
                <w:szCs w:val="24"/>
              </w:rPr>
            </w:pPr>
            <w:r>
              <w:rPr>
                <w:rFonts w:hint="eastAsia" w:ascii="宋体" w:hAnsi="宋体" w:cs="Arial"/>
                <w:b/>
                <w:sz w:val="24"/>
                <w:szCs w:val="24"/>
              </w:rPr>
              <w:t>项目</w:t>
            </w:r>
          </w:p>
        </w:tc>
        <w:tc>
          <w:tcPr>
            <w:tcW w:w="5776" w:type="dxa"/>
          </w:tcPr>
          <w:p>
            <w:pPr>
              <w:snapToGrid w:val="0"/>
              <w:jc w:val="center"/>
              <w:outlineLvl w:val="0"/>
              <w:rPr>
                <w:rFonts w:ascii="宋体" w:hAnsi="宋体" w:cs="Arial"/>
                <w:b/>
                <w:sz w:val="24"/>
                <w:szCs w:val="24"/>
              </w:rPr>
            </w:pPr>
            <w:r>
              <w:rPr>
                <w:rFonts w:hint="eastAsia" w:ascii="宋体" w:hAnsi="宋体" w:cs="Arial"/>
                <w:b/>
                <w:sz w:val="24"/>
                <w:szCs w:val="24"/>
              </w:rPr>
              <w:t>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snapToGrid w:val="0"/>
              <w:outlineLvl w:val="0"/>
              <w:rPr>
                <w:rFonts w:ascii="宋体" w:hAnsi="宋体" w:cs="Arial"/>
                <w:sz w:val="24"/>
                <w:szCs w:val="24"/>
              </w:rPr>
            </w:pPr>
            <w:r>
              <w:rPr>
                <w:rFonts w:hint="eastAsia" w:ascii="宋体" w:hAnsi="宋体" w:cs="Arial"/>
                <w:sz w:val="24"/>
                <w:szCs w:val="24"/>
              </w:rPr>
              <w:t>完善优化课程资源</w:t>
            </w:r>
          </w:p>
        </w:tc>
        <w:tc>
          <w:tcPr>
            <w:tcW w:w="5776" w:type="dxa"/>
          </w:tcPr>
          <w:p>
            <w:pPr>
              <w:snapToGrid w:val="0"/>
              <w:outlineLvl w:val="0"/>
              <w:rPr>
                <w:rFonts w:ascii="宋体" w:hAnsi="宋体" w:cs="Arial"/>
                <w:sz w:val="24"/>
                <w:szCs w:val="24"/>
              </w:rPr>
            </w:pPr>
            <w:r>
              <w:rPr>
                <w:rFonts w:hint="eastAsia" w:ascii="宋体" w:hAnsi="宋体" w:cs="Arial"/>
                <w:sz w:val="24"/>
                <w:szCs w:val="24"/>
              </w:rPr>
              <w:t>建设Android移动应用开发（高级）、面向对象系统分析与设计、HTML5网页设计的教材资源；</w:t>
            </w:r>
          </w:p>
          <w:p>
            <w:pPr>
              <w:snapToGrid w:val="0"/>
              <w:outlineLvl w:val="0"/>
              <w:rPr>
                <w:rFonts w:ascii="宋体" w:hAnsi="宋体" w:cs="Arial"/>
                <w:sz w:val="24"/>
                <w:szCs w:val="24"/>
              </w:rPr>
            </w:pPr>
            <w:r>
              <w:rPr>
                <w:rFonts w:hint="eastAsia" w:ascii="宋体" w:hAnsi="宋体" w:cs="Arial"/>
                <w:sz w:val="24"/>
                <w:szCs w:val="24"/>
              </w:rPr>
              <w:t>根据技术发展及教学需求，优化现有的微课等资源；</w:t>
            </w:r>
          </w:p>
          <w:p>
            <w:pPr>
              <w:snapToGrid w:val="0"/>
              <w:outlineLvl w:val="0"/>
              <w:rPr>
                <w:rFonts w:ascii="宋体" w:hAnsi="宋体" w:cs="Arial"/>
                <w:sz w:val="24"/>
                <w:szCs w:val="24"/>
              </w:rPr>
            </w:pPr>
            <w:r>
              <w:rPr>
                <w:rFonts w:hint="eastAsia" w:ascii="宋体" w:hAnsi="宋体" w:cs="Arial"/>
                <w:sz w:val="24"/>
                <w:szCs w:val="24"/>
              </w:rPr>
              <w:t>建设C语言程序设计、数据结构、软件工程等专业基础、核心课程资源。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snapToGrid w:val="0"/>
              <w:outlineLvl w:val="0"/>
              <w:rPr>
                <w:rFonts w:ascii="宋体" w:hAnsi="宋体" w:cs="Arial"/>
                <w:sz w:val="24"/>
                <w:szCs w:val="24"/>
              </w:rPr>
            </w:pPr>
            <w:r>
              <w:rPr>
                <w:rFonts w:hint="eastAsia" w:ascii="宋体" w:hAnsi="宋体" w:cs="Arial"/>
                <w:sz w:val="24"/>
                <w:szCs w:val="24"/>
              </w:rPr>
              <w:t>师资培养</w:t>
            </w:r>
          </w:p>
        </w:tc>
        <w:tc>
          <w:tcPr>
            <w:tcW w:w="5776" w:type="dxa"/>
          </w:tcPr>
          <w:p>
            <w:pPr>
              <w:snapToGrid w:val="0"/>
              <w:outlineLvl w:val="0"/>
              <w:rPr>
                <w:rFonts w:ascii="宋体" w:hAnsi="宋体" w:cs="Arial"/>
                <w:sz w:val="24"/>
                <w:szCs w:val="24"/>
              </w:rPr>
            </w:pPr>
            <w:r>
              <w:rPr>
                <w:rFonts w:hint="eastAsia" w:ascii="宋体" w:hAnsi="宋体" w:cs="Arial"/>
                <w:sz w:val="24"/>
                <w:szCs w:val="24"/>
              </w:rPr>
              <w:t>组织开展5—8场免费师资培训工作（培训周期4—5天），通过专业与课程开发、教学方法和项目实战等模块的培训，计划培训200—300名种子教师。</w:t>
            </w:r>
          </w:p>
          <w:p>
            <w:pPr>
              <w:snapToGrid w:val="0"/>
              <w:outlineLvl w:val="0"/>
              <w:rPr>
                <w:rFonts w:ascii="宋体" w:hAnsi="宋体" w:cs="Arial"/>
                <w:sz w:val="24"/>
                <w:szCs w:val="24"/>
              </w:rPr>
            </w:pPr>
            <w:r>
              <w:rPr>
                <w:rFonts w:hint="eastAsia" w:ascii="宋体" w:hAnsi="宋体" w:cs="Arial"/>
                <w:sz w:val="24"/>
                <w:szCs w:val="24"/>
              </w:rPr>
              <w:t>组织开展3—5场免费的视频直播课程，通过移动智能交通系统项目讲解，计划覆盖300—500名教师具备将大赛项目转化为教学内容的能力。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snapToGrid w:val="0"/>
              <w:outlineLvl w:val="0"/>
              <w:rPr>
                <w:rFonts w:ascii="宋体" w:hAnsi="宋体" w:cs="Arial"/>
                <w:sz w:val="24"/>
                <w:szCs w:val="24"/>
              </w:rPr>
            </w:pPr>
            <w:r>
              <w:rPr>
                <w:rFonts w:hint="eastAsia" w:ascii="宋体" w:hAnsi="宋体" w:cs="Arial"/>
                <w:sz w:val="24"/>
                <w:szCs w:val="24"/>
              </w:rPr>
              <w:t>移动应用开发生产实际教学案例库建设</w:t>
            </w:r>
          </w:p>
        </w:tc>
        <w:tc>
          <w:tcPr>
            <w:tcW w:w="5776" w:type="dxa"/>
          </w:tcPr>
          <w:p>
            <w:pPr>
              <w:snapToGrid w:val="0"/>
              <w:outlineLvl w:val="0"/>
              <w:rPr>
                <w:rFonts w:ascii="宋体" w:hAnsi="宋体" w:cs="Arial"/>
                <w:sz w:val="24"/>
                <w:szCs w:val="24"/>
              </w:rPr>
            </w:pPr>
            <w:r>
              <w:rPr>
                <w:rFonts w:hint="eastAsia" w:ascii="宋体" w:hAnsi="宋体" w:cs="Arial"/>
                <w:sz w:val="24"/>
                <w:szCs w:val="24"/>
              </w:rPr>
              <w:t>计划建设覆盖移动应用开发、软件技术等相关专业，覆盖课程级、课程群级、专业级的一体化的生产实际教学案例库，案例库项目数量达到30个。</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4"/>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7"/>
        <w:gridCol w:w="1381"/>
        <w:gridCol w:w="1313"/>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851" w:type="dxa"/>
            <w:vMerge w:val="restart"/>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序号</w:t>
            </w:r>
          </w:p>
        </w:tc>
        <w:tc>
          <w:tcPr>
            <w:tcW w:w="1417" w:type="dxa"/>
            <w:vMerge w:val="restart"/>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项目阶段</w:t>
            </w:r>
          </w:p>
        </w:tc>
        <w:tc>
          <w:tcPr>
            <w:tcW w:w="2694" w:type="dxa"/>
            <w:gridSpan w:val="2"/>
            <w:vMerge w:val="restart"/>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活动名称</w:t>
            </w:r>
          </w:p>
        </w:tc>
        <w:tc>
          <w:tcPr>
            <w:tcW w:w="3402" w:type="dxa"/>
            <w:vMerge w:val="restart"/>
            <w:vAlign w:val="center"/>
          </w:tcPr>
          <w:p>
            <w:pPr>
              <w:jc w:val="center"/>
              <w:rPr>
                <w:rFonts w:ascii="宋体" w:hAnsi="宋体"/>
                <w:b/>
                <w:color w:val="000000" w:themeColor="text1"/>
                <w:sz w:val="24"/>
                <w:szCs w:val="24"/>
              </w:rPr>
            </w:pPr>
            <w:r>
              <w:rPr>
                <w:rFonts w:hint="eastAsia" w:ascii="宋体" w:hAnsi="宋体"/>
                <w:b/>
                <w:color w:val="000000" w:themeColor="text1"/>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2694" w:type="dxa"/>
            <w:gridSpan w:val="2"/>
            <w:vMerge w:val="continue"/>
            <w:vAlign w:val="center"/>
          </w:tcPr>
          <w:p>
            <w:pPr>
              <w:jc w:val="center"/>
              <w:rPr>
                <w:rFonts w:ascii="宋体" w:hAnsi="宋体"/>
                <w:color w:val="000000" w:themeColor="text1"/>
                <w:sz w:val="24"/>
                <w:szCs w:val="24"/>
              </w:rPr>
            </w:pPr>
          </w:p>
        </w:tc>
        <w:tc>
          <w:tcPr>
            <w:tcW w:w="3402" w:type="dxa"/>
            <w:vMerge w:val="continue"/>
            <w:vAlign w:val="center"/>
          </w:tcPr>
          <w:p>
            <w:pPr>
              <w:jc w:val="center"/>
              <w:rPr>
                <w:rFonts w:ascii="宋体" w:hAnsi="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1</w:t>
            </w:r>
          </w:p>
        </w:tc>
        <w:tc>
          <w:tcPr>
            <w:tcW w:w="1417"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方案论证</w:t>
            </w:r>
          </w:p>
        </w:tc>
        <w:tc>
          <w:tcPr>
            <w:tcW w:w="2694"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专家研讨会议</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8</w:t>
            </w:r>
            <w:r>
              <w:rPr>
                <w:rFonts w:hint="eastAsia" w:ascii="宋体" w:hAnsi="宋体"/>
                <w:color w:val="000000" w:themeColor="text1"/>
                <w:sz w:val="24"/>
                <w:szCs w:val="24"/>
              </w:rPr>
              <w:t>年12月到201</w:t>
            </w:r>
            <w:r>
              <w:rPr>
                <w:rFonts w:ascii="宋体" w:hAnsi="宋体"/>
                <w:color w:val="000000" w:themeColor="text1"/>
                <w:sz w:val="24"/>
                <w:szCs w:val="24"/>
              </w:rPr>
              <w:t>9</w:t>
            </w:r>
            <w:r>
              <w:rPr>
                <w:rFonts w:hint="eastAsia" w:ascii="宋体" w:hAnsi="宋体"/>
                <w:color w:val="000000" w:themeColor="text1"/>
                <w:sz w:val="24"/>
                <w:szCs w:val="24"/>
              </w:rPr>
              <w:t>年3月（每月组织一次，包括见面会议或者网络会议）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851"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w:t>
            </w:r>
          </w:p>
        </w:tc>
        <w:tc>
          <w:tcPr>
            <w:tcW w:w="1417"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赛前准备</w:t>
            </w:r>
          </w:p>
        </w:tc>
        <w:tc>
          <w:tcPr>
            <w:tcW w:w="2694"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模拟题开发</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年3月初完成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2694" w:type="dxa"/>
            <w:gridSpan w:val="2"/>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赛项培训内容整理</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年3月初完成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1381"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免费技术培训</w:t>
            </w: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面授培训</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年3月到5月中旬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1381" w:type="dxa"/>
            <w:vMerge w:val="continue"/>
            <w:vAlign w:val="center"/>
          </w:tcPr>
          <w:p>
            <w:pPr>
              <w:jc w:val="center"/>
              <w:rPr>
                <w:rFonts w:ascii="宋体" w:hAnsi="宋体"/>
                <w:color w:val="000000" w:themeColor="text1"/>
                <w:sz w:val="24"/>
                <w:szCs w:val="24"/>
              </w:rPr>
            </w:pP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网络培训</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年3月到5月间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851"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3</w:t>
            </w:r>
          </w:p>
        </w:tc>
        <w:tc>
          <w:tcPr>
            <w:tcW w:w="1417"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比赛现场</w:t>
            </w:r>
          </w:p>
        </w:tc>
        <w:tc>
          <w:tcPr>
            <w:tcW w:w="1381"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场内活动</w:t>
            </w: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比赛用设备</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年4月底所有设备准备完毕。5月下旬，比赛前5天安装就位。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1381" w:type="dxa"/>
            <w:vMerge w:val="continue"/>
            <w:vAlign w:val="center"/>
          </w:tcPr>
          <w:p>
            <w:pPr>
              <w:jc w:val="center"/>
              <w:rPr>
                <w:rFonts w:ascii="宋体" w:hAnsi="宋体"/>
                <w:color w:val="000000" w:themeColor="text1"/>
                <w:sz w:val="24"/>
                <w:szCs w:val="24"/>
              </w:rPr>
            </w:pP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设备安装调测</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年5月中所有设备第一次调测完毕。5月底，第二次调测完毕。开赛前2天，安装到现场后第三次调测完毕。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1381" w:type="dxa"/>
            <w:vMerge w:val="continue"/>
            <w:vAlign w:val="center"/>
          </w:tcPr>
          <w:p>
            <w:pPr>
              <w:jc w:val="center"/>
              <w:rPr>
                <w:rFonts w:ascii="宋体" w:hAnsi="宋体"/>
                <w:color w:val="000000" w:themeColor="text1"/>
                <w:sz w:val="24"/>
                <w:szCs w:val="24"/>
              </w:rPr>
            </w:pP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出题，监考，裁判</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年5月中旬裁判、监考、出题人员就位，并培训完毕。5月底大赛前5天，封闭出题。大赛期间监考</w:t>
            </w:r>
            <w:r>
              <w:rPr>
                <w:rFonts w:hint="eastAsia" w:ascii="宋体" w:hAnsi="宋体"/>
                <w:sz w:val="24"/>
                <w:szCs w:val="24"/>
              </w:rPr>
              <w:t>和判题</w:t>
            </w:r>
            <w:r>
              <w:rPr>
                <w:rFonts w:hint="eastAsia" w:ascii="宋体" w:hAnsi="宋体"/>
                <w:color w:val="000000" w:themeColor="text1"/>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851" w:type="dxa"/>
            <w:vMerge w:val="continue"/>
            <w:vAlign w:val="center"/>
          </w:tcPr>
          <w:p>
            <w:pPr>
              <w:jc w:val="center"/>
              <w:rPr>
                <w:rFonts w:ascii="宋体" w:hAnsi="宋体"/>
                <w:color w:val="000000" w:themeColor="text1"/>
                <w:sz w:val="24"/>
                <w:szCs w:val="24"/>
              </w:rPr>
            </w:pPr>
          </w:p>
        </w:tc>
        <w:tc>
          <w:tcPr>
            <w:tcW w:w="1417" w:type="dxa"/>
            <w:vMerge w:val="continue"/>
            <w:vAlign w:val="center"/>
          </w:tcPr>
          <w:p>
            <w:pPr>
              <w:jc w:val="center"/>
              <w:rPr>
                <w:rFonts w:ascii="宋体" w:hAnsi="宋体"/>
                <w:color w:val="000000" w:themeColor="text1"/>
                <w:sz w:val="24"/>
                <w:szCs w:val="24"/>
              </w:rPr>
            </w:pPr>
          </w:p>
        </w:tc>
        <w:tc>
          <w:tcPr>
            <w:tcW w:w="1381" w:type="dxa"/>
            <w:vMerge w:val="restart"/>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场外活动</w:t>
            </w: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IT新技术展示和体验活动</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年4月，展示方案确定。201</w:t>
            </w:r>
            <w:r>
              <w:rPr>
                <w:rFonts w:ascii="宋体" w:hAnsi="宋体"/>
                <w:color w:val="000000" w:themeColor="text1"/>
                <w:sz w:val="24"/>
                <w:szCs w:val="24"/>
              </w:rPr>
              <w:t>9</w:t>
            </w:r>
            <w:r>
              <w:rPr>
                <w:rFonts w:hint="eastAsia" w:ascii="宋体" w:hAnsi="宋体"/>
                <w:color w:val="000000" w:themeColor="text1"/>
                <w:sz w:val="24"/>
                <w:szCs w:val="24"/>
              </w:rPr>
              <w:t>年5月底，大赛现场。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851" w:type="dxa"/>
            <w:vMerge w:val="continue"/>
            <w:vAlign w:val="center"/>
          </w:tcPr>
          <w:p>
            <w:pPr>
              <w:jc w:val="center"/>
              <w:rPr>
                <w:rFonts w:ascii="宋体" w:hAnsi="宋体"/>
                <w:bCs/>
                <w:color w:val="000000" w:themeColor="text1"/>
                <w:sz w:val="24"/>
                <w:szCs w:val="24"/>
              </w:rPr>
            </w:pPr>
          </w:p>
        </w:tc>
        <w:tc>
          <w:tcPr>
            <w:tcW w:w="1417" w:type="dxa"/>
            <w:vMerge w:val="continue"/>
            <w:vAlign w:val="center"/>
          </w:tcPr>
          <w:p>
            <w:pPr>
              <w:jc w:val="center"/>
              <w:rPr>
                <w:rFonts w:ascii="宋体" w:hAnsi="宋体"/>
                <w:bCs/>
                <w:color w:val="000000" w:themeColor="text1"/>
                <w:sz w:val="24"/>
                <w:szCs w:val="24"/>
              </w:rPr>
            </w:pPr>
          </w:p>
        </w:tc>
        <w:tc>
          <w:tcPr>
            <w:tcW w:w="1381" w:type="dxa"/>
            <w:vMerge w:val="continue"/>
            <w:vAlign w:val="center"/>
          </w:tcPr>
          <w:p>
            <w:pPr>
              <w:jc w:val="center"/>
              <w:rPr>
                <w:rFonts w:ascii="宋体" w:hAnsi="宋体"/>
                <w:bCs/>
                <w:color w:val="000000" w:themeColor="text1"/>
                <w:sz w:val="24"/>
                <w:szCs w:val="24"/>
              </w:rPr>
            </w:pP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教师和学生活动</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年5月中方案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851" w:type="dxa"/>
            <w:vMerge w:val="continue"/>
            <w:vAlign w:val="center"/>
          </w:tcPr>
          <w:p>
            <w:pPr>
              <w:jc w:val="center"/>
              <w:rPr>
                <w:rFonts w:ascii="宋体" w:hAnsi="宋体"/>
                <w:bCs/>
                <w:color w:val="000000" w:themeColor="text1"/>
                <w:sz w:val="24"/>
                <w:szCs w:val="24"/>
              </w:rPr>
            </w:pPr>
          </w:p>
        </w:tc>
        <w:tc>
          <w:tcPr>
            <w:tcW w:w="1417" w:type="dxa"/>
            <w:vMerge w:val="continue"/>
            <w:vAlign w:val="center"/>
          </w:tcPr>
          <w:p>
            <w:pPr>
              <w:jc w:val="center"/>
              <w:rPr>
                <w:rFonts w:ascii="宋体" w:hAnsi="宋体"/>
                <w:bCs/>
                <w:color w:val="000000" w:themeColor="text1"/>
                <w:sz w:val="24"/>
                <w:szCs w:val="24"/>
              </w:rPr>
            </w:pPr>
          </w:p>
        </w:tc>
        <w:tc>
          <w:tcPr>
            <w:tcW w:w="1381" w:type="dxa"/>
            <w:vMerge w:val="continue"/>
            <w:vAlign w:val="center"/>
          </w:tcPr>
          <w:p>
            <w:pPr>
              <w:jc w:val="center"/>
              <w:rPr>
                <w:rFonts w:ascii="宋体" w:hAnsi="宋体"/>
                <w:bCs/>
                <w:color w:val="000000" w:themeColor="text1"/>
                <w:sz w:val="24"/>
                <w:szCs w:val="24"/>
              </w:rPr>
            </w:pPr>
          </w:p>
        </w:tc>
        <w:tc>
          <w:tcPr>
            <w:tcW w:w="1313"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媒体宣传报道</w:t>
            </w:r>
          </w:p>
        </w:tc>
        <w:tc>
          <w:tcPr>
            <w:tcW w:w="3402" w:type="dxa"/>
            <w:vAlign w:val="center"/>
          </w:tcPr>
          <w:p>
            <w:pPr>
              <w:jc w:val="center"/>
              <w:rPr>
                <w:rFonts w:ascii="宋体" w:hAnsi="宋体"/>
                <w:color w:val="000000" w:themeColor="text1"/>
                <w:sz w:val="24"/>
                <w:szCs w:val="24"/>
              </w:rPr>
            </w:pPr>
            <w:r>
              <w:rPr>
                <w:rFonts w:hint="eastAsia" w:ascii="宋体" w:hAnsi="宋体"/>
                <w:color w:val="000000" w:themeColor="text1"/>
                <w:sz w:val="24"/>
                <w:szCs w:val="24"/>
              </w:rPr>
              <w:t>201</w:t>
            </w:r>
            <w:r>
              <w:rPr>
                <w:rFonts w:ascii="宋体" w:hAnsi="宋体"/>
                <w:color w:val="000000" w:themeColor="text1"/>
                <w:sz w:val="24"/>
                <w:szCs w:val="24"/>
              </w:rPr>
              <w:t>9</w:t>
            </w:r>
            <w:r>
              <w:rPr>
                <w:rFonts w:hint="eastAsia" w:ascii="宋体" w:hAnsi="宋体"/>
                <w:color w:val="000000" w:themeColor="text1"/>
                <w:sz w:val="24"/>
                <w:szCs w:val="24"/>
              </w:rPr>
              <w:t>年5月底，媒体宣传策划方案准备完毕。</w:t>
            </w:r>
          </w:p>
        </w:tc>
      </w:tr>
    </w:tbl>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2" w:firstLineChars="200"/>
        <w:rPr>
          <w:rFonts w:ascii="黑体" w:hAnsi="黑体" w:eastAsia="黑体" w:cs="黑体"/>
          <w:b/>
          <w:bCs/>
          <w:sz w:val="30"/>
          <w:szCs w:val="30"/>
        </w:rPr>
      </w:pPr>
      <w:r>
        <w:rPr>
          <w:rFonts w:hint="eastAsia" w:ascii="黑体" w:hAnsi="黑体" w:eastAsia="黑体" w:cs="黑体"/>
          <w:b/>
          <w:bCs/>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p>
    <w:tbl>
      <w:tblPr>
        <w:tblStyle w:val="14"/>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w:t>
            </w:r>
          </w:p>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软件工程</w:t>
            </w:r>
          </w:p>
        </w:tc>
        <w:tc>
          <w:tcPr>
            <w:tcW w:w="1665"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具有深厚的软件工程理论以及软件工程项目经验，熟悉移动应用开发工程实践项目，具有较好的项目管理和领导能力。</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具有三届以上省赛或国赛执裁经历</w:t>
            </w:r>
          </w:p>
        </w:tc>
        <w:tc>
          <w:tcPr>
            <w:tcW w:w="2048"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正高职称</w:t>
            </w:r>
          </w:p>
        </w:tc>
        <w:tc>
          <w:tcPr>
            <w:tcW w:w="779" w:type="dxa"/>
            <w:tcBorders>
              <w:top w:val="single" w:color="auto" w:sz="4" w:space="0"/>
              <w:left w:val="single" w:color="auto" w:sz="4" w:space="0"/>
              <w:bottom w:val="single" w:color="auto" w:sz="4" w:space="0"/>
              <w:right w:val="single" w:color="auto" w:sz="8"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软件工程、计算机科学技术</w:t>
            </w:r>
          </w:p>
        </w:tc>
        <w:tc>
          <w:tcPr>
            <w:tcW w:w="1665"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具有深厚的软件工程理论以及软件工程项目经验，熟悉移动应用开发工程实践项目。</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具有一届以上省赛或国赛执裁经历</w:t>
            </w:r>
          </w:p>
        </w:tc>
        <w:tc>
          <w:tcPr>
            <w:tcW w:w="2048"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副高职称以上</w:t>
            </w:r>
          </w:p>
        </w:tc>
        <w:tc>
          <w:tcPr>
            <w:tcW w:w="779" w:type="dxa"/>
            <w:tcBorders>
              <w:top w:val="single" w:color="auto" w:sz="4" w:space="0"/>
              <w:left w:val="single" w:color="auto" w:sz="4" w:space="0"/>
              <w:bottom w:val="single" w:color="auto" w:sz="4" w:space="0"/>
              <w:right w:val="single" w:color="auto" w:sz="8"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2</w:t>
            </w:r>
            <w:r>
              <w:rPr>
                <w:rFonts w:ascii="Arial Narrow" w:hAnsi="Arial Narrow" w:eastAsia="仿宋_GB2312"/>
                <w:sz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3</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不限</w:t>
            </w:r>
          </w:p>
        </w:tc>
        <w:tc>
          <w:tcPr>
            <w:tcW w:w="1665"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不限</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具有一届以上省赛或国赛执裁经历</w:t>
            </w:r>
          </w:p>
        </w:tc>
        <w:tc>
          <w:tcPr>
            <w:tcW w:w="2048"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初级职称以上</w:t>
            </w:r>
          </w:p>
        </w:tc>
        <w:tc>
          <w:tcPr>
            <w:tcW w:w="779" w:type="dxa"/>
            <w:tcBorders>
              <w:top w:val="single" w:color="auto" w:sz="4" w:space="0"/>
              <w:left w:val="single" w:color="auto" w:sz="4" w:space="0"/>
              <w:bottom w:val="single" w:color="auto" w:sz="4" w:space="0"/>
              <w:right w:val="single" w:color="auto" w:sz="8"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仿宋" w:eastAsia="仿宋_GB2312" w:cs="Arial"/>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tcPr>
          <w:p>
            <w:pPr>
              <w:adjustRightInd w:val="0"/>
              <w:snapToGrid w:val="0"/>
              <w:jc w:val="center"/>
              <w:rPr>
                <w:rFonts w:ascii="Arial Narrow" w:hAnsi="Arial Narrow" w:eastAsia="仿宋_GB2312"/>
                <w:sz w:val="24"/>
              </w:rPr>
            </w:pPr>
            <w:r>
              <w:rPr>
                <w:rFonts w:hint="eastAsia" w:ascii="Arial Narrow" w:hAnsi="Arial Narrow" w:eastAsia="仿宋_GB2312"/>
                <w:sz w:val="24"/>
              </w:rPr>
              <w:t>2</w:t>
            </w:r>
            <w:r>
              <w:rPr>
                <w:rFonts w:ascii="Arial Narrow" w:hAnsi="Arial Narrow" w:eastAsia="仿宋_GB2312"/>
                <w:sz w:val="24"/>
              </w:rPr>
              <w:t>6</w:t>
            </w:r>
          </w:p>
        </w:tc>
      </w:tr>
    </w:tbl>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2" w:firstLineChars="200"/>
        <w:rPr>
          <w:rFonts w:ascii="Arial Narrow" w:hAnsi="Arial Narrow" w:eastAsia="仿宋_GB2312" w:cs="Arial"/>
          <w:b/>
          <w:bCs/>
          <w:sz w:val="30"/>
          <w:szCs w:val="30"/>
        </w:rPr>
      </w:pPr>
      <w:r>
        <w:rPr>
          <w:rFonts w:hint="eastAsia" w:ascii="黑体" w:hAnsi="黑体" w:eastAsia="黑体" w:cs="黑体"/>
          <w:b/>
          <w:bCs/>
          <w:sz w:val="30"/>
          <w:szCs w:val="30"/>
        </w:rPr>
        <w:t>二十一、其他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着“提升大赛社会关注度和影响力、增强场外人员参与感，通过大赛的线上线下（O2O）的多样体验、让更多人关注中国职业教育”的原则，除基本的赛事组织外，还将通过互动体验（微信）、赛事直播（云视频）、现场气氛营造（现场企业展区）多种方式方法，提升人们对赛项的关注度和感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（一）互动体验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以微信为载体，组织在线有奖问答、参赛队人气投票、赛事信息发布等；</w:t>
      </w:r>
    </w:p>
    <w:p>
      <w:pPr>
        <w:spacing w:line="360" w:lineRule="auto"/>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59264" behindDoc="1" locked="0" layoutInCell="1" allowOverlap="1">
            <wp:simplePos x="0" y="0"/>
            <wp:positionH relativeFrom="column">
              <wp:posOffset>2849880</wp:posOffset>
            </wp:positionH>
            <wp:positionV relativeFrom="paragraph">
              <wp:posOffset>51435</wp:posOffset>
            </wp:positionV>
            <wp:extent cx="2267585" cy="1514475"/>
            <wp:effectExtent l="0" t="0" r="0" b="0"/>
            <wp:wrapNone/>
            <wp:docPr id="14" name="图片 8" descr="C:\Users\shenyang2\Pictures\图片\IMG_0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C:\Users\shenyang2\Pictures\图片\IMG_0474.JPG"/>
                    <pic:cNvPicPr>
                      <a:picLocks noChangeAspect="1" noChangeArrowheads="1"/>
                    </pic:cNvPicPr>
                  </pic:nvPicPr>
                  <pic:blipFill>
                    <a:blip r:embed="rId8" cstate="print"/>
                    <a:srcRect/>
                    <a:stretch>
                      <a:fillRect/>
                    </a:stretch>
                  </pic:blipFill>
                  <pic:spPr>
                    <a:xfrm>
                      <a:off x="0" y="0"/>
                      <a:ext cx="2266950" cy="1513840"/>
                    </a:xfrm>
                    <a:prstGeom prst="ellipse">
                      <a:avLst/>
                    </a:prstGeom>
                    <a:ln>
                      <a:noFill/>
                    </a:ln>
                    <a:effectLst>
                      <a:softEdge rad="112500"/>
                    </a:effectLst>
                  </pic:spPr>
                </pic:pic>
              </a:graphicData>
            </a:graphic>
          </wp:anchor>
        </w:drawing>
      </w:r>
      <w:r>
        <w:rPr>
          <w:rFonts w:ascii="Arial Narrow" w:hAnsi="Arial Narrow" w:eastAsia="仿宋_GB2312" w:cs="Arial"/>
          <w:sz w:val="30"/>
          <w:szCs w:val="30"/>
        </w:rPr>
        <w:drawing>
          <wp:inline distT="0" distB="0" distL="0" distR="0">
            <wp:extent cx="1499235" cy="1775460"/>
            <wp:effectExtent l="0" t="0" r="5715" b="0"/>
            <wp:docPr id="5" name="图片 7" descr="IMG_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05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99235" cy="1775460"/>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（二）赛事直播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通过联想“云视频平台”解决方案，将赛场环境实施在互联网上进行直播，体现公平、公正、公开办大赛；</w:t>
      </w:r>
    </w:p>
    <w:p>
      <w:pPr>
        <w:spacing w:line="360" w:lineRule="auto"/>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3179445" cy="2392045"/>
            <wp:effectExtent l="0" t="0" r="1905" b="8255"/>
            <wp:docPr id="4" name="图片 9" descr="IMG_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04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179445" cy="2392045"/>
                    </a:xfrm>
                    <a:prstGeom prst="rect">
                      <a:avLst/>
                    </a:prstGeom>
                    <a:noFill/>
                    <a:ln>
                      <a:noFill/>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（三）现场气氛营造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通过营造“校园学习－校企合作－职业认证－就业、创业”的氛围，同时卷入企业在赛场外参展，让现场所有人员感受到大赛是关注了职业教育全链条的发展。</w:t>
      </w:r>
    </w:p>
    <w:p>
      <w:pPr>
        <w:spacing w:line="360" w:lineRule="auto"/>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4253230" cy="194564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253230" cy="1945640"/>
                    </a:xfrm>
                    <a:prstGeom prst="rect">
                      <a:avLst/>
                    </a:prstGeom>
                    <a:noFill/>
                    <a:ln>
                      <a:noFill/>
                    </a:ln>
                  </pic:spPr>
                </pic:pic>
              </a:graphicData>
            </a:graphic>
          </wp:inline>
        </w:drawing>
      </w:r>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26C7B"/>
    <w:multiLevelType w:val="multilevel"/>
    <w:tmpl w:val="33726C7B"/>
    <w:lvl w:ilvl="0" w:tentative="0">
      <w:start w:val="1"/>
      <w:numFmt w:val="lowerLetter"/>
      <w:lvlText w:val="%1)"/>
      <w:lvlJc w:val="left"/>
      <w:pPr>
        <w:ind w:left="1411" w:hanging="420"/>
      </w:pPr>
      <w:rPr>
        <w:rFonts w:hint="default"/>
      </w:rPr>
    </w:lvl>
    <w:lvl w:ilvl="1" w:tentative="0">
      <w:start w:val="1"/>
      <w:numFmt w:val="bullet"/>
      <w:lvlText w:val=""/>
      <w:lvlJc w:val="left"/>
      <w:pPr>
        <w:ind w:left="1831" w:hanging="420"/>
      </w:pPr>
      <w:rPr>
        <w:rFonts w:hint="default" w:ascii="Wingdings" w:hAnsi="Wingdings"/>
      </w:rPr>
    </w:lvl>
    <w:lvl w:ilvl="2" w:tentative="0">
      <w:start w:val="1"/>
      <w:numFmt w:val="bullet"/>
      <w:lvlText w:val=""/>
      <w:lvlJc w:val="left"/>
      <w:pPr>
        <w:ind w:left="2251" w:hanging="420"/>
      </w:pPr>
      <w:rPr>
        <w:rFonts w:hint="default" w:ascii="Wingdings" w:hAnsi="Wingdings"/>
      </w:rPr>
    </w:lvl>
    <w:lvl w:ilvl="3" w:tentative="0">
      <w:start w:val="1"/>
      <w:numFmt w:val="bullet"/>
      <w:lvlText w:val=""/>
      <w:lvlJc w:val="left"/>
      <w:pPr>
        <w:ind w:left="2671" w:hanging="420"/>
      </w:pPr>
      <w:rPr>
        <w:rFonts w:hint="default" w:ascii="Wingdings" w:hAnsi="Wingdings"/>
      </w:rPr>
    </w:lvl>
    <w:lvl w:ilvl="4" w:tentative="0">
      <w:start w:val="1"/>
      <w:numFmt w:val="bullet"/>
      <w:lvlText w:val=""/>
      <w:lvlJc w:val="left"/>
      <w:pPr>
        <w:ind w:left="3091" w:hanging="420"/>
      </w:pPr>
      <w:rPr>
        <w:rFonts w:hint="default" w:ascii="Wingdings" w:hAnsi="Wingdings"/>
      </w:rPr>
    </w:lvl>
    <w:lvl w:ilvl="5" w:tentative="0">
      <w:start w:val="1"/>
      <w:numFmt w:val="bullet"/>
      <w:lvlText w:val=""/>
      <w:lvlJc w:val="left"/>
      <w:pPr>
        <w:ind w:left="3511" w:hanging="420"/>
      </w:pPr>
      <w:rPr>
        <w:rFonts w:hint="default" w:ascii="Wingdings" w:hAnsi="Wingdings"/>
      </w:rPr>
    </w:lvl>
    <w:lvl w:ilvl="6" w:tentative="0">
      <w:start w:val="1"/>
      <w:numFmt w:val="bullet"/>
      <w:lvlText w:val=""/>
      <w:lvlJc w:val="left"/>
      <w:pPr>
        <w:ind w:left="3931" w:hanging="420"/>
      </w:pPr>
      <w:rPr>
        <w:rFonts w:hint="default" w:ascii="Wingdings" w:hAnsi="Wingdings"/>
      </w:rPr>
    </w:lvl>
    <w:lvl w:ilvl="7" w:tentative="0">
      <w:start w:val="1"/>
      <w:numFmt w:val="bullet"/>
      <w:lvlText w:val=""/>
      <w:lvlJc w:val="left"/>
      <w:pPr>
        <w:ind w:left="4351" w:hanging="420"/>
      </w:pPr>
      <w:rPr>
        <w:rFonts w:hint="default" w:ascii="Wingdings" w:hAnsi="Wingdings"/>
      </w:rPr>
    </w:lvl>
    <w:lvl w:ilvl="8" w:tentative="0">
      <w:start w:val="1"/>
      <w:numFmt w:val="bullet"/>
      <w:lvlText w:val=""/>
      <w:lvlJc w:val="left"/>
      <w:pPr>
        <w:ind w:left="4771" w:hanging="420"/>
      </w:pPr>
      <w:rPr>
        <w:rFonts w:hint="default" w:ascii="Wingdings" w:hAnsi="Wingdings"/>
      </w:rPr>
    </w:lvl>
  </w:abstractNum>
  <w:abstractNum w:abstractNumId="1">
    <w:nsid w:val="4DBB3F16"/>
    <w:multiLevelType w:val="multilevel"/>
    <w:tmpl w:val="4DBB3F16"/>
    <w:lvl w:ilvl="0" w:tentative="0">
      <w:start w:val="1"/>
      <w:numFmt w:val="lowerLetter"/>
      <w:lvlText w:val="%1)"/>
      <w:lvlJc w:val="left"/>
      <w:pPr>
        <w:ind w:left="1411" w:hanging="420"/>
      </w:pPr>
      <w:rPr>
        <w:rFonts w:hint="default"/>
      </w:rPr>
    </w:lvl>
    <w:lvl w:ilvl="1" w:tentative="0">
      <w:start w:val="1"/>
      <w:numFmt w:val="bullet"/>
      <w:lvlText w:val=""/>
      <w:lvlJc w:val="left"/>
      <w:pPr>
        <w:ind w:left="1831" w:hanging="420"/>
      </w:pPr>
      <w:rPr>
        <w:rFonts w:hint="default" w:ascii="Wingdings" w:hAnsi="Wingdings"/>
      </w:rPr>
    </w:lvl>
    <w:lvl w:ilvl="2" w:tentative="0">
      <w:start w:val="1"/>
      <w:numFmt w:val="bullet"/>
      <w:lvlText w:val=""/>
      <w:lvlJc w:val="left"/>
      <w:pPr>
        <w:ind w:left="2251" w:hanging="420"/>
      </w:pPr>
      <w:rPr>
        <w:rFonts w:hint="default" w:ascii="Wingdings" w:hAnsi="Wingdings"/>
      </w:rPr>
    </w:lvl>
    <w:lvl w:ilvl="3" w:tentative="0">
      <w:start w:val="1"/>
      <w:numFmt w:val="bullet"/>
      <w:lvlText w:val=""/>
      <w:lvlJc w:val="left"/>
      <w:pPr>
        <w:ind w:left="2671" w:hanging="420"/>
      </w:pPr>
      <w:rPr>
        <w:rFonts w:hint="default" w:ascii="Wingdings" w:hAnsi="Wingdings"/>
      </w:rPr>
    </w:lvl>
    <w:lvl w:ilvl="4" w:tentative="0">
      <w:start w:val="1"/>
      <w:numFmt w:val="bullet"/>
      <w:lvlText w:val=""/>
      <w:lvlJc w:val="left"/>
      <w:pPr>
        <w:ind w:left="3091" w:hanging="420"/>
      </w:pPr>
      <w:rPr>
        <w:rFonts w:hint="default" w:ascii="Wingdings" w:hAnsi="Wingdings"/>
      </w:rPr>
    </w:lvl>
    <w:lvl w:ilvl="5" w:tentative="0">
      <w:start w:val="1"/>
      <w:numFmt w:val="bullet"/>
      <w:lvlText w:val=""/>
      <w:lvlJc w:val="left"/>
      <w:pPr>
        <w:ind w:left="3511" w:hanging="420"/>
      </w:pPr>
      <w:rPr>
        <w:rFonts w:hint="default" w:ascii="Wingdings" w:hAnsi="Wingdings"/>
      </w:rPr>
    </w:lvl>
    <w:lvl w:ilvl="6" w:tentative="0">
      <w:start w:val="1"/>
      <w:numFmt w:val="bullet"/>
      <w:lvlText w:val=""/>
      <w:lvlJc w:val="left"/>
      <w:pPr>
        <w:ind w:left="3931" w:hanging="420"/>
      </w:pPr>
      <w:rPr>
        <w:rFonts w:hint="default" w:ascii="Wingdings" w:hAnsi="Wingdings"/>
      </w:rPr>
    </w:lvl>
    <w:lvl w:ilvl="7" w:tentative="0">
      <w:start w:val="1"/>
      <w:numFmt w:val="bullet"/>
      <w:lvlText w:val=""/>
      <w:lvlJc w:val="left"/>
      <w:pPr>
        <w:ind w:left="4351" w:hanging="420"/>
      </w:pPr>
      <w:rPr>
        <w:rFonts w:hint="default" w:ascii="Wingdings" w:hAnsi="Wingdings"/>
      </w:rPr>
    </w:lvl>
    <w:lvl w:ilvl="8" w:tentative="0">
      <w:start w:val="1"/>
      <w:numFmt w:val="bullet"/>
      <w:lvlText w:val=""/>
      <w:lvlJc w:val="left"/>
      <w:pPr>
        <w:ind w:left="4771" w:hanging="420"/>
      </w:pPr>
      <w:rPr>
        <w:rFonts w:hint="default" w:ascii="Wingdings" w:hAnsi="Wingdings"/>
      </w:rPr>
    </w:lvl>
  </w:abstractNum>
  <w:abstractNum w:abstractNumId="2">
    <w:nsid w:val="6B903F94"/>
    <w:multiLevelType w:val="multilevel"/>
    <w:tmpl w:val="6B903F94"/>
    <w:lvl w:ilvl="0" w:tentative="0">
      <w:start w:val="1"/>
      <w:numFmt w:val="lowerLetter"/>
      <w:lvlText w:val="%1)"/>
      <w:lvlJc w:val="left"/>
      <w:pPr>
        <w:ind w:left="1411" w:hanging="420"/>
      </w:pPr>
      <w:rPr>
        <w:rFonts w:hint="default"/>
      </w:rPr>
    </w:lvl>
    <w:lvl w:ilvl="1" w:tentative="0">
      <w:start w:val="1"/>
      <w:numFmt w:val="bullet"/>
      <w:lvlText w:val=""/>
      <w:lvlJc w:val="left"/>
      <w:pPr>
        <w:ind w:left="1831" w:hanging="420"/>
      </w:pPr>
      <w:rPr>
        <w:rFonts w:hint="default" w:ascii="Wingdings" w:hAnsi="Wingdings"/>
      </w:rPr>
    </w:lvl>
    <w:lvl w:ilvl="2" w:tentative="0">
      <w:start w:val="1"/>
      <w:numFmt w:val="bullet"/>
      <w:lvlText w:val=""/>
      <w:lvlJc w:val="left"/>
      <w:pPr>
        <w:ind w:left="2251" w:hanging="420"/>
      </w:pPr>
      <w:rPr>
        <w:rFonts w:hint="default" w:ascii="Wingdings" w:hAnsi="Wingdings"/>
      </w:rPr>
    </w:lvl>
    <w:lvl w:ilvl="3" w:tentative="0">
      <w:start w:val="1"/>
      <w:numFmt w:val="bullet"/>
      <w:lvlText w:val=""/>
      <w:lvlJc w:val="left"/>
      <w:pPr>
        <w:ind w:left="2671" w:hanging="420"/>
      </w:pPr>
      <w:rPr>
        <w:rFonts w:hint="default" w:ascii="Wingdings" w:hAnsi="Wingdings"/>
      </w:rPr>
    </w:lvl>
    <w:lvl w:ilvl="4" w:tentative="0">
      <w:start w:val="1"/>
      <w:numFmt w:val="bullet"/>
      <w:lvlText w:val=""/>
      <w:lvlJc w:val="left"/>
      <w:pPr>
        <w:ind w:left="3091" w:hanging="420"/>
      </w:pPr>
      <w:rPr>
        <w:rFonts w:hint="default" w:ascii="Wingdings" w:hAnsi="Wingdings"/>
      </w:rPr>
    </w:lvl>
    <w:lvl w:ilvl="5" w:tentative="0">
      <w:start w:val="1"/>
      <w:numFmt w:val="bullet"/>
      <w:lvlText w:val=""/>
      <w:lvlJc w:val="left"/>
      <w:pPr>
        <w:ind w:left="3511" w:hanging="420"/>
      </w:pPr>
      <w:rPr>
        <w:rFonts w:hint="default" w:ascii="Wingdings" w:hAnsi="Wingdings"/>
      </w:rPr>
    </w:lvl>
    <w:lvl w:ilvl="6" w:tentative="0">
      <w:start w:val="1"/>
      <w:numFmt w:val="bullet"/>
      <w:lvlText w:val=""/>
      <w:lvlJc w:val="left"/>
      <w:pPr>
        <w:ind w:left="3931" w:hanging="420"/>
      </w:pPr>
      <w:rPr>
        <w:rFonts w:hint="default" w:ascii="Wingdings" w:hAnsi="Wingdings"/>
      </w:rPr>
    </w:lvl>
    <w:lvl w:ilvl="7" w:tentative="0">
      <w:start w:val="1"/>
      <w:numFmt w:val="bullet"/>
      <w:lvlText w:val=""/>
      <w:lvlJc w:val="left"/>
      <w:pPr>
        <w:ind w:left="4351" w:hanging="420"/>
      </w:pPr>
      <w:rPr>
        <w:rFonts w:hint="default" w:ascii="Wingdings" w:hAnsi="Wingdings"/>
      </w:rPr>
    </w:lvl>
    <w:lvl w:ilvl="8" w:tentative="0">
      <w:start w:val="1"/>
      <w:numFmt w:val="bullet"/>
      <w:lvlText w:val=""/>
      <w:lvlJc w:val="left"/>
      <w:pPr>
        <w:ind w:left="4771"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544DF"/>
    <w:rsid w:val="00074E19"/>
    <w:rsid w:val="00084348"/>
    <w:rsid w:val="0010606E"/>
    <w:rsid w:val="00181851"/>
    <w:rsid w:val="001D3DAB"/>
    <w:rsid w:val="001F2DFD"/>
    <w:rsid w:val="00201DE7"/>
    <w:rsid w:val="00256399"/>
    <w:rsid w:val="00281BC5"/>
    <w:rsid w:val="003055B2"/>
    <w:rsid w:val="0034303D"/>
    <w:rsid w:val="003462ED"/>
    <w:rsid w:val="00360620"/>
    <w:rsid w:val="003C38B2"/>
    <w:rsid w:val="003E2640"/>
    <w:rsid w:val="003F0F90"/>
    <w:rsid w:val="0041416B"/>
    <w:rsid w:val="004E0661"/>
    <w:rsid w:val="004E0F22"/>
    <w:rsid w:val="004F50D0"/>
    <w:rsid w:val="005240E6"/>
    <w:rsid w:val="00541E85"/>
    <w:rsid w:val="005B7847"/>
    <w:rsid w:val="00603661"/>
    <w:rsid w:val="00630962"/>
    <w:rsid w:val="006563C8"/>
    <w:rsid w:val="00663F55"/>
    <w:rsid w:val="006E7091"/>
    <w:rsid w:val="006F6AA5"/>
    <w:rsid w:val="00713BB9"/>
    <w:rsid w:val="00736030"/>
    <w:rsid w:val="00753A9C"/>
    <w:rsid w:val="0077474D"/>
    <w:rsid w:val="0079349A"/>
    <w:rsid w:val="007C78C3"/>
    <w:rsid w:val="007D533D"/>
    <w:rsid w:val="00887FD9"/>
    <w:rsid w:val="008D6CFE"/>
    <w:rsid w:val="009724CC"/>
    <w:rsid w:val="00997B0F"/>
    <w:rsid w:val="00A549A7"/>
    <w:rsid w:val="00A66D7E"/>
    <w:rsid w:val="00B328EC"/>
    <w:rsid w:val="00B33608"/>
    <w:rsid w:val="00B650C3"/>
    <w:rsid w:val="00BA6424"/>
    <w:rsid w:val="00BB32E6"/>
    <w:rsid w:val="00BE426E"/>
    <w:rsid w:val="00C04FD3"/>
    <w:rsid w:val="00C23559"/>
    <w:rsid w:val="00C869C1"/>
    <w:rsid w:val="00CC0A26"/>
    <w:rsid w:val="00D143BD"/>
    <w:rsid w:val="00D513C9"/>
    <w:rsid w:val="00D7186E"/>
    <w:rsid w:val="00D86909"/>
    <w:rsid w:val="00DC613D"/>
    <w:rsid w:val="00E00E12"/>
    <w:rsid w:val="00E03516"/>
    <w:rsid w:val="00E23E89"/>
    <w:rsid w:val="00E37D51"/>
    <w:rsid w:val="00E44841"/>
    <w:rsid w:val="00E83B5E"/>
    <w:rsid w:val="00EF08B1"/>
    <w:rsid w:val="00F97F63"/>
    <w:rsid w:val="00FB13F2"/>
    <w:rsid w:val="00FD5CF4"/>
    <w:rsid w:val="10907F32"/>
    <w:rsid w:val="15405F2B"/>
    <w:rsid w:val="27F52040"/>
    <w:rsid w:val="28627691"/>
    <w:rsid w:val="359A75EB"/>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1"/>
    <w:unhideWhenUsed/>
    <w:qFormat/>
    <w:uiPriority w:val="0"/>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10">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17"/>
    <w:uiPriority w:val="0"/>
    <w:rPr>
      <w:b/>
      <w:bCs/>
    </w:rPr>
  </w:style>
  <w:style w:type="paragraph" w:styleId="5">
    <w:name w:val="annotation text"/>
    <w:basedOn w:val="1"/>
    <w:link w:val="16"/>
    <w:uiPriority w:val="0"/>
    <w:pPr>
      <w:jc w:val="left"/>
    </w:pPr>
  </w:style>
  <w:style w:type="paragraph" w:styleId="6">
    <w:name w:val="Balloon Text"/>
    <w:basedOn w:val="1"/>
    <w:link w:val="18"/>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link w:val="19"/>
    <w:qFormat/>
    <w:uiPriority w:val="0"/>
    <w:pPr>
      <w:snapToGrid w:val="0"/>
      <w:jc w:val="left"/>
    </w:pPr>
    <w:rPr>
      <w:kern w:val="0"/>
      <w:sz w:val="18"/>
      <w:szCs w:val="18"/>
    </w:rPr>
  </w:style>
  <w:style w:type="character" w:styleId="11">
    <w:name w:val="Hyperlink"/>
    <w:basedOn w:val="10"/>
    <w:uiPriority w:val="0"/>
    <w:rPr>
      <w:color w:val="0563C1" w:themeColor="hyperlink"/>
      <w:u w:val="single"/>
    </w:rPr>
  </w:style>
  <w:style w:type="character" w:styleId="12">
    <w:name w:val="annotation reference"/>
    <w:basedOn w:val="10"/>
    <w:uiPriority w:val="0"/>
    <w:rPr>
      <w:sz w:val="21"/>
      <w:szCs w:val="21"/>
    </w:rPr>
  </w:style>
  <w:style w:type="character" w:styleId="13">
    <w:name w:val="footnote reference"/>
    <w:qFormat/>
    <w:uiPriority w:val="0"/>
    <w:rPr>
      <w:rFonts w:cs="Times New Roman"/>
      <w:vertAlign w:val="superscript"/>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批注文字 字符"/>
    <w:basedOn w:val="10"/>
    <w:link w:val="5"/>
    <w:uiPriority w:val="0"/>
    <w:rPr>
      <w:kern w:val="2"/>
      <w:sz w:val="21"/>
      <w:szCs w:val="22"/>
    </w:rPr>
  </w:style>
  <w:style w:type="character" w:customStyle="1" w:styleId="17">
    <w:name w:val="批注主题 字符"/>
    <w:basedOn w:val="16"/>
    <w:link w:val="4"/>
    <w:qFormat/>
    <w:uiPriority w:val="0"/>
    <w:rPr>
      <w:b/>
      <w:bCs/>
      <w:kern w:val="2"/>
      <w:sz w:val="21"/>
      <w:szCs w:val="22"/>
    </w:rPr>
  </w:style>
  <w:style w:type="character" w:customStyle="1" w:styleId="18">
    <w:name w:val="批注框文本 字符"/>
    <w:basedOn w:val="10"/>
    <w:link w:val="6"/>
    <w:uiPriority w:val="0"/>
    <w:rPr>
      <w:kern w:val="2"/>
      <w:sz w:val="18"/>
      <w:szCs w:val="18"/>
    </w:rPr>
  </w:style>
  <w:style w:type="character" w:customStyle="1" w:styleId="19">
    <w:name w:val="脚注文本 字符"/>
    <w:basedOn w:val="10"/>
    <w:link w:val="9"/>
    <w:uiPriority w:val="0"/>
    <w:rPr>
      <w:sz w:val="18"/>
      <w:szCs w:val="18"/>
    </w:rPr>
  </w:style>
  <w:style w:type="character" w:customStyle="1" w:styleId="20">
    <w:name w:val="Unresolved Mention"/>
    <w:basedOn w:val="10"/>
    <w:semiHidden/>
    <w:unhideWhenUsed/>
    <w:uiPriority w:val="99"/>
    <w:rPr>
      <w:color w:val="605E5C"/>
      <w:shd w:val="clear" w:color="auto" w:fill="E1DFDD"/>
    </w:rPr>
  </w:style>
  <w:style w:type="character" w:customStyle="1" w:styleId="21">
    <w:name w:val="标题 3 字符"/>
    <w:basedOn w:val="10"/>
    <w:link w:val="3"/>
    <w:qFormat/>
    <w:uiPriority w:val="0"/>
    <w:rPr>
      <w:b/>
      <w:bCs/>
      <w:kern w:val="2"/>
      <w:sz w:val="32"/>
      <w:szCs w:val="32"/>
    </w:rPr>
  </w:style>
  <w:style w:type="paragraph" w:styleId="22">
    <w:name w:val="List Paragraph"/>
    <w:basedOn w:val="1"/>
    <w:qFormat/>
    <w:uiPriority w:val="34"/>
    <w:pPr>
      <w:ind w:firstLine="420" w:firstLineChars="200"/>
    </w:pPr>
  </w:style>
  <w:style w:type="paragraph" w:customStyle="1" w:styleId="23">
    <w:name w:val="列出段落1"/>
    <w:basedOn w:val="1"/>
    <w:qFormat/>
    <w:uiPriority w:val="34"/>
    <w:pPr>
      <w:ind w:firstLine="420" w:firstLineChars="200"/>
    </w:pPr>
    <w:rPr>
      <w:rFonts w:cs="Calibri"/>
      <w:szCs w:val="24"/>
    </w:rPr>
  </w:style>
  <w:style w:type="paragraph" w:customStyle="1" w:styleId="24">
    <w:name w:val="表格正文"/>
    <w:basedOn w:val="1"/>
    <w:next w:val="1"/>
    <w:link w:val="25"/>
    <w:qFormat/>
    <w:uiPriority w:val="0"/>
    <w:pPr>
      <w:snapToGrid w:val="0"/>
      <w:jc w:val="center"/>
    </w:pPr>
    <w:rPr>
      <w:rFonts w:ascii="仿宋" w:hAnsi="仿宋" w:eastAsia="仿宋"/>
      <w:color w:val="C45911"/>
      <w:szCs w:val="30"/>
    </w:rPr>
  </w:style>
  <w:style w:type="character" w:customStyle="1" w:styleId="25">
    <w:name w:val="表格正文 Char"/>
    <w:link w:val="24"/>
    <w:qFormat/>
    <w:uiPriority w:val="0"/>
    <w:rPr>
      <w:rFonts w:ascii="仿宋" w:hAnsi="仿宋" w:eastAsia="仿宋" w:cs="Times New Roman"/>
      <w:color w:val="C45911"/>
      <w:kern w:val="2"/>
      <w:sz w:val="21"/>
      <w:szCs w:val="30"/>
    </w:rPr>
  </w:style>
  <w:style w:type="character" w:customStyle="1" w:styleId="26">
    <w:name w:val="标题 1 字符"/>
    <w:basedOn w:val="10"/>
    <w:link w:val="2"/>
    <w:uiPriority w:val="0"/>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emf"/><Relationship Id="rId6" Type="http://schemas.openxmlformats.org/officeDocument/2006/relationships/oleObject" Target="embeddings/oleObject1.bin"/><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6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16D133-76F0-4ED2-A09E-4AC8EB62E6B7}">
  <ds:schemaRefs/>
</ds:datastoreItem>
</file>

<file path=docProps/app.xml><?xml version="1.0" encoding="utf-8"?>
<Properties xmlns="http://schemas.openxmlformats.org/officeDocument/2006/extended-properties" xmlns:vt="http://schemas.openxmlformats.org/officeDocument/2006/docPropsVTypes">
  <Template>Normal</Template>
  <Pages>32</Pages>
  <Words>2731</Words>
  <Characters>15570</Characters>
  <Lines>129</Lines>
  <Paragraphs>36</Paragraphs>
  <TotalTime>1</TotalTime>
  <ScaleCrop>false</ScaleCrop>
  <LinksUpToDate>false</LinksUpToDate>
  <CharactersWithSpaces>18265</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2018-12-12T03:15:49Z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