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Narrow" w:hAnsi="Arial Narrow" w:eastAsia="仿宋_GB2312" w:cs="Arial"/>
          <w:sz w:val="30"/>
          <w:szCs w:val="30"/>
        </w:rPr>
      </w:pPr>
      <w:bookmarkStart w:id="17" w:name="_GoBack"/>
      <w:bookmarkEnd w:id="17"/>
      <w:r>
        <w:rPr>
          <w:rFonts w:ascii="Arial Narrow" w:hAnsi="Arial Narrow" w:eastAsia="仿宋_GB2312" w:cs="Arial"/>
          <w:sz w:val="30"/>
          <w:szCs w:val="30"/>
        </w:rPr>
        <w:t xml:space="preserve">    </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电子产品芯片级检测维修与数据恢复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（二）压题彩照</w:t>
      </w:r>
    </w:p>
    <w:p>
      <w:pPr>
        <w:jc w:val="center"/>
        <w:rPr>
          <w:rFonts w:asciiTheme="minorHAnsi" w:hAnsiTheme="minorHAnsi" w:eastAsiaTheme="minorEastAsia" w:cstheme="minorBidi"/>
        </w:rPr>
      </w:pPr>
      <w:r>
        <w:drawing>
          <wp:inline distT="0" distB="0" distL="0" distR="0">
            <wp:extent cx="4343400" cy="2962275"/>
            <wp:effectExtent l="19050" t="0" r="0"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a:picLocks noChangeArrowheads="1"/>
                    </pic:cNvPicPr>
                  </pic:nvPicPr>
                  <pic:blipFill>
                    <a:blip r:embed="rId5" cstate="print"/>
                    <a:srcRect/>
                    <a:stretch>
                      <a:fillRect/>
                    </a:stretch>
                  </pic:blipFill>
                  <pic:spPr>
                    <a:xfrm>
                      <a:off x="0" y="0"/>
                      <a:ext cx="4343400" cy="2962275"/>
                    </a:xfrm>
                    <a:prstGeom prst="rect">
                      <a:avLst/>
                    </a:prstGeom>
                    <a:noFill/>
                    <a:ln w="9525">
                      <a:noFill/>
                      <a:miter lim="800000"/>
                      <a:headEnd/>
                      <a:tailEnd/>
                    </a:ln>
                  </pic:spPr>
                </pic:pic>
              </a:graphicData>
            </a:graphic>
          </wp:inline>
        </w:drawing>
      </w:r>
    </w:p>
    <w:p>
      <w:pPr>
        <w:jc w:val="center"/>
        <w:rPr>
          <w:rFonts w:asciiTheme="minorHAnsi" w:hAnsiTheme="minorHAnsi" w:eastAsiaTheme="minorEastAsia" w:cstheme="minorBidi"/>
        </w:rPr>
      </w:pPr>
      <w:r>
        <w:rPr>
          <w:rFonts w:hint="eastAsia"/>
        </w:rPr>
        <w:drawing>
          <wp:inline distT="0" distB="0" distL="0" distR="0">
            <wp:extent cx="4343400" cy="2952750"/>
            <wp:effectExtent l="19050" t="0" r="0" b="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rrowheads="1"/>
                    </pic:cNvPicPr>
                  </pic:nvPicPr>
                  <pic:blipFill>
                    <a:blip r:embed="rId6" cstate="print"/>
                    <a:srcRect/>
                    <a:stretch>
                      <a:fillRect/>
                    </a:stretch>
                  </pic:blipFill>
                  <pic:spPr>
                    <a:xfrm>
                      <a:off x="0" y="0"/>
                      <a:ext cx="4343400" cy="2952750"/>
                    </a:xfrm>
                    <a:prstGeom prst="rect">
                      <a:avLst/>
                    </a:prstGeom>
                    <a:noFill/>
                    <a:ln w="9525">
                      <a:noFill/>
                      <a:miter lim="800000"/>
                      <a:headEnd/>
                      <a:tailEnd/>
                    </a:ln>
                  </pic:spPr>
                </pic:pic>
              </a:graphicData>
            </a:graphic>
          </wp:inline>
        </w:drawing>
      </w: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（三）赛项归属产业类型</w:t>
      </w:r>
    </w:p>
    <w:p>
      <w:pPr>
        <w:snapToGrid w:val="0"/>
        <w:spacing w:line="560" w:lineRule="exact"/>
        <w:ind w:firstLine="1200" w:firstLineChars="400"/>
        <w:rPr>
          <w:rFonts w:ascii="Arial Narrow" w:hAnsi="Arial Narrow" w:eastAsia="仿宋_GB2312" w:cs="Arial"/>
          <w:sz w:val="30"/>
          <w:szCs w:val="30"/>
        </w:rPr>
      </w:pPr>
      <w:r>
        <w:rPr>
          <w:rFonts w:hint="eastAsia" w:ascii="仿宋" w:hAnsi="仿宋" w:eastAsia="仿宋" w:cs="Arial"/>
          <w:sz w:val="30"/>
          <w:szCs w:val="30"/>
        </w:rPr>
        <w:t>电子信息产业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tbl>
      <w:tblPr>
        <w:tblStyle w:val="17"/>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组别</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专业大类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专业类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专业代码</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 w:eastAsia="仿宋_GB2312" w:cs="Arial"/>
                <w:color w:val="00000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宋体" w:hAnsi="宋体" w:cs="宋体"/>
                <w:kern w:val="0"/>
                <w:szCs w:val="21"/>
              </w:rPr>
              <w:t>电子信息类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eastAsia="仿宋_GB2312"/>
                <w:sz w:val="24"/>
                <w:szCs w:val="24"/>
              </w:rPr>
              <w:t>610101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电子信息工程技术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cs="Arial"/>
                <w:color w:val="00000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宋体" w:hAnsi="宋体" w:cs="宋体"/>
                <w:kern w:val="0"/>
                <w:szCs w:val="21"/>
              </w:rPr>
              <w:t>电子信息类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eastAsia="仿宋_GB2312"/>
                <w:sz w:val="24"/>
                <w:szCs w:val="24"/>
              </w:rPr>
              <w:t>610102</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应用电子技术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cs="Arial"/>
                <w:color w:val="00000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宋体" w:hAnsi="宋体" w:cs="宋体"/>
                <w:kern w:val="0"/>
                <w:szCs w:val="21"/>
              </w:rPr>
              <w:t>电子信息类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eastAsia="仿宋_GB2312"/>
                <w:sz w:val="24"/>
                <w:szCs w:val="24"/>
              </w:rPr>
              <w:t>610103</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微电子技术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cs="Arial"/>
                <w:color w:val="00000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宋体" w:hAnsi="宋体" w:cs="宋体"/>
                <w:kern w:val="0"/>
                <w:szCs w:val="21"/>
              </w:rPr>
              <w:t>电子信息类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eastAsia="仿宋_GB2312"/>
                <w:sz w:val="24"/>
                <w:szCs w:val="24"/>
              </w:rPr>
              <w:t>610108</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电子产品质量检测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cs="Arial"/>
                <w:color w:val="00000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宋体" w:hAnsi="宋体" w:cs="宋体"/>
                <w:kern w:val="0"/>
                <w:szCs w:val="21"/>
              </w:rPr>
              <w:t>电子信息类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eastAsia="仿宋_GB2312"/>
                <w:sz w:val="24"/>
                <w:szCs w:val="24"/>
              </w:rPr>
              <w:t>610110</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电子电路设计与工艺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cs="Arial"/>
                <w:color w:val="00000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宋体" w:hAnsi="宋体" w:cs="宋体"/>
                <w:kern w:val="0"/>
                <w:szCs w:val="21"/>
              </w:rPr>
              <w:t>电子信息类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eastAsia="仿宋_GB2312"/>
                <w:sz w:val="24"/>
                <w:szCs w:val="24"/>
              </w:rPr>
              <w:t>610112</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cs="Arial"/>
                <w:color w:val="00000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宋体" w:hAnsi="宋体" w:cs="宋体"/>
                <w:kern w:val="0"/>
                <w:szCs w:val="21"/>
              </w:rPr>
              <w:t>电子信息类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eastAsia="仿宋_GB2312"/>
                <w:sz w:val="24"/>
                <w:szCs w:val="24"/>
              </w:rPr>
              <w:t>610113</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电子工艺与管理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cs="Arial"/>
                <w:color w:val="00000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宋体" w:hAnsi="宋体" w:cs="宋体"/>
                <w:kern w:val="0"/>
                <w:szCs w:val="21"/>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eastAsia="仿宋_GB2312"/>
                <w:sz w:val="24"/>
                <w:szCs w:val="24"/>
              </w:rPr>
              <w:t>610201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计算机应用技术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cs="Arial"/>
                <w:color w:val="00000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宋体" w:hAnsi="宋体" w:cs="宋体"/>
                <w:kern w:val="0"/>
                <w:szCs w:val="21"/>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eastAsia="仿宋_GB2312"/>
                <w:sz w:val="24"/>
                <w:szCs w:val="24"/>
              </w:rPr>
              <w:t>610211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信息安全与管理</w:t>
            </w:r>
          </w:p>
        </w:tc>
      </w:tr>
    </w:tbl>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二、赛项申报专家组</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ascii="仿宋" w:hAnsi="仿宋" w:eastAsia="仿宋" w:cs="Arial"/>
          <w:sz w:val="30"/>
          <w:szCs w:val="30"/>
        </w:rPr>
        <w:t>本赛项以我国电子信息产业发展人才需求为依托，以</w:t>
      </w:r>
      <w:r>
        <w:rPr>
          <w:rFonts w:hint="eastAsia" w:ascii="仿宋" w:hAnsi="仿宋" w:eastAsia="仿宋" w:cs="Arial"/>
          <w:sz w:val="30"/>
          <w:szCs w:val="30"/>
        </w:rPr>
        <w:t>智能电子产品检测</w:t>
      </w:r>
      <w:r>
        <w:rPr>
          <w:rFonts w:ascii="仿宋" w:hAnsi="仿宋" w:eastAsia="仿宋" w:cs="Arial"/>
          <w:sz w:val="30"/>
          <w:szCs w:val="30"/>
        </w:rPr>
        <w:t>维修及</w:t>
      </w:r>
      <w:r>
        <w:rPr>
          <w:rFonts w:hint="eastAsia" w:ascii="仿宋" w:hAnsi="仿宋" w:eastAsia="仿宋" w:cs="Arial"/>
          <w:sz w:val="30"/>
          <w:szCs w:val="30"/>
        </w:rPr>
        <w:t>存储介质</w:t>
      </w:r>
      <w:r>
        <w:rPr>
          <w:rFonts w:ascii="仿宋" w:hAnsi="仿宋" w:eastAsia="仿宋" w:cs="Arial"/>
          <w:sz w:val="30"/>
          <w:szCs w:val="30"/>
        </w:rPr>
        <w:t>数据恢复</w:t>
      </w:r>
      <w:r>
        <w:rPr>
          <w:rFonts w:hint="eastAsia" w:ascii="仿宋" w:hAnsi="仿宋" w:eastAsia="仿宋" w:cs="Arial"/>
          <w:sz w:val="30"/>
          <w:szCs w:val="30"/>
        </w:rPr>
        <w:t>项目</w:t>
      </w:r>
      <w:r>
        <w:rPr>
          <w:rFonts w:ascii="仿宋" w:hAnsi="仿宋" w:eastAsia="仿宋" w:cs="Arial"/>
          <w:sz w:val="30"/>
          <w:szCs w:val="30"/>
        </w:rPr>
        <w:t>为载体，将</w:t>
      </w:r>
      <w:r>
        <w:rPr>
          <w:rFonts w:hint="eastAsia" w:ascii="仿宋" w:hAnsi="仿宋" w:eastAsia="仿宋" w:cs="Arial"/>
          <w:sz w:val="30"/>
          <w:szCs w:val="30"/>
        </w:rPr>
        <w:t>这两方面</w:t>
      </w:r>
      <w:r>
        <w:rPr>
          <w:rFonts w:ascii="仿宋" w:hAnsi="仿宋" w:eastAsia="仿宋" w:cs="Arial"/>
          <w:sz w:val="30"/>
          <w:szCs w:val="30"/>
        </w:rPr>
        <w:t>的</w:t>
      </w:r>
      <w:r>
        <w:rPr>
          <w:rFonts w:hint="eastAsia" w:ascii="仿宋" w:hAnsi="仿宋" w:eastAsia="仿宋" w:cs="Arial"/>
          <w:sz w:val="30"/>
          <w:szCs w:val="30"/>
        </w:rPr>
        <w:t>产业岗位</w:t>
      </w:r>
      <w:r>
        <w:rPr>
          <w:rFonts w:ascii="仿宋" w:hAnsi="仿宋" w:eastAsia="仿宋" w:cs="Arial"/>
          <w:sz w:val="30"/>
          <w:szCs w:val="30"/>
        </w:rPr>
        <w:t>技术技能融入比赛内容，主要检验选手在真实的工作场景下对</w:t>
      </w:r>
      <w:r>
        <w:rPr>
          <w:rFonts w:hint="eastAsia" w:ascii="仿宋" w:hAnsi="仿宋" w:eastAsia="仿宋" w:cs="Arial"/>
          <w:sz w:val="30"/>
          <w:szCs w:val="30"/>
        </w:rPr>
        <w:t>智能</w:t>
      </w:r>
      <w:r>
        <w:rPr>
          <w:rFonts w:ascii="仿宋" w:hAnsi="仿宋" w:eastAsia="仿宋" w:cs="Arial"/>
          <w:sz w:val="30"/>
          <w:szCs w:val="30"/>
        </w:rPr>
        <w:t>电子产品检测维修及数据恢复的</w:t>
      </w:r>
      <w:r>
        <w:rPr>
          <w:rFonts w:hint="eastAsia" w:ascii="仿宋" w:hAnsi="仿宋" w:eastAsia="仿宋" w:cs="Arial"/>
          <w:sz w:val="30"/>
          <w:szCs w:val="30"/>
        </w:rPr>
        <w:t>技术</w:t>
      </w:r>
      <w:r>
        <w:rPr>
          <w:rFonts w:ascii="仿宋" w:hAnsi="仿宋" w:eastAsia="仿宋" w:cs="Arial"/>
          <w:sz w:val="30"/>
          <w:szCs w:val="30"/>
        </w:rPr>
        <w:t>技能</w:t>
      </w:r>
      <w:r>
        <w:rPr>
          <w:rFonts w:hint="eastAsia" w:ascii="仿宋" w:hAnsi="仿宋" w:eastAsia="仿宋" w:cs="Arial"/>
          <w:sz w:val="30"/>
          <w:szCs w:val="30"/>
        </w:rPr>
        <w:t>运用及</w:t>
      </w:r>
      <w:r>
        <w:rPr>
          <w:rFonts w:ascii="仿宋" w:hAnsi="仿宋" w:eastAsia="仿宋" w:cs="Arial"/>
          <w:sz w:val="30"/>
          <w:szCs w:val="30"/>
        </w:rPr>
        <w:t>综合职业素养</w:t>
      </w:r>
      <w:r>
        <w:rPr>
          <w:rFonts w:hint="eastAsia" w:ascii="仿宋" w:hAnsi="仿宋" w:eastAsia="仿宋" w:cs="Arial"/>
          <w:sz w:val="30"/>
          <w:szCs w:val="30"/>
        </w:rPr>
        <w:t>表现</w:t>
      </w:r>
      <w:r>
        <w:rPr>
          <w:rFonts w:ascii="仿宋" w:hAnsi="仿宋" w:eastAsia="仿宋" w:cs="Arial"/>
          <w:sz w:val="30"/>
          <w:szCs w:val="30"/>
        </w:rPr>
        <w:t>，</w:t>
      </w:r>
      <w:r>
        <w:rPr>
          <w:rFonts w:hint="eastAsia" w:ascii="仿宋" w:hAnsi="仿宋" w:eastAsia="仿宋" w:cs="Arial"/>
          <w:sz w:val="30"/>
          <w:szCs w:val="30"/>
        </w:rPr>
        <w:t>充分</w:t>
      </w:r>
      <w:r>
        <w:rPr>
          <w:rFonts w:ascii="仿宋" w:hAnsi="仿宋" w:eastAsia="仿宋" w:cs="Arial"/>
          <w:sz w:val="30"/>
          <w:szCs w:val="30"/>
        </w:rPr>
        <w:t>展</w:t>
      </w:r>
      <w:r>
        <w:rPr>
          <w:rFonts w:hint="eastAsia" w:ascii="仿宋" w:hAnsi="仿宋" w:eastAsia="仿宋" w:cs="Arial"/>
          <w:sz w:val="30"/>
          <w:szCs w:val="30"/>
        </w:rPr>
        <w:t>示现代</w:t>
      </w:r>
      <w:r>
        <w:rPr>
          <w:rFonts w:ascii="仿宋" w:hAnsi="仿宋" w:eastAsia="仿宋" w:cs="Arial"/>
          <w:sz w:val="30"/>
          <w:szCs w:val="30"/>
        </w:rPr>
        <w:t>职业教育</w:t>
      </w:r>
      <w:r>
        <w:rPr>
          <w:rFonts w:hint="eastAsia" w:ascii="仿宋" w:hAnsi="仿宋" w:eastAsia="仿宋" w:cs="Arial"/>
          <w:sz w:val="30"/>
          <w:szCs w:val="30"/>
        </w:rPr>
        <w:t>基于产教融合和工学结合的</w:t>
      </w:r>
      <w:r>
        <w:rPr>
          <w:rFonts w:ascii="仿宋" w:hAnsi="仿宋" w:eastAsia="仿宋" w:cs="Arial"/>
          <w:sz w:val="30"/>
          <w:szCs w:val="30"/>
        </w:rPr>
        <w:t>改革</w:t>
      </w:r>
      <w:r>
        <w:rPr>
          <w:rFonts w:hint="eastAsia" w:ascii="仿宋" w:hAnsi="仿宋" w:eastAsia="仿宋" w:cs="Arial"/>
          <w:sz w:val="30"/>
          <w:szCs w:val="30"/>
        </w:rPr>
        <w:t>发展</w:t>
      </w:r>
      <w:r>
        <w:rPr>
          <w:rFonts w:ascii="仿宋" w:hAnsi="仿宋" w:eastAsia="仿宋" w:cs="Arial"/>
          <w:sz w:val="30"/>
          <w:szCs w:val="30"/>
        </w:rPr>
        <w:t>最新成果及参赛</w:t>
      </w:r>
      <w:r>
        <w:rPr>
          <w:rFonts w:hint="eastAsia" w:ascii="仿宋" w:hAnsi="仿宋" w:eastAsia="仿宋" w:cs="Arial"/>
          <w:sz w:val="30"/>
          <w:szCs w:val="30"/>
        </w:rPr>
        <w:t>选手</w:t>
      </w:r>
      <w:r>
        <w:rPr>
          <w:rFonts w:ascii="仿宋" w:hAnsi="仿宋" w:eastAsia="仿宋" w:cs="Arial"/>
          <w:sz w:val="30"/>
          <w:szCs w:val="30"/>
        </w:rPr>
        <w:t>良好的精神风貌，引导高职</w:t>
      </w:r>
      <w:r>
        <w:rPr>
          <w:rFonts w:hint="eastAsia" w:ascii="仿宋" w:hAnsi="仿宋" w:eastAsia="仿宋" w:cs="Arial"/>
          <w:sz w:val="30"/>
          <w:szCs w:val="30"/>
        </w:rPr>
        <w:t>相关专业</w:t>
      </w:r>
      <w:r>
        <w:rPr>
          <w:rFonts w:ascii="仿宋" w:hAnsi="仿宋" w:eastAsia="仿宋" w:cs="Arial"/>
          <w:sz w:val="30"/>
          <w:szCs w:val="30"/>
        </w:rPr>
        <w:t>关注“</w:t>
      </w:r>
      <w:r>
        <w:rPr>
          <w:rFonts w:hint="eastAsia" w:ascii="仿宋" w:hAnsi="仿宋" w:eastAsia="仿宋" w:cs="Arial"/>
          <w:sz w:val="30"/>
          <w:szCs w:val="30"/>
        </w:rPr>
        <w:t>智能</w:t>
      </w:r>
      <w:r>
        <w:rPr>
          <w:rFonts w:ascii="仿宋" w:hAnsi="仿宋" w:eastAsia="仿宋" w:cs="Arial"/>
          <w:sz w:val="30"/>
          <w:szCs w:val="30"/>
        </w:rPr>
        <w:t>电子产品维修与数据恢复”方面的</w:t>
      </w:r>
      <w:r>
        <w:rPr>
          <w:rFonts w:hint="eastAsia" w:ascii="仿宋" w:hAnsi="仿宋" w:eastAsia="仿宋" w:cs="Arial"/>
          <w:sz w:val="30"/>
          <w:szCs w:val="30"/>
        </w:rPr>
        <w:t>人才需求及产业</w:t>
      </w:r>
      <w:r>
        <w:rPr>
          <w:rFonts w:ascii="仿宋" w:hAnsi="仿宋" w:eastAsia="仿宋" w:cs="Arial"/>
          <w:sz w:val="30"/>
          <w:szCs w:val="30"/>
        </w:rPr>
        <w:t>发展趋势</w:t>
      </w:r>
      <w:r>
        <w:rPr>
          <w:rFonts w:hint="eastAsia" w:ascii="仿宋" w:hAnsi="仿宋" w:eastAsia="仿宋" w:cs="Arial"/>
          <w:sz w:val="30"/>
          <w:szCs w:val="30"/>
        </w:rPr>
        <w:t>，主动适应新常态，创造新动能，</w:t>
      </w:r>
      <w:r>
        <w:rPr>
          <w:rFonts w:ascii="仿宋" w:hAnsi="仿宋" w:eastAsia="仿宋" w:cs="Arial"/>
          <w:sz w:val="30"/>
          <w:szCs w:val="30"/>
        </w:rPr>
        <w:t>为行业、企业培养紧缺人才，提高电子信息类高素质应用型</w:t>
      </w:r>
      <w:r>
        <w:rPr>
          <w:rFonts w:hint="eastAsia" w:ascii="仿宋" w:hAnsi="仿宋" w:eastAsia="仿宋" w:cs="Arial"/>
          <w:sz w:val="30"/>
          <w:szCs w:val="30"/>
        </w:rPr>
        <w:t>技术技能</w:t>
      </w:r>
      <w:r>
        <w:rPr>
          <w:rFonts w:ascii="仿宋" w:hAnsi="仿宋" w:eastAsia="仿宋" w:cs="Arial"/>
          <w:sz w:val="30"/>
          <w:szCs w:val="30"/>
        </w:rPr>
        <w:t>人才的培养质量。</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（一）公开、公平、公正</w:t>
      </w:r>
      <w:r>
        <w:rPr>
          <w:rFonts w:hint="eastAsia" w:ascii="Arial Narrow" w:hAnsi="Arial Narrow" w:eastAsia="仿宋_GB2312" w:cs="Arial"/>
          <w:sz w:val="30"/>
          <w:szCs w:val="30"/>
        </w:rPr>
        <w:t>。</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严格遵守《全国职业院校技能大赛制度》，落实制度中的相关要求。确保在赛前尽早公布比赛范围、赛项设备技术规范、赛项规程，并确保赛前1个月公布赛题，以便参赛队能尽早熟悉比赛内容，并进行全方位准备。赛中将采用开放式的场地环境，在赛场外围设置专用的参观通路，确保竞赛的观摩性达到公平、公正、公开的竞赛要求。赛后成绩评判采用系统自动评分、客观结果性评分和少量主观性评分，结合人工复核机制，避免人为因素影响比赛结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（二）赛项设计符合国家“十三五”规划纲要</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在我国“十三五”规划纲要中已经明确指出，要坚持走中国特色新型工业化道路，适应市场需求变化，根据科技进步新趋势，发挥我国产业在全球经济中的优势，并要求加快发展智能制造关键技术装备，强化智能制造标准、工业电子设备、核心支撑软件等基础，提高电子信息产业研发水平，增强基础电子自主发展能力。因此，赛项内容将充分考虑我国当前重点战略产业发展趋势、行业发展特点及企业用人需求，并结合当前高职院校相关专业情况进行全方位设计，引导学校进行教学改革，在促进发达地区学校专业建设的同时，也拉动落后地区学校的专业发展，全面、共同提高人才培养水平，服务我国电子信息产业健康发展。</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（三）赛项设计符合产业发展需求</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近年来，云计算、大数据、物联网、移动互联网、人工智能等新一代信息技术快速演进，硬件、软件、服务等核心技术体系加速重构，正在引发电子信息产业新一轮变革。智能电子信息产品成为各界关注的焦点，并成为生活必需品，形成的电子信息生态体系进一步完善，对经济社会发展的支撑引领作用全面凸显。</w:t>
      </w:r>
    </w:p>
    <w:p>
      <w:pPr>
        <w:snapToGrid w:val="0"/>
        <w:spacing w:line="560" w:lineRule="exact"/>
        <w:rPr>
          <w:rFonts w:ascii="仿宋" w:hAnsi="仿宋" w:eastAsia="仿宋" w:cs="Arial"/>
          <w:sz w:val="30"/>
          <w:szCs w:val="30"/>
        </w:rPr>
      </w:pPr>
      <w:r>
        <w:rPr>
          <w:rFonts w:hint="eastAsia" w:ascii="仿宋" w:hAnsi="仿宋" w:eastAsia="仿宋" w:cs="Arial"/>
          <w:sz w:val="30"/>
          <w:szCs w:val="30"/>
        </w:rPr>
        <w:t>电子信息产业的发展给人类的生活带来了许多方便，人们对智能电子产品的需求越来越大，可以预见，随着区域经济发展和产品竞争的不断加剧，在未来数十年电子信息产业还将保持高速发展。以下是中国工业和信息化部公布的自2012年到2016年关于我国电子信息产业销售额的统计。</w:t>
      </w:r>
    </w:p>
    <w:p>
      <w:pPr>
        <w:numPr>
          <w:ilvl w:val="0"/>
          <w:numId w:val="1"/>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2012年，我国电子信息产业销售收入总规模突破10万亿元大关，达到11.0万亿元，增幅超过15%；</w:t>
      </w:r>
    </w:p>
    <w:p>
      <w:pPr>
        <w:numPr>
          <w:ilvl w:val="0"/>
          <w:numId w:val="1"/>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2013年，我国电子信息产业销售收入总规模达到12.4万亿元，同比增长12.7%；</w:t>
      </w:r>
    </w:p>
    <w:p>
      <w:pPr>
        <w:numPr>
          <w:ilvl w:val="0"/>
          <w:numId w:val="1"/>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2014年，我国电子信息产业销售收入总规模达到14万亿元，同比增长13%；</w:t>
      </w:r>
    </w:p>
    <w:p>
      <w:pPr>
        <w:numPr>
          <w:ilvl w:val="0"/>
          <w:numId w:val="1"/>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2015年，我国电子信息产业销售收入总规模达到15.4万亿元，同比增长10.4%；</w:t>
      </w:r>
    </w:p>
    <w:p>
      <w:pPr>
        <w:numPr>
          <w:ilvl w:val="0"/>
          <w:numId w:val="1"/>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2016年，我国电子信息产业销售收入总规模达到17万亿元，同比增长10.3%；</w:t>
      </w:r>
      <w:r>
        <w:rPr>
          <w:rFonts w:ascii="仿宋" w:hAnsi="仿宋" w:eastAsia="仿宋" w:cs="Arial"/>
          <w:sz w:val="30"/>
          <w:szCs w:val="30"/>
        </w:rPr>
        <w:t xml:space="preserve"> </w:t>
      </w:r>
    </w:p>
    <w:p>
      <w:pPr>
        <w:numPr>
          <w:ilvl w:val="0"/>
          <w:numId w:val="1"/>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预计到2020年,我国电子信息产业销售收入总规模将超过20万亿。</w:t>
      </w:r>
    </w:p>
    <w:p>
      <w:pPr>
        <w:jc w:val="center"/>
        <w:rPr>
          <w:rFonts w:ascii="仿宋" w:hAnsi="仿宋" w:eastAsia="仿宋"/>
        </w:rPr>
      </w:pPr>
      <w: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总的来说，电子信息产业近几年无论是在全球还是在我国都得到了高速发展，未来还将保持良好的发展势态。虽然我国的电子信息产业与发达国家相比还有很大的差距，在产业结构上还存在许多不足与缺陷，但大体上我们国家的电子信息产业的发展还是呈上升趋势的，其发展空间也必然更加广阔，发展前景是十分明朗并乐观的。</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w:t>
      </w:r>
      <w:r>
        <w:rPr>
          <w:rFonts w:hint="eastAsia" w:ascii="Arial Narrow" w:hAnsi="Arial Narrow" w:eastAsia="仿宋_GB2312" w:cs="Arial"/>
          <w:sz w:val="30"/>
          <w:szCs w:val="30"/>
        </w:rPr>
        <w:t>四</w:t>
      </w:r>
      <w:r>
        <w:rPr>
          <w:rFonts w:ascii="Arial Narrow" w:hAnsi="Arial Narrow" w:eastAsia="仿宋_GB2312" w:cs="Arial"/>
          <w:sz w:val="30"/>
          <w:szCs w:val="30"/>
        </w:rPr>
        <w:t>）赛项关联岗位人才需求大</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自2001年12月加入世贸以来，我国电子信息产业得到了高速发展。工业和信息化部数据显示，近5年的平均增速达到了12%。智能电子产品如智能手机、智能电视、数码相机、各种存储介质的产量已达到世界第一，智能电子产品已经走入了人们工作和生活的各个方面，在使用中产生硬件故障及信息数据的丢失也不断增大，对智能电子产品检测维修与数据恢复的高素质技术技能人才的需求日益增多。据我国电脑普及发展状况统计报告显示，目前我国智能电子产品维修及数据恢复从业人员规模为100多万人，未来10年内，智能电子产品维修及数据恢复需求将呈上升趋势，总增长量将超100%。因此，培养大量的高素质应用型技术技能型人才成为支撑战略性电子信息行业发展的必然需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（五）赛项设计符合高职学历要求</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根据国内三家知名招聘网站的信息，行业相关岗位群对学历要求统计如下</w:t>
      </w:r>
    </w:p>
    <w:p>
      <w:pPr>
        <w:jc w:val="center"/>
        <w:rPr>
          <w:rFonts w:ascii="仿宋" w:hAnsi="仿宋" w:eastAsia="仿宋"/>
        </w:rPr>
      </w:pPr>
      <w:r>
        <w:rPr>
          <w:rFonts w:ascii="仿宋" w:hAnsi="仿宋" w:eastAsia="仿宋"/>
        </w:rPr>
        <w:drawing>
          <wp:inline distT="0" distB="0" distL="0" distR="0">
            <wp:extent cx="2159635" cy="1800225"/>
            <wp:effectExtent l="19050" t="19050" r="11700" b="28575"/>
            <wp:docPr id="14" name="图表 3"/>
            <wp:cNvGraphicFramePr/>
            <a:graphic xmlns:a="http://schemas.openxmlformats.org/drawingml/2006/main">
              <a:graphicData uri="http://schemas.openxmlformats.org/drawingml/2006/picture">
                <pic:pic xmlns:pic="http://schemas.openxmlformats.org/drawingml/2006/picture">
                  <pic:nvPicPr>
                    <pic:cNvPr id="14" name="图表 3"/>
                    <pic:cNvPicPr>
                      <a:picLocks noChangeArrowheads="1"/>
                    </pic:cNvPicPr>
                  </pic:nvPicPr>
                  <pic:blipFill>
                    <a:blip r:embed="rId8" cstate="print"/>
                    <a:srcRect b="-131"/>
                    <a:stretch>
                      <a:fillRect/>
                    </a:stretch>
                  </pic:blipFill>
                  <pic:spPr>
                    <a:xfrm>
                      <a:off x="0" y="0"/>
                      <a:ext cx="2160000" cy="1800225"/>
                    </a:xfrm>
                    <a:prstGeom prst="rect">
                      <a:avLst/>
                    </a:prstGeom>
                    <a:noFill/>
                    <a:ln w="9525">
                      <a:solidFill>
                        <a:schemeClr val="accent1"/>
                      </a:solidFill>
                      <a:miter lim="800000"/>
                      <a:headEnd/>
                      <a:tailEnd/>
                    </a:ln>
                  </pic:spPr>
                </pic:pic>
              </a:graphicData>
            </a:graphic>
          </wp:inline>
        </w:drawing>
      </w:r>
      <w:r>
        <w:rPr>
          <w:rFonts w:hint="eastAsia" w:ascii="仿宋" w:hAnsi="仿宋" w:eastAsia="仿宋"/>
        </w:rPr>
        <w:t xml:space="preserve"> </w:t>
      </w:r>
      <w:r>
        <w:rPr>
          <w:rFonts w:ascii="仿宋" w:hAnsi="仿宋" w:eastAsia="仿宋"/>
        </w:rPr>
        <w:drawing>
          <wp:inline distT="0" distB="0" distL="0" distR="0">
            <wp:extent cx="2159635" cy="1800225"/>
            <wp:effectExtent l="19050" t="19050" r="11700" b="28575"/>
            <wp:docPr id="15" name="图表 6"/>
            <wp:cNvGraphicFramePr/>
            <a:graphic xmlns:a="http://schemas.openxmlformats.org/drawingml/2006/main">
              <a:graphicData uri="http://schemas.openxmlformats.org/drawingml/2006/picture">
                <pic:pic xmlns:pic="http://schemas.openxmlformats.org/drawingml/2006/picture">
                  <pic:nvPicPr>
                    <pic:cNvPr id="15" name="图表 6"/>
                    <pic:cNvPicPr>
                      <a:picLocks noChangeArrowheads="1"/>
                    </pic:cNvPicPr>
                  </pic:nvPicPr>
                  <pic:blipFill>
                    <a:blip r:embed="rId9" cstate="print"/>
                    <a:srcRect/>
                    <a:stretch>
                      <a:fillRect/>
                    </a:stretch>
                  </pic:blipFill>
                  <pic:spPr>
                    <a:xfrm>
                      <a:off x="0" y="0"/>
                      <a:ext cx="2160000" cy="1800225"/>
                    </a:xfrm>
                    <a:prstGeom prst="rect">
                      <a:avLst/>
                    </a:prstGeom>
                    <a:noFill/>
                    <a:ln w="9525">
                      <a:solidFill>
                        <a:schemeClr val="accent1"/>
                      </a:solidFill>
                      <a:miter lim="800000"/>
                      <a:headEnd/>
                      <a:tailEnd/>
                    </a:ln>
                  </pic:spPr>
                </pic:pic>
              </a:graphicData>
            </a:graphic>
          </wp:inline>
        </w:drawing>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根据以上数据统计并加以分析，可以看出电子产品检测维修岗位群和数据恢复岗位群对大专学历的要求占比分别为31%和30%，因此本赛项设计符合就业岗位对高职学生学历的要求。</w:t>
      </w:r>
      <w:r>
        <w:rPr>
          <w:rFonts w:ascii="仿宋" w:hAnsi="仿宋" w:eastAsia="仿宋" w:cs="Arial"/>
          <w:sz w:val="30"/>
          <w:szCs w:val="30"/>
        </w:rPr>
        <w:t xml:space="preserve"> </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w:t>
      </w:r>
      <w:r>
        <w:rPr>
          <w:rFonts w:hint="eastAsia" w:ascii="Arial Narrow" w:hAnsi="Arial Narrow" w:eastAsia="仿宋_GB2312" w:cs="Arial"/>
          <w:sz w:val="30"/>
          <w:szCs w:val="30"/>
        </w:rPr>
        <w:t>六</w:t>
      </w:r>
      <w:r>
        <w:rPr>
          <w:rFonts w:ascii="Arial Narrow" w:hAnsi="Arial Narrow" w:eastAsia="仿宋_GB2312" w:cs="Arial"/>
          <w:sz w:val="30"/>
          <w:szCs w:val="30"/>
        </w:rPr>
        <w:t>）</w:t>
      </w:r>
      <w:r>
        <w:rPr>
          <w:rFonts w:hint="eastAsia" w:ascii="Arial Narrow" w:hAnsi="Arial Narrow" w:eastAsia="仿宋_GB2312" w:cs="Arial"/>
          <w:sz w:val="30"/>
          <w:szCs w:val="30"/>
        </w:rPr>
        <w:t>赛项</w:t>
      </w:r>
      <w:r>
        <w:rPr>
          <w:rFonts w:ascii="Arial Narrow" w:hAnsi="Arial Narrow" w:eastAsia="仿宋_GB2312" w:cs="Arial"/>
          <w:sz w:val="30"/>
          <w:szCs w:val="30"/>
        </w:rPr>
        <w:t>内容</w:t>
      </w:r>
      <w:r>
        <w:rPr>
          <w:rFonts w:hint="eastAsia" w:ascii="Arial Narrow" w:hAnsi="Arial Narrow" w:eastAsia="仿宋_GB2312" w:cs="Arial"/>
          <w:sz w:val="30"/>
          <w:szCs w:val="30"/>
        </w:rPr>
        <w:t>充分体现岗位用人需求</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大赛设计将从电子信息产业中智能电子产品检测维修与数据恢复的实际岗位技术技能需求出发，搭建真实岗位环境及维修环境，采用实际工作中运用的维修、恢复工具及测试仪表。赛题涉及的智能电子产品将根据市场中维修、恢复需求较大的产品类型进行制定，如智能手机、智能平板、智能门锁、智能家电、MP3/MP4、硬盘、U盘、SDD硬盘、SD卡、多媒体存储卡等，比赛涉及的故障将根据该类智能电子产品常见故障进行设置，部分故障点难度设置适当提高，在检验高职院校相关专业教学成果的同时也兼顾体现智能电子产品新技术和检验学生的创新能力。</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赛项关联的职业岗位包括：计算机</w:t>
      </w:r>
      <w:r>
        <w:rPr>
          <w:rFonts w:ascii="仿宋" w:hAnsi="仿宋" w:eastAsia="仿宋" w:cs="Arial"/>
          <w:sz w:val="30"/>
          <w:szCs w:val="30"/>
        </w:rPr>
        <w:t>(</w:t>
      </w:r>
      <w:r>
        <w:rPr>
          <w:rFonts w:hint="eastAsia" w:ascii="仿宋" w:hAnsi="仿宋" w:eastAsia="仿宋" w:cs="Arial"/>
          <w:sz w:val="30"/>
          <w:szCs w:val="30"/>
        </w:rPr>
        <w:t>微机</w:t>
      </w:r>
      <w:r>
        <w:rPr>
          <w:rFonts w:ascii="仿宋" w:hAnsi="仿宋" w:eastAsia="仿宋" w:cs="Arial"/>
          <w:sz w:val="30"/>
          <w:szCs w:val="30"/>
        </w:rPr>
        <w:t>)</w:t>
      </w:r>
      <w:r>
        <w:rPr>
          <w:rFonts w:hint="eastAsia" w:ascii="仿宋" w:hAnsi="仿宋" w:eastAsia="仿宋" w:cs="Arial"/>
          <w:sz w:val="30"/>
          <w:szCs w:val="30"/>
        </w:rPr>
        <w:t>维修工、电脑主板维修工、笔记本电脑维修工、手机维修工、办公设备维修工、数据恢复工程师、数码产品维修工、智能终端设备维修工等多个职业岗位。</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w:t>
      </w:r>
      <w:r>
        <w:rPr>
          <w:rFonts w:hint="eastAsia" w:ascii="Arial Narrow" w:hAnsi="Arial Narrow" w:eastAsia="仿宋_GB2312" w:cs="Arial"/>
          <w:sz w:val="30"/>
          <w:szCs w:val="30"/>
        </w:rPr>
        <w:t>七</w:t>
      </w:r>
      <w:r>
        <w:rPr>
          <w:rFonts w:ascii="Arial Narrow" w:hAnsi="Arial Narrow" w:eastAsia="仿宋_GB2312" w:cs="Arial"/>
          <w:sz w:val="30"/>
          <w:szCs w:val="30"/>
        </w:rPr>
        <w:t>）竞赛平台成熟</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竞赛选用的智能检测软件、中心管理系统、自动评分系统及维修对象已经在</w:t>
      </w:r>
      <w:r>
        <w:rPr>
          <w:rFonts w:ascii="仿宋" w:hAnsi="仿宋" w:eastAsia="仿宋" w:cs="Arial"/>
          <w:sz w:val="30"/>
          <w:szCs w:val="30"/>
        </w:rPr>
        <w:t>2011</w:t>
      </w:r>
      <w:r>
        <w:rPr>
          <w:rFonts w:hint="eastAsia" w:ascii="仿宋" w:hAnsi="仿宋" w:eastAsia="仿宋" w:cs="Arial"/>
          <w:sz w:val="30"/>
          <w:szCs w:val="30"/>
        </w:rPr>
        <w:t>年、</w:t>
      </w:r>
      <w:r>
        <w:rPr>
          <w:rFonts w:ascii="仿宋" w:hAnsi="仿宋" w:eastAsia="仿宋" w:cs="Arial"/>
          <w:sz w:val="30"/>
          <w:szCs w:val="30"/>
        </w:rPr>
        <w:t>2012</w:t>
      </w:r>
      <w:r>
        <w:rPr>
          <w:rFonts w:hint="eastAsia" w:ascii="仿宋" w:hAnsi="仿宋" w:eastAsia="仿宋" w:cs="Arial"/>
          <w:sz w:val="30"/>
          <w:szCs w:val="30"/>
        </w:rPr>
        <w:t>年、</w:t>
      </w:r>
      <w:r>
        <w:rPr>
          <w:rFonts w:ascii="仿宋" w:hAnsi="仿宋" w:eastAsia="仿宋" w:cs="Arial"/>
          <w:sz w:val="30"/>
          <w:szCs w:val="30"/>
        </w:rPr>
        <w:t>2014</w:t>
      </w:r>
      <w:r>
        <w:rPr>
          <w:rFonts w:hint="eastAsia" w:ascii="仿宋" w:hAnsi="仿宋" w:eastAsia="仿宋" w:cs="Arial"/>
          <w:sz w:val="30"/>
          <w:szCs w:val="30"/>
        </w:rPr>
        <w:t>年、2016年、2017年和2018年全国职业技能大赛中使用了6届，并且已在全国多所高职院校建立了实训室。同时，赛项所选用维修工具、仪器、仪表、智能检测设备及数据恢复平台等硬件设施，也已在上述历届全国职业技能大赛各省、市、自治区选拔赛中得到了检验，技术成熟，性能稳定。</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五、赛项方案的特色与创新点</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、比赛将模拟智能电子产品检测维修与数据恢复相关工作岗位的整个工作流程：从智能电子产品的故障检测、故障定位、故障维修、电子元器件拆焊和更换到存储设备数据恢复，以及整个工作过程中的</w:t>
      </w:r>
      <w:r>
        <w:rPr>
          <w:rFonts w:ascii="仿宋" w:hAnsi="仿宋" w:eastAsia="仿宋" w:cs="Arial"/>
          <w:sz w:val="30"/>
          <w:szCs w:val="30"/>
        </w:rPr>
        <w:t>5S</w:t>
      </w:r>
      <w:r>
        <w:rPr>
          <w:rFonts w:hint="eastAsia" w:ascii="仿宋" w:hAnsi="仿宋" w:eastAsia="仿宋" w:cs="Arial"/>
          <w:sz w:val="30"/>
          <w:szCs w:val="30"/>
        </w:rPr>
        <w:t>场地管理等多个工作场景，涵盖了多个智能电子产品检测维修与数据恢复的岗位技能，可多角度、全方位的展现参赛选手的综合技术水平和职业素养。</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2、方案设计扩展性强，能够满足行业未来5到10年的岗位新要求，灵活添加新技术考核模块。</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3、高职电子信息大类每个专业的课程体系和实训室基本均已涵盖本赛项需要的基础知识和技能，只需在现有知识和技能的基础上加强智能电子产品检测维修与数据恢复的训练，并辅以综合素养指导培训，便可以达到参赛水平，参赛选手选拔具有普适性。</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4、竞赛过程及任务之间相对独立而又相互关联，以便于全面客观的评价参赛选手的技术水平和职业能力。</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5、本赛项的竞赛结果评判成绩由三部分组成，机评分、客观结果评分和主观结果评分。机评分与客观结果评分主要考核选手岗位技术技能，主观结果评分主要考核选手职业素养及团队协作能力，并结合监督组成绩复核，通过采用该机制可以大大减少人为因素对竞赛成果的影响，保证了赛项的公平公正。</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6、赛题选用的智能检测设备、中心管理系统、数据恢复平台及维修对象已经具备向高职院校的电子产品检测维修实训室平滑迁移的可行性。</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7、大赛执委会将会同协办企业，对赛项知识资源和设备资源进行进一步整合和完善，为全国高职院校电子信息大类相关专业建设提供全方位、模块化的解决方案。</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六、竞赛内容简介（须附英文对照简介）</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本次赛项主要面向高职高专电子信息类专业，充分考核选手的知识、技能、综合职业素养，将技术考核与素质考核相结合，贯穿整个比赛过程，并且更加突出选手除知识、技能外的多种综合素养。</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待修电子产品将采用多样化的特征如智能手机、智能平板、MP3/MP4、硬盘、U盘、多媒体存储卡等，主要考察选手的以下技能，包括常用元器件的识别和检测能力、基本电路识图能力、电子电路分析能力、芯片功能分析能力、智能电子产品各功能电路的分析能力、智能电子产品维修技术、常用仪器仪表的使用、元器件的拆装/焊接工艺、计算机文件系统分析能力、数据存储与备份能力、数据恢复故障判断以及存储介质恢复工具应用能力等，参赛选手在运用以上技能的同时还需要在维修及恢复过程中体现高修复率、高效率，即高素质技术技能水平。</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This competition is mainly oriented to the electronic information specialty of Higher Vocational College, which is fully embedded in the assessment of the knowledge, skills and comprehensive professionalism of the players. It combines the technical assessment with the quality assessment, through the whole competition process, and more highlights a variety of comprehensive literacy of the players except knowledge and skills.</w:t>
      </w:r>
    </w:p>
    <w:p>
      <w:pPr>
        <w:snapToGrid w:val="0"/>
        <w:spacing w:line="560" w:lineRule="exact"/>
        <w:ind w:firstLine="600" w:firstLineChars="200"/>
        <w:rPr>
          <w:rFonts w:ascii="Arial Narrow" w:hAnsi="Arial Narrow" w:eastAsia="仿宋_GB2312" w:cs="Arial"/>
          <w:sz w:val="30"/>
          <w:szCs w:val="30"/>
        </w:rPr>
      </w:pPr>
      <w:r>
        <w:rPr>
          <w:rFonts w:ascii="仿宋" w:hAnsi="仿宋" w:eastAsia="仿宋" w:cs="Arial"/>
          <w:sz w:val="30"/>
          <w:szCs w:val="30"/>
        </w:rPr>
        <w:t>The electronic products to be repaired have various characteristics, such as smart phone, intelligent tablet, MP3/MP4, hard disk, U disk, multimedia storage card and so on. It mainly inspects the recognition and detection ability of the common components, basic circuit mapping ability, electronic circuit analysis ability, chip function analysis ability, Analysis ability of various functional circuits in intelligent electronic products, the maintenance technology of the intelligent electronic products, the use of common Instruments and devices, the disassembly / welding process of electronic components, the analysis ability of computer file system, the ability of data storage and backup, the judgment of the data recovery failure, and the application ability of the storage medium recovery tool, etc. With the above skills, it is necessary to reflect the high repair rate and high efficiency in the process of maintenance and recovery, that is, high level of skills.</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七、竞赛方式（含组队要求、是否邀请境外代表队参赛）</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1、在全国职业院校技能大赛组委会与执委会的指导下，在赛区组委会与执委会的领导下，由中国职业技术教育学会教学工作委员会牵头成立</w:t>
      </w:r>
      <w:r>
        <w:rPr>
          <w:rFonts w:ascii="仿宋" w:hAnsi="仿宋" w:eastAsia="仿宋" w:cs="Arial"/>
          <w:sz w:val="30"/>
          <w:szCs w:val="30"/>
        </w:rPr>
        <w:t>201</w:t>
      </w:r>
      <w:r>
        <w:rPr>
          <w:rFonts w:hint="eastAsia" w:ascii="仿宋" w:hAnsi="仿宋" w:eastAsia="仿宋" w:cs="Arial"/>
          <w:sz w:val="30"/>
          <w:szCs w:val="30"/>
        </w:rPr>
        <w:t>9年全国职业院校技能大赛电子产品芯片级检测维修与数据恢复赛项执委会，下设本赛项专家组、裁判组、仲裁组等工作机构。</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2、比赛时间为4小时，以团队方式进行，不计选手个人成绩，统计竞赛队的总成绩并进行排序。</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3、每支参赛队由2名参赛选手组成，2名选手须为同校在籍学生，其中队长</w:t>
      </w:r>
      <w:r>
        <w:rPr>
          <w:rFonts w:ascii="仿宋" w:hAnsi="仿宋" w:eastAsia="仿宋" w:cs="Arial"/>
          <w:sz w:val="30"/>
          <w:szCs w:val="30"/>
        </w:rPr>
        <w:t>1</w:t>
      </w:r>
      <w:r>
        <w:rPr>
          <w:rFonts w:hint="eastAsia" w:ascii="仿宋" w:hAnsi="仿宋" w:eastAsia="仿宋" w:cs="Arial"/>
          <w:sz w:val="30"/>
          <w:szCs w:val="30"/>
        </w:rPr>
        <w:t>名，性别和年级不限，并且每支参赛队可配指导教师</w:t>
      </w:r>
      <w:r>
        <w:rPr>
          <w:rFonts w:ascii="仿宋" w:hAnsi="仿宋" w:eastAsia="仿宋" w:cs="Arial"/>
          <w:sz w:val="30"/>
          <w:szCs w:val="30"/>
        </w:rPr>
        <w:t>2</w:t>
      </w:r>
      <w:r>
        <w:rPr>
          <w:rFonts w:hint="eastAsia" w:ascii="仿宋" w:hAnsi="仿宋" w:eastAsia="仿宋" w:cs="Arial"/>
          <w:sz w:val="30"/>
          <w:szCs w:val="30"/>
        </w:rPr>
        <w:t>名，指导教师须为本校专兼职教师。</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4、赛场的赛位将统一编制赛位号。比赛开始前，选手到赛场指定地点首先接受检录，然后抽取赛位号，最后进入指定赛位。赛位号由加密裁判经两次加密处理后封存保管于指定场所，在评分结束及成绩复合后开封汇总。</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5、竞赛采用封闭式竞赛，在赛前30分钟发放赛题。</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6、竞赛期间本赛项不允许参赛队的指导教师进入赛场进行现场指导。</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7、本赛项正在与国际参赛队接洽，同时欢迎国内外选手到场观赛。</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八、竞赛时间安排与流程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（一）时间安排</w:t>
      </w:r>
    </w:p>
    <w:tbl>
      <w:tblPr>
        <w:tblStyle w:val="17"/>
        <w:tblW w:w="7949" w:type="dxa"/>
        <w:jc w:val="center"/>
        <w:tblInd w:w="0" w:type="dxa"/>
        <w:tblLayout w:type="fixed"/>
        <w:tblCellMar>
          <w:top w:w="0" w:type="dxa"/>
          <w:left w:w="108" w:type="dxa"/>
          <w:bottom w:w="0" w:type="dxa"/>
          <w:right w:w="108" w:type="dxa"/>
        </w:tblCellMar>
      </w:tblPr>
      <w:tblGrid>
        <w:gridCol w:w="1277"/>
        <w:gridCol w:w="4916"/>
        <w:gridCol w:w="1756"/>
      </w:tblGrid>
      <w:tr>
        <w:tblPrEx>
          <w:tblLayout w:type="fixed"/>
          <w:tblCellMar>
            <w:top w:w="0" w:type="dxa"/>
            <w:left w:w="108" w:type="dxa"/>
            <w:bottom w:w="0" w:type="dxa"/>
            <w:right w:w="108" w:type="dxa"/>
          </w:tblCellMar>
        </w:tblPrEx>
        <w:trPr>
          <w:trHeight w:val="27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 w:hAnsiTheme="minorEastAsia"/>
                <w:b/>
                <w:bCs/>
                <w:sz w:val="24"/>
                <w:szCs w:val="24"/>
              </w:rPr>
            </w:pPr>
            <w:r>
              <w:rPr>
                <w:rFonts w:hint="eastAsia" w:ascii="仿宋_GB2312" w:eastAsia="仿宋_GB2312" w:cs="仿宋" w:hAnsiTheme="minorEastAsia"/>
                <w:b/>
                <w:bCs/>
                <w:sz w:val="24"/>
                <w:szCs w:val="24"/>
              </w:rPr>
              <w:t>日期</w:t>
            </w:r>
          </w:p>
        </w:tc>
        <w:tc>
          <w:tcPr>
            <w:tcW w:w="4916" w:type="dxa"/>
            <w:tcBorders>
              <w:top w:val="single" w:color="auto" w:sz="4" w:space="0"/>
              <w:left w:val="nil"/>
              <w:bottom w:val="single" w:color="auto" w:sz="4" w:space="0"/>
              <w:right w:val="single" w:color="auto" w:sz="4" w:space="0"/>
            </w:tcBorders>
            <w:vAlign w:val="center"/>
          </w:tcPr>
          <w:p>
            <w:pPr>
              <w:jc w:val="center"/>
              <w:rPr>
                <w:rFonts w:ascii="仿宋_GB2312" w:eastAsia="仿宋_GB2312" w:cs="仿宋" w:hAnsiTheme="minorEastAsia"/>
                <w:b/>
                <w:bCs/>
                <w:sz w:val="24"/>
                <w:szCs w:val="24"/>
              </w:rPr>
            </w:pPr>
            <w:r>
              <w:rPr>
                <w:rFonts w:hint="eastAsia" w:ascii="仿宋_GB2312" w:eastAsia="仿宋_GB2312" w:cs="仿宋" w:hAnsiTheme="minorEastAsia"/>
                <w:b/>
                <w:bCs/>
                <w:sz w:val="24"/>
                <w:szCs w:val="24"/>
              </w:rPr>
              <w:t>事项安排</w:t>
            </w:r>
          </w:p>
        </w:tc>
        <w:tc>
          <w:tcPr>
            <w:tcW w:w="1756" w:type="dxa"/>
            <w:tcBorders>
              <w:top w:val="single" w:color="auto" w:sz="4" w:space="0"/>
              <w:left w:val="nil"/>
              <w:bottom w:val="single" w:color="auto" w:sz="4" w:space="0"/>
              <w:right w:val="single" w:color="auto" w:sz="4" w:space="0"/>
            </w:tcBorders>
          </w:tcPr>
          <w:p>
            <w:pPr>
              <w:jc w:val="center"/>
              <w:rPr>
                <w:rFonts w:ascii="仿宋_GB2312" w:eastAsia="仿宋_GB2312" w:cs="仿宋" w:hAnsiTheme="minorEastAsia"/>
                <w:b/>
                <w:bCs/>
                <w:sz w:val="24"/>
                <w:szCs w:val="24"/>
              </w:rPr>
            </w:pPr>
            <w:r>
              <w:rPr>
                <w:rFonts w:hint="eastAsia" w:ascii="仿宋_GB2312" w:eastAsia="仿宋_GB2312" w:cs="仿宋" w:hAnsiTheme="minorEastAsia"/>
                <w:b/>
                <w:bCs/>
                <w:sz w:val="24"/>
                <w:szCs w:val="24"/>
              </w:rPr>
              <w:t>时间</w:t>
            </w:r>
          </w:p>
        </w:tc>
      </w:tr>
      <w:tr>
        <w:tblPrEx>
          <w:tblLayout w:type="fixed"/>
          <w:tblCellMar>
            <w:top w:w="0" w:type="dxa"/>
            <w:left w:w="108" w:type="dxa"/>
            <w:bottom w:w="0" w:type="dxa"/>
            <w:right w:w="108" w:type="dxa"/>
          </w:tblCellMar>
        </w:tblPrEx>
        <w:trPr>
          <w:trHeight w:val="363" w:hRule="atLeast"/>
          <w:jc w:val="center"/>
        </w:trPr>
        <w:tc>
          <w:tcPr>
            <w:tcW w:w="1277"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cs="仿宋" w:hAnsiTheme="minorEastAsia"/>
                <w:b/>
                <w:bCs/>
                <w:sz w:val="24"/>
                <w:szCs w:val="24"/>
              </w:rPr>
            </w:pPr>
            <w:r>
              <w:rPr>
                <w:rFonts w:hint="eastAsia" w:ascii="仿宋_GB2312" w:eastAsia="仿宋_GB2312" w:cs="仿宋" w:hAnsiTheme="minorEastAsia"/>
                <w:b/>
                <w:bCs/>
                <w:sz w:val="24"/>
                <w:szCs w:val="24"/>
              </w:rPr>
              <w:t>第一天</w:t>
            </w:r>
          </w:p>
        </w:tc>
        <w:tc>
          <w:tcPr>
            <w:tcW w:w="4916" w:type="dxa"/>
            <w:tcBorders>
              <w:top w:val="single" w:color="auto" w:sz="4" w:space="0"/>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参赛队报到注册</w:t>
            </w:r>
          </w:p>
        </w:tc>
        <w:tc>
          <w:tcPr>
            <w:tcW w:w="1756" w:type="dxa"/>
            <w:tcBorders>
              <w:top w:val="single" w:color="auto" w:sz="4" w:space="0"/>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w:t>
            </w:r>
          </w:p>
        </w:tc>
      </w:tr>
      <w:tr>
        <w:tblPrEx>
          <w:tblLayout w:type="fixed"/>
          <w:tblCellMar>
            <w:top w:w="0" w:type="dxa"/>
            <w:left w:w="108" w:type="dxa"/>
            <w:bottom w:w="0" w:type="dxa"/>
            <w:right w:w="108" w:type="dxa"/>
          </w:tblCellMar>
        </w:tblPrEx>
        <w:trPr>
          <w:trHeight w:val="270" w:hRule="atLeast"/>
          <w:jc w:val="center"/>
        </w:trPr>
        <w:tc>
          <w:tcPr>
            <w:tcW w:w="1277" w:type="dxa"/>
            <w:vMerge w:val="continue"/>
            <w:tcBorders>
              <w:left w:val="single" w:color="auto" w:sz="4" w:space="0"/>
              <w:right w:val="single" w:color="auto" w:sz="4" w:space="0"/>
            </w:tcBorders>
            <w:vAlign w:val="center"/>
          </w:tcPr>
          <w:p>
            <w:pPr>
              <w:jc w:val="center"/>
              <w:rPr>
                <w:rFonts w:ascii="仿宋_GB2312" w:eastAsia="仿宋_GB2312" w:cs="仿宋" w:hAnsiTheme="minorEastAsia"/>
                <w:b/>
                <w:bCs/>
                <w:sz w:val="24"/>
                <w:szCs w:val="24"/>
              </w:rPr>
            </w:pPr>
          </w:p>
        </w:tc>
        <w:tc>
          <w:tcPr>
            <w:tcW w:w="4916" w:type="dxa"/>
            <w:tcBorders>
              <w:top w:val="single" w:color="auto" w:sz="4" w:space="0"/>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领队会</w:t>
            </w:r>
          </w:p>
        </w:tc>
        <w:tc>
          <w:tcPr>
            <w:tcW w:w="1756" w:type="dxa"/>
            <w:tcBorders>
              <w:top w:val="single" w:color="auto" w:sz="4" w:space="0"/>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15:00-15:30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ascii="仿宋_GB2312" w:eastAsia="仿宋_GB2312" w:cs="仿宋" w:hAnsiTheme="minorEastAsia"/>
                <w:sz w:val="24"/>
                <w:szCs w:val="24"/>
              </w:rPr>
            </w:pPr>
          </w:p>
        </w:tc>
        <w:tc>
          <w:tcPr>
            <w:tcW w:w="4916" w:type="dxa"/>
            <w:tcBorders>
              <w:top w:val="nil"/>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熟悉赛场</w:t>
            </w:r>
          </w:p>
        </w:tc>
        <w:tc>
          <w:tcPr>
            <w:tcW w:w="1756" w:type="dxa"/>
            <w:tcBorders>
              <w:top w:val="nil"/>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15:30-16:30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cs="仿宋" w:hAnsiTheme="minorEastAsia"/>
                <w:sz w:val="24"/>
                <w:szCs w:val="24"/>
              </w:rPr>
            </w:pPr>
          </w:p>
        </w:tc>
        <w:tc>
          <w:tcPr>
            <w:tcW w:w="4916" w:type="dxa"/>
            <w:tcBorders>
              <w:top w:val="nil"/>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裁判培训会</w:t>
            </w:r>
          </w:p>
        </w:tc>
        <w:tc>
          <w:tcPr>
            <w:tcW w:w="1756" w:type="dxa"/>
            <w:tcBorders>
              <w:top w:val="nil"/>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15:30-16:30</w:t>
            </w:r>
          </w:p>
        </w:tc>
      </w:tr>
      <w:tr>
        <w:tblPrEx>
          <w:tblLayout w:type="fixed"/>
          <w:tblCellMar>
            <w:top w:w="0" w:type="dxa"/>
            <w:left w:w="108" w:type="dxa"/>
            <w:bottom w:w="0" w:type="dxa"/>
            <w:right w:w="108" w:type="dxa"/>
          </w:tblCellMar>
        </w:tblPrEx>
        <w:trPr>
          <w:trHeight w:val="285" w:hRule="atLeast"/>
          <w:jc w:val="center"/>
        </w:trPr>
        <w:tc>
          <w:tcPr>
            <w:tcW w:w="1277" w:type="dxa"/>
            <w:vMerge w:val="restart"/>
            <w:tcBorders>
              <w:top w:val="nil"/>
              <w:left w:val="single" w:color="auto" w:sz="4" w:space="0"/>
              <w:right w:val="single" w:color="auto" w:sz="4" w:space="0"/>
            </w:tcBorders>
            <w:vAlign w:val="center"/>
          </w:tcPr>
          <w:p>
            <w:pPr>
              <w:jc w:val="center"/>
              <w:rPr>
                <w:rFonts w:ascii="仿宋_GB2312" w:eastAsia="仿宋_GB2312" w:cs="仿宋" w:hAnsiTheme="minorEastAsia"/>
                <w:b/>
                <w:sz w:val="24"/>
                <w:szCs w:val="24"/>
              </w:rPr>
            </w:pPr>
            <w:r>
              <w:rPr>
                <w:rFonts w:hint="eastAsia" w:ascii="仿宋_GB2312" w:eastAsia="仿宋_GB2312" w:cs="仿宋" w:hAnsiTheme="minorEastAsia"/>
                <w:b/>
                <w:sz w:val="24"/>
                <w:szCs w:val="24"/>
              </w:rPr>
              <w:t>第二天</w:t>
            </w:r>
          </w:p>
        </w:tc>
        <w:tc>
          <w:tcPr>
            <w:tcW w:w="4916" w:type="dxa"/>
            <w:tcBorders>
              <w:top w:val="nil"/>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选手到场</w:t>
            </w:r>
          </w:p>
        </w:tc>
        <w:tc>
          <w:tcPr>
            <w:tcW w:w="1756" w:type="dxa"/>
            <w:tcBorders>
              <w:top w:val="nil"/>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7:30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ascii="仿宋_GB2312" w:eastAsia="仿宋_GB2312" w:cs="仿宋" w:hAnsiTheme="minorEastAsia"/>
                <w:sz w:val="24"/>
                <w:szCs w:val="24"/>
              </w:rPr>
            </w:pPr>
          </w:p>
        </w:tc>
        <w:tc>
          <w:tcPr>
            <w:tcW w:w="4916" w:type="dxa"/>
            <w:tcBorders>
              <w:top w:val="nil"/>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 xml:space="preserve">检录、二次加密及入场  </w:t>
            </w:r>
          </w:p>
        </w:tc>
        <w:tc>
          <w:tcPr>
            <w:tcW w:w="1756" w:type="dxa"/>
            <w:tcBorders>
              <w:top w:val="nil"/>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7:30-8:30</w:t>
            </w:r>
          </w:p>
        </w:tc>
      </w:tr>
      <w:tr>
        <w:tblPrEx>
          <w:tblLayout w:type="fixed"/>
          <w:tblCellMar>
            <w:top w:w="0" w:type="dxa"/>
            <w:left w:w="108" w:type="dxa"/>
            <w:bottom w:w="0" w:type="dxa"/>
            <w:right w:w="108" w:type="dxa"/>
          </w:tblCellMar>
        </w:tblPrEx>
        <w:trPr>
          <w:trHeight w:val="293" w:hRule="atLeast"/>
          <w:jc w:val="center"/>
        </w:trPr>
        <w:tc>
          <w:tcPr>
            <w:tcW w:w="1277" w:type="dxa"/>
            <w:vMerge w:val="continue"/>
            <w:tcBorders>
              <w:left w:val="single" w:color="auto" w:sz="4" w:space="0"/>
              <w:right w:val="single" w:color="auto" w:sz="4" w:space="0"/>
            </w:tcBorders>
            <w:vAlign w:val="center"/>
          </w:tcPr>
          <w:p>
            <w:pPr>
              <w:jc w:val="center"/>
              <w:rPr>
                <w:rFonts w:ascii="仿宋_GB2312" w:eastAsia="仿宋_GB2312" w:cs="仿宋" w:hAnsiTheme="minorEastAsia"/>
                <w:sz w:val="24"/>
                <w:szCs w:val="24"/>
              </w:rPr>
            </w:pPr>
          </w:p>
        </w:tc>
        <w:tc>
          <w:tcPr>
            <w:tcW w:w="4916" w:type="dxa"/>
            <w:tcBorders>
              <w:top w:val="nil"/>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赛前30钟准备</w:t>
            </w:r>
          </w:p>
        </w:tc>
        <w:tc>
          <w:tcPr>
            <w:tcW w:w="1756" w:type="dxa"/>
            <w:tcBorders>
              <w:top w:val="nil"/>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8:30-9:00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ascii="仿宋_GB2312" w:eastAsia="仿宋_GB2312" w:cs="仿宋" w:hAnsiTheme="minorEastAsia"/>
                <w:sz w:val="24"/>
                <w:szCs w:val="24"/>
              </w:rPr>
            </w:pPr>
          </w:p>
        </w:tc>
        <w:tc>
          <w:tcPr>
            <w:tcW w:w="4916" w:type="dxa"/>
            <w:tcBorders>
              <w:top w:val="nil"/>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比赛时间</w:t>
            </w:r>
          </w:p>
        </w:tc>
        <w:tc>
          <w:tcPr>
            <w:tcW w:w="1756" w:type="dxa"/>
            <w:tcBorders>
              <w:top w:val="nil"/>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9:00-13:00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ascii="仿宋_GB2312" w:eastAsia="仿宋_GB2312" w:cs="仿宋" w:hAnsiTheme="minorEastAsia"/>
                <w:sz w:val="24"/>
                <w:szCs w:val="24"/>
              </w:rPr>
            </w:pPr>
          </w:p>
        </w:tc>
        <w:tc>
          <w:tcPr>
            <w:tcW w:w="4916" w:type="dxa"/>
            <w:tcBorders>
              <w:top w:val="nil"/>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组委会饮食提供</w:t>
            </w:r>
          </w:p>
        </w:tc>
        <w:tc>
          <w:tcPr>
            <w:tcW w:w="1756" w:type="dxa"/>
            <w:tcBorders>
              <w:top w:val="nil"/>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12:00-12:45</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ascii="仿宋_GB2312" w:eastAsia="仿宋_GB2312" w:cs="仿宋" w:hAnsiTheme="minorEastAsia"/>
                <w:sz w:val="24"/>
                <w:szCs w:val="24"/>
              </w:rPr>
            </w:pPr>
          </w:p>
        </w:tc>
        <w:tc>
          <w:tcPr>
            <w:tcW w:w="4916" w:type="dxa"/>
            <w:tcBorders>
              <w:top w:val="nil"/>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参赛代表队离场</w:t>
            </w:r>
          </w:p>
        </w:tc>
        <w:tc>
          <w:tcPr>
            <w:tcW w:w="1756" w:type="dxa"/>
            <w:tcBorders>
              <w:top w:val="nil"/>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13:00-13:15</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ascii="仿宋_GB2312" w:eastAsia="仿宋_GB2312" w:cs="仿宋" w:hAnsiTheme="minorEastAsia"/>
                <w:sz w:val="24"/>
                <w:szCs w:val="24"/>
              </w:rPr>
            </w:pPr>
          </w:p>
        </w:tc>
        <w:tc>
          <w:tcPr>
            <w:tcW w:w="4916" w:type="dxa"/>
            <w:tcBorders>
              <w:top w:val="nil"/>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赛项申诉与仲裁</w:t>
            </w:r>
          </w:p>
        </w:tc>
        <w:tc>
          <w:tcPr>
            <w:tcW w:w="1756" w:type="dxa"/>
            <w:tcBorders>
              <w:top w:val="nil"/>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13:30-15:30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ascii="仿宋_GB2312" w:eastAsia="仿宋_GB2312" w:cs="仿宋" w:hAnsiTheme="minorEastAsia"/>
                <w:sz w:val="24"/>
                <w:szCs w:val="24"/>
              </w:rPr>
            </w:pPr>
          </w:p>
        </w:tc>
        <w:tc>
          <w:tcPr>
            <w:tcW w:w="4916" w:type="dxa"/>
            <w:tcBorders>
              <w:top w:val="single" w:color="auto" w:sz="4" w:space="0"/>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裁判评分、成绩复核确认、录入上报</w:t>
            </w:r>
          </w:p>
        </w:tc>
        <w:tc>
          <w:tcPr>
            <w:tcW w:w="1756" w:type="dxa"/>
            <w:tcBorders>
              <w:top w:val="single" w:color="auto" w:sz="4" w:space="0"/>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13:30-17:30</w:t>
            </w:r>
          </w:p>
        </w:tc>
      </w:tr>
      <w:tr>
        <w:tblPrEx>
          <w:tblLayout w:type="fixed"/>
          <w:tblCellMar>
            <w:top w:w="0" w:type="dxa"/>
            <w:left w:w="108" w:type="dxa"/>
            <w:bottom w:w="0" w:type="dxa"/>
            <w:right w:w="108" w:type="dxa"/>
          </w:tblCellMar>
        </w:tblPrEx>
        <w:trPr>
          <w:trHeight w:val="28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 w:hAnsiTheme="minorEastAsia"/>
                <w:b/>
                <w:sz w:val="24"/>
                <w:szCs w:val="24"/>
              </w:rPr>
            </w:pPr>
            <w:r>
              <w:rPr>
                <w:rFonts w:hint="eastAsia" w:ascii="仿宋_GB2312" w:eastAsia="仿宋_GB2312" w:cs="仿宋" w:hAnsiTheme="minorEastAsia"/>
                <w:b/>
                <w:sz w:val="24"/>
                <w:szCs w:val="24"/>
              </w:rPr>
              <w:t>第三天</w:t>
            </w:r>
          </w:p>
        </w:tc>
        <w:tc>
          <w:tcPr>
            <w:tcW w:w="4916" w:type="dxa"/>
            <w:tcBorders>
              <w:top w:val="single" w:color="auto" w:sz="4" w:space="0"/>
              <w:left w:val="nil"/>
              <w:bottom w:val="single" w:color="auto" w:sz="4" w:space="0"/>
              <w:right w:val="single" w:color="auto" w:sz="4" w:space="0"/>
            </w:tcBorders>
            <w:vAlign w:val="center"/>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闭幕式 成绩公布</w:t>
            </w:r>
          </w:p>
        </w:tc>
        <w:tc>
          <w:tcPr>
            <w:tcW w:w="1756" w:type="dxa"/>
            <w:tcBorders>
              <w:top w:val="single" w:color="auto" w:sz="4" w:space="0"/>
              <w:left w:val="nil"/>
              <w:bottom w:val="single" w:color="auto" w:sz="4" w:space="0"/>
              <w:right w:val="single" w:color="auto" w:sz="4" w:space="0"/>
            </w:tcBorders>
          </w:tcPr>
          <w:p>
            <w:pPr>
              <w:rPr>
                <w:rFonts w:ascii="仿宋_GB2312" w:eastAsia="仿宋_GB2312" w:cs="仿宋" w:hAnsiTheme="minorEastAsia"/>
                <w:bCs/>
                <w:sz w:val="24"/>
                <w:szCs w:val="24"/>
              </w:rPr>
            </w:pPr>
            <w:r>
              <w:rPr>
                <w:rFonts w:hint="eastAsia" w:ascii="仿宋_GB2312" w:eastAsia="仿宋_GB2312" w:cs="仿宋" w:hAnsiTheme="minorEastAsia"/>
                <w:bCs/>
                <w:sz w:val="24"/>
                <w:szCs w:val="24"/>
              </w:rPr>
              <w:t>——</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w:t>
      </w:r>
      <w:r>
        <w:rPr>
          <w:rFonts w:ascii="Arial Narrow" w:hAnsi="Arial Narrow" w:eastAsia="仿宋_GB2312" w:cs="Arial"/>
          <w:sz w:val="30"/>
          <w:szCs w:val="30"/>
        </w:rPr>
        <w:t>）</w:t>
      </w:r>
      <w:r>
        <w:rPr>
          <w:rFonts w:hint="eastAsia" w:ascii="Arial Narrow" w:hAnsi="Arial Narrow" w:eastAsia="仿宋_GB2312" w:cs="Arial"/>
          <w:sz w:val="30"/>
          <w:szCs w:val="30"/>
        </w:rPr>
        <w:t>竞赛流程图</w:t>
      </w:r>
    </w:p>
    <w:p>
      <w:bookmarkStart w:id="0" w:name="_Hlk521276166"/>
      <w:r>
        <w:rPr>
          <w:rFonts w:ascii="仿宋" w:hAnsi="仿宋" w:eastAsia="仿宋"/>
        </w:rPr>
        <mc:AlternateContent>
          <mc:Choice Requires="wpg">
            <w:drawing>
              <wp:inline distT="0" distB="0" distL="0" distR="0">
                <wp:extent cx="5274310" cy="5572125"/>
                <wp:effectExtent l="0" t="0" r="0" b="28575"/>
                <wp:docPr id="146" name="组合 146"/>
                <wp:cNvGraphicFramePr/>
                <a:graphic xmlns:a="http://schemas.openxmlformats.org/drawingml/2006/main">
                  <a:graphicData uri="http://schemas.microsoft.com/office/word/2010/wordprocessingGroup">
                    <wpg:wgp>
                      <wpg:cNvGrpSpPr/>
                      <wpg:grpSpPr>
                        <a:xfrm>
                          <a:off x="0" y="0"/>
                          <a:ext cx="5274310" cy="5572545"/>
                          <a:chOff x="2360" y="2417"/>
                          <a:chExt cx="7200" cy="7608"/>
                        </a:xfrm>
                      </wpg:grpSpPr>
                      <wps:wsp>
                        <wps:cNvPr id="147" name="Picture 7"/>
                        <wps:cNvSpPr>
                          <a:spLocks noChangeAspect="1" noChangeArrowheads="1" noTextEdit="1"/>
                        </wps:cNvSpPr>
                        <wps:spPr bwMode="auto">
                          <a:xfrm>
                            <a:off x="2360" y="2417"/>
                            <a:ext cx="7200" cy="7608"/>
                          </a:xfrm>
                          <a:prstGeom prst="rect">
                            <a:avLst/>
                          </a:prstGeom>
                          <a:noFill/>
                          <a:ln>
                            <a:noFill/>
                          </a:ln>
                        </wps:spPr>
                        <wps:bodyPr rot="0" vert="horz" wrap="square" lIns="91440" tIns="45720" rIns="91440" bIns="45720" anchor="t" anchorCtr="0" upright="1">
                          <a:noAutofit/>
                        </wps:bodyPr>
                      </wps:wsp>
                      <wps:wsp>
                        <wps:cNvPr id="148" name="Flowchart: Alternate Process 8"/>
                        <wps:cNvSpPr>
                          <a:spLocks noChangeArrowheads="1"/>
                        </wps:cNvSpPr>
                        <wps:spPr bwMode="auto">
                          <a:xfrm>
                            <a:off x="3072" y="2678"/>
                            <a:ext cx="1484" cy="571"/>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参赛队报到</w:t>
                              </w:r>
                            </w:p>
                          </w:txbxContent>
                        </wps:txbx>
                        <wps:bodyPr rot="0" vert="horz" wrap="square" lIns="91440" tIns="45720" rIns="91440" bIns="45720" anchor="t" anchorCtr="0" upright="1">
                          <a:noAutofit/>
                        </wps:bodyPr>
                      </wps:wsp>
                      <wps:wsp>
                        <wps:cNvPr id="149" name="Flowchart: Alternate Process 9"/>
                        <wps:cNvSpPr>
                          <a:spLocks noChangeArrowheads="1"/>
                        </wps:cNvSpPr>
                        <wps:spPr bwMode="auto">
                          <a:xfrm>
                            <a:off x="5265" y="2678"/>
                            <a:ext cx="1454" cy="650"/>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领队会</w:t>
                              </w:r>
                            </w:p>
                          </w:txbxContent>
                        </wps:txbx>
                        <wps:bodyPr rot="0" vert="horz" wrap="square" lIns="91440" tIns="45720" rIns="91440" bIns="45720" anchor="t" anchorCtr="0" upright="1">
                          <a:noAutofit/>
                        </wps:bodyPr>
                      </wps:wsp>
                      <wps:wsp>
                        <wps:cNvPr id="150" name="Flowchart: Alternate Process 10"/>
                        <wps:cNvSpPr>
                          <a:spLocks noChangeArrowheads="1"/>
                        </wps:cNvSpPr>
                        <wps:spPr bwMode="auto">
                          <a:xfrm>
                            <a:off x="7295" y="2678"/>
                            <a:ext cx="1453" cy="650"/>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熟悉赛场</w:t>
                              </w:r>
                            </w:p>
                          </w:txbxContent>
                        </wps:txbx>
                        <wps:bodyPr rot="0" vert="horz" wrap="square" lIns="91440" tIns="45720" rIns="91440" bIns="45720" anchor="t" anchorCtr="0" upright="1">
                          <a:noAutofit/>
                        </wps:bodyPr>
                      </wps:wsp>
                      <wps:wsp>
                        <wps:cNvPr id="151" name="Flowchart: Alternate Process 11"/>
                        <wps:cNvSpPr>
                          <a:spLocks noChangeArrowheads="1"/>
                        </wps:cNvSpPr>
                        <wps:spPr bwMode="auto">
                          <a:xfrm>
                            <a:off x="7295" y="3840"/>
                            <a:ext cx="1453" cy="651"/>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检录二次加密</w:t>
                              </w:r>
                            </w:p>
                          </w:txbxContent>
                        </wps:txbx>
                        <wps:bodyPr rot="0" vert="horz" wrap="square" lIns="91440" tIns="45720" rIns="91440" bIns="45720" anchor="t" anchorCtr="0" upright="1">
                          <a:noAutofit/>
                        </wps:bodyPr>
                      </wps:wsp>
                      <wps:wsp>
                        <wps:cNvPr id="152" name="Flowchart: Alternate Process 12"/>
                        <wps:cNvSpPr>
                          <a:spLocks noChangeArrowheads="1"/>
                        </wps:cNvSpPr>
                        <wps:spPr bwMode="auto">
                          <a:xfrm>
                            <a:off x="5199" y="3840"/>
                            <a:ext cx="1669" cy="651"/>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30分钟准备</w:t>
                              </w:r>
                            </w:p>
                            <w:p/>
                          </w:txbxContent>
                        </wps:txbx>
                        <wps:bodyPr rot="0" vert="horz" wrap="square" lIns="91440" tIns="45720" rIns="91440" bIns="45720" anchor="t" anchorCtr="0" upright="1">
                          <a:noAutofit/>
                        </wps:bodyPr>
                      </wps:wsp>
                      <wps:wsp>
                        <wps:cNvPr id="153" name="Flowchart: Alternate Process 13"/>
                        <wps:cNvSpPr>
                          <a:spLocks noChangeArrowheads="1"/>
                        </wps:cNvSpPr>
                        <wps:spPr bwMode="auto">
                          <a:xfrm>
                            <a:off x="2958" y="3840"/>
                            <a:ext cx="1677" cy="651"/>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宣布比赛开始</w:t>
                              </w:r>
                            </w:p>
                          </w:txbxContent>
                        </wps:txbx>
                        <wps:bodyPr rot="0" vert="horz" wrap="square" lIns="91440" tIns="45720" rIns="91440" bIns="45720" anchor="t" anchorCtr="0" upright="1">
                          <a:noAutofit/>
                        </wps:bodyPr>
                      </wps:wsp>
                      <wps:wsp>
                        <wps:cNvPr id="154" name="Flowchart: Alternate Process 10"/>
                        <wps:cNvSpPr>
                          <a:spLocks noChangeArrowheads="1"/>
                        </wps:cNvSpPr>
                        <wps:spPr bwMode="auto">
                          <a:xfrm>
                            <a:off x="2958" y="4988"/>
                            <a:ext cx="1677" cy="651"/>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比赛操作</w:t>
                              </w:r>
                            </w:p>
                          </w:txbxContent>
                        </wps:txbx>
                        <wps:bodyPr rot="0" vert="horz" wrap="square" lIns="91440" tIns="45720" rIns="91440" bIns="45720" anchor="t" anchorCtr="0" upright="1">
                          <a:noAutofit/>
                        </wps:bodyPr>
                      </wps:wsp>
                      <wps:wsp>
                        <wps:cNvPr id="155" name="Flowchart: Alternate Process 15"/>
                        <wps:cNvSpPr>
                          <a:spLocks noChangeArrowheads="1"/>
                        </wps:cNvSpPr>
                        <wps:spPr bwMode="auto">
                          <a:xfrm>
                            <a:off x="5265" y="4989"/>
                            <a:ext cx="1708" cy="650"/>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宣布比赛结束</w:t>
                              </w:r>
                            </w:p>
                          </w:txbxContent>
                        </wps:txbx>
                        <wps:bodyPr rot="0" vert="horz" wrap="square" lIns="91440" tIns="45720" rIns="91440" bIns="45720" anchor="t" anchorCtr="0" upright="1">
                          <a:noAutofit/>
                        </wps:bodyPr>
                      </wps:wsp>
                      <wps:wsp>
                        <wps:cNvPr id="156" name="Flowchart: Alternate Process 16"/>
                        <wps:cNvSpPr>
                          <a:spLocks noChangeArrowheads="1"/>
                        </wps:cNvSpPr>
                        <wps:spPr bwMode="auto">
                          <a:xfrm>
                            <a:off x="3342" y="6360"/>
                            <a:ext cx="1139" cy="651"/>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评分</w:t>
                              </w:r>
                            </w:p>
                          </w:txbxContent>
                        </wps:txbx>
                        <wps:bodyPr rot="0" vert="horz" wrap="square" lIns="91440" tIns="45720" rIns="91440" bIns="45720" anchor="t" anchorCtr="0" upright="1">
                          <a:noAutofit/>
                        </wps:bodyPr>
                      </wps:wsp>
                      <wps:wsp>
                        <wps:cNvPr id="157" name="Flowchart: Alternate Process 17"/>
                        <wps:cNvSpPr>
                          <a:spLocks noChangeArrowheads="1"/>
                        </wps:cNvSpPr>
                        <wps:spPr bwMode="auto">
                          <a:xfrm>
                            <a:off x="3071" y="7336"/>
                            <a:ext cx="1737" cy="650"/>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成绩复核确认</w:t>
                              </w:r>
                            </w:p>
                          </w:txbxContent>
                        </wps:txbx>
                        <wps:bodyPr rot="0" vert="horz" wrap="square" lIns="91440" tIns="45720" rIns="91440" bIns="45720" anchor="t" anchorCtr="0" upright="1">
                          <a:noAutofit/>
                        </wps:bodyPr>
                      </wps:wsp>
                      <wps:wsp>
                        <wps:cNvPr id="158" name="Flowchart: Alternate Process 18"/>
                        <wps:cNvSpPr>
                          <a:spLocks noChangeArrowheads="1"/>
                        </wps:cNvSpPr>
                        <wps:spPr bwMode="auto">
                          <a:xfrm>
                            <a:off x="3072" y="8386"/>
                            <a:ext cx="1736" cy="650"/>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成绩录入上报</w:t>
                              </w:r>
                            </w:p>
                          </w:txbxContent>
                        </wps:txbx>
                        <wps:bodyPr rot="0" vert="horz" wrap="square" lIns="91440" tIns="45720" rIns="91440" bIns="45720" anchor="t" anchorCtr="0" upright="1">
                          <a:noAutofit/>
                        </wps:bodyPr>
                      </wps:wsp>
                      <wps:wsp>
                        <wps:cNvPr id="159" name="Flowchart: Alternate Process 19"/>
                        <wps:cNvSpPr>
                          <a:spLocks noChangeArrowheads="1"/>
                        </wps:cNvSpPr>
                        <wps:spPr bwMode="auto">
                          <a:xfrm>
                            <a:off x="3072" y="9374"/>
                            <a:ext cx="1801" cy="651"/>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闭幕式公布成绩</w:t>
                              </w:r>
                            </w:p>
                          </w:txbxContent>
                        </wps:txbx>
                        <wps:bodyPr rot="0" vert="horz" wrap="square" lIns="91440" tIns="45720" rIns="91440" bIns="45720" anchor="t" anchorCtr="0" upright="1">
                          <a:noAutofit/>
                        </wps:bodyPr>
                      </wps:wsp>
                      <wps:wsp>
                        <wps:cNvPr id="160" name="Flowchart: Alternate Process 20"/>
                        <wps:cNvSpPr>
                          <a:spLocks noChangeArrowheads="1"/>
                        </wps:cNvSpPr>
                        <wps:spPr bwMode="auto">
                          <a:xfrm>
                            <a:off x="6796" y="6359"/>
                            <a:ext cx="1310" cy="651"/>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仲裁申请</w:t>
                              </w:r>
                            </w:p>
                            <w:p>
                              <w:pPr>
                                <w:spacing w:line="400" w:lineRule="exact"/>
                                <w:jc w:val="center"/>
                              </w:pPr>
                            </w:p>
                          </w:txbxContent>
                        </wps:txbx>
                        <wps:bodyPr rot="0" vert="horz" wrap="square" lIns="91440" tIns="45720" rIns="91440" bIns="45720" anchor="t" anchorCtr="0" upright="1">
                          <a:noAutofit/>
                        </wps:bodyPr>
                      </wps:wsp>
                      <wps:wsp>
                        <wps:cNvPr id="161" name="Flowchart: Alternate Process 21"/>
                        <wps:cNvSpPr>
                          <a:spLocks noChangeArrowheads="1"/>
                        </wps:cNvSpPr>
                        <wps:spPr bwMode="auto">
                          <a:xfrm>
                            <a:off x="6447" y="7336"/>
                            <a:ext cx="2214" cy="650"/>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赛项仲裁委复议回复</w:t>
                              </w:r>
                            </w:p>
                          </w:txbxContent>
                        </wps:txbx>
                        <wps:bodyPr rot="0" vert="horz" wrap="square" lIns="91440" tIns="45720" rIns="91440" bIns="45720" anchor="t" anchorCtr="0" upright="1">
                          <a:noAutofit/>
                        </wps:bodyPr>
                      </wps:wsp>
                      <wps:wsp>
                        <wps:cNvPr id="162" name="Flowchart: Alternate Process 22"/>
                        <wps:cNvSpPr>
                          <a:spLocks noChangeArrowheads="1"/>
                        </wps:cNvSpPr>
                        <wps:spPr bwMode="auto">
                          <a:xfrm>
                            <a:off x="6447" y="8386"/>
                            <a:ext cx="2214" cy="650"/>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二次申诉</w:t>
                              </w:r>
                            </w:p>
                          </w:txbxContent>
                        </wps:txbx>
                        <wps:bodyPr rot="0" vert="horz" wrap="square" lIns="91440" tIns="45720" rIns="91440" bIns="45720" anchor="t" anchorCtr="0" upright="1">
                          <a:noAutofit/>
                        </wps:bodyPr>
                      </wps:wsp>
                      <wps:wsp>
                        <wps:cNvPr id="163" name="Flowchart: Alternate Process 23"/>
                        <wps:cNvSpPr>
                          <a:spLocks noChangeArrowheads="1"/>
                        </wps:cNvSpPr>
                        <wps:spPr bwMode="auto">
                          <a:xfrm>
                            <a:off x="6447" y="9375"/>
                            <a:ext cx="2214" cy="650"/>
                          </a:xfrm>
                          <a:prstGeom prst="flowChartAlternateProcess">
                            <a:avLst/>
                          </a:prstGeom>
                          <a:solidFill>
                            <a:srgbClr val="FFFFFF"/>
                          </a:solidFill>
                          <a:ln w="9525">
                            <a:solidFill>
                              <a:srgbClr val="000000"/>
                            </a:solidFill>
                            <a:miter lim="200000"/>
                          </a:ln>
                        </wps:spPr>
                        <wps:txbx>
                          <w:txbxContent>
                            <w:p>
                              <w:pPr>
                                <w:spacing w:line="400" w:lineRule="exact"/>
                                <w:jc w:val="center"/>
                                <w:rPr>
                                  <w:rFonts w:ascii="仿宋" w:hAnsi="仿宋" w:eastAsia="仿宋"/>
                                </w:rPr>
                              </w:pPr>
                              <w:r>
                                <w:rPr>
                                  <w:rFonts w:hint="eastAsia" w:ascii="仿宋" w:hAnsi="仿宋" w:eastAsia="仿宋"/>
                                </w:rPr>
                                <w:t>赛区仲裁委复议回复</w:t>
                              </w:r>
                            </w:p>
                          </w:txbxContent>
                        </wps:txbx>
                        <wps:bodyPr rot="0" vert="horz" wrap="square" lIns="91440" tIns="45720" rIns="91440" bIns="45720" anchor="t" anchorCtr="0" upright="1">
                          <a:noAutofit/>
                        </wps:bodyPr>
                      </wps:wsp>
                      <wps:wsp>
                        <wps:cNvPr id="164" name="Right Arrow 24"/>
                        <wps:cNvSpPr>
                          <a:spLocks noChangeArrowheads="1"/>
                        </wps:cNvSpPr>
                        <wps:spPr bwMode="auto">
                          <a:xfrm>
                            <a:off x="4701" y="2931"/>
                            <a:ext cx="564" cy="141"/>
                          </a:xfrm>
                          <a:prstGeom prst="rightArrow">
                            <a:avLst>
                              <a:gd name="adj1" fmla="val 50000"/>
                              <a:gd name="adj2" fmla="val 100000"/>
                            </a:avLst>
                          </a:prstGeom>
                          <a:solidFill>
                            <a:srgbClr val="FFFFFF"/>
                          </a:solidFill>
                          <a:ln w="9525">
                            <a:solidFill>
                              <a:srgbClr val="000000"/>
                            </a:solidFill>
                            <a:miter lim="200000"/>
                          </a:ln>
                        </wps:spPr>
                        <wps:bodyPr rot="0" vert="horz" wrap="square" lIns="91440" tIns="45720" rIns="91440" bIns="45720" anchor="t" anchorCtr="0" upright="1">
                          <a:noAutofit/>
                        </wps:bodyPr>
                      </wps:wsp>
                      <wps:wsp>
                        <wps:cNvPr id="165" name="Right Arrow 25"/>
                        <wps:cNvSpPr>
                          <a:spLocks noChangeArrowheads="1"/>
                        </wps:cNvSpPr>
                        <wps:spPr bwMode="auto">
                          <a:xfrm>
                            <a:off x="6731" y="2931"/>
                            <a:ext cx="564" cy="141"/>
                          </a:xfrm>
                          <a:prstGeom prst="rightArrow">
                            <a:avLst>
                              <a:gd name="adj1" fmla="val 50000"/>
                              <a:gd name="adj2" fmla="val 100000"/>
                            </a:avLst>
                          </a:prstGeom>
                          <a:solidFill>
                            <a:srgbClr val="FFFFFF"/>
                          </a:solidFill>
                          <a:ln w="9525">
                            <a:solidFill>
                              <a:srgbClr val="000000"/>
                            </a:solidFill>
                            <a:miter lim="200000"/>
                          </a:ln>
                        </wps:spPr>
                        <wps:bodyPr rot="0" vert="horz" wrap="square" lIns="91440" tIns="45720" rIns="91440" bIns="45720" anchor="t" anchorCtr="0" upright="1">
                          <a:noAutofit/>
                        </wps:bodyPr>
                      </wps:wsp>
                      <wps:wsp>
                        <wps:cNvPr id="166" name="Right Arrow 27"/>
                        <wps:cNvSpPr>
                          <a:spLocks noChangeArrowheads="1"/>
                        </wps:cNvSpPr>
                        <wps:spPr bwMode="auto">
                          <a:xfrm rot="10800000">
                            <a:off x="6895" y="4091"/>
                            <a:ext cx="400" cy="141"/>
                          </a:xfrm>
                          <a:prstGeom prst="rightArrow">
                            <a:avLst>
                              <a:gd name="adj1" fmla="val 50000"/>
                              <a:gd name="adj2" fmla="val 100000"/>
                            </a:avLst>
                          </a:prstGeom>
                          <a:solidFill>
                            <a:srgbClr val="FFFFFF"/>
                          </a:solidFill>
                          <a:ln w="9525">
                            <a:solidFill>
                              <a:srgbClr val="000000"/>
                            </a:solidFill>
                            <a:miter lim="200000"/>
                          </a:ln>
                        </wps:spPr>
                        <wps:bodyPr rot="0" vert="horz" wrap="square" lIns="91440" tIns="45720" rIns="91440" bIns="45720" anchor="t" anchorCtr="0" upright="1">
                          <a:noAutofit/>
                        </wps:bodyPr>
                      </wps:wsp>
                      <wps:wsp>
                        <wps:cNvPr id="167" name="Right Arrow 28"/>
                        <wps:cNvSpPr>
                          <a:spLocks noChangeArrowheads="1"/>
                        </wps:cNvSpPr>
                        <wps:spPr bwMode="auto">
                          <a:xfrm rot="10800000">
                            <a:off x="4635" y="4091"/>
                            <a:ext cx="564" cy="141"/>
                          </a:xfrm>
                          <a:prstGeom prst="rightArrow">
                            <a:avLst>
                              <a:gd name="adj1" fmla="val 50000"/>
                              <a:gd name="adj2" fmla="val 100000"/>
                            </a:avLst>
                          </a:prstGeom>
                          <a:solidFill>
                            <a:srgbClr val="FFFFFF"/>
                          </a:solidFill>
                          <a:ln w="9525">
                            <a:solidFill>
                              <a:srgbClr val="000000"/>
                            </a:solidFill>
                            <a:miter lim="200000"/>
                          </a:ln>
                        </wps:spPr>
                        <wps:bodyPr rot="0" vert="horz" wrap="square" lIns="91440" tIns="45720" rIns="91440" bIns="45720" anchor="t" anchorCtr="0" upright="1">
                          <a:noAutofit/>
                        </wps:bodyPr>
                      </wps:wsp>
                      <wps:wsp>
                        <wps:cNvPr id="168" name="Right Arrow 24"/>
                        <wps:cNvSpPr>
                          <a:spLocks noChangeArrowheads="1"/>
                        </wps:cNvSpPr>
                        <wps:spPr bwMode="auto">
                          <a:xfrm>
                            <a:off x="4701" y="5241"/>
                            <a:ext cx="564" cy="141"/>
                          </a:xfrm>
                          <a:prstGeom prst="rightArrow">
                            <a:avLst>
                              <a:gd name="adj1" fmla="val 50000"/>
                              <a:gd name="adj2" fmla="val 100000"/>
                            </a:avLst>
                          </a:prstGeom>
                          <a:solidFill>
                            <a:srgbClr val="FFFFFF"/>
                          </a:solidFill>
                          <a:ln w="9525">
                            <a:solidFill>
                              <a:srgbClr val="000000"/>
                            </a:solidFill>
                            <a:miter lim="200000"/>
                          </a:ln>
                        </wps:spPr>
                        <wps:bodyPr rot="0" vert="horz" wrap="square" lIns="91440" tIns="45720" rIns="91440" bIns="45720" anchor="t" anchorCtr="0" upright="1">
                          <a:noAutofit/>
                        </wps:bodyPr>
                      </wps:wsp>
                      <wps:wsp>
                        <wps:cNvPr id="169" name="Down Arrow 30"/>
                        <wps:cNvSpPr>
                          <a:spLocks noChangeArrowheads="1"/>
                        </wps:cNvSpPr>
                        <wps:spPr bwMode="auto">
                          <a:xfrm>
                            <a:off x="7935" y="3408"/>
                            <a:ext cx="171" cy="432"/>
                          </a:xfrm>
                          <a:prstGeom prst="downArrow">
                            <a:avLst>
                              <a:gd name="adj1" fmla="val 50000"/>
                              <a:gd name="adj2" fmla="val 63158"/>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170" name="Down Arrow 31"/>
                        <wps:cNvSpPr>
                          <a:spLocks noChangeArrowheads="1"/>
                        </wps:cNvSpPr>
                        <wps:spPr bwMode="auto">
                          <a:xfrm>
                            <a:off x="3782" y="4556"/>
                            <a:ext cx="172" cy="432"/>
                          </a:xfrm>
                          <a:prstGeom prst="downArrow">
                            <a:avLst>
                              <a:gd name="adj1" fmla="val 50000"/>
                              <a:gd name="adj2" fmla="val 62791"/>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171" name="Straight Connector 32"/>
                        <wps:cNvCnPr>
                          <a:cxnSpLocks noChangeShapeType="1"/>
                        </wps:cNvCnPr>
                        <wps:spPr bwMode="auto">
                          <a:xfrm>
                            <a:off x="3954" y="6076"/>
                            <a:ext cx="3479" cy="1"/>
                          </a:xfrm>
                          <a:prstGeom prst="straightConnector1">
                            <a:avLst/>
                          </a:prstGeom>
                          <a:noFill/>
                          <a:ln w="9525">
                            <a:solidFill>
                              <a:srgbClr val="000000"/>
                            </a:solidFill>
                            <a:round/>
                          </a:ln>
                        </wps:spPr>
                        <wps:bodyPr/>
                      </wps:wsp>
                      <wps:wsp>
                        <wps:cNvPr id="172" name="Down Arrow 33"/>
                        <wps:cNvSpPr>
                          <a:spLocks noChangeArrowheads="1"/>
                        </wps:cNvSpPr>
                        <wps:spPr bwMode="auto">
                          <a:xfrm>
                            <a:off x="6099" y="5707"/>
                            <a:ext cx="142" cy="369"/>
                          </a:xfrm>
                          <a:prstGeom prst="downArrow">
                            <a:avLst>
                              <a:gd name="adj1" fmla="val 50000"/>
                              <a:gd name="adj2" fmla="val 64965"/>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173" name="Down Arrow 34"/>
                        <wps:cNvSpPr>
                          <a:spLocks noChangeArrowheads="1"/>
                        </wps:cNvSpPr>
                        <wps:spPr bwMode="auto">
                          <a:xfrm>
                            <a:off x="3898" y="6077"/>
                            <a:ext cx="123" cy="283"/>
                          </a:xfrm>
                          <a:prstGeom prst="downArrow">
                            <a:avLst>
                              <a:gd name="adj1" fmla="val 50000"/>
                              <a:gd name="adj2" fmla="val 57520"/>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174" name="Down Arrow 35"/>
                        <wps:cNvSpPr>
                          <a:spLocks noChangeArrowheads="1"/>
                        </wps:cNvSpPr>
                        <wps:spPr bwMode="auto">
                          <a:xfrm>
                            <a:off x="7365" y="6077"/>
                            <a:ext cx="123" cy="283"/>
                          </a:xfrm>
                          <a:prstGeom prst="downArrow">
                            <a:avLst>
                              <a:gd name="adj1" fmla="val 50000"/>
                              <a:gd name="adj2" fmla="val 57520"/>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175" name="Down Arrow 36"/>
                        <wps:cNvSpPr>
                          <a:spLocks noChangeArrowheads="1"/>
                        </wps:cNvSpPr>
                        <wps:spPr bwMode="auto">
                          <a:xfrm>
                            <a:off x="3898" y="7010"/>
                            <a:ext cx="123" cy="325"/>
                          </a:xfrm>
                          <a:prstGeom prst="downArrow">
                            <a:avLst>
                              <a:gd name="adj1" fmla="val 50000"/>
                              <a:gd name="adj2" fmla="val 66057"/>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176" name="Down Arrow 37"/>
                        <wps:cNvSpPr>
                          <a:spLocks noChangeArrowheads="1"/>
                        </wps:cNvSpPr>
                        <wps:spPr bwMode="auto">
                          <a:xfrm>
                            <a:off x="3898" y="7986"/>
                            <a:ext cx="123" cy="400"/>
                          </a:xfrm>
                          <a:prstGeom prst="downArrow">
                            <a:avLst>
                              <a:gd name="adj1" fmla="val 50000"/>
                              <a:gd name="adj2" fmla="val 81301"/>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177" name="Down Arrow 38"/>
                        <wps:cNvSpPr>
                          <a:spLocks noChangeArrowheads="1"/>
                        </wps:cNvSpPr>
                        <wps:spPr bwMode="auto">
                          <a:xfrm>
                            <a:off x="3898" y="9036"/>
                            <a:ext cx="124" cy="338"/>
                          </a:xfrm>
                          <a:prstGeom prst="downArrow">
                            <a:avLst>
                              <a:gd name="adj1" fmla="val 50000"/>
                              <a:gd name="adj2" fmla="val 68145"/>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178" name="Down Arrow 39"/>
                        <wps:cNvSpPr>
                          <a:spLocks noChangeArrowheads="1"/>
                        </wps:cNvSpPr>
                        <wps:spPr bwMode="auto">
                          <a:xfrm>
                            <a:off x="7365" y="7010"/>
                            <a:ext cx="124" cy="325"/>
                          </a:xfrm>
                          <a:prstGeom prst="downArrow">
                            <a:avLst>
                              <a:gd name="adj1" fmla="val 50000"/>
                              <a:gd name="adj2" fmla="val 65524"/>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179" name="Down Arrow 40"/>
                        <wps:cNvSpPr>
                          <a:spLocks noChangeArrowheads="1"/>
                        </wps:cNvSpPr>
                        <wps:spPr bwMode="auto">
                          <a:xfrm>
                            <a:off x="7365" y="7986"/>
                            <a:ext cx="124" cy="400"/>
                          </a:xfrm>
                          <a:prstGeom prst="downArrow">
                            <a:avLst>
                              <a:gd name="adj1" fmla="val 50000"/>
                              <a:gd name="adj2" fmla="val 80645"/>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180" name="Down Arrow 41"/>
                        <wps:cNvSpPr>
                          <a:spLocks noChangeArrowheads="1"/>
                        </wps:cNvSpPr>
                        <wps:spPr bwMode="auto">
                          <a:xfrm>
                            <a:off x="7433" y="9036"/>
                            <a:ext cx="123" cy="339"/>
                          </a:xfrm>
                          <a:prstGeom prst="downArrow">
                            <a:avLst>
                              <a:gd name="adj1" fmla="val 50000"/>
                              <a:gd name="adj2" fmla="val 68902"/>
                            </a:avLst>
                          </a:prstGeom>
                          <a:solidFill>
                            <a:srgbClr val="FFFFFF"/>
                          </a:solidFill>
                          <a:ln w="9525">
                            <a:solidFill>
                              <a:srgbClr val="000000"/>
                            </a:solidFill>
                            <a:miter lim="200000"/>
                          </a:ln>
                        </wps:spPr>
                        <wps:bodyPr rot="0" vert="eaVert" wrap="square" lIns="91440" tIns="45720" rIns="91440" bIns="45720" anchor="t" anchorCtr="0" upright="1">
                          <a:noAutofit/>
                        </wps:bodyPr>
                      </wps:wsp>
                    </wpg:wgp>
                  </a:graphicData>
                </a:graphic>
              </wp:inline>
            </w:drawing>
          </mc:Choice>
          <mc:Fallback>
            <w:pict>
              <v:group id="_x0000_s1026" o:spid="_x0000_s1026" o:spt="203" style="height:438.75pt;width:415.3pt;" coordorigin="2360,2417" coordsize="7200,7608" o:gfxdata="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">
                <o:lock v:ext="edit" aspectratio="f"/>
                <v:rect id="Picture 7" o:spid="_x0000_s1026" o:spt="1" style="position:absolute;left:2360;top:2417;height:7608;width:7200;" filled="f" stroked="f" coordsize="21600,21600" o:gfxdata="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9K7sAAADc&#10;AAAADwAAAAAAAAABACAAAAAiAAAAZHJzL2Rvd25yZXYueG1sUEsBAhQAFAAAAAgAh07iQDMvBZ47&#10;AAAAOQAAABAAAAAAAAAAAQAgAAAACgEAAGRycy9zaGFwZXhtbC54bWxQSwUGAAAAAAYABgBbAQAA&#10;tAMAAAAA&#10;">
                  <v:fill on="f" focussize="0,0"/>
                  <v:stroke on="f"/>
                  <v:imagedata o:title=""/>
                  <o:lock v:ext="edit" text="t" aspectratio="t"/>
                </v:rect>
                <v:shape id="Flowchart: Alternate Process 8" o:spid="_x0000_s1026" o:spt="176" type="#_x0000_t176" style="position:absolute;left:3072;top:2678;height:571;width:1484;" fillcolor="#FFFFFF" filled="t" stroked="t" coordsize="21600,21600" o:gfxdata="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4nPr4A&#10;AADcAAAADwAAAAAAAAABACAAAAAiAAAAZHJzL2Rvd25yZXYueG1sUEsBAhQAFAAAAAgAh07iQDMv&#10;BZ47AAAAOQAAABAAAAAAAAAAAQAgAAAADQEAAGRycy9zaGFwZXhtbC54bWxQSwUGAAAAAAYABgBb&#10;AQAAtwM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参赛队报到</w:t>
                        </w:r>
                      </w:p>
                    </w:txbxContent>
                  </v:textbox>
                </v:shape>
                <v:shape id="Flowchart: Alternate Process 9" o:spid="_x0000_s1026" o:spt="176" type="#_x0000_t176" style="position:absolute;left:5265;top:2678;height:650;width:1454;" fillcolor="#FFFFFF" filled="t" stroked="t" coordsize="21600,21600" o:gfxdata="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CgqW/&#10;AAAA3AAAAA8AAAAAAAAAAQAgAAAAIgAAAGRycy9kb3ducmV2LnhtbFBLAQIUABQAAAAIAIdO4kAz&#10;LwWeOwAAADkAAAAQAAAAAAAAAAEAIAAAAA4BAABkcnMvc2hhcGV4bWwueG1sUEsFBgAAAAAGAAYA&#10;WwEAALgDA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领队会</w:t>
                        </w:r>
                      </w:p>
                    </w:txbxContent>
                  </v:textbox>
                </v:shape>
                <v:shape id="Flowchart: Alternate Process 10" o:spid="_x0000_s1026" o:spt="176" type="#_x0000_t176" style="position:absolute;left:7295;top:2678;height:650;width:1453;" fillcolor="#FFFFFF" filled="t" stroked="t" coordsize="21600,21600" o:gfxdata="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G95b4A&#10;AADcAAAADwAAAAAAAAABACAAAAAiAAAAZHJzL2Rvd25yZXYueG1sUEsBAhQAFAAAAAgAh07iQDMv&#10;BZ47AAAAOQAAABAAAAAAAAAAAQAgAAAADQEAAGRycy9zaGFwZXhtbC54bWxQSwUGAAAAAAYABgBb&#10;AQAAtwM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熟悉赛场</w:t>
                        </w:r>
                      </w:p>
                    </w:txbxContent>
                  </v:textbox>
                </v:shape>
                <v:shape id="Flowchart: Alternate Process 11" o:spid="_x0000_s1026" o:spt="176" type="#_x0000_t176" style="position:absolute;left:7295;top:3840;height:651;width:1453;" fillcolor="#FFFFFF" filled="t" stroked="t" coordsize="21600,21600" o:gfxdata="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tGH6/&#10;AAAA3AAAAA8AAAAAAAAAAQAgAAAAIgAAAGRycy9kb3ducmV2LnhtbFBLAQIUABQAAAAIAIdO4kAz&#10;LwWeOwAAADkAAAAQAAAAAAAAAAEAIAAAAA4BAABkcnMvc2hhcGV4bWwueG1sUEsFBgAAAAAGAAYA&#10;WwEAALgDA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检录二次加密</w:t>
                        </w:r>
                      </w:p>
                    </w:txbxContent>
                  </v:textbox>
                </v:shape>
                <v:shape id="Flowchart: Alternate Process 12" o:spid="_x0000_s1026" o:spt="176" type="#_x0000_t176" style="position:absolute;left:5199;top:3840;height:651;width:1669;" fillcolor="#FFFFFF" filled="t" stroked="t" coordsize="21600,21600" o:gfxdata="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GCb4A&#10;AADcAAAADwAAAAAAAAABACAAAAAiAAAAZHJzL2Rvd25yZXYueG1sUEsBAhQAFAAAAAgAh07iQDMv&#10;BZ47AAAAOQAAABAAAAAAAAAAAQAgAAAADQEAAGRycy9zaGFwZXhtbC54bWxQSwUGAAAAAAYABgBb&#10;AQAAtwM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30分钟准备</w:t>
                        </w:r>
                      </w:p>
                      <w:p/>
                    </w:txbxContent>
                  </v:textbox>
                </v:shape>
                <v:shape id="Flowchart: Alternate Process 13" o:spid="_x0000_s1026" o:spt="176" type="#_x0000_t176" style="position:absolute;left:2958;top:3840;height:651;width:1677;" fillcolor="#FFFFFF" filled="t" stroked="t" coordsize="21600,21600" o:gfxdata="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syOS&#10;wAAAANwAAAAPAAAAAAAAAAEAIAAAACIAAABkcnMvZG93bnJldi54bWxQSwECFAAUAAAACACHTuJA&#10;My8FnjsAAAA5AAAAEAAAAAAAAAABACAAAAAPAQAAZHJzL3NoYXBleG1sLnhtbFBLBQYAAAAABgAG&#10;AFsBAAC5Aw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宣布比赛开始</w:t>
                        </w:r>
                      </w:p>
                    </w:txbxContent>
                  </v:textbox>
                </v:shape>
                <v:shape id="Flowchart: Alternate Process 10" o:spid="_x0000_s1026" o:spt="176" type="#_x0000_t176" style="position:absolute;left:2958;top:4988;height:651;width:1677;" fillcolor="#FFFFFF" filled="t" stroked="t" coordsize="21600,21600" o:gfxdata="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au+a/&#10;AAAA3AAAAA8AAAAAAAAAAQAgAAAAIgAAAGRycy9kb3ducmV2LnhtbFBLAQIUABQAAAAIAIdO4kAz&#10;LwWeOwAAADkAAAAQAAAAAAAAAAEAIAAAAA4BAABkcnMvc2hhcGV4bWwueG1sUEsFBgAAAAAGAAYA&#10;WwEAALgDA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比赛操作</w:t>
                        </w:r>
                      </w:p>
                    </w:txbxContent>
                  </v:textbox>
                </v:shape>
                <v:shape id="Flowchart: Alternate Process 15" o:spid="_x0000_s1026" o:spt="176" type="#_x0000_t176" style="position:absolute;left:5265;top:4989;height:650;width:1708;" fillcolor="#FFFFFF" filled="t" stroked="t" coordsize="21600,21600" o:gfxdata="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WHn2/&#10;AAAA3AAAAA8AAAAAAAAAAQAgAAAAIgAAAGRycy9kb3ducmV2LnhtbFBLAQIUABQAAAAIAIdO4kAz&#10;LwWeOwAAADkAAAAQAAAAAAAAAAEAIAAAAA4BAABkcnMvc2hhcGV4bWwueG1sUEsFBgAAAAAGAAYA&#10;WwEAALgDA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宣布比赛结束</w:t>
                        </w:r>
                      </w:p>
                    </w:txbxContent>
                  </v:textbox>
                </v:shape>
                <v:shape id="Flowchart: Alternate Process 16" o:spid="_x0000_s1026" o:spt="176" type="#_x0000_t176" style="position:absolute;left:3342;top:6360;height:651;width:1139;" fillcolor="#FFFFFF" filled="t" stroked="t" coordsize="21600,21600" o:gfxdata="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EgAq/&#10;AAAA3AAAAA8AAAAAAAAAAQAgAAAAIgAAAGRycy9kb3ducmV2LnhtbFBLAQIUABQAAAAIAIdO4kAz&#10;LwWeOwAAADkAAAAQAAAAAAAAAAEAIAAAAA4BAABkcnMvc2hhcGV4bWwueG1sUEsFBgAAAAAGAAYA&#10;WwEAALgDA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评分</w:t>
                        </w:r>
                      </w:p>
                    </w:txbxContent>
                  </v:textbox>
                </v:shape>
                <v:shape id="Flowchart: Alternate Process 17" o:spid="_x0000_s1026" o:spt="176" type="#_x0000_t176" style="position:absolute;left:3071;top:7336;height:650;width:1737;" fillcolor="#FFFFFF" filled="t" stroked="t" coordsize="21600,21600" o:gfxdata="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iCWR&#10;wAAAANwAAAAPAAAAAAAAAAEAIAAAACIAAABkcnMvZG93bnJldi54bWxQSwECFAAUAAAACACHTuJA&#10;My8FnjsAAAA5AAAAEAAAAAAAAAABACAAAAAPAQAAZHJzL3NoYXBleG1sLnhtbFBLBQYAAAAABgAG&#10;AFsBAAC5Aw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成绩复核确认</w:t>
                        </w:r>
                      </w:p>
                    </w:txbxContent>
                  </v:textbox>
                </v:shape>
                <v:shape id="Flowchart: Alternate Process 18" o:spid="_x0000_s1026" o:spt="176" type="#_x0000_t176" style="position:absolute;left:3072;top:8386;height:650;width:1736;" fillcolor="#FFFFFF" filled="t" stroked="t" coordsize="21600,21600" o:gfxdata="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ex474A&#10;AADcAAAADwAAAAAAAAABACAAAAAiAAAAZHJzL2Rvd25yZXYueG1sUEsBAhQAFAAAAAgAh07iQDMv&#10;BZ47AAAAOQAAABAAAAAAAAAAAQAgAAAADQEAAGRycy9zaGFwZXhtbC54bWxQSwUGAAAAAAYABgBb&#10;AQAAtwM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成绩录入上报</w:t>
                        </w:r>
                      </w:p>
                    </w:txbxContent>
                  </v:textbox>
                </v:shape>
                <v:shape id="Flowchart: Alternate Process 19" o:spid="_x0000_s1026" o:spt="176" type="#_x0000_t176" style="position:absolute;left:3072;top:9374;height:651;width:1801;" fillcolor="#FFFFFF" filled="t" stroked="t" coordsize="21600,21600" o:gfxdata="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bFHi/&#10;AAAA3AAAAA8AAAAAAAAAAQAgAAAAIgAAAGRycy9kb3ducmV2LnhtbFBLAQIUABQAAAAIAIdO4kAz&#10;LwWeOwAAADkAAAAQAAAAAAAAAAEAIAAAAA4BAABkcnMvc2hhcGV4bWwueG1sUEsFBgAAAAAGAAYA&#10;WwEAALgDA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闭幕式公布成绩</w:t>
                        </w:r>
                      </w:p>
                    </w:txbxContent>
                  </v:textbox>
                </v:shape>
                <v:shape id="Flowchart: Alternate Process 20" o:spid="_x0000_s1026" o:spt="176" type="#_x0000_t176" style="position:absolute;left:6796;top:6359;height:651;width:1310;" fillcolor="#FFFFFF" filled="t" stroked="t" coordsize="21600,21600" o:gfxdata="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13WL4A&#10;AADcAAAADwAAAAAAAAABACAAAAAiAAAAZHJzL2Rvd25yZXYueG1sUEsBAhQAFAAAAAgAh07iQDMv&#10;BZ47AAAAOQAAABAAAAAAAAAAAQAgAAAADQEAAGRycy9zaGFwZXhtbC54bWxQSwUGAAAAAAYABgBb&#10;AQAAtwM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仲裁申请</w:t>
                        </w:r>
                      </w:p>
                      <w:p>
                        <w:pPr>
                          <w:spacing w:line="400" w:lineRule="exact"/>
                          <w:jc w:val="center"/>
                        </w:pPr>
                      </w:p>
                    </w:txbxContent>
                  </v:textbox>
                </v:shape>
                <v:shape id="Flowchart: Alternate Process 21" o:spid="_x0000_s1026" o:spt="176" type="#_x0000_t176" style="position:absolute;left:6447;top:7336;height:650;width:2214;" fillcolor="#FFFFFF" filled="t" stroked="t" coordsize="21600,21600" o:gfxdata="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EHSw74A&#10;AADcAAAADwAAAAAAAAABACAAAAAiAAAAZHJzL2Rvd25yZXYueG1sUEsBAhQAFAAAAAgAh07iQDMv&#10;BZ47AAAAOQAAABAAAAAAAAAAAQAgAAAADQEAAGRycy9zaGFwZXhtbC54bWxQSwUGAAAAAAYABgBb&#10;AQAAtwM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赛项仲裁委复议回复</w:t>
                        </w:r>
                      </w:p>
                    </w:txbxContent>
                  </v:textbox>
                </v:shape>
                <v:shape id="Flowchart: Alternate Process 22" o:spid="_x0000_s1026" o:spt="176" type="#_x0000_t176" style="position:absolute;left:6447;top:8386;height:650;width:2214;" fillcolor="#FFFFFF" filled="t" stroked="t" coordsize="21600,21600" o:gfxdata="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k0y0&#10;wAAAANwAAAAPAAAAAAAAAAEAIAAAACIAAABkcnMvZG93bnJldi54bWxQSwECFAAUAAAACACHTuJA&#10;My8FnjsAAAA5AAAAEAAAAAAAAAABACAAAAAPAQAAZHJzL3NoYXBleG1sLnhtbFBLBQYAAAAABgAG&#10;AFsBAAC5Aw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二次申诉</w:t>
                        </w:r>
                      </w:p>
                    </w:txbxContent>
                  </v:textbox>
                </v:shape>
                <v:shape id="Flowchart: Alternate Process 23" o:spid="_x0000_s1026" o:spt="176" type="#_x0000_t176" style="position:absolute;left:6447;top:9375;height:650;width:2214;" fillcolor="#FFFFFF" filled="t" stroked="t" coordsize="21600,21600" o:gfxdata="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9/pL74A&#10;AADcAAAADwAAAAAAAAABACAAAAAiAAAAZHJzL2Rvd25yZXYueG1sUEsBAhQAFAAAAAgAh07iQDMv&#10;BZ47AAAAOQAAABAAAAAAAAAAAQAgAAAADQEAAGRycy9zaGFwZXhtbC54bWxQSwUGAAAAAAYABgBb&#10;AQAAtwMAAAAA&#10;">
                  <v:fill on="t" focussize="0,0"/>
                  <v:stroke color="#000000" miterlimit="2" joinstyle="miter"/>
                  <v:imagedata o:title=""/>
                  <o:lock v:ext="edit" aspectratio="f"/>
                  <v:textbox>
                    <w:txbxContent>
                      <w:p>
                        <w:pPr>
                          <w:spacing w:line="400" w:lineRule="exact"/>
                          <w:jc w:val="center"/>
                          <w:rPr>
                            <w:rFonts w:ascii="仿宋" w:hAnsi="仿宋" w:eastAsia="仿宋"/>
                          </w:rPr>
                        </w:pPr>
                        <w:r>
                          <w:rPr>
                            <w:rFonts w:hint="eastAsia" w:ascii="仿宋" w:hAnsi="仿宋" w:eastAsia="仿宋"/>
                          </w:rPr>
                          <w:t>赛区仲裁委复议回复</w:t>
                        </w:r>
                      </w:p>
                    </w:txbxContent>
                  </v:textbox>
                </v:shape>
                <v:shape id="Right Arrow 24" o:spid="_x0000_s1026" o:spt="13" type="#_x0000_t13" style="position:absolute;left:4701;top:2931;height:141;width:564;" fillcolor="#FFFFFF" filled="t" stroked="t" coordsize="21600,21600" o:gfxdata="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5ABG8AAAA&#10;3AAAAA8AAAAAAAAAAQAgAAAAIgAAAGRycy9kb3ducmV2LnhtbFBLAQIUABQAAAAIAIdO4kAzLwWe&#10;OwAAADkAAAAQAAAAAAAAAAEAIAAAAAsBAABkcnMvc2hhcGV4bWwueG1sUEsFBgAAAAAGAAYAWwEA&#10;ALUDAAAAAA==&#10;" adj="16200,5400">
                  <v:fill on="t" focussize="0,0"/>
                  <v:stroke color="#000000" miterlimit="2" joinstyle="miter"/>
                  <v:imagedata o:title=""/>
                  <o:lock v:ext="edit" aspectratio="f"/>
                </v:shape>
                <v:shape id="Right Arrow 25" o:spid="_x0000_s1026" o:spt="13" type="#_x0000_t13" style="position:absolute;left:6731;top:2931;height:141;width:564;" fillcolor="#FFFFFF" filled="t" stroked="t" coordsize="21600,21600" o:gfxdata="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1pYq8AAAA&#10;3AAAAA8AAAAAAAAAAQAgAAAAIgAAAGRycy9kb3ducmV2LnhtbFBLAQIUABQAAAAIAIdO4kAzLwWe&#10;OwAAADkAAAAQAAAAAAAAAAEAIAAAAAsBAABkcnMvc2hhcGV4bWwueG1sUEsFBgAAAAAGAAYAWwEA&#10;ALUDAAAAAA==&#10;" adj="16200,5400">
                  <v:fill on="t" focussize="0,0"/>
                  <v:stroke color="#000000" miterlimit="2" joinstyle="miter"/>
                  <v:imagedata o:title=""/>
                  <o:lock v:ext="edit" aspectratio="f"/>
                </v:shape>
                <v:shape id="Right Arrow 27" o:spid="_x0000_s1026" o:spt="13" type="#_x0000_t13" style="position:absolute;left:6895;top:4091;height:141;width:400;rotation:11796480f;" fillcolor="#FFFFFF" filled="t" stroked="t" coordsize="21600,21600" o:gfxdata="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9Z0i+5AAAA3AAA&#10;AA8AAAAAAAAAAQAgAAAAIgAAAGRycy9kb3ducmV2LnhtbFBLAQIUABQAAAAIAIdO4kAzLwWeOwAA&#10;ADkAAAAQAAAAAAAAAAEAIAAAAAgBAABkcnMvc2hhcGV4bWwueG1sUEsFBgAAAAAGAAYAWwEAALID&#10;AAAAAA==&#10;" adj="13986,5400">
                  <v:fill on="t" focussize="0,0"/>
                  <v:stroke color="#000000" miterlimit="2" joinstyle="miter"/>
                  <v:imagedata o:title=""/>
                  <o:lock v:ext="edit" aspectratio="f"/>
                </v:shape>
                <v:shape id="Right Arrow 28" o:spid="_x0000_s1026" o:spt="13" type="#_x0000_t13" style="position:absolute;left:4635;top:4091;height:141;width:564;rotation:11796480f;" fillcolor="#FFFFFF" filled="t" stroked="t" coordsize="21600,21600" o:gfxdata="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fI68AAAA&#10;3AAAAA8AAAAAAAAAAQAgAAAAIgAAAGRycy9kb3ducmV2LnhtbFBLAQIUABQAAAAIAIdO4kAzLwWe&#10;OwAAADkAAAAQAAAAAAAAAAEAIAAAAAsBAABkcnMvc2hhcGV4bWwueG1sUEsFBgAAAAAGAAYAWwEA&#10;ALUDAAAAAA==&#10;" adj="16200,5400">
                  <v:fill on="t" focussize="0,0"/>
                  <v:stroke color="#000000" miterlimit="2" joinstyle="miter"/>
                  <v:imagedata o:title=""/>
                  <o:lock v:ext="edit" aspectratio="f"/>
                </v:shape>
                <v:shape id="Right Arrow 24" o:spid="_x0000_s1026" o:spt="13" type="#_x0000_t13" style="position:absolute;left:4701;top:5241;height:141;width:564;" fillcolor="#FFFFFF" filled="t" stroked="t" coordsize="21600,21600" o:gfxdata="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0ChS/&#10;AAAA3AAAAA8AAAAAAAAAAQAgAAAAIgAAAGRycy9kb3ducmV2LnhtbFBLAQIUABQAAAAIAIdO4kAz&#10;LwWeOwAAADkAAAAQAAAAAAAAAAEAIAAAAA4BAABkcnMvc2hhcGV4bWwueG1sUEsFBgAAAAAGAAYA&#10;WwEAALgDAAAAAA==&#10;" adj="16200,5400">
                  <v:fill on="t" focussize="0,0"/>
                  <v:stroke color="#000000" miterlimit="2" joinstyle="miter"/>
                  <v:imagedata o:title=""/>
                  <o:lock v:ext="edit" aspectratio="f"/>
                </v:shape>
                <v:shape id="Down Arrow 30" o:spid="_x0000_s1026" o:spt="67" type="#_x0000_t67" style="position:absolute;left:7935;top:3408;height:432;width:171;" fillcolor="#FFFFFF" filled="t" stroked="t" coordsize="21600,21600" o:gfxdata="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bStjbUAAADcAAAADwAA&#10;AAAAAAABACAAAAAiAAAAZHJzL2Rvd25yZXYueG1sUEsBAhQAFAAAAAgAh07iQDMvBZ47AAAAOQAA&#10;ABAAAAAAAAAAAQAgAAAABAEAAGRycy9zaGFwZXhtbC54bWxQSwUGAAAAAAYABgBbAQAArgMAAAAA&#10;" adj="16200,5400">
                  <v:fill on="t" focussize="0,0"/>
                  <v:stroke color="#000000" miterlimit="2" joinstyle="miter"/>
                  <v:imagedata o:title=""/>
                  <o:lock v:ext="edit" aspectratio="f"/>
                  <v:textbox style="layout-flow:vertical-ideographic;"/>
                </v:shape>
                <v:shape id="Down Arrow 31" o:spid="_x0000_s1026" o:spt="67" type="#_x0000_t67" style="position:absolute;left:3782;top:4556;height:432;width:172;" fillcolor="#FFFFFF" filled="t" stroked="t" coordsize="21600,21600" o:gfxdata="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lXks25AAAA3AAA&#10;AA8AAAAAAAAAAQAgAAAAIgAAAGRycy9kb3ducmV2LnhtbFBLAQIUABQAAAAIAIdO4kAzLwWeOwAA&#10;ADkAAAAQAAAAAAAAAAEAIAAAAAgBAABkcnMvc2hhcGV4bWwueG1sUEsFBgAAAAAGAAYAWwEAALID&#10;AAAAAA==&#10;" adj="16200,5400">
                  <v:fill on="t" focussize="0,0"/>
                  <v:stroke color="#000000" miterlimit="2" joinstyle="miter"/>
                  <v:imagedata o:title=""/>
                  <o:lock v:ext="edit" aspectratio="f"/>
                  <v:textbox style="layout-flow:vertical-ideographic;"/>
                </v:shape>
                <v:shape id="Straight Connector 32" o:spid="_x0000_s1026" o:spt="32" type="#_x0000_t32" style="position:absolute;left:3954;top:6076;height:1;width:3479;" filled="f" stroked="t" coordsize="21600,21600" o:gfxdata="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J5xu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Down Arrow 33" o:spid="_x0000_s1026" o:spt="67" type="#_x0000_t67" style="position:absolute;left:6099;top:5707;height:369;width:142;" fillcolor="#FFFFFF" filled="t" stroked="t" coordsize="21600,21600" o:gfxdata="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smpIbUAAADcAAAADwAA&#10;AAAAAAABACAAAAAiAAAAZHJzL2Rvd25yZXYueG1sUEsBAhQAFAAAAAgAh07iQDMvBZ47AAAAOQAA&#10;ABAAAAAAAAAAAQAgAAAABAEAAGRycy9zaGFwZXhtbC54bWxQSwUGAAAAAAYABgBbAQAArgMAAAAA&#10;" adj="16200,5400">
                  <v:fill on="t" focussize="0,0"/>
                  <v:stroke color="#000000" miterlimit="2" joinstyle="miter"/>
                  <v:imagedata o:title=""/>
                  <o:lock v:ext="edit" aspectratio="f"/>
                  <v:textbox style="layout-flow:vertical-ideographic;"/>
                </v:shape>
                <v:shape id="Down Arrow 34" o:spid="_x0000_s1026" o:spt="67" type="#_x0000_t67" style="position:absolute;left:3898;top:6077;height:283;width:123;" fillcolor="#FFFFFF" filled="t" stroked="t" coordsize="21600,21600" o:gfxdata="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V8NhtwAAANwAAAAP&#10;AAAAAAAAAAEAIAAAACIAAABkcnMvZG93bnJldi54bWxQSwECFAAUAAAACACHTuJAMy8FnjsAAAA5&#10;AAAAEAAAAAAAAAABACAAAAAGAQAAZHJzL3NoYXBleG1sLnhtbFBLBQYAAAAABgAGAFsBAACwAwAA&#10;AAA=&#10;" adj="16201,5400">
                  <v:fill on="t" focussize="0,0"/>
                  <v:stroke color="#000000" miterlimit="2" joinstyle="miter"/>
                  <v:imagedata o:title=""/>
                  <o:lock v:ext="edit" aspectratio="f"/>
                  <v:textbox style="layout-flow:vertical-ideographic;"/>
                </v:shape>
                <v:shape id="Down Arrow 35" o:spid="_x0000_s1026" o:spt="67" type="#_x0000_t67" style="position:absolute;left:7365;top:6077;height:283;width:123;" fillcolor="#FFFFFF" filled="t" stroked="t" coordsize="21600,21600" o:gfxdata="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L5bFbgAAADcAAAA&#10;DwAAAAAAAAABACAAAAAiAAAAZHJzL2Rvd25yZXYueG1sUEsBAhQAFAAAAAgAh07iQDMvBZ47AAAA&#10;OQAAABAAAAAAAAAAAQAgAAAABwEAAGRycy9zaGFwZXhtbC54bWxQSwUGAAAAAAYABgBbAQAAsQMA&#10;AAAA&#10;" adj="16201,5400">
                  <v:fill on="t" focussize="0,0"/>
                  <v:stroke color="#000000" miterlimit="2" joinstyle="miter"/>
                  <v:imagedata o:title=""/>
                  <o:lock v:ext="edit" aspectratio="f"/>
                  <v:textbox style="layout-flow:vertical-ideographic;"/>
                </v:shape>
                <v:shape id="Down Arrow 36" o:spid="_x0000_s1026" o:spt="67" type="#_x0000_t67" style="position:absolute;left:3898;top:7010;height:325;width:123;" fillcolor="#FFFFFF" filled="t" stroked="t" coordsize="21600,21600" o:gfxdata="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qSAxVbUAAADcAAAADwAA&#10;AAAAAAABACAAAAAiAAAAZHJzL2Rvd25yZXYueG1sUEsBAhQAFAAAAAgAh07iQDMvBZ47AAAAOQAA&#10;ABAAAAAAAAAAAQAgAAAABAEAAGRycy9zaGFwZXhtbC54bWxQSwUGAAAAAAYABgBbAQAArgMAAAAA&#10;" adj="16200,5400">
                  <v:fill on="t" focussize="0,0"/>
                  <v:stroke color="#000000" miterlimit="2" joinstyle="miter"/>
                  <v:imagedata o:title=""/>
                  <o:lock v:ext="edit" aspectratio="f"/>
                  <v:textbox style="layout-flow:vertical-ideographic;"/>
                </v:shape>
                <v:shape id="Down Arrow 37" o:spid="_x0000_s1026" o:spt="67" type="#_x0000_t67" style="position:absolute;left:3898;top:7986;height:400;width:123;" fillcolor="#FFFFFF" filled="t" stroked="t" coordsize="21600,21600" o:gfxdata="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fKvIrUAAADcAAAADwAA&#10;AAAAAAABACAAAAAiAAAAZHJzL2Rvd25yZXYueG1sUEsBAhQAFAAAAAgAh07iQDMvBZ47AAAAOQAA&#10;ABAAAAAAAAAAAQAgAAAABAEAAGRycy9zaGFwZXhtbC54bWxQSwUGAAAAAAYABgBbAQAArgMAAAAA&#10;" adj="16200,5400">
                  <v:fill on="t" focussize="0,0"/>
                  <v:stroke color="#000000" miterlimit="2" joinstyle="miter"/>
                  <v:imagedata o:title=""/>
                  <o:lock v:ext="edit" aspectratio="f"/>
                  <v:textbox style="layout-flow:vertical-ideographic;"/>
                </v:shape>
                <v:shape id="Down Arrow 38" o:spid="_x0000_s1026" o:spt="67" type="#_x0000_t67" style="position:absolute;left:3898;top:9036;height:338;width:124;" fillcolor="#FFFFFF" filled="t" stroked="t" coordsize="21600,21600" o:gfxdata="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wbMVitwAAANwAAAAP&#10;AAAAAAAAAAEAIAAAACIAAABkcnMvZG93bnJldi54bWxQSwECFAAUAAAACACHTuJAMy8FnjsAAAA5&#10;AAAAEAAAAAAAAAABACAAAAAGAQAAZHJzL3NoYXBleG1sLnhtbFBLBQYAAAAABgAGAFsBAACwAwAA&#10;AAA=&#10;" adj="16201,5400">
                  <v:fill on="t" focussize="0,0"/>
                  <v:stroke color="#000000" miterlimit="2" joinstyle="miter"/>
                  <v:imagedata o:title=""/>
                  <o:lock v:ext="edit" aspectratio="f"/>
                  <v:textbox style="layout-flow:vertical-ideographic;"/>
                </v:shape>
                <v:shape id="Down Arrow 39" o:spid="_x0000_s1026" o:spt="67" type="#_x0000_t67" style="position:absolute;left:7365;top:7010;height:325;width:124;" fillcolor="#FFFFFF" filled="t" stroked="t" coordsize="21600,21600" o:gfxdata="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zURC8AAAA&#10;3AAAAA8AAAAAAAAAAQAgAAAAIgAAAGRycy9kb3ducmV2LnhtbFBLAQIUABQAAAAIAIdO4kAzLwWe&#10;OwAAADkAAAAQAAAAAAAAAAEAIAAAAAsBAABkcnMvc2hhcGV4bWwueG1sUEsFBgAAAAAGAAYAWwEA&#10;ALUDAAAAAA==&#10;" adj="16201,5400">
                  <v:fill on="t" focussize="0,0"/>
                  <v:stroke color="#000000" miterlimit="2" joinstyle="miter"/>
                  <v:imagedata o:title=""/>
                  <o:lock v:ext="edit" aspectratio="f"/>
                  <v:textbox style="layout-flow:vertical-ideographic;"/>
                </v:shape>
                <v:shape id="Down Arrow 40" o:spid="_x0000_s1026" o:spt="67" type="#_x0000_t67" style="position:absolute;left:7365;top:7986;height:400;width:124;" fillcolor="#FFFFFF" filled="t" stroked="t" coordsize="21600,21600" o:gfxdata="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r/0i7gAAADcAAAA&#10;DwAAAAAAAAABACAAAAAiAAAAZHJzL2Rvd25yZXYueG1sUEsBAhQAFAAAAAgAh07iQDMvBZ47AAAA&#10;OQAAABAAAAAAAAAAAQAgAAAABwEAAGRycy9zaGFwZXhtbC54bWxQSwUGAAAAAAYABgBbAQAAsQMA&#10;AAAA&#10;" adj="16201,5400">
                  <v:fill on="t" focussize="0,0"/>
                  <v:stroke color="#000000" miterlimit="2" joinstyle="miter"/>
                  <v:imagedata o:title=""/>
                  <o:lock v:ext="edit" aspectratio="f"/>
                  <v:textbox style="layout-flow:vertical-ideographic;"/>
                </v:shape>
                <v:shape id="Down Arrow 41" o:spid="_x0000_s1026" o:spt="67" type="#_x0000_t67" style="position:absolute;left:7433;top:9036;height:339;width:123;" fillcolor="#FFFFFF" filled="t" stroked="t" coordsize="21600,21600" o:gfxdata="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lAtMbsAAADc&#10;AAAADwAAAAAAAAABACAAAAAiAAAAZHJzL2Rvd25yZXYueG1sUEsBAhQAFAAAAAgAh07iQDMvBZ47&#10;AAAAOQAAABAAAAAAAAAAAQAgAAAACgEAAGRycy9zaGFwZXhtbC54bWxQSwUGAAAAAAYABgBbAQAA&#10;tAMAAAAA&#10;" adj="16201,5400">
                  <v:fill on="t" focussize="0,0"/>
                  <v:stroke color="#000000" miterlimit="2" joinstyle="miter"/>
                  <v:imagedata o:title=""/>
                  <o:lock v:ext="edit" aspectratio="f"/>
                  <v:textbox style="layout-flow:vertical-ideographic;"/>
                </v:shape>
                <w10:wrap type="none"/>
                <w10:anchorlock/>
              </v:group>
            </w:pict>
          </mc:Fallback>
        </mc:AlternateContent>
      </w:r>
      <w:bookmarkEnd w:id="0"/>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九、竞赛试题</w:t>
      </w:r>
    </w:p>
    <w:p>
      <w:pPr>
        <w:snapToGrid w:val="0"/>
        <w:spacing w:line="560" w:lineRule="exact"/>
        <w:ind w:firstLine="600" w:firstLineChars="200"/>
        <w:rPr>
          <w:rFonts w:ascii="仿宋_GB2312" w:hAnsi="Arial Narrow" w:eastAsia="仿宋_GB2312"/>
          <w:sz w:val="30"/>
          <w:szCs w:val="30"/>
        </w:rPr>
      </w:pPr>
      <w:r>
        <w:rPr>
          <w:rFonts w:hint="eastAsia" w:ascii="Arial Narrow" w:hAnsi="Arial Narrow" w:eastAsia="仿宋_GB2312" w:cs="Arial"/>
          <w:sz w:val="30"/>
          <w:szCs w:val="30"/>
        </w:rPr>
        <w:t>本赛项已建立</w:t>
      </w:r>
      <w:r>
        <w:rPr>
          <w:rFonts w:hint="eastAsia" w:ascii="仿宋_GB2312" w:hAnsi="Arial Narrow" w:eastAsia="仿宋_GB2312"/>
          <w:sz w:val="30"/>
          <w:szCs w:val="30"/>
        </w:rPr>
        <w:t>赛题库，并有 12套竞赛赛卷，在此附上竞赛试题样卷。</w:t>
      </w:r>
    </w:p>
    <w:p>
      <w:pPr>
        <w:spacing w:line="360" w:lineRule="auto"/>
        <w:jc w:val="center"/>
        <w:rPr>
          <w:rFonts w:ascii="仿宋" w:hAnsi="仿宋" w:eastAsia="仿宋"/>
          <w:b/>
          <w:sz w:val="32"/>
          <w:szCs w:val="32"/>
        </w:rPr>
      </w:pPr>
      <w:bookmarkStart w:id="1" w:name="_Toc216084363"/>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bookmarkStart w:id="2" w:name="_Hlk513506305"/>
      <w:r>
        <w:rPr>
          <w:rFonts w:ascii="仿宋" w:hAnsi="仿宋" w:eastAsia="仿宋"/>
          <w:b/>
          <w:sz w:val="32"/>
          <w:szCs w:val="32"/>
        </w:rPr>
        <w:t>XXX</w:t>
      </w:r>
      <w:r>
        <w:rPr>
          <w:rFonts w:hint="eastAsia" w:ascii="仿宋" w:hAnsi="仿宋" w:eastAsia="仿宋"/>
          <w:b/>
          <w:sz w:val="32"/>
          <w:szCs w:val="32"/>
        </w:rPr>
        <w:t>年全国职业院校技能大赛高职组</w:t>
      </w:r>
    </w:p>
    <w:p>
      <w:pPr>
        <w:spacing w:line="360" w:lineRule="auto"/>
        <w:jc w:val="center"/>
        <w:rPr>
          <w:rFonts w:ascii="仿宋" w:hAnsi="仿宋" w:eastAsia="仿宋"/>
          <w:b/>
          <w:sz w:val="32"/>
          <w:szCs w:val="32"/>
        </w:rPr>
      </w:pPr>
      <w:bookmarkStart w:id="3" w:name="_Toc326763368"/>
      <w:r>
        <w:rPr>
          <w:rFonts w:hint="eastAsia" w:ascii="仿宋" w:hAnsi="仿宋" w:eastAsia="仿宋"/>
          <w:b/>
          <w:sz w:val="32"/>
          <w:szCs w:val="32"/>
        </w:rPr>
        <w:t>“电子产品芯片级检测维修与数据恢复”项目竞赛</w:t>
      </w:r>
      <w:bookmarkEnd w:id="1"/>
      <w:bookmarkEnd w:id="3"/>
      <w:r>
        <w:rPr>
          <w:rFonts w:hint="eastAsia" w:ascii="仿宋" w:hAnsi="仿宋" w:eastAsia="仿宋"/>
          <w:b/>
          <w:sz w:val="32"/>
          <w:szCs w:val="32"/>
        </w:rPr>
        <w:t>赛卷</w:t>
      </w:r>
    </w:p>
    <w:p>
      <w:pPr>
        <w:spacing w:line="360" w:lineRule="auto"/>
        <w:jc w:val="center"/>
        <w:rPr>
          <w:rFonts w:ascii="仿宋" w:hAnsi="仿宋" w:eastAsia="仿宋"/>
          <w:b/>
          <w:sz w:val="36"/>
          <w:szCs w:val="36"/>
        </w:rPr>
      </w:pPr>
      <w:r>
        <w:rPr>
          <w:rFonts w:hint="eastAsia" w:ascii="仿宋" w:hAnsi="仿宋" w:eastAsia="仿宋"/>
          <w:b/>
          <w:sz w:val="36"/>
          <w:szCs w:val="36"/>
        </w:rPr>
        <w:t>样卷</w:t>
      </w: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u w:val="single"/>
        </w:rPr>
      </w:pPr>
      <w:r>
        <w:rPr>
          <w:rFonts w:hint="eastAsia" w:ascii="仿宋" w:hAnsi="仿宋" w:eastAsia="仿宋"/>
          <w:b/>
          <w:sz w:val="36"/>
          <w:szCs w:val="36"/>
        </w:rPr>
        <w:t>赛位号：</w:t>
      </w:r>
      <w:r>
        <w:rPr>
          <w:rFonts w:hint="eastAsia" w:ascii="仿宋" w:hAnsi="仿宋" w:eastAsia="仿宋"/>
          <w:b/>
          <w:sz w:val="36"/>
          <w:szCs w:val="36"/>
          <w:u w:val="single"/>
        </w:rPr>
        <w:t xml:space="preserve"> </w:t>
      </w:r>
      <w:r>
        <w:rPr>
          <w:rFonts w:ascii="仿宋" w:hAnsi="仿宋" w:eastAsia="仿宋"/>
          <w:b/>
          <w:sz w:val="36"/>
          <w:szCs w:val="36"/>
          <w:u w:val="single"/>
        </w:rPr>
        <w:t xml:space="preserve">    </w:t>
      </w: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widowControl/>
        <w:spacing w:line="360" w:lineRule="auto"/>
        <w:jc w:val="center"/>
        <w:rPr>
          <w:rFonts w:ascii="仿宋" w:hAnsi="仿宋" w:eastAsia="仿宋"/>
          <w:b/>
          <w:sz w:val="36"/>
          <w:szCs w:val="36"/>
        </w:rPr>
      </w:pPr>
    </w:p>
    <w:p>
      <w:pPr>
        <w:widowControl/>
        <w:spacing w:line="360" w:lineRule="auto"/>
        <w:jc w:val="center"/>
        <w:rPr>
          <w:rFonts w:ascii="仿宋" w:hAnsi="仿宋" w:eastAsia="仿宋"/>
          <w:b/>
          <w:kern w:val="0"/>
          <w:sz w:val="30"/>
          <w:szCs w:val="30"/>
        </w:rPr>
      </w:pPr>
      <w:r>
        <w:rPr>
          <w:rFonts w:ascii="仿宋" w:hAnsi="仿宋" w:eastAsia="仿宋"/>
          <w:b/>
          <w:kern w:val="0"/>
          <w:sz w:val="30"/>
          <w:szCs w:val="30"/>
        </w:rPr>
        <w:t>XXX</w:t>
      </w:r>
      <w:r>
        <w:rPr>
          <w:rFonts w:hint="eastAsia" w:ascii="仿宋" w:hAnsi="仿宋" w:eastAsia="仿宋"/>
          <w:b/>
          <w:kern w:val="0"/>
          <w:sz w:val="30"/>
          <w:szCs w:val="30"/>
        </w:rPr>
        <w:t>年全国职业院校技能大赛（高职组）</w:t>
      </w:r>
    </w:p>
    <w:p>
      <w:pPr>
        <w:widowControl/>
        <w:spacing w:line="360" w:lineRule="auto"/>
        <w:jc w:val="center"/>
        <w:rPr>
          <w:rFonts w:ascii="仿宋" w:hAnsi="仿宋" w:eastAsia="仿宋"/>
          <w:b/>
          <w:kern w:val="0"/>
          <w:sz w:val="30"/>
          <w:szCs w:val="30"/>
        </w:rPr>
      </w:pPr>
      <w:r>
        <w:rPr>
          <w:rFonts w:hint="eastAsia" w:ascii="仿宋" w:hAnsi="仿宋" w:eastAsia="仿宋"/>
          <w:b/>
          <w:kern w:val="0"/>
          <w:sz w:val="30"/>
          <w:szCs w:val="30"/>
        </w:rPr>
        <w:t>“电子产品芯片级检测维修与数据恢复”赛项执委会制</w:t>
      </w:r>
    </w:p>
    <w:p>
      <w:pPr>
        <w:spacing w:line="360" w:lineRule="auto"/>
        <w:jc w:val="center"/>
        <w:rPr>
          <w:rFonts w:ascii="仿宋" w:hAnsi="仿宋" w:eastAsia="仿宋"/>
          <w:b/>
          <w:sz w:val="24"/>
        </w:rPr>
      </w:pPr>
    </w:p>
    <w:bookmarkEnd w:id="2"/>
    <w:p>
      <w:pPr>
        <w:jc w:val="center"/>
        <w:rPr>
          <w:rFonts w:ascii="仿宋" w:hAnsi="仿宋" w:eastAsia="仿宋"/>
          <w:b/>
          <w:sz w:val="30"/>
          <w:szCs w:val="30"/>
        </w:rPr>
      </w:pPr>
    </w:p>
    <w:p>
      <w:pPr>
        <w:jc w:val="center"/>
        <w:rPr>
          <w:rFonts w:ascii="仿宋" w:hAnsi="仿宋" w:eastAsia="仿宋"/>
          <w:b/>
          <w:sz w:val="30"/>
          <w:szCs w:val="30"/>
        </w:rPr>
      </w:pPr>
    </w:p>
    <w:p>
      <w:pPr>
        <w:jc w:val="cente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before="312" w:beforeLines="100" w:after="312" w:afterLines="100" w:line="360" w:lineRule="auto"/>
        <w:rPr>
          <w:rFonts w:ascii="仿宋_GB2312" w:eastAsia="仿宋_GB2312"/>
          <w:b/>
          <w:sz w:val="28"/>
          <w:szCs w:val="28"/>
        </w:rPr>
      </w:pPr>
      <w:bookmarkStart w:id="4" w:name="_Toc513576892"/>
      <w:r>
        <w:rPr>
          <w:rFonts w:hint="eastAsia" w:ascii="仿宋_GB2312" w:eastAsia="仿宋_GB2312"/>
          <w:b/>
          <w:sz w:val="28"/>
          <w:szCs w:val="28"/>
        </w:rPr>
        <w:t>一、赛程说明</w:t>
      </w:r>
      <w:bookmarkEnd w:id="4"/>
    </w:p>
    <w:tbl>
      <w:tblPr>
        <w:tblStyle w:val="17"/>
        <w:tblW w:w="88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6"/>
        <w:gridCol w:w="2796"/>
        <w:gridCol w:w="4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shd w:val="clear" w:color="auto" w:fill="D9D9D9"/>
          </w:tcPr>
          <w:p>
            <w:pPr>
              <w:jc w:val="center"/>
              <w:rPr>
                <w:rFonts w:ascii="仿宋" w:hAnsi="仿宋" w:eastAsia="仿宋"/>
                <w:b/>
                <w:sz w:val="24"/>
                <w:szCs w:val="24"/>
              </w:rPr>
            </w:pPr>
            <w:r>
              <w:rPr>
                <w:rFonts w:hint="eastAsia" w:ascii="仿宋" w:hAnsi="仿宋" w:eastAsia="仿宋"/>
                <w:b/>
                <w:sz w:val="24"/>
                <w:szCs w:val="24"/>
              </w:rPr>
              <w:t>时间</w:t>
            </w:r>
          </w:p>
        </w:tc>
        <w:tc>
          <w:tcPr>
            <w:tcW w:w="2796" w:type="dxa"/>
            <w:shd w:val="clear" w:color="auto" w:fill="D9D9D9"/>
          </w:tcPr>
          <w:p>
            <w:pPr>
              <w:jc w:val="center"/>
              <w:rPr>
                <w:rFonts w:ascii="仿宋" w:hAnsi="仿宋" w:eastAsia="仿宋"/>
                <w:b/>
                <w:sz w:val="24"/>
                <w:szCs w:val="24"/>
              </w:rPr>
            </w:pPr>
            <w:r>
              <w:rPr>
                <w:rFonts w:hint="eastAsia" w:ascii="仿宋" w:hAnsi="仿宋" w:eastAsia="仿宋"/>
                <w:b/>
                <w:sz w:val="24"/>
                <w:szCs w:val="24"/>
              </w:rPr>
              <w:t>赛程</w:t>
            </w:r>
          </w:p>
        </w:tc>
        <w:tc>
          <w:tcPr>
            <w:tcW w:w="4371" w:type="dxa"/>
            <w:shd w:val="clear" w:color="auto" w:fill="D9D9D9"/>
          </w:tcPr>
          <w:p>
            <w:pPr>
              <w:jc w:val="center"/>
              <w:rPr>
                <w:rFonts w:ascii="仿宋" w:hAnsi="仿宋" w:eastAsia="仿宋"/>
                <w:b/>
                <w:sz w:val="24"/>
                <w:szCs w:val="24"/>
              </w:rPr>
            </w:pPr>
            <w:r>
              <w:rPr>
                <w:rFonts w:hint="eastAsia" w:ascii="仿宋" w:hAnsi="仿宋" w:eastAsia="仿宋"/>
                <w:b/>
                <w:sz w:val="24"/>
                <w:szCs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vAlign w:val="center"/>
          </w:tcPr>
          <w:p>
            <w:pPr>
              <w:jc w:val="center"/>
              <w:rPr>
                <w:rFonts w:ascii="仿宋" w:hAnsi="仿宋" w:eastAsia="仿宋"/>
                <w:sz w:val="24"/>
                <w:szCs w:val="24"/>
              </w:rPr>
            </w:pPr>
            <w:r>
              <w:rPr>
                <w:rFonts w:hint="eastAsia" w:ascii="仿宋" w:hAnsi="仿宋" w:eastAsia="仿宋"/>
                <w:sz w:val="24"/>
                <w:szCs w:val="24"/>
              </w:rPr>
              <w:t>8:30-9:00</w:t>
            </w:r>
          </w:p>
        </w:tc>
        <w:tc>
          <w:tcPr>
            <w:tcW w:w="2796" w:type="dxa"/>
            <w:vAlign w:val="center"/>
          </w:tcPr>
          <w:p>
            <w:pPr>
              <w:jc w:val="center"/>
              <w:rPr>
                <w:rFonts w:ascii="仿宋" w:hAnsi="仿宋" w:eastAsia="仿宋"/>
                <w:sz w:val="24"/>
                <w:szCs w:val="24"/>
              </w:rPr>
            </w:pPr>
            <w:r>
              <w:rPr>
                <w:rFonts w:hint="eastAsia" w:ascii="仿宋" w:hAnsi="仿宋" w:eastAsia="仿宋" w:cs="仿宋"/>
                <w:sz w:val="24"/>
                <w:szCs w:val="24"/>
              </w:rPr>
              <w:t>完成赛前30分钟准备</w:t>
            </w:r>
          </w:p>
        </w:tc>
        <w:tc>
          <w:tcPr>
            <w:tcW w:w="4371" w:type="dxa"/>
            <w:vAlign w:val="center"/>
          </w:tcPr>
          <w:p>
            <w:pPr>
              <w:jc w:val="left"/>
              <w:rPr>
                <w:rFonts w:ascii="仿宋" w:hAnsi="仿宋" w:eastAsia="仿宋"/>
                <w:sz w:val="24"/>
                <w:szCs w:val="24"/>
              </w:rPr>
            </w:pPr>
            <w:r>
              <w:rPr>
                <w:rFonts w:hint="eastAsia" w:ascii="仿宋" w:hAnsi="仿宋" w:eastAsia="仿宋"/>
                <w:sz w:val="24"/>
                <w:szCs w:val="24"/>
              </w:rPr>
              <w:t>竞赛开始前，完成《</w:t>
            </w:r>
            <w:r>
              <w:rPr>
                <w:rFonts w:hint="eastAsia" w:ascii="仿宋" w:hAnsi="仿宋" w:eastAsia="仿宋"/>
                <w:kern w:val="0"/>
                <w:sz w:val="24"/>
              </w:rPr>
              <w:t>竞赛器材确认表》的签字确认，并由现场裁判收回。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vAlign w:val="center"/>
          </w:tcPr>
          <w:p>
            <w:pPr>
              <w:jc w:val="center"/>
              <w:rPr>
                <w:rFonts w:ascii="仿宋" w:hAnsi="仿宋" w:eastAsia="仿宋"/>
                <w:sz w:val="24"/>
                <w:szCs w:val="24"/>
              </w:rPr>
            </w:pPr>
            <w:r>
              <w:rPr>
                <w:rFonts w:hint="eastAsia" w:ascii="仿宋" w:hAnsi="仿宋" w:eastAsia="仿宋"/>
                <w:sz w:val="24"/>
                <w:szCs w:val="24"/>
              </w:rPr>
              <w:t>9:00-13:00</w:t>
            </w:r>
          </w:p>
        </w:tc>
        <w:tc>
          <w:tcPr>
            <w:tcW w:w="2796" w:type="dxa"/>
            <w:vAlign w:val="center"/>
          </w:tcPr>
          <w:p>
            <w:pPr>
              <w:jc w:val="center"/>
              <w:rPr>
                <w:rFonts w:ascii="仿宋" w:hAnsi="仿宋" w:eastAsia="仿宋"/>
                <w:sz w:val="24"/>
                <w:szCs w:val="24"/>
              </w:rPr>
            </w:pPr>
            <w:r>
              <w:rPr>
                <w:rFonts w:hint="eastAsia" w:ascii="仿宋" w:hAnsi="仿宋" w:eastAsia="仿宋"/>
                <w:sz w:val="24"/>
                <w:szCs w:val="24"/>
              </w:rPr>
              <w:t>完成竞赛任务</w:t>
            </w:r>
          </w:p>
        </w:tc>
        <w:tc>
          <w:tcPr>
            <w:tcW w:w="4371" w:type="dxa"/>
            <w:vAlign w:val="center"/>
          </w:tcPr>
          <w:p>
            <w:pPr>
              <w:jc w:val="left"/>
              <w:rPr>
                <w:rFonts w:ascii="仿宋" w:hAnsi="仿宋" w:eastAsia="仿宋"/>
                <w:sz w:val="24"/>
                <w:szCs w:val="24"/>
              </w:rPr>
            </w:pPr>
            <w:r>
              <w:rPr>
                <w:rFonts w:hint="eastAsia" w:ascii="仿宋" w:hAnsi="仿宋" w:eastAsia="仿宋"/>
                <w:sz w:val="24"/>
                <w:szCs w:val="24"/>
              </w:rPr>
              <w:t>竞赛开始后，按照竞赛任务书的说明完成相关任务。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vAlign w:val="center"/>
          </w:tcPr>
          <w:p>
            <w:pPr>
              <w:jc w:val="center"/>
              <w:rPr>
                <w:rFonts w:ascii="仿宋" w:hAnsi="仿宋" w:eastAsia="仿宋"/>
                <w:sz w:val="24"/>
                <w:szCs w:val="24"/>
              </w:rPr>
            </w:pPr>
            <w:r>
              <w:rPr>
                <w:rFonts w:hint="eastAsia" w:ascii="仿宋" w:hAnsi="仿宋" w:eastAsia="仿宋"/>
                <w:sz w:val="24"/>
                <w:szCs w:val="24"/>
              </w:rPr>
              <w:t>13:00-14:00</w:t>
            </w:r>
          </w:p>
        </w:tc>
        <w:tc>
          <w:tcPr>
            <w:tcW w:w="2796" w:type="dxa"/>
            <w:vAlign w:val="center"/>
          </w:tcPr>
          <w:p>
            <w:pPr>
              <w:jc w:val="center"/>
              <w:rPr>
                <w:rFonts w:ascii="仿宋" w:hAnsi="仿宋" w:eastAsia="仿宋"/>
                <w:sz w:val="24"/>
                <w:szCs w:val="24"/>
              </w:rPr>
            </w:pPr>
            <w:r>
              <w:rPr>
                <w:rFonts w:hint="eastAsia" w:ascii="仿宋" w:hAnsi="仿宋" w:eastAsia="仿宋"/>
                <w:sz w:val="24"/>
                <w:szCs w:val="24"/>
              </w:rPr>
              <w:t>完成竞赛提交结果确认</w:t>
            </w:r>
          </w:p>
        </w:tc>
        <w:tc>
          <w:tcPr>
            <w:tcW w:w="4371" w:type="dxa"/>
            <w:vAlign w:val="center"/>
          </w:tcPr>
          <w:p>
            <w:pPr>
              <w:jc w:val="left"/>
              <w:rPr>
                <w:rFonts w:ascii="仿宋" w:hAnsi="仿宋" w:eastAsia="仿宋"/>
                <w:sz w:val="24"/>
                <w:szCs w:val="24"/>
              </w:rPr>
            </w:pPr>
            <w:r>
              <w:rPr>
                <w:rFonts w:hint="eastAsia" w:ascii="仿宋" w:hAnsi="仿宋" w:eastAsia="仿宋"/>
                <w:sz w:val="24"/>
                <w:szCs w:val="24"/>
              </w:rPr>
              <w:t>竞赛结束后，根据现场裁判的指示进行电路板卡维修结果上传及《电子产品芯片级检测维修与数据恢复项目竞赛报告单》上传，完成竞赛结果提交及确认。</w:t>
            </w:r>
          </w:p>
        </w:tc>
      </w:tr>
    </w:tbl>
    <w:p>
      <w:pPr>
        <w:spacing w:before="312" w:beforeLines="100" w:after="312" w:afterLines="100" w:line="360" w:lineRule="auto"/>
        <w:rPr>
          <w:rFonts w:ascii="仿宋_GB2312" w:eastAsia="仿宋_GB2312"/>
          <w:b/>
          <w:sz w:val="28"/>
          <w:szCs w:val="28"/>
        </w:rPr>
      </w:pPr>
      <w:bookmarkStart w:id="5" w:name="_Toc513576893"/>
      <w:r>
        <w:rPr>
          <w:rFonts w:hint="eastAsia" w:ascii="仿宋_GB2312" w:eastAsia="仿宋_GB2312"/>
          <w:b/>
          <w:sz w:val="28"/>
          <w:szCs w:val="28"/>
        </w:rPr>
        <w:t>二、竞赛技术平台及资料说明</w:t>
      </w:r>
      <w:bookmarkEnd w:id="5"/>
    </w:p>
    <w:p>
      <w:pPr>
        <w:spacing w:line="360" w:lineRule="auto"/>
        <w:ind w:firstLine="470" w:firstLineChars="196"/>
        <w:rPr>
          <w:rFonts w:ascii="仿宋" w:hAnsi="仿宋" w:eastAsia="仿宋"/>
          <w:sz w:val="24"/>
          <w:szCs w:val="24"/>
        </w:rPr>
      </w:pPr>
      <w:r>
        <w:rPr>
          <w:rFonts w:hint="eastAsia" w:ascii="仿宋" w:hAnsi="仿宋" w:eastAsia="仿宋"/>
          <w:sz w:val="24"/>
          <w:szCs w:val="24"/>
        </w:rPr>
        <w:t>“电子产品芯片级检测维修与数据恢复”项目竞赛技术平台及资料说明见附件1。</w:t>
      </w:r>
    </w:p>
    <w:p>
      <w:pPr>
        <w:spacing w:before="312" w:beforeLines="100" w:after="312" w:afterLines="100" w:line="360" w:lineRule="auto"/>
        <w:rPr>
          <w:rFonts w:ascii="仿宋_GB2312" w:eastAsia="仿宋_GB2312"/>
          <w:b/>
          <w:sz w:val="28"/>
          <w:szCs w:val="28"/>
        </w:rPr>
      </w:pPr>
      <w:bookmarkStart w:id="6" w:name="_Toc513576894"/>
      <w:r>
        <w:rPr>
          <w:rFonts w:hint="eastAsia" w:ascii="仿宋_GB2312" w:eastAsia="仿宋_GB2312"/>
          <w:b/>
          <w:sz w:val="28"/>
          <w:szCs w:val="28"/>
        </w:rPr>
        <w:t>三、竞赛时间、内容及总成绩</w:t>
      </w:r>
      <w:bookmarkEnd w:id="6"/>
    </w:p>
    <w:p>
      <w:pPr>
        <w:spacing w:before="312" w:beforeLines="100" w:after="312" w:afterLines="100" w:line="360" w:lineRule="auto"/>
        <w:rPr>
          <w:rFonts w:ascii="仿宋_GB2312" w:eastAsia="仿宋_GB2312"/>
          <w:b/>
          <w:sz w:val="24"/>
          <w:szCs w:val="24"/>
        </w:rPr>
      </w:pPr>
      <w:bookmarkStart w:id="7" w:name="_Toc513576895"/>
      <w:r>
        <w:rPr>
          <w:rFonts w:hint="eastAsia" w:ascii="仿宋_GB2312" w:eastAsia="仿宋_GB2312"/>
          <w:b/>
          <w:sz w:val="24"/>
          <w:szCs w:val="24"/>
        </w:rPr>
        <w:t>（一）竞赛时间</w:t>
      </w:r>
      <w:bookmarkEnd w:id="7"/>
    </w:p>
    <w:p>
      <w:pPr>
        <w:spacing w:line="360" w:lineRule="auto"/>
        <w:ind w:firstLine="480" w:firstLineChars="200"/>
      </w:pPr>
      <w:r>
        <w:rPr>
          <w:rFonts w:hint="eastAsia" w:ascii="仿宋" w:hAnsi="仿宋" w:eastAsia="仿宋"/>
          <w:sz w:val="24"/>
        </w:rPr>
        <w:t>竞赛时间共为4小时，</w:t>
      </w:r>
      <w:r>
        <w:rPr>
          <w:rFonts w:hint="eastAsia" w:ascii="仿宋" w:hAnsi="仿宋" w:eastAsia="仿宋"/>
          <w:sz w:val="24"/>
          <w:szCs w:val="24"/>
        </w:rPr>
        <w:t>参赛队自行安排任务进度，</w:t>
      </w:r>
      <w:r>
        <w:rPr>
          <w:rFonts w:hint="eastAsia" w:ascii="仿宋" w:hAnsi="仿宋" w:eastAsia="仿宋" w:cs="仿宋"/>
          <w:sz w:val="24"/>
          <w:szCs w:val="24"/>
        </w:rPr>
        <w:t>休息、饮水、如厕等不设专门用时，统一含在竞赛时间内。</w:t>
      </w:r>
    </w:p>
    <w:p>
      <w:pPr>
        <w:spacing w:before="312" w:beforeLines="100" w:after="312" w:afterLines="100" w:line="360" w:lineRule="auto"/>
        <w:rPr>
          <w:rFonts w:ascii="仿宋_GB2312" w:eastAsia="仿宋_GB2312"/>
          <w:b/>
          <w:sz w:val="24"/>
          <w:szCs w:val="24"/>
        </w:rPr>
      </w:pPr>
      <w:bookmarkStart w:id="8" w:name="_Toc513576896"/>
      <w:r>
        <w:rPr>
          <w:rFonts w:hint="eastAsia" w:ascii="仿宋_GB2312" w:eastAsia="仿宋_GB2312"/>
          <w:b/>
          <w:sz w:val="24"/>
          <w:szCs w:val="24"/>
        </w:rPr>
        <w:t>（二）竞赛内容概述</w:t>
      </w:r>
      <w:bookmarkEnd w:id="8"/>
    </w:p>
    <w:p>
      <w:pPr>
        <w:spacing w:line="360" w:lineRule="auto"/>
        <w:ind w:firstLine="480"/>
        <w:rPr>
          <w:rFonts w:ascii="仿宋" w:hAnsi="仿宋" w:eastAsia="仿宋"/>
          <w:sz w:val="24"/>
          <w:szCs w:val="24"/>
        </w:rPr>
      </w:pPr>
      <w:r>
        <w:rPr>
          <w:rFonts w:hint="eastAsia" w:ascii="仿宋" w:hAnsi="仿宋" w:eastAsia="仿宋"/>
          <w:sz w:val="24"/>
          <w:szCs w:val="24"/>
        </w:rPr>
        <w:t>竞赛开始后，依据竞赛任务要求分别完成电路板检测与维修以及存储介质维修及数据恢复,并填写《电子产品芯片级检测维修与数据恢复项目竞赛报告单》。竞赛结束后，根据现场裁判的指示进行电路板维修结果上传及《电子产品芯片级检测维修与数据恢复项目竞赛报告单》上传，完成竞赛结果提交及确认。竞赛共设置如下三项任务：</w:t>
      </w:r>
    </w:p>
    <w:p>
      <w:pPr>
        <w:spacing w:line="360" w:lineRule="auto"/>
        <w:ind w:firstLine="470" w:firstLineChars="196"/>
        <w:rPr>
          <w:rFonts w:ascii="仿宋" w:hAnsi="仿宋" w:eastAsia="仿宋"/>
          <w:sz w:val="24"/>
          <w:szCs w:val="24"/>
        </w:rPr>
      </w:pPr>
      <w:r>
        <w:rPr>
          <w:rFonts w:hint="eastAsia" w:ascii="仿宋" w:hAnsi="仿宋" w:eastAsia="仿宋"/>
          <w:sz w:val="24"/>
          <w:szCs w:val="24"/>
        </w:rPr>
        <w:t>任务一：电路板检测与维修（40%）</w:t>
      </w:r>
    </w:p>
    <w:p>
      <w:pPr>
        <w:spacing w:line="360" w:lineRule="auto"/>
        <w:ind w:firstLine="470" w:firstLineChars="196"/>
        <w:rPr>
          <w:rFonts w:ascii="仿宋" w:hAnsi="仿宋" w:eastAsia="仿宋"/>
          <w:sz w:val="24"/>
          <w:szCs w:val="24"/>
        </w:rPr>
      </w:pPr>
      <w:r>
        <w:rPr>
          <w:rFonts w:hint="eastAsia" w:ascii="仿宋" w:hAnsi="仿宋" w:eastAsia="仿宋"/>
          <w:sz w:val="24"/>
          <w:szCs w:val="24"/>
        </w:rPr>
        <w:t>任务二：存储介质维修及数据恢复（40%）</w:t>
      </w:r>
    </w:p>
    <w:p>
      <w:pPr>
        <w:spacing w:line="360" w:lineRule="auto"/>
        <w:ind w:firstLine="470" w:firstLineChars="196"/>
        <w:rPr>
          <w:rFonts w:ascii="仿宋" w:hAnsi="仿宋" w:eastAsia="仿宋"/>
          <w:sz w:val="24"/>
          <w:szCs w:val="24"/>
        </w:rPr>
      </w:pPr>
      <w:r>
        <w:rPr>
          <w:rFonts w:hint="eastAsia" w:ascii="仿宋" w:hAnsi="仿宋" w:eastAsia="仿宋"/>
          <w:sz w:val="24"/>
          <w:szCs w:val="24"/>
        </w:rPr>
        <w:t>任务三：填写竞赛报告单（15%）</w:t>
      </w:r>
    </w:p>
    <w:p>
      <w:pPr>
        <w:spacing w:line="360" w:lineRule="auto"/>
        <w:ind w:firstLine="470" w:firstLineChars="196"/>
        <w:rPr>
          <w:rFonts w:ascii="仿宋" w:hAnsi="仿宋" w:eastAsia="仿宋"/>
          <w:sz w:val="24"/>
          <w:szCs w:val="24"/>
        </w:rPr>
      </w:pPr>
      <w:r>
        <w:rPr>
          <w:rFonts w:hint="eastAsia" w:ascii="仿宋" w:hAnsi="仿宋" w:eastAsia="仿宋"/>
          <w:sz w:val="24"/>
          <w:szCs w:val="24"/>
        </w:rPr>
        <w:t>竞赛过程中参赛队伍职业素养表现（5%）</w:t>
      </w:r>
    </w:p>
    <w:p>
      <w:pPr>
        <w:spacing w:before="312" w:beforeLines="100" w:after="312" w:afterLines="100" w:line="360" w:lineRule="auto"/>
        <w:rPr>
          <w:rFonts w:ascii="仿宋_GB2312" w:eastAsia="仿宋_GB2312"/>
          <w:b/>
          <w:sz w:val="24"/>
          <w:szCs w:val="24"/>
        </w:rPr>
      </w:pPr>
      <w:bookmarkStart w:id="9" w:name="_Toc513576897"/>
      <w:r>
        <w:rPr>
          <w:rFonts w:hint="eastAsia" w:ascii="仿宋_GB2312" w:eastAsia="仿宋_GB2312"/>
          <w:b/>
          <w:sz w:val="24"/>
          <w:szCs w:val="24"/>
        </w:rPr>
        <w:t>（三）竞赛总成绩</w:t>
      </w:r>
      <w:bookmarkEnd w:id="9"/>
    </w:p>
    <w:p>
      <w:pPr>
        <w:spacing w:line="360" w:lineRule="auto"/>
        <w:ind w:firstLine="470" w:firstLineChars="196"/>
        <w:rPr>
          <w:rFonts w:ascii="仿宋" w:hAnsi="仿宋" w:eastAsia="仿宋"/>
          <w:sz w:val="24"/>
          <w:szCs w:val="24"/>
        </w:rPr>
      </w:pPr>
      <w:r>
        <w:rPr>
          <w:rFonts w:hint="eastAsia" w:ascii="仿宋" w:hAnsi="仿宋" w:eastAsia="仿宋"/>
          <w:sz w:val="24"/>
          <w:szCs w:val="24"/>
        </w:rPr>
        <w:t>“电子产品芯片级检测维修与数据恢复”项目竞赛总成绩为100分。</w:t>
      </w:r>
    </w:p>
    <w:p>
      <w:pPr>
        <w:spacing w:before="312" w:beforeLines="100" w:after="312" w:afterLines="100" w:line="360" w:lineRule="auto"/>
        <w:rPr>
          <w:rFonts w:ascii="仿宋_GB2312" w:eastAsia="仿宋_GB2312"/>
          <w:b/>
          <w:sz w:val="28"/>
          <w:szCs w:val="28"/>
        </w:rPr>
      </w:pPr>
      <w:bookmarkStart w:id="10" w:name="_Toc513576898"/>
      <w:r>
        <w:rPr>
          <w:rFonts w:hint="eastAsia" w:ascii="仿宋_GB2312" w:eastAsia="仿宋_GB2312"/>
          <w:b/>
          <w:sz w:val="28"/>
          <w:szCs w:val="28"/>
        </w:rPr>
        <w:t>四、任务说明</w:t>
      </w:r>
      <w:bookmarkEnd w:id="10"/>
    </w:p>
    <w:p>
      <w:pPr>
        <w:spacing w:before="312" w:beforeLines="100" w:after="312" w:afterLines="100" w:line="360" w:lineRule="auto"/>
        <w:rPr>
          <w:rFonts w:ascii="仿宋_GB2312" w:eastAsia="仿宋_GB2312"/>
          <w:b/>
          <w:sz w:val="24"/>
          <w:szCs w:val="24"/>
        </w:rPr>
      </w:pPr>
      <w:bookmarkStart w:id="11" w:name="_Toc513576899"/>
      <w:r>
        <w:rPr>
          <w:rFonts w:hint="eastAsia" w:ascii="仿宋_GB2312" w:eastAsia="仿宋_GB2312"/>
          <w:b/>
          <w:sz w:val="24"/>
          <w:szCs w:val="24"/>
        </w:rPr>
        <w:t>（一）任务一：智能电子产品电路板检测与维修</w:t>
      </w:r>
      <w:bookmarkEnd w:id="11"/>
    </w:p>
    <w:p>
      <w:pPr>
        <w:spacing w:line="360" w:lineRule="auto"/>
        <w:ind w:firstLine="470" w:firstLineChars="196"/>
        <w:rPr>
          <w:rFonts w:ascii="仿宋" w:hAnsi="仿宋" w:eastAsia="仿宋"/>
          <w:sz w:val="24"/>
          <w:szCs w:val="24"/>
        </w:rPr>
      </w:pPr>
      <w:r>
        <w:rPr>
          <w:rFonts w:hint="eastAsia" w:ascii="仿宋" w:hAnsi="仿宋" w:eastAsia="仿宋"/>
          <w:sz w:val="24"/>
          <w:szCs w:val="24"/>
        </w:rPr>
        <w:t>1 任务描述</w:t>
      </w:r>
    </w:p>
    <w:p>
      <w:pPr>
        <w:spacing w:line="360" w:lineRule="auto"/>
        <w:ind w:firstLine="470" w:firstLineChars="196"/>
        <w:rPr>
          <w:rFonts w:ascii="仿宋" w:hAnsi="仿宋" w:eastAsia="仿宋"/>
          <w:sz w:val="24"/>
          <w:szCs w:val="24"/>
        </w:rPr>
      </w:pPr>
      <w:r>
        <w:rPr>
          <w:rFonts w:hint="eastAsia" w:ascii="仿宋" w:hAnsi="仿宋" w:eastAsia="仿宋"/>
          <w:sz w:val="24"/>
          <w:szCs w:val="24"/>
        </w:rPr>
        <w:t>在规定的时间内，依据大赛组委会提供的技术文件（包括原理图、元器件资料等），完成指定智能电子产品电路板的故障检测及维修。</w:t>
      </w:r>
    </w:p>
    <w:p>
      <w:pPr>
        <w:spacing w:line="360" w:lineRule="auto"/>
        <w:ind w:firstLine="470" w:firstLineChars="196"/>
        <w:rPr>
          <w:rFonts w:ascii="仿宋" w:hAnsi="仿宋" w:eastAsia="仿宋"/>
          <w:sz w:val="24"/>
          <w:szCs w:val="24"/>
        </w:rPr>
      </w:pPr>
      <w:r>
        <w:rPr>
          <w:rFonts w:hint="eastAsia" w:ascii="仿宋" w:hAnsi="仿宋" w:eastAsia="仿宋"/>
          <w:sz w:val="24"/>
          <w:szCs w:val="24"/>
        </w:rPr>
        <w:t>大赛提供含有故障的6块智能电子产品电路板，每块电路板均有若干不同的故障点，具体要求如下：</w:t>
      </w:r>
    </w:p>
    <w:tbl>
      <w:tblPr>
        <w:tblStyle w:val="17"/>
        <w:tblW w:w="94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6"/>
        <w:gridCol w:w="160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596" w:type="dxa"/>
            <w:tcBorders>
              <w:right w:val="single" w:color="auto" w:sz="4" w:space="0"/>
            </w:tcBorders>
            <w:shd w:val="clear" w:color="auto" w:fill="D9D9D9"/>
            <w:vAlign w:val="center"/>
          </w:tcPr>
          <w:p>
            <w:pPr>
              <w:jc w:val="center"/>
              <w:rPr>
                <w:rFonts w:ascii="仿宋" w:hAnsi="仿宋" w:eastAsia="仿宋"/>
                <w:b/>
                <w:sz w:val="24"/>
                <w:szCs w:val="24"/>
              </w:rPr>
            </w:pPr>
            <w:r>
              <w:rPr>
                <w:rFonts w:hint="eastAsia" w:ascii="仿宋" w:hAnsi="仿宋" w:eastAsia="仿宋"/>
                <w:b/>
                <w:sz w:val="24"/>
                <w:szCs w:val="24"/>
              </w:rPr>
              <w:t>板卡</w:t>
            </w:r>
          </w:p>
        </w:tc>
        <w:tc>
          <w:tcPr>
            <w:tcW w:w="1601" w:type="dxa"/>
            <w:tcBorders>
              <w:right w:val="single" w:color="auto" w:sz="4" w:space="0"/>
            </w:tcBorders>
            <w:shd w:val="clear" w:color="auto" w:fill="D9D9D9"/>
            <w:vAlign w:val="center"/>
          </w:tcPr>
          <w:p>
            <w:pPr>
              <w:jc w:val="center"/>
              <w:rPr>
                <w:rFonts w:ascii="仿宋" w:hAnsi="仿宋" w:eastAsia="仿宋"/>
                <w:b/>
                <w:sz w:val="24"/>
                <w:szCs w:val="24"/>
              </w:rPr>
            </w:pPr>
            <w:r>
              <w:rPr>
                <w:rFonts w:hint="eastAsia" w:ascii="仿宋" w:hAnsi="仿宋" w:eastAsia="仿宋"/>
                <w:b/>
                <w:sz w:val="24"/>
                <w:szCs w:val="24"/>
              </w:rPr>
              <w:t>电路板编号</w:t>
            </w:r>
          </w:p>
        </w:tc>
        <w:tc>
          <w:tcPr>
            <w:tcW w:w="6266" w:type="dxa"/>
            <w:shd w:val="clear" w:color="auto" w:fill="D9D9D9"/>
            <w:vAlign w:val="center"/>
          </w:tcPr>
          <w:p>
            <w:pPr>
              <w:jc w:val="center"/>
              <w:rPr>
                <w:rFonts w:ascii="仿宋" w:hAnsi="仿宋" w:eastAsia="仿宋"/>
                <w:b/>
                <w:sz w:val="24"/>
                <w:szCs w:val="24"/>
              </w:rPr>
            </w:pPr>
            <w:r>
              <w:rPr>
                <w:rFonts w:hint="eastAsia" w:ascii="仿宋" w:hAnsi="仿宋" w:eastAsia="仿宋"/>
                <w:b/>
                <w:sz w:val="24"/>
                <w:szCs w:val="24"/>
              </w:rPr>
              <w:t>任务要求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jc w:val="center"/>
        </w:trPr>
        <w:tc>
          <w:tcPr>
            <w:tcW w:w="1596"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智能电子产品板卡一</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电路板1</w:t>
            </w:r>
          </w:p>
        </w:tc>
        <w:tc>
          <w:tcPr>
            <w:tcW w:w="6266" w:type="dxa"/>
            <w:vAlign w:val="center"/>
          </w:tcPr>
          <w:p>
            <w:pPr>
              <w:rPr>
                <w:rFonts w:ascii="仿宋" w:hAnsi="仿宋" w:eastAsia="仿宋"/>
                <w:sz w:val="24"/>
                <w:szCs w:val="24"/>
              </w:rPr>
            </w:pPr>
            <w:r>
              <w:rPr>
                <w:rFonts w:hint="eastAsia" w:ascii="仿宋" w:hAnsi="仿宋" w:eastAsia="仿宋"/>
                <w:sz w:val="24"/>
                <w:szCs w:val="24"/>
              </w:rPr>
              <w:t>检测、维修该电路板，并填写《电子产品芯片级检测维修与数据恢复项目竞赛报告单》（电子版）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596"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智能电子产品板卡二</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电路板2</w:t>
            </w:r>
          </w:p>
        </w:tc>
        <w:tc>
          <w:tcPr>
            <w:tcW w:w="6266" w:type="dxa"/>
            <w:vAlign w:val="center"/>
          </w:tcPr>
          <w:p>
            <w:r>
              <w:rPr>
                <w:rFonts w:hint="eastAsia" w:ascii="仿宋" w:hAnsi="仿宋" w:eastAsia="仿宋"/>
                <w:sz w:val="24"/>
                <w:szCs w:val="24"/>
              </w:rPr>
              <w:t>检测、维修该电路板，并填写《电子产品芯片级检测维修与数据恢复项目竞赛报告单》（电子版）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596"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智能电子产品板卡三</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电路板3</w:t>
            </w:r>
          </w:p>
        </w:tc>
        <w:tc>
          <w:tcPr>
            <w:tcW w:w="6266" w:type="dxa"/>
            <w:vAlign w:val="center"/>
          </w:tcPr>
          <w:p>
            <w:r>
              <w:rPr>
                <w:rFonts w:hint="eastAsia" w:ascii="仿宋" w:hAnsi="仿宋" w:eastAsia="仿宋"/>
                <w:sz w:val="24"/>
                <w:szCs w:val="24"/>
              </w:rPr>
              <w:t>检测、维修该电路板，并填写《电子产品芯片级检测维修与数据恢复项目竞赛报告单》（电子版）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596"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智能电子产品板卡四</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电路板5</w:t>
            </w:r>
          </w:p>
        </w:tc>
        <w:tc>
          <w:tcPr>
            <w:tcW w:w="6266" w:type="dxa"/>
            <w:vAlign w:val="center"/>
          </w:tcPr>
          <w:p>
            <w:r>
              <w:rPr>
                <w:rFonts w:hint="eastAsia" w:ascii="仿宋" w:hAnsi="仿宋" w:eastAsia="仿宋"/>
                <w:sz w:val="24"/>
                <w:szCs w:val="24"/>
              </w:rPr>
              <w:t>检测、维修该电路板，并填写《电子产品芯片级检测维修与数据恢复项目竞赛报告单》（电子版）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596"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智能电子产品板卡五</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电路板6</w:t>
            </w:r>
          </w:p>
        </w:tc>
        <w:tc>
          <w:tcPr>
            <w:tcW w:w="6266" w:type="dxa"/>
            <w:vAlign w:val="center"/>
          </w:tcPr>
          <w:p>
            <w:r>
              <w:rPr>
                <w:rFonts w:hint="eastAsia" w:ascii="仿宋" w:hAnsi="仿宋" w:eastAsia="仿宋"/>
                <w:sz w:val="24"/>
                <w:szCs w:val="24"/>
              </w:rPr>
              <w:t>检测、维修该电路板，并填写《电子产品芯片级检测维修与数据恢复项目竞赛报告单》（电子版）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596"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智能电子产品板卡六</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电路板7</w:t>
            </w:r>
          </w:p>
        </w:tc>
        <w:tc>
          <w:tcPr>
            <w:tcW w:w="6266" w:type="dxa"/>
            <w:vAlign w:val="center"/>
          </w:tcPr>
          <w:p>
            <w:r>
              <w:rPr>
                <w:rFonts w:hint="eastAsia" w:ascii="仿宋" w:hAnsi="仿宋" w:eastAsia="仿宋"/>
                <w:sz w:val="24"/>
                <w:szCs w:val="24"/>
              </w:rPr>
              <w:t>检测、维修该电路板，并填写《电子产品芯片级检测维修与数据恢复项目竞赛报告单》（电子版）</w:t>
            </w:r>
          </w:p>
        </w:tc>
      </w:tr>
    </w:tbl>
    <w:p>
      <w:pPr>
        <w:spacing w:line="360" w:lineRule="auto"/>
        <w:ind w:firstLine="472" w:firstLineChars="196"/>
        <w:rPr>
          <w:rFonts w:ascii="仿宋" w:hAnsi="仿宋" w:eastAsia="仿宋"/>
          <w:b/>
          <w:sz w:val="24"/>
          <w:szCs w:val="24"/>
        </w:rPr>
      </w:pPr>
      <w:r>
        <w:rPr>
          <w:rFonts w:hint="eastAsia" w:ascii="仿宋" w:hAnsi="仿宋" w:eastAsia="仿宋"/>
          <w:b/>
          <w:sz w:val="24"/>
          <w:szCs w:val="24"/>
        </w:rPr>
        <w:t>注：所有比赛用的电路板卡背面都有标签纸说明电路板编号,禁止损毁，否则不计成绩</w:t>
      </w:r>
      <w:r>
        <w:rPr>
          <w:rFonts w:hint="eastAsia" w:ascii="Times New Roman" w:hAnsi="Times New Roman" w:eastAsia="仿宋"/>
          <w:b/>
          <w:sz w:val="24"/>
          <w:szCs w:val="24"/>
        </w:rPr>
        <w:t>。</w:t>
      </w:r>
    </w:p>
    <w:p>
      <w:pPr>
        <w:spacing w:line="360" w:lineRule="auto"/>
        <w:ind w:firstLine="470" w:firstLineChars="196"/>
        <w:rPr>
          <w:rFonts w:ascii="仿宋" w:hAnsi="仿宋" w:eastAsia="仿宋"/>
          <w:sz w:val="24"/>
          <w:szCs w:val="24"/>
        </w:rPr>
      </w:pPr>
      <w:r>
        <w:rPr>
          <w:rFonts w:hint="eastAsia" w:ascii="仿宋" w:hAnsi="仿宋" w:eastAsia="仿宋"/>
          <w:sz w:val="24"/>
          <w:szCs w:val="24"/>
        </w:rPr>
        <w:t>2 任务要求</w:t>
      </w:r>
    </w:p>
    <w:p>
      <w:pPr>
        <w:spacing w:line="360" w:lineRule="auto"/>
        <w:ind w:firstLine="470" w:firstLineChars="196"/>
        <w:rPr>
          <w:rFonts w:ascii="仿宋" w:hAnsi="仿宋" w:eastAsia="仿宋"/>
          <w:sz w:val="24"/>
          <w:szCs w:val="24"/>
        </w:rPr>
      </w:pPr>
      <w:r>
        <w:rPr>
          <w:rFonts w:hint="eastAsia" w:ascii="仿宋" w:hAnsi="仿宋" w:eastAsia="仿宋"/>
          <w:sz w:val="24"/>
          <w:szCs w:val="24"/>
        </w:rPr>
        <w:t>（1）使用万用表、示波器、直流稳压电源等工具进行故障检测；</w:t>
      </w:r>
    </w:p>
    <w:p>
      <w:pPr>
        <w:spacing w:line="360" w:lineRule="auto"/>
        <w:ind w:firstLine="470" w:firstLineChars="196"/>
        <w:rPr>
          <w:rFonts w:ascii="仿宋" w:hAnsi="仿宋" w:eastAsia="仿宋"/>
          <w:sz w:val="24"/>
          <w:szCs w:val="24"/>
        </w:rPr>
      </w:pPr>
      <w:r>
        <w:rPr>
          <w:rFonts w:hint="eastAsia" w:ascii="仿宋" w:hAnsi="仿宋" w:eastAsia="仿宋"/>
          <w:sz w:val="24"/>
          <w:szCs w:val="24"/>
        </w:rPr>
        <w:t>（2）选用相应的电子元器件进行故障维修，并在竞赛结束后听从现场裁判指令，通过智能检测平台提交电路板的维修结果；</w:t>
      </w:r>
    </w:p>
    <w:p>
      <w:pPr>
        <w:spacing w:line="360" w:lineRule="auto"/>
        <w:ind w:firstLine="470" w:firstLineChars="196"/>
        <w:rPr>
          <w:rFonts w:ascii="仿宋" w:hAnsi="仿宋" w:eastAsia="仿宋"/>
          <w:sz w:val="24"/>
          <w:szCs w:val="24"/>
        </w:rPr>
      </w:pPr>
      <w:r>
        <w:rPr>
          <w:rFonts w:hint="eastAsia" w:ascii="仿宋" w:hAnsi="仿宋" w:eastAsia="仿宋"/>
          <w:sz w:val="24"/>
          <w:szCs w:val="24"/>
        </w:rPr>
        <w:t>（3）参赛队维修过程中使用的元器件全部在大赛执委会提供的元件包中，每个可能的故障元器件均提供了2个备件，竞赛过程中不得再申领元器件。</w:t>
      </w:r>
    </w:p>
    <w:p>
      <w:pPr>
        <w:pStyle w:val="5"/>
        <w:spacing w:line="360" w:lineRule="auto"/>
        <w:ind w:firstLine="482" w:firstLineChars="200"/>
        <w:rPr>
          <w:rFonts w:ascii="仿宋" w:hAnsi="仿宋" w:eastAsia="仿宋"/>
          <w:b/>
          <w:sz w:val="24"/>
          <w:szCs w:val="24"/>
        </w:rPr>
      </w:pPr>
      <w:r>
        <w:rPr>
          <w:rFonts w:hint="eastAsia" w:ascii="仿宋" w:hAnsi="仿宋" w:eastAsia="仿宋"/>
          <w:b/>
          <w:sz w:val="24"/>
          <w:szCs w:val="24"/>
        </w:rPr>
        <w:t>注意：竞赛结束后，根据现场裁判的指示进行电路板卡维修结果上传，在竞赛过程中严禁上传。</w:t>
      </w:r>
    </w:p>
    <w:p>
      <w:pPr>
        <w:spacing w:before="312" w:beforeLines="100" w:after="312" w:afterLines="100" w:line="360" w:lineRule="auto"/>
        <w:rPr>
          <w:rFonts w:ascii="仿宋_GB2312" w:eastAsia="仿宋_GB2312"/>
          <w:b/>
          <w:sz w:val="24"/>
          <w:szCs w:val="24"/>
        </w:rPr>
      </w:pPr>
      <w:bookmarkStart w:id="12" w:name="_Toc513576900"/>
      <w:r>
        <w:rPr>
          <w:rFonts w:hint="eastAsia" w:ascii="仿宋_GB2312" w:eastAsia="仿宋_GB2312"/>
          <w:b/>
          <w:sz w:val="24"/>
          <w:szCs w:val="24"/>
        </w:rPr>
        <w:t>（二）任务二：存储介质检测维修及数据恢复</w:t>
      </w:r>
      <w:bookmarkEnd w:id="12"/>
    </w:p>
    <w:p>
      <w:pPr>
        <w:spacing w:line="360" w:lineRule="auto"/>
        <w:ind w:firstLine="470" w:firstLineChars="196"/>
        <w:rPr>
          <w:rFonts w:ascii="仿宋" w:hAnsi="仿宋" w:eastAsia="仿宋"/>
          <w:sz w:val="24"/>
          <w:szCs w:val="24"/>
        </w:rPr>
      </w:pPr>
      <w:r>
        <w:rPr>
          <w:rFonts w:hint="eastAsia" w:ascii="仿宋" w:hAnsi="仿宋" w:eastAsia="仿宋"/>
          <w:sz w:val="24"/>
          <w:szCs w:val="24"/>
        </w:rPr>
        <w:t>1 任务描述</w:t>
      </w:r>
    </w:p>
    <w:p>
      <w:pPr>
        <w:spacing w:line="360" w:lineRule="auto"/>
        <w:ind w:firstLine="470" w:firstLineChars="196"/>
        <w:rPr>
          <w:rFonts w:ascii="仿宋" w:hAnsi="仿宋" w:eastAsia="仿宋"/>
          <w:sz w:val="24"/>
          <w:szCs w:val="24"/>
        </w:rPr>
      </w:pPr>
      <w:r>
        <w:rPr>
          <w:rFonts w:hint="eastAsia" w:ascii="仿宋" w:hAnsi="仿宋" w:eastAsia="仿宋"/>
          <w:sz w:val="24"/>
          <w:szCs w:val="24"/>
        </w:rPr>
        <w:t>参赛队使用大赛执委会提供的数据恢复平台、配套工具软件及技术文件（数据恢复平台使用说明书），依据赛题中的故障描述及要求，对现场提供的存储进行检测维修，并将指定文件资料恢复出来。</w:t>
      </w:r>
    </w:p>
    <w:p>
      <w:pPr>
        <w:spacing w:line="360" w:lineRule="auto"/>
        <w:ind w:firstLine="470" w:firstLineChars="196"/>
        <w:rPr>
          <w:rFonts w:ascii="仿宋" w:hAnsi="仿宋" w:eastAsia="仿宋"/>
          <w:sz w:val="24"/>
          <w:szCs w:val="24"/>
        </w:rPr>
      </w:pPr>
      <w:r>
        <w:rPr>
          <w:rFonts w:hint="eastAsia" w:ascii="仿宋" w:hAnsi="仿宋" w:eastAsia="仿宋"/>
          <w:sz w:val="24"/>
          <w:szCs w:val="24"/>
        </w:rPr>
        <w:t>大赛提供含有故障的5个存储，故障描述及任务要求如下：</w:t>
      </w:r>
    </w:p>
    <w:tbl>
      <w:tblPr>
        <w:tblStyle w:val="17"/>
        <w:tblW w:w="9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467"/>
        <w:gridCol w:w="3709"/>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存储编号</w:t>
            </w:r>
          </w:p>
        </w:tc>
        <w:tc>
          <w:tcPr>
            <w:tcW w:w="1467"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存储类型</w:t>
            </w:r>
          </w:p>
        </w:tc>
        <w:tc>
          <w:tcPr>
            <w:tcW w:w="3709"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故障描述</w:t>
            </w:r>
          </w:p>
        </w:tc>
        <w:tc>
          <w:tcPr>
            <w:tcW w:w="34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_GB2312" w:hAnsi="仿宋" w:eastAsia="仿宋_GB2312"/>
                <w:b/>
                <w:color w:val="000000"/>
                <w:kern w:val="0"/>
                <w:sz w:val="24"/>
                <w:szCs w:val="24"/>
              </w:rPr>
            </w:pPr>
            <w:r>
              <w:rPr>
                <w:rFonts w:hint="eastAsia" w:ascii="仿宋_GB2312" w:hAnsi="仿宋" w:eastAsia="仿宋_GB2312"/>
                <w:b/>
                <w:color w:val="000000"/>
                <w:sz w:val="24"/>
                <w:szCs w:val="24"/>
              </w:rPr>
              <w:t>任务要求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存储一</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U盘</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该U盘中存放了10个文件，由于病毒的破坏，导致用户数据丢失，再次插拔时系统提示格式化。</w:t>
            </w:r>
          </w:p>
        </w:tc>
        <w:tc>
          <w:tcPr>
            <w:tcW w:w="346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维修并恢复指定文件，并将指定文件的前10个字符记录到《电子产品芯片级检测维修与数据恢复项目竞赛报告单》中。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存储二</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SD卡</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该</w:t>
            </w:r>
            <w:r>
              <w:rPr>
                <w:rFonts w:ascii="仿宋_GB2312" w:hAnsi="仿宋" w:eastAsia="仿宋_GB2312"/>
                <w:color w:val="000000"/>
                <w:kern w:val="0"/>
                <w:sz w:val="24"/>
                <w:szCs w:val="24"/>
              </w:rPr>
              <w:t>SD</w:t>
            </w:r>
            <w:r>
              <w:rPr>
                <w:rFonts w:hint="eastAsia" w:ascii="仿宋_GB2312" w:hAnsi="仿宋" w:eastAsia="仿宋_GB2312"/>
                <w:color w:val="000000"/>
                <w:kern w:val="0"/>
                <w:sz w:val="24"/>
                <w:szCs w:val="24"/>
              </w:rPr>
              <w:t xml:space="preserve">卡中存放了10个文件，由于损坏，导致文件都无法正常打开。 </w:t>
            </w:r>
          </w:p>
        </w:tc>
        <w:tc>
          <w:tcPr>
            <w:tcW w:w="346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仿宋" w:eastAsia="仿宋_GB2312"/>
                <w:color w:val="000000"/>
                <w:kern w:val="0"/>
                <w:sz w:val="24"/>
                <w:szCs w:val="24"/>
              </w:rPr>
              <w:t>维修并恢复指定文件，并将指定文件的前10个字符记录到</w:t>
            </w:r>
            <w:r>
              <w:rPr>
                <w:rFonts w:hint="eastAsia" w:ascii="仿宋" w:hAnsi="仿宋" w:eastAsia="仿宋"/>
                <w:sz w:val="24"/>
                <w:szCs w:val="24"/>
              </w:rPr>
              <w:t>《电子产品芯片级检测维修与数据恢复项目竞赛报告单》中</w:t>
            </w:r>
            <w:r>
              <w:rPr>
                <w:rFonts w:hint="eastAsia" w:ascii="仿宋_GB2312" w:hAnsi="仿宋" w:eastAsia="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存储三</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笔记本硬盘</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该硬盘中有100个文件，由于用户误操作，导致系统无法启动。</w:t>
            </w:r>
          </w:p>
        </w:tc>
        <w:tc>
          <w:tcPr>
            <w:tcW w:w="346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仿宋" w:eastAsia="仿宋_GB2312"/>
                <w:color w:val="000000"/>
                <w:kern w:val="0"/>
                <w:sz w:val="24"/>
                <w:szCs w:val="24"/>
              </w:rPr>
              <w:t>维修并恢复指定文件，并将指定文件的前10个字符记录到</w:t>
            </w:r>
            <w:r>
              <w:rPr>
                <w:rFonts w:hint="eastAsia" w:ascii="仿宋" w:hAnsi="仿宋" w:eastAsia="仿宋"/>
                <w:sz w:val="24"/>
                <w:szCs w:val="24"/>
              </w:rPr>
              <w:t>《电子产品芯片级检测维修与数据恢复项目竞赛报告单》中</w:t>
            </w:r>
            <w:r>
              <w:rPr>
                <w:rFonts w:hint="eastAsia" w:ascii="仿宋_GB2312" w:hAnsi="仿宋" w:eastAsia="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存储四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台式机硬盘</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该硬盘中存放了100个文件，且包含3个主分区和7个逻辑分区。由于意外断电，用户再次重启计算机时，发现计算机无法识别该硬盘。</w:t>
            </w:r>
          </w:p>
        </w:tc>
        <w:tc>
          <w:tcPr>
            <w:tcW w:w="346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仿宋" w:eastAsia="仿宋_GB2312"/>
                <w:color w:val="000000"/>
                <w:kern w:val="0"/>
                <w:sz w:val="24"/>
                <w:szCs w:val="24"/>
              </w:rPr>
              <w:t>维修并恢复指定文件，并将指定文件的前10个字符记录到</w:t>
            </w:r>
            <w:r>
              <w:rPr>
                <w:rFonts w:hint="eastAsia" w:ascii="仿宋" w:hAnsi="仿宋" w:eastAsia="仿宋"/>
                <w:sz w:val="24"/>
                <w:szCs w:val="24"/>
              </w:rPr>
              <w:t>《电子产品芯片级检测维修与数据恢复项目竞赛报告单》中</w:t>
            </w:r>
            <w:r>
              <w:rPr>
                <w:rFonts w:hint="eastAsia" w:ascii="仿宋_GB2312" w:hAnsi="仿宋" w:eastAsia="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存储五</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台式机硬盘</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该硬盘中存放了100个文件，且包含6个分区，由于用户在还原系统时误将该硬盘还原成4个分区，造成数据丢失。</w:t>
            </w:r>
          </w:p>
        </w:tc>
        <w:tc>
          <w:tcPr>
            <w:tcW w:w="346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仿宋" w:eastAsia="仿宋_GB2312"/>
                <w:color w:val="000000"/>
                <w:kern w:val="0"/>
                <w:sz w:val="24"/>
                <w:szCs w:val="24"/>
              </w:rPr>
              <w:t>维修并恢复指定文件，并将指定文件的前10个字符记录到</w:t>
            </w:r>
            <w:r>
              <w:rPr>
                <w:rFonts w:hint="eastAsia" w:ascii="仿宋" w:hAnsi="仿宋" w:eastAsia="仿宋"/>
                <w:sz w:val="24"/>
                <w:szCs w:val="24"/>
              </w:rPr>
              <w:t>《电子产品芯片级检测维修与数据恢复项目竞赛报告单》中</w:t>
            </w:r>
            <w:r>
              <w:rPr>
                <w:rFonts w:hint="eastAsia" w:ascii="仿宋_GB2312" w:hAnsi="仿宋" w:eastAsia="仿宋_GB2312"/>
                <w:color w:val="000000"/>
                <w:kern w:val="0"/>
                <w:sz w:val="24"/>
                <w:szCs w:val="24"/>
              </w:rPr>
              <w:t>。</w:t>
            </w:r>
          </w:p>
        </w:tc>
      </w:tr>
    </w:tbl>
    <w:p>
      <w:pPr>
        <w:spacing w:line="360" w:lineRule="auto"/>
        <w:ind w:firstLine="472" w:firstLineChars="196"/>
        <w:rPr>
          <w:rFonts w:ascii="仿宋" w:hAnsi="仿宋" w:eastAsia="仿宋"/>
          <w:sz w:val="24"/>
          <w:szCs w:val="24"/>
        </w:rPr>
      </w:pPr>
      <w:r>
        <w:rPr>
          <w:rFonts w:hint="eastAsia" w:ascii="仿宋" w:hAnsi="仿宋" w:eastAsia="仿宋"/>
          <w:b/>
          <w:sz w:val="24"/>
          <w:szCs w:val="24"/>
        </w:rPr>
        <w:t>注：所有比赛用的存储上都有标签纸说明介质编号,禁止损毁，否则不计成绩</w:t>
      </w:r>
      <w:r>
        <w:rPr>
          <w:rFonts w:hint="eastAsia" w:ascii="Times New Roman" w:hAnsi="Times New Roman" w:eastAsia="仿宋"/>
          <w:b/>
          <w:sz w:val="24"/>
          <w:szCs w:val="24"/>
        </w:rPr>
        <w:t>。</w:t>
      </w:r>
    </w:p>
    <w:p>
      <w:pPr>
        <w:spacing w:line="360" w:lineRule="auto"/>
        <w:ind w:firstLine="470" w:firstLineChars="196"/>
        <w:rPr>
          <w:rFonts w:ascii="仿宋" w:hAnsi="仿宋" w:eastAsia="仿宋"/>
          <w:sz w:val="24"/>
          <w:szCs w:val="24"/>
        </w:rPr>
      </w:pPr>
      <w:r>
        <w:rPr>
          <w:rFonts w:hint="eastAsia" w:ascii="仿宋" w:hAnsi="仿宋" w:eastAsia="仿宋"/>
          <w:sz w:val="24"/>
          <w:szCs w:val="24"/>
        </w:rPr>
        <w:t>2 任务要求</w:t>
      </w:r>
    </w:p>
    <w:p>
      <w:pPr>
        <w:spacing w:line="360" w:lineRule="auto"/>
        <w:ind w:firstLine="470" w:firstLineChars="196"/>
        <w:rPr>
          <w:rFonts w:ascii="仿宋" w:hAnsi="仿宋" w:eastAsia="仿宋"/>
          <w:kern w:val="0"/>
          <w:sz w:val="24"/>
        </w:rPr>
      </w:pPr>
      <w:r>
        <w:rPr>
          <w:rFonts w:hint="eastAsia" w:ascii="仿宋" w:hAnsi="仿宋" w:eastAsia="仿宋"/>
          <w:sz w:val="24"/>
          <w:szCs w:val="24"/>
        </w:rPr>
        <w:t>（1）维修“存储一”的U盘，</w:t>
      </w:r>
      <w:r>
        <w:rPr>
          <w:rFonts w:hint="eastAsia" w:ascii="仿宋" w:hAnsi="仿宋" w:eastAsia="仿宋"/>
          <w:kern w:val="0"/>
          <w:sz w:val="24"/>
        </w:rPr>
        <w:t>然后恢复文件名为</w:t>
      </w:r>
      <w:r>
        <w:rPr>
          <w:rFonts w:hint="eastAsia" w:ascii="仿宋" w:hAnsi="仿宋" w:eastAsia="仿宋"/>
          <w:kern w:val="0"/>
          <w:sz w:val="24"/>
          <w:u w:val="single"/>
        </w:rPr>
        <w:t>“</w:t>
      </w:r>
      <w:r>
        <w:rPr>
          <w:rFonts w:ascii="仿宋" w:hAnsi="仿宋" w:eastAsia="仿宋"/>
          <w:kern w:val="0"/>
          <w:sz w:val="24"/>
          <w:u w:val="single"/>
        </w:rPr>
        <w:t>7</w:t>
      </w:r>
      <w:r>
        <w:rPr>
          <w:rFonts w:hint="eastAsia" w:ascii="仿宋" w:hAnsi="仿宋" w:eastAsia="仿宋"/>
          <w:kern w:val="0"/>
          <w:sz w:val="24"/>
          <w:u w:val="single"/>
        </w:rPr>
        <w:t>”</w:t>
      </w:r>
      <w:r>
        <w:rPr>
          <w:rFonts w:hint="eastAsia" w:ascii="仿宋" w:hAnsi="仿宋" w:eastAsia="仿宋"/>
          <w:kern w:val="0"/>
          <w:sz w:val="24"/>
        </w:rPr>
        <w:t>的指定文件，并将该文件内容的前10个字符记录到《电子产品芯片级检测维修与数据恢复项目竞赛报告单》中；</w:t>
      </w:r>
    </w:p>
    <w:p>
      <w:pPr>
        <w:spacing w:line="360" w:lineRule="auto"/>
        <w:ind w:firstLine="470" w:firstLineChars="196"/>
        <w:rPr>
          <w:rFonts w:ascii="仿宋" w:hAnsi="仿宋" w:eastAsia="仿宋"/>
          <w:kern w:val="0"/>
          <w:sz w:val="24"/>
        </w:rPr>
      </w:pPr>
      <w:r>
        <w:rPr>
          <w:rFonts w:hint="eastAsia" w:ascii="仿宋" w:hAnsi="仿宋" w:eastAsia="仿宋"/>
          <w:kern w:val="0"/>
          <w:sz w:val="24"/>
        </w:rPr>
        <w:t>（2）</w:t>
      </w:r>
      <w:r>
        <w:rPr>
          <w:rFonts w:hint="eastAsia" w:ascii="仿宋" w:hAnsi="仿宋" w:eastAsia="仿宋"/>
          <w:sz w:val="24"/>
          <w:szCs w:val="24"/>
        </w:rPr>
        <w:t>维修“存储二”的</w:t>
      </w:r>
      <w:r>
        <w:rPr>
          <w:rFonts w:ascii="仿宋" w:hAnsi="仿宋" w:eastAsia="仿宋"/>
          <w:sz w:val="24"/>
          <w:szCs w:val="24"/>
        </w:rPr>
        <w:t>SD</w:t>
      </w:r>
      <w:r>
        <w:rPr>
          <w:rFonts w:hint="eastAsia" w:ascii="仿宋" w:hAnsi="仿宋" w:eastAsia="仿宋"/>
          <w:sz w:val="24"/>
          <w:szCs w:val="24"/>
        </w:rPr>
        <w:t>盘，</w:t>
      </w:r>
      <w:r>
        <w:rPr>
          <w:rFonts w:hint="eastAsia" w:ascii="仿宋" w:hAnsi="仿宋" w:eastAsia="仿宋"/>
          <w:kern w:val="0"/>
          <w:sz w:val="24"/>
        </w:rPr>
        <w:t>然后恢复文件名为</w:t>
      </w:r>
      <w:r>
        <w:rPr>
          <w:rFonts w:hint="eastAsia" w:ascii="仿宋" w:hAnsi="仿宋" w:eastAsia="仿宋"/>
          <w:kern w:val="0"/>
          <w:sz w:val="24"/>
          <w:u w:val="single"/>
        </w:rPr>
        <w:t>“</w:t>
      </w:r>
      <w:r>
        <w:rPr>
          <w:rFonts w:ascii="仿宋" w:hAnsi="仿宋" w:eastAsia="仿宋"/>
          <w:kern w:val="0"/>
          <w:sz w:val="24"/>
          <w:u w:val="single"/>
        </w:rPr>
        <w:t>1</w:t>
      </w:r>
      <w:r>
        <w:rPr>
          <w:rFonts w:hint="eastAsia" w:ascii="仿宋" w:hAnsi="仿宋" w:eastAsia="仿宋"/>
          <w:kern w:val="0"/>
          <w:sz w:val="24"/>
          <w:u w:val="single"/>
        </w:rPr>
        <w:t>”</w:t>
      </w:r>
      <w:r>
        <w:rPr>
          <w:rFonts w:hint="eastAsia" w:ascii="仿宋" w:hAnsi="仿宋" w:eastAsia="仿宋"/>
          <w:kern w:val="0"/>
          <w:sz w:val="24"/>
        </w:rPr>
        <w:t>的指定文件，并将该文件内容的前10个字符记录到《电子产品芯片级检测维修与数据恢复项目竞赛报告单》中；</w:t>
      </w:r>
    </w:p>
    <w:p>
      <w:pPr>
        <w:spacing w:line="360" w:lineRule="auto"/>
        <w:ind w:firstLine="470" w:firstLineChars="196"/>
        <w:rPr>
          <w:rFonts w:ascii="仿宋" w:hAnsi="仿宋" w:eastAsia="仿宋"/>
          <w:kern w:val="0"/>
          <w:sz w:val="24"/>
        </w:rPr>
      </w:pPr>
      <w:r>
        <w:rPr>
          <w:rFonts w:hint="eastAsia" w:ascii="仿宋" w:hAnsi="仿宋" w:eastAsia="仿宋"/>
          <w:kern w:val="0"/>
          <w:sz w:val="24"/>
        </w:rPr>
        <w:t>（3）</w:t>
      </w:r>
      <w:r>
        <w:rPr>
          <w:rFonts w:hint="eastAsia" w:ascii="仿宋" w:hAnsi="仿宋" w:eastAsia="仿宋"/>
          <w:sz w:val="24"/>
          <w:szCs w:val="24"/>
        </w:rPr>
        <w:t>维修“存储三”的硬盘，</w:t>
      </w:r>
      <w:r>
        <w:rPr>
          <w:rFonts w:hint="eastAsia" w:ascii="仿宋" w:hAnsi="仿宋" w:eastAsia="仿宋"/>
          <w:kern w:val="0"/>
          <w:sz w:val="24"/>
        </w:rPr>
        <w:t>然后恢复文件名为</w:t>
      </w:r>
      <w:r>
        <w:rPr>
          <w:rFonts w:hint="eastAsia" w:ascii="仿宋" w:hAnsi="仿宋" w:eastAsia="仿宋"/>
          <w:kern w:val="0"/>
          <w:sz w:val="24"/>
          <w:u w:val="single"/>
        </w:rPr>
        <w:t>“1</w:t>
      </w:r>
      <w:r>
        <w:rPr>
          <w:rFonts w:ascii="仿宋" w:hAnsi="仿宋" w:eastAsia="仿宋"/>
          <w:kern w:val="0"/>
          <w:sz w:val="24"/>
          <w:u w:val="single"/>
        </w:rPr>
        <w:t>2</w:t>
      </w:r>
      <w:r>
        <w:rPr>
          <w:rFonts w:hint="eastAsia" w:ascii="仿宋" w:hAnsi="仿宋" w:eastAsia="仿宋"/>
          <w:kern w:val="0"/>
          <w:sz w:val="24"/>
          <w:u w:val="single"/>
        </w:rPr>
        <w:t>”</w:t>
      </w:r>
      <w:r>
        <w:rPr>
          <w:rFonts w:hint="eastAsia" w:ascii="仿宋" w:hAnsi="仿宋" w:eastAsia="仿宋"/>
          <w:kern w:val="0"/>
          <w:sz w:val="24"/>
        </w:rPr>
        <w:t>的指定文件，并将该文件内容的前10个字符记录到《电子产品芯片级检测维修与数据恢复项目竞赛报告单》中；</w:t>
      </w:r>
    </w:p>
    <w:p>
      <w:pPr>
        <w:spacing w:line="360" w:lineRule="auto"/>
        <w:ind w:firstLine="470" w:firstLineChars="196"/>
        <w:rPr>
          <w:rFonts w:ascii="仿宋" w:hAnsi="仿宋" w:eastAsia="仿宋"/>
          <w:kern w:val="0"/>
          <w:sz w:val="24"/>
        </w:rPr>
      </w:pPr>
      <w:r>
        <w:rPr>
          <w:rFonts w:hint="eastAsia" w:ascii="仿宋" w:hAnsi="仿宋" w:eastAsia="仿宋"/>
          <w:kern w:val="0"/>
          <w:sz w:val="24"/>
        </w:rPr>
        <w:t>（4）</w:t>
      </w:r>
      <w:r>
        <w:rPr>
          <w:rFonts w:hint="eastAsia" w:ascii="仿宋" w:hAnsi="仿宋" w:eastAsia="仿宋"/>
          <w:sz w:val="24"/>
          <w:szCs w:val="24"/>
        </w:rPr>
        <w:t>维修“存储四”的硬盘，</w:t>
      </w:r>
      <w:r>
        <w:rPr>
          <w:rFonts w:hint="eastAsia" w:ascii="仿宋" w:hAnsi="仿宋" w:eastAsia="仿宋"/>
          <w:kern w:val="0"/>
          <w:sz w:val="24"/>
        </w:rPr>
        <w:t>然后恢复文件名为</w:t>
      </w:r>
      <w:r>
        <w:rPr>
          <w:rFonts w:hint="eastAsia" w:ascii="仿宋" w:hAnsi="仿宋" w:eastAsia="仿宋"/>
          <w:kern w:val="0"/>
          <w:sz w:val="24"/>
          <w:u w:val="single"/>
        </w:rPr>
        <w:t>“2</w:t>
      </w:r>
      <w:r>
        <w:rPr>
          <w:rFonts w:ascii="仿宋" w:hAnsi="仿宋" w:eastAsia="仿宋"/>
          <w:kern w:val="0"/>
          <w:sz w:val="24"/>
          <w:u w:val="single"/>
        </w:rPr>
        <w:t>3</w:t>
      </w:r>
      <w:r>
        <w:rPr>
          <w:rFonts w:hint="eastAsia" w:ascii="仿宋" w:hAnsi="仿宋" w:eastAsia="仿宋"/>
          <w:kern w:val="0"/>
          <w:sz w:val="24"/>
          <w:u w:val="single"/>
        </w:rPr>
        <w:t>”</w:t>
      </w:r>
      <w:r>
        <w:rPr>
          <w:rFonts w:hint="eastAsia" w:ascii="仿宋" w:hAnsi="仿宋" w:eastAsia="仿宋"/>
          <w:kern w:val="0"/>
          <w:sz w:val="24"/>
        </w:rPr>
        <w:t>的指定文件，并将该文件内容的前10个字符记录到《电子产品芯片级检测维修与数据恢复项目竞赛报告单》中；</w:t>
      </w:r>
    </w:p>
    <w:p>
      <w:pPr>
        <w:spacing w:line="360" w:lineRule="auto"/>
        <w:ind w:firstLine="470" w:firstLineChars="196"/>
        <w:rPr>
          <w:rFonts w:ascii="仿宋" w:hAnsi="仿宋" w:eastAsia="仿宋"/>
          <w:kern w:val="0"/>
          <w:sz w:val="24"/>
        </w:rPr>
      </w:pPr>
      <w:r>
        <w:rPr>
          <w:rFonts w:hint="eastAsia" w:ascii="仿宋" w:hAnsi="仿宋" w:eastAsia="仿宋"/>
          <w:kern w:val="0"/>
          <w:sz w:val="24"/>
        </w:rPr>
        <w:t>（5）</w:t>
      </w:r>
      <w:r>
        <w:rPr>
          <w:rFonts w:hint="eastAsia" w:ascii="仿宋" w:hAnsi="仿宋" w:eastAsia="仿宋"/>
          <w:sz w:val="24"/>
          <w:szCs w:val="24"/>
        </w:rPr>
        <w:t>维修“存储五”的硬盘，</w:t>
      </w:r>
      <w:r>
        <w:rPr>
          <w:rFonts w:hint="eastAsia" w:ascii="仿宋" w:hAnsi="仿宋" w:eastAsia="仿宋"/>
          <w:kern w:val="0"/>
          <w:sz w:val="24"/>
        </w:rPr>
        <w:t>然后恢复文件名为</w:t>
      </w:r>
      <w:r>
        <w:rPr>
          <w:rFonts w:hint="eastAsia" w:ascii="仿宋" w:hAnsi="仿宋" w:eastAsia="仿宋"/>
          <w:kern w:val="0"/>
          <w:sz w:val="24"/>
          <w:u w:val="single"/>
        </w:rPr>
        <w:t>“6”</w:t>
      </w:r>
      <w:r>
        <w:rPr>
          <w:rFonts w:hint="eastAsia" w:ascii="仿宋" w:hAnsi="仿宋" w:eastAsia="仿宋"/>
          <w:kern w:val="0"/>
          <w:sz w:val="24"/>
        </w:rPr>
        <w:t>的指定文件，并将该文件内容的前10个字符记录到《电子产品芯片级检测维修与数据恢复项目竞赛报告单》中。</w:t>
      </w:r>
    </w:p>
    <w:p>
      <w:pPr>
        <w:spacing w:before="312" w:beforeLines="100" w:after="312" w:afterLines="100" w:line="360" w:lineRule="auto"/>
        <w:rPr>
          <w:rFonts w:ascii="仿宋_GB2312" w:eastAsia="仿宋_GB2312"/>
          <w:b/>
          <w:sz w:val="24"/>
          <w:szCs w:val="24"/>
        </w:rPr>
      </w:pPr>
      <w:bookmarkStart w:id="13" w:name="_Toc513576901"/>
      <w:r>
        <w:rPr>
          <w:rFonts w:hint="eastAsia" w:ascii="仿宋_GB2312" w:eastAsia="仿宋_GB2312"/>
          <w:b/>
          <w:sz w:val="24"/>
          <w:szCs w:val="24"/>
        </w:rPr>
        <w:t>（三）任务三：填写竞赛报告单</w:t>
      </w:r>
      <w:bookmarkEnd w:id="13"/>
    </w:p>
    <w:p>
      <w:pPr>
        <w:spacing w:line="360" w:lineRule="auto"/>
        <w:ind w:firstLine="470"/>
        <w:rPr>
          <w:rFonts w:ascii="仿宋" w:hAnsi="仿宋" w:eastAsia="仿宋"/>
          <w:sz w:val="24"/>
          <w:szCs w:val="24"/>
        </w:rPr>
      </w:pPr>
      <w:r>
        <w:rPr>
          <w:rFonts w:hint="eastAsia" w:ascii="仿宋" w:hAnsi="仿宋" w:eastAsia="仿宋"/>
          <w:sz w:val="24"/>
          <w:szCs w:val="24"/>
        </w:rPr>
        <w:t>1 任务描述</w:t>
      </w:r>
    </w:p>
    <w:p>
      <w:pPr>
        <w:spacing w:line="360" w:lineRule="auto"/>
        <w:ind w:firstLine="470"/>
        <w:rPr>
          <w:rFonts w:ascii="仿宋" w:hAnsi="仿宋" w:eastAsia="仿宋"/>
          <w:sz w:val="24"/>
          <w:szCs w:val="24"/>
        </w:rPr>
      </w:pPr>
      <w:r>
        <w:rPr>
          <w:rFonts w:hint="eastAsia" w:ascii="仿宋" w:hAnsi="仿宋" w:eastAsia="仿宋"/>
          <w:sz w:val="24"/>
          <w:szCs w:val="24"/>
        </w:rPr>
        <w:t>依据任务要求完成《电子产品芯片级检测维修与数据恢复项目竞赛报告单》（电子版）的填写。</w:t>
      </w:r>
    </w:p>
    <w:p>
      <w:pPr>
        <w:spacing w:line="360" w:lineRule="auto"/>
        <w:ind w:firstLine="470" w:firstLineChars="196"/>
      </w:pPr>
      <w:r>
        <w:rPr>
          <w:rFonts w:hint="eastAsia" w:ascii="仿宋" w:hAnsi="仿宋" w:eastAsia="仿宋"/>
          <w:sz w:val="24"/>
          <w:szCs w:val="24"/>
        </w:rPr>
        <w:t>2 任务要求</w:t>
      </w:r>
    </w:p>
    <w:p>
      <w:pPr>
        <w:spacing w:line="360" w:lineRule="auto"/>
        <w:ind w:firstLine="470" w:firstLineChars="196"/>
        <w:rPr>
          <w:rFonts w:ascii="仿宋" w:hAnsi="仿宋" w:eastAsia="仿宋"/>
          <w:sz w:val="24"/>
          <w:szCs w:val="24"/>
        </w:rPr>
      </w:pPr>
      <w:r>
        <w:rPr>
          <w:rFonts w:hint="eastAsia" w:ascii="仿宋" w:hAnsi="仿宋" w:eastAsia="仿宋"/>
          <w:sz w:val="24"/>
          <w:szCs w:val="24"/>
        </w:rPr>
        <w:t>《电子产品芯片级检测维修与数据恢复项目竞赛报告单》由两部分组成，相关要求如下：</w:t>
      </w:r>
    </w:p>
    <w:p>
      <w:pPr>
        <w:spacing w:line="360" w:lineRule="auto"/>
        <w:ind w:firstLine="470" w:firstLineChars="196"/>
        <w:rPr>
          <w:rFonts w:ascii="仿宋" w:hAnsi="仿宋" w:eastAsia="仿宋"/>
          <w:sz w:val="24"/>
          <w:szCs w:val="24"/>
        </w:rPr>
      </w:pPr>
      <w:r>
        <w:rPr>
          <w:rFonts w:hint="eastAsia" w:ascii="仿宋" w:hAnsi="仿宋" w:eastAsia="仿宋"/>
          <w:sz w:val="24"/>
          <w:szCs w:val="24"/>
        </w:rPr>
        <w:t>（1）智能电子产品板卡检测与维修记录表</w:t>
      </w:r>
    </w:p>
    <w:p>
      <w:pPr>
        <w:spacing w:line="360" w:lineRule="auto"/>
        <w:ind w:firstLine="470" w:firstLineChars="196"/>
        <w:rPr>
          <w:rFonts w:ascii="仿宋" w:hAnsi="仿宋" w:eastAsia="仿宋"/>
          <w:sz w:val="24"/>
          <w:szCs w:val="24"/>
        </w:rPr>
      </w:pPr>
      <w:r>
        <w:rPr>
          <w:rFonts w:hint="eastAsia" w:ascii="仿宋" w:hAnsi="仿宋" w:eastAsia="仿宋"/>
          <w:sz w:val="24"/>
          <w:szCs w:val="24"/>
        </w:rPr>
        <w:t>将电路板检测与维修信息分别记录在相应的表格中，语言描述应条理清晰，能够反映对于故障的判断及排除过程，且言简意赅，符合典型电子产品维修岗位对于故障维修记录的规范要求。</w:t>
      </w:r>
    </w:p>
    <w:p>
      <w:pPr>
        <w:spacing w:line="360" w:lineRule="auto"/>
        <w:ind w:firstLine="470" w:firstLineChars="196"/>
        <w:rPr>
          <w:rFonts w:ascii="仿宋" w:hAnsi="仿宋" w:eastAsia="仿宋"/>
          <w:sz w:val="24"/>
          <w:szCs w:val="24"/>
        </w:rPr>
      </w:pPr>
      <w:r>
        <w:rPr>
          <w:rFonts w:hint="eastAsia" w:ascii="仿宋" w:hAnsi="仿宋" w:eastAsia="仿宋"/>
          <w:sz w:val="24"/>
          <w:szCs w:val="24"/>
        </w:rPr>
        <w:t>（2）存储设备维修及数据恢复记录表</w:t>
      </w:r>
    </w:p>
    <w:p>
      <w:pPr>
        <w:pStyle w:val="5"/>
        <w:spacing w:line="360" w:lineRule="auto"/>
        <w:ind w:firstLine="480" w:firstLineChars="200"/>
      </w:pPr>
      <w:r>
        <w:rPr>
          <w:rFonts w:hint="eastAsia" w:ascii="仿宋" w:hAnsi="仿宋" w:eastAsia="仿宋"/>
          <w:kern w:val="0"/>
          <w:sz w:val="24"/>
        </w:rPr>
        <w:t>依次打开“存储一至五”要求恢复的指定文件，并将相应文件内容记录到《</w:t>
      </w:r>
      <w:r>
        <w:rPr>
          <w:rFonts w:hint="eastAsia" w:ascii="仿宋" w:hAnsi="仿宋" w:eastAsia="仿宋"/>
          <w:sz w:val="24"/>
          <w:szCs w:val="24"/>
        </w:rPr>
        <w:t>存储设备维修及数据恢复记录表</w:t>
      </w:r>
      <w:r>
        <w:rPr>
          <w:rFonts w:hint="eastAsia" w:ascii="仿宋" w:hAnsi="仿宋" w:eastAsia="仿宋"/>
          <w:sz w:val="24"/>
        </w:rPr>
        <w:t>》</w:t>
      </w:r>
      <w:r>
        <w:rPr>
          <w:rFonts w:hint="eastAsia" w:ascii="仿宋" w:hAnsi="仿宋" w:eastAsia="仿宋"/>
          <w:kern w:val="0"/>
          <w:sz w:val="24"/>
        </w:rPr>
        <w:t>中指定的位置。</w:t>
      </w:r>
    </w:p>
    <w:p>
      <w:pPr>
        <w:spacing w:line="360" w:lineRule="auto"/>
        <w:ind w:firstLine="472" w:firstLineChars="196"/>
        <w:rPr>
          <w:rFonts w:ascii="仿宋" w:hAnsi="仿宋" w:eastAsia="仿宋"/>
          <w:sz w:val="24"/>
          <w:szCs w:val="24"/>
        </w:rPr>
      </w:pPr>
      <w:r>
        <w:rPr>
          <w:rFonts w:hint="eastAsia" w:ascii="仿宋" w:hAnsi="仿宋" w:eastAsia="仿宋"/>
          <w:b/>
          <w:sz w:val="24"/>
          <w:szCs w:val="24"/>
        </w:rPr>
        <w:t>注意：</w:t>
      </w:r>
      <w:r>
        <w:rPr>
          <w:rFonts w:hint="eastAsia" w:ascii="仿宋" w:hAnsi="仿宋" w:eastAsia="仿宋"/>
          <w:sz w:val="24"/>
          <w:szCs w:val="24"/>
        </w:rPr>
        <w:t>《电子产品芯片级检测维修与数据恢复项目竞赛报告单》（电子版）模板在参赛机“D:\竞赛报告单”目录下。</w:t>
      </w:r>
    </w:p>
    <w:p>
      <w:pPr>
        <w:spacing w:before="312" w:beforeLines="100" w:after="312" w:afterLines="100" w:line="360" w:lineRule="auto"/>
        <w:rPr>
          <w:rFonts w:ascii="仿宋_GB2312" w:eastAsia="仿宋_GB2312"/>
          <w:b/>
          <w:sz w:val="28"/>
          <w:szCs w:val="28"/>
        </w:rPr>
      </w:pPr>
      <w:bookmarkStart w:id="14" w:name="_Toc513576902"/>
      <w:r>
        <w:rPr>
          <w:rFonts w:hint="eastAsia" w:ascii="仿宋_GB2312" w:eastAsia="仿宋_GB2312"/>
          <w:b/>
          <w:sz w:val="28"/>
          <w:szCs w:val="28"/>
        </w:rPr>
        <w:t>五、竞赛结果提交要求</w:t>
      </w:r>
      <w:bookmarkEnd w:id="14"/>
    </w:p>
    <w:p>
      <w:pPr>
        <w:pStyle w:val="26"/>
        <w:spacing w:line="360" w:lineRule="auto"/>
        <w:ind w:left="470" w:firstLine="0" w:firstLineChars="0"/>
        <w:rPr>
          <w:rFonts w:ascii="仿宋" w:hAnsi="仿宋" w:eastAsia="仿宋"/>
          <w:sz w:val="24"/>
          <w:szCs w:val="24"/>
        </w:rPr>
      </w:pPr>
      <w:r>
        <w:rPr>
          <w:rFonts w:hint="eastAsia" w:ascii="仿宋" w:hAnsi="仿宋" w:eastAsia="仿宋"/>
          <w:sz w:val="24"/>
          <w:szCs w:val="24"/>
        </w:rPr>
        <w:t>1电路板卡维修结果上传</w:t>
      </w:r>
    </w:p>
    <w:p>
      <w:pPr>
        <w:pStyle w:val="5"/>
        <w:spacing w:line="360" w:lineRule="auto"/>
        <w:ind w:firstLine="480" w:firstLineChars="200"/>
        <w:rPr>
          <w:rFonts w:ascii="仿宋" w:hAnsi="仿宋" w:eastAsia="仿宋"/>
          <w:sz w:val="24"/>
          <w:szCs w:val="24"/>
        </w:rPr>
      </w:pPr>
      <w:r>
        <w:rPr>
          <w:rFonts w:hint="eastAsia" w:ascii="仿宋" w:hAnsi="仿宋" w:eastAsia="仿宋"/>
          <w:sz w:val="24"/>
          <w:szCs w:val="24"/>
        </w:rPr>
        <w:t>当竞赛结束后，在规定时间内，根据现场裁判的指示进行电路板卡维修结果上传。</w:t>
      </w:r>
    </w:p>
    <w:p>
      <w:pPr>
        <w:pStyle w:val="26"/>
        <w:spacing w:line="360" w:lineRule="auto"/>
        <w:ind w:left="470" w:firstLine="0" w:firstLineChars="0"/>
        <w:rPr>
          <w:rFonts w:ascii="仿宋" w:hAnsi="仿宋" w:eastAsia="仿宋"/>
          <w:sz w:val="24"/>
          <w:szCs w:val="24"/>
        </w:rPr>
      </w:pPr>
      <w:r>
        <w:rPr>
          <w:rFonts w:hint="eastAsia" w:ascii="仿宋" w:hAnsi="仿宋" w:eastAsia="仿宋"/>
          <w:sz w:val="24"/>
          <w:szCs w:val="24"/>
        </w:rPr>
        <w:t>2《电子产品芯片级检测维修与数据恢复项目竞赛报告单》上传</w:t>
      </w:r>
    </w:p>
    <w:p>
      <w:pPr>
        <w:pStyle w:val="26"/>
        <w:spacing w:line="360" w:lineRule="auto"/>
        <w:ind w:left="470" w:firstLine="0" w:firstLineChars="0"/>
        <w:rPr>
          <w:rFonts w:ascii="仿宋" w:hAnsi="仿宋" w:eastAsia="仿宋"/>
          <w:sz w:val="24"/>
          <w:szCs w:val="24"/>
        </w:rPr>
      </w:pPr>
      <w:r>
        <w:rPr>
          <w:rFonts w:hint="eastAsia" w:ascii="仿宋" w:hAnsi="仿宋" w:eastAsia="仿宋"/>
          <w:sz w:val="24"/>
          <w:szCs w:val="24"/>
        </w:rPr>
        <w:t>（1）提交的电子文档应按下述规则命名；</w:t>
      </w:r>
    </w:p>
    <w:tbl>
      <w:tblPr>
        <w:tblStyle w:val="17"/>
        <w:tblW w:w="8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969"/>
        <w:gridCol w:w="3111"/>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0" w:type="dxa"/>
            <w:shd w:val="clear" w:color="auto" w:fill="D9D9D9"/>
            <w:vAlign w:val="center"/>
          </w:tcPr>
          <w:p>
            <w:pPr>
              <w:jc w:val="center"/>
              <w:rPr>
                <w:rFonts w:ascii="仿宋" w:hAnsi="仿宋" w:eastAsia="仿宋" w:cs="仿宋"/>
                <w:b/>
                <w:bCs/>
                <w:sz w:val="24"/>
                <w:szCs w:val="24"/>
              </w:rPr>
            </w:pPr>
            <w:r>
              <w:rPr>
                <w:rFonts w:hint="eastAsia" w:ascii="仿宋" w:hAnsi="仿宋" w:eastAsia="仿宋" w:cs="仿宋"/>
                <w:b/>
                <w:bCs/>
                <w:sz w:val="24"/>
                <w:szCs w:val="24"/>
              </w:rPr>
              <w:t>报告单</w:t>
            </w:r>
          </w:p>
        </w:tc>
        <w:tc>
          <w:tcPr>
            <w:tcW w:w="1969" w:type="dxa"/>
            <w:shd w:val="clear" w:color="auto" w:fill="D9D9D9"/>
            <w:vAlign w:val="center"/>
          </w:tcPr>
          <w:p>
            <w:pPr>
              <w:jc w:val="center"/>
              <w:rPr>
                <w:rFonts w:ascii="仿宋" w:hAnsi="仿宋" w:eastAsia="仿宋" w:cs="仿宋"/>
                <w:b/>
                <w:bCs/>
                <w:sz w:val="24"/>
                <w:szCs w:val="24"/>
              </w:rPr>
            </w:pPr>
            <w:r>
              <w:rPr>
                <w:rFonts w:hint="eastAsia" w:ascii="仿宋" w:hAnsi="仿宋" w:eastAsia="仿宋" w:cs="仿宋"/>
                <w:b/>
                <w:bCs/>
                <w:sz w:val="24"/>
                <w:szCs w:val="24"/>
              </w:rPr>
              <w:t>命名规则</w:t>
            </w:r>
          </w:p>
        </w:tc>
        <w:tc>
          <w:tcPr>
            <w:tcW w:w="3111" w:type="dxa"/>
            <w:shd w:val="clear" w:color="auto" w:fill="D9D9D9"/>
            <w:vAlign w:val="center"/>
          </w:tcPr>
          <w:p>
            <w:pPr>
              <w:jc w:val="center"/>
              <w:rPr>
                <w:rFonts w:ascii="仿宋" w:hAnsi="仿宋" w:eastAsia="仿宋" w:cs="仿宋"/>
                <w:b/>
                <w:bCs/>
                <w:sz w:val="24"/>
                <w:szCs w:val="24"/>
              </w:rPr>
            </w:pPr>
            <w:r>
              <w:rPr>
                <w:rFonts w:hint="eastAsia" w:ascii="仿宋" w:hAnsi="仿宋" w:eastAsia="仿宋" w:cs="仿宋"/>
                <w:b/>
                <w:bCs/>
                <w:sz w:val="24"/>
                <w:szCs w:val="24"/>
              </w:rPr>
              <w:t>示 例</w:t>
            </w:r>
          </w:p>
        </w:tc>
        <w:tc>
          <w:tcPr>
            <w:tcW w:w="1908" w:type="dxa"/>
            <w:shd w:val="clear" w:color="auto" w:fill="D9D9D9"/>
            <w:vAlign w:val="center"/>
          </w:tcPr>
          <w:p>
            <w:pPr>
              <w:jc w:val="center"/>
              <w:rPr>
                <w:rFonts w:ascii="仿宋" w:hAnsi="仿宋" w:eastAsia="仿宋" w:cs="仿宋"/>
                <w:b/>
                <w:bCs/>
                <w:sz w:val="24"/>
                <w:szCs w:val="24"/>
              </w:rPr>
            </w:pPr>
            <w:r>
              <w:rPr>
                <w:rFonts w:hint="eastAsia" w:ascii="仿宋" w:hAnsi="仿宋" w:eastAsia="仿宋" w:cs="仿宋"/>
                <w:b/>
                <w:bCs/>
                <w:sz w:val="24"/>
                <w:szCs w:val="24"/>
              </w:rPr>
              <w:t>提交方式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《电子产品芯片级检测维修与数据恢复项目竞赛报告单》</w:t>
            </w:r>
          </w:p>
        </w:tc>
        <w:tc>
          <w:tcPr>
            <w:tcW w:w="1969" w:type="dxa"/>
            <w:vAlign w:val="center"/>
          </w:tcPr>
          <w:p>
            <w:pPr>
              <w:spacing w:line="360" w:lineRule="auto"/>
              <w:rPr>
                <w:rFonts w:ascii="仿宋" w:hAnsi="仿宋" w:eastAsia="仿宋"/>
                <w:sz w:val="24"/>
                <w:szCs w:val="24"/>
              </w:rPr>
            </w:pPr>
            <w:r>
              <w:rPr>
                <w:rFonts w:hint="eastAsia" w:ascii="仿宋" w:hAnsi="仿宋" w:eastAsia="仿宋"/>
                <w:sz w:val="24"/>
              </w:rPr>
              <w:t>《电子产品芯片级检测维修与数据恢复项目竞赛报告单》</w:t>
            </w:r>
            <w:r>
              <w:rPr>
                <w:rFonts w:hint="eastAsia" w:ascii="仿宋" w:hAnsi="仿宋" w:eastAsia="仿宋"/>
                <w:kern w:val="0"/>
                <w:sz w:val="24"/>
              </w:rPr>
              <w:t>_赛位号</w:t>
            </w:r>
          </w:p>
        </w:tc>
        <w:tc>
          <w:tcPr>
            <w:tcW w:w="3111"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rPr>
              <w:t>电子产品芯片级检测维修与数据恢复项目竞赛报告单</w:t>
            </w:r>
            <w:r>
              <w:rPr>
                <w:rFonts w:hint="eastAsia" w:ascii="仿宋" w:hAnsi="仿宋" w:eastAsia="仿宋"/>
                <w:sz w:val="24"/>
                <w:szCs w:val="24"/>
              </w:rPr>
              <w:t>》_1</w:t>
            </w:r>
          </w:p>
        </w:tc>
        <w:tc>
          <w:tcPr>
            <w:tcW w:w="1908" w:type="dxa"/>
            <w:vAlign w:val="center"/>
          </w:tcPr>
          <w:p>
            <w:pPr>
              <w:spacing w:line="360" w:lineRule="auto"/>
              <w:jc w:val="center"/>
              <w:rPr>
                <w:rFonts w:ascii="仿宋" w:hAnsi="仿宋" w:eastAsia="仿宋"/>
                <w:b/>
                <w:sz w:val="24"/>
                <w:szCs w:val="24"/>
              </w:rPr>
            </w:pPr>
            <w:r>
              <w:rPr>
                <w:rFonts w:hint="eastAsia" w:ascii="仿宋" w:hAnsi="仿宋" w:eastAsia="仿宋"/>
                <w:b/>
                <w:kern w:val="0"/>
                <w:sz w:val="24"/>
              </w:rPr>
              <w:t>通过检测软件（SOL-SOFT-X）的“文件上传”功能上传至服务器</w:t>
            </w:r>
          </w:p>
        </w:tc>
      </w:tr>
    </w:tbl>
    <w:p>
      <w:pPr>
        <w:spacing w:line="360" w:lineRule="auto"/>
        <w:ind w:firstLine="470" w:firstLineChars="196"/>
        <w:rPr>
          <w:rFonts w:ascii="仿宋" w:hAnsi="仿宋" w:eastAsia="仿宋"/>
          <w:sz w:val="24"/>
          <w:szCs w:val="24"/>
        </w:rPr>
      </w:pPr>
      <w:r>
        <w:rPr>
          <w:rFonts w:hint="eastAsia" w:ascii="仿宋" w:hAnsi="仿宋" w:eastAsia="仿宋"/>
          <w:sz w:val="24"/>
          <w:szCs w:val="24"/>
        </w:rPr>
        <w:t>（2）提交的《电子产品芯片级检测维修与数据恢复项目竞赛报告单》（电子版）的</w:t>
      </w:r>
      <w:r>
        <w:rPr>
          <w:rFonts w:hint="eastAsia" w:ascii="仿宋" w:hAnsi="仿宋" w:eastAsia="仿宋"/>
          <w:kern w:val="0"/>
          <w:sz w:val="24"/>
        </w:rPr>
        <w:t>首页与页眉要注明赛位号以后再提交，否则此部分视为未提交，并计“0”分</w:t>
      </w:r>
      <w:r>
        <w:rPr>
          <w:rFonts w:hint="eastAsia" w:ascii="仿宋" w:hAnsi="仿宋" w:eastAsia="仿宋"/>
          <w:sz w:val="24"/>
          <w:szCs w:val="24"/>
        </w:rPr>
        <w:t>；</w:t>
      </w:r>
    </w:p>
    <w:p>
      <w:pPr>
        <w:spacing w:line="360" w:lineRule="auto"/>
        <w:ind w:firstLine="470" w:firstLineChars="196"/>
        <w:rPr>
          <w:rFonts w:ascii="仿宋" w:hAnsi="仿宋" w:eastAsia="仿宋"/>
          <w:sz w:val="24"/>
          <w:szCs w:val="24"/>
        </w:rPr>
      </w:pPr>
      <w:r>
        <w:rPr>
          <w:rFonts w:hint="eastAsia" w:ascii="仿宋" w:hAnsi="仿宋" w:eastAsia="仿宋"/>
          <w:sz w:val="24"/>
          <w:szCs w:val="24"/>
        </w:rPr>
        <w:t>（3）提交的《电子产品芯片级检测维修与数据恢复项目竞赛报告单》（电子版）中，不得出现除赛位号以外的任何关于参赛队的信息，否则视为作弊，整个竞赛成绩计为“0”分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（4）当竞赛结束后，根据现场裁判的指令进行《电子产品芯片级检测维修与数据恢复项目竞赛报告单》上传。</w:t>
      </w:r>
    </w:p>
    <w:p>
      <w:pPr>
        <w:spacing w:before="312" w:beforeLines="100" w:after="312" w:afterLines="100" w:line="360" w:lineRule="auto"/>
        <w:rPr>
          <w:rFonts w:ascii="仿宋_GB2312" w:eastAsia="仿宋_GB2312"/>
          <w:b/>
          <w:sz w:val="28"/>
          <w:szCs w:val="28"/>
        </w:rPr>
      </w:pPr>
      <w:bookmarkStart w:id="15" w:name="_Toc513576903"/>
      <w:r>
        <w:rPr>
          <w:rFonts w:hint="eastAsia" w:ascii="仿宋_GB2312" w:eastAsia="仿宋_GB2312"/>
          <w:b/>
          <w:sz w:val="28"/>
          <w:szCs w:val="28"/>
        </w:rPr>
        <w:t>六、评分标准</w:t>
      </w:r>
      <w:bookmarkEnd w:id="15"/>
    </w:p>
    <w:tbl>
      <w:tblPr>
        <w:tblStyle w:val="17"/>
        <w:tblW w:w="85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851"/>
        <w:gridCol w:w="3949"/>
        <w:gridCol w:w="87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 w:hRule="atLeast"/>
          <w:jc w:val="center"/>
        </w:trPr>
        <w:tc>
          <w:tcPr>
            <w:tcW w:w="1246" w:type="dxa"/>
            <w:vAlign w:val="center"/>
          </w:tcPr>
          <w:p>
            <w:pPr>
              <w:spacing w:line="560" w:lineRule="exact"/>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一级指标</w:t>
            </w:r>
          </w:p>
        </w:tc>
        <w:tc>
          <w:tcPr>
            <w:tcW w:w="851" w:type="dxa"/>
            <w:vAlign w:val="center"/>
          </w:tcPr>
          <w:p>
            <w:pPr>
              <w:spacing w:line="560" w:lineRule="exact"/>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比例</w:t>
            </w:r>
          </w:p>
        </w:tc>
        <w:tc>
          <w:tcPr>
            <w:tcW w:w="3949" w:type="dxa"/>
            <w:vAlign w:val="center"/>
          </w:tcPr>
          <w:p>
            <w:pPr>
              <w:spacing w:line="560" w:lineRule="exact"/>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二级指标</w:t>
            </w:r>
          </w:p>
        </w:tc>
        <w:tc>
          <w:tcPr>
            <w:tcW w:w="878" w:type="dxa"/>
            <w:vAlign w:val="center"/>
          </w:tcPr>
          <w:p>
            <w:pPr>
              <w:spacing w:line="560" w:lineRule="exact"/>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比例</w:t>
            </w:r>
          </w:p>
        </w:tc>
        <w:tc>
          <w:tcPr>
            <w:tcW w:w="1596" w:type="dxa"/>
            <w:vAlign w:val="center"/>
          </w:tcPr>
          <w:p>
            <w:pPr>
              <w:spacing w:line="560" w:lineRule="exact"/>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restart"/>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电路板检测与维修</w:t>
            </w:r>
          </w:p>
        </w:tc>
        <w:tc>
          <w:tcPr>
            <w:tcW w:w="851" w:type="dxa"/>
            <w:vMerge w:val="restart"/>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40%</w:t>
            </w: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板卡一的检测与维修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10%</w:t>
            </w:r>
          </w:p>
        </w:tc>
        <w:tc>
          <w:tcPr>
            <w:tcW w:w="1596" w:type="dxa"/>
            <w:vMerge w:val="restart"/>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机评分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板卡二的检测与维修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板卡三的检测与维修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板卡四的检测与维修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板卡五的检测与维修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板卡六的检测与维修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restart"/>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存储介质维修及数据恢复</w:t>
            </w:r>
          </w:p>
        </w:tc>
        <w:tc>
          <w:tcPr>
            <w:tcW w:w="851" w:type="dxa"/>
            <w:vMerge w:val="restart"/>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40%</w:t>
            </w: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存储一数据恢复</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12%</w:t>
            </w:r>
          </w:p>
        </w:tc>
        <w:tc>
          <w:tcPr>
            <w:tcW w:w="1596" w:type="dxa"/>
            <w:vMerge w:val="restart"/>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客观性评分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存储二数据恢复</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10%</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存储三数据恢复</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8%</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存储四数据恢复</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存储五数据恢复</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tcBorders>
              <w:top w:val="single" w:color="auto" w:sz="4" w:space="0"/>
            </w:tcBorders>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填写竞赛报告单</w:t>
            </w:r>
          </w:p>
        </w:tc>
        <w:tc>
          <w:tcPr>
            <w:tcW w:w="851" w:type="dxa"/>
            <w:tcBorders>
              <w:top w:val="single" w:color="auto" w:sz="4" w:space="0"/>
            </w:tcBorders>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15%</w:t>
            </w: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故障维修过程描述</w:t>
            </w:r>
          </w:p>
        </w:tc>
        <w:tc>
          <w:tcPr>
            <w:tcW w:w="878"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15%</w:t>
            </w:r>
          </w:p>
        </w:tc>
        <w:tc>
          <w:tcPr>
            <w:tcW w:w="1596"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主观性评分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restart"/>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职业素养</w:t>
            </w:r>
          </w:p>
        </w:tc>
        <w:tc>
          <w:tcPr>
            <w:tcW w:w="851" w:type="dxa"/>
            <w:vMerge w:val="restart"/>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5%</w:t>
            </w: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操作规范</w:t>
            </w:r>
          </w:p>
        </w:tc>
        <w:tc>
          <w:tcPr>
            <w:tcW w:w="878"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2%</w:t>
            </w:r>
          </w:p>
        </w:tc>
        <w:tc>
          <w:tcPr>
            <w:tcW w:w="1596"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主观性评分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工具箱整理</w:t>
            </w:r>
          </w:p>
        </w:tc>
        <w:tc>
          <w:tcPr>
            <w:tcW w:w="878" w:type="dxa"/>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596" w:type="dxa"/>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主观性评分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工位整洁</w:t>
            </w:r>
          </w:p>
        </w:tc>
        <w:tc>
          <w:tcPr>
            <w:tcW w:w="878"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2%</w:t>
            </w:r>
          </w:p>
        </w:tc>
        <w:tc>
          <w:tcPr>
            <w:tcW w:w="1596"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主观性评分</w:t>
            </w:r>
          </w:p>
        </w:tc>
      </w:tr>
    </w:tbl>
    <w:p>
      <w:pPr>
        <w:pStyle w:val="5"/>
        <w:spacing w:line="276" w:lineRule="auto"/>
        <w:rPr>
          <w:rFonts w:ascii="Arial Narrow" w:hAnsi="Arial Narrow" w:eastAsia="仿宋_GB2312" w:cs="Arial"/>
          <w:sz w:val="30"/>
          <w:szCs w:val="30"/>
        </w:rPr>
      </w:pPr>
      <w:r>
        <w:rPr>
          <w:rFonts w:hint="eastAsia" w:ascii="仿宋" w:hAnsi="仿宋" w:eastAsia="仿宋"/>
          <w:b/>
          <w:sz w:val="24"/>
          <w:szCs w:val="24"/>
        </w:rPr>
        <w:t>注：评分结果若出现分值相同情况，则依据任务模块得分进行排名。先比较数据恢复部分得分，再比较板卡维修部分得分，然后比较竞赛工作报告部分得分，最后比较职业素养部分得分。</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十、评分标准制定原则、评分方法、评分细则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（一）评分标准、方法及细则</w:t>
      </w:r>
    </w:p>
    <w:tbl>
      <w:tblPr>
        <w:tblStyle w:val="17"/>
        <w:tblW w:w="85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851"/>
        <w:gridCol w:w="3949"/>
        <w:gridCol w:w="87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 w:hRule="atLeast"/>
          <w:jc w:val="center"/>
        </w:trPr>
        <w:tc>
          <w:tcPr>
            <w:tcW w:w="1246" w:type="dxa"/>
            <w:vAlign w:val="center"/>
          </w:tcPr>
          <w:p>
            <w:pPr>
              <w:spacing w:line="560" w:lineRule="exact"/>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一级指标</w:t>
            </w:r>
          </w:p>
        </w:tc>
        <w:tc>
          <w:tcPr>
            <w:tcW w:w="851" w:type="dxa"/>
            <w:vAlign w:val="center"/>
          </w:tcPr>
          <w:p>
            <w:pPr>
              <w:spacing w:line="560" w:lineRule="exact"/>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比例</w:t>
            </w:r>
          </w:p>
        </w:tc>
        <w:tc>
          <w:tcPr>
            <w:tcW w:w="3949" w:type="dxa"/>
            <w:vAlign w:val="center"/>
          </w:tcPr>
          <w:p>
            <w:pPr>
              <w:spacing w:line="560" w:lineRule="exact"/>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二级指标</w:t>
            </w:r>
          </w:p>
        </w:tc>
        <w:tc>
          <w:tcPr>
            <w:tcW w:w="878" w:type="dxa"/>
            <w:vAlign w:val="center"/>
          </w:tcPr>
          <w:p>
            <w:pPr>
              <w:spacing w:line="560" w:lineRule="exact"/>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比例</w:t>
            </w:r>
          </w:p>
        </w:tc>
        <w:tc>
          <w:tcPr>
            <w:tcW w:w="1596" w:type="dxa"/>
            <w:vAlign w:val="center"/>
          </w:tcPr>
          <w:p>
            <w:pPr>
              <w:spacing w:line="560" w:lineRule="exact"/>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restart"/>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电路板检测与维修</w:t>
            </w:r>
          </w:p>
        </w:tc>
        <w:tc>
          <w:tcPr>
            <w:tcW w:w="851" w:type="dxa"/>
            <w:vMerge w:val="restart"/>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40%</w:t>
            </w: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板卡一的检测与维修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10%</w:t>
            </w:r>
          </w:p>
        </w:tc>
        <w:tc>
          <w:tcPr>
            <w:tcW w:w="1596" w:type="dxa"/>
            <w:vMerge w:val="restart"/>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机评分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板卡二的检测与维修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板卡三的检测与维修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板卡四的检测与维修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板卡五的检测与维修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 w:hAnsi="仿宋" w:eastAsia="仿宋"/>
                <w:sz w:val="24"/>
                <w:szCs w:val="24"/>
              </w:rPr>
              <w:t>智能电子产品</w:t>
            </w:r>
            <w:r>
              <w:rPr>
                <w:rFonts w:hint="eastAsia" w:ascii="仿宋_GB2312" w:hAnsi="仿宋" w:eastAsia="仿宋_GB2312"/>
                <w:color w:val="000000" w:themeColor="text1"/>
                <w:sz w:val="24"/>
                <w14:textFill>
                  <w14:solidFill>
                    <w14:schemeClr w14:val="tx1"/>
                  </w14:solidFill>
                </w14:textFill>
              </w:rPr>
              <w:t>板卡六的检测与维修</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restart"/>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存储介质维修及数据恢复</w:t>
            </w:r>
          </w:p>
        </w:tc>
        <w:tc>
          <w:tcPr>
            <w:tcW w:w="851" w:type="dxa"/>
            <w:vMerge w:val="restart"/>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40%</w:t>
            </w: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存储一数据恢复</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12%</w:t>
            </w:r>
          </w:p>
        </w:tc>
        <w:tc>
          <w:tcPr>
            <w:tcW w:w="1596" w:type="dxa"/>
            <w:vMerge w:val="restart"/>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客观性评分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存储二数据恢复</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10%</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存储三数据恢复</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8%</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存储四数据恢复</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存储五数据恢复</w:t>
            </w:r>
          </w:p>
        </w:tc>
        <w:tc>
          <w:tcPr>
            <w:tcW w:w="878" w:type="dxa"/>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w:t>
            </w:r>
          </w:p>
        </w:tc>
        <w:tc>
          <w:tcPr>
            <w:tcW w:w="1596"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tcBorders>
              <w:top w:val="single" w:color="auto" w:sz="4" w:space="0"/>
            </w:tcBorders>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填写竞赛报告单</w:t>
            </w:r>
          </w:p>
        </w:tc>
        <w:tc>
          <w:tcPr>
            <w:tcW w:w="851" w:type="dxa"/>
            <w:tcBorders>
              <w:top w:val="single" w:color="auto" w:sz="4" w:space="0"/>
            </w:tcBorders>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15%</w:t>
            </w: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故障维修过程描述</w:t>
            </w:r>
          </w:p>
        </w:tc>
        <w:tc>
          <w:tcPr>
            <w:tcW w:w="878"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15%</w:t>
            </w:r>
          </w:p>
        </w:tc>
        <w:tc>
          <w:tcPr>
            <w:tcW w:w="1596"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主观性评分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restart"/>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职业素养</w:t>
            </w:r>
          </w:p>
        </w:tc>
        <w:tc>
          <w:tcPr>
            <w:tcW w:w="851" w:type="dxa"/>
            <w:vMerge w:val="restart"/>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5%</w:t>
            </w: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操作规范</w:t>
            </w:r>
          </w:p>
        </w:tc>
        <w:tc>
          <w:tcPr>
            <w:tcW w:w="878"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2%</w:t>
            </w:r>
          </w:p>
        </w:tc>
        <w:tc>
          <w:tcPr>
            <w:tcW w:w="1596"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主观性评分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工具箱整理</w:t>
            </w:r>
          </w:p>
        </w:tc>
        <w:tc>
          <w:tcPr>
            <w:tcW w:w="878" w:type="dxa"/>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596" w:type="dxa"/>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主观性评分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6" w:type="dxa"/>
            <w:vMerge w:val="continue"/>
            <w:vAlign w:val="center"/>
          </w:tcPr>
          <w:p>
            <w:pPr>
              <w:rPr>
                <w:rFonts w:ascii="仿宋_GB2312" w:hAnsi="仿宋" w:eastAsia="仿宋_GB2312"/>
                <w:color w:val="000000" w:themeColor="text1"/>
                <w:sz w:val="24"/>
                <w14:textFill>
                  <w14:solidFill>
                    <w14:schemeClr w14:val="tx1"/>
                  </w14:solidFill>
                </w14:textFill>
              </w:rPr>
            </w:pPr>
          </w:p>
        </w:tc>
        <w:tc>
          <w:tcPr>
            <w:tcW w:w="851" w:type="dxa"/>
            <w:vMerge w:val="continue"/>
            <w:vAlign w:val="center"/>
          </w:tcPr>
          <w:p>
            <w:pPr>
              <w:jc w:val="center"/>
              <w:rPr>
                <w:rFonts w:ascii="仿宋_GB2312" w:hAnsi="仿宋" w:eastAsia="仿宋_GB2312"/>
                <w:color w:val="000000" w:themeColor="text1"/>
                <w:sz w:val="24"/>
                <w14:textFill>
                  <w14:solidFill>
                    <w14:schemeClr w14:val="tx1"/>
                  </w14:solidFill>
                </w14:textFill>
              </w:rPr>
            </w:pPr>
          </w:p>
        </w:tc>
        <w:tc>
          <w:tcPr>
            <w:tcW w:w="3949" w:type="dxa"/>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工位整洁</w:t>
            </w:r>
          </w:p>
        </w:tc>
        <w:tc>
          <w:tcPr>
            <w:tcW w:w="878"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2%</w:t>
            </w:r>
          </w:p>
        </w:tc>
        <w:tc>
          <w:tcPr>
            <w:tcW w:w="1596" w:type="dxa"/>
            <w:vAlign w:val="center"/>
          </w:tcPr>
          <w:p>
            <w:pPr>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主观性评分</w:t>
            </w:r>
          </w:p>
        </w:tc>
      </w:tr>
    </w:tbl>
    <w:p>
      <w:pPr>
        <w:spacing w:line="360" w:lineRule="auto"/>
        <w:ind w:firstLine="472" w:firstLineChars="196"/>
        <w:rPr>
          <w:rFonts w:ascii="仿宋_GB2312" w:eastAsia="仿宋_GB2312" w:hAnsiTheme="majorEastAsia"/>
          <w:kern w:val="0"/>
          <w:sz w:val="24"/>
          <w:szCs w:val="24"/>
        </w:rPr>
      </w:pPr>
      <w:r>
        <w:rPr>
          <w:rFonts w:hint="eastAsia" w:ascii="仿宋_GB2312" w:eastAsia="仿宋_GB2312" w:hAnsiTheme="majorEastAsia"/>
          <w:b/>
          <w:kern w:val="0"/>
          <w:sz w:val="24"/>
          <w:szCs w:val="24"/>
        </w:rPr>
        <w:t>注意：</w:t>
      </w:r>
      <w:r>
        <w:rPr>
          <w:rFonts w:hint="eastAsia" w:ascii="仿宋_GB2312" w:eastAsia="仿宋_GB2312" w:hAnsiTheme="majorEastAsia"/>
          <w:kern w:val="0"/>
          <w:sz w:val="24"/>
          <w:szCs w:val="24"/>
        </w:rPr>
        <w:t>评分结果若出现分值相同情况，则依据任务模块得分进行排名。先比较数据恢复部分得分，再比较板卡维修部分得分，然后比较竞赛工作报告部分得分，最后比较职业素养部分得分。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（二）评分细则流程说明</w:t>
      </w:r>
    </w:p>
    <w:p>
      <w:pPr>
        <w:snapToGrid w:val="0"/>
        <w:spacing w:line="48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、机评分由系统自动生成，并由裁判长在监督组长的监督下从服务器中提取成绩；</w:t>
      </w:r>
    </w:p>
    <w:p>
      <w:pPr>
        <w:snapToGrid w:val="0"/>
        <w:spacing w:line="48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、客观性评分由两名裁判共同评分，正确得分，错误不得分；</w:t>
      </w:r>
    </w:p>
    <w:p>
      <w:pPr>
        <w:snapToGrid w:val="0"/>
        <w:spacing w:line="480" w:lineRule="exact"/>
        <w:ind w:firstLine="600" w:firstLineChars="200"/>
        <w:rPr>
          <w:rFonts w:ascii="Arial Narrow" w:hAnsi="Arial Narrow" w:eastAsia="仿宋_GB2312" w:cs="Arial"/>
          <w:sz w:val="30"/>
          <w:szCs w:val="30"/>
        </w:rPr>
      </w:pPr>
      <w:r>
        <w:rPr>
          <w:rFonts w:ascii="仿宋" w:hAnsi="仿宋" w:eastAsia="仿宋"/>
          <w:sz w:val="30"/>
          <w:szCs w:val="30"/>
        </w:rPr>
        <w:t>3</w:t>
      </w:r>
      <w:r>
        <w:rPr>
          <w:rFonts w:hint="eastAsia" w:ascii="仿宋" w:hAnsi="仿宋" w:eastAsia="仿宋"/>
          <w:sz w:val="30"/>
          <w:szCs w:val="30"/>
        </w:rPr>
        <w:t>、主观性评分由五名裁判共同打分，表述正确得分，表述不完全正确得一半分，表述不正确不得分。</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十一、奖项设置</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本赛项设团体奖：一等奖占比</w:t>
      </w:r>
      <w:r>
        <w:rPr>
          <w:rFonts w:ascii="仿宋" w:hAnsi="仿宋" w:eastAsia="仿宋" w:cs="Arial"/>
          <w:sz w:val="30"/>
          <w:szCs w:val="30"/>
        </w:rPr>
        <w:t>10%</w:t>
      </w:r>
      <w:r>
        <w:rPr>
          <w:rFonts w:hint="eastAsia" w:ascii="仿宋" w:hAnsi="仿宋" w:eastAsia="仿宋" w:cs="Arial"/>
          <w:sz w:val="30"/>
          <w:szCs w:val="30"/>
        </w:rPr>
        <w:t>，二等奖占比</w:t>
      </w:r>
      <w:r>
        <w:rPr>
          <w:rFonts w:ascii="仿宋" w:hAnsi="仿宋" w:eastAsia="仿宋" w:cs="Arial"/>
          <w:sz w:val="30"/>
          <w:szCs w:val="30"/>
        </w:rPr>
        <w:t>20%</w:t>
      </w:r>
      <w:r>
        <w:rPr>
          <w:rFonts w:hint="eastAsia" w:ascii="仿宋" w:hAnsi="仿宋" w:eastAsia="仿宋" w:cs="Arial"/>
          <w:sz w:val="30"/>
          <w:szCs w:val="30"/>
        </w:rPr>
        <w:t>，三等奖占比</w:t>
      </w:r>
      <w:r>
        <w:rPr>
          <w:rFonts w:ascii="仿宋" w:hAnsi="仿宋" w:eastAsia="仿宋" w:cs="Arial"/>
          <w:sz w:val="30"/>
          <w:szCs w:val="30"/>
        </w:rPr>
        <w:t>30%</w:t>
      </w:r>
      <w:r>
        <w:rPr>
          <w:rFonts w:hint="eastAsia" w:ascii="仿宋" w:hAnsi="仿宋" w:eastAsia="仿宋" w:cs="Arial"/>
          <w:sz w:val="30"/>
          <w:szCs w:val="30"/>
        </w:rPr>
        <w:t>。获得一等奖参赛队的指导教师由组委会颁发优秀指导教师证书。</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十二、技术规范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（一）职业素养</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、敬业爱岗，忠于职守，严于律已，刻苦钻研；</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、勤于学习，善于思考，勇于探索，敏于创新；</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、认真负责，吃苦耐劳，团结协作，精益求精；</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、遵守操作规程，安全、文明生产；</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5</w:t>
      </w:r>
      <w:r>
        <w:rPr>
          <w:rFonts w:hint="eastAsia" w:ascii="仿宋" w:hAnsi="仿宋" w:eastAsia="仿宋" w:cs="Arial"/>
          <w:sz w:val="30"/>
          <w:szCs w:val="30"/>
        </w:rPr>
        <w:t>、着装规范整洁，爱护设备，保持工作环境清洁有序。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（二）相关知识与技能</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、电工与电子技术基础</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、电子产品装接工艺与流程</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、计算机应用技能</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、电子产品的故障检测与维修</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7</w:t>
      </w:r>
      <w:r>
        <w:rPr>
          <w:rFonts w:hint="eastAsia" w:ascii="仿宋" w:hAnsi="仿宋" w:eastAsia="仿宋" w:cs="Arial"/>
          <w:sz w:val="30"/>
          <w:szCs w:val="30"/>
        </w:rPr>
        <w:t>、硬盘维修与数据恢复技术</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（三）相关职业标准</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、家用电子产品维修工国家职业标准（职业编码</w:t>
      </w:r>
      <w:r>
        <w:rPr>
          <w:rFonts w:ascii="仿宋" w:hAnsi="仿宋" w:eastAsia="仿宋" w:cs="Arial"/>
          <w:sz w:val="30"/>
          <w:szCs w:val="30"/>
        </w:rPr>
        <w:t>4-07-10-01</w:t>
      </w:r>
      <w:r>
        <w:rPr>
          <w:rFonts w:hint="eastAsia" w:ascii="仿宋" w:hAnsi="仿宋" w:eastAsia="仿宋" w:cs="Arial"/>
          <w:sz w:val="30"/>
          <w:szCs w:val="30"/>
        </w:rPr>
        <w:t>）</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、计算机操作员国家职业标准（职业编码</w:t>
      </w:r>
      <w:r>
        <w:rPr>
          <w:rFonts w:ascii="仿宋" w:hAnsi="仿宋" w:eastAsia="仿宋" w:cs="Arial"/>
          <w:sz w:val="30"/>
          <w:szCs w:val="30"/>
        </w:rPr>
        <w:t>3-01-02-05</w:t>
      </w:r>
      <w:r>
        <w:rPr>
          <w:rFonts w:hint="eastAsia" w:ascii="仿宋" w:hAnsi="仿宋" w:eastAsia="仿宋" w:cs="Arial"/>
          <w:sz w:val="30"/>
          <w:szCs w:val="30"/>
        </w:rPr>
        <w:t>）</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、电子计算机（微机）维修工国家职业标准（职业编码</w:t>
      </w:r>
      <w:r>
        <w:rPr>
          <w:rFonts w:ascii="仿宋" w:hAnsi="仿宋" w:eastAsia="仿宋" w:cs="Arial"/>
          <w:sz w:val="30"/>
          <w:szCs w:val="30"/>
        </w:rPr>
        <w:t>6-08-05-01</w:t>
      </w:r>
      <w:r>
        <w:rPr>
          <w:rFonts w:hint="eastAsia" w:ascii="仿宋" w:hAnsi="仿宋" w:eastAsia="仿宋" w:cs="Arial"/>
          <w:sz w:val="30"/>
          <w:szCs w:val="30"/>
        </w:rPr>
        <w:t>）</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、电子设备装接工国家职业标准（职业编码</w:t>
      </w:r>
      <w:r>
        <w:rPr>
          <w:rFonts w:ascii="仿宋" w:hAnsi="仿宋" w:eastAsia="仿宋" w:cs="Arial"/>
          <w:sz w:val="30"/>
          <w:szCs w:val="30"/>
        </w:rPr>
        <w:t>6-08-0</w:t>
      </w:r>
      <w:r>
        <w:rPr>
          <w:rFonts w:hint="eastAsia" w:ascii="仿宋" w:hAnsi="仿宋" w:eastAsia="仿宋" w:cs="Arial"/>
          <w:sz w:val="30"/>
          <w:szCs w:val="30"/>
        </w:rPr>
        <w:t>4</w:t>
      </w:r>
      <w:r>
        <w:rPr>
          <w:rFonts w:ascii="仿宋" w:hAnsi="仿宋" w:eastAsia="仿宋" w:cs="Arial"/>
          <w:sz w:val="30"/>
          <w:szCs w:val="30"/>
        </w:rPr>
        <w:t>-0</w:t>
      </w:r>
      <w:r>
        <w:rPr>
          <w:rFonts w:hint="eastAsia" w:ascii="仿宋" w:hAnsi="仿宋" w:eastAsia="仿宋" w:cs="Arial"/>
          <w:sz w:val="30"/>
          <w:szCs w:val="30"/>
        </w:rPr>
        <w:t>2）</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5</w:t>
      </w:r>
      <w:r>
        <w:rPr>
          <w:rFonts w:hint="eastAsia" w:ascii="仿宋" w:hAnsi="仿宋" w:eastAsia="仿宋" w:cs="Arial"/>
          <w:sz w:val="30"/>
          <w:szCs w:val="30"/>
        </w:rPr>
        <w:t>、电子计算机（微机）调试工国家职业标准（职业编码</w:t>
      </w:r>
      <w:r>
        <w:rPr>
          <w:rFonts w:ascii="仿宋" w:hAnsi="仿宋" w:eastAsia="仿宋" w:cs="Arial"/>
          <w:sz w:val="30"/>
          <w:szCs w:val="30"/>
        </w:rPr>
        <w:t>6-08-04-07</w:t>
      </w:r>
      <w:r>
        <w:rPr>
          <w:rFonts w:hint="eastAsia" w:ascii="仿宋" w:hAnsi="仿宋" w:eastAsia="仿宋" w:cs="Arial"/>
          <w:sz w:val="30"/>
          <w:szCs w:val="30"/>
        </w:rPr>
        <w:t>）</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6</w:t>
      </w:r>
      <w:r>
        <w:rPr>
          <w:rFonts w:hint="eastAsia" w:ascii="仿宋" w:hAnsi="仿宋" w:eastAsia="仿宋" w:cs="Arial"/>
          <w:sz w:val="30"/>
          <w:szCs w:val="30"/>
        </w:rPr>
        <w:t>、电子设备装接工国家职业标准（职业编码</w:t>
      </w:r>
      <w:r>
        <w:rPr>
          <w:rFonts w:ascii="仿宋" w:hAnsi="仿宋" w:eastAsia="仿宋" w:cs="Arial"/>
          <w:sz w:val="30"/>
          <w:szCs w:val="30"/>
        </w:rPr>
        <w:t>6-08-04-02</w:t>
      </w:r>
      <w:r>
        <w:rPr>
          <w:rFonts w:hint="eastAsia" w:ascii="仿宋" w:hAnsi="仿宋" w:eastAsia="仿宋" w:cs="Arial"/>
          <w:sz w:val="30"/>
          <w:szCs w:val="30"/>
        </w:rPr>
        <w:t>）</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7、</w:t>
      </w:r>
      <w:r>
        <w:rPr>
          <w:rFonts w:ascii="仿宋" w:hAnsi="仿宋" w:eastAsia="仿宋" w:cs="Arial"/>
          <w:sz w:val="30"/>
          <w:szCs w:val="30"/>
        </w:rPr>
        <w:t>IPC/EIA J-STD-001C Requirements for Soldered Electrical &amp; Electronic Assemblies</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8、</w:t>
      </w:r>
      <w:r>
        <w:rPr>
          <w:rFonts w:ascii="仿宋" w:hAnsi="仿宋" w:eastAsia="仿宋" w:cs="Arial"/>
          <w:sz w:val="30"/>
          <w:szCs w:val="30"/>
        </w:rPr>
        <w:t>IPC-A-610C Acceptability of Electronic Assemblies</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9、</w:t>
      </w:r>
      <w:r>
        <w:rPr>
          <w:rFonts w:ascii="仿宋" w:hAnsi="仿宋" w:eastAsia="仿宋" w:cs="Arial"/>
          <w:sz w:val="30"/>
          <w:szCs w:val="30"/>
        </w:rPr>
        <w:t xml:space="preserve">SMC-WP-003 Chip Mounting Technology </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10、</w:t>
      </w:r>
      <w:r>
        <w:rPr>
          <w:rFonts w:ascii="仿宋" w:hAnsi="仿宋" w:eastAsia="仿宋" w:cs="Arial"/>
          <w:sz w:val="30"/>
          <w:szCs w:val="30"/>
        </w:rPr>
        <w:t>IPC-MC-790 Guidelines for Multichip Module Technology Utilization</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11、</w:t>
      </w:r>
      <w:r>
        <w:rPr>
          <w:rFonts w:ascii="仿宋" w:hAnsi="仿宋" w:eastAsia="仿宋" w:cs="Arial"/>
          <w:sz w:val="30"/>
          <w:szCs w:val="30"/>
        </w:rPr>
        <w:t>IPC-9502 PWB Assembly Soldering Process Guideline for Electronic Components</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十三、建议使用的比赛器材、技术平台和场地要求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（一）比赛器材及具体要求说明</w:t>
      </w:r>
    </w:p>
    <w:tbl>
      <w:tblPr>
        <w:tblStyle w:val="17"/>
        <w:tblW w:w="8615" w:type="dxa"/>
        <w:jc w:val="center"/>
        <w:tblInd w:w="0" w:type="dxa"/>
        <w:tblLayout w:type="fixed"/>
        <w:tblCellMar>
          <w:top w:w="0" w:type="dxa"/>
          <w:left w:w="108" w:type="dxa"/>
          <w:bottom w:w="0" w:type="dxa"/>
          <w:right w:w="108" w:type="dxa"/>
        </w:tblCellMar>
      </w:tblPr>
      <w:tblGrid>
        <w:gridCol w:w="789"/>
        <w:gridCol w:w="2066"/>
        <w:gridCol w:w="5760"/>
      </w:tblGrid>
      <w:tr>
        <w:tblPrEx>
          <w:tblLayout w:type="fixed"/>
          <w:tblCellMar>
            <w:top w:w="0" w:type="dxa"/>
            <w:left w:w="108" w:type="dxa"/>
            <w:bottom w:w="0" w:type="dxa"/>
            <w:right w:w="108" w:type="dxa"/>
          </w:tblCellMar>
        </w:tblPrEx>
        <w:trPr>
          <w:trHeight w:val="456"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序号</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仪器设备</w:t>
            </w:r>
          </w:p>
        </w:tc>
        <w:tc>
          <w:tcPr>
            <w:tcW w:w="5760"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规格说明</w:t>
            </w:r>
          </w:p>
        </w:tc>
      </w:tr>
      <w:tr>
        <w:tblPrEx>
          <w:tblLayout w:type="fixed"/>
          <w:tblCellMar>
            <w:top w:w="0" w:type="dxa"/>
            <w:left w:w="108" w:type="dxa"/>
            <w:bottom w:w="0" w:type="dxa"/>
            <w:right w:w="108" w:type="dxa"/>
          </w:tblCellMar>
        </w:tblPrEx>
        <w:trPr>
          <w:trHeight w:val="617"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2066" w:type="dxa"/>
            <w:tcBorders>
              <w:top w:val="nil"/>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维修工作台</w:t>
            </w:r>
          </w:p>
        </w:tc>
        <w:tc>
          <w:tcPr>
            <w:tcW w:w="5760" w:type="dxa"/>
            <w:tcBorders>
              <w:top w:val="nil"/>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防静电维修工作台，钢木结构，尺寸1800mm（高）*850mm（深）*1500mm（宽）；</w:t>
            </w:r>
          </w:p>
        </w:tc>
      </w:tr>
      <w:tr>
        <w:tblPrEx>
          <w:tblLayout w:type="fixed"/>
          <w:tblCellMar>
            <w:top w:w="0" w:type="dxa"/>
            <w:left w:w="108" w:type="dxa"/>
            <w:bottom w:w="0" w:type="dxa"/>
            <w:right w:w="108" w:type="dxa"/>
          </w:tblCellMar>
        </w:tblPrEx>
        <w:trPr>
          <w:trHeight w:val="617"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2066" w:type="dxa"/>
            <w:tcBorders>
              <w:top w:val="nil"/>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数字万用表</w:t>
            </w:r>
          </w:p>
        </w:tc>
        <w:tc>
          <w:tcPr>
            <w:tcW w:w="5760" w:type="dxa"/>
            <w:tcBorders>
              <w:top w:val="nil"/>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交流电压1000V±(0.8%+3)，直流电流20A±(0.8%+1)，直流电压1000V±(0.5%+1)，交流电流20A±(1%+3)，电阻200MW±(0.8%+1)，电容100mF±(4%+3)</w:t>
            </w:r>
          </w:p>
        </w:tc>
      </w:tr>
      <w:tr>
        <w:tblPrEx>
          <w:tblLayout w:type="fixed"/>
          <w:tblCellMar>
            <w:top w:w="0" w:type="dxa"/>
            <w:left w:w="108" w:type="dxa"/>
            <w:bottom w:w="0" w:type="dxa"/>
            <w:right w:w="108" w:type="dxa"/>
          </w:tblCellMar>
        </w:tblPrEx>
        <w:trPr>
          <w:trHeight w:val="421"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2066" w:type="dxa"/>
            <w:tcBorders>
              <w:top w:val="nil"/>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数字示波器</w:t>
            </w:r>
          </w:p>
        </w:tc>
        <w:tc>
          <w:tcPr>
            <w:tcW w:w="5760" w:type="dxa"/>
            <w:tcBorders>
              <w:top w:val="nil"/>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100MHz以上双通道示波器</w:t>
            </w:r>
          </w:p>
        </w:tc>
      </w:tr>
      <w:tr>
        <w:tblPrEx>
          <w:tblLayout w:type="fixed"/>
          <w:tblCellMar>
            <w:top w:w="0" w:type="dxa"/>
            <w:left w:w="108" w:type="dxa"/>
            <w:bottom w:w="0" w:type="dxa"/>
            <w:right w:w="108" w:type="dxa"/>
          </w:tblCellMar>
        </w:tblPrEx>
        <w:trPr>
          <w:trHeight w:val="412"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4</w:t>
            </w:r>
          </w:p>
        </w:tc>
        <w:tc>
          <w:tcPr>
            <w:tcW w:w="2066" w:type="dxa"/>
            <w:tcBorders>
              <w:top w:val="nil"/>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恒温烙铁</w:t>
            </w:r>
          </w:p>
        </w:tc>
        <w:tc>
          <w:tcPr>
            <w:tcW w:w="5760" w:type="dxa"/>
            <w:tcBorders>
              <w:top w:val="nil"/>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温度调节范围：150-450（℃）</w:t>
            </w:r>
          </w:p>
        </w:tc>
      </w:tr>
      <w:tr>
        <w:tblPrEx>
          <w:tblLayout w:type="fixed"/>
          <w:tblCellMar>
            <w:top w:w="0" w:type="dxa"/>
            <w:left w:w="108" w:type="dxa"/>
            <w:bottom w:w="0" w:type="dxa"/>
            <w:right w:w="108" w:type="dxa"/>
          </w:tblCellMar>
        </w:tblPrEx>
        <w:trPr>
          <w:trHeight w:val="419"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热风焊台</w:t>
            </w:r>
          </w:p>
        </w:tc>
        <w:tc>
          <w:tcPr>
            <w:tcW w:w="5760" w:type="dxa"/>
            <w:tcBorders>
              <w:top w:val="single" w:color="auto" w:sz="4" w:space="0"/>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温度调节范围：100～480℃</w:t>
            </w:r>
          </w:p>
        </w:tc>
      </w:tr>
      <w:tr>
        <w:tblPrEx>
          <w:tblLayout w:type="fixed"/>
          <w:tblCellMar>
            <w:top w:w="0" w:type="dxa"/>
            <w:left w:w="108" w:type="dxa"/>
            <w:bottom w:w="0" w:type="dxa"/>
            <w:right w:w="108" w:type="dxa"/>
          </w:tblCellMar>
        </w:tblPrEx>
        <w:trPr>
          <w:trHeight w:val="61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6</w:t>
            </w:r>
          </w:p>
        </w:tc>
        <w:tc>
          <w:tcPr>
            <w:tcW w:w="20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直流稳压电源</w:t>
            </w:r>
          </w:p>
        </w:tc>
        <w:tc>
          <w:tcPr>
            <w:tcW w:w="57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I路以上0-30 V可变电压输出</w:t>
            </w:r>
          </w:p>
        </w:tc>
      </w:tr>
      <w:tr>
        <w:tblPrEx>
          <w:tblLayout w:type="fixed"/>
          <w:tblCellMar>
            <w:top w:w="0" w:type="dxa"/>
            <w:left w:w="108" w:type="dxa"/>
            <w:bottom w:w="0" w:type="dxa"/>
            <w:right w:w="108" w:type="dxa"/>
          </w:tblCellMar>
        </w:tblPrEx>
        <w:trPr>
          <w:trHeight w:val="61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7</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放大镜台灯</w:t>
            </w:r>
          </w:p>
        </w:tc>
        <w:tc>
          <w:tcPr>
            <w:tcW w:w="5760" w:type="dxa"/>
            <w:tcBorders>
              <w:top w:val="single" w:color="auto" w:sz="4" w:space="0"/>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高强照明、五倍放大功能</w:t>
            </w:r>
          </w:p>
        </w:tc>
      </w:tr>
      <w:tr>
        <w:tblPrEx>
          <w:tblLayout w:type="fixed"/>
          <w:tblCellMar>
            <w:top w:w="0" w:type="dxa"/>
            <w:left w:w="108" w:type="dxa"/>
            <w:bottom w:w="0" w:type="dxa"/>
            <w:right w:w="108" w:type="dxa"/>
          </w:tblCellMar>
        </w:tblPrEx>
        <w:trPr>
          <w:trHeight w:val="1195"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8</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工具箱（含工具）</w:t>
            </w:r>
          </w:p>
        </w:tc>
        <w:tc>
          <w:tcPr>
            <w:tcW w:w="5760"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hAnsiTheme="minorEastAsia"/>
                <w:sz w:val="24"/>
                <w:szCs w:val="24"/>
              </w:rPr>
            </w:pPr>
            <w:r>
              <w:rPr>
                <w:rFonts w:hint="eastAsia" w:ascii="仿宋_GB2312" w:eastAsia="仿宋_GB2312" w:cs="Arial" w:hAnsiTheme="minorEastAsia"/>
                <w:sz w:val="24"/>
                <w:szCs w:val="24"/>
              </w:rPr>
              <w:t>内含螺丝刀套件、芯片盒、细毛刷、含银硅脂、洗板水壶、吸锡枪、助焊膏、尖嘴钳、偏口钳、焊锡丝、吸锡带、飞线、刀片、粗毛刷、防静电镊子</w:t>
            </w:r>
          </w:p>
        </w:tc>
      </w:tr>
      <w:tr>
        <w:tblPrEx>
          <w:tblLayout w:type="fixed"/>
          <w:tblCellMar>
            <w:top w:w="0" w:type="dxa"/>
            <w:left w:w="108" w:type="dxa"/>
            <w:bottom w:w="0" w:type="dxa"/>
            <w:right w:w="108" w:type="dxa"/>
          </w:tblCellMar>
        </w:tblPrEx>
        <w:trPr>
          <w:trHeight w:val="61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9</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电脑主机</w:t>
            </w:r>
          </w:p>
        </w:tc>
        <w:tc>
          <w:tcPr>
            <w:tcW w:w="5760"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hAnsiTheme="minorEastAsia"/>
                <w:sz w:val="24"/>
                <w:szCs w:val="24"/>
              </w:rPr>
            </w:pPr>
            <w:r>
              <w:rPr>
                <w:rFonts w:hint="eastAsia" w:ascii="仿宋_GB2312" w:eastAsia="仿宋_GB2312" w:cs="Arial" w:hAnsiTheme="minorEastAsia"/>
                <w:sz w:val="24"/>
                <w:szCs w:val="24"/>
              </w:rPr>
              <w:t>主频1GHz或以上CPU，1GB或以上内存，安装Win7 64位操作系统。</w:t>
            </w:r>
          </w:p>
        </w:tc>
      </w:tr>
      <w:tr>
        <w:tblPrEx>
          <w:tblLayout w:type="fixed"/>
          <w:tblCellMar>
            <w:top w:w="0" w:type="dxa"/>
            <w:left w:w="108" w:type="dxa"/>
            <w:bottom w:w="0" w:type="dxa"/>
            <w:right w:w="108" w:type="dxa"/>
          </w:tblCellMar>
        </w:tblPrEx>
        <w:trPr>
          <w:trHeight w:val="61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10</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电脑配件</w:t>
            </w:r>
          </w:p>
        </w:tc>
        <w:tc>
          <w:tcPr>
            <w:tcW w:w="5760" w:type="dxa"/>
            <w:tcBorders>
              <w:top w:val="single" w:color="auto" w:sz="4" w:space="0"/>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CPU、内存、电源等</w:t>
            </w:r>
          </w:p>
        </w:tc>
      </w:tr>
      <w:tr>
        <w:tblPrEx>
          <w:tblLayout w:type="fixed"/>
          <w:tblCellMar>
            <w:top w:w="0" w:type="dxa"/>
            <w:left w:w="108" w:type="dxa"/>
            <w:bottom w:w="0" w:type="dxa"/>
            <w:right w:w="108" w:type="dxa"/>
          </w:tblCellMar>
        </w:tblPrEx>
        <w:trPr>
          <w:trHeight w:val="61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11</w:t>
            </w:r>
          </w:p>
        </w:tc>
        <w:tc>
          <w:tcPr>
            <w:tcW w:w="2066"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Arial" w:hAnsiTheme="minorEastAsia"/>
                <w:sz w:val="24"/>
                <w:szCs w:val="24"/>
              </w:rPr>
            </w:pPr>
            <w:r>
              <w:rPr>
                <w:rFonts w:hint="eastAsia" w:ascii="仿宋_GB2312" w:eastAsia="仿宋_GB2312" w:cs="Arial" w:hAnsiTheme="minorEastAsia"/>
                <w:bCs/>
                <w:sz w:val="24"/>
                <w:szCs w:val="24"/>
              </w:rPr>
              <w:t>数据恢复平台</w:t>
            </w:r>
          </w:p>
        </w:tc>
        <w:tc>
          <w:tcPr>
            <w:tcW w:w="5760"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1、设备须为一体设计结构，集成度高，方便学生使用；</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2、设备含有液晶显示屏、键盘、鼠标；</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3、提供2个SATA接口和2个USB接口；</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4、支持IDE、SATA、USB、ESATA等硬盘接口；</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5、设备支持快速打开分区，对于文件系统参数错误的分区可以直接打开并快速提取数据；</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6、在扫描上分为简单、完全和快速三种扫描方式。并且支持各文件系统的RAW扫描方式。设备能够进行硬盘逻辑故障数据恢复实训，能够进行文件及分区的逻辑性数据销毁的实训；</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7、支持多种文件系统恢复，其中包含FAT\EXFAT\NTFS\EXT2\3\4\UFS\HFS等文件系统；</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8、支持同时扫描多种文件系统并可将得出多种结论按照正常级别分类排列展示给用户，方便用户的查找。支持单分区扫描和整盘扫描。对于对分区表不熟悉的用户可以简单的查找各个分区的数据；</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9、程序对系统盘采用只读模式和分区放行模式，可防止对系统盘进行误操作， 但可以在分区中写入文件。</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（二）技术平台标准</w:t>
      </w:r>
    </w:p>
    <w:tbl>
      <w:tblPr>
        <w:tblStyle w:val="17"/>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650"/>
        <w:gridCol w:w="5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90"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序号</w:t>
            </w:r>
          </w:p>
        </w:tc>
        <w:tc>
          <w:tcPr>
            <w:tcW w:w="1650"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产品名称</w:t>
            </w:r>
          </w:p>
        </w:tc>
        <w:tc>
          <w:tcPr>
            <w:tcW w:w="5772"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规格说明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9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16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智能检测平台中心管理系统</w:t>
            </w:r>
          </w:p>
        </w:tc>
        <w:tc>
          <w:tcPr>
            <w:tcW w:w="5772" w:type="dxa"/>
            <w:vAlign w:val="center"/>
          </w:tcPr>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1、支持智能电子产品系列、台式机系列、笔记本系列、显示器系列功能板的设置及管理；</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2、支持练习、考核两种模式，方便开展日常教学及考核；</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3、支持练习题库管理、考核题库管理；</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4、支持方便的进行故障设定，只需勾选上对应的编号就可设定；</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5、支持练习模式、考核模式阶段控制，可以实现远程控制智能检测软件；</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6、支持练习模式、考核模式支持过程监控，可监控学生的操作进度以及成绩，并且学生成绩可实名对应；</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7、支持料件管理，实现对料件申领的操作；</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8、支持维修且提交后，系统自动评分；</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9、支持成绩以文件形式导出。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9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16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智能检测软件</w:t>
            </w:r>
          </w:p>
        </w:tc>
        <w:tc>
          <w:tcPr>
            <w:tcW w:w="5772" w:type="dxa"/>
            <w:vAlign w:val="center"/>
          </w:tcPr>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1、支持智能电子产品系列、台式机系列、笔记本系列、显示器系列功能板的故障智能检测功能；</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2、支持功能板维修前故障智能确认、维修中故障智能提示及维修后结果确认；</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3、支持平时练习和考核两种模式功能；</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4、支持在练习模式下，对功能板进行智能准确的检测，定位故障点，提供故障范围提示，引导学生逐步维修，并能提供维修结果；</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5、支持在考核模式下，对功能板故障进行定位并与服务器比对，若一致方可继续考核，考后提交考核报告并实现自动评分；</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6、支持智能提示错误操作，如插入了错误的功能板、功能板未置于开机状态、串口未连接、服务器未连接等；</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7、支持查看维修板卡所对应的电路图；</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8、支持电子流程的料件申领。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19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1650" w:type="dxa"/>
            <w:vAlign w:val="center"/>
          </w:tcPr>
          <w:p>
            <w:pPr>
              <w:snapToGrid w:val="0"/>
              <w:jc w:val="center"/>
              <w:rPr>
                <w:rFonts w:ascii="仿宋_GB2312" w:eastAsia="仿宋_GB2312" w:cs="Arial" w:hAnsiTheme="minorEastAsia"/>
                <w:sz w:val="24"/>
                <w:szCs w:val="24"/>
              </w:rPr>
            </w:pPr>
            <w:r>
              <w:rPr>
                <w:rFonts w:hint="eastAsia" w:ascii="仿宋_GB2312" w:eastAsia="仿宋_GB2312" w:cs="Arial" w:hAnsiTheme="minorEastAsia"/>
                <w:bCs/>
                <w:sz w:val="24"/>
                <w:szCs w:val="24"/>
              </w:rPr>
              <w:t>智能检测平台</w:t>
            </w:r>
          </w:p>
        </w:tc>
        <w:tc>
          <w:tcPr>
            <w:tcW w:w="5772" w:type="dxa"/>
            <w:vAlign w:val="center"/>
          </w:tcPr>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1、采用专用硬件1U平台；</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2、具备无风扇静音设计；</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3、具备电路功能板检测接口，支持不少于80个检测点；</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4、具备电平、电压、频率三种信号检测的功能；</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5、具备通讯COM口，可与计算机通信；</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6、具备对智能电子产品系列、台式机系列、笔记本系列、显示器系列功能板的故障智能检测功能。</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（三）场地要求</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赛场总面积不小于1500㎡，依参赛名额确定比赛工作区，每个赛位面积在10㎡左右且标明编号，赛位之间的通道间隔不小于1.5米，工位间加装隔离挡板和隔离线。另外，设置医务室一间、监考/裁判会议室兼休息室1间，设备、材料、工具、耗材等储藏室1间。</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环境标准要求保证赛场采光(大于500lux)、照明和通风良好；提供稳定的水、电，并提供应急的备用电源。在竞赛不被干扰的前提下赛场全面开放，欢迎各界人员沿指定路线、在指定区域内到现场观赛。具备两个以上安全疏散通道，并设有应急疏散图，配备必要的灭火器材。</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仿宋"/>
          <w:sz w:val="30"/>
          <w:szCs w:val="30"/>
        </w:rPr>
        <w:t>颁奖场地、参赛选手及指导教师休息场地另计。</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（一）成立安全保卫组织机构</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执委会成立技能大赛赛事安全保卫组，设立组长为赛项安全责任人，以承办校相关安保人员为主要成员。</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（二）大赛现场保卫</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赛事期间，为保证赛场秩序和安全，将采取如下措施:</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1、大赛现场安排专业的安保人员全程执勤，所有进入大赛现场的参观人员，都要服从现场安保人员的引导和指挥，在指定区域内参观。</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2、参赛车辆，安排指定地点停放。</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3、现场通道拉上警戒线，防止人员无序流动，影响赛事。</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4、对现场进行安全检查，保证现场无安全隐患。</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5、保障疏散通道畅通，以便赛场出现意外时人员迅速撤离。</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6、做好安全防火工作。灭火设施及器材要保证安全有效。</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7、统一安排一个酒店住宿，保障住宿安全。</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8、统一安排通勤大巴，保障交通安全。</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9、统一安排餐饮，保障饮食安全。</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仿宋"/>
          <w:sz w:val="30"/>
          <w:szCs w:val="30"/>
        </w:rPr>
        <w:t>10、承办校医务室人员及周边医院医护人员现场值守，提供医疗保障服务，如遇紧急情况将为参赛选手联系120，并协助救治。</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十五、经费概算</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电子产品芯片级检测维修与数据恢复竞赛预算主要包括组织预算、场地预算、设备预算三大块。对于上述三项发生的费用，主办方将会协调承办学校、协办企业单位，提供比赛场地、比赛设备（设备使用权）和所需资金。具体方式如下。</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、组织预算：由合作企业提供；</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、场地预算：比赛场地由承办学校提供，场地布置费用由承办校和企业共同提供。</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、设备预算：比赛设备由合作企业提供使用权的方式解决。</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、经费统筹</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1</w:t>
      </w:r>
      <w:r>
        <w:rPr>
          <w:rFonts w:hint="eastAsia" w:ascii="仿宋" w:hAnsi="仿宋" w:eastAsia="仿宋" w:cs="仿宋"/>
          <w:sz w:val="30"/>
          <w:szCs w:val="30"/>
        </w:rPr>
        <w:t>）使用原则：按照“收支平衡、统筹安排、保证重点、专款专用”的使用原则。</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）使用方向：做好赛事筹备、赛中运营、赛后维护三方面的合理分配与使用。</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3</w:t>
      </w:r>
      <w:r>
        <w:rPr>
          <w:rFonts w:hint="eastAsia" w:ascii="仿宋" w:hAnsi="仿宋" w:eastAsia="仿宋" w:cs="仿宋"/>
          <w:sz w:val="30"/>
          <w:szCs w:val="30"/>
        </w:rPr>
        <w:t>）统筹经费的监督管理：统一监管、具体实施。</w:t>
      </w:r>
    </w:p>
    <w:p>
      <w:pPr>
        <w:snapToGrid w:val="0"/>
        <w:spacing w:line="560" w:lineRule="exact"/>
        <w:ind w:firstLine="420" w:firstLineChars="150"/>
        <w:rPr>
          <w:rFonts w:ascii="仿宋" w:hAnsi="仿宋" w:eastAsia="仿宋" w:cs="Arial"/>
          <w:b/>
          <w:sz w:val="28"/>
          <w:szCs w:val="28"/>
        </w:rPr>
      </w:pPr>
      <w:r>
        <w:rPr>
          <w:rFonts w:hint="eastAsia" w:ascii="仿宋" w:hAnsi="仿宋" w:eastAsia="仿宋" w:cs="Arial"/>
          <w:sz w:val="28"/>
          <w:szCs w:val="28"/>
        </w:rPr>
        <w:t>5、经费预算项目清单</w:t>
      </w:r>
    </w:p>
    <w:tbl>
      <w:tblPr>
        <w:tblStyle w:val="17"/>
        <w:tblpPr w:leftFromText="180" w:rightFromText="180" w:vertAnchor="text" w:tblpX="491" w:tblpY="1"/>
        <w:tblOverlap w:val="never"/>
        <w:tblW w:w="882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06"/>
        <w:gridCol w:w="2693"/>
        <w:gridCol w:w="1059"/>
        <w:gridCol w:w="6"/>
        <w:gridCol w:w="39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shd w:val="clear" w:color="auto" w:fill="auto"/>
            <w:tcMar>
              <w:top w:w="15" w:type="dxa"/>
              <w:left w:w="69" w:type="dxa"/>
              <w:bottom w:w="0" w:type="dxa"/>
              <w:right w:w="69" w:type="dxa"/>
            </w:tcMar>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费用类别</w:t>
            </w:r>
          </w:p>
        </w:tc>
        <w:tc>
          <w:tcPr>
            <w:tcW w:w="2693" w:type="dxa"/>
            <w:shd w:val="clear" w:color="auto" w:fill="auto"/>
            <w:tcMar>
              <w:top w:w="15" w:type="dxa"/>
              <w:left w:w="69" w:type="dxa"/>
              <w:bottom w:w="0" w:type="dxa"/>
              <w:right w:w="69" w:type="dxa"/>
            </w:tcMar>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项目</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金额</w:t>
            </w:r>
          </w:p>
          <w:p>
            <w:pPr>
              <w:jc w:val="center"/>
              <w:rPr>
                <w:rFonts w:ascii="仿宋_GB2312" w:eastAsia="仿宋_GB2312" w:hAnsiTheme="minorEastAsia"/>
                <w:b/>
                <w:sz w:val="24"/>
                <w:szCs w:val="24"/>
              </w:rPr>
            </w:pPr>
            <w:r>
              <w:rPr>
                <w:rFonts w:hint="eastAsia" w:ascii="仿宋_GB2312" w:eastAsia="仿宋_GB2312" w:hAnsiTheme="minorEastAsia"/>
                <w:b/>
                <w:sz w:val="24"/>
                <w:szCs w:val="24"/>
              </w:rPr>
              <w:t>（万元）</w:t>
            </w:r>
          </w:p>
        </w:tc>
        <w:tc>
          <w:tcPr>
            <w:tcW w:w="3969" w:type="dxa"/>
            <w:gridSpan w:val="2"/>
            <w:shd w:val="clear" w:color="auto" w:fill="auto"/>
            <w:tcMar>
              <w:top w:w="15" w:type="dxa"/>
              <w:left w:w="69" w:type="dxa"/>
              <w:bottom w:w="0" w:type="dxa"/>
              <w:right w:w="69" w:type="dxa"/>
            </w:tcMar>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restart"/>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赛项研讨论证、赛题开发及培训预算</w:t>
            </w: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竞赛方案研讨论证会议组织</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研讨会专家的用餐、论证费等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竞赛试题开发</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专家封闭开发住宿、用餐等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资源转化</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赛后资源转化工作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印刷费</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大赛通知、赛程、竞赛文档、赛题等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培训费</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裁判员培训费用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专家</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包括命题、评审、裁判等环节的专家费用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restart"/>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赛项组织预算</w:t>
            </w: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场地布置</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8</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根据比赛要求布置场地、布线、主席台搭建等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设备运输、安装、调试</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6</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比赛设备运输及安装等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现场技术支持</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竞赛现场支持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赛项宣传费用</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赛场环境设计与制作、宣传材料制作，平面媒体、网站宣传维护等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服装费</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4</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选手、指导老师、裁判、监考、工作人员、志愿服装费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获奖奖励</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4</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获奖人员奖励、奖品和纪念品等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餐费、交通费</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6</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领导、专家、选手在津食、交通费用、工作人员餐费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预留资金</w:t>
            </w:r>
          </w:p>
        </w:tc>
        <w:tc>
          <w:tcPr>
            <w:tcW w:w="1059" w:type="dxa"/>
            <w:tcBorders>
              <w:right w:val="single" w:color="auto" w:sz="4" w:space="0"/>
            </w:tcBorders>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3969" w:type="dxa"/>
            <w:gridSpan w:val="2"/>
            <w:tcBorders>
              <w:left w:val="single" w:color="auto" w:sz="4" w:space="0"/>
            </w:tcBorders>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处理赛事突发事件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379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总计</w:t>
            </w:r>
          </w:p>
        </w:tc>
        <w:tc>
          <w:tcPr>
            <w:tcW w:w="1065" w:type="dxa"/>
            <w:gridSpan w:val="2"/>
            <w:tcBorders>
              <w:right w:val="single" w:color="auto" w:sz="4" w:space="0"/>
            </w:tcBorders>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60</w:t>
            </w:r>
          </w:p>
        </w:tc>
        <w:tc>
          <w:tcPr>
            <w:tcW w:w="3963" w:type="dxa"/>
            <w:tcBorders>
              <w:left w:val="single" w:color="auto" w:sz="4" w:space="0"/>
            </w:tcBorders>
            <w:shd w:val="clear" w:color="auto" w:fill="auto"/>
            <w:vAlign w:val="center"/>
          </w:tcPr>
          <w:p>
            <w:pPr>
              <w:rPr>
                <w:rFonts w:ascii="仿宋_GB2312" w:eastAsia="仿宋_GB2312" w:hAnsiTheme="minorEastAsia"/>
                <w:sz w:val="24"/>
                <w:szCs w:val="24"/>
              </w:rPr>
            </w:pPr>
          </w:p>
        </w:tc>
      </w:tr>
    </w:tbl>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十六、比赛组织与管理</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设立赛项执行委员会，负责整个比赛的组织与管理。</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1、设执行委员会主任一名、副主任若干，负责赛项的总体协调。</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2、设执委会秘书长一名，副秘书长若干，负责赛项执行委员会主任、副主任决策的落实与监督。</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3、设立仲裁组：组长一名、组员若干，负责赛项的仲裁工作。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4、设立裁判组：裁判长一名、裁判若干，负责赛项的裁判工作。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5、设现场赛务组：组长一名，组员若干，负责赛场场地内设备及人员管理。</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6、安保组：组长一名，组员若干，负责赛场及周边的安保工作。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7、秘书组：组长一名，组员若干，负责撰文等文案工作。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8、宣传组：组长一名，组员若干，负责赛项宣传等联系工作。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9、设计组：组长一名，组员若干，负责赛项场地、布展等工作。</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10、后勤保障组：组长一名，组员若干，负责住宿、饮食、交通等保障工作。</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十七、教学资源转化建设方案</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在大赛执委会的领导与监督下，赛后</w:t>
      </w:r>
      <w:r>
        <w:rPr>
          <w:rFonts w:ascii="仿宋" w:hAnsi="仿宋" w:eastAsia="仿宋" w:cs="仿宋"/>
          <w:sz w:val="30"/>
          <w:szCs w:val="30"/>
        </w:rPr>
        <w:t>60</w:t>
      </w:r>
      <w:r>
        <w:rPr>
          <w:rFonts w:hint="eastAsia" w:ascii="仿宋" w:hAnsi="仿宋" w:eastAsia="仿宋" w:cs="仿宋"/>
          <w:sz w:val="30"/>
          <w:szCs w:val="30"/>
        </w:rPr>
        <w:t>日内向大赛执委会办公室提交资源转化方案，半年内完成资源转化工作。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（一）竞赛过程中获得的主要资源</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、竞赛样题、试题库；</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、竞赛技能考核评分案例；</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、考核环境描述；</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、竞赛过程音视频记录；</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、评委、裁判、专家点评；</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、优秀选手、指导教师访谈。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（二）资源转化基本方案与呈现形式</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、基本资源：</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基本资源按照技能概要、训练单元、训练资源三大模块设置：</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1</w:t>
      </w:r>
      <w:r>
        <w:rPr>
          <w:rFonts w:hint="eastAsia" w:ascii="仿宋" w:hAnsi="仿宋" w:eastAsia="仿宋" w:cs="仿宋"/>
          <w:sz w:val="30"/>
          <w:szCs w:val="30"/>
        </w:rPr>
        <w:t>）技能概要包括技能介绍、训练大纲、技能要点、评价指标等。</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）训练单元按任务模块或技能模块组织设置，可包括演示文稿、操作流程演示视频</w:t>
      </w:r>
      <w:r>
        <w:rPr>
          <w:rFonts w:ascii="仿宋" w:hAnsi="仿宋" w:eastAsia="仿宋" w:cs="仿宋"/>
          <w:sz w:val="30"/>
          <w:szCs w:val="30"/>
        </w:rPr>
        <w:t>/</w:t>
      </w:r>
      <w:r>
        <w:rPr>
          <w:rFonts w:hint="eastAsia" w:ascii="仿宋" w:hAnsi="仿宋" w:eastAsia="仿宋" w:cs="仿宋"/>
          <w:sz w:val="30"/>
          <w:szCs w:val="30"/>
        </w:rPr>
        <w:t>动画等。</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3</w:t>
      </w:r>
      <w:r>
        <w:rPr>
          <w:rFonts w:hint="eastAsia" w:ascii="仿宋" w:hAnsi="仿宋" w:eastAsia="仿宋" w:cs="仿宋"/>
          <w:sz w:val="30"/>
          <w:szCs w:val="30"/>
        </w:rPr>
        <w:t>）训练资源可包括教学方案、训练指导、作业</w:t>
      </w:r>
      <w:r>
        <w:rPr>
          <w:rFonts w:ascii="仿宋" w:hAnsi="仿宋" w:eastAsia="仿宋" w:cs="仿宋"/>
          <w:sz w:val="30"/>
          <w:szCs w:val="30"/>
        </w:rPr>
        <w:t>/</w:t>
      </w:r>
      <w:r>
        <w:rPr>
          <w:rFonts w:hint="eastAsia" w:ascii="仿宋" w:hAnsi="仿宋" w:eastAsia="仿宋" w:cs="仿宋"/>
          <w:sz w:val="30"/>
          <w:szCs w:val="30"/>
        </w:rPr>
        <w:t>任务、实验</w:t>
      </w:r>
      <w:r>
        <w:rPr>
          <w:rFonts w:ascii="仿宋" w:hAnsi="仿宋" w:eastAsia="仿宋" w:cs="仿宋"/>
          <w:sz w:val="30"/>
          <w:szCs w:val="30"/>
        </w:rPr>
        <w:t>/</w:t>
      </w:r>
      <w:r>
        <w:rPr>
          <w:rFonts w:hint="eastAsia" w:ascii="仿宋" w:hAnsi="仿宋" w:eastAsia="仿宋" w:cs="仿宋"/>
          <w:sz w:val="30"/>
          <w:szCs w:val="30"/>
        </w:rPr>
        <w:t>实训</w:t>
      </w:r>
      <w:r>
        <w:rPr>
          <w:rFonts w:ascii="仿宋" w:hAnsi="仿宋" w:eastAsia="仿宋" w:cs="仿宋"/>
          <w:sz w:val="30"/>
          <w:szCs w:val="30"/>
        </w:rPr>
        <w:t>/</w:t>
      </w:r>
      <w:r>
        <w:rPr>
          <w:rFonts w:hint="eastAsia" w:ascii="仿宋" w:hAnsi="仿宋" w:eastAsia="仿宋" w:cs="仿宋"/>
          <w:sz w:val="30"/>
          <w:szCs w:val="30"/>
        </w:rPr>
        <w:t>实习资源等。训练资源模块可单独列出，也可融入各训练单元。</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、拓展资源：</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拓展资源以反映技能特色为主，应用于各教学与训练环节，支持技能教学和学习过程，较为成熟的多样性辅助资源。例如：点评视频、访谈视频、试题库、案例库、素材资源库等。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（三）资源的技术标准</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资源转化成果以文本文档、演示文稿、视频文件、</w:t>
      </w:r>
      <w:r>
        <w:rPr>
          <w:rFonts w:ascii="仿宋" w:hAnsi="仿宋" w:eastAsia="仿宋" w:cs="仿宋"/>
          <w:sz w:val="30"/>
          <w:szCs w:val="30"/>
        </w:rPr>
        <w:t>Flash</w:t>
      </w:r>
      <w:r>
        <w:rPr>
          <w:rFonts w:hint="eastAsia" w:ascii="仿宋" w:hAnsi="仿宋" w:eastAsia="仿宋" w:cs="仿宋"/>
          <w:sz w:val="30"/>
          <w:szCs w:val="30"/>
        </w:rPr>
        <w:t>文件、图形</w:t>
      </w:r>
      <w:r>
        <w:rPr>
          <w:rFonts w:ascii="仿宋" w:hAnsi="仿宋" w:eastAsia="仿宋" w:cs="仿宋"/>
          <w:sz w:val="30"/>
          <w:szCs w:val="30"/>
        </w:rPr>
        <w:t>/</w:t>
      </w:r>
      <w:r>
        <w:rPr>
          <w:rFonts w:hint="eastAsia" w:ascii="仿宋" w:hAnsi="仿宋" w:eastAsia="仿宋" w:cs="仿宋"/>
          <w:sz w:val="30"/>
          <w:szCs w:val="30"/>
        </w:rPr>
        <w:t>图像素材和网页型资源等：</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、文本文档：采用</w:t>
      </w:r>
      <w:r>
        <w:rPr>
          <w:rFonts w:ascii="仿宋" w:hAnsi="仿宋" w:eastAsia="仿宋" w:cs="仿宋"/>
          <w:sz w:val="30"/>
          <w:szCs w:val="30"/>
        </w:rPr>
        <w:t>DOC</w:t>
      </w:r>
      <w:r>
        <w:rPr>
          <w:rFonts w:hint="eastAsia" w:ascii="仿宋" w:hAnsi="仿宋" w:eastAsia="仿宋" w:cs="仿宋"/>
          <w:sz w:val="30"/>
          <w:szCs w:val="30"/>
        </w:rPr>
        <w:t>或</w:t>
      </w:r>
      <w:r>
        <w:rPr>
          <w:rFonts w:ascii="仿宋" w:hAnsi="仿宋" w:eastAsia="仿宋" w:cs="仿宋"/>
          <w:sz w:val="30"/>
          <w:szCs w:val="30"/>
        </w:rPr>
        <w:t>DOCX</w:t>
      </w:r>
      <w:r>
        <w:rPr>
          <w:rFonts w:hint="eastAsia" w:ascii="仿宋" w:hAnsi="仿宋" w:eastAsia="仿宋" w:cs="仿宋"/>
          <w:sz w:val="30"/>
          <w:szCs w:val="30"/>
        </w:rPr>
        <w:t>格式。文件制作所使用的软件版本不低于</w:t>
      </w:r>
      <w:r>
        <w:rPr>
          <w:rFonts w:ascii="仿宋" w:hAnsi="仿宋" w:eastAsia="仿宋" w:cs="仿宋"/>
          <w:sz w:val="30"/>
          <w:szCs w:val="30"/>
        </w:rPr>
        <w:t>Microsoft Office 2003</w:t>
      </w:r>
      <w:r>
        <w:rPr>
          <w:rFonts w:hint="eastAsia" w:ascii="仿宋" w:hAnsi="仿宋" w:eastAsia="仿宋" w:cs="仿宋"/>
          <w:sz w:val="30"/>
          <w:szCs w:val="30"/>
        </w:rPr>
        <w:t>。</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、演示文稿：采用</w:t>
      </w:r>
      <w:r>
        <w:rPr>
          <w:rFonts w:ascii="仿宋" w:hAnsi="仿宋" w:eastAsia="仿宋" w:cs="仿宋"/>
          <w:sz w:val="30"/>
          <w:szCs w:val="30"/>
        </w:rPr>
        <w:t>PPT</w:t>
      </w:r>
      <w:r>
        <w:rPr>
          <w:rFonts w:hint="eastAsia" w:ascii="仿宋" w:hAnsi="仿宋" w:eastAsia="仿宋" w:cs="仿宋"/>
          <w:sz w:val="30"/>
          <w:szCs w:val="30"/>
        </w:rPr>
        <w:t>或</w:t>
      </w:r>
      <w:r>
        <w:rPr>
          <w:rFonts w:ascii="仿宋" w:hAnsi="仿宋" w:eastAsia="仿宋" w:cs="仿宋"/>
          <w:sz w:val="30"/>
          <w:szCs w:val="30"/>
        </w:rPr>
        <w:t>PPTX</w:t>
      </w:r>
      <w:r>
        <w:rPr>
          <w:rFonts w:hint="eastAsia" w:ascii="仿宋" w:hAnsi="仿宋" w:eastAsia="仿宋" w:cs="仿宋"/>
          <w:sz w:val="30"/>
          <w:szCs w:val="30"/>
        </w:rPr>
        <w:t>格式。文件制作所使用的软件版本不低于</w:t>
      </w:r>
      <w:r>
        <w:rPr>
          <w:rFonts w:ascii="仿宋" w:hAnsi="仿宋" w:eastAsia="仿宋" w:cs="仿宋"/>
          <w:sz w:val="30"/>
          <w:szCs w:val="30"/>
        </w:rPr>
        <w:t>Microsoft Office 2003</w:t>
      </w:r>
      <w:r>
        <w:rPr>
          <w:rFonts w:hint="eastAsia" w:ascii="仿宋" w:hAnsi="仿宋" w:eastAsia="仿宋" w:cs="仿宋"/>
          <w:sz w:val="30"/>
          <w:szCs w:val="30"/>
        </w:rPr>
        <w:t>。尽可能少用宏，播放时不要出现宏脚本提示。</w:t>
      </w:r>
      <w:r>
        <w:rPr>
          <w:rFonts w:ascii="仿宋" w:hAnsi="仿宋" w:eastAsia="仿宋" w:cs="仿宋"/>
          <w:sz w:val="30"/>
          <w:szCs w:val="30"/>
        </w:rPr>
        <w:t xml:space="preserve"> </w:t>
      </w:r>
    </w:p>
    <w:p>
      <w:pPr>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、视频文件：采用</w:t>
      </w:r>
      <w:r>
        <w:rPr>
          <w:rFonts w:ascii="仿宋" w:hAnsi="仿宋" w:eastAsia="仿宋" w:cs="仿宋"/>
          <w:sz w:val="30"/>
          <w:szCs w:val="30"/>
        </w:rPr>
        <w:t>MP4</w:t>
      </w:r>
      <w:r>
        <w:rPr>
          <w:rFonts w:hint="eastAsia" w:ascii="仿宋" w:hAnsi="仿宋" w:eastAsia="仿宋" w:cs="仿宋"/>
          <w:sz w:val="30"/>
          <w:szCs w:val="30"/>
        </w:rPr>
        <w:t>格式。录像环境光线充足、安静，衣着得体，语音清晰。</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1</w:t>
      </w:r>
      <w:r>
        <w:rPr>
          <w:rFonts w:hint="eastAsia" w:ascii="仿宋" w:hAnsi="仿宋" w:eastAsia="仿宋" w:cs="仿宋"/>
          <w:sz w:val="30"/>
          <w:szCs w:val="30"/>
        </w:rPr>
        <w:t>）视频压缩采用</w:t>
      </w:r>
      <w:r>
        <w:rPr>
          <w:rFonts w:ascii="仿宋" w:hAnsi="仿宋" w:eastAsia="仿宋" w:cs="仿宋"/>
          <w:sz w:val="30"/>
          <w:szCs w:val="30"/>
        </w:rPr>
        <w:t>H.264(MPEG-4 Part10</w:t>
      </w:r>
      <w:r>
        <w:rPr>
          <w:rFonts w:hint="eastAsia" w:ascii="仿宋" w:hAnsi="仿宋" w:eastAsia="仿宋" w:cs="仿宋"/>
          <w:sz w:val="30"/>
          <w:szCs w:val="30"/>
        </w:rPr>
        <w:t>：</w:t>
      </w:r>
      <w:r>
        <w:rPr>
          <w:rFonts w:ascii="仿宋" w:hAnsi="仿宋" w:eastAsia="仿宋" w:cs="仿宋"/>
          <w:sz w:val="30"/>
          <w:szCs w:val="30"/>
        </w:rPr>
        <w:t>profile=main, level=3.0)</w:t>
      </w:r>
      <w:r>
        <w:rPr>
          <w:rFonts w:hint="eastAsia" w:ascii="仿宋" w:hAnsi="仿宋" w:eastAsia="仿宋" w:cs="仿宋"/>
          <w:sz w:val="30"/>
          <w:szCs w:val="30"/>
        </w:rPr>
        <w:t>编码方式，码流率</w:t>
      </w:r>
      <w:r>
        <w:rPr>
          <w:rFonts w:ascii="仿宋" w:hAnsi="仿宋" w:eastAsia="仿宋" w:cs="仿宋"/>
          <w:sz w:val="30"/>
          <w:szCs w:val="30"/>
        </w:rPr>
        <w:t>256 Kbps</w:t>
      </w:r>
      <w:r>
        <w:rPr>
          <w:rFonts w:hint="eastAsia" w:ascii="仿宋" w:hAnsi="仿宋" w:eastAsia="仿宋" w:cs="仿宋"/>
          <w:sz w:val="30"/>
          <w:szCs w:val="30"/>
        </w:rPr>
        <w:t>以上，帧率不低于</w:t>
      </w:r>
      <w:r>
        <w:rPr>
          <w:rFonts w:ascii="仿宋" w:hAnsi="仿宋" w:eastAsia="仿宋" w:cs="仿宋"/>
          <w:sz w:val="30"/>
          <w:szCs w:val="30"/>
        </w:rPr>
        <w:t>25 fps</w:t>
      </w:r>
      <w:r>
        <w:rPr>
          <w:rFonts w:hint="eastAsia" w:ascii="仿宋" w:hAnsi="仿宋" w:eastAsia="仿宋" w:cs="仿宋"/>
          <w:sz w:val="30"/>
          <w:szCs w:val="30"/>
        </w:rPr>
        <w:t>，分辨率不低于</w:t>
      </w:r>
      <w:r>
        <w:rPr>
          <w:rFonts w:ascii="仿宋" w:hAnsi="仿宋" w:eastAsia="仿宋" w:cs="仿宋"/>
          <w:sz w:val="30"/>
          <w:szCs w:val="30"/>
        </w:rPr>
        <w:t>720</w:t>
      </w:r>
      <w:r>
        <w:rPr>
          <w:rFonts w:hint="eastAsia" w:ascii="仿宋" w:hAnsi="仿宋" w:eastAsia="仿宋" w:cs="仿宋"/>
          <w:sz w:val="30"/>
          <w:szCs w:val="30"/>
        </w:rPr>
        <w:t>×</w:t>
      </w:r>
      <w:r>
        <w:rPr>
          <w:rFonts w:ascii="仿宋" w:hAnsi="仿宋" w:eastAsia="仿宋" w:cs="仿宋"/>
          <w:sz w:val="30"/>
          <w:szCs w:val="30"/>
        </w:rPr>
        <w:t>576</w:t>
      </w:r>
      <w:r>
        <w:rPr>
          <w:rFonts w:hint="eastAsia" w:ascii="仿宋" w:hAnsi="仿宋" w:eastAsia="仿宋" w:cs="仿宋"/>
          <w:sz w:val="30"/>
          <w:szCs w:val="30"/>
        </w:rPr>
        <w:t>（</w:t>
      </w:r>
      <w:r>
        <w:rPr>
          <w:rFonts w:ascii="仿宋" w:hAnsi="仿宋" w:eastAsia="仿宋" w:cs="仿宋"/>
          <w:sz w:val="30"/>
          <w:szCs w:val="30"/>
        </w:rPr>
        <w:t>4:3</w:t>
      </w:r>
      <w:r>
        <w:rPr>
          <w:rFonts w:hint="eastAsia" w:ascii="仿宋" w:hAnsi="仿宋" w:eastAsia="仿宋" w:cs="仿宋"/>
          <w:sz w:val="30"/>
          <w:szCs w:val="30"/>
        </w:rPr>
        <w:t>）或</w:t>
      </w:r>
      <w:r>
        <w:rPr>
          <w:rFonts w:ascii="仿宋" w:hAnsi="仿宋" w:eastAsia="仿宋" w:cs="仿宋"/>
          <w:sz w:val="30"/>
          <w:szCs w:val="30"/>
        </w:rPr>
        <w:t>1024</w:t>
      </w:r>
      <w:r>
        <w:rPr>
          <w:rFonts w:hint="eastAsia" w:ascii="仿宋" w:hAnsi="仿宋" w:eastAsia="仿宋" w:cs="仿宋"/>
          <w:sz w:val="30"/>
          <w:szCs w:val="30"/>
        </w:rPr>
        <w:t>×</w:t>
      </w:r>
      <w:r>
        <w:rPr>
          <w:rFonts w:ascii="仿宋" w:hAnsi="仿宋" w:eastAsia="仿宋" w:cs="仿宋"/>
          <w:sz w:val="30"/>
          <w:szCs w:val="30"/>
        </w:rPr>
        <w:t>576</w:t>
      </w:r>
      <w:r>
        <w:rPr>
          <w:rFonts w:hint="eastAsia" w:ascii="仿宋" w:hAnsi="仿宋" w:eastAsia="仿宋" w:cs="仿宋"/>
          <w:sz w:val="30"/>
          <w:szCs w:val="30"/>
        </w:rPr>
        <w:t>（</w:t>
      </w:r>
      <w:r>
        <w:rPr>
          <w:rFonts w:ascii="仿宋" w:hAnsi="仿宋" w:eastAsia="仿宋" w:cs="仿宋"/>
          <w:sz w:val="30"/>
          <w:szCs w:val="30"/>
        </w:rPr>
        <w:t>16:9</w:t>
      </w:r>
      <w:r>
        <w:rPr>
          <w:rFonts w:hint="eastAsia" w:ascii="仿宋" w:hAnsi="仿宋" w:eastAsia="仿宋" w:cs="仿宋"/>
          <w:sz w:val="30"/>
          <w:szCs w:val="30"/>
        </w:rPr>
        <w:t>）。</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声音和画面要求同步，无交流声或其他杂音等缺陷，无明显失真、放音过冲、过弱。伴音清晰、饱满、圆润，无失真、噪声杂音干扰、音量忽大忽小现象。解说声与现场声、背景音乐无明显比例失调。音频信噪比不低于</w:t>
      </w:r>
      <w:r>
        <w:rPr>
          <w:rFonts w:ascii="仿宋" w:hAnsi="仿宋" w:eastAsia="仿宋" w:cs="仿宋"/>
          <w:sz w:val="30"/>
          <w:szCs w:val="30"/>
        </w:rPr>
        <w:t>48 dB</w:t>
      </w:r>
      <w:r>
        <w:rPr>
          <w:rFonts w:hint="eastAsia" w:ascii="仿宋" w:hAnsi="仿宋" w:eastAsia="仿宋" w:cs="仿宋"/>
          <w:sz w:val="30"/>
          <w:szCs w:val="30"/>
        </w:rPr>
        <w:t>。</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3</w:t>
      </w:r>
      <w:r>
        <w:rPr>
          <w:rFonts w:hint="eastAsia" w:ascii="仿宋" w:hAnsi="仿宋" w:eastAsia="仿宋" w:cs="仿宋"/>
          <w:sz w:val="30"/>
          <w:szCs w:val="30"/>
        </w:rPr>
        <w:t>）字幕要使用符合国家标准的规范字，不出现繁体字、异体字</w:t>
      </w:r>
      <w:r>
        <w:rPr>
          <w:rFonts w:ascii="仿宋" w:hAnsi="仿宋" w:eastAsia="仿宋" w:cs="仿宋"/>
          <w:sz w:val="30"/>
          <w:szCs w:val="30"/>
        </w:rPr>
        <w:t>(</w:t>
      </w:r>
      <w:r>
        <w:rPr>
          <w:rFonts w:hint="eastAsia" w:ascii="仿宋" w:hAnsi="仿宋" w:eastAsia="仿宋" w:cs="仿宋"/>
          <w:sz w:val="30"/>
          <w:szCs w:val="30"/>
        </w:rPr>
        <w:t>国家规定的除外</w:t>
      </w:r>
      <w:r>
        <w:rPr>
          <w:rFonts w:ascii="仿宋" w:hAnsi="仿宋" w:eastAsia="仿宋" w:cs="仿宋"/>
          <w:sz w:val="30"/>
          <w:szCs w:val="30"/>
        </w:rPr>
        <w:t>)</w:t>
      </w:r>
      <w:r>
        <w:rPr>
          <w:rFonts w:hint="eastAsia" w:ascii="仿宋" w:hAnsi="仿宋" w:eastAsia="仿宋" w:cs="仿宋"/>
          <w:sz w:val="30"/>
          <w:szCs w:val="30"/>
        </w:rPr>
        <w:t>、错别字；字幕的字体、大小、色彩搭配、摆放位置、停留时间、出入屏方式力求与其他要素（画面、解说词、音乐）配合适当，不能破坏原有画面。</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4</w:t>
      </w:r>
      <w:r>
        <w:rPr>
          <w:rFonts w:hint="eastAsia" w:ascii="仿宋" w:hAnsi="仿宋" w:eastAsia="仿宋" w:cs="仿宋"/>
          <w:sz w:val="30"/>
          <w:szCs w:val="30"/>
        </w:rPr>
        <w:t>）</w:t>
      </w:r>
      <w:r>
        <w:rPr>
          <w:rFonts w:ascii="仿宋" w:hAnsi="仿宋" w:eastAsia="仿宋" w:cs="仿宋"/>
          <w:sz w:val="30"/>
          <w:szCs w:val="30"/>
        </w:rPr>
        <w:t>Flash</w:t>
      </w:r>
      <w:r>
        <w:rPr>
          <w:rFonts w:hint="eastAsia" w:ascii="仿宋" w:hAnsi="仿宋" w:eastAsia="仿宋" w:cs="仿宋"/>
          <w:sz w:val="30"/>
          <w:szCs w:val="30"/>
        </w:rPr>
        <w:t>文件：文件制作所使用的软件版本不低于</w:t>
      </w:r>
      <w:r>
        <w:rPr>
          <w:rFonts w:ascii="仿宋" w:hAnsi="仿宋" w:eastAsia="仿宋" w:cs="仿宋"/>
          <w:sz w:val="30"/>
          <w:szCs w:val="30"/>
        </w:rPr>
        <w:t>Flash 6.0</w:t>
      </w:r>
      <w:r>
        <w:rPr>
          <w:rFonts w:hint="eastAsia" w:ascii="仿宋" w:hAnsi="仿宋" w:eastAsia="仿宋" w:cs="仿宋"/>
          <w:sz w:val="30"/>
          <w:szCs w:val="30"/>
        </w:rPr>
        <w:t>。</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5</w:t>
      </w:r>
      <w:r>
        <w:rPr>
          <w:rFonts w:hint="eastAsia" w:ascii="仿宋" w:hAnsi="仿宋" w:eastAsia="仿宋" w:cs="仿宋"/>
          <w:sz w:val="30"/>
          <w:szCs w:val="30"/>
        </w:rPr>
        <w:t>）图形</w:t>
      </w:r>
      <w:r>
        <w:rPr>
          <w:rFonts w:ascii="仿宋" w:hAnsi="仿宋" w:eastAsia="仿宋" w:cs="仿宋"/>
          <w:sz w:val="30"/>
          <w:szCs w:val="30"/>
        </w:rPr>
        <w:t>/</w:t>
      </w:r>
      <w:r>
        <w:rPr>
          <w:rFonts w:hint="eastAsia" w:ascii="仿宋" w:hAnsi="仿宋" w:eastAsia="仿宋" w:cs="仿宋"/>
          <w:sz w:val="30"/>
          <w:szCs w:val="30"/>
        </w:rPr>
        <w:t>图像素材：采用常见存储格式，如</w:t>
      </w:r>
      <w:r>
        <w:rPr>
          <w:rFonts w:ascii="仿宋" w:hAnsi="仿宋" w:eastAsia="仿宋" w:cs="仿宋"/>
          <w:sz w:val="30"/>
          <w:szCs w:val="30"/>
        </w:rPr>
        <w:t>GIF</w:t>
      </w:r>
      <w:r>
        <w:rPr>
          <w:rFonts w:hint="eastAsia" w:ascii="仿宋" w:hAnsi="仿宋" w:eastAsia="仿宋" w:cs="仿宋"/>
          <w:sz w:val="30"/>
          <w:szCs w:val="30"/>
        </w:rPr>
        <w:t>、</w:t>
      </w:r>
      <w:r>
        <w:rPr>
          <w:rFonts w:ascii="仿宋" w:hAnsi="仿宋" w:eastAsia="仿宋" w:cs="仿宋"/>
          <w:sz w:val="30"/>
          <w:szCs w:val="30"/>
        </w:rPr>
        <w:t>PNG</w:t>
      </w:r>
      <w:r>
        <w:rPr>
          <w:rFonts w:hint="eastAsia" w:ascii="仿宋" w:hAnsi="仿宋" w:eastAsia="仿宋" w:cs="仿宋"/>
          <w:sz w:val="30"/>
          <w:szCs w:val="30"/>
        </w:rPr>
        <w:t>、</w:t>
      </w:r>
      <w:r>
        <w:rPr>
          <w:rFonts w:ascii="仿宋" w:hAnsi="仿宋" w:eastAsia="仿宋" w:cs="仿宋"/>
          <w:sz w:val="30"/>
          <w:szCs w:val="30"/>
        </w:rPr>
        <w:t>JPG</w:t>
      </w:r>
      <w:r>
        <w:rPr>
          <w:rFonts w:hint="eastAsia" w:ascii="仿宋" w:hAnsi="仿宋" w:eastAsia="仿宋" w:cs="仿宋"/>
          <w:sz w:val="30"/>
          <w:szCs w:val="30"/>
        </w:rPr>
        <w:t>等。彩色图像颜色数不低于真彩（</w:t>
      </w:r>
      <w:r>
        <w:rPr>
          <w:rFonts w:ascii="仿宋" w:hAnsi="仿宋" w:eastAsia="仿宋" w:cs="仿宋"/>
          <w:sz w:val="30"/>
          <w:szCs w:val="30"/>
        </w:rPr>
        <w:t>24</w:t>
      </w:r>
      <w:r>
        <w:rPr>
          <w:rFonts w:hint="eastAsia" w:ascii="仿宋" w:hAnsi="仿宋" w:eastAsia="仿宋" w:cs="仿宋"/>
          <w:sz w:val="30"/>
          <w:szCs w:val="30"/>
        </w:rPr>
        <w:t>位色），灰度图像的灰度级不低于</w:t>
      </w:r>
      <w:r>
        <w:rPr>
          <w:rFonts w:ascii="仿宋" w:hAnsi="仿宋" w:eastAsia="仿宋" w:cs="仿宋"/>
          <w:sz w:val="30"/>
          <w:szCs w:val="30"/>
        </w:rPr>
        <w:t>256</w:t>
      </w:r>
      <w:r>
        <w:rPr>
          <w:rFonts w:hint="eastAsia" w:ascii="仿宋" w:hAnsi="仿宋" w:eastAsia="仿宋" w:cs="仿宋"/>
          <w:sz w:val="30"/>
          <w:szCs w:val="30"/>
        </w:rPr>
        <w:t>级，屏幕分辨率不低于</w:t>
      </w:r>
      <w:r>
        <w:rPr>
          <w:rFonts w:ascii="仿宋" w:hAnsi="仿宋" w:eastAsia="仿宋" w:cs="仿宋"/>
          <w:sz w:val="30"/>
          <w:szCs w:val="30"/>
        </w:rPr>
        <w:t>1024</w:t>
      </w:r>
      <w:r>
        <w:rPr>
          <w:rFonts w:hint="eastAsia" w:ascii="仿宋" w:hAnsi="仿宋" w:eastAsia="仿宋" w:cs="仿宋"/>
          <w:sz w:val="30"/>
          <w:szCs w:val="30"/>
        </w:rPr>
        <w:t>×</w:t>
      </w:r>
      <w:r>
        <w:rPr>
          <w:rFonts w:ascii="仿宋" w:hAnsi="仿宋" w:eastAsia="仿宋" w:cs="仿宋"/>
          <w:sz w:val="30"/>
          <w:szCs w:val="30"/>
        </w:rPr>
        <w:t>768</w:t>
      </w:r>
      <w:r>
        <w:rPr>
          <w:rFonts w:hint="eastAsia" w:ascii="仿宋" w:hAnsi="仿宋" w:eastAsia="仿宋" w:cs="仿宋"/>
          <w:sz w:val="30"/>
          <w:szCs w:val="30"/>
        </w:rPr>
        <w:t>时，扫描图像的扫描分辨率不低于</w:t>
      </w:r>
      <w:r>
        <w:rPr>
          <w:rFonts w:ascii="仿宋" w:hAnsi="仿宋" w:eastAsia="仿宋" w:cs="仿宋"/>
          <w:sz w:val="30"/>
          <w:szCs w:val="30"/>
        </w:rPr>
        <w:t>72 dpi</w:t>
      </w:r>
      <w:r>
        <w:rPr>
          <w:rFonts w:hint="eastAsia" w:ascii="仿宋" w:hAnsi="仿宋" w:eastAsia="仿宋" w:cs="仿宋"/>
          <w:sz w:val="30"/>
          <w:szCs w:val="30"/>
        </w:rPr>
        <w:t>。</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6</w:t>
      </w:r>
      <w:r>
        <w:rPr>
          <w:rFonts w:hint="eastAsia" w:ascii="仿宋" w:hAnsi="仿宋" w:eastAsia="仿宋" w:cs="仿宋"/>
          <w:sz w:val="30"/>
          <w:szCs w:val="30"/>
        </w:rPr>
        <w:t>）网页型资源：采用</w:t>
      </w:r>
      <w:r>
        <w:rPr>
          <w:rFonts w:ascii="仿宋" w:hAnsi="仿宋" w:eastAsia="仿宋" w:cs="仿宋"/>
          <w:sz w:val="30"/>
          <w:szCs w:val="30"/>
        </w:rPr>
        <w:t>HTML5</w:t>
      </w:r>
      <w:r>
        <w:rPr>
          <w:rFonts w:hint="eastAsia" w:ascii="仿宋" w:hAnsi="仿宋" w:eastAsia="仿宋" w:cs="仿宋"/>
          <w:sz w:val="30"/>
          <w:szCs w:val="30"/>
        </w:rPr>
        <w:t>编码。兼容</w:t>
      </w:r>
      <w:r>
        <w:rPr>
          <w:rFonts w:ascii="仿宋" w:hAnsi="仿宋" w:eastAsia="仿宋" w:cs="仿宋"/>
          <w:sz w:val="30"/>
          <w:szCs w:val="30"/>
        </w:rPr>
        <w:t>Microsoft IE</w:t>
      </w:r>
      <w:r>
        <w:rPr>
          <w:rFonts w:hint="eastAsia" w:ascii="仿宋" w:hAnsi="仿宋" w:eastAsia="仿宋" w:cs="仿宋"/>
          <w:sz w:val="30"/>
          <w:szCs w:val="30"/>
        </w:rPr>
        <w:t>、</w:t>
      </w:r>
      <w:r>
        <w:rPr>
          <w:rFonts w:ascii="仿宋" w:hAnsi="仿宋" w:eastAsia="仿宋" w:cs="仿宋"/>
          <w:sz w:val="30"/>
          <w:szCs w:val="30"/>
        </w:rPr>
        <w:t>Google Chrome</w:t>
      </w:r>
      <w:r>
        <w:rPr>
          <w:rFonts w:hint="eastAsia" w:ascii="仿宋" w:hAnsi="仿宋" w:eastAsia="仿宋" w:cs="仿宋"/>
          <w:sz w:val="30"/>
          <w:szCs w:val="30"/>
        </w:rPr>
        <w:t>、</w:t>
      </w:r>
      <w:r>
        <w:rPr>
          <w:rFonts w:ascii="仿宋" w:hAnsi="仿宋" w:eastAsia="仿宋" w:cs="仿宋"/>
          <w:sz w:val="30"/>
          <w:szCs w:val="30"/>
        </w:rPr>
        <w:t>Mozilla Firefox</w:t>
      </w:r>
      <w:r>
        <w:rPr>
          <w:rFonts w:hint="eastAsia" w:ascii="仿宋" w:hAnsi="仿宋" w:eastAsia="仿宋" w:cs="仿宋"/>
          <w:sz w:val="30"/>
          <w:szCs w:val="30"/>
        </w:rPr>
        <w:t>浏览器。避免出现大量的垃圾代码，使用网页编辑工具编辑网页，不可直接将</w:t>
      </w:r>
      <w:r>
        <w:rPr>
          <w:rFonts w:ascii="仿宋" w:hAnsi="仿宋" w:eastAsia="仿宋" w:cs="仿宋"/>
          <w:sz w:val="30"/>
          <w:szCs w:val="30"/>
        </w:rPr>
        <w:t>Microsoft Word</w:t>
      </w:r>
      <w:r>
        <w:rPr>
          <w:rFonts w:hint="eastAsia" w:ascii="仿宋" w:hAnsi="仿宋" w:eastAsia="仿宋" w:cs="仿宋"/>
          <w:sz w:val="30"/>
          <w:szCs w:val="30"/>
        </w:rPr>
        <w:t>、</w:t>
      </w:r>
      <w:r>
        <w:rPr>
          <w:rFonts w:ascii="仿宋" w:hAnsi="仿宋" w:eastAsia="仿宋" w:cs="仿宋"/>
          <w:sz w:val="30"/>
          <w:szCs w:val="30"/>
        </w:rPr>
        <w:t>WPS</w:t>
      </w:r>
      <w:r>
        <w:rPr>
          <w:rFonts w:hint="eastAsia" w:ascii="仿宋" w:hAnsi="仿宋" w:eastAsia="仿宋" w:cs="仿宋"/>
          <w:sz w:val="30"/>
          <w:szCs w:val="30"/>
        </w:rPr>
        <w:t>等文件内容粘贴到网页文件中。</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（四）资源的提交方式与版权</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制作完成的资源上传：</w:t>
      </w:r>
      <w:r>
        <w:rPr>
          <w:rFonts w:ascii="仿宋" w:hAnsi="仿宋" w:eastAsia="仿宋" w:cs="仿宋"/>
          <w:sz w:val="30"/>
          <w:szCs w:val="30"/>
        </w:rPr>
        <w:t>www.nvsc.com.cn</w:t>
      </w:r>
      <w:r>
        <w:rPr>
          <w:rFonts w:hint="eastAsia" w:ascii="仿宋" w:hAnsi="仿宋" w:eastAsia="仿宋" w:cs="仿宋"/>
          <w:sz w:val="30"/>
          <w:szCs w:val="30"/>
        </w:rPr>
        <w:t>大赛网站。各赛项执委会组织的公开技能比赛，其赛项资源转化成果的版权由技能大赛执委会和赛项执委会共享。</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（五）资源的使用与管理</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资源转化成果的使用与管理由大赛执委会统一使用与管理，会同赛项承办单位、赛项有关专家，联系出版社编辑出版有关赛项试题库、岗位典型操作流程等精品资源。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（六）资源转化项的工作进程表</w:t>
      </w:r>
    </w:p>
    <w:tbl>
      <w:tblPr>
        <w:tblStyle w:val="17"/>
        <w:tblW w:w="9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580"/>
        <w:gridCol w:w="2117"/>
        <w:gridCol w:w="1276"/>
        <w:gridCol w:w="1360"/>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5" w:type="dxa"/>
            <w:gridSpan w:val="6"/>
            <w:shd w:val="clear" w:color="auto" w:fill="auto"/>
          </w:tcPr>
          <w:p>
            <w:pPr>
              <w:spacing w:line="360" w:lineRule="auto"/>
              <w:jc w:val="center"/>
              <w:rPr>
                <w:rFonts w:ascii="仿宋_GB2312" w:eastAsia="仿宋_GB2312" w:hAnsiTheme="minorEastAsia"/>
                <w:b/>
                <w:sz w:val="24"/>
                <w:szCs w:val="24"/>
              </w:rPr>
            </w:pPr>
            <w:bookmarkStart w:id="16" w:name="_Hlk498359654"/>
            <w:r>
              <w:rPr>
                <w:rFonts w:hint="eastAsia" w:ascii="仿宋_GB2312" w:eastAsia="仿宋_GB2312" w:hAnsiTheme="minorEastAsia"/>
                <w:b/>
                <w:sz w:val="24"/>
                <w:szCs w:val="24"/>
              </w:rPr>
              <w:t>基本资源项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shd w:val="clear" w:color="auto" w:fill="auto"/>
          </w:tcPr>
          <w:p>
            <w:pPr>
              <w:spacing w:line="360" w:lineRule="auto"/>
              <w:jc w:val="center"/>
              <w:rPr>
                <w:rFonts w:ascii="仿宋_GB2312" w:eastAsia="仿宋_GB2312" w:hAnsiTheme="minorEastAsia"/>
                <w:b/>
                <w:sz w:val="24"/>
                <w:szCs w:val="24"/>
              </w:rPr>
            </w:pPr>
            <w:r>
              <w:rPr>
                <w:rFonts w:hint="eastAsia" w:ascii="仿宋_GB2312" w:eastAsia="仿宋_GB2312" w:hAnsiTheme="minorEastAsia"/>
                <w:b/>
                <w:sz w:val="24"/>
                <w:szCs w:val="24"/>
              </w:rPr>
              <w:t>一级资源项</w:t>
            </w:r>
          </w:p>
        </w:tc>
        <w:tc>
          <w:tcPr>
            <w:tcW w:w="1580" w:type="dxa"/>
            <w:shd w:val="clear" w:color="auto" w:fill="auto"/>
          </w:tcPr>
          <w:p>
            <w:pPr>
              <w:spacing w:line="360" w:lineRule="auto"/>
              <w:jc w:val="center"/>
              <w:rPr>
                <w:rFonts w:ascii="仿宋_GB2312" w:eastAsia="仿宋_GB2312" w:hAnsiTheme="minorEastAsia"/>
                <w:b/>
                <w:sz w:val="24"/>
                <w:szCs w:val="24"/>
              </w:rPr>
            </w:pPr>
            <w:r>
              <w:rPr>
                <w:rFonts w:hint="eastAsia" w:ascii="仿宋_GB2312" w:eastAsia="仿宋_GB2312" w:hAnsiTheme="minorEastAsia"/>
                <w:b/>
                <w:sz w:val="24"/>
                <w:szCs w:val="24"/>
              </w:rPr>
              <w:t>二级资源项</w:t>
            </w:r>
          </w:p>
        </w:tc>
        <w:tc>
          <w:tcPr>
            <w:tcW w:w="2117" w:type="dxa"/>
            <w:shd w:val="clear" w:color="auto" w:fill="auto"/>
          </w:tcPr>
          <w:p>
            <w:pPr>
              <w:spacing w:line="360" w:lineRule="auto"/>
              <w:jc w:val="center"/>
              <w:rPr>
                <w:rFonts w:ascii="仿宋_GB2312" w:eastAsia="仿宋_GB2312" w:hAnsiTheme="minorEastAsia"/>
                <w:b/>
                <w:sz w:val="24"/>
                <w:szCs w:val="24"/>
              </w:rPr>
            </w:pPr>
            <w:r>
              <w:rPr>
                <w:rFonts w:hint="eastAsia" w:ascii="仿宋_GB2312" w:eastAsia="仿宋_GB2312" w:hAnsiTheme="minorEastAsia"/>
                <w:b/>
                <w:sz w:val="24"/>
                <w:szCs w:val="24"/>
              </w:rPr>
              <w:t>内容简述</w:t>
            </w:r>
          </w:p>
        </w:tc>
        <w:tc>
          <w:tcPr>
            <w:tcW w:w="1276" w:type="dxa"/>
            <w:shd w:val="clear" w:color="auto" w:fill="auto"/>
          </w:tcPr>
          <w:p>
            <w:pPr>
              <w:spacing w:line="360" w:lineRule="auto"/>
              <w:jc w:val="center"/>
              <w:rPr>
                <w:rFonts w:ascii="仿宋_GB2312" w:eastAsia="仿宋_GB2312" w:hAnsiTheme="minorEastAsia"/>
                <w:b/>
                <w:sz w:val="24"/>
                <w:szCs w:val="24"/>
              </w:rPr>
            </w:pPr>
            <w:r>
              <w:rPr>
                <w:rFonts w:hint="eastAsia" w:ascii="仿宋_GB2312" w:eastAsia="仿宋_GB2312" w:hAnsiTheme="minorEastAsia"/>
                <w:b/>
                <w:sz w:val="24"/>
                <w:szCs w:val="24"/>
              </w:rPr>
              <w:t>转化方式</w:t>
            </w:r>
          </w:p>
        </w:tc>
        <w:tc>
          <w:tcPr>
            <w:tcW w:w="1360" w:type="dxa"/>
            <w:shd w:val="clear" w:color="auto" w:fill="auto"/>
          </w:tcPr>
          <w:p>
            <w:pPr>
              <w:spacing w:line="360" w:lineRule="auto"/>
              <w:jc w:val="center"/>
              <w:rPr>
                <w:rFonts w:ascii="仿宋_GB2312" w:eastAsia="仿宋_GB2312" w:hAnsiTheme="minorEastAsia"/>
                <w:b/>
                <w:sz w:val="24"/>
                <w:szCs w:val="24"/>
              </w:rPr>
            </w:pPr>
            <w:r>
              <w:rPr>
                <w:rFonts w:hint="eastAsia" w:ascii="仿宋_GB2312" w:eastAsia="仿宋_GB2312" w:hAnsiTheme="minorEastAsia"/>
                <w:b/>
                <w:sz w:val="24"/>
                <w:szCs w:val="24"/>
              </w:rPr>
              <w:t>进度安排</w:t>
            </w:r>
          </w:p>
        </w:tc>
        <w:tc>
          <w:tcPr>
            <w:tcW w:w="1264" w:type="dxa"/>
          </w:tcPr>
          <w:p>
            <w:pPr>
              <w:spacing w:line="360" w:lineRule="auto"/>
              <w:jc w:val="center"/>
              <w:rPr>
                <w:rFonts w:ascii="仿宋_GB2312" w:eastAsia="仿宋_GB2312" w:hAnsiTheme="minorEastAsia"/>
                <w:b/>
                <w:sz w:val="24"/>
                <w:szCs w:val="24"/>
              </w:rPr>
            </w:pPr>
            <w:r>
              <w:rPr>
                <w:rFonts w:hint="eastAsia" w:ascii="仿宋_GB2312" w:eastAsia="仿宋_GB2312" w:hAnsi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restart"/>
            <w:shd w:val="clear" w:color="auto" w:fill="auto"/>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风采展示</w:t>
            </w:r>
          </w:p>
        </w:tc>
        <w:tc>
          <w:tcPr>
            <w:tcW w:w="158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赛项宣传片</w:t>
            </w:r>
          </w:p>
        </w:tc>
        <w:tc>
          <w:tcPr>
            <w:tcW w:w="2117"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介绍大赛主题、目的、意义以及实施过程，突出展现参赛选手同台竞技的风采。</w:t>
            </w:r>
          </w:p>
        </w:tc>
        <w:tc>
          <w:tcPr>
            <w:tcW w:w="1276"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15分钟视频</w:t>
            </w:r>
          </w:p>
        </w:tc>
        <w:tc>
          <w:tcPr>
            <w:tcW w:w="136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赛后15天内完成</w:t>
            </w:r>
          </w:p>
        </w:tc>
        <w:tc>
          <w:tcPr>
            <w:tcW w:w="1264"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承办校比赛当天完成素材采集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continue"/>
            <w:shd w:val="clear" w:color="auto" w:fill="auto"/>
            <w:vAlign w:val="center"/>
          </w:tcPr>
          <w:p>
            <w:pPr>
              <w:spacing w:line="360" w:lineRule="auto"/>
              <w:jc w:val="center"/>
              <w:rPr>
                <w:rFonts w:ascii="仿宋_GB2312" w:eastAsia="仿宋_GB2312" w:hAnsiTheme="minorEastAsia"/>
                <w:sz w:val="24"/>
                <w:szCs w:val="24"/>
              </w:rPr>
            </w:pPr>
          </w:p>
        </w:tc>
        <w:tc>
          <w:tcPr>
            <w:tcW w:w="158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获奖选手风采展示片</w:t>
            </w:r>
          </w:p>
        </w:tc>
        <w:tc>
          <w:tcPr>
            <w:tcW w:w="2117"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介绍选手日常学习、备赛、参赛、获奖等环节的感受。</w:t>
            </w:r>
          </w:p>
        </w:tc>
        <w:tc>
          <w:tcPr>
            <w:tcW w:w="1276"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10分钟视频</w:t>
            </w:r>
          </w:p>
        </w:tc>
        <w:tc>
          <w:tcPr>
            <w:tcW w:w="136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赛后15天内完成</w:t>
            </w:r>
          </w:p>
        </w:tc>
        <w:tc>
          <w:tcPr>
            <w:tcW w:w="1264"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承办校比赛当天完成素材采集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restart"/>
            <w:shd w:val="clear" w:color="auto" w:fill="auto"/>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技能概要</w:t>
            </w:r>
          </w:p>
        </w:tc>
        <w:tc>
          <w:tcPr>
            <w:tcW w:w="158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技能介绍</w:t>
            </w:r>
          </w:p>
        </w:tc>
        <w:tc>
          <w:tcPr>
            <w:tcW w:w="2117"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介绍大赛相关技能。</w:t>
            </w:r>
          </w:p>
        </w:tc>
        <w:tc>
          <w:tcPr>
            <w:tcW w:w="1276"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编写相关文本资料</w:t>
            </w:r>
          </w:p>
        </w:tc>
        <w:tc>
          <w:tcPr>
            <w:tcW w:w="136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赛后60天内完成</w:t>
            </w:r>
          </w:p>
        </w:tc>
        <w:tc>
          <w:tcPr>
            <w:tcW w:w="1264" w:type="dxa"/>
            <w:vAlign w:val="center"/>
          </w:tcPr>
          <w:p>
            <w:pPr>
              <w:spacing w:line="360" w:lineRule="auto"/>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continue"/>
            <w:shd w:val="clear" w:color="auto" w:fill="auto"/>
          </w:tcPr>
          <w:p>
            <w:pPr>
              <w:spacing w:line="360" w:lineRule="auto"/>
              <w:rPr>
                <w:rFonts w:ascii="仿宋_GB2312" w:eastAsia="仿宋_GB2312" w:hAnsiTheme="minorEastAsia"/>
                <w:sz w:val="24"/>
                <w:szCs w:val="24"/>
              </w:rPr>
            </w:pPr>
          </w:p>
        </w:tc>
        <w:tc>
          <w:tcPr>
            <w:tcW w:w="158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训练大纲</w:t>
            </w:r>
          </w:p>
        </w:tc>
        <w:tc>
          <w:tcPr>
            <w:tcW w:w="2117"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介绍大赛训练过程要点。</w:t>
            </w:r>
          </w:p>
        </w:tc>
        <w:tc>
          <w:tcPr>
            <w:tcW w:w="1276"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编写相关文本资料</w:t>
            </w:r>
          </w:p>
        </w:tc>
        <w:tc>
          <w:tcPr>
            <w:tcW w:w="136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赛后60天内完成</w:t>
            </w:r>
          </w:p>
        </w:tc>
        <w:tc>
          <w:tcPr>
            <w:tcW w:w="1264" w:type="dxa"/>
            <w:vAlign w:val="center"/>
          </w:tcPr>
          <w:p>
            <w:pPr>
              <w:spacing w:line="360" w:lineRule="auto"/>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continue"/>
            <w:shd w:val="clear" w:color="auto" w:fill="auto"/>
          </w:tcPr>
          <w:p>
            <w:pPr>
              <w:spacing w:line="360" w:lineRule="auto"/>
              <w:rPr>
                <w:rFonts w:ascii="仿宋_GB2312" w:eastAsia="仿宋_GB2312" w:hAnsiTheme="minorEastAsia"/>
                <w:sz w:val="24"/>
                <w:szCs w:val="24"/>
              </w:rPr>
            </w:pPr>
          </w:p>
        </w:tc>
        <w:tc>
          <w:tcPr>
            <w:tcW w:w="158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评价指标</w:t>
            </w:r>
          </w:p>
        </w:tc>
        <w:tc>
          <w:tcPr>
            <w:tcW w:w="2117"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介绍大赛评价指标。</w:t>
            </w:r>
          </w:p>
        </w:tc>
        <w:tc>
          <w:tcPr>
            <w:tcW w:w="1276"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编写相关文本资料</w:t>
            </w:r>
          </w:p>
        </w:tc>
        <w:tc>
          <w:tcPr>
            <w:tcW w:w="136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赛后60天内完成</w:t>
            </w:r>
          </w:p>
        </w:tc>
        <w:tc>
          <w:tcPr>
            <w:tcW w:w="1264" w:type="dxa"/>
            <w:vAlign w:val="center"/>
          </w:tcPr>
          <w:p>
            <w:pPr>
              <w:spacing w:line="360" w:lineRule="auto"/>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restart"/>
            <w:tcBorders>
              <w:top w:val="single" w:color="000000" w:sz="4" w:space="0"/>
            </w:tcBorders>
            <w:shd w:val="clear" w:color="auto" w:fill="auto"/>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教学资源</w:t>
            </w:r>
          </w:p>
        </w:tc>
        <w:tc>
          <w:tcPr>
            <w:tcW w:w="158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智能电子产品维修实训模块</w:t>
            </w:r>
          </w:p>
        </w:tc>
        <w:tc>
          <w:tcPr>
            <w:tcW w:w="2117"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介绍智能电子产品维修过程，形成实训模块。</w:t>
            </w:r>
          </w:p>
        </w:tc>
        <w:tc>
          <w:tcPr>
            <w:tcW w:w="1276"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编写相关电子课件、形成操作视频资源等</w:t>
            </w:r>
          </w:p>
        </w:tc>
        <w:tc>
          <w:tcPr>
            <w:tcW w:w="136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赛后60天内完成</w:t>
            </w:r>
          </w:p>
        </w:tc>
        <w:tc>
          <w:tcPr>
            <w:tcW w:w="1264" w:type="dxa"/>
            <w:vAlign w:val="center"/>
          </w:tcPr>
          <w:p>
            <w:pPr>
              <w:spacing w:line="360" w:lineRule="auto"/>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continue"/>
            <w:tcBorders>
              <w:top w:val="single" w:color="000000" w:sz="4" w:space="0"/>
              <w:bottom w:val="single" w:color="000000" w:sz="4" w:space="0"/>
            </w:tcBorders>
            <w:shd w:val="clear" w:color="auto" w:fill="auto"/>
            <w:vAlign w:val="center"/>
          </w:tcPr>
          <w:p>
            <w:pPr>
              <w:spacing w:line="360" w:lineRule="auto"/>
              <w:jc w:val="center"/>
              <w:rPr>
                <w:rFonts w:ascii="仿宋_GB2312" w:eastAsia="仿宋_GB2312" w:hAnsiTheme="minorEastAsia"/>
                <w:sz w:val="24"/>
                <w:szCs w:val="24"/>
              </w:rPr>
            </w:pPr>
          </w:p>
        </w:tc>
        <w:tc>
          <w:tcPr>
            <w:tcW w:w="158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数据恢复实训模块</w:t>
            </w:r>
          </w:p>
        </w:tc>
        <w:tc>
          <w:tcPr>
            <w:tcW w:w="2117"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介绍存储的数据恢复，形成实训模块。</w:t>
            </w:r>
          </w:p>
        </w:tc>
        <w:tc>
          <w:tcPr>
            <w:tcW w:w="1276"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编写相关电子课件、形成操作视频资源等</w:t>
            </w:r>
          </w:p>
        </w:tc>
        <w:tc>
          <w:tcPr>
            <w:tcW w:w="1360" w:type="dxa"/>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赛后60天内完成</w:t>
            </w:r>
          </w:p>
        </w:tc>
        <w:tc>
          <w:tcPr>
            <w:tcW w:w="1264" w:type="dxa"/>
            <w:vAlign w:val="center"/>
          </w:tcPr>
          <w:p>
            <w:pPr>
              <w:spacing w:line="360" w:lineRule="auto"/>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5" w:type="dxa"/>
            <w:gridSpan w:val="6"/>
            <w:tcBorders>
              <w:top w:val="single" w:color="000000" w:sz="4" w:space="0"/>
              <w:bottom w:val="single" w:color="000000" w:sz="4" w:space="0"/>
            </w:tcBorders>
            <w:shd w:val="clear" w:color="auto" w:fill="auto"/>
            <w:vAlign w:val="center"/>
          </w:tcPr>
          <w:p>
            <w:pPr>
              <w:spacing w:line="360" w:lineRule="auto"/>
              <w:jc w:val="center"/>
              <w:rPr>
                <w:rFonts w:ascii="仿宋_GB2312" w:eastAsia="仿宋_GB2312" w:hAnsiTheme="minorEastAsia"/>
                <w:b/>
                <w:sz w:val="24"/>
                <w:szCs w:val="24"/>
              </w:rPr>
            </w:pPr>
            <w:r>
              <w:rPr>
                <w:rFonts w:hint="eastAsia" w:ascii="仿宋_GB2312" w:eastAsia="仿宋_GB2312" w:hAnsiTheme="minorEastAsia"/>
                <w:b/>
                <w:sz w:val="24"/>
                <w:szCs w:val="24"/>
              </w:rPr>
              <w:t>拓展资源项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restart"/>
            <w:tcBorders>
              <w:top w:val="single" w:color="000000" w:sz="4" w:space="0"/>
              <w:left w:val="single" w:color="auto" w:sz="4" w:space="0"/>
              <w:right w:val="single" w:color="auto" w:sz="4" w:space="0"/>
            </w:tcBorders>
            <w:shd w:val="clear" w:color="auto" w:fill="auto"/>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拓展资源</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eastAsia="仿宋_GB2312" w:hAnsiTheme="minorEastAsia"/>
                <w:b/>
                <w:sz w:val="24"/>
                <w:szCs w:val="24"/>
              </w:rPr>
            </w:pPr>
            <w:r>
              <w:rPr>
                <w:rFonts w:hint="eastAsia" w:ascii="仿宋_GB2312" w:eastAsia="仿宋_GB2312" w:hAnsiTheme="minorEastAsia"/>
                <w:sz w:val="24"/>
                <w:szCs w:val="24"/>
              </w:rPr>
              <w:t>裁判长点评视频</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点评大赛过程与结果，点评大赛参赛选手。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10分钟视频</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赛后15天内完成</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承办校比赛当天完成素材采集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continue"/>
            <w:tcBorders>
              <w:left w:val="single" w:color="auto" w:sz="4" w:space="0"/>
              <w:bottom w:val="single" w:color="000000" w:sz="4" w:space="0"/>
              <w:right w:val="single" w:color="auto" w:sz="4" w:space="0"/>
            </w:tcBorders>
            <w:shd w:val="clear" w:color="auto" w:fill="auto"/>
            <w:vAlign w:val="center"/>
          </w:tcPr>
          <w:p>
            <w:pPr>
              <w:spacing w:line="360" w:lineRule="auto"/>
              <w:jc w:val="center"/>
              <w:rPr>
                <w:rFonts w:ascii="仿宋_GB2312" w:eastAsia="仿宋_GB2312" w:hAnsiTheme="minorEastAsia"/>
                <w:sz w:val="24"/>
                <w:szCs w:val="24"/>
              </w:rPr>
            </w:pP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指导教师访谈视频</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访问指导教师，介绍日常教学与备赛过程中的感受。</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10分钟视频</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赛后15天内完成</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承办校比赛当天完成素材采集</w:t>
            </w:r>
          </w:p>
        </w:tc>
      </w:tr>
      <w:bookmarkEnd w:id="16"/>
    </w:tbl>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十八、筹备工作进度时间表</w:t>
      </w:r>
    </w:p>
    <w:tbl>
      <w:tblPr>
        <w:tblStyle w:val="17"/>
        <w:tblW w:w="84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934"/>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序号</w:t>
            </w:r>
          </w:p>
        </w:tc>
        <w:tc>
          <w:tcPr>
            <w:tcW w:w="2934"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时间</w:t>
            </w:r>
          </w:p>
        </w:tc>
        <w:tc>
          <w:tcPr>
            <w:tcW w:w="4560"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2018年9月初</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组建专家组，方案细节调整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2019年1月初</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赛事文件网上预发布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2019年1月中</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确定比赛场地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4</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2019年1月底</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召开专家组会议，并提交正式公布的竞赛规程、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2019年2月初</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成立技术组，研究与竞赛有关的细节问题并分工准备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6</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2019年2月中</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大赛试题设计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7</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2019年3月初</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公布竞赛试题和评分标准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8</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2019年3月中</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裁判申报，参赛队报名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9</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2019年3月底</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参赛队报名截止</w:t>
            </w:r>
          </w:p>
          <w:p>
            <w:pPr>
              <w:jc w:val="center"/>
              <w:rPr>
                <w:rFonts w:ascii="仿宋_GB2312" w:eastAsia="仿宋_GB2312" w:hAnsiTheme="minorEastAsia"/>
                <w:sz w:val="24"/>
                <w:szCs w:val="24"/>
              </w:rPr>
            </w:pPr>
            <w:r>
              <w:rPr>
                <w:rFonts w:hint="eastAsia" w:ascii="仿宋_GB2312" w:eastAsia="仿宋_GB2312" w:hAnsiTheme="minorEastAsia"/>
                <w:sz w:val="24"/>
                <w:szCs w:val="24"/>
              </w:rPr>
              <w:t>确定裁判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10</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2019年4月初</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所有赛项文件汇总报秘书处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11</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2019年4月中</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设备、器材、用品全部到位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12</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2019年4月底</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比赛设备安装与调试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13</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2019年5月初</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启动正式比赛流程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14</w:t>
            </w:r>
          </w:p>
        </w:tc>
        <w:tc>
          <w:tcPr>
            <w:tcW w:w="2934"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2019年8月底</w:t>
            </w:r>
          </w:p>
        </w:tc>
        <w:tc>
          <w:tcPr>
            <w:tcW w:w="456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赛项成果汇总材料报相关单位</w:t>
            </w:r>
          </w:p>
        </w:tc>
      </w:tr>
    </w:tbl>
    <w:p>
      <w:pPr>
        <w:pStyle w:val="12"/>
        <w:spacing w:before="0" w:after="0" w:line="560" w:lineRule="exact"/>
        <w:ind w:firstLine="602" w:firstLineChars="200"/>
        <w:jc w:val="left"/>
        <w:rPr>
          <w:rFonts w:ascii="Arial Narrow" w:hAnsi="Arial Narrow" w:eastAsia="仿宋_GB2312" w:cs="Arial"/>
          <w:sz w:val="30"/>
          <w:szCs w:val="30"/>
        </w:rPr>
      </w:pPr>
      <w:r>
        <w:rPr>
          <w:rFonts w:hint="eastAsia" w:ascii="黑体" w:hAnsi="黑体" w:eastAsia="黑体"/>
          <w:sz w:val="30"/>
          <w:szCs w:val="30"/>
        </w:rPr>
        <w:t>十九、裁判人员建议</w:t>
      </w:r>
    </w:p>
    <w:tbl>
      <w:tblPr>
        <w:tblStyle w:val="17"/>
        <w:tblpPr w:leftFromText="180" w:rightFromText="180" w:vertAnchor="text" w:horzAnchor="margin" w:tblpXSpec="center" w:tblpY="8"/>
        <w:tblW w:w="874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38"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序号</w:t>
            </w:r>
          </w:p>
        </w:tc>
        <w:tc>
          <w:tcPr>
            <w:tcW w:w="172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专业技术方向</w:t>
            </w:r>
          </w:p>
        </w:tc>
        <w:tc>
          <w:tcPr>
            <w:tcW w:w="166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知识能力要求</w:t>
            </w:r>
          </w:p>
        </w:tc>
        <w:tc>
          <w:tcPr>
            <w:tcW w:w="148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执裁、教学、工作经历</w:t>
            </w:r>
          </w:p>
        </w:tc>
        <w:tc>
          <w:tcPr>
            <w:tcW w:w="2048"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专业技术职称</w:t>
            </w:r>
          </w:p>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（职业资格等级）</w:t>
            </w:r>
          </w:p>
        </w:tc>
        <w:tc>
          <w:tcPr>
            <w:tcW w:w="77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38" w:type="dxa"/>
            <w:tcBorders>
              <w:top w:val="single" w:color="auto" w:sz="4" w:space="0"/>
              <w:left w:val="single" w:color="auto" w:sz="8"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电子</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掌握电子产品电路</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有行业或省赛、国赛相关执裁经历</w:t>
            </w:r>
          </w:p>
        </w:tc>
        <w:tc>
          <w:tcPr>
            <w:tcW w:w="20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高级以上</w:t>
            </w:r>
          </w:p>
        </w:tc>
        <w:tc>
          <w:tcPr>
            <w:tcW w:w="779" w:type="dxa"/>
            <w:tcBorders>
              <w:top w:val="single" w:color="auto" w:sz="4" w:space="0"/>
              <w:left w:val="single" w:color="auto" w:sz="4" w:space="0"/>
              <w:bottom w:val="single" w:color="auto" w:sz="4" w:space="0"/>
              <w:right w:val="single" w:color="auto" w:sz="8"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38" w:type="dxa"/>
            <w:tcBorders>
              <w:top w:val="single" w:color="auto" w:sz="4" w:space="0"/>
              <w:left w:val="single" w:color="auto" w:sz="8"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计算机</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掌握数据恢复</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有行业或省赛、国赛相关执裁经历</w:t>
            </w:r>
          </w:p>
        </w:tc>
        <w:tc>
          <w:tcPr>
            <w:tcW w:w="20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高级以上</w:t>
            </w:r>
          </w:p>
        </w:tc>
        <w:tc>
          <w:tcPr>
            <w:tcW w:w="779" w:type="dxa"/>
            <w:tcBorders>
              <w:top w:val="single" w:color="auto" w:sz="4" w:space="0"/>
              <w:left w:val="single" w:color="auto" w:sz="4" w:space="0"/>
              <w:bottom w:val="single" w:color="auto" w:sz="4" w:space="0"/>
              <w:right w:val="single" w:color="auto" w:sz="8"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38"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仿宋_GB2312" w:hAnsi="Arial Narrow" w:eastAsia="仿宋_GB2312"/>
                <w:sz w:val="24"/>
              </w:rPr>
            </w:pPr>
            <w:r>
              <w:rPr>
                <w:rFonts w:hint="eastAsia" w:ascii="仿宋_GB2312" w:hAnsi="仿宋" w:eastAsia="仿宋_GB2312" w:cs="Arial"/>
                <w:b/>
                <w:color w:val="000000"/>
                <w:sz w:val="24"/>
                <w:szCs w:val="24"/>
              </w:rPr>
              <w:t>裁判总人数</w:t>
            </w:r>
          </w:p>
        </w:tc>
        <w:tc>
          <w:tcPr>
            <w:tcW w:w="7702" w:type="dxa"/>
            <w:gridSpan w:val="5"/>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仿宋_GB2312" w:hAnsi="Arial Narrow" w:eastAsia="仿宋_GB2312"/>
                <w:sz w:val="24"/>
              </w:rPr>
            </w:pPr>
            <w:r>
              <w:rPr>
                <w:rFonts w:hint="eastAsia" w:ascii="仿宋_GB2312" w:hAnsi="Arial Narrow" w:eastAsia="仿宋_GB2312"/>
                <w:sz w:val="24"/>
              </w:rPr>
              <w:t>35</w:t>
            </w:r>
          </w:p>
        </w:tc>
      </w:tr>
    </w:tbl>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二十、赛题公开承诺</w:t>
      </w:r>
    </w:p>
    <w:p>
      <w:pPr>
        <w:snapToGrid w:val="0"/>
        <w:spacing w:line="560" w:lineRule="exact"/>
        <w:ind w:firstLine="600" w:firstLineChars="200"/>
        <w:rPr>
          <w:rFonts w:ascii="黑体" w:hAnsi="黑体" w:eastAsia="黑体" w:cs="黑体"/>
          <w:bCs/>
          <w:sz w:val="30"/>
          <w:szCs w:val="30"/>
        </w:rPr>
      </w:pPr>
      <w:r>
        <w:rPr>
          <w:rFonts w:hint="eastAsia" w:ascii="仿宋_GB2312" w:eastAsia="仿宋_GB2312"/>
          <w:sz w:val="30"/>
          <w:szCs w:val="30"/>
        </w:rPr>
        <w:t>本赛项承诺保证于开赛1个月前在大赛网络信息发布平台上（www.chinaskills-jsw.org)公开全部赛题。</w:t>
      </w:r>
    </w:p>
    <w:p>
      <w:pPr>
        <w:pStyle w:val="12"/>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二十一、其他</w:t>
      </w:r>
    </w:p>
    <w:p>
      <w:pPr>
        <w:snapToGrid w:val="0"/>
        <w:spacing w:line="560" w:lineRule="exact"/>
        <w:ind w:firstLine="600" w:firstLineChars="200"/>
        <w:jc w:val="left"/>
        <w:rPr>
          <w:rFonts w:ascii="仿宋" w:hAnsi="仿宋" w:eastAsia="仿宋" w:cs="Arial"/>
          <w:sz w:val="30"/>
          <w:szCs w:val="30"/>
        </w:rPr>
      </w:pPr>
      <w:r>
        <w:rPr>
          <w:rFonts w:hint="eastAsia" w:ascii="仿宋" w:hAnsi="仿宋" w:eastAsia="仿宋" w:cs="Arial"/>
          <w:sz w:val="30"/>
          <w:szCs w:val="30"/>
        </w:rPr>
        <w:t>该赛项为2011、2012、2014、2016、2017和2018年国赛项目,历届比赛在圆满举办的同时也得到了相关领导及参赛队的好评。</w:t>
      </w:r>
    </w:p>
    <w:p>
      <w:pPr>
        <w:numPr>
          <w:ilvl w:val="0"/>
          <w:numId w:val="2"/>
        </w:numPr>
        <w:snapToGrid w:val="0"/>
        <w:spacing w:line="560" w:lineRule="exact"/>
        <w:rPr>
          <w:rFonts w:ascii="仿宋" w:hAnsi="仿宋" w:eastAsia="仿宋" w:cs="Arial"/>
          <w:sz w:val="30"/>
          <w:szCs w:val="30"/>
        </w:rPr>
      </w:pPr>
      <w:r>
        <w:rPr>
          <w:rFonts w:hint="eastAsia" w:ascii="仿宋" w:hAnsi="仿宋" w:eastAsia="仿宋" w:cs="Arial"/>
          <w:sz w:val="30"/>
          <w:szCs w:val="30"/>
        </w:rPr>
        <w:t>2011年全国职业院校技能大赛（高职组）芯片级检测维修与信息服务赛项</w:t>
      </w:r>
    </w:p>
    <w:p>
      <w:pPr>
        <w:numPr>
          <w:ilvl w:val="0"/>
          <w:numId w:val="2"/>
        </w:numPr>
        <w:snapToGrid w:val="0"/>
        <w:spacing w:line="560" w:lineRule="exact"/>
        <w:rPr>
          <w:rFonts w:ascii="仿宋" w:hAnsi="仿宋" w:eastAsia="仿宋" w:cs="Arial"/>
          <w:sz w:val="30"/>
          <w:szCs w:val="30"/>
        </w:rPr>
      </w:pPr>
      <w:r>
        <w:rPr>
          <w:rFonts w:hint="eastAsia" w:ascii="仿宋" w:hAnsi="仿宋" w:eastAsia="仿宋" w:cs="Arial"/>
          <w:sz w:val="30"/>
          <w:szCs w:val="30"/>
        </w:rPr>
        <w:t>2012年全国职业院校技能大赛（高职组）电子产品检测与维修（芯片级）赛项</w:t>
      </w:r>
    </w:p>
    <w:p>
      <w:pPr>
        <w:numPr>
          <w:ilvl w:val="0"/>
          <w:numId w:val="2"/>
        </w:numPr>
        <w:snapToGrid w:val="0"/>
        <w:spacing w:line="560" w:lineRule="exact"/>
        <w:rPr>
          <w:rFonts w:ascii="仿宋" w:hAnsi="仿宋" w:eastAsia="仿宋" w:cs="Arial"/>
          <w:sz w:val="30"/>
          <w:szCs w:val="30"/>
        </w:rPr>
      </w:pPr>
      <w:r>
        <w:rPr>
          <w:rFonts w:hint="eastAsia" w:ascii="仿宋" w:hAnsi="仿宋" w:eastAsia="仿宋" w:cs="Arial"/>
          <w:sz w:val="30"/>
          <w:szCs w:val="30"/>
        </w:rPr>
        <w:t>2014年全国职业院校技能大赛（高职组）电子产品芯片级检测维修与数据恢复赛项</w:t>
      </w:r>
    </w:p>
    <w:p>
      <w:pPr>
        <w:numPr>
          <w:ilvl w:val="0"/>
          <w:numId w:val="2"/>
        </w:numPr>
        <w:snapToGrid w:val="0"/>
        <w:spacing w:line="560" w:lineRule="exact"/>
        <w:rPr>
          <w:rFonts w:ascii="仿宋" w:hAnsi="仿宋" w:eastAsia="仿宋"/>
        </w:rPr>
      </w:pPr>
      <w:r>
        <w:rPr>
          <w:rFonts w:hint="eastAsia" w:ascii="仿宋" w:hAnsi="仿宋" w:eastAsia="仿宋" w:cs="Arial"/>
          <w:sz w:val="28"/>
          <w:szCs w:val="28"/>
        </w:rPr>
        <w:t>2016年全国职业院校技能大赛（高职组）电子产品芯片级检测维修与数据恢复赛项</w:t>
      </w:r>
    </w:p>
    <w:p>
      <w:pPr>
        <w:numPr>
          <w:ilvl w:val="0"/>
          <w:numId w:val="2"/>
        </w:numPr>
        <w:snapToGrid w:val="0"/>
        <w:spacing w:line="560" w:lineRule="exact"/>
        <w:rPr>
          <w:rFonts w:ascii="仿宋" w:hAnsi="仿宋" w:eastAsia="仿宋"/>
        </w:rPr>
      </w:pPr>
      <w:r>
        <w:rPr>
          <w:rFonts w:hint="eastAsia" w:ascii="仿宋" w:hAnsi="仿宋" w:eastAsia="仿宋" w:cs="Arial"/>
          <w:sz w:val="28"/>
          <w:szCs w:val="28"/>
        </w:rPr>
        <w:t>2017年全国职业院校技能大赛（高职组）电子产品芯片级检测维修与数据恢复赛项</w:t>
      </w:r>
    </w:p>
    <w:p>
      <w:pPr>
        <w:numPr>
          <w:ilvl w:val="0"/>
          <w:numId w:val="2"/>
        </w:numPr>
        <w:snapToGrid w:val="0"/>
        <w:spacing w:line="560" w:lineRule="exact"/>
        <w:rPr>
          <w:rFonts w:ascii="仿宋" w:hAnsi="仿宋" w:eastAsia="仿宋" w:cs="Arial"/>
          <w:sz w:val="28"/>
          <w:szCs w:val="28"/>
        </w:rPr>
      </w:pPr>
      <w:r>
        <w:rPr>
          <w:rFonts w:hint="eastAsia" w:ascii="仿宋" w:hAnsi="仿宋" w:eastAsia="仿宋" w:cs="Arial"/>
          <w:sz w:val="28"/>
          <w:szCs w:val="28"/>
        </w:rPr>
        <w:t>2018年全国职业院校技能大赛（高职组）电子产品芯片级检测维修与数据恢复赛项</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608A"/>
    <w:multiLevelType w:val="multilevel"/>
    <w:tmpl w:val="50BE608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2F51EA9"/>
    <w:multiLevelType w:val="multilevel"/>
    <w:tmpl w:val="62F51EA9"/>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13165"/>
    <w:rsid w:val="000346A7"/>
    <w:rsid w:val="00051A5D"/>
    <w:rsid w:val="000C5FE3"/>
    <w:rsid w:val="0010229B"/>
    <w:rsid w:val="001C61AF"/>
    <w:rsid w:val="00213445"/>
    <w:rsid w:val="00234273"/>
    <w:rsid w:val="002771A4"/>
    <w:rsid w:val="00280619"/>
    <w:rsid w:val="002D1DA3"/>
    <w:rsid w:val="002F2F96"/>
    <w:rsid w:val="00334307"/>
    <w:rsid w:val="003959B0"/>
    <w:rsid w:val="003A73D9"/>
    <w:rsid w:val="003D50C3"/>
    <w:rsid w:val="003D59F5"/>
    <w:rsid w:val="003F2232"/>
    <w:rsid w:val="0044622F"/>
    <w:rsid w:val="00452DF2"/>
    <w:rsid w:val="00455B69"/>
    <w:rsid w:val="004623CC"/>
    <w:rsid w:val="004B08DD"/>
    <w:rsid w:val="004E0F22"/>
    <w:rsid w:val="004E49D8"/>
    <w:rsid w:val="004F50D0"/>
    <w:rsid w:val="00542C30"/>
    <w:rsid w:val="00586D26"/>
    <w:rsid w:val="00632022"/>
    <w:rsid w:val="007A207D"/>
    <w:rsid w:val="007C754F"/>
    <w:rsid w:val="007F1E50"/>
    <w:rsid w:val="00841B12"/>
    <w:rsid w:val="0084308D"/>
    <w:rsid w:val="00845579"/>
    <w:rsid w:val="00851FE2"/>
    <w:rsid w:val="008757DB"/>
    <w:rsid w:val="008A7A2B"/>
    <w:rsid w:val="00912475"/>
    <w:rsid w:val="00925A41"/>
    <w:rsid w:val="009473B8"/>
    <w:rsid w:val="00953EDB"/>
    <w:rsid w:val="00972B7C"/>
    <w:rsid w:val="00980496"/>
    <w:rsid w:val="0098730B"/>
    <w:rsid w:val="009D630E"/>
    <w:rsid w:val="009E32D0"/>
    <w:rsid w:val="00A33BBD"/>
    <w:rsid w:val="00A538CC"/>
    <w:rsid w:val="00A5424C"/>
    <w:rsid w:val="00A74A69"/>
    <w:rsid w:val="00AE261F"/>
    <w:rsid w:val="00AF30F8"/>
    <w:rsid w:val="00B04E71"/>
    <w:rsid w:val="00B31B8A"/>
    <w:rsid w:val="00B408A3"/>
    <w:rsid w:val="00B650C3"/>
    <w:rsid w:val="00BC41BB"/>
    <w:rsid w:val="00C011D0"/>
    <w:rsid w:val="00C07B00"/>
    <w:rsid w:val="00C23559"/>
    <w:rsid w:val="00C71DD9"/>
    <w:rsid w:val="00CC0A26"/>
    <w:rsid w:val="00CD6D32"/>
    <w:rsid w:val="00D06B5A"/>
    <w:rsid w:val="00D27440"/>
    <w:rsid w:val="00D4480A"/>
    <w:rsid w:val="00D456AA"/>
    <w:rsid w:val="00DF5440"/>
    <w:rsid w:val="00E0493B"/>
    <w:rsid w:val="00E131CF"/>
    <w:rsid w:val="00E2299F"/>
    <w:rsid w:val="00E310B2"/>
    <w:rsid w:val="00E7169E"/>
    <w:rsid w:val="00E72925"/>
    <w:rsid w:val="00E95DA4"/>
    <w:rsid w:val="00EA35F1"/>
    <w:rsid w:val="00EA3689"/>
    <w:rsid w:val="00F27E36"/>
    <w:rsid w:val="00F7231E"/>
    <w:rsid w:val="00F82B5B"/>
    <w:rsid w:val="00FB13F2"/>
    <w:rsid w:val="00FC0023"/>
    <w:rsid w:val="00FD6B92"/>
    <w:rsid w:val="06891BA7"/>
    <w:rsid w:val="0FFF78A4"/>
    <w:rsid w:val="10907F32"/>
    <w:rsid w:val="15405F2B"/>
    <w:rsid w:val="28627691"/>
    <w:rsid w:val="308223A4"/>
    <w:rsid w:val="48DE2247"/>
    <w:rsid w:val="4E011963"/>
    <w:rsid w:val="51DB12F6"/>
    <w:rsid w:val="53945093"/>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5"/>
    <w:qFormat/>
    <w:uiPriority w:val="9"/>
    <w:pPr>
      <w:keepNext/>
      <w:keepLines/>
      <w:spacing w:before="260" w:after="260" w:line="416" w:lineRule="auto"/>
      <w:outlineLvl w:val="2"/>
    </w:pPr>
    <w:rPr>
      <w:b/>
      <w:bCs/>
      <w:kern w:val="0"/>
      <w:sz w:val="32"/>
      <w:szCs w:val="32"/>
    </w:rPr>
  </w:style>
  <w:style w:type="character" w:default="1" w:styleId="13">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19"/>
    <w:qFormat/>
    <w:uiPriority w:val="0"/>
    <w:rPr>
      <w:b/>
      <w:bCs/>
    </w:rPr>
  </w:style>
  <w:style w:type="paragraph" w:styleId="5">
    <w:name w:val="annotation text"/>
    <w:basedOn w:val="1"/>
    <w:link w:val="18"/>
    <w:qFormat/>
    <w:uiPriority w:val="99"/>
    <w:pPr>
      <w:jc w:val="left"/>
    </w:pPr>
  </w:style>
  <w:style w:type="paragraph" w:styleId="6">
    <w:name w:val="toc 3"/>
    <w:basedOn w:val="1"/>
    <w:next w:val="1"/>
    <w:qFormat/>
    <w:uiPriority w:val="39"/>
    <w:pPr>
      <w:ind w:left="840" w:leftChars="400"/>
    </w:p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footnote text"/>
    <w:basedOn w:val="1"/>
    <w:link w:val="21"/>
    <w:qFormat/>
    <w:uiPriority w:val="0"/>
    <w:pPr>
      <w:snapToGrid w:val="0"/>
      <w:jc w:val="left"/>
    </w:pPr>
    <w:rPr>
      <w:kern w:val="0"/>
      <w:sz w:val="18"/>
      <w:szCs w:val="18"/>
    </w:rPr>
  </w:style>
  <w:style w:type="paragraph" w:styleId="12">
    <w:name w:val="Title"/>
    <w:basedOn w:val="1"/>
    <w:next w:val="1"/>
    <w:link w:val="23"/>
    <w:qFormat/>
    <w:uiPriority w:val="0"/>
    <w:pPr>
      <w:spacing w:before="240" w:after="60"/>
      <w:jc w:val="center"/>
      <w:outlineLvl w:val="0"/>
    </w:pPr>
    <w:rPr>
      <w:rFonts w:asciiTheme="majorHAnsi" w:hAnsiTheme="majorHAnsi" w:eastAsiaTheme="majorEastAsia" w:cstheme="majorBidi"/>
      <w:b/>
      <w:bCs/>
      <w:sz w:val="32"/>
      <w:szCs w:val="32"/>
    </w:rPr>
  </w:style>
  <w:style w:type="character" w:styleId="14">
    <w:name w:val="Hyperlink"/>
    <w:basedOn w:val="13"/>
    <w:qFormat/>
    <w:uiPriority w:val="0"/>
    <w:rPr>
      <w:color w:val="0563C1" w:themeColor="hyperlink"/>
      <w:u w:val="single"/>
      <w14:textFill>
        <w14:solidFill>
          <w14:schemeClr w14:val="hlink"/>
        </w14:solidFill>
      </w14:textFill>
    </w:rPr>
  </w:style>
  <w:style w:type="character" w:styleId="15">
    <w:name w:val="annotation reference"/>
    <w:basedOn w:val="13"/>
    <w:qFormat/>
    <w:uiPriority w:val="0"/>
    <w:rPr>
      <w:sz w:val="21"/>
      <w:szCs w:val="21"/>
    </w:rPr>
  </w:style>
  <w:style w:type="character" w:styleId="16">
    <w:name w:val="footnote reference"/>
    <w:qFormat/>
    <w:uiPriority w:val="0"/>
    <w:rPr>
      <w:rFonts w:cs="Times New Roman"/>
      <w:vertAlign w:val="superscript"/>
    </w:rPr>
  </w:style>
  <w:style w:type="character" w:customStyle="1" w:styleId="18">
    <w:name w:val="批注文字 Char"/>
    <w:basedOn w:val="13"/>
    <w:link w:val="5"/>
    <w:qFormat/>
    <w:uiPriority w:val="99"/>
    <w:rPr>
      <w:kern w:val="2"/>
      <w:sz w:val="21"/>
      <w:szCs w:val="22"/>
    </w:rPr>
  </w:style>
  <w:style w:type="character" w:customStyle="1" w:styleId="19">
    <w:name w:val="批注主题 Char"/>
    <w:basedOn w:val="18"/>
    <w:link w:val="4"/>
    <w:qFormat/>
    <w:uiPriority w:val="0"/>
    <w:rPr>
      <w:b/>
      <w:bCs/>
      <w:kern w:val="2"/>
      <w:sz w:val="21"/>
      <w:szCs w:val="22"/>
    </w:rPr>
  </w:style>
  <w:style w:type="character" w:customStyle="1" w:styleId="20">
    <w:name w:val="批注框文本 Char"/>
    <w:basedOn w:val="13"/>
    <w:link w:val="7"/>
    <w:qFormat/>
    <w:uiPriority w:val="0"/>
    <w:rPr>
      <w:kern w:val="2"/>
      <w:sz w:val="18"/>
      <w:szCs w:val="18"/>
    </w:rPr>
  </w:style>
  <w:style w:type="character" w:customStyle="1" w:styleId="21">
    <w:name w:val="脚注文本 Char"/>
    <w:basedOn w:val="13"/>
    <w:link w:val="11"/>
    <w:qFormat/>
    <w:uiPriority w:val="0"/>
    <w:rPr>
      <w:sz w:val="18"/>
      <w:szCs w:val="18"/>
    </w:rPr>
  </w:style>
  <w:style w:type="character" w:customStyle="1" w:styleId="22">
    <w:name w:val="Unresolved Mention"/>
    <w:basedOn w:val="13"/>
    <w:semiHidden/>
    <w:unhideWhenUsed/>
    <w:qFormat/>
    <w:uiPriority w:val="99"/>
    <w:rPr>
      <w:color w:val="605E5C"/>
      <w:shd w:val="clear" w:color="auto" w:fill="E1DFDD"/>
    </w:rPr>
  </w:style>
  <w:style w:type="character" w:customStyle="1" w:styleId="23">
    <w:name w:val="标题 Char"/>
    <w:basedOn w:val="13"/>
    <w:link w:val="12"/>
    <w:qFormat/>
    <w:uiPriority w:val="0"/>
    <w:rPr>
      <w:rFonts w:asciiTheme="majorHAnsi" w:hAnsiTheme="majorHAnsi" w:eastAsiaTheme="majorEastAsia" w:cstheme="majorBidi"/>
      <w:b/>
      <w:bCs/>
      <w:kern w:val="2"/>
      <w:sz w:val="32"/>
      <w:szCs w:val="32"/>
    </w:rPr>
  </w:style>
  <w:style w:type="character" w:customStyle="1" w:styleId="24">
    <w:name w:val="标题 1 Char"/>
    <w:basedOn w:val="13"/>
    <w:link w:val="2"/>
    <w:qFormat/>
    <w:uiPriority w:val="9"/>
    <w:rPr>
      <w:rFonts w:ascii="Calibri" w:hAnsi="Calibri" w:eastAsia="宋体" w:cs="Times New Roman"/>
      <w:b/>
      <w:bCs/>
      <w:kern w:val="44"/>
      <w:sz w:val="44"/>
      <w:szCs w:val="44"/>
    </w:rPr>
  </w:style>
  <w:style w:type="character" w:customStyle="1" w:styleId="25">
    <w:name w:val="标题 3 Char"/>
    <w:basedOn w:val="13"/>
    <w:link w:val="3"/>
    <w:qFormat/>
    <w:uiPriority w:val="9"/>
    <w:rPr>
      <w:rFonts w:ascii="Calibri" w:hAnsi="Calibri" w:eastAsia="宋体" w:cs="Times New Roman"/>
      <w:b/>
      <w:bCs/>
      <w:sz w:val="32"/>
      <w:szCs w:val="32"/>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chart" Target="charts/chart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2012</a:t>
            </a:r>
            <a:r>
              <a:rPr lang="zh-CN" altLang="en-US"/>
              <a:t>年</a:t>
            </a:r>
            <a:r>
              <a:rPr lang="en-US" altLang="zh-CN"/>
              <a:t>—2016</a:t>
            </a:r>
            <a:r>
              <a:rPr lang="zh-CN" altLang="en-US"/>
              <a:t>年我国电子信息产业增长情况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Sheet1!$A$2</c:f>
              <c:strCache>
                <c:ptCount val="1"/>
                <c:pt idx="0">
                  <c:v>销售额</c:v>
                </c:pt>
              </c:strCache>
            </c:strRef>
          </c:tx>
          <c:spPr>
            <a:solidFill>
              <a:schemeClr val="accent1"/>
            </a:solidFill>
            <a:ln>
              <a:noFill/>
            </a:ln>
            <a:effectLst/>
          </c:spPr>
          <c:invertIfNegative val="0"/>
          <c:dLbls>
            <c:delete val="1"/>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11</c:v>
                </c:pt>
                <c:pt idx="1">
                  <c:v>12.4</c:v>
                </c:pt>
                <c:pt idx="2">
                  <c:v>14</c:v>
                </c:pt>
                <c:pt idx="3">
                  <c:v>15.4</c:v>
                </c:pt>
                <c:pt idx="4">
                  <c:v>17</c:v>
                </c:pt>
              </c:numCache>
            </c:numRef>
          </c:val>
        </c:ser>
        <c:dLbls>
          <c:showLegendKey val="0"/>
          <c:showVal val="0"/>
          <c:showCatName val="0"/>
          <c:showSerName val="0"/>
          <c:showPercent val="0"/>
          <c:showBubbleSize val="0"/>
        </c:dLbls>
        <c:gapWidth val="150"/>
        <c:axId val="347054296"/>
        <c:axId val="347053904"/>
      </c:barChart>
      <c:lineChart>
        <c:grouping val="standard"/>
        <c:varyColors val="0"/>
        <c:ser>
          <c:idx val="1"/>
          <c:order val="1"/>
          <c:tx>
            <c:strRef>
              <c:f>Sheet1!$A$3</c:f>
              <c:strCache>
                <c:ptCount val="1"/>
                <c:pt idx="0">
                  <c:v>增速</c:v>
                </c:pt>
              </c:strCache>
            </c:strRef>
          </c:tx>
          <c:spPr>
            <a:ln w="28575" cap="rnd">
              <a:solidFill>
                <a:schemeClr val="accent2"/>
              </a:solidFill>
              <a:round/>
            </a:ln>
            <a:effectLst/>
          </c:spPr>
          <c:marker>
            <c:symbol val="none"/>
          </c:marker>
          <c:dLbls>
            <c:delete val="1"/>
          </c:dLbls>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16.7</c:v>
                </c:pt>
                <c:pt idx="1">
                  <c:v>13.1</c:v>
                </c:pt>
                <c:pt idx="2">
                  <c:v>13</c:v>
                </c:pt>
                <c:pt idx="3">
                  <c:v>10.4</c:v>
                </c:pt>
                <c:pt idx="4">
                  <c:v>10.3</c:v>
                </c:pt>
              </c:numCache>
            </c:numRef>
          </c:val>
          <c:smooth val="0"/>
        </c:ser>
        <c:dLbls>
          <c:showLegendKey val="0"/>
          <c:showVal val="0"/>
          <c:showCatName val="0"/>
          <c:showSerName val="0"/>
          <c:showPercent val="0"/>
          <c:showBubbleSize val="0"/>
        </c:dLbls>
        <c:marker val="0"/>
        <c:smooth val="0"/>
        <c:axId val="340210936"/>
        <c:axId val="340210544"/>
      </c:lineChart>
      <c:catAx>
        <c:axId val="347054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7053904"/>
        <c:crosses val="autoZero"/>
        <c:auto val="1"/>
        <c:lblAlgn val="ctr"/>
        <c:lblOffset val="100"/>
        <c:noMultiLvlLbl val="0"/>
      </c:catAx>
      <c:valAx>
        <c:axId val="347053904"/>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销售额（万亿）</a:t>
                </a:r>
                <a:endParaRPr lang="zh-CN" altLang="en-US"/>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7054296"/>
        <c:crosses val="autoZero"/>
        <c:crossBetween val="between"/>
      </c:valAx>
      <c:catAx>
        <c:axId val="340210936"/>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210544"/>
        <c:crosses val="max"/>
        <c:auto val="1"/>
        <c:lblAlgn val="ctr"/>
        <c:lblOffset val="100"/>
        <c:noMultiLvlLbl val="0"/>
      </c:catAx>
      <c:valAx>
        <c:axId val="340210544"/>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同比增速</a:t>
                </a:r>
                <a:endParaRPr lang="zh-CN" altLang="en-US"/>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210936"/>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2885</Words>
  <Characters>16450</Characters>
  <Lines>137</Lines>
  <Paragraphs>38</Paragraphs>
  <TotalTime>0</TotalTime>
  <ScaleCrop>false</ScaleCrop>
  <LinksUpToDate>false</LinksUpToDate>
  <CharactersWithSpaces>19297</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徐园园</cp:lastModifiedBy>
  <dcterms:modified xsi:type="dcterms:W3CDTF">2018-12-12T03:14:35Z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y fmtid="{D5CDD505-2E9C-101B-9397-08002B2CF9AE}" pid="3" name="KSORubyTemplateID" linkTarget="0">
    <vt:lpwstr>6</vt:lpwstr>
  </property>
</Properties>
</file>