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2019年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化工生产技术</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drawing>
          <wp:anchor distT="0" distB="0" distL="114300" distR="114300" simplePos="0" relativeHeight="251657216" behindDoc="0" locked="0" layoutInCell="1" allowOverlap="1">
            <wp:simplePos x="0" y="0"/>
            <wp:positionH relativeFrom="column">
              <wp:posOffset>102870</wp:posOffset>
            </wp:positionH>
            <wp:positionV relativeFrom="paragraph">
              <wp:posOffset>418465</wp:posOffset>
            </wp:positionV>
            <wp:extent cx="5161915" cy="34505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61915" cy="3450590"/>
                    </a:xfrm>
                    <a:prstGeom prst="rect">
                      <a:avLst/>
                    </a:prstGeom>
                    <a:noFill/>
                  </pic:spPr>
                </pic:pic>
              </a:graphicData>
            </a:graphic>
          </wp:anchor>
        </w:drawing>
      </w:r>
      <w:r>
        <w:rPr>
          <w:rFonts w:ascii="Arial Narrow" w:hAnsi="Arial Narrow" w:eastAsia="仿宋_GB2312" w:cs="Arial"/>
          <w:sz w:val="30"/>
          <w:szCs w:val="30"/>
        </w:rPr>
        <w:t>（二）压题彩照</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制造业</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（四）赛项归属专业大类</w:t>
      </w:r>
      <w:r>
        <w:rPr>
          <w:rFonts w:hint="eastAsia" w:ascii="Arial Narrow" w:hAnsi="Arial Narrow" w:eastAsia="仿宋_GB2312" w:cs="Arial"/>
          <w:sz w:val="30"/>
          <w:szCs w:val="30"/>
        </w:rPr>
        <w:t>/类（见表1）</w:t>
      </w:r>
    </w:p>
    <w:p>
      <w:pPr>
        <w:snapToGrid w:val="0"/>
        <w:spacing w:line="560" w:lineRule="exact"/>
        <w:ind w:firstLine="482" w:firstLineChars="200"/>
        <w:jc w:val="center"/>
        <w:rPr>
          <w:rFonts w:ascii="宋体" w:hAnsi="宋体" w:cs="Arial"/>
          <w:b/>
          <w:sz w:val="24"/>
          <w:szCs w:val="24"/>
        </w:rPr>
      </w:pPr>
      <w:r>
        <w:rPr>
          <w:rFonts w:hint="eastAsia" w:ascii="宋体" w:hAnsi="宋体" w:cs="Arial"/>
          <w:b/>
          <w:sz w:val="24"/>
          <w:szCs w:val="24"/>
        </w:rPr>
        <w:t>表1</w:t>
      </w:r>
      <w:r>
        <w:rPr>
          <w:rFonts w:ascii="宋体" w:hAnsi="宋体" w:cs="Arial"/>
          <w:b/>
          <w:sz w:val="24"/>
          <w:szCs w:val="24"/>
        </w:rPr>
        <w:t xml:space="preserve">  </w:t>
      </w:r>
      <w:r>
        <w:rPr>
          <w:rFonts w:hint="eastAsia" w:ascii="宋体" w:hAnsi="宋体" w:cs="Arial"/>
          <w:b/>
          <w:sz w:val="24"/>
          <w:szCs w:val="24"/>
        </w:rPr>
        <w:t>本赛项归属专业（类）</w:t>
      </w:r>
    </w:p>
    <w:tbl>
      <w:tblPr>
        <w:tblStyle w:val="18"/>
        <w:tblW w:w="84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vAlign w:val="center"/>
          </w:tcPr>
          <w:p>
            <w:pPr>
              <w:jc w:val="center"/>
              <w:rPr>
                <w:rFonts w:ascii="宋体" w:hAnsi="宋体" w:cs="仿宋_GB2312"/>
                <w:b/>
                <w:sz w:val="24"/>
                <w:szCs w:val="24"/>
              </w:rPr>
            </w:pPr>
            <w:r>
              <w:rPr>
                <w:rFonts w:hint="eastAsia" w:ascii="宋体" w:hAnsi="宋体" w:cs="仿宋_GB2312"/>
                <w:b/>
                <w:sz w:val="24"/>
                <w:szCs w:val="24"/>
              </w:rPr>
              <w:t>组别</w:t>
            </w:r>
          </w:p>
        </w:tc>
        <w:tc>
          <w:tcPr>
            <w:tcW w:w="1871" w:type="dxa"/>
            <w:vAlign w:val="center"/>
          </w:tcPr>
          <w:p>
            <w:pPr>
              <w:jc w:val="center"/>
              <w:rPr>
                <w:rFonts w:ascii="宋体" w:hAnsi="宋体" w:cs="仿宋_GB2312"/>
                <w:b/>
                <w:sz w:val="24"/>
                <w:szCs w:val="24"/>
              </w:rPr>
            </w:pPr>
            <w:r>
              <w:rPr>
                <w:rFonts w:hint="eastAsia" w:ascii="宋体" w:hAnsi="宋体" w:cs="仿宋_GB2312"/>
                <w:b/>
                <w:sz w:val="24"/>
                <w:szCs w:val="24"/>
              </w:rPr>
              <w:t>专业大类</w:t>
            </w:r>
          </w:p>
        </w:tc>
        <w:tc>
          <w:tcPr>
            <w:tcW w:w="1465" w:type="dxa"/>
            <w:vAlign w:val="center"/>
          </w:tcPr>
          <w:p>
            <w:pPr>
              <w:jc w:val="center"/>
              <w:rPr>
                <w:rFonts w:ascii="宋体" w:hAnsi="宋体" w:cs="仿宋_GB2312"/>
                <w:b/>
                <w:sz w:val="24"/>
                <w:szCs w:val="24"/>
              </w:rPr>
            </w:pPr>
            <w:r>
              <w:rPr>
                <w:rFonts w:hint="eastAsia" w:ascii="宋体" w:hAnsi="宋体" w:cs="仿宋_GB2312"/>
                <w:b/>
                <w:sz w:val="24"/>
                <w:szCs w:val="24"/>
              </w:rPr>
              <w:t>专业类</w:t>
            </w:r>
          </w:p>
        </w:tc>
        <w:tc>
          <w:tcPr>
            <w:tcW w:w="1464" w:type="dxa"/>
            <w:vAlign w:val="center"/>
          </w:tcPr>
          <w:p>
            <w:pPr>
              <w:jc w:val="center"/>
              <w:rPr>
                <w:rFonts w:ascii="宋体" w:hAnsi="宋体" w:cs="仿宋_GB2312"/>
                <w:b/>
                <w:sz w:val="24"/>
                <w:szCs w:val="24"/>
              </w:rPr>
            </w:pPr>
            <w:r>
              <w:rPr>
                <w:rFonts w:hint="eastAsia" w:ascii="宋体" w:hAnsi="宋体" w:cs="仿宋_GB2312"/>
                <w:b/>
                <w:sz w:val="24"/>
                <w:szCs w:val="24"/>
              </w:rPr>
              <w:t>专业代码</w:t>
            </w:r>
          </w:p>
        </w:tc>
        <w:tc>
          <w:tcPr>
            <w:tcW w:w="2701" w:type="dxa"/>
            <w:vAlign w:val="center"/>
          </w:tcPr>
          <w:p>
            <w:pPr>
              <w:jc w:val="center"/>
              <w:rPr>
                <w:rFonts w:ascii="宋体" w:hAnsi="宋体" w:cs="仿宋_GB2312"/>
                <w:b/>
                <w:sz w:val="24"/>
                <w:szCs w:val="24"/>
              </w:rPr>
            </w:pPr>
            <w:r>
              <w:rPr>
                <w:rFonts w:hint="eastAsia" w:ascii="宋体" w:hAnsi="宋体" w:cs="仿宋_GB2312"/>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Align w:val="center"/>
          </w:tcPr>
          <w:p>
            <w:pPr>
              <w:jc w:val="center"/>
              <w:rPr>
                <w:rFonts w:ascii="宋体" w:hAnsi="宋体" w:cs="仿宋_GB2312"/>
                <w:sz w:val="24"/>
                <w:szCs w:val="24"/>
              </w:rPr>
            </w:pPr>
            <w:r>
              <w:rPr>
                <w:rFonts w:hint="eastAsia" w:ascii="宋体" w:hAnsi="宋体" w:cs="仿宋_GB2312"/>
                <w:sz w:val="24"/>
                <w:szCs w:val="24"/>
              </w:rPr>
              <w:t>高职</w:t>
            </w:r>
          </w:p>
        </w:tc>
        <w:tc>
          <w:tcPr>
            <w:tcW w:w="1871" w:type="dxa"/>
            <w:vAlign w:val="center"/>
          </w:tcPr>
          <w:p>
            <w:pPr>
              <w:jc w:val="center"/>
              <w:rPr>
                <w:rFonts w:ascii="宋体" w:hAnsi="宋体" w:cs="仿宋_GB2312"/>
                <w:sz w:val="24"/>
                <w:szCs w:val="24"/>
              </w:rPr>
            </w:pPr>
            <w:r>
              <w:rPr>
                <w:rFonts w:hint="eastAsia" w:ascii="宋体" w:hAnsi="宋体" w:cs="仿宋_GB2312"/>
                <w:sz w:val="24"/>
                <w:szCs w:val="24"/>
              </w:rPr>
              <w:t>化工与生物</w:t>
            </w:r>
          </w:p>
        </w:tc>
        <w:tc>
          <w:tcPr>
            <w:tcW w:w="1465" w:type="dxa"/>
            <w:vAlign w:val="center"/>
          </w:tcPr>
          <w:p>
            <w:pPr>
              <w:jc w:val="center"/>
              <w:rPr>
                <w:rFonts w:ascii="宋体" w:hAnsi="宋体" w:cs="仿宋_GB2312"/>
                <w:sz w:val="24"/>
                <w:szCs w:val="24"/>
              </w:rPr>
            </w:pPr>
            <w:r>
              <w:rPr>
                <w:rFonts w:hint="eastAsia" w:ascii="宋体" w:hAnsi="宋体" w:cs="仿宋_GB2312"/>
                <w:sz w:val="24"/>
                <w:szCs w:val="24"/>
              </w:rPr>
              <w:t>化工技术</w:t>
            </w:r>
          </w:p>
        </w:tc>
        <w:tc>
          <w:tcPr>
            <w:tcW w:w="1464" w:type="dxa"/>
            <w:vAlign w:val="center"/>
          </w:tcPr>
          <w:p>
            <w:pPr>
              <w:jc w:val="center"/>
              <w:rPr>
                <w:rFonts w:ascii="宋体" w:hAnsi="宋体" w:cs="仿宋_GB2312"/>
                <w:sz w:val="24"/>
                <w:szCs w:val="24"/>
              </w:rPr>
            </w:pPr>
            <w:r>
              <w:rPr>
                <w:rFonts w:ascii="宋体" w:hAnsi="宋体" w:cs="仿宋_GB2312"/>
                <w:sz w:val="24"/>
                <w:szCs w:val="24"/>
              </w:rPr>
              <w:t>5702</w:t>
            </w:r>
          </w:p>
        </w:tc>
        <w:tc>
          <w:tcPr>
            <w:tcW w:w="2701" w:type="dxa"/>
            <w:vAlign w:val="center"/>
          </w:tcPr>
          <w:p>
            <w:pPr>
              <w:jc w:val="center"/>
              <w:rPr>
                <w:rFonts w:ascii="宋体" w:hAnsi="宋体" w:cs="仿宋_GB2312"/>
                <w:sz w:val="24"/>
                <w:szCs w:val="24"/>
              </w:rPr>
            </w:pPr>
            <w:r>
              <w:rPr>
                <w:rFonts w:hint="eastAsia" w:ascii="宋体" w:hAnsi="宋体" w:cs="仿宋_GB2312"/>
                <w:sz w:val="24"/>
                <w:szCs w:val="24"/>
              </w:rPr>
              <w:t>应用化工技术</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二、赛项申报专家组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本赛项申报专家组成员见表2。</w:t>
      </w:r>
    </w:p>
    <w:p>
      <w:pPr>
        <w:snapToGrid w:val="0"/>
        <w:ind w:firstLine="482" w:firstLineChars="20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表2  赛项申报专家组名单</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通过竞赛，促进了解化工行业发展形势和化工技术类专业的发展趋势，推进化工技术类及相关专业建设与教学改革，实现专业与产业对接、课程内容与职业标准对接、教学过程与生产过程对接，培养适应石化产业发展需要的高素质技能型专门人才，提高职业教育的社会认可度；</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（二）深入推进产教深度整合和校企合作，提升职业教育的社会服务能力；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提供化工技术类职业院校的交流平台，促进职业院校化工技术类及相关专业建设与教学改革经验的学习与交流，促进教学质量与师生专业技能水平的整体提高，提升职业院校化工技术类专业建设的整体发展水平；</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（四）考核与展示化工技术类专业学生应掌握的专业核心技能与知识；展示职业院校的化工技术类专业建设与教学改革的实践成果，增强职业教育吸引力。</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（一）坚持公开、公平、公正；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项关联职业岗位面广、人才需求量大、职业院校开设专业点多；应用化工技术专业、有机化工生产技术专业、精细化学品生产技术专业等化工技术类专业均可参赛；且赛项关联专业群所支撑的石化产业是国家战略支柱产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（三）竞赛内容对应化工行业化工总控、化工单元操作、化学反应等相关职业岗位或岗位群、体现化工技术类专业核心能力与核心知识、涵盖丰富的专业知识与专业技能点；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（四）竞赛平台成熟，选取化工职业院校广泛使用的化工仿真软件和精馏实训装置作为竞赛平台。</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（一）竞赛内容设计体现与岗位任务相结合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竞赛内容设计上，坚持贯彻“紧贴生产、注重实效、打造精品、提升水平”的原则，注重学生专业技能的培养和职业素养与职业操守的养成，将竞赛项目以真实职业岗位任务为基础，分设相关操作考核项目，并根据每个项目的不同工作任务确定竞赛内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（二）项目设计体现职业关键能力与职业专项技能相结合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赛项项目设计既考核如反应操作岗、分离操作岗、中控操作岗等多个专项技能，还考核学生的数据处理能力、与人合作能力、“SHEQ”等职业关键能力。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（三）坚持竞赛与技能鉴定相结合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化工生产操作技能是智能型操作技能，不仅要求就业人员具有较高的心智技能，还要求就业人员依据不同的生产操作岗位完成相应的操作。基于化工生产的特殊性，我们将选择典型的化工生产岗位工种——精馏现场操作、典型的化工产品生产仿真操作，并以化工总控工职业标准（高级工以上）要求进行考核项目设计。通过设置应知与应会项目，并通过中国石化行业联合会化学工业职业技能鉴定与指导中心职业资格论证机构，将职业技能竞赛活动与职业技能鉴定相结合，实现专业教育与职业资格鉴定的对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（四）坚持职业规范性与工作创新性相结合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赛项目标设计上，重点考核选手进行化工生产岗位操作的规范性，即以化工生产车间安全操作规范为依据，同时，也鼓励各参赛队在规范操作的前提下，发挥团队优势，创造性地完成各项竞赛任务。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（五）体现个人与团队相结合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在竞赛的形式上，将设计个人项目和团体项目两种形式，既考核选手个人能力，也考核选手的团队协作能力和团队整体实力。</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化工生产技术赛项始办于2005年，至今已连续举办了13届。2012年起，被纳入教育部全国职业院校技能大赛行列，实现了由行业协会主导的全国性职业技能赛事到由政府主导的国家级职业院校技能赛事的转变。本赛项已发展成为了覆盖石油化工及相关专业，全国各个省、自治区、直辖市、新疆生产建设兵团和计划单列市积极参与，社会影响深远、声誉卓著的国家级职业院校技能赛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为团体赛，要求3名选手组队参加。依据化工生产的职业特点与国家职业标准要求，大赛设有化工仿真操作、精馏操作和化工专业知识考核三个项目。化工仿真操作项目和化工专业知识考核为个人项目。化工仿真操作选择典型化工产品生产工艺——丙烯酸甲酯生产工艺操作进行考核，要求在规定时间内完成冷态开车、稳态生产、事故处理和正常停车等工况，并回答相关操作问题,依据操作正确率和完成质量客观评分。精馏操作项目为集体项目，要求3位选手在规定时间内共同完成操作。采用中试级精馏装置，以乙醇-水溶液为工作介质，要求选手根据安全操作规程进行操作，包括开车前准备、开车操作、生产运行、停车操作，并按实际工业生产要求考核其所得产品产量、质量、生产消耗、规范操作及安全与文明生产状况。</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通过上述竞赛项目的考核，主要考察选手在典型化工操作岗位上的生产控制、事故处理和优化操作等职业岗位技能，同时考察选手的团队合作与职业操守等职业素养。</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Chemical production technology competition starts from 2005, which has held 1</w:t>
      </w:r>
      <w:r>
        <w:rPr>
          <w:rFonts w:hint="eastAsia" w:ascii="Arial Narrow" w:hAnsi="Arial Narrow" w:eastAsia="仿宋_GB2312" w:cs="Arial"/>
          <w:sz w:val="30"/>
          <w:szCs w:val="30"/>
        </w:rPr>
        <w:t>3</w:t>
      </w:r>
      <w:r>
        <w:rPr>
          <w:rFonts w:ascii="Arial Narrow" w:hAnsi="Arial Narrow" w:eastAsia="仿宋_GB2312" w:cs="Arial"/>
          <w:sz w:val="30"/>
          <w:szCs w:val="30"/>
        </w:rPr>
        <w:t xml:space="preserve"> terms so far. Since 2012, it was incorporated into the ranks of the national vocational skills contest of ministry of education. Implementing the national vocational skill competitions dominated by industry associations to government-led national vocational skills competition. Has developed into the trade item covering petrochemical and related professional, national various provinces, autonomous regions and municipalities directly under the central government, active participation in the xinjiang production and construction corps and cities under separate state planning, has had a profound impact on society and the prestigious national vocational skills competitions.</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This competition is the team competition. 3 students are required to take part in it. According to the professional characteristics of chemical production and national occupational standards, the competition has chemical simulation and distillation operation and chemical theoretical knowledge assessment three projects. Chemical simulation operation and chemical theoretical knowledge assessment project for personal projects. Chemical simulation operation choose the typical chemical products to examine the process methacrylate production operation process, requirements within the given time driving cold state, steady state conditions, such as production, accident treatment and normal parking and answer questions related operations, according to the operating accuracy and complete quality objective scoring. Distillation operation project is the teamwork project, requiring three players within the prescribed time to complete the operation. In pilot stage distillation device, ethanol - water solution as working medium, requests the contestant according to safety operation procedures, including preparation before driving, driving operation, production operation, stop operation, and tested for the products obtained according to the requirements of the actual industrial production yield, quality, production, consumption, standardized operation and safety and civilized production status.</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Through the competition project evaluation, the main players in a typical chemical operation positions of production control and accident treatment and optimization of operation, professional post skills, while studying team player with professional ethics and professional quality.</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本赛项为团体赛。每个参赛队由1名领队、3名选手和2名指导教师组成。暂不邀请境外代表队参赛。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（一）组队要求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1、须以院校为单位组队参赛，不得跨校组队，且同一学校只能组1支队参赛，指导教师须为本校专兼职教师；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2、参赛选手须为高等学校全日制在籍学生，五年制高职学生报名参赛的，须为四、五年级的学生；且参赛选手的年龄须不超过25周岁；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3、凡在往届全国职业院校技能大赛化工生产技术赛项中获一等奖的选手，不再参赛。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参赛选手和指导教师报名获得确认后不得随意更换。如备赛过程中，参赛选手和指导教师因故无法参赛，须由省级教育行政部门于相应赛项开赛10个工作日之前出具书面说明，经大赛执委会办公室核实后予以更换。竞赛开始后，参赛队不得更换参赛选手，若有参赛队员缺席，则视为自动放弃比赛名次排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（二）竞赛内容</w:t>
      </w:r>
    </w:p>
    <w:p>
      <w:pPr>
        <w:snapToGrid w:val="0"/>
        <w:spacing w:line="560" w:lineRule="exact"/>
        <w:ind w:firstLine="600" w:firstLineChars="200"/>
        <w:rPr>
          <w:rFonts w:ascii="Arial Narrow" w:hAnsi="Arial Narrow" w:eastAsia="仿宋_GB2312" w:cs="Arial"/>
          <w:b/>
          <w:bCs/>
          <w:sz w:val="30"/>
          <w:szCs w:val="30"/>
        </w:rPr>
      </w:pPr>
      <w:r>
        <w:rPr>
          <w:rFonts w:hint="eastAsia" w:ascii="Arial Narrow" w:hAnsi="Arial Narrow" w:eastAsia="仿宋_GB2312" w:cs="Arial"/>
          <w:sz w:val="30"/>
          <w:szCs w:val="30"/>
        </w:rPr>
        <w:t>竞赛项目分为：化工专业知识考核（A）、化工生产仿真操作（B）和精馏操作（C）三部分。竞赛时，化工专业知识考核和化工生产仿真操作为个人项目，精馏操作为集体项目。各参赛队的参赛日程由赛前抽签决定。</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各参赛队由其所在省、市、自治区统一率队参加竞赛。实际竞赛时间安排共计2-3天，包括化工专业知识考核、化工仿真操作考核和精馏现场操作考核。具体考核时间：化工理论考核60分钟，化工仿真操作考核120分钟，精馏现场操作考核90分钟。各参赛队的参赛日程由赛前抽签决定。</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以60个代表队，赛程时间为5天为标准（含报到与裁判培训），编排出赛程安排表和项目考核安排两个表格如下表3和表4。</w:t>
      </w:r>
    </w:p>
    <w:p>
      <w:pPr>
        <w:jc w:val="center"/>
        <w:rPr>
          <w:rFonts w:ascii="宋体" w:hAnsi="宋体" w:cs="仿宋_GB2312"/>
          <w:b/>
          <w:sz w:val="24"/>
          <w:szCs w:val="24"/>
        </w:rPr>
      </w:pPr>
      <w:r>
        <w:rPr>
          <w:rFonts w:hint="eastAsia" w:ascii="宋体" w:hAnsi="宋体" w:cs="仿宋_GB2312"/>
          <w:b/>
          <w:sz w:val="24"/>
          <w:szCs w:val="24"/>
        </w:rPr>
        <w:t>表3  竞赛日程具体安排</w:t>
      </w:r>
    </w:p>
    <w:tbl>
      <w:tblPr>
        <w:tblStyle w:val="18"/>
        <w:tblW w:w="847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8"/>
        <w:gridCol w:w="1794"/>
        <w:gridCol w:w="2551"/>
        <w:gridCol w:w="1701"/>
        <w:gridCol w:w="141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1" w:hRule="atLeast"/>
        </w:trPr>
        <w:tc>
          <w:tcPr>
            <w:tcW w:w="1008" w:type="dxa"/>
          </w:tcPr>
          <w:p>
            <w:pPr>
              <w:jc w:val="center"/>
              <w:rPr>
                <w:rFonts w:ascii="宋体" w:hAnsi="宋体" w:cs="仿宋_GB2312"/>
                <w:b/>
                <w:sz w:val="24"/>
                <w:szCs w:val="24"/>
              </w:rPr>
            </w:pPr>
            <w:r>
              <w:rPr>
                <w:rFonts w:hint="eastAsia" w:ascii="宋体" w:hAnsi="宋体" w:cs="仿宋_GB2312"/>
                <w:b/>
                <w:sz w:val="24"/>
                <w:szCs w:val="24"/>
              </w:rPr>
              <w:t>日期</w:t>
            </w:r>
          </w:p>
        </w:tc>
        <w:tc>
          <w:tcPr>
            <w:tcW w:w="1794" w:type="dxa"/>
          </w:tcPr>
          <w:p>
            <w:pPr>
              <w:jc w:val="center"/>
              <w:rPr>
                <w:rFonts w:ascii="宋体" w:hAnsi="宋体" w:cs="仿宋_GB2312"/>
                <w:b/>
                <w:sz w:val="24"/>
                <w:szCs w:val="24"/>
              </w:rPr>
            </w:pPr>
            <w:r>
              <w:rPr>
                <w:rFonts w:hint="eastAsia" w:ascii="宋体" w:hAnsi="宋体" w:cs="仿宋_GB2312"/>
                <w:b/>
                <w:sz w:val="24"/>
                <w:szCs w:val="24"/>
              </w:rPr>
              <w:t>时间</w:t>
            </w:r>
          </w:p>
        </w:tc>
        <w:tc>
          <w:tcPr>
            <w:tcW w:w="2551" w:type="dxa"/>
          </w:tcPr>
          <w:p>
            <w:pPr>
              <w:jc w:val="center"/>
              <w:rPr>
                <w:rFonts w:ascii="宋体" w:hAnsi="宋体" w:cs="仿宋_GB2312"/>
                <w:b/>
                <w:sz w:val="24"/>
                <w:szCs w:val="24"/>
              </w:rPr>
            </w:pPr>
            <w:r>
              <w:rPr>
                <w:rFonts w:hint="eastAsia" w:ascii="宋体" w:hAnsi="宋体" w:cs="仿宋_GB2312"/>
                <w:b/>
                <w:sz w:val="24"/>
                <w:szCs w:val="24"/>
              </w:rPr>
              <w:t>项目</w:t>
            </w:r>
          </w:p>
        </w:tc>
        <w:tc>
          <w:tcPr>
            <w:tcW w:w="1701" w:type="dxa"/>
          </w:tcPr>
          <w:p>
            <w:pPr>
              <w:jc w:val="center"/>
              <w:rPr>
                <w:rFonts w:ascii="宋体" w:hAnsi="宋体" w:cs="仿宋_GB2312"/>
                <w:b/>
                <w:sz w:val="24"/>
                <w:szCs w:val="24"/>
              </w:rPr>
            </w:pPr>
            <w:r>
              <w:rPr>
                <w:rFonts w:hint="eastAsia" w:ascii="宋体" w:hAnsi="宋体" w:cs="仿宋_GB2312"/>
                <w:b/>
                <w:sz w:val="24"/>
                <w:szCs w:val="24"/>
              </w:rPr>
              <w:t>地点</w:t>
            </w:r>
          </w:p>
        </w:tc>
        <w:tc>
          <w:tcPr>
            <w:tcW w:w="1418" w:type="dxa"/>
          </w:tcPr>
          <w:p>
            <w:pPr>
              <w:jc w:val="center"/>
              <w:rPr>
                <w:rFonts w:ascii="宋体" w:hAnsi="宋体" w:cs="仿宋_GB2312"/>
                <w:b/>
                <w:sz w:val="24"/>
                <w:szCs w:val="24"/>
              </w:rPr>
            </w:pPr>
            <w:r>
              <w:rPr>
                <w:rFonts w:hint="eastAsia" w:ascii="宋体" w:hAnsi="宋体" w:cs="仿宋_GB2312"/>
                <w:b/>
                <w:sz w:val="24"/>
                <w:szCs w:val="24"/>
              </w:rPr>
              <w:t>负责部门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Align w:val="center"/>
          </w:tcPr>
          <w:p>
            <w:pPr>
              <w:jc w:val="center"/>
              <w:rPr>
                <w:rFonts w:ascii="宋体" w:hAnsi="宋体" w:cs="仿宋_GB2312"/>
                <w:sz w:val="24"/>
                <w:szCs w:val="24"/>
              </w:rPr>
            </w:pPr>
            <w:r>
              <w:rPr>
                <w:rFonts w:hint="eastAsia" w:ascii="宋体" w:hAnsi="宋体" w:cs="仿宋_GB2312"/>
                <w:sz w:val="24"/>
                <w:szCs w:val="24"/>
              </w:rPr>
              <w:t>第一天</w:t>
            </w:r>
          </w:p>
        </w:tc>
        <w:tc>
          <w:tcPr>
            <w:tcW w:w="1794" w:type="dxa"/>
          </w:tcPr>
          <w:p>
            <w:pPr>
              <w:jc w:val="center"/>
              <w:rPr>
                <w:rFonts w:ascii="宋体" w:hAnsi="宋体" w:cs="仿宋_GB2312"/>
                <w:sz w:val="24"/>
                <w:szCs w:val="24"/>
              </w:rPr>
            </w:pPr>
            <w:r>
              <w:rPr>
                <w:rFonts w:ascii="宋体" w:hAnsi="宋体" w:cs="仿宋_GB2312"/>
                <w:sz w:val="24"/>
                <w:szCs w:val="24"/>
              </w:rPr>
              <w:t>全天</w:t>
            </w:r>
          </w:p>
        </w:tc>
        <w:tc>
          <w:tcPr>
            <w:tcW w:w="2551" w:type="dxa"/>
          </w:tcPr>
          <w:p>
            <w:pPr>
              <w:jc w:val="center"/>
              <w:rPr>
                <w:rFonts w:ascii="宋体" w:hAnsi="宋体" w:cs="仿宋_GB2312"/>
                <w:sz w:val="24"/>
                <w:szCs w:val="24"/>
              </w:rPr>
            </w:pPr>
            <w:r>
              <w:rPr>
                <w:rFonts w:ascii="宋体" w:hAnsi="宋体" w:cs="仿宋_GB2312"/>
                <w:sz w:val="24"/>
                <w:szCs w:val="24"/>
              </w:rPr>
              <w:t>裁判员报到</w:t>
            </w:r>
          </w:p>
        </w:tc>
        <w:tc>
          <w:tcPr>
            <w:tcW w:w="1701" w:type="dxa"/>
          </w:tcPr>
          <w:p>
            <w:pPr>
              <w:jc w:val="center"/>
              <w:rPr>
                <w:rFonts w:ascii="宋体" w:hAnsi="宋体" w:cs="仿宋_GB2312"/>
                <w:sz w:val="24"/>
                <w:szCs w:val="24"/>
              </w:rPr>
            </w:pPr>
            <w:r>
              <w:rPr>
                <w:rFonts w:ascii="宋体" w:hAnsi="宋体" w:cs="仿宋_GB2312"/>
                <w:sz w:val="24"/>
                <w:szCs w:val="24"/>
              </w:rPr>
              <w:t>住宿宾馆大厅</w:t>
            </w:r>
          </w:p>
        </w:tc>
        <w:tc>
          <w:tcPr>
            <w:tcW w:w="1418" w:type="dxa"/>
          </w:tcPr>
          <w:p>
            <w:pPr>
              <w:jc w:val="center"/>
              <w:rPr>
                <w:rFonts w:ascii="宋体" w:hAnsi="宋体" w:cs="仿宋_GB2312"/>
                <w:sz w:val="24"/>
                <w:szCs w:val="24"/>
              </w:rPr>
            </w:pPr>
            <w:r>
              <w:rPr>
                <w:rFonts w:hint="eastAsia" w:ascii="宋体" w:hAnsi="宋体" w:cs="仿宋_GB2312"/>
                <w:sz w:val="24"/>
                <w:szCs w:val="24"/>
              </w:rPr>
              <w:t xml:space="preserve">接待组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4" w:hRule="atLeast"/>
        </w:trPr>
        <w:tc>
          <w:tcPr>
            <w:tcW w:w="1008" w:type="dxa"/>
            <w:vMerge w:val="restart"/>
            <w:vAlign w:val="center"/>
          </w:tcPr>
          <w:p>
            <w:pPr>
              <w:jc w:val="center"/>
              <w:rPr>
                <w:rFonts w:ascii="宋体" w:hAnsi="宋体" w:cs="仿宋_GB2312"/>
                <w:sz w:val="24"/>
                <w:szCs w:val="24"/>
              </w:rPr>
            </w:pPr>
            <w:r>
              <w:rPr>
                <w:rFonts w:hint="eastAsia" w:ascii="宋体" w:hAnsi="宋体" w:cs="仿宋_GB2312"/>
                <w:sz w:val="24"/>
                <w:szCs w:val="24"/>
              </w:rPr>
              <w:t>第二天</w:t>
            </w:r>
          </w:p>
        </w:tc>
        <w:tc>
          <w:tcPr>
            <w:tcW w:w="1794" w:type="dxa"/>
          </w:tcPr>
          <w:p>
            <w:pPr>
              <w:jc w:val="center"/>
              <w:rPr>
                <w:rFonts w:ascii="宋体" w:hAnsi="宋体" w:cs="仿宋_GB2312"/>
                <w:sz w:val="24"/>
                <w:szCs w:val="24"/>
              </w:rPr>
            </w:pPr>
            <w:r>
              <w:rPr>
                <w:rFonts w:ascii="宋体" w:hAnsi="宋体" w:cs="仿宋_GB2312"/>
                <w:sz w:val="24"/>
                <w:szCs w:val="24"/>
              </w:rPr>
              <w:t>8:30～16:30</w:t>
            </w:r>
          </w:p>
        </w:tc>
        <w:tc>
          <w:tcPr>
            <w:tcW w:w="2551" w:type="dxa"/>
          </w:tcPr>
          <w:p>
            <w:pPr>
              <w:jc w:val="center"/>
              <w:rPr>
                <w:rFonts w:ascii="宋体" w:hAnsi="宋体" w:cs="仿宋_GB2312"/>
                <w:sz w:val="24"/>
                <w:szCs w:val="24"/>
              </w:rPr>
            </w:pPr>
            <w:r>
              <w:rPr>
                <w:rFonts w:ascii="宋体" w:hAnsi="宋体" w:cs="仿宋_GB2312"/>
                <w:sz w:val="24"/>
                <w:szCs w:val="24"/>
              </w:rPr>
              <w:t>裁判员会议，分项目集中培训，熟悉竞赛装置</w:t>
            </w:r>
          </w:p>
        </w:tc>
        <w:tc>
          <w:tcPr>
            <w:tcW w:w="1701" w:type="dxa"/>
          </w:tcPr>
          <w:p>
            <w:pPr>
              <w:jc w:val="center"/>
              <w:rPr>
                <w:rFonts w:ascii="宋体" w:hAnsi="宋体" w:cs="仿宋_GB2312"/>
                <w:sz w:val="24"/>
                <w:szCs w:val="24"/>
              </w:rPr>
            </w:pPr>
            <w:r>
              <w:rPr>
                <w:rFonts w:ascii="宋体" w:hAnsi="宋体" w:cs="仿宋_GB2312"/>
                <w:sz w:val="24"/>
                <w:szCs w:val="24"/>
              </w:rPr>
              <w:t>院行政服务中心、各竞赛场地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ascii="宋体" w:hAnsi="宋体" w:cs="仿宋_GB2312"/>
                <w:sz w:val="24"/>
                <w:szCs w:val="24"/>
              </w:rPr>
              <w:t>8:30～17:00</w:t>
            </w:r>
          </w:p>
        </w:tc>
        <w:tc>
          <w:tcPr>
            <w:tcW w:w="2551" w:type="dxa"/>
          </w:tcPr>
          <w:p>
            <w:pPr>
              <w:jc w:val="center"/>
              <w:rPr>
                <w:rFonts w:ascii="宋体" w:hAnsi="宋体" w:cs="仿宋_GB2312"/>
                <w:sz w:val="24"/>
                <w:szCs w:val="24"/>
              </w:rPr>
            </w:pPr>
            <w:r>
              <w:rPr>
                <w:rFonts w:ascii="宋体" w:hAnsi="宋体" w:cs="仿宋_GB2312"/>
                <w:sz w:val="24"/>
                <w:szCs w:val="24"/>
              </w:rPr>
              <w:t>参赛代表队报到、领取比赛资料</w:t>
            </w:r>
          </w:p>
        </w:tc>
        <w:tc>
          <w:tcPr>
            <w:tcW w:w="1701" w:type="dxa"/>
          </w:tcPr>
          <w:p>
            <w:pPr>
              <w:jc w:val="center"/>
              <w:rPr>
                <w:rFonts w:ascii="宋体" w:hAnsi="宋体" w:cs="仿宋_GB2312"/>
                <w:sz w:val="24"/>
                <w:szCs w:val="24"/>
              </w:rPr>
            </w:pPr>
            <w:r>
              <w:rPr>
                <w:rFonts w:ascii="宋体" w:hAnsi="宋体" w:cs="仿宋_GB2312"/>
                <w:sz w:val="24"/>
                <w:szCs w:val="24"/>
              </w:rPr>
              <w:t>住宿宾馆大厅</w:t>
            </w:r>
          </w:p>
        </w:tc>
        <w:tc>
          <w:tcPr>
            <w:tcW w:w="1418" w:type="dxa"/>
          </w:tcPr>
          <w:p>
            <w:pPr>
              <w:jc w:val="center"/>
              <w:rPr>
                <w:rFonts w:ascii="宋体" w:hAnsi="宋体" w:cs="仿宋_GB2312"/>
                <w:sz w:val="24"/>
                <w:szCs w:val="24"/>
              </w:rPr>
            </w:pPr>
            <w:r>
              <w:rPr>
                <w:rFonts w:hint="eastAsia" w:ascii="宋体" w:hAnsi="宋体" w:cs="仿宋_GB2312"/>
                <w:sz w:val="24"/>
                <w:szCs w:val="24"/>
              </w:rPr>
              <w:t>接待组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ascii="宋体" w:hAnsi="宋体" w:cs="仿宋_GB2312"/>
                <w:sz w:val="24"/>
                <w:szCs w:val="24"/>
              </w:rPr>
              <w:t>18:30～19:00</w:t>
            </w:r>
          </w:p>
        </w:tc>
        <w:tc>
          <w:tcPr>
            <w:tcW w:w="2551" w:type="dxa"/>
          </w:tcPr>
          <w:p>
            <w:pPr>
              <w:jc w:val="center"/>
              <w:rPr>
                <w:rFonts w:ascii="宋体" w:hAnsi="宋体" w:cs="仿宋_GB2312"/>
                <w:sz w:val="24"/>
                <w:szCs w:val="24"/>
              </w:rPr>
            </w:pPr>
            <w:r>
              <w:rPr>
                <w:rFonts w:ascii="宋体" w:hAnsi="宋体" w:cs="仿宋_GB2312"/>
                <w:sz w:val="24"/>
                <w:szCs w:val="24"/>
              </w:rPr>
              <w:t>参赛代表队领队会议</w:t>
            </w:r>
          </w:p>
        </w:tc>
        <w:tc>
          <w:tcPr>
            <w:tcW w:w="1701" w:type="dxa"/>
          </w:tcPr>
          <w:p>
            <w:pPr>
              <w:jc w:val="center"/>
              <w:rPr>
                <w:rFonts w:ascii="宋体" w:hAnsi="宋体" w:cs="仿宋_GB2312"/>
                <w:sz w:val="24"/>
                <w:szCs w:val="24"/>
              </w:rPr>
            </w:pPr>
            <w:r>
              <w:rPr>
                <w:rFonts w:ascii="宋体" w:hAnsi="宋体" w:cs="仿宋_GB2312"/>
                <w:sz w:val="24"/>
                <w:szCs w:val="24"/>
              </w:rPr>
              <w:t>院行政服务中心</w:t>
            </w:r>
          </w:p>
        </w:tc>
        <w:tc>
          <w:tcPr>
            <w:tcW w:w="1418" w:type="dxa"/>
          </w:tcPr>
          <w:p>
            <w:pPr>
              <w:jc w:val="center"/>
              <w:rPr>
                <w:rFonts w:ascii="宋体" w:hAnsi="宋体" w:cs="仿宋_GB2312"/>
                <w:sz w:val="24"/>
                <w:szCs w:val="24"/>
              </w:rPr>
            </w:pPr>
            <w:r>
              <w:rPr>
                <w:rFonts w:hint="eastAsia" w:ascii="宋体" w:hAnsi="宋体" w:cs="仿宋_GB2312"/>
                <w:sz w:val="24"/>
                <w:szCs w:val="24"/>
              </w:rPr>
              <w:t>秘书组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ascii="宋体" w:hAnsi="宋体" w:cs="仿宋_GB2312"/>
                <w:sz w:val="24"/>
                <w:szCs w:val="24"/>
              </w:rPr>
              <w:t>19:00～21:30</w:t>
            </w:r>
          </w:p>
        </w:tc>
        <w:tc>
          <w:tcPr>
            <w:tcW w:w="2551" w:type="dxa"/>
          </w:tcPr>
          <w:p>
            <w:pPr>
              <w:jc w:val="center"/>
              <w:rPr>
                <w:rFonts w:ascii="宋体" w:hAnsi="宋体" w:cs="仿宋_GB2312"/>
                <w:sz w:val="24"/>
                <w:szCs w:val="24"/>
              </w:rPr>
            </w:pPr>
            <w:r>
              <w:rPr>
                <w:rFonts w:ascii="宋体" w:hAnsi="宋体" w:cs="仿宋_GB2312"/>
                <w:sz w:val="24"/>
                <w:szCs w:val="24"/>
              </w:rPr>
              <w:t>参赛代表队熟悉比赛场地</w:t>
            </w:r>
          </w:p>
        </w:tc>
        <w:tc>
          <w:tcPr>
            <w:tcW w:w="1701" w:type="dxa"/>
          </w:tcPr>
          <w:p>
            <w:pPr>
              <w:jc w:val="center"/>
              <w:rPr>
                <w:rFonts w:ascii="宋体" w:hAnsi="宋体" w:cs="仿宋_GB2312"/>
                <w:sz w:val="24"/>
                <w:szCs w:val="24"/>
              </w:rPr>
            </w:pPr>
            <w:r>
              <w:rPr>
                <w:rFonts w:ascii="宋体" w:hAnsi="宋体" w:cs="仿宋_GB2312"/>
                <w:sz w:val="24"/>
                <w:szCs w:val="24"/>
              </w:rPr>
              <w:t>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2" w:hRule="atLeast"/>
        </w:trPr>
        <w:tc>
          <w:tcPr>
            <w:tcW w:w="1008" w:type="dxa"/>
            <w:vMerge w:val="restart"/>
            <w:vAlign w:val="center"/>
          </w:tcPr>
          <w:p>
            <w:pPr>
              <w:jc w:val="center"/>
              <w:rPr>
                <w:rFonts w:ascii="宋体" w:hAnsi="宋体" w:cs="仿宋_GB2312"/>
                <w:sz w:val="24"/>
                <w:szCs w:val="24"/>
              </w:rPr>
            </w:pPr>
            <w:r>
              <w:rPr>
                <w:rFonts w:hint="eastAsia" w:ascii="宋体" w:hAnsi="宋体" w:cs="仿宋_GB2312"/>
                <w:sz w:val="24"/>
                <w:szCs w:val="24"/>
              </w:rPr>
              <w:t>第三天</w:t>
            </w:r>
          </w:p>
        </w:tc>
        <w:tc>
          <w:tcPr>
            <w:tcW w:w="1794" w:type="dxa"/>
          </w:tcPr>
          <w:p>
            <w:pPr>
              <w:jc w:val="center"/>
              <w:rPr>
                <w:rFonts w:ascii="宋体" w:hAnsi="宋体" w:cs="仿宋_GB2312"/>
                <w:sz w:val="24"/>
                <w:szCs w:val="24"/>
              </w:rPr>
            </w:pPr>
            <w:r>
              <w:rPr>
                <w:rFonts w:ascii="宋体" w:hAnsi="宋体" w:cs="仿宋_GB2312"/>
                <w:sz w:val="24"/>
                <w:szCs w:val="24"/>
              </w:rPr>
              <w:t>8:00～9:00</w:t>
            </w:r>
          </w:p>
        </w:tc>
        <w:tc>
          <w:tcPr>
            <w:tcW w:w="2551" w:type="dxa"/>
          </w:tcPr>
          <w:p>
            <w:pPr>
              <w:jc w:val="center"/>
              <w:rPr>
                <w:rFonts w:ascii="宋体" w:hAnsi="宋体" w:cs="仿宋_GB2312"/>
                <w:sz w:val="24"/>
                <w:szCs w:val="24"/>
              </w:rPr>
            </w:pPr>
            <w:r>
              <w:rPr>
                <w:rFonts w:ascii="宋体" w:hAnsi="宋体" w:cs="仿宋_GB2312"/>
                <w:sz w:val="24"/>
                <w:szCs w:val="24"/>
              </w:rPr>
              <w:t>大赛开幕式</w:t>
            </w:r>
          </w:p>
        </w:tc>
        <w:tc>
          <w:tcPr>
            <w:tcW w:w="1701" w:type="dxa"/>
          </w:tcPr>
          <w:p>
            <w:pPr>
              <w:jc w:val="center"/>
              <w:rPr>
                <w:rFonts w:ascii="宋体" w:hAnsi="宋体" w:cs="仿宋_GB2312"/>
                <w:sz w:val="24"/>
                <w:szCs w:val="24"/>
              </w:rPr>
            </w:pPr>
            <w:r>
              <w:rPr>
                <w:rFonts w:ascii="宋体" w:hAnsi="宋体" w:cs="仿宋_GB2312"/>
                <w:sz w:val="24"/>
                <w:szCs w:val="24"/>
              </w:rPr>
              <w:t>院大学生活动中心</w:t>
            </w:r>
          </w:p>
        </w:tc>
        <w:tc>
          <w:tcPr>
            <w:tcW w:w="1418" w:type="dxa"/>
          </w:tcPr>
          <w:p>
            <w:pPr>
              <w:jc w:val="center"/>
              <w:rPr>
                <w:rFonts w:ascii="宋体" w:hAnsi="宋体" w:cs="仿宋_GB2312"/>
                <w:sz w:val="24"/>
                <w:szCs w:val="24"/>
              </w:rPr>
            </w:pPr>
            <w:r>
              <w:rPr>
                <w:rFonts w:hint="eastAsia" w:ascii="宋体" w:hAnsi="宋体" w:cs="仿宋_GB2312"/>
                <w:sz w:val="24"/>
                <w:szCs w:val="24"/>
              </w:rPr>
              <w:t>企划组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ascii="宋体" w:hAnsi="宋体" w:cs="仿宋_GB2312"/>
                <w:sz w:val="24"/>
                <w:szCs w:val="24"/>
              </w:rPr>
              <w:t>9:15～19:00</w:t>
            </w:r>
          </w:p>
        </w:tc>
        <w:tc>
          <w:tcPr>
            <w:tcW w:w="2551" w:type="dxa"/>
          </w:tcPr>
          <w:p>
            <w:pPr>
              <w:jc w:val="center"/>
              <w:rPr>
                <w:rFonts w:ascii="宋体" w:hAnsi="宋体" w:cs="仿宋_GB2312"/>
                <w:sz w:val="24"/>
                <w:szCs w:val="24"/>
              </w:rPr>
            </w:pPr>
            <w:r>
              <w:rPr>
                <w:rFonts w:ascii="宋体" w:hAnsi="宋体" w:cs="仿宋_GB2312"/>
                <w:sz w:val="24"/>
                <w:szCs w:val="24"/>
              </w:rPr>
              <w:t>各竞赛项目考核</w:t>
            </w:r>
          </w:p>
        </w:tc>
        <w:tc>
          <w:tcPr>
            <w:tcW w:w="1701" w:type="dxa"/>
          </w:tcPr>
          <w:p>
            <w:pPr>
              <w:jc w:val="center"/>
              <w:rPr>
                <w:rFonts w:ascii="宋体" w:hAnsi="宋体" w:cs="仿宋_GB2312"/>
                <w:sz w:val="24"/>
                <w:szCs w:val="24"/>
              </w:rPr>
            </w:pPr>
            <w:r>
              <w:rPr>
                <w:rFonts w:ascii="宋体" w:hAnsi="宋体" w:cs="仿宋_GB2312"/>
                <w:sz w:val="24"/>
                <w:szCs w:val="24"/>
              </w:rPr>
              <w:t>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Align w:val="center"/>
          </w:tcPr>
          <w:p>
            <w:pPr>
              <w:jc w:val="center"/>
              <w:rPr>
                <w:rFonts w:ascii="宋体" w:hAnsi="宋体" w:cs="仿宋_GB2312"/>
                <w:sz w:val="24"/>
                <w:szCs w:val="24"/>
              </w:rPr>
            </w:pPr>
            <w:r>
              <w:rPr>
                <w:rFonts w:hint="eastAsia" w:ascii="宋体" w:hAnsi="宋体" w:cs="仿宋_GB2312"/>
                <w:sz w:val="24"/>
                <w:szCs w:val="24"/>
              </w:rPr>
              <w:t>第四天</w:t>
            </w:r>
          </w:p>
        </w:tc>
        <w:tc>
          <w:tcPr>
            <w:tcW w:w="1794" w:type="dxa"/>
          </w:tcPr>
          <w:p>
            <w:pPr>
              <w:jc w:val="center"/>
              <w:rPr>
                <w:rFonts w:ascii="宋体" w:hAnsi="宋体" w:cs="仿宋_GB2312"/>
                <w:sz w:val="24"/>
                <w:szCs w:val="24"/>
              </w:rPr>
            </w:pPr>
            <w:r>
              <w:rPr>
                <w:rFonts w:ascii="宋体" w:hAnsi="宋体" w:cs="仿宋_GB2312"/>
                <w:sz w:val="24"/>
                <w:szCs w:val="24"/>
              </w:rPr>
              <w:t>8:00～18:00</w:t>
            </w:r>
          </w:p>
        </w:tc>
        <w:tc>
          <w:tcPr>
            <w:tcW w:w="2551" w:type="dxa"/>
          </w:tcPr>
          <w:p>
            <w:pPr>
              <w:jc w:val="center"/>
              <w:rPr>
                <w:rFonts w:ascii="宋体" w:hAnsi="宋体" w:cs="仿宋_GB2312"/>
                <w:sz w:val="24"/>
                <w:szCs w:val="24"/>
              </w:rPr>
            </w:pPr>
            <w:r>
              <w:rPr>
                <w:rFonts w:ascii="宋体" w:hAnsi="宋体" w:cs="仿宋_GB2312"/>
                <w:sz w:val="24"/>
                <w:szCs w:val="24"/>
              </w:rPr>
              <w:t>各竞赛项目考核</w:t>
            </w:r>
          </w:p>
        </w:tc>
        <w:tc>
          <w:tcPr>
            <w:tcW w:w="1701" w:type="dxa"/>
          </w:tcPr>
          <w:p>
            <w:pPr>
              <w:jc w:val="center"/>
              <w:rPr>
                <w:rFonts w:ascii="宋体" w:hAnsi="宋体" w:cs="仿宋_GB2312"/>
                <w:sz w:val="24"/>
                <w:szCs w:val="24"/>
              </w:rPr>
            </w:pPr>
            <w:r>
              <w:rPr>
                <w:rFonts w:ascii="宋体" w:hAnsi="宋体" w:cs="仿宋_GB2312"/>
                <w:sz w:val="24"/>
                <w:szCs w:val="24"/>
              </w:rPr>
              <w:t>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1" w:hRule="atLeast"/>
        </w:trPr>
        <w:tc>
          <w:tcPr>
            <w:tcW w:w="1008" w:type="dxa"/>
            <w:vMerge w:val="restart"/>
            <w:vAlign w:val="center"/>
          </w:tcPr>
          <w:p>
            <w:pPr>
              <w:jc w:val="center"/>
              <w:rPr>
                <w:rFonts w:ascii="宋体" w:hAnsi="宋体" w:cs="仿宋_GB2312"/>
                <w:sz w:val="24"/>
                <w:szCs w:val="24"/>
              </w:rPr>
            </w:pPr>
            <w:r>
              <w:rPr>
                <w:rFonts w:hint="eastAsia" w:ascii="宋体" w:hAnsi="宋体" w:cs="仿宋_GB2312"/>
                <w:sz w:val="24"/>
                <w:szCs w:val="24"/>
              </w:rPr>
              <w:t>第五天</w:t>
            </w:r>
          </w:p>
        </w:tc>
        <w:tc>
          <w:tcPr>
            <w:tcW w:w="1794" w:type="dxa"/>
          </w:tcPr>
          <w:p>
            <w:pPr>
              <w:jc w:val="center"/>
              <w:rPr>
                <w:rFonts w:ascii="宋体" w:hAnsi="宋体" w:cs="仿宋_GB2312"/>
                <w:sz w:val="24"/>
                <w:szCs w:val="24"/>
              </w:rPr>
            </w:pPr>
            <w:r>
              <w:rPr>
                <w:rFonts w:ascii="宋体" w:hAnsi="宋体" w:cs="仿宋_GB2312"/>
                <w:sz w:val="24"/>
                <w:szCs w:val="24"/>
              </w:rPr>
              <w:t>8:00～1</w:t>
            </w:r>
            <w:r>
              <w:rPr>
                <w:rFonts w:hint="eastAsia" w:ascii="宋体" w:hAnsi="宋体" w:cs="仿宋_GB2312"/>
                <w:sz w:val="24"/>
                <w:szCs w:val="24"/>
              </w:rPr>
              <w:t>7</w:t>
            </w:r>
            <w:r>
              <w:rPr>
                <w:rFonts w:ascii="宋体" w:hAnsi="宋体" w:cs="仿宋_GB2312"/>
                <w:sz w:val="24"/>
                <w:szCs w:val="24"/>
              </w:rPr>
              <w:t>:00</w:t>
            </w:r>
          </w:p>
        </w:tc>
        <w:tc>
          <w:tcPr>
            <w:tcW w:w="2551" w:type="dxa"/>
          </w:tcPr>
          <w:p>
            <w:pPr>
              <w:jc w:val="center"/>
              <w:rPr>
                <w:rFonts w:ascii="宋体" w:hAnsi="宋体" w:cs="仿宋_GB2312"/>
                <w:sz w:val="24"/>
                <w:szCs w:val="24"/>
              </w:rPr>
            </w:pPr>
            <w:r>
              <w:rPr>
                <w:rFonts w:ascii="宋体" w:hAnsi="宋体" w:cs="仿宋_GB2312"/>
                <w:sz w:val="24"/>
                <w:szCs w:val="24"/>
              </w:rPr>
              <w:t>各竞赛项目考核</w:t>
            </w:r>
          </w:p>
        </w:tc>
        <w:tc>
          <w:tcPr>
            <w:tcW w:w="1701" w:type="dxa"/>
          </w:tcPr>
          <w:p>
            <w:pPr>
              <w:jc w:val="center"/>
              <w:rPr>
                <w:rFonts w:ascii="宋体" w:hAnsi="宋体" w:cs="仿宋_GB2312"/>
                <w:sz w:val="24"/>
                <w:szCs w:val="24"/>
              </w:rPr>
            </w:pPr>
            <w:r>
              <w:rPr>
                <w:rFonts w:ascii="宋体" w:hAnsi="宋体" w:cs="仿宋_GB2312"/>
                <w:sz w:val="24"/>
                <w:szCs w:val="24"/>
              </w:rPr>
              <w:t>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hint="eastAsia" w:ascii="宋体" w:hAnsi="宋体" w:cs="仿宋_GB2312"/>
                <w:sz w:val="24"/>
                <w:szCs w:val="24"/>
              </w:rPr>
              <w:t>20</w:t>
            </w:r>
            <w:r>
              <w:rPr>
                <w:rFonts w:ascii="宋体" w:hAnsi="宋体" w:cs="仿宋_GB2312"/>
                <w:sz w:val="24"/>
                <w:szCs w:val="24"/>
              </w:rPr>
              <w:t>:00～</w:t>
            </w:r>
            <w:r>
              <w:rPr>
                <w:rFonts w:hint="eastAsia" w:ascii="宋体" w:hAnsi="宋体" w:cs="仿宋_GB2312"/>
                <w:sz w:val="24"/>
                <w:szCs w:val="24"/>
              </w:rPr>
              <w:t>21</w:t>
            </w:r>
            <w:r>
              <w:rPr>
                <w:rFonts w:ascii="宋体" w:hAnsi="宋体" w:cs="仿宋_GB2312"/>
                <w:sz w:val="24"/>
                <w:szCs w:val="24"/>
              </w:rPr>
              <w:t>:00</w:t>
            </w:r>
          </w:p>
        </w:tc>
        <w:tc>
          <w:tcPr>
            <w:tcW w:w="2551" w:type="dxa"/>
          </w:tcPr>
          <w:p>
            <w:pPr>
              <w:jc w:val="center"/>
              <w:rPr>
                <w:rFonts w:ascii="宋体" w:hAnsi="宋体" w:cs="仿宋_GB2312"/>
                <w:sz w:val="24"/>
                <w:szCs w:val="24"/>
              </w:rPr>
            </w:pPr>
            <w:r>
              <w:rPr>
                <w:rFonts w:ascii="宋体" w:hAnsi="宋体" w:cs="仿宋_GB2312"/>
                <w:sz w:val="24"/>
                <w:szCs w:val="24"/>
              </w:rPr>
              <w:t>竞赛</w:t>
            </w:r>
            <w:r>
              <w:rPr>
                <w:rFonts w:hint="eastAsia" w:ascii="宋体" w:hAnsi="宋体" w:cs="仿宋_GB2312"/>
                <w:sz w:val="24"/>
                <w:szCs w:val="24"/>
              </w:rPr>
              <w:t>技术点评及闭幕式</w:t>
            </w:r>
            <w:r>
              <w:rPr>
                <w:rFonts w:ascii="宋体" w:hAnsi="宋体" w:cs="仿宋_GB2312"/>
                <w:sz w:val="24"/>
                <w:szCs w:val="24"/>
              </w:rPr>
              <w:t>（全体裁判、领队、指导教师与选手参加）</w:t>
            </w:r>
          </w:p>
        </w:tc>
        <w:tc>
          <w:tcPr>
            <w:tcW w:w="1701" w:type="dxa"/>
          </w:tcPr>
          <w:p>
            <w:pPr>
              <w:jc w:val="center"/>
              <w:rPr>
                <w:rFonts w:ascii="宋体" w:hAnsi="宋体" w:cs="仿宋_GB2312"/>
                <w:sz w:val="24"/>
                <w:szCs w:val="24"/>
              </w:rPr>
            </w:pPr>
            <w:r>
              <w:rPr>
                <w:rFonts w:ascii="宋体" w:hAnsi="宋体" w:cs="仿宋_GB2312"/>
                <w:sz w:val="24"/>
                <w:szCs w:val="24"/>
              </w:rPr>
              <w:t>院大学生活动中心</w:t>
            </w:r>
          </w:p>
        </w:tc>
        <w:tc>
          <w:tcPr>
            <w:tcW w:w="1418" w:type="dxa"/>
          </w:tcPr>
          <w:p>
            <w:pPr>
              <w:jc w:val="center"/>
              <w:rPr>
                <w:rFonts w:ascii="宋体" w:hAnsi="宋体" w:cs="仿宋_GB2312"/>
                <w:sz w:val="24"/>
                <w:szCs w:val="24"/>
              </w:rPr>
            </w:pPr>
            <w:r>
              <w:rPr>
                <w:rFonts w:hint="eastAsia" w:ascii="宋体" w:hAnsi="宋体" w:cs="仿宋_GB2312"/>
                <w:sz w:val="24"/>
                <w:szCs w:val="24"/>
              </w:rPr>
              <w:t>企划组</w:t>
            </w:r>
          </w:p>
        </w:tc>
      </w:tr>
    </w:tbl>
    <w:p>
      <w:pPr>
        <w:spacing w:line="560" w:lineRule="exact"/>
        <w:jc w:val="center"/>
        <w:rPr>
          <w:rFonts w:ascii="宋体" w:hAnsi="宋体" w:cs="仿宋_GB2312"/>
          <w:b/>
          <w:sz w:val="24"/>
          <w:szCs w:val="24"/>
        </w:rPr>
      </w:pPr>
      <w:r>
        <w:rPr>
          <w:rFonts w:hint="eastAsia" w:ascii="宋体" w:hAnsi="宋体" w:cs="仿宋_GB2312"/>
          <w:b/>
          <w:sz w:val="24"/>
          <w:szCs w:val="24"/>
        </w:rPr>
        <w:t>表4  竞赛项目运行安排表</w:t>
      </w:r>
    </w:p>
    <w:tbl>
      <w:tblPr>
        <w:tblStyle w:val="18"/>
        <w:tblW w:w="932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2"/>
        <w:gridCol w:w="425"/>
        <w:gridCol w:w="709"/>
        <w:gridCol w:w="709"/>
        <w:gridCol w:w="708"/>
        <w:gridCol w:w="709"/>
        <w:gridCol w:w="709"/>
        <w:gridCol w:w="709"/>
        <w:gridCol w:w="708"/>
        <w:gridCol w:w="709"/>
        <w:gridCol w:w="709"/>
        <w:gridCol w:w="709"/>
        <w:gridCol w:w="708"/>
        <w:gridCol w:w="70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392" w:type="dxa"/>
            <w:vMerge w:val="restart"/>
            <w:vAlign w:val="center"/>
          </w:tcPr>
          <w:p>
            <w:pPr>
              <w:widowControl/>
              <w:rPr>
                <w:rFonts w:ascii="宋体" w:hAnsi="宋体" w:cs="仿宋_GB2312"/>
                <w:b/>
                <w:sz w:val="24"/>
                <w:szCs w:val="24"/>
              </w:rPr>
            </w:pPr>
            <w:r>
              <w:rPr>
                <w:rFonts w:hint="eastAsia" w:ascii="宋体" w:hAnsi="宋体" w:cs="仿宋_GB2312"/>
                <w:b/>
                <w:sz w:val="24"/>
                <w:szCs w:val="24"/>
              </w:rPr>
              <w:t>项目</w:t>
            </w:r>
          </w:p>
        </w:tc>
        <w:tc>
          <w:tcPr>
            <w:tcW w:w="425" w:type="dxa"/>
            <w:vMerge w:val="restart"/>
            <w:vAlign w:val="center"/>
          </w:tcPr>
          <w:p>
            <w:pPr>
              <w:widowControl/>
              <w:rPr>
                <w:rFonts w:ascii="宋体" w:hAnsi="宋体" w:cs="仿宋_GB2312"/>
                <w:b/>
                <w:sz w:val="24"/>
                <w:szCs w:val="24"/>
              </w:rPr>
            </w:pPr>
            <w:r>
              <w:rPr>
                <w:rFonts w:ascii="宋体" w:hAnsi="宋体" w:cs="仿宋_GB2312"/>
                <w:b/>
                <w:sz w:val="24"/>
                <w:szCs w:val="24"/>
              </w:rPr>
              <w:t>检录地点</w:t>
            </w:r>
          </w:p>
        </w:tc>
        <w:tc>
          <w:tcPr>
            <w:tcW w:w="8505" w:type="dxa"/>
            <w:gridSpan w:val="12"/>
          </w:tcPr>
          <w:p>
            <w:pPr>
              <w:widowControl/>
              <w:jc w:val="center"/>
              <w:rPr>
                <w:rFonts w:ascii="宋体" w:hAnsi="宋体" w:cs="仿宋_GB2312"/>
                <w:b/>
                <w:sz w:val="24"/>
                <w:szCs w:val="24"/>
              </w:rPr>
            </w:pPr>
            <w:r>
              <w:rPr>
                <w:rFonts w:ascii="宋体" w:hAnsi="宋体" w:cs="仿宋_GB2312"/>
                <w:b/>
                <w:sz w:val="24"/>
                <w:szCs w:val="24"/>
              </w:rPr>
              <w:t>比赛顺序（日期、时间、场次及参赛队代码）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2" w:hRule="atLeast"/>
        </w:trPr>
        <w:tc>
          <w:tcPr>
            <w:tcW w:w="392" w:type="dxa"/>
            <w:vMerge w:val="continue"/>
            <w:vAlign w:val="center"/>
          </w:tcPr>
          <w:p>
            <w:pPr>
              <w:widowControl/>
              <w:rPr>
                <w:rFonts w:ascii="宋体" w:hAnsi="宋体" w:cs="仿宋_GB2312"/>
                <w:sz w:val="24"/>
                <w:szCs w:val="24"/>
              </w:rPr>
            </w:pPr>
          </w:p>
        </w:tc>
        <w:tc>
          <w:tcPr>
            <w:tcW w:w="425" w:type="dxa"/>
            <w:vMerge w:val="continue"/>
            <w:vAlign w:val="center"/>
          </w:tcPr>
          <w:p>
            <w:pPr>
              <w:widowControl/>
              <w:rPr>
                <w:rFonts w:ascii="宋体" w:hAnsi="宋体" w:cs="仿宋_GB2312"/>
                <w:sz w:val="24"/>
                <w:szCs w:val="24"/>
              </w:rPr>
            </w:pPr>
          </w:p>
        </w:tc>
        <w:tc>
          <w:tcPr>
            <w:tcW w:w="2835" w:type="dxa"/>
            <w:gridSpan w:val="4"/>
          </w:tcPr>
          <w:p>
            <w:pPr>
              <w:widowControl/>
              <w:jc w:val="center"/>
              <w:rPr>
                <w:rFonts w:ascii="宋体" w:hAnsi="宋体" w:cs="仿宋_GB2312"/>
                <w:sz w:val="24"/>
                <w:szCs w:val="24"/>
              </w:rPr>
            </w:pPr>
            <w:r>
              <w:rPr>
                <w:rFonts w:hint="eastAsia" w:ascii="宋体" w:hAnsi="宋体" w:cs="仿宋_GB2312"/>
                <w:sz w:val="24"/>
                <w:szCs w:val="24"/>
              </w:rPr>
              <w:t>第一天</w:t>
            </w:r>
          </w:p>
        </w:tc>
        <w:tc>
          <w:tcPr>
            <w:tcW w:w="2835" w:type="dxa"/>
            <w:gridSpan w:val="4"/>
          </w:tcPr>
          <w:p>
            <w:pPr>
              <w:widowControl/>
              <w:jc w:val="center"/>
              <w:rPr>
                <w:rFonts w:ascii="宋体" w:hAnsi="宋体" w:cs="仿宋_GB2312"/>
                <w:sz w:val="24"/>
                <w:szCs w:val="24"/>
              </w:rPr>
            </w:pPr>
            <w:r>
              <w:rPr>
                <w:rFonts w:hint="eastAsia" w:ascii="宋体" w:hAnsi="宋体" w:cs="仿宋_GB2312"/>
                <w:sz w:val="24"/>
                <w:szCs w:val="24"/>
              </w:rPr>
              <w:t>第二天</w:t>
            </w:r>
          </w:p>
        </w:tc>
        <w:tc>
          <w:tcPr>
            <w:tcW w:w="2835" w:type="dxa"/>
            <w:gridSpan w:val="4"/>
          </w:tcPr>
          <w:p>
            <w:pPr>
              <w:widowControl/>
              <w:jc w:val="center"/>
              <w:rPr>
                <w:rFonts w:ascii="宋体" w:hAnsi="宋体" w:cs="仿宋_GB2312"/>
                <w:sz w:val="24"/>
                <w:szCs w:val="24"/>
              </w:rPr>
            </w:pPr>
            <w:r>
              <w:rPr>
                <w:rFonts w:hint="eastAsia" w:ascii="宋体" w:hAnsi="宋体" w:cs="仿宋_GB2312"/>
                <w:sz w:val="24"/>
                <w:szCs w:val="24"/>
              </w:rPr>
              <w:t>第三天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1" w:hRule="atLeast"/>
        </w:trPr>
        <w:tc>
          <w:tcPr>
            <w:tcW w:w="392" w:type="dxa"/>
            <w:vMerge w:val="continue"/>
            <w:vAlign w:val="center"/>
          </w:tcPr>
          <w:p>
            <w:pPr>
              <w:widowControl/>
              <w:rPr>
                <w:rFonts w:ascii="宋体" w:hAnsi="宋体" w:cs="仿宋_GB2312"/>
                <w:sz w:val="24"/>
                <w:szCs w:val="24"/>
              </w:rPr>
            </w:pPr>
          </w:p>
        </w:tc>
        <w:tc>
          <w:tcPr>
            <w:tcW w:w="425" w:type="dxa"/>
            <w:vMerge w:val="continue"/>
            <w:vAlign w:val="center"/>
          </w:tcPr>
          <w:p>
            <w:pPr>
              <w:widowControl/>
              <w:rPr>
                <w:rFonts w:ascii="宋体" w:hAnsi="宋体" w:cs="仿宋_GB2312"/>
                <w:sz w:val="24"/>
                <w:szCs w:val="24"/>
              </w:rPr>
            </w:pPr>
          </w:p>
        </w:tc>
        <w:tc>
          <w:tcPr>
            <w:tcW w:w="709" w:type="dxa"/>
          </w:tcPr>
          <w:p>
            <w:pPr>
              <w:widowControl/>
              <w:rPr>
                <w:rFonts w:ascii="宋体" w:hAnsi="宋体"/>
                <w:spacing w:val="-20"/>
                <w:sz w:val="24"/>
                <w:szCs w:val="24"/>
              </w:rPr>
            </w:pPr>
            <w:r>
              <w:rPr>
                <w:rFonts w:ascii="宋体" w:hAnsi="宋体"/>
                <w:spacing w:val="-20"/>
                <w:sz w:val="24"/>
                <w:szCs w:val="24"/>
              </w:rPr>
              <w:t>第1场</w:t>
            </w:r>
          </w:p>
        </w:tc>
        <w:tc>
          <w:tcPr>
            <w:tcW w:w="709" w:type="dxa"/>
          </w:tcPr>
          <w:p>
            <w:pPr>
              <w:widowControl/>
              <w:rPr>
                <w:rFonts w:ascii="宋体" w:hAnsi="宋体"/>
                <w:spacing w:val="-20"/>
                <w:sz w:val="24"/>
                <w:szCs w:val="24"/>
              </w:rPr>
            </w:pPr>
            <w:r>
              <w:rPr>
                <w:rFonts w:ascii="宋体" w:hAnsi="宋体"/>
                <w:spacing w:val="-20"/>
                <w:sz w:val="24"/>
                <w:szCs w:val="24"/>
              </w:rPr>
              <w:t>第2场</w:t>
            </w:r>
          </w:p>
        </w:tc>
        <w:tc>
          <w:tcPr>
            <w:tcW w:w="708" w:type="dxa"/>
          </w:tcPr>
          <w:p>
            <w:pPr>
              <w:widowControl/>
              <w:rPr>
                <w:rFonts w:ascii="宋体" w:hAnsi="宋体"/>
                <w:spacing w:val="-20"/>
                <w:sz w:val="24"/>
                <w:szCs w:val="24"/>
              </w:rPr>
            </w:pPr>
            <w:r>
              <w:rPr>
                <w:rFonts w:ascii="宋体" w:hAnsi="宋体"/>
                <w:spacing w:val="-20"/>
                <w:sz w:val="24"/>
                <w:szCs w:val="24"/>
              </w:rPr>
              <w:t>第3场</w:t>
            </w:r>
          </w:p>
        </w:tc>
        <w:tc>
          <w:tcPr>
            <w:tcW w:w="709" w:type="dxa"/>
          </w:tcPr>
          <w:p>
            <w:pPr>
              <w:widowControl/>
              <w:rPr>
                <w:rFonts w:ascii="宋体" w:hAnsi="宋体"/>
                <w:spacing w:val="-20"/>
                <w:sz w:val="24"/>
                <w:szCs w:val="24"/>
              </w:rPr>
            </w:pPr>
            <w:r>
              <w:rPr>
                <w:rFonts w:ascii="宋体" w:hAnsi="宋体"/>
                <w:spacing w:val="-20"/>
                <w:sz w:val="24"/>
                <w:szCs w:val="24"/>
              </w:rPr>
              <w:t>第4场</w:t>
            </w:r>
          </w:p>
        </w:tc>
        <w:tc>
          <w:tcPr>
            <w:tcW w:w="709" w:type="dxa"/>
          </w:tcPr>
          <w:p>
            <w:pPr>
              <w:widowControl/>
              <w:rPr>
                <w:rFonts w:ascii="宋体" w:hAnsi="宋体"/>
                <w:spacing w:val="-20"/>
                <w:sz w:val="24"/>
                <w:szCs w:val="24"/>
              </w:rPr>
            </w:pPr>
            <w:r>
              <w:rPr>
                <w:rFonts w:ascii="宋体" w:hAnsi="宋体"/>
                <w:spacing w:val="-20"/>
                <w:sz w:val="24"/>
                <w:szCs w:val="24"/>
              </w:rPr>
              <w:t>第5场</w:t>
            </w:r>
          </w:p>
        </w:tc>
        <w:tc>
          <w:tcPr>
            <w:tcW w:w="709" w:type="dxa"/>
          </w:tcPr>
          <w:p>
            <w:pPr>
              <w:widowControl/>
              <w:rPr>
                <w:rFonts w:ascii="宋体" w:hAnsi="宋体"/>
                <w:spacing w:val="-20"/>
                <w:sz w:val="24"/>
                <w:szCs w:val="24"/>
              </w:rPr>
            </w:pPr>
            <w:r>
              <w:rPr>
                <w:rFonts w:ascii="宋体" w:hAnsi="宋体"/>
                <w:spacing w:val="-20"/>
                <w:sz w:val="24"/>
                <w:szCs w:val="24"/>
              </w:rPr>
              <w:t>第6场</w:t>
            </w:r>
          </w:p>
        </w:tc>
        <w:tc>
          <w:tcPr>
            <w:tcW w:w="708" w:type="dxa"/>
          </w:tcPr>
          <w:p>
            <w:pPr>
              <w:widowControl/>
              <w:rPr>
                <w:rFonts w:ascii="宋体" w:hAnsi="宋体"/>
                <w:spacing w:val="-20"/>
                <w:sz w:val="24"/>
                <w:szCs w:val="24"/>
              </w:rPr>
            </w:pPr>
            <w:r>
              <w:rPr>
                <w:rFonts w:ascii="宋体" w:hAnsi="宋体"/>
                <w:spacing w:val="-20"/>
                <w:sz w:val="24"/>
                <w:szCs w:val="24"/>
              </w:rPr>
              <w:t>第7场</w:t>
            </w:r>
          </w:p>
        </w:tc>
        <w:tc>
          <w:tcPr>
            <w:tcW w:w="709" w:type="dxa"/>
          </w:tcPr>
          <w:p>
            <w:pPr>
              <w:widowControl/>
              <w:rPr>
                <w:rFonts w:ascii="宋体" w:hAnsi="宋体"/>
                <w:spacing w:val="-20"/>
                <w:sz w:val="24"/>
                <w:szCs w:val="24"/>
              </w:rPr>
            </w:pPr>
            <w:r>
              <w:rPr>
                <w:rFonts w:ascii="宋体" w:hAnsi="宋体"/>
                <w:spacing w:val="-20"/>
                <w:sz w:val="24"/>
                <w:szCs w:val="24"/>
              </w:rPr>
              <w:t>第8场</w:t>
            </w:r>
          </w:p>
        </w:tc>
        <w:tc>
          <w:tcPr>
            <w:tcW w:w="709" w:type="dxa"/>
          </w:tcPr>
          <w:p>
            <w:pPr>
              <w:widowControl/>
              <w:rPr>
                <w:rFonts w:ascii="宋体" w:hAnsi="宋体"/>
                <w:spacing w:val="-20"/>
                <w:sz w:val="24"/>
                <w:szCs w:val="24"/>
              </w:rPr>
            </w:pPr>
            <w:r>
              <w:rPr>
                <w:rFonts w:ascii="宋体" w:hAnsi="宋体"/>
                <w:spacing w:val="-20"/>
                <w:sz w:val="24"/>
                <w:szCs w:val="24"/>
              </w:rPr>
              <w:t>第9场</w:t>
            </w:r>
          </w:p>
        </w:tc>
        <w:tc>
          <w:tcPr>
            <w:tcW w:w="709" w:type="dxa"/>
          </w:tcPr>
          <w:p>
            <w:pPr>
              <w:widowControl/>
              <w:rPr>
                <w:rFonts w:ascii="宋体" w:hAnsi="宋体"/>
                <w:spacing w:val="-20"/>
                <w:sz w:val="24"/>
                <w:szCs w:val="24"/>
              </w:rPr>
            </w:pPr>
            <w:r>
              <w:rPr>
                <w:rFonts w:ascii="宋体" w:hAnsi="宋体"/>
                <w:spacing w:val="-20"/>
                <w:sz w:val="24"/>
                <w:szCs w:val="24"/>
              </w:rPr>
              <w:t>第10场</w:t>
            </w:r>
          </w:p>
        </w:tc>
        <w:tc>
          <w:tcPr>
            <w:tcW w:w="708" w:type="dxa"/>
            <w:tcBorders>
              <w:right w:val="single" w:color="auto" w:sz="4" w:space="0"/>
            </w:tcBorders>
          </w:tcPr>
          <w:p>
            <w:pPr>
              <w:widowControl/>
              <w:rPr>
                <w:rFonts w:ascii="宋体" w:hAnsi="宋体"/>
                <w:spacing w:val="-20"/>
                <w:sz w:val="24"/>
                <w:szCs w:val="24"/>
              </w:rPr>
            </w:pPr>
            <w:r>
              <w:rPr>
                <w:rFonts w:ascii="宋体" w:hAnsi="宋体"/>
                <w:spacing w:val="-20"/>
                <w:sz w:val="24"/>
                <w:szCs w:val="24"/>
              </w:rPr>
              <w:t>第11场</w:t>
            </w:r>
          </w:p>
        </w:tc>
        <w:tc>
          <w:tcPr>
            <w:tcW w:w="709" w:type="dxa"/>
            <w:tcBorders>
              <w:left w:val="single" w:color="auto" w:sz="4" w:space="0"/>
            </w:tcBorders>
          </w:tcPr>
          <w:p>
            <w:pPr>
              <w:widowControl/>
              <w:rPr>
                <w:rFonts w:ascii="宋体" w:hAnsi="宋体"/>
                <w:spacing w:val="-20"/>
                <w:sz w:val="24"/>
                <w:szCs w:val="24"/>
              </w:rPr>
            </w:pPr>
            <w:r>
              <w:rPr>
                <w:rFonts w:ascii="宋体" w:hAnsi="宋体"/>
                <w:spacing w:val="-20"/>
                <w:sz w:val="24"/>
                <w:szCs w:val="24"/>
              </w:rPr>
              <w:t>第12场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restart"/>
            <w:vAlign w:val="center"/>
          </w:tcPr>
          <w:p>
            <w:pPr>
              <w:widowControl/>
              <w:rPr>
                <w:rFonts w:ascii="宋体" w:hAnsi="宋体" w:cs="仿宋_GB2312"/>
                <w:sz w:val="24"/>
                <w:szCs w:val="24"/>
              </w:rPr>
            </w:pPr>
            <w:r>
              <w:rPr>
                <w:rFonts w:ascii="宋体" w:hAnsi="宋体" w:cs="仿宋_GB2312"/>
                <w:sz w:val="24"/>
                <w:szCs w:val="24"/>
              </w:rPr>
              <w:t>专业知识</w:t>
            </w:r>
          </w:p>
        </w:tc>
        <w:tc>
          <w:tcPr>
            <w:tcW w:w="425" w:type="dxa"/>
            <w:vMerge w:val="restart"/>
            <w:vAlign w:val="center"/>
          </w:tcPr>
          <w:p>
            <w:pPr>
              <w:widowControl/>
              <w:rPr>
                <w:rFonts w:ascii="宋体" w:hAnsi="宋体" w:cs="仿宋_GB2312"/>
                <w:sz w:val="24"/>
                <w:szCs w:val="24"/>
              </w:rPr>
            </w:pPr>
            <w:r>
              <w:rPr>
                <w:rFonts w:ascii="宋体" w:hAnsi="宋体" w:cs="仿宋_GB2312"/>
                <w:sz w:val="24"/>
                <w:szCs w:val="24"/>
              </w:rPr>
              <w:t>合一楼A座一楼大厅</w:t>
            </w:r>
          </w:p>
        </w:tc>
        <w:tc>
          <w:tcPr>
            <w:tcW w:w="709" w:type="dxa"/>
          </w:tcPr>
          <w:p>
            <w:pPr>
              <w:widowControl/>
              <w:rPr>
                <w:rFonts w:ascii="宋体" w:hAnsi="宋体"/>
                <w:spacing w:val="-24"/>
                <w:sz w:val="24"/>
                <w:szCs w:val="24"/>
              </w:rPr>
            </w:pPr>
            <w:r>
              <w:rPr>
                <w:rFonts w:ascii="宋体" w:hAnsi="宋体"/>
                <w:spacing w:val="-24"/>
                <w:sz w:val="24"/>
                <w:szCs w:val="24"/>
              </w:rPr>
              <w:t>10:00～11:00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14:00～15:00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r>
              <w:rPr>
                <w:rFonts w:ascii="宋体" w:hAnsi="宋体"/>
                <w:spacing w:val="-24"/>
                <w:sz w:val="24"/>
                <w:szCs w:val="24"/>
              </w:rPr>
              <w:t>10:00～11:00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13:30～14:30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8" w:type="dxa"/>
            <w:tcBorders>
              <w:right w:val="single" w:color="auto" w:sz="4" w:space="0"/>
            </w:tcBorders>
          </w:tcPr>
          <w:p>
            <w:pPr>
              <w:widowControl/>
              <w:rPr>
                <w:rFonts w:ascii="宋体" w:hAnsi="宋体"/>
                <w:spacing w:val="-24"/>
                <w:sz w:val="24"/>
                <w:szCs w:val="24"/>
              </w:rPr>
            </w:pPr>
          </w:p>
        </w:tc>
        <w:tc>
          <w:tcPr>
            <w:tcW w:w="709" w:type="dxa"/>
            <w:tcBorders>
              <w:left w:val="single" w:color="auto" w:sz="4" w:space="0"/>
            </w:tcBorders>
          </w:tcPr>
          <w:p>
            <w:pPr>
              <w:ind w:left="120"/>
              <w:rPr>
                <w:rFonts w:ascii="宋体" w:hAnsi="宋体"/>
                <w:spacing w:val="-24"/>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continue"/>
            <w:vAlign w:val="center"/>
          </w:tcPr>
          <w:p>
            <w:pPr>
              <w:widowControl/>
              <w:rPr>
                <w:rFonts w:ascii="宋体" w:hAnsi="宋体" w:cs="仿宋_GB2312"/>
                <w:sz w:val="24"/>
                <w:szCs w:val="24"/>
              </w:rPr>
            </w:pP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31～45</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46～60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r>
              <w:rPr>
                <w:rFonts w:ascii="宋体" w:hAnsi="宋体"/>
                <w:spacing w:val="-24"/>
                <w:sz w:val="24"/>
                <w:szCs w:val="24"/>
              </w:rPr>
              <w:t>1～15</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16～30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8" w:type="dxa"/>
            <w:tcBorders>
              <w:right w:val="single" w:color="auto" w:sz="4" w:space="0"/>
            </w:tcBorders>
          </w:tcPr>
          <w:p>
            <w:pPr>
              <w:widowControl/>
              <w:rPr>
                <w:rFonts w:ascii="宋体" w:hAnsi="宋体"/>
                <w:spacing w:val="-24"/>
                <w:sz w:val="24"/>
                <w:szCs w:val="24"/>
              </w:rPr>
            </w:pPr>
          </w:p>
        </w:tc>
        <w:tc>
          <w:tcPr>
            <w:tcW w:w="709" w:type="dxa"/>
            <w:tcBorders>
              <w:left w:val="single" w:color="auto" w:sz="4" w:space="0"/>
            </w:tcBorders>
          </w:tcPr>
          <w:p>
            <w:pPr>
              <w:ind w:left="120"/>
              <w:rPr>
                <w:rFonts w:ascii="宋体" w:hAnsi="宋体"/>
                <w:spacing w:val="-24"/>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restart"/>
            <w:vAlign w:val="center"/>
          </w:tcPr>
          <w:p>
            <w:pPr>
              <w:widowControl/>
              <w:rPr>
                <w:rFonts w:ascii="宋体" w:hAnsi="宋体" w:cs="仿宋_GB2312"/>
                <w:sz w:val="24"/>
                <w:szCs w:val="24"/>
              </w:rPr>
            </w:pPr>
            <w:r>
              <w:rPr>
                <w:rFonts w:ascii="宋体" w:hAnsi="宋体" w:cs="仿宋_GB2312"/>
                <w:sz w:val="24"/>
                <w:szCs w:val="24"/>
              </w:rPr>
              <w:t>仿真操作</w:t>
            </w: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9:40～11:40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14:30～16:30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r>
              <w:rPr>
                <w:rFonts w:ascii="宋体" w:hAnsi="宋体"/>
                <w:spacing w:val="-24"/>
                <w:sz w:val="24"/>
                <w:szCs w:val="24"/>
              </w:rPr>
              <w:t>9:30～11:30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14:30～16:30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8" w:type="dxa"/>
            <w:tcBorders>
              <w:right w:val="single" w:color="auto" w:sz="4" w:space="0"/>
            </w:tcBorders>
          </w:tcPr>
          <w:p>
            <w:pPr>
              <w:widowControl/>
              <w:rPr>
                <w:rFonts w:ascii="宋体" w:hAnsi="宋体"/>
                <w:spacing w:val="-24"/>
                <w:sz w:val="24"/>
                <w:szCs w:val="24"/>
              </w:rPr>
            </w:pPr>
          </w:p>
        </w:tc>
        <w:tc>
          <w:tcPr>
            <w:tcW w:w="709" w:type="dxa"/>
            <w:tcBorders>
              <w:left w:val="single" w:color="auto" w:sz="4" w:space="0"/>
            </w:tcBorders>
          </w:tcPr>
          <w:p>
            <w:pPr>
              <w:ind w:left="120"/>
              <w:rPr>
                <w:rFonts w:ascii="宋体" w:hAnsi="宋体"/>
                <w:spacing w:val="-24"/>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continue"/>
            <w:vAlign w:val="center"/>
          </w:tcPr>
          <w:p>
            <w:pPr>
              <w:widowControl/>
              <w:rPr>
                <w:rFonts w:ascii="宋体" w:hAnsi="宋体" w:cs="仿宋_GB2312"/>
                <w:sz w:val="24"/>
                <w:szCs w:val="24"/>
              </w:rPr>
            </w:pP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16～30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31～45</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r>
              <w:rPr>
                <w:rFonts w:ascii="宋体" w:hAnsi="宋体"/>
                <w:spacing w:val="-24"/>
                <w:sz w:val="24"/>
                <w:szCs w:val="24"/>
              </w:rPr>
              <w:t>46～60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1～15</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8" w:type="dxa"/>
            <w:tcBorders>
              <w:right w:val="single" w:color="auto" w:sz="4" w:space="0"/>
            </w:tcBorders>
          </w:tcPr>
          <w:p>
            <w:pPr>
              <w:widowControl/>
              <w:rPr>
                <w:rFonts w:ascii="宋体" w:hAnsi="宋体"/>
                <w:spacing w:val="-24"/>
                <w:sz w:val="24"/>
                <w:szCs w:val="24"/>
              </w:rPr>
            </w:pPr>
          </w:p>
        </w:tc>
        <w:tc>
          <w:tcPr>
            <w:tcW w:w="709" w:type="dxa"/>
            <w:tcBorders>
              <w:left w:val="single" w:color="auto" w:sz="4" w:space="0"/>
            </w:tcBorders>
          </w:tcPr>
          <w:p>
            <w:pPr>
              <w:ind w:left="120"/>
              <w:rPr>
                <w:rFonts w:ascii="宋体" w:hAnsi="宋体"/>
                <w:spacing w:val="-24"/>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restart"/>
            <w:vAlign w:val="center"/>
          </w:tcPr>
          <w:p>
            <w:pPr>
              <w:widowControl/>
              <w:rPr>
                <w:rFonts w:ascii="宋体" w:hAnsi="宋体" w:cs="仿宋_GB2312"/>
                <w:sz w:val="24"/>
                <w:szCs w:val="24"/>
              </w:rPr>
            </w:pPr>
            <w:r>
              <w:rPr>
                <w:rFonts w:ascii="宋体" w:hAnsi="宋体" w:cs="仿宋_GB2312"/>
                <w:sz w:val="24"/>
                <w:szCs w:val="24"/>
              </w:rPr>
              <w:t>精馏操作</w:t>
            </w: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9:20～10:50</w:t>
            </w:r>
          </w:p>
        </w:tc>
        <w:tc>
          <w:tcPr>
            <w:tcW w:w="709" w:type="dxa"/>
          </w:tcPr>
          <w:p>
            <w:pPr>
              <w:widowControl/>
              <w:rPr>
                <w:rFonts w:ascii="宋体" w:hAnsi="宋体"/>
                <w:spacing w:val="-24"/>
                <w:sz w:val="24"/>
                <w:szCs w:val="24"/>
              </w:rPr>
            </w:pPr>
            <w:r>
              <w:rPr>
                <w:rFonts w:ascii="宋体" w:hAnsi="宋体"/>
                <w:spacing w:val="-24"/>
                <w:sz w:val="24"/>
                <w:szCs w:val="24"/>
              </w:rPr>
              <w:t>12:30～14:00</w:t>
            </w:r>
          </w:p>
        </w:tc>
        <w:tc>
          <w:tcPr>
            <w:tcW w:w="708" w:type="dxa"/>
          </w:tcPr>
          <w:p>
            <w:pPr>
              <w:widowControl/>
              <w:rPr>
                <w:rFonts w:ascii="宋体" w:hAnsi="宋体"/>
                <w:spacing w:val="-24"/>
                <w:sz w:val="24"/>
                <w:szCs w:val="24"/>
              </w:rPr>
            </w:pPr>
            <w:r>
              <w:rPr>
                <w:rFonts w:ascii="宋体" w:hAnsi="宋体"/>
                <w:spacing w:val="-24"/>
                <w:sz w:val="24"/>
                <w:szCs w:val="24"/>
              </w:rPr>
              <w:t>15:00～16:30</w:t>
            </w:r>
          </w:p>
        </w:tc>
        <w:tc>
          <w:tcPr>
            <w:tcW w:w="709" w:type="dxa"/>
          </w:tcPr>
          <w:p>
            <w:pPr>
              <w:widowControl/>
              <w:rPr>
                <w:rFonts w:ascii="宋体" w:hAnsi="宋体"/>
                <w:spacing w:val="-24"/>
                <w:sz w:val="24"/>
                <w:szCs w:val="24"/>
              </w:rPr>
            </w:pPr>
            <w:r>
              <w:rPr>
                <w:rFonts w:ascii="宋体" w:hAnsi="宋体"/>
                <w:spacing w:val="-24"/>
                <w:sz w:val="24"/>
                <w:szCs w:val="24"/>
              </w:rPr>
              <w:t>17:30～19:00</w:t>
            </w:r>
          </w:p>
        </w:tc>
        <w:tc>
          <w:tcPr>
            <w:tcW w:w="709" w:type="dxa"/>
          </w:tcPr>
          <w:p>
            <w:pPr>
              <w:widowControl/>
              <w:rPr>
                <w:rFonts w:ascii="宋体" w:hAnsi="宋体"/>
                <w:spacing w:val="-24"/>
                <w:sz w:val="24"/>
                <w:szCs w:val="24"/>
              </w:rPr>
            </w:pPr>
            <w:r>
              <w:rPr>
                <w:rFonts w:ascii="宋体" w:hAnsi="宋体"/>
                <w:spacing w:val="-24"/>
                <w:sz w:val="24"/>
                <w:szCs w:val="24"/>
              </w:rPr>
              <w:t>8:00～9:30</w:t>
            </w:r>
          </w:p>
        </w:tc>
        <w:tc>
          <w:tcPr>
            <w:tcW w:w="709" w:type="dxa"/>
          </w:tcPr>
          <w:p>
            <w:pPr>
              <w:widowControl/>
              <w:rPr>
                <w:rFonts w:ascii="宋体" w:hAnsi="宋体"/>
                <w:spacing w:val="-24"/>
                <w:sz w:val="24"/>
                <w:szCs w:val="24"/>
              </w:rPr>
            </w:pPr>
            <w:r>
              <w:rPr>
                <w:rFonts w:ascii="宋体" w:hAnsi="宋体"/>
                <w:spacing w:val="-24"/>
                <w:sz w:val="24"/>
                <w:szCs w:val="24"/>
              </w:rPr>
              <w:t>10:30～12:00</w:t>
            </w:r>
          </w:p>
        </w:tc>
        <w:tc>
          <w:tcPr>
            <w:tcW w:w="708" w:type="dxa"/>
          </w:tcPr>
          <w:p>
            <w:pPr>
              <w:widowControl/>
              <w:rPr>
                <w:rFonts w:ascii="宋体" w:hAnsi="宋体"/>
                <w:spacing w:val="-24"/>
                <w:sz w:val="24"/>
                <w:szCs w:val="24"/>
              </w:rPr>
            </w:pPr>
            <w:r>
              <w:rPr>
                <w:rFonts w:ascii="宋体" w:hAnsi="宋体"/>
                <w:spacing w:val="-24"/>
                <w:sz w:val="24"/>
                <w:szCs w:val="24"/>
              </w:rPr>
              <w:t>14:00～15:30</w:t>
            </w:r>
          </w:p>
        </w:tc>
        <w:tc>
          <w:tcPr>
            <w:tcW w:w="709" w:type="dxa"/>
          </w:tcPr>
          <w:p>
            <w:pPr>
              <w:widowControl/>
              <w:rPr>
                <w:rFonts w:ascii="宋体" w:hAnsi="宋体"/>
                <w:spacing w:val="-24"/>
                <w:sz w:val="24"/>
                <w:szCs w:val="24"/>
              </w:rPr>
            </w:pPr>
            <w:r>
              <w:rPr>
                <w:rFonts w:ascii="宋体" w:hAnsi="宋体"/>
                <w:spacing w:val="-24"/>
                <w:sz w:val="24"/>
                <w:szCs w:val="24"/>
              </w:rPr>
              <w:t>16:30～18:00</w:t>
            </w:r>
          </w:p>
        </w:tc>
        <w:tc>
          <w:tcPr>
            <w:tcW w:w="709" w:type="dxa"/>
          </w:tcPr>
          <w:p>
            <w:pPr>
              <w:widowControl/>
              <w:rPr>
                <w:rFonts w:ascii="宋体" w:hAnsi="宋体"/>
                <w:spacing w:val="-24"/>
                <w:sz w:val="24"/>
                <w:szCs w:val="24"/>
              </w:rPr>
            </w:pPr>
            <w:r>
              <w:rPr>
                <w:rFonts w:ascii="宋体" w:hAnsi="宋体"/>
                <w:spacing w:val="-24"/>
                <w:sz w:val="24"/>
                <w:szCs w:val="24"/>
              </w:rPr>
              <w:t>8:00～9:30</w:t>
            </w:r>
          </w:p>
        </w:tc>
        <w:tc>
          <w:tcPr>
            <w:tcW w:w="709" w:type="dxa"/>
          </w:tcPr>
          <w:p>
            <w:pPr>
              <w:widowControl/>
              <w:rPr>
                <w:rFonts w:ascii="宋体" w:hAnsi="宋体"/>
                <w:spacing w:val="-24"/>
                <w:sz w:val="24"/>
                <w:szCs w:val="24"/>
              </w:rPr>
            </w:pPr>
            <w:r>
              <w:rPr>
                <w:rFonts w:ascii="宋体" w:hAnsi="宋体"/>
                <w:spacing w:val="-24"/>
                <w:sz w:val="24"/>
                <w:szCs w:val="24"/>
              </w:rPr>
              <w:t>10:30～12:00</w:t>
            </w:r>
          </w:p>
        </w:tc>
        <w:tc>
          <w:tcPr>
            <w:tcW w:w="708" w:type="dxa"/>
            <w:tcBorders>
              <w:right w:val="single" w:color="auto" w:sz="4" w:space="0"/>
            </w:tcBorders>
          </w:tcPr>
          <w:p>
            <w:pPr>
              <w:widowControl/>
              <w:rPr>
                <w:rFonts w:ascii="宋体" w:hAnsi="宋体"/>
                <w:spacing w:val="-24"/>
                <w:sz w:val="24"/>
                <w:szCs w:val="24"/>
              </w:rPr>
            </w:pPr>
            <w:r>
              <w:rPr>
                <w:rFonts w:ascii="宋体" w:hAnsi="宋体"/>
                <w:spacing w:val="-24"/>
                <w:sz w:val="24"/>
                <w:szCs w:val="24"/>
              </w:rPr>
              <w:t>13:00～14:30</w:t>
            </w:r>
          </w:p>
        </w:tc>
        <w:tc>
          <w:tcPr>
            <w:tcW w:w="709" w:type="dxa"/>
            <w:tcBorders>
              <w:left w:val="single" w:color="auto" w:sz="4" w:space="0"/>
            </w:tcBorders>
          </w:tcPr>
          <w:p>
            <w:pPr>
              <w:widowControl/>
              <w:rPr>
                <w:rFonts w:ascii="宋体" w:hAnsi="宋体"/>
                <w:spacing w:val="-24"/>
                <w:sz w:val="24"/>
                <w:szCs w:val="24"/>
              </w:rPr>
            </w:pPr>
            <w:r>
              <w:rPr>
                <w:rFonts w:ascii="宋体" w:hAnsi="宋体"/>
                <w:spacing w:val="-24"/>
                <w:sz w:val="24"/>
                <w:szCs w:val="24"/>
              </w:rPr>
              <w:t>15:30～17:00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continue"/>
          </w:tcPr>
          <w:p>
            <w:pPr>
              <w:widowControl/>
              <w:rPr>
                <w:rFonts w:ascii="宋体" w:hAnsi="宋体" w:cs="仿宋_GB2312"/>
                <w:sz w:val="24"/>
                <w:szCs w:val="24"/>
              </w:rPr>
            </w:pP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1～5</w:t>
            </w:r>
          </w:p>
        </w:tc>
        <w:tc>
          <w:tcPr>
            <w:tcW w:w="709" w:type="dxa"/>
          </w:tcPr>
          <w:p>
            <w:pPr>
              <w:widowControl/>
              <w:rPr>
                <w:rFonts w:ascii="宋体" w:hAnsi="宋体"/>
                <w:spacing w:val="-24"/>
                <w:sz w:val="24"/>
                <w:szCs w:val="24"/>
              </w:rPr>
            </w:pPr>
            <w:r>
              <w:rPr>
                <w:rFonts w:ascii="宋体" w:hAnsi="宋体"/>
                <w:spacing w:val="-24"/>
                <w:sz w:val="24"/>
                <w:szCs w:val="24"/>
              </w:rPr>
              <w:t>6～10</w:t>
            </w:r>
          </w:p>
        </w:tc>
        <w:tc>
          <w:tcPr>
            <w:tcW w:w="708" w:type="dxa"/>
          </w:tcPr>
          <w:p>
            <w:pPr>
              <w:widowControl/>
              <w:rPr>
                <w:rFonts w:ascii="宋体" w:hAnsi="宋体"/>
                <w:spacing w:val="-24"/>
                <w:sz w:val="24"/>
                <w:szCs w:val="24"/>
              </w:rPr>
            </w:pPr>
            <w:r>
              <w:rPr>
                <w:rFonts w:ascii="宋体" w:hAnsi="宋体"/>
                <w:spacing w:val="-24"/>
                <w:sz w:val="24"/>
                <w:szCs w:val="24"/>
              </w:rPr>
              <w:t>11～15</w:t>
            </w:r>
          </w:p>
        </w:tc>
        <w:tc>
          <w:tcPr>
            <w:tcW w:w="709" w:type="dxa"/>
          </w:tcPr>
          <w:p>
            <w:pPr>
              <w:widowControl/>
              <w:rPr>
                <w:rFonts w:ascii="宋体" w:hAnsi="宋体"/>
                <w:spacing w:val="-24"/>
                <w:sz w:val="24"/>
                <w:szCs w:val="24"/>
              </w:rPr>
            </w:pPr>
            <w:r>
              <w:rPr>
                <w:rFonts w:ascii="宋体" w:hAnsi="宋体"/>
                <w:spacing w:val="-24"/>
                <w:sz w:val="24"/>
                <w:szCs w:val="24"/>
              </w:rPr>
              <w:t>16～20</w:t>
            </w:r>
          </w:p>
        </w:tc>
        <w:tc>
          <w:tcPr>
            <w:tcW w:w="709" w:type="dxa"/>
          </w:tcPr>
          <w:p>
            <w:pPr>
              <w:widowControl/>
              <w:rPr>
                <w:rFonts w:ascii="宋体" w:hAnsi="宋体"/>
                <w:spacing w:val="-24"/>
                <w:sz w:val="24"/>
                <w:szCs w:val="24"/>
              </w:rPr>
            </w:pPr>
            <w:r>
              <w:rPr>
                <w:rFonts w:ascii="宋体" w:hAnsi="宋体"/>
                <w:spacing w:val="-24"/>
                <w:sz w:val="24"/>
                <w:szCs w:val="24"/>
              </w:rPr>
              <w:t>21～25</w:t>
            </w:r>
          </w:p>
        </w:tc>
        <w:tc>
          <w:tcPr>
            <w:tcW w:w="709" w:type="dxa"/>
          </w:tcPr>
          <w:p>
            <w:pPr>
              <w:widowControl/>
              <w:rPr>
                <w:rFonts w:ascii="宋体" w:hAnsi="宋体"/>
                <w:spacing w:val="-24"/>
                <w:sz w:val="24"/>
                <w:szCs w:val="24"/>
              </w:rPr>
            </w:pPr>
            <w:r>
              <w:rPr>
                <w:rFonts w:ascii="宋体" w:hAnsi="宋体"/>
                <w:spacing w:val="-24"/>
                <w:sz w:val="24"/>
                <w:szCs w:val="24"/>
              </w:rPr>
              <w:t>26～30</w:t>
            </w:r>
          </w:p>
        </w:tc>
        <w:tc>
          <w:tcPr>
            <w:tcW w:w="708" w:type="dxa"/>
          </w:tcPr>
          <w:p>
            <w:pPr>
              <w:widowControl/>
              <w:rPr>
                <w:rFonts w:ascii="宋体" w:hAnsi="宋体"/>
                <w:spacing w:val="-24"/>
                <w:sz w:val="24"/>
                <w:szCs w:val="24"/>
              </w:rPr>
            </w:pPr>
            <w:r>
              <w:rPr>
                <w:rFonts w:ascii="宋体" w:hAnsi="宋体"/>
                <w:spacing w:val="-24"/>
                <w:sz w:val="24"/>
                <w:szCs w:val="24"/>
              </w:rPr>
              <w:t>31～35</w:t>
            </w:r>
          </w:p>
        </w:tc>
        <w:tc>
          <w:tcPr>
            <w:tcW w:w="709" w:type="dxa"/>
          </w:tcPr>
          <w:p>
            <w:pPr>
              <w:widowControl/>
              <w:rPr>
                <w:rFonts w:ascii="宋体" w:hAnsi="宋体"/>
                <w:spacing w:val="-24"/>
                <w:sz w:val="24"/>
                <w:szCs w:val="24"/>
              </w:rPr>
            </w:pPr>
            <w:r>
              <w:rPr>
                <w:rFonts w:ascii="宋体" w:hAnsi="宋体"/>
                <w:spacing w:val="-24"/>
                <w:sz w:val="24"/>
                <w:szCs w:val="24"/>
              </w:rPr>
              <w:t>36～40</w:t>
            </w:r>
          </w:p>
        </w:tc>
        <w:tc>
          <w:tcPr>
            <w:tcW w:w="709" w:type="dxa"/>
          </w:tcPr>
          <w:p>
            <w:pPr>
              <w:widowControl/>
              <w:rPr>
                <w:rFonts w:ascii="宋体" w:hAnsi="宋体"/>
                <w:spacing w:val="-24"/>
                <w:sz w:val="24"/>
                <w:szCs w:val="24"/>
              </w:rPr>
            </w:pPr>
            <w:r>
              <w:rPr>
                <w:rFonts w:ascii="宋体" w:hAnsi="宋体"/>
                <w:spacing w:val="-24"/>
                <w:sz w:val="24"/>
                <w:szCs w:val="24"/>
              </w:rPr>
              <w:t>41～45</w:t>
            </w:r>
          </w:p>
        </w:tc>
        <w:tc>
          <w:tcPr>
            <w:tcW w:w="709" w:type="dxa"/>
          </w:tcPr>
          <w:p>
            <w:pPr>
              <w:widowControl/>
              <w:rPr>
                <w:rFonts w:ascii="宋体" w:hAnsi="宋体"/>
                <w:spacing w:val="-24"/>
                <w:sz w:val="24"/>
                <w:szCs w:val="24"/>
              </w:rPr>
            </w:pPr>
            <w:r>
              <w:rPr>
                <w:rFonts w:ascii="宋体" w:hAnsi="宋体"/>
                <w:spacing w:val="-24"/>
                <w:sz w:val="24"/>
                <w:szCs w:val="24"/>
              </w:rPr>
              <w:t>46～50</w:t>
            </w:r>
          </w:p>
        </w:tc>
        <w:tc>
          <w:tcPr>
            <w:tcW w:w="708" w:type="dxa"/>
            <w:tcBorders>
              <w:right w:val="single" w:color="auto" w:sz="4" w:space="0"/>
            </w:tcBorders>
          </w:tcPr>
          <w:p>
            <w:pPr>
              <w:widowControl/>
              <w:rPr>
                <w:rFonts w:ascii="宋体" w:hAnsi="宋体"/>
                <w:spacing w:val="-24"/>
                <w:sz w:val="24"/>
                <w:szCs w:val="24"/>
              </w:rPr>
            </w:pPr>
            <w:r>
              <w:rPr>
                <w:rFonts w:ascii="宋体" w:hAnsi="宋体"/>
                <w:spacing w:val="-24"/>
                <w:sz w:val="24"/>
                <w:szCs w:val="24"/>
              </w:rPr>
              <w:t>51～55</w:t>
            </w:r>
          </w:p>
        </w:tc>
        <w:tc>
          <w:tcPr>
            <w:tcW w:w="709" w:type="dxa"/>
            <w:tcBorders>
              <w:left w:val="single" w:color="auto" w:sz="4" w:space="0"/>
            </w:tcBorders>
          </w:tcPr>
          <w:p>
            <w:pPr>
              <w:widowControl/>
              <w:rPr>
                <w:rFonts w:ascii="宋体" w:hAnsi="宋体"/>
                <w:spacing w:val="-24"/>
                <w:sz w:val="24"/>
                <w:szCs w:val="24"/>
              </w:rPr>
            </w:pPr>
            <w:r>
              <w:rPr>
                <w:rFonts w:ascii="宋体" w:hAnsi="宋体"/>
                <w:spacing w:val="-24"/>
                <w:sz w:val="24"/>
                <w:szCs w:val="24"/>
              </w:rPr>
              <w:t>56～60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8" w:hRule="atLeast"/>
        </w:trPr>
        <w:tc>
          <w:tcPr>
            <w:tcW w:w="9322" w:type="dxa"/>
            <w:gridSpan w:val="14"/>
          </w:tcPr>
          <w:p>
            <w:pPr>
              <w:widowControl/>
              <w:rPr>
                <w:rFonts w:ascii="宋体" w:hAnsi="宋体" w:cs="仿宋_GB2312"/>
                <w:sz w:val="24"/>
                <w:szCs w:val="24"/>
              </w:rPr>
            </w:pPr>
            <w:r>
              <w:rPr>
                <w:rFonts w:ascii="宋体" w:hAnsi="宋体" w:cs="仿宋_GB2312"/>
                <w:sz w:val="24"/>
                <w:szCs w:val="24"/>
              </w:rPr>
              <w:t>注：1.表中由两位阿拉伯数字组成的数码（如：01）为参赛队代码（通过抽取决定，抽签在领队会议进行），代码正上方对应的时间为该代表队参加对应项目的竞赛时间；</w:t>
            </w:r>
          </w:p>
          <w:p>
            <w:pPr>
              <w:widowControl/>
              <w:ind w:firstLine="480" w:firstLineChars="200"/>
              <w:rPr>
                <w:rFonts w:ascii="宋体" w:hAnsi="宋体" w:cs="仿宋_GB2312"/>
                <w:sz w:val="24"/>
                <w:szCs w:val="24"/>
              </w:rPr>
            </w:pPr>
            <w:r>
              <w:rPr>
                <w:rFonts w:ascii="宋体" w:hAnsi="宋体" w:cs="仿宋_GB2312"/>
                <w:sz w:val="24"/>
                <w:szCs w:val="24"/>
              </w:rPr>
              <w:t>2.参赛选手须提前30分钟凭参赛证和身份证至指定地点参加赛前检录和抽签等工作。</w:t>
            </w:r>
          </w:p>
          <w:p>
            <w:pPr>
              <w:widowControl/>
              <w:ind w:firstLine="480" w:firstLineChars="200"/>
              <w:rPr>
                <w:rFonts w:ascii="宋体" w:hAnsi="宋体" w:cs="仿宋_GB2312"/>
                <w:sz w:val="24"/>
                <w:szCs w:val="24"/>
              </w:rPr>
            </w:pPr>
            <w:r>
              <w:rPr>
                <w:rFonts w:ascii="宋体" w:hAnsi="宋体" w:cs="仿宋_GB2312"/>
                <w:sz w:val="24"/>
                <w:szCs w:val="24"/>
              </w:rPr>
              <w:t>3.竞赛地点：（1）专业知识，</w:t>
            </w:r>
            <w:r>
              <w:rPr>
                <w:rFonts w:hint="eastAsia" w:ascii="宋体" w:hAnsi="宋体" w:cs="仿宋_GB2312"/>
                <w:sz w:val="24"/>
                <w:szCs w:val="24"/>
              </w:rPr>
              <w:t>天工</w:t>
            </w:r>
            <w:r>
              <w:rPr>
                <w:rFonts w:ascii="宋体" w:hAnsi="宋体" w:cs="仿宋_GB2312"/>
                <w:sz w:val="24"/>
                <w:szCs w:val="24"/>
              </w:rPr>
              <w:t>楼A415；化工仿真，合一楼A411；（2）精馏操作，合一楼C101～103。</w:t>
            </w: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rPr>
          <w:rFonts w:ascii="仿宋_GB2312" w:hAnsi="宋体" w:eastAsia="仿宋_GB2312"/>
          <w:sz w:val="30"/>
          <w:szCs w:val="30"/>
        </w:rPr>
      </w:pPr>
      <w:r>
        <w:rPr>
          <w:rFonts w:hint="eastAsia" w:ascii="Arial Narrow" w:hAnsi="Arial Narrow" w:eastAsia="仿宋_GB2312" w:cs="Arial"/>
          <w:sz w:val="30"/>
          <w:szCs w:val="30"/>
        </w:rPr>
        <w:t>本赛项</w:t>
      </w:r>
      <w:r>
        <w:rPr>
          <w:rFonts w:hint="eastAsia" w:ascii="仿宋_GB2312" w:hAnsi="宋体" w:eastAsia="仿宋_GB2312"/>
          <w:sz w:val="30"/>
          <w:szCs w:val="30"/>
        </w:rPr>
        <w:t>竞赛试题由化工生产仿真操作、精馏操作和化工专业知识考核三个部分试题组成，并</w:t>
      </w:r>
      <w:r>
        <w:rPr>
          <w:rFonts w:hint="eastAsia" w:ascii="Arial Narrow" w:hAnsi="Arial Narrow" w:eastAsia="仿宋_GB2312" w:cs="Arial"/>
          <w:sz w:val="30"/>
          <w:szCs w:val="30"/>
        </w:rPr>
        <w:t>已为参赛校提供了竞赛题库。根据本赛项的特点，化工仿真操作有专门的竞赛训练软件免费提供给参赛校用于培训，该软件提供了考核所需的全部工艺操作开、停车、稳定操作和事故处理模块，考核时可根据竞赛出题规则生成考核试卷，不存在竞赛赛卷的套数与重复率问题；精馏操作考核是在前提条件完成相同下的实操项目，最终是根据选手所得产品的产量、浓度、消耗和优化控制等综合评分，不存在赛题试卷的套数与重复率问题；化工专业知识考核则提供了考核命题标准、范围和考核题库（化工出版社出版的《化工总控工应知试题题集》），考核时根据命题标准与范围，由计算机从题库随机生成不少于10套且</w:t>
      </w:r>
      <w:r>
        <w:rPr>
          <w:rFonts w:hint="eastAsia" w:ascii="仿宋_GB2312" w:hAnsi="Arial Narrow" w:eastAsia="仿宋_GB2312"/>
          <w:sz w:val="30"/>
          <w:szCs w:val="30"/>
        </w:rPr>
        <w:t>重复率不超过50%</w:t>
      </w:r>
      <w:r>
        <w:rPr>
          <w:rFonts w:hint="eastAsia" w:ascii="Arial Narrow" w:hAnsi="Arial Narrow" w:eastAsia="仿宋_GB2312" w:cs="Arial"/>
          <w:sz w:val="30"/>
          <w:szCs w:val="30"/>
        </w:rPr>
        <w:t>的试题供选手考核。各竞赛项目</w:t>
      </w:r>
      <w:r>
        <w:rPr>
          <w:rFonts w:hint="eastAsia" w:ascii="仿宋_GB2312" w:hAnsi="宋体" w:eastAsia="仿宋_GB2312"/>
          <w:sz w:val="30"/>
          <w:szCs w:val="30"/>
        </w:rPr>
        <w:t>具体样题如下。</w:t>
      </w:r>
    </w:p>
    <w:p>
      <w:pPr>
        <w:spacing w:line="560" w:lineRule="exact"/>
        <w:ind w:firstLine="588" w:firstLineChars="196"/>
        <w:rPr>
          <w:rFonts w:ascii="仿宋_GB2312" w:hAnsi="宋体" w:eastAsia="仿宋_GB2312"/>
          <w:bCs/>
          <w:sz w:val="30"/>
          <w:szCs w:val="30"/>
        </w:rPr>
      </w:pPr>
      <w:r>
        <w:rPr>
          <w:rFonts w:hint="eastAsia" w:ascii="仿宋_GB2312" w:hAnsi="宋体" w:eastAsia="仿宋_GB2312"/>
          <w:bCs/>
          <w:sz w:val="30"/>
          <w:szCs w:val="30"/>
        </w:rPr>
        <w:t>（一）化工仿真操作样题</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 xml:space="preserve">1．考核题目 </w:t>
      </w:r>
    </w:p>
    <w:p>
      <w:pPr>
        <w:spacing w:line="560" w:lineRule="exact"/>
        <w:ind w:firstLine="588" w:firstLineChars="196"/>
        <w:rPr>
          <w:rFonts w:ascii="仿宋_GB2312" w:hAnsi="宋体" w:eastAsia="仿宋_GB2312"/>
          <w:color w:val="FF0000"/>
          <w:sz w:val="30"/>
          <w:szCs w:val="30"/>
        </w:rPr>
      </w:pPr>
      <w:r>
        <w:rPr>
          <w:rFonts w:hint="eastAsia" w:ascii="仿宋_GB2312" w:hAnsi="宋体" w:eastAsia="仿宋_GB2312"/>
          <w:sz w:val="30"/>
          <w:szCs w:val="30"/>
        </w:rPr>
        <w:t>丙烯酸甲酯生产</w:t>
      </w:r>
      <w:r>
        <w:rPr>
          <w:rFonts w:ascii="仿宋_GB2312" w:hAnsi="宋体" w:eastAsia="仿宋_GB2312"/>
          <w:sz w:val="30"/>
          <w:szCs w:val="30"/>
        </w:rPr>
        <w:t>工艺</w:t>
      </w:r>
      <w:r>
        <w:rPr>
          <w:rFonts w:hint="eastAsia" w:ascii="仿宋_GB2312" w:hAnsi="宋体" w:eastAsia="仿宋_GB2312"/>
          <w:sz w:val="30"/>
          <w:szCs w:val="30"/>
        </w:rPr>
        <w:t>仿真操作</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2．考核内容</w:t>
      </w:r>
    </w:p>
    <w:p>
      <w:pPr>
        <w:spacing w:line="560" w:lineRule="exact"/>
        <w:ind w:firstLine="588" w:firstLineChars="196"/>
        <w:rPr>
          <w:rFonts w:ascii="宋体" w:hAnsi="宋体"/>
          <w:sz w:val="30"/>
          <w:szCs w:val="30"/>
        </w:rPr>
      </w:pPr>
      <w:r>
        <w:rPr>
          <w:rFonts w:hint="eastAsia" w:ascii="仿宋_GB2312" w:hAnsi="宋体" w:eastAsia="仿宋_GB2312"/>
          <w:sz w:val="30"/>
          <w:szCs w:val="30"/>
        </w:rPr>
        <w:t>1)冷态开车；2)正常停车；3)事故处理（屏蔽事故名称，由选手根据现象判断并排除事故）；4）稳态生产（通过教师站随机下发扰动，选手判断并解除）。5）随机提问回答（冷态开车时段内）。具体题型见表5。</w:t>
      </w:r>
    </w:p>
    <w:p>
      <w:pPr>
        <w:ind w:firstLine="472" w:firstLineChars="196"/>
        <w:jc w:val="center"/>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表5 化工仿真操作题</w:t>
      </w:r>
    </w:p>
    <w:tbl>
      <w:tblPr>
        <w:tblStyle w:val="18"/>
        <w:tblW w:w="8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533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71" w:type="dxa"/>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5331" w:type="dxa"/>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题目内容</w:t>
            </w:r>
          </w:p>
        </w:tc>
        <w:tc>
          <w:tcPr>
            <w:tcW w:w="202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71"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3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丙烯酸</w:t>
            </w:r>
            <w:r>
              <w:rPr>
                <w:rFonts w:asciiTheme="minorEastAsia" w:hAnsiTheme="minorEastAsia" w:eastAsiaTheme="minorEastAsia"/>
                <w:sz w:val="24"/>
                <w:szCs w:val="24"/>
              </w:rPr>
              <w:t>甲酯冷态</w:t>
            </w:r>
            <w:r>
              <w:rPr>
                <w:rFonts w:hint="eastAsia" w:asciiTheme="minorEastAsia" w:hAnsiTheme="minorEastAsia" w:eastAsiaTheme="minorEastAsia"/>
                <w:sz w:val="24"/>
                <w:szCs w:val="24"/>
              </w:rPr>
              <w:t>开车</w:t>
            </w:r>
          </w:p>
        </w:tc>
        <w:tc>
          <w:tcPr>
            <w:tcW w:w="20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71"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3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丙烯酸甲酯稳定</w:t>
            </w:r>
            <w:r>
              <w:rPr>
                <w:rFonts w:asciiTheme="minorEastAsia" w:hAnsiTheme="minorEastAsia" w:eastAsiaTheme="minorEastAsia"/>
                <w:sz w:val="24"/>
                <w:szCs w:val="24"/>
              </w:rPr>
              <w:t>生产</w:t>
            </w:r>
          </w:p>
        </w:tc>
        <w:tc>
          <w:tcPr>
            <w:tcW w:w="20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53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丙烯酸</w:t>
            </w:r>
            <w:r>
              <w:rPr>
                <w:rFonts w:asciiTheme="minorEastAsia" w:hAnsiTheme="minorEastAsia" w:eastAsiaTheme="minorEastAsia"/>
                <w:sz w:val="24"/>
                <w:szCs w:val="24"/>
              </w:rPr>
              <w:t>甲酯正常停车</w:t>
            </w:r>
          </w:p>
        </w:tc>
        <w:tc>
          <w:tcPr>
            <w:tcW w:w="20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71"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53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丙烯酸</w:t>
            </w:r>
            <w:r>
              <w:rPr>
                <w:rFonts w:asciiTheme="minorEastAsia" w:hAnsiTheme="minorEastAsia" w:eastAsiaTheme="minorEastAsia"/>
                <w:sz w:val="24"/>
                <w:szCs w:val="24"/>
              </w:rPr>
              <w:t>甲酯事故</w:t>
            </w:r>
            <w:r>
              <w:rPr>
                <w:rFonts w:hint="eastAsia" w:asciiTheme="minorEastAsia" w:hAnsiTheme="minorEastAsia" w:eastAsiaTheme="minorEastAsia"/>
                <w:sz w:val="24"/>
                <w:szCs w:val="24"/>
              </w:rPr>
              <w:t xml:space="preserve">1： </w:t>
            </w:r>
          </w:p>
        </w:tc>
        <w:tc>
          <w:tcPr>
            <w:tcW w:w="20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53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丙烯酸</w:t>
            </w:r>
            <w:r>
              <w:rPr>
                <w:rFonts w:asciiTheme="minorEastAsia" w:hAnsiTheme="minorEastAsia" w:eastAsiaTheme="minorEastAsia"/>
                <w:sz w:val="24"/>
                <w:szCs w:val="24"/>
              </w:rPr>
              <w:t>甲酯事故2</w:t>
            </w:r>
            <w:r>
              <w:rPr>
                <w:rFonts w:hint="eastAsia" w:asciiTheme="minorEastAsia" w:hAnsiTheme="minorEastAsia" w:eastAsiaTheme="minorEastAsia"/>
                <w:sz w:val="24"/>
                <w:szCs w:val="24"/>
              </w:rPr>
              <w:t>：</w:t>
            </w:r>
          </w:p>
        </w:tc>
        <w:tc>
          <w:tcPr>
            <w:tcW w:w="20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53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丙烯酸</w:t>
            </w:r>
            <w:r>
              <w:rPr>
                <w:rFonts w:asciiTheme="minorEastAsia" w:hAnsiTheme="minorEastAsia" w:eastAsiaTheme="minorEastAsia"/>
                <w:sz w:val="24"/>
                <w:szCs w:val="24"/>
              </w:rPr>
              <w:t>甲酯事故3</w:t>
            </w:r>
            <w:r>
              <w:rPr>
                <w:rFonts w:hint="eastAsia" w:asciiTheme="minorEastAsia" w:hAnsiTheme="minorEastAsia" w:eastAsiaTheme="minorEastAsia"/>
                <w:sz w:val="24"/>
                <w:szCs w:val="24"/>
              </w:rPr>
              <w:t>：</w:t>
            </w:r>
          </w:p>
        </w:tc>
        <w:tc>
          <w:tcPr>
            <w:tcW w:w="20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53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丙烯酸</w:t>
            </w:r>
            <w:r>
              <w:rPr>
                <w:rFonts w:asciiTheme="minorEastAsia" w:hAnsiTheme="minorEastAsia" w:eastAsiaTheme="minorEastAsia"/>
                <w:sz w:val="24"/>
                <w:szCs w:val="24"/>
              </w:rPr>
              <w:t>甲酯事故4</w:t>
            </w:r>
            <w:r>
              <w:rPr>
                <w:rFonts w:hint="eastAsia" w:asciiTheme="minorEastAsia" w:hAnsiTheme="minorEastAsia" w:eastAsiaTheme="minorEastAsia"/>
                <w:sz w:val="24"/>
                <w:szCs w:val="24"/>
              </w:rPr>
              <w:t>：</w:t>
            </w:r>
          </w:p>
        </w:tc>
        <w:tc>
          <w:tcPr>
            <w:tcW w:w="20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不限定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71"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53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随机提问回答</w:t>
            </w:r>
          </w:p>
        </w:tc>
        <w:tc>
          <w:tcPr>
            <w:tcW w:w="202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871"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总计</w:t>
            </w:r>
          </w:p>
        </w:tc>
        <w:tc>
          <w:tcPr>
            <w:tcW w:w="5331" w:type="dxa"/>
          </w:tcPr>
          <w:p>
            <w:pPr>
              <w:rPr>
                <w:rFonts w:asciiTheme="minorEastAsia" w:hAnsiTheme="minorEastAsia" w:eastAsiaTheme="minorEastAsia"/>
                <w:sz w:val="24"/>
                <w:szCs w:val="24"/>
              </w:rPr>
            </w:pPr>
          </w:p>
        </w:tc>
        <w:tc>
          <w:tcPr>
            <w:tcW w:w="2029"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w:instrText>
            </w:r>
            <w:r>
              <w:rPr>
                <w:rFonts w:hint="eastAsia" w:asciiTheme="minorEastAsia" w:hAnsiTheme="minorEastAsia" w:eastAsiaTheme="minorEastAsia"/>
                <w:sz w:val="24"/>
                <w:szCs w:val="24"/>
              </w:rPr>
              <w:instrText xml:space="preserve">=SUM(ABOVE)</w:instrText>
            </w:r>
            <w:r>
              <w:rPr>
                <w:rFonts w:asciiTheme="minorEastAsia" w:hAnsiTheme="minorEastAsia" w:eastAsiaTheme="minorEastAsia"/>
                <w:sz w:val="24"/>
                <w:szCs w:val="24"/>
              </w:rPr>
              <w:instrText xml:space="preserve">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120</w:t>
            </w:r>
            <w:r>
              <w:rPr>
                <w:rFonts w:asciiTheme="minorEastAsia" w:hAnsiTheme="minorEastAsia" w:eastAsiaTheme="minorEastAsia"/>
                <w:sz w:val="24"/>
                <w:szCs w:val="24"/>
              </w:rPr>
              <w:fldChar w:fldCharType="end"/>
            </w:r>
          </w:p>
        </w:tc>
      </w:tr>
    </w:tbl>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3．考核说明</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（1）丙烯酸甲酯生产</w:t>
      </w:r>
      <w:r>
        <w:rPr>
          <w:rFonts w:ascii="仿宋_GB2312" w:hAnsi="宋体" w:eastAsia="仿宋_GB2312"/>
          <w:sz w:val="30"/>
          <w:szCs w:val="30"/>
        </w:rPr>
        <w:t>工艺</w:t>
      </w:r>
      <w:r>
        <w:rPr>
          <w:rFonts w:hint="eastAsia" w:ascii="仿宋_GB2312" w:hAnsi="宋体" w:eastAsia="仿宋_GB2312"/>
          <w:sz w:val="30"/>
          <w:szCs w:val="30"/>
        </w:rPr>
        <w:t>操作软件采用通用DCS风格。</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（2）仿真考试时间为120分钟，试卷满分为100分。</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（3）稳定生产用20分钟，期间随机触发15个扰动，要求选手在规定时间进行处理和恢复正常运行，无论选手处理正确与否，扰动定时消失，电脑随即记录成绩。</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（4）冷态开车操作过程中，会随机出现15个提问对话框，需选手作出回答。无论选手回答与否，对话框将定时消失，电脑随即记录成绩。</w:t>
      </w:r>
    </w:p>
    <w:p>
      <w:pPr>
        <w:spacing w:line="560" w:lineRule="exact"/>
        <w:ind w:firstLine="588" w:firstLineChars="196"/>
        <w:rPr>
          <w:rFonts w:ascii="仿宋_GB2312" w:hAnsi="宋体" w:eastAsia="仿宋_GB2312"/>
          <w:bCs/>
          <w:sz w:val="30"/>
          <w:szCs w:val="30"/>
        </w:rPr>
      </w:pPr>
      <w:r>
        <w:rPr>
          <w:rFonts w:hint="eastAsia" w:ascii="仿宋_GB2312" w:hAnsi="宋体" w:eastAsia="仿宋_GB2312"/>
          <w:bCs/>
          <w:sz w:val="30"/>
          <w:szCs w:val="30"/>
        </w:rPr>
        <w:t>（二）精馏操作样题</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1．竞赛题目</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以乙醇-水溶液为工作介质，在规定时间（90分钟）内完成精馏操作全过程。</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2．考核内容</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操作所得产品产量、产品质量（浓度）、生产消耗（水电消耗）、规范操作及安全与文明生产状况。满分100分。</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3．考核要求</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（1）掌握精馏装置的构成、物料流程及操作控制点（阀门）。</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（2）在规定时间内完成开车准备、开车、总控操作和停车操作，操作方式为手动操作（即现场操作及在DSC界面上进行手动控制）。</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（3）控制再沸器液位、进料温度、塔顶压力、塔压差、回流量、采出量等工艺参数，维持精馏操作正常运行。</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（4）正确判断运行状态，分析不正常现象的原因，采取相应措施，排除干扰，恢复正常运行。</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（5）优化操作控制，合理控制产能、质量、消耗等指标。</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4．赛前条件</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（1）精馏原料为[(10-15)±0.2]%（质量分数）的乙醇水溶液（室温）；</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（2）原料罐中原料加满，原料预热器预热并已清空、精馏塔塔体已经全回流预热，其他管路系统已尽可能清空；</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（3）赛前原料预热器、塔釜再沸器无物料，需选手根据考核细则自行加料至合适液位；</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（4）进料状态为常压，进料温度尽可能控制在泡点温度（自行控制），进料量≤60L/h，操作时进料位置自选，但需在进料前于DCS操作面板上选择进料板后再进行进料操作；</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（5）DCS系统中的评分表经裁判员清零、复位且所有数据显示为零，复位键呈绿色；</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（6）设备供水至进水总管，选手需打开水表前进水总阀及回水总阀；</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（7）电已接至控制台；</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（8）所有工具、量具、标志牌、器具、计算器均已置于适当位置备用。</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5．考核须知</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（1）选手须在规定时间到检录处报到、检录，抽签确定竞赛工位；若未按时报到、检录者，视为自动放弃参赛资格。</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（2）检录后选手在候赛处候赛，提前10分钟进现场，熟悉装置流程；并自备并携带记录笔、计算器进入赛场。</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（3）选手进入精馏赛场，须统一着工作服、戴安全帽，禁止穿钉子鞋和高跟鞋，禁止携带火柴、打火机等火种和禁止携带手机等易产生静电的物体，严禁在比赛现场抽烟。</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（4）竞赛选手应分工确定本工位主、副操作岗位，并严格按照安全操作规程协作操控装置，确保装置安全运行。</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（5）选手开机操作前检查确定工艺阀门时，要挂红牌或绿牌以表示阀门初起开关状态，考核结束后恢复至初始状态；对电磁阀、取样阀、阻火器不作挂牌要求。</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（6）竞赛选手须独立操控装置，安全运行；除设备、调控仪表故障外，不得就运行情况和操作事项询问或请示裁判，裁判也不得就运行或操作情况，示意或暗示选手。</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7）竞赛期间，每组选手的取样分析次数不得超过3次（不包括结束时的成品分析），样品分析检验由气谱分析员操作；选手取样并填写送检单、送检并等候检验报告；检验报告须气谱分析员确认后，再交给本工位的主操；残余样品应倒入样品回收桶，不得随意倒洒。</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8）竞赛结束，选手须检查装置是否处于安全停车状态、设备是否完好，并清整维护现场，在操作记录上签字后，将操作记录、样品送检、分析检验报告单等交给裁判，现场确认裁判输入评分表的数据后，经裁判允许即可退场。</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（9）竞赛不得超过规定总用时（90分钟），若竞赛操作进行至80分钟后，选手仍未进行停车操作阶段，经裁判长允许，裁判有权命令选手实施停车操作程序，竞赛结果选手自负。</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（10）赛中若突遇停电、停水等突发事件，应采取紧急停车操作，冷静处置，并按要求及时启动竞赛现场突发事件应急处理预案。</w:t>
      </w:r>
    </w:p>
    <w:p>
      <w:pPr>
        <w:spacing w:line="560" w:lineRule="exact"/>
        <w:ind w:firstLine="588" w:firstLineChars="196"/>
        <w:rPr>
          <w:rFonts w:ascii="仿宋_GB2312" w:hAnsi="宋体" w:eastAsia="仿宋_GB2312"/>
          <w:bCs/>
          <w:sz w:val="30"/>
          <w:szCs w:val="30"/>
        </w:rPr>
      </w:pPr>
      <w:r>
        <w:rPr>
          <w:rFonts w:hint="eastAsia" w:ascii="仿宋_GB2312" w:hAnsi="宋体" w:eastAsia="仿宋_GB2312"/>
          <w:bCs/>
          <w:sz w:val="30"/>
          <w:szCs w:val="30"/>
        </w:rPr>
        <w:t>（三）化工专业知识考核样题</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1．考核题目</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高职组化工专业知识考核题</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2．考核内容及方法</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含40题单选题、20题多选题和40题判断题，每题1分，满分100分。考题由计算机从题库中随机生成，选手在60分钟内完成考核，考核成绩由计算机自动生成。</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3．考核样题（如表6）</w:t>
      </w:r>
    </w:p>
    <w:p>
      <w:pPr>
        <w:ind w:firstLine="482" w:firstLineChars="20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表6  化工专业知识考核题（样题）</w:t>
      </w:r>
    </w:p>
    <w:tbl>
      <w:tblPr>
        <w:tblStyle w:val="18"/>
        <w:tblW w:w="8374" w:type="dxa"/>
        <w:tblInd w:w="98" w:type="dxa"/>
        <w:tblLayout w:type="fixed"/>
        <w:tblCellMar>
          <w:top w:w="0" w:type="dxa"/>
          <w:left w:w="108" w:type="dxa"/>
          <w:bottom w:w="0" w:type="dxa"/>
          <w:right w:w="108" w:type="dxa"/>
        </w:tblCellMar>
      </w:tblPr>
      <w:tblGrid>
        <w:gridCol w:w="721"/>
        <w:gridCol w:w="6377"/>
        <w:gridCol w:w="709"/>
        <w:gridCol w:w="567"/>
      </w:tblGrid>
      <w:tr>
        <w:tblPrEx>
          <w:tblLayout w:type="fixed"/>
          <w:tblCellMar>
            <w:top w:w="0" w:type="dxa"/>
            <w:left w:w="108" w:type="dxa"/>
            <w:bottom w:w="0" w:type="dxa"/>
            <w:right w:w="108" w:type="dxa"/>
          </w:tblCellMar>
        </w:tblPrEx>
        <w:trPr>
          <w:trHeight w:val="289" w:hRule="atLeast"/>
        </w:trPr>
        <w:tc>
          <w:tcPr>
            <w:tcW w:w="8374" w:type="dxa"/>
            <w:gridSpan w:val="4"/>
            <w:tcBorders>
              <w:top w:val="single" w:color="auto" w:sz="4" w:space="0"/>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一、单选题（共40道题，每题1分）</w:t>
            </w: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序号</w:t>
            </w:r>
          </w:p>
        </w:tc>
        <w:tc>
          <w:tcPr>
            <w:tcW w:w="6377" w:type="dxa"/>
            <w:tcBorders>
              <w:top w:val="nil"/>
              <w:left w:val="nil"/>
              <w:bottom w:val="single" w:color="auto" w:sz="4" w:space="0"/>
              <w:right w:val="single" w:color="auto" w:sz="4" w:space="0"/>
            </w:tcBorders>
            <w:vAlign w:val="center"/>
          </w:tcPr>
          <w:p>
            <w:pPr>
              <w:widowControl/>
              <w:jc w:val="center"/>
              <w:rPr>
                <w:rFonts w:cs="Arial" w:asciiTheme="minorEastAsia" w:hAnsiTheme="minorEastAsia" w:eastAsiaTheme="minorEastAsia"/>
                <w:kern w:val="0"/>
                <w:sz w:val="24"/>
                <w:szCs w:val="24"/>
              </w:rPr>
            </w:pPr>
            <w:r>
              <w:rPr>
                <w:rFonts w:cs="Arial" w:asciiTheme="minorEastAsia" w:hAnsiTheme="minorEastAsia" w:eastAsiaTheme="minorEastAsia"/>
                <w:b/>
                <w:bCs/>
                <w:kern w:val="0"/>
                <w:sz w:val="24"/>
                <w:szCs w:val="24"/>
              </w:rPr>
              <w:t>试题</w:t>
            </w:r>
          </w:p>
        </w:tc>
        <w:tc>
          <w:tcPr>
            <w:tcW w:w="709" w:type="dxa"/>
            <w:tcBorders>
              <w:top w:val="nil"/>
              <w:left w:val="nil"/>
              <w:bottom w:val="single" w:color="auto" w:sz="4" w:space="0"/>
              <w:right w:val="single" w:color="auto" w:sz="4" w:space="0"/>
            </w:tcBorders>
            <w:vAlign w:val="center"/>
          </w:tcPr>
          <w:p>
            <w:pPr>
              <w:widowControl/>
              <w:jc w:val="center"/>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考生答案</w:t>
            </w:r>
          </w:p>
        </w:tc>
        <w:tc>
          <w:tcPr>
            <w:tcW w:w="567" w:type="dxa"/>
            <w:tcBorders>
              <w:top w:val="nil"/>
              <w:left w:val="nil"/>
              <w:bottom w:val="single" w:color="auto" w:sz="4" w:space="0"/>
              <w:right w:val="single" w:color="auto" w:sz="4" w:space="0"/>
            </w:tcBorders>
            <w:vAlign w:val="center"/>
          </w:tcPr>
          <w:p>
            <w:pPr>
              <w:widowControl/>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得分</w:t>
            </w: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保护听力而言，一般认为每天</w:t>
            </w:r>
            <w:r>
              <w:rPr>
                <w:rFonts w:cs="Arial" w:asciiTheme="minorEastAsia" w:hAnsiTheme="minorEastAsia" w:eastAsiaTheme="minorEastAsia"/>
                <w:kern w:val="0"/>
                <w:sz w:val="24"/>
                <w:szCs w:val="24"/>
              </w:rPr>
              <w:t>8</w:t>
            </w:r>
            <w:r>
              <w:rPr>
                <w:rFonts w:hint="eastAsia" w:cs="Arial" w:asciiTheme="minorEastAsia" w:hAnsiTheme="minorEastAsia" w:eastAsiaTheme="minorEastAsia"/>
                <w:kern w:val="0"/>
                <w:sz w:val="24"/>
                <w:szCs w:val="24"/>
              </w:rPr>
              <w:t>小时长期工作在</w:t>
            </w:r>
            <w:r>
              <w:rPr>
                <w:rFonts w:cs="Arial" w:asciiTheme="minorEastAsia" w:hAnsiTheme="minorEastAsia" w:eastAsiaTheme="minorEastAsia"/>
                <w:kern w:val="0"/>
                <w:sz w:val="24"/>
                <w:szCs w:val="24"/>
              </w:rPr>
              <w:t>( )</w:t>
            </w:r>
            <w:r>
              <w:rPr>
                <w:rFonts w:hint="eastAsia" w:cs="Arial" w:asciiTheme="minorEastAsia" w:hAnsiTheme="minorEastAsia" w:eastAsiaTheme="minorEastAsia"/>
                <w:kern w:val="0"/>
                <w:sz w:val="24"/>
                <w:szCs w:val="24"/>
              </w:rPr>
              <w:t>分贝以下，听力不会损失</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110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100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80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90</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对于安全泄压排放量大的中低压容器最好采用（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爆破片</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微启式安全阀</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全启式安全阀</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不能确定</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工业上噪声的个人防护采用的措施为(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佩戴个人防护用品</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隔声装置</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消声装置</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吸声装置</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对流传热时流体处于湍动状态，在滞流内层中，热量传递的主要方式是（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传导</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对流</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辐射</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传导和对流同时</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40"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双层平壁定态热传导，两层壁厚相同，各层的热导率(导热系数)分别为λ</w:t>
            </w:r>
            <w:r>
              <w:rPr>
                <w:rFonts w:cs="Arial" w:asciiTheme="minorEastAsia" w:hAnsiTheme="minorEastAsia" w:eastAsiaTheme="minorEastAsia"/>
                <w:kern w:val="0"/>
                <w:sz w:val="24"/>
                <w:szCs w:val="24"/>
                <w:vertAlign w:val="subscript"/>
              </w:rPr>
              <w:t>l</w:t>
            </w:r>
            <w:r>
              <w:rPr>
                <w:rFonts w:cs="Arial" w:asciiTheme="minorEastAsia" w:hAnsiTheme="minorEastAsia" w:eastAsiaTheme="minorEastAsia"/>
                <w:kern w:val="0"/>
                <w:sz w:val="24"/>
                <w:szCs w:val="24"/>
              </w:rPr>
              <w:t>和λ</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，其对应的温度差为</w:t>
            </w:r>
            <w:r>
              <w:rPr>
                <w:rFonts w:hint="eastAsia" w:cs="宋体" w:asciiTheme="minorEastAsia" w:hAnsiTheme="minorEastAsia" w:eastAsiaTheme="minorEastAsia"/>
                <w:kern w:val="0"/>
                <w:sz w:val="24"/>
                <w:szCs w:val="24"/>
              </w:rPr>
              <w:t>△</w:t>
            </w:r>
            <w:r>
              <w:rPr>
                <w:rFonts w:cs="Arial" w:asciiTheme="minorEastAsia" w:hAnsiTheme="minorEastAsia" w:eastAsiaTheme="minorEastAsia"/>
                <w:kern w:val="0"/>
                <w:sz w:val="24"/>
                <w:szCs w:val="24"/>
              </w:rPr>
              <w:t>t</w:t>
            </w:r>
            <w:r>
              <w:rPr>
                <w:rFonts w:cs="Arial" w:asciiTheme="minorEastAsia" w:hAnsiTheme="minorEastAsia" w:eastAsiaTheme="minorEastAsia"/>
                <w:kern w:val="0"/>
                <w:sz w:val="24"/>
                <w:szCs w:val="24"/>
                <w:vertAlign w:val="subscript"/>
              </w:rPr>
              <w:t>1</w:t>
            </w:r>
            <w:r>
              <w:rPr>
                <w:rFonts w:cs="Arial" w:asciiTheme="minorEastAsia" w:hAnsiTheme="minorEastAsia" w:eastAsiaTheme="minorEastAsia"/>
                <w:kern w:val="0"/>
                <w:sz w:val="24"/>
                <w:szCs w:val="24"/>
              </w:rPr>
              <w:t>和</w:t>
            </w:r>
            <w:r>
              <w:rPr>
                <w:rFonts w:hint="eastAsia" w:cs="宋体" w:asciiTheme="minorEastAsia" w:hAnsiTheme="minorEastAsia" w:eastAsiaTheme="minorEastAsia"/>
                <w:kern w:val="0"/>
                <w:sz w:val="24"/>
                <w:szCs w:val="24"/>
              </w:rPr>
              <w:t>△</w:t>
            </w:r>
            <w:r>
              <w:rPr>
                <w:rFonts w:cs="Arial" w:asciiTheme="minorEastAsia" w:hAnsiTheme="minorEastAsia" w:eastAsiaTheme="minorEastAsia"/>
                <w:kern w:val="0"/>
                <w:sz w:val="24"/>
                <w:szCs w:val="24"/>
              </w:rPr>
              <w:t>t</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，若</w:t>
            </w:r>
            <w:r>
              <w:rPr>
                <w:rFonts w:hint="eastAsia" w:cs="宋体" w:asciiTheme="minorEastAsia" w:hAnsiTheme="minorEastAsia" w:eastAsiaTheme="minorEastAsia"/>
                <w:kern w:val="0"/>
                <w:sz w:val="24"/>
                <w:szCs w:val="24"/>
              </w:rPr>
              <w:t>△</w:t>
            </w:r>
            <w:r>
              <w:rPr>
                <w:rFonts w:cs="Arial" w:asciiTheme="minorEastAsia" w:hAnsiTheme="minorEastAsia" w:eastAsiaTheme="minorEastAsia"/>
                <w:kern w:val="0"/>
                <w:sz w:val="24"/>
                <w:szCs w:val="24"/>
              </w:rPr>
              <w:t>t</w:t>
            </w:r>
            <w:r>
              <w:rPr>
                <w:rFonts w:cs="Arial" w:asciiTheme="minorEastAsia" w:hAnsiTheme="minorEastAsia" w:eastAsiaTheme="minorEastAsia"/>
                <w:kern w:val="0"/>
                <w:sz w:val="24"/>
                <w:szCs w:val="24"/>
                <w:vertAlign w:val="subscript"/>
              </w:rPr>
              <w:t>1</w:t>
            </w:r>
            <w:r>
              <w:rPr>
                <w:rFonts w:cs="Arial" w:asciiTheme="minorEastAsia" w:hAnsiTheme="minorEastAsia" w:eastAsiaTheme="minorEastAsia"/>
                <w:kern w:val="0"/>
                <w:sz w:val="24"/>
                <w:szCs w:val="24"/>
              </w:rPr>
              <w:t>&gt;</w:t>
            </w:r>
            <w:r>
              <w:rPr>
                <w:rFonts w:hint="eastAsia" w:cs="宋体" w:asciiTheme="minorEastAsia" w:hAnsiTheme="minorEastAsia" w:eastAsiaTheme="minorEastAsia"/>
                <w:kern w:val="0"/>
                <w:sz w:val="24"/>
                <w:szCs w:val="24"/>
              </w:rPr>
              <w:t>△</w:t>
            </w:r>
            <w:r>
              <w:rPr>
                <w:rFonts w:cs="Arial" w:asciiTheme="minorEastAsia" w:hAnsiTheme="minorEastAsia" w:eastAsiaTheme="minorEastAsia"/>
                <w:kern w:val="0"/>
                <w:sz w:val="24"/>
                <w:szCs w:val="24"/>
              </w:rPr>
              <w:t>t</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，则λ</w:t>
            </w:r>
            <w:r>
              <w:rPr>
                <w:rFonts w:cs="Arial" w:asciiTheme="minorEastAsia" w:hAnsiTheme="minorEastAsia" w:eastAsiaTheme="minorEastAsia"/>
                <w:kern w:val="0"/>
                <w:sz w:val="24"/>
                <w:szCs w:val="24"/>
                <w:vertAlign w:val="subscript"/>
              </w:rPr>
              <w:t>l</w:t>
            </w:r>
            <w:r>
              <w:rPr>
                <w:rFonts w:cs="Arial" w:asciiTheme="minorEastAsia" w:hAnsiTheme="minorEastAsia" w:eastAsiaTheme="minorEastAsia"/>
                <w:kern w:val="0"/>
                <w:sz w:val="24"/>
                <w:szCs w:val="24"/>
              </w:rPr>
              <w:t>和λ</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的关系为(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λ</w:t>
            </w:r>
            <w:r>
              <w:rPr>
                <w:rFonts w:cs="Arial" w:asciiTheme="minorEastAsia" w:hAnsiTheme="minorEastAsia" w:eastAsiaTheme="minorEastAsia"/>
                <w:kern w:val="0"/>
                <w:sz w:val="24"/>
                <w:szCs w:val="24"/>
                <w:vertAlign w:val="subscript"/>
              </w:rPr>
              <w:t>1</w:t>
            </w:r>
            <w:r>
              <w:rPr>
                <w:rFonts w:cs="Arial" w:asciiTheme="minorEastAsia" w:hAnsiTheme="minorEastAsia" w:eastAsiaTheme="minorEastAsia"/>
                <w:kern w:val="0"/>
                <w:sz w:val="24"/>
                <w:szCs w:val="24"/>
              </w:rPr>
              <w:t>&lt;λ</w:t>
            </w:r>
            <w:r>
              <w:rPr>
                <w:rFonts w:cs="Arial" w:asciiTheme="minorEastAsia" w:hAnsiTheme="minorEastAsia" w:eastAsiaTheme="minorEastAsia"/>
                <w:kern w:val="0"/>
                <w:sz w:val="24"/>
                <w:szCs w:val="24"/>
                <w:vertAlign w:val="subscript"/>
              </w:rPr>
              <w:t>2</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λ</w:t>
            </w:r>
            <w:r>
              <w:rPr>
                <w:rFonts w:cs="Arial" w:asciiTheme="minorEastAsia" w:hAnsiTheme="minorEastAsia" w:eastAsiaTheme="minorEastAsia"/>
                <w:kern w:val="0"/>
                <w:sz w:val="24"/>
                <w:szCs w:val="24"/>
                <w:vertAlign w:val="subscript"/>
              </w:rPr>
              <w:t>1</w:t>
            </w:r>
            <w:r>
              <w:rPr>
                <w:rFonts w:cs="Arial" w:asciiTheme="minorEastAsia" w:hAnsiTheme="minorEastAsia" w:eastAsiaTheme="minorEastAsia"/>
                <w:kern w:val="0"/>
                <w:sz w:val="24"/>
                <w:szCs w:val="24"/>
              </w:rPr>
              <w:t>&gt;λ</w:t>
            </w:r>
            <w:r>
              <w:rPr>
                <w:rFonts w:cs="Arial" w:asciiTheme="minorEastAsia" w:hAnsiTheme="minorEastAsia" w:eastAsiaTheme="minorEastAsia"/>
                <w:kern w:val="0"/>
                <w:sz w:val="24"/>
                <w:szCs w:val="24"/>
                <w:vertAlign w:val="subscript"/>
              </w:rPr>
              <w:t>2</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λ</w:t>
            </w:r>
            <w:r>
              <w:rPr>
                <w:rFonts w:cs="Arial" w:asciiTheme="minorEastAsia" w:hAnsiTheme="minorEastAsia" w:eastAsiaTheme="minorEastAsia"/>
                <w:kern w:val="0"/>
                <w:sz w:val="24"/>
                <w:szCs w:val="24"/>
                <w:vertAlign w:val="subscript"/>
              </w:rPr>
              <w:t>1</w:t>
            </w:r>
            <w:r>
              <w:rPr>
                <w:rFonts w:cs="Arial" w:asciiTheme="minorEastAsia" w:hAnsiTheme="minorEastAsia" w:eastAsiaTheme="minorEastAsia"/>
                <w:kern w:val="0"/>
                <w:sz w:val="24"/>
                <w:szCs w:val="24"/>
              </w:rPr>
              <w:t>=λ</w:t>
            </w:r>
            <w:r>
              <w:rPr>
                <w:rFonts w:cs="Arial" w:asciiTheme="minorEastAsia" w:hAnsiTheme="minorEastAsia" w:eastAsiaTheme="minorEastAsia"/>
                <w:kern w:val="0"/>
                <w:sz w:val="24"/>
                <w:szCs w:val="24"/>
                <w:vertAlign w:val="subscript"/>
              </w:rPr>
              <w:t>2</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无法确定</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70"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有一冷藏室需用一块厚度为100mm的软木板作隔热层。现有两块面积厚度和材质相同的软木板，但一块含水较多，另一块干燥，从隔热效果来看，宜选用(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含水较多的那块</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干燥的那块</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两块效果相同</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不能判断</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萃取操作停车步骤是（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1270"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关闭总电源开关——关闭轻相泵开关——关闭重相泵开关——关闭空气比例控制开关</w:t>
            </w:r>
            <w:r>
              <w:rPr>
                <w:rFonts w:hint="eastAsia" w:cs="Arial" w:asciiTheme="minorEastAsia" w:hAnsiTheme="minorEastAsia" w:eastAsiaTheme="minorEastAsia"/>
                <w:kern w:val="0"/>
                <w:sz w:val="24"/>
                <w:szCs w:val="24"/>
              </w:rPr>
              <w:t>；</w:t>
            </w:r>
          </w:p>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B 关闭总电源开关——关闭重相泵开关——关闭空气比例控制开关——关闭轻相泵开关</w:t>
            </w:r>
            <w:r>
              <w:rPr>
                <w:rFonts w:hint="eastAsia" w:cs="Arial" w:asciiTheme="minorEastAsia" w:hAnsiTheme="minorEastAsia" w:eastAsiaTheme="minorEastAsia"/>
                <w:kern w:val="0"/>
                <w:sz w:val="24"/>
                <w:szCs w:val="24"/>
              </w:rPr>
              <w:t>；</w:t>
            </w:r>
          </w:p>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C 关闭重相泵开关——关闭轻相泵开关——关闭总电源开关——关闭空气比例控制开关</w:t>
            </w:r>
            <w:r>
              <w:rPr>
                <w:rFonts w:hint="eastAsia" w:cs="Arial" w:asciiTheme="minorEastAsia" w:hAnsiTheme="minorEastAsia" w:eastAsiaTheme="minorEastAsia"/>
                <w:kern w:val="0"/>
                <w:sz w:val="24"/>
                <w:szCs w:val="24"/>
              </w:rPr>
              <w:t>；</w:t>
            </w:r>
          </w:p>
          <w:p>
            <w:pPr>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D 关闭重相泵开关——关闭轻相泵开关——关闭空气比例控制开关——关闭总电源开关</w:t>
            </w:r>
            <w:r>
              <w:rPr>
                <w:rFonts w:hint="eastAsia" w:cs="Arial" w:asciiTheme="minorEastAsia" w:hAnsiTheme="minorEastAsia" w:eastAsiaTheme="minorEastAsia"/>
                <w:kern w:val="0"/>
                <w:sz w:val="24"/>
                <w:szCs w:val="24"/>
              </w:rPr>
              <w:t>；</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8</w:t>
            </w:r>
          </w:p>
        </w:tc>
        <w:tc>
          <w:tcPr>
            <w:tcW w:w="6377" w:type="dxa"/>
            <w:tcBorders>
              <w:top w:val="single" w:color="auto" w:sz="4" w:space="0"/>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萃取剂的选用，首要考虑的因素是（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萃取剂稳定性</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萃取剂回收的难易</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萃取剂的价格</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萃取剂溶解能力的选择性</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70"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《职业病防治法》规定，用人单位对（ 　）的劳动者，应当给予适当岗位津贴。</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患有职业病</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从事接触职业病危害的作业</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疑似职业病</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调离岗位的职业病病人</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若反应物料随着反应的进行逐渐变得黏稠则应选择下列哪种搅拌器（</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桨式搅拌器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框式搅拌器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旋桨式搅拌器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涡轮式搅拌器</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离心分离的基本原理是固体颗粒产生的离心力（ ）液体产生的离心力</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小于</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等于</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大于</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两者无关</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在一个过滤周期中，为了达到最大生产能力（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过滤时间应大于辅助时间</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过滤时间应小于辅助时间</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过滤时间应等于辅助时间</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过滤加洗涤所需时间等于1/2周期</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反应一个国家石油化学工业发展规模和水平的物质是</w:t>
            </w:r>
            <w:r>
              <w:rPr>
                <w:rFonts w:cs="Arial" w:asciiTheme="minorEastAsia" w:hAnsiTheme="minorEastAsia" w:eastAsiaTheme="minorEastAsia"/>
                <w:kern w:val="0"/>
                <w:sz w:val="24"/>
                <w:szCs w:val="24"/>
              </w:rPr>
              <w:t>(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石油</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乙烯</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苯乙烯</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丁二烯</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任何牌号聚丙烯必须要加的稳定剂是(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抗氧剂</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爽滑剂</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卤素吸收剂</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抗老化剂</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不锈钢lCr18Ni9Ti表示平均含碳量为(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0.9×10</w:t>
            </w:r>
            <w:r>
              <w:rPr>
                <w:rFonts w:cs="Arial" w:asciiTheme="minorEastAsia" w:hAnsiTheme="minorEastAsia" w:eastAsiaTheme="minorEastAsia"/>
                <w:kern w:val="0"/>
                <w:sz w:val="24"/>
                <w:szCs w:val="24"/>
                <w:vertAlign w:val="superscript"/>
              </w:rPr>
              <w:t>-2</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2×10</w:t>
            </w:r>
            <w:r>
              <w:rPr>
                <w:rFonts w:cs="Arial" w:asciiTheme="minorEastAsia" w:hAnsiTheme="minorEastAsia" w:eastAsiaTheme="minorEastAsia"/>
                <w:kern w:val="0"/>
                <w:sz w:val="24"/>
                <w:szCs w:val="24"/>
                <w:vertAlign w:val="superscript"/>
              </w:rPr>
              <w:t>-2</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1×10</w:t>
            </w:r>
            <w:r>
              <w:rPr>
                <w:rFonts w:cs="Arial" w:asciiTheme="minorEastAsia" w:hAnsiTheme="minorEastAsia" w:eastAsiaTheme="minorEastAsia"/>
                <w:kern w:val="0"/>
                <w:sz w:val="24"/>
                <w:szCs w:val="24"/>
                <w:vertAlign w:val="superscript"/>
              </w:rPr>
              <w:t>-2</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0.1×10</w:t>
            </w:r>
            <w:r>
              <w:rPr>
                <w:rFonts w:cs="Arial" w:asciiTheme="minorEastAsia" w:hAnsiTheme="minorEastAsia" w:eastAsiaTheme="minorEastAsia"/>
                <w:kern w:val="0"/>
                <w:sz w:val="24"/>
                <w:szCs w:val="24"/>
                <w:vertAlign w:val="superscript"/>
              </w:rPr>
              <w:t>-2</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阀门阀杆升降不灵活，是由于阀杆弯曲，则排除的方法(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更换阀门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更换阀门弹簧</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使用短杠杆开闭阀杆</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设置阀杆保护套</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管道连接采用活接头时，应注意使水流方向(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从活接头公口到母口</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从活接头母口到公口</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A与B均可</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视现场安装方便而定</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型号为J41W-16P的截止阀，其中“16”表示(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公称压力为l6MPa</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公称压力为l6Pa</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公称压力为l.6 MPa</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公称压力为l.6Pa</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298.15 K时，C（石墨）与Ｃ12（g）的标准生成热（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前者为0，后者不为0；B 均小于0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均等于0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均大于0</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设备分类代号中表示容器的字母为(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T</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V</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P</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R</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下列符号中代表指示、控制的是(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TIC</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TdRC</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PdC</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AC</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若组成一个简单控制系统，所需要的仪表是： (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调节单元仪表、转换单元仪表、变送单元仪表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调节单元仪表、执行单元仪表、变送单元仪表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调节单元仪表、转换单元仪表、计算单元仪表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调节单元仪表、给定单元仪表、变送单元仪表</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下列衡量测量仪表的品质指标不正确的有(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准确度、恒定度</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灵敏度、线性度</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反应温度</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反应时间、重复性</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在自动控制系统中，仪表之间的信息传递都采用统一的信号，它的范围是（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0～10 mA</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4～20 mA</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 xml:space="preserve">C </w:t>
            </w:r>
            <w:r>
              <w:rPr>
                <w:rFonts w:hint="eastAsia" w:cs="Arial" w:asciiTheme="minorEastAsia" w:hAnsiTheme="minorEastAsia" w:eastAsiaTheme="minorEastAsia"/>
                <w:kern w:val="0"/>
                <w:sz w:val="24"/>
                <w:szCs w:val="24"/>
              </w:rPr>
              <w:t>0</w:t>
            </w:r>
            <w:r>
              <w:rPr>
                <w:rFonts w:cs="Arial" w:asciiTheme="minorEastAsia" w:hAnsiTheme="minorEastAsia" w:eastAsiaTheme="minorEastAsia"/>
                <w:kern w:val="0"/>
                <w:sz w:val="24"/>
                <w:szCs w:val="24"/>
              </w:rPr>
              <w:t>～10V</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0～5V</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下述检测液位的仪表中，不受被测液体密度影响的是（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差压式液位计</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玻璃液位计</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浮筒液位计</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吹气式液位计</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直流双臂电桥又称（ ）电桥。</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凯尔文</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惠斯登</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欧姆</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瓦特</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70"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氢气还原氧化铜的实验过程中，包含四步操作：</w:t>
            </w:r>
            <w:r>
              <w:rPr>
                <w:rFonts w:hint="eastAsia" w:cs="宋体" w:asciiTheme="minorEastAsia" w:hAnsiTheme="minorEastAsia" w:eastAsiaTheme="minorEastAsia"/>
                <w:kern w:val="0"/>
                <w:sz w:val="24"/>
                <w:szCs w:val="24"/>
              </w:rPr>
              <w:t>①</w:t>
            </w:r>
            <w:r>
              <w:rPr>
                <w:rFonts w:cs="Arial" w:asciiTheme="minorEastAsia" w:hAnsiTheme="minorEastAsia" w:eastAsiaTheme="minorEastAsia"/>
                <w:kern w:val="0"/>
                <w:sz w:val="24"/>
                <w:szCs w:val="24"/>
              </w:rPr>
              <w:t>加热盛有氧化铜的试管、</w:t>
            </w:r>
            <w:r>
              <w:rPr>
                <w:rFonts w:hint="eastAsia" w:cs="宋体" w:asciiTheme="minorEastAsia" w:hAnsiTheme="minorEastAsia" w:eastAsiaTheme="minorEastAsia"/>
                <w:kern w:val="0"/>
                <w:sz w:val="24"/>
                <w:szCs w:val="24"/>
              </w:rPr>
              <w:t>②</w:t>
            </w:r>
            <w:r>
              <w:rPr>
                <w:rFonts w:cs="Arial" w:asciiTheme="minorEastAsia" w:hAnsiTheme="minorEastAsia" w:eastAsiaTheme="minorEastAsia"/>
                <w:kern w:val="0"/>
                <w:sz w:val="24"/>
                <w:szCs w:val="24"/>
              </w:rPr>
              <w:t>通入氢气、</w:t>
            </w:r>
            <w:r>
              <w:rPr>
                <w:rFonts w:hint="eastAsia" w:cs="宋体" w:asciiTheme="minorEastAsia" w:hAnsiTheme="minorEastAsia" w:eastAsiaTheme="minorEastAsia"/>
                <w:kern w:val="0"/>
                <w:sz w:val="24"/>
                <w:szCs w:val="24"/>
              </w:rPr>
              <w:t>③</w:t>
            </w:r>
            <w:r>
              <w:rPr>
                <w:rFonts w:cs="Arial" w:asciiTheme="minorEastAsia" w:hAnsiTheme="minorEastAsia" w:eastAsiaTheme="minorEastAsia"/>
                <w:kern w:val="0"/>
                <w:sz w:val="24"/>
                <w:szCs w:val="24"/>
              </w:rPr>
              <w:t>撤去酒精灯、</w:t>
            </w:r>
            <w:r>
              <w:rPr>
                <w:rFonts w:hint="eastAsia" w:cs="宋体" w:asciiTheme="minorEastAsia" w:hAnsiTheme="minorEastAsia" w:eastAsiaTheme="minorEastAsia"/>
                <w:kern w:val="0"/>
                <w:sz w:val="24"/>
                <w:szCs w:val="24"/>
              </w:rPr>
              <w:t>④</w:t>
            </w:r>
            <w:r>
              <w:rPr>
                <w:rFonts w:cs="Arial" w:asciiTheme="minorEastAsia" w:hAnsiTheme="minorEastAsia" w:eastAsiaTheme="minorEastAsia"/>
                <w:kern w:val="0"/>
                <w:sz w:val="24"/>
                <w:szCs w:val="24"/>
              </w:rPr>
              <w:t>继续通入氢气直至冷却，正确的操作顺序是(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 xml:space="preserve">A </w:t>
            </w:r>
            <w:r>
              <w:rPr>
                <w:rFonts w:hint="eastAsia" w:cs="宋体" w:asciiTheme="minorEastAsia" w:hAnsiTheme="minorEastAsia" w:eastAsiaTheme="minorEastAsia"/>
                <w:kern w:val="0"/>
                <w:sz w:val="24"/>
                <w:szCs w:val="24"/>
              </w:rPr>
              <w:t>①②③④；</w:t>
            </w:r>
            <w:r>
              <w:rPr>
                <w:rFonts w:cs="Arial" w:asciiTheme="minorEastAsia" w:hAnsiTheme="minorEastAsia" w:eastAsiaTheme="minorEastAsia"/>
                <w:kern w:val="0"/>
                <w:sz w:val="24"/>
                <w:szCs w:val="24"/>
              </w:rPr>
              <w:t xml:space="preserve">B </w:t>
            </w:r>
            <w:r>
              <w:rPr>
                <w:rFonts w:hint="eastAsia" w:cs="宋体" w:asciiTheme="minorEastAsia" w:hAnsiTheme="minorEastAsia" w:eastAsiaTheme="minorEastAsia"/>
                <w:kern w:val="0"/>
                <w:sz w:val="24"/>
                <w:szCs w:val="24"/>
              </w:rPr>
              <w:t>②①③④；</w:t>
            </w:r>
            <w:r>
              <w:rPr>
                <w:rFonts w:cs="Arial" w:asciiTheme="minorEastAsia" w:hAnsiTheme="minorEastAsia" w:eastAsiaTheme="minorEastAsia"/>
                <w:kern w:val="0"/>
                <w:sz w:val="24"/>
                <w:szCs w:val="24"/>
              </w:rPr>
              <w:t xml:space="preserve">C </w:t>
            </w:r>
            <w:r>
              <w:rPr>
                <w:rFonts w:hint="eastAsia" w:cs="宋体" w:asciiTheme="minorEastAsia" w:hAnsiTheme="minorEastAsia" w:eastAsiaTheme="minorEastAsia"/>
                <w:kern w:val="0"/>
                <w:sz w:val="24"/>
                <w:szCs w:val="24"/>
              </w:rPr>
              <w:t>②①④③；</w:t>
            </w:r>
            <w:r>
              <w:rPr>
                <w:rFonts w:cs="Arial" w:asciiTheme="minorEastAsia" w:hAnsiTheme="minorEastAsia" w:eastAsiaTheme="minorEastAsia"/>
                <w:kern w:val="0"/>
                <w:sz w:val="24"/>
                <w:szCs w:val="24"/>
              </w:rPr>
              <w:t xml:space="preserve">D </w:t>
            </w:r>
            <w:r>
              <w:rPr>
                <w:rFonts w:hint="eastAsia" w:cs="宋体" w:asciiTheme="minorEastAsia" w:hAnsiTheme="minorEastAsia" w:eastAsiaTheme="minorEastAsia"/>
                <w:kern w:val="0"/>
                <w:sz w:val="24"/>
                <w:szCs w:val="24"/>
              </w:rPr>
              <w:t>①②④③</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在冷浓硝酸中最难溶的金属是（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Cu</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Ag</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Al</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Zn</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符合光吸收定律的溶液适当稀释时，其最大吸收波长位置(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向长波移动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向短波移动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不移动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都不对</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硫酸铜结晶是（ ）晶系构成的晶体。</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正方</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四方</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三斜</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六方</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795"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离心泵抽空、无流量，其发生的原因可能有：</w:t>
            </w:r>
            <w:r>
              <w:rPr>
                <w:rFonts w:hint="eastAsia" w:cs="宋体" w:asciiTheme="minorEastAsia" w:hAnsiTheme="minorEastAsia" w:eastAsiaTheme="minorEastAsia"/>
                <w:kern w:val="0"/>
                <w:sz w:val="24"/>
                <w:szCs w:val="24"/>
              </w:rPr>
              <w:t>①</w:t>
            </w:r>
            <w:r>
              <w:rPr>
                <w:rFonts w:cs="Arial" w:asciiTheme="minorEastAsia" w:hAnsiTheme="minorEastAsia" w:eastAsiaTheme="minorEastAsia"/>
                <w:kern w:val="0"/>
                <w:sz w:val="24"/>
                <w:szCs w:val="24"/>
              </w:rPr>
              <w:t>启动时泵内未灌满液体；</w:t>
            </w:r>
            <w:r>
              <w:rPr>
                <w:rFonts w:hint="eastAsia" w:cs="宋体" w:asciiTheme="minorEastAsia" w:hAnsiTheme="minorEastAsia" w:eastAsiaTheme="minorEastAsia"/>
                <w:kern w:val="0"/>
                <w:sz w:val="24"/>
                <w:szCs w:val="24"/>
              </w:rPr>
              <w:t>②</w:t>
            </w:r>
            <w:r>
              <w:rPr>
                <w:rFonts w:cs="Arial" w:asciiTheme="minorEastAsia" w:hAnsiTheme="minorEastAsia" w:eastAsiaTheme="minorEastAsia"/>
                <w:kern w:val="0"/>
                <w:sz w:val="24"/>
                <w:szCs w:val="24"/>
              </w:rPr>
              <w:t>吸入管路堵塞或仪表漏气；</w:t>
            </w:r>
            <w:r>
              <w:rPr>
                <w:rFonts w:hint="eastAsia" w:cs="宋体" w:asciiTheme="minorEastAsia" w:hAnsiTheme="minorEastAsia" w:eastAsiaTheme="minorEastAsia"/>
                <w:kern w:val="0"/>
                <w:sz w:val="24"/>
                <w:szCs w:val="24"/>
              </w:rPr>
              <w:t>③</w:t>
            </w:r>
            <w:r>
              <w:rPr>
                <w:rFonts w:cs="Arial" w:asciiTheme="minorEastAsia" w:hAnsiTheme="minorEastAsia" w:eastAsiaTheme="minorEastAsia"/>
                <w:kern w:val="0"/>
                <w:sz w:val="24"/>
                <w:szCs w:val="24"/>
              </w:rPr>
              <w:t>吸入容器内液面过低；</w:t>
            </w:r>
            <w:r>
              <w:rPr>
                <w:rFonts w:hint="eastAsia" w:cs="宋体" w:asciiTheme="minorEastAsia" w:hAnsiTheme="minorEastAsia" w:eastAsiaTheme="minorEastAsia"/>
                <w:kern w:val="0"/>
                <w:sz w:val="24"/>
                <w:szCs w:val="24"/>
              </w:rPr>
              <w:t>④</w:t>
            </w:r>
            <w:r>
              <w:rPr>
                <w:rFonts w:cs="Arial" w:asciiTheme="minorEastAsia" w:hAnsiTheme="minorEastAsia" w:eastAsiaTheme="minorEastAsia"/>
                <w:kern w:val="0"/>
                <w:sz w:val="24"/>
                <w:szCs w:val="24"/>
              </w:rPr>
              <w:t>泵轴反向转动；</w:t>
            </w:r>
            <w:r>
              <w:rPr>
                <w:rFonts w:hint="eastAsia" w:cs="宋体" w:asciiTheme="minorEastAsia" w:hAnsiTheme="minorEastAsia" w:eastAsiaTheme="minorEastAsia"/>
                <w:kern w:val="0"/>
                <w:sz w:val="24"/>
                <w:szCs w:val="24"/>
              </w:rPr>
              <w:t>⑤</w:t>
            </w:r>
            <w:r>
              <w:rPr>
                <w:rFonts w:cs="Arial" w:asciiTheme="minorEastAsia" w:hAnsiTheme="minorEastAsia" w:eastAsiaTheme="minorEastAsia"/>
                <w:kern w:val="0"/>
                <w:sz w:val="24"/>
                <w:szCs w:val="24"/>
              </w:rPr>
              <w:t>泵内漏进气体；</w:t>
            </w:r>
            <w:r>
              <w:rPr>
                <w:rFonts w:hint="eastAsia" w:cs="宋体" w:asciiTheme="minorEastAsia" w:hAnsiTheme="minorEastAsia" w:eastAsiaTheme="minorEastAsia"/>
                <w:kern w:val="0"/>
                <w:sz w:val="24"/>
                <w:szCs w:val="24"/>
              </w:rPr>
              <w:t>⑥</w:t>
            </w:r>
            <w:r>
              <w:rPr>
                <w:rFonts w:cs="Arial" w:asciiTheme="minorEastAsia" w:hAnsiTheme="minorEastAsia" w:eastAsiaTheme="minorEastAsia"/>
                <w:kern w:val="0"/>
                <w:sz w:val="24"/>
                <w:szCs w:val="24"/>
              </w:rPr>
              <w:t>底阀漏液。你认为可能的是(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 xml:space="preserve">A </w:t>
            </w:r>
            <w:r>
              <w:rPr>
                <w:rFonts w:hint="eastAsia" w:cs="宋体" w:asciiTheme="minorEastAsia" w:hAnsiTheme="minorEastAsia" w:eastAsiaTheme="minorEastAsia"/>
                <w:kern w:val="0"/>
                <w:sz w:val="24"/>
                <w:szCs w:val="24"/>
              </w:rPr>
              <w:t>①</w:t>
            </w:r>
            <w:r>
              <w:rPr>
                <w:rFonts w:cs="Arial"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③</w:t>
            </w:r>
            <w:r>
              <w:rPr>
                <w:rFonts w:cs="Arial"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⑤；</w:t>
            </w:r>
            <w:r>
              <w:rPr>
                <w:rFonts w:cs="Arial" w:asciiTheme="minorEastAsia" w:hAnsiTheme="minorEastAsia" w:eastAsiaTheme="minorEastAsia"/>
                <w:kern w:val="0"/>
                <w:sz w:val="24"/>
                <w:szCs w:val="24"/>
              </w:rPr>
              <w:t xml:space="preserve">B </w:t>
            </w:r>
            <w:r>
              <w:rPr>
                <w:rFonts w:hint="eastAsia" w:cs="宋体" w:asciiTheme="minorEastAsia" w:hAnsiTheme="minorEastAsia" w:eastAsiaTheme="minorEastAsia"/>
                <w:kern w:val="0"/>
                <w:sz w:val="24"/>
                <w:szCs w:val="24"/>
              </w:rPr>
              <w:t>②</w:t>
            </w:r>
            <w:r>
              <w:rPr>
                <w:rFonts w:cs="Arial"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④</w:t>
            </w:r>
            <w:r>
              <w:rPr>
                <w:rFonts w:cs="Arial"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⑥；</w:t>
            </w:r>
            <w:r>
              <w:rPr>
                <w:rFonts w:cs="Arial" w:asciiTheme="minorEastAsia" w:hAnsiTheme="minorEastAsia" w:eastAsiaTheme="minorEastAsia"/>
                <w:kern w:val="0"/>
                <w:sz w:val="24"/>
                <w:szCs w:val="24"/>
              </w:rPr>
              <w:t>C 全都不是</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全都是</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离心泵轴封的作用是： (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减少高压液体漏回泵的吸入口</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减少高压液体漏回吸入管</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减少高压液体漏出泵外</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减少高压液体漏入排出管</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单级单吸式离心清水泵，系列代号为(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D</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Sh</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S</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IS</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495"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在气液进出口浓度及溶质吸收率已知的条件下，若增大脱吸因数S值，会导致溶液出口浓度（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增加</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减少</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不变</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不确定</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55"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用纯溶剂吸收混合气中的溶质。逆流操作，平衡关系满足亨利定律。当入塔气体浓度y</w:t>
            </w:r>
            <w:r>
              <w:rPr>
                <w:rFonts w:cs="Arial" w:asciiTheme="minorEastAsia" w:hAnsiTheme="minorEastAsia" w:eastAsiaTheme="minorEastAsia"/>
                <w:kern w:val="0"/>
                <w:sz w:val="24"/>
                <w:szCs w:val="24"/>
                <w:vertAlign w:val="subscript"/>
              </w:rPr>
              <w:t>1</w:t>
            </w:r>
            <w:r>
              <w:rPr>
                <w:rFonts w:cs="Arial" w:asciiTheme="minorEastAsia" w:hAnsiTheme="minorEastAsia" w:eastAsiaTheme="minorEastAsia"/>
                <w:kern w:val="0"/>
                <w:sz w:val="24"/>
                <w:szCs w:val="24"/>
              </w:rPr>
              <w:t>上升，而其他入塔条件不变，则气体出塔浓度y</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和吸收率φ的变化为(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y</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上升，φ下降</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y</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下降，φ上升</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y</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上升，φ不变</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y</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上升，φ变化不确定</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金属钠、钾失火时，需用的灭火剂是(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水</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砂</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泡沫灭火器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液态二氧化碳灭火剂</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萃取精馏塔的汽、液相最大的负荷处应在（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塔的底部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塔的中部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塔的顶部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以上三项都不是</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萃取精馏过程选择的萃取剂最好应与沸点低的组分形成（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理想溶液</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正偏差溶液</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负偏差溶液</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不一定</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政府专职劳动管理部门对求职人员提供的各项帮助和服务工作的总和是（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就业指导</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就业帮助</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就业服务</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就业培训</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40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职业资格证书分为（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三个等级，分别为：初级、中级、高级</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三个等级，分别为：一级、二级、三级</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五个等级，分别为：初级、中级、高级、技师、高级技师</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五个等级，分别为：一级、二级、三级、四级、五级</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8374" w:type="dxa"/>
            <w:gridSpan w:val="4"/>
            <w:tcBorders>
              <w:top w:val="single" w:color="auto" w:sz="4" w:space="0"/>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二、多选题（共20道题，每题1分）</w:t>
            </w: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序号</w:t>
            </w:r>
          </w:p>
        </w:tc>
        <w:tc>
          <w:tcPr>
            <w:tcW w:w="6377" w:type="dxa"/>
            <w:tcBorders>
              <w:top w:val="nil"/>
              <w:left w:val="nil"/>
              <w:bottom w:val="single" w:color="auto" w:sz="4" w:space="0"/>
              <w:right w:val="single" w:color="auto" w:sz="4" w:space="0"/>
            </w:tcBorders>
            <w:vAlign w:val="center"/>
          </w:tcPr>
          <w:p>
            <w:pPr>
              <w:widowControl/>
              <w:jc w:val="center"/>
              <w:rPr>
                <w:rFonts w:cs="Arial" w:asciiTheme="minorEastAsia" w:hAnsiTheme="minorEastAsia" w:eastAsiaTheme="minorEastAsia"/>
                <w:kern w:val="0"/>
                <w:sz w:val="24"/>
                <w:szCs w:val="24"/>
              </w:rPr>
            </w:pPr>
            <w:r>
              <w:rPr>
                <w:rFonts w:cs="Arial" w:asciiTheme="minorEastAsia" w:hAnsiTheme="minorEastAsia" w:eastAsiaTheme="minorEastAsia"/>
                <w:b/>
                <w:bCs/>
                <w:kern w:val="0"/>
                <w:sz w:val="24"/>
                <w:szCs w:val="24"/>
              </w:rPr>
              <w:t>试题</w:t>
            </w:r>
          </w:p>
        </w:tc>
        <w:tc>
          <w:tcPr>
            <w:tcW w:w="709" w:type="dxa"/>
            <w:tcBorders>
              <w:top w:val="nil"/>
              <w:left w:val="nil"/>
              <w:bottom w:val="single" w:color="auto" w:sz="4" w:space="0"/>
              <w:right w:val="single" w:color="auto" w:sz="4" w:space="0"/>
            </w:tcBorders>
            <w:vAlign w:val="center"/>
          </w:tcPr>
          <w:p>
            <w:pPr>
              <w:widowControl/>
              <w:jc w:val="center"/>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考生答案</w:t>
            </w:r>
          </w:p>
        </w:tc>
        <w:tc>
          <w:tcPr>
            <w:tcW w:w="567" w:type="dxa"/>
            <w:tcBorders>
              <w:top w:val="nil"/>
              <w:left w:val="nil"/>
              <w:bottom w:val="single" w:color="auto" w:sz="4" w:space="0"/>
              <w:right w:val="single" w:color="auto" w:sz="4" w:space="0"/>
            </w:tcBorders>
            <w:vAlign w:val="center"/>
          </w:tcPr>
          <w:p>
            <w:pPr>
              <w:widowControl/>
              <w:jc w:val="center"/>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得分</w:t>
            </w: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下面所述内容属于化工总控工职业道德的范畴的是（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诚实守信</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爱岗敬业</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服务群众</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奉献社会</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下列操作不正确的是（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制备H2时，装置旁同时做有明火加热的实验</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将强氧化剂放在一起研磨</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用四氯化碳灭火器扑火金属钾钠着火</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黄磷保存在盛水的玻璃容器里</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在原子吸收分光光度法中，与原子化器有关的干扰为（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基体效应</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背景吸收</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雾化时的气体压力</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火焰成份对光的吸收</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下列误差属于系统误差的是（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标准物质不合格</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试样未经充分混合</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称量中试样吸潮</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滴定管未校准</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480"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测定微量铁时，规定试样量为5克，精确至0.01克，下列不合理的表示方法是（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0.04%</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0.0420%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0.04200%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0.042%</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 xml:space="preserve"> “三传一反”是化学反应工程的基础，下列属于三传的是（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能量传递</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质量传递</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热量传递</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动量传递</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下列属于已提出的气液相界面物质传递的模型的是（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双膜理论</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表面更新理论</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渗透理论</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气液扩散理论</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全混流反应器稳定操作的条件是</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(dQ</w:t>
            </w:r>
            <w:r>
              <w:rPr>
                <w:rFonts w:cs="Arial" w:asciiTheme="minorEastAsia" w:hAnsiTheme="minorEastAsia" w:eastAsiaTheme="minorEastAsia"/>
                <w:kern w:val="0"/>
                <w:sz w:val="24"/>
                <w:szCs w:val="24"/>
                <w:vertAlign w:val="subscript"/>
              </w:rPr>
              <w:t>r</w:t>
            </w:r>
            <w:r>
              <w:rPr>
                <w:rFonts w:cs="Arial" w:asciiTheme="minorEastAsia" w:hAnsiTheme="minorEastAsia" w:eastAsiaTheme="minorEastAsia"/>
                <w:kern w:val="0"/>
                <w:sz w:val="24"/>
                <w:szCs w:val="24"/>
              </w:rPr>
              <w:t>/dT)&gt;(dQ</w:t>
            </w:r>
            <w:r>
              <w:rPr>
                <w:rFonts w:cs="Arial" w:asciiTheme="minorEastAsia" w:hAnsiTheme="minorEastAsia" w:eastAsiaTheme="minorEastAsia"/>
                <w:kern w:val="0"/>
                <w:sz w:val="24"/>
                <w:szCs w:val="24"/>
                <w:vertAlign w:val="subscript"/>
              </w:rPr>
              <w:t>g</w:t>
            </w:r>
            <w:r>
              <w:rPr>
                <w:rFonts w:cs="Arial" w:asciiTheme="minorEastAsia" w:hAnsiTheme="minorEastAsia" w:eastAsiaTheme="minorEastAsia"/>
                <w:kern w:val="0"/>
                <w:sz w:val="24"/>
                <w:szCs w:val="24"/>
              </w:rPr>
              <w:t>/dT)</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(dQ</w:t>
            </w:r>
            <w:r>
              <w:rPr>
                <w:rFonts w:cs="Arial" w:asciiTheme="minorEastAsia" w:hAnsiTheme="minorEastAsia" w:eastAsiaTheme="minorEastAsia"/>
                <w:kern w:val="0"/>
                <w:sz w:val="24"/>
                <w:szCs w:val="24"/>
                <w:vertAlign w:val="subscript"/>
              </w:rPr>
              <w:t>r</w:t>
            </w:r>
            <w:r>
              <w:rPr>
                <w:rFonts w:cs="Arial" w:asciiTheme="minorEastAsia" w:hAnsiTheme="minorEastAsia" w:eastAsiaTheme="minorEastAsia"/>
                <w:kern w:val="0"/>
                <w:sz w:val="24"/>
                <w:szCs w:val="24"/>
              </w:rPr>
              <w:t>/dT)&lt;(dQ</w:t>
            </w:r>
            <w:r>
              <w:rPr>
                <w:rFonts w:cs="Arial" w:asciiTheme="minorEastAsia" w:hAnsiTheme="minorEastAsia" w:eastAsiaTheme="minorEastAsia"/>
                <w:kern w:val="0"/>
                <w:sz w:val="24"/>
                <w:szCs w:val="24"/>
                <w:vertAlign w:val="subscript"/>
              </w:rPr>
              <w:t>g</w:t>
            </w:r>
            <w:r>
              <w:rPr>
                <w:rFonts w:cs="Arial" w:asciiTheme="minorEastAsia" w:hAnsiTheme="minorEastAsia" w:eastAsiaTheme="minorEastAsia"/>
                <w:kern w:val="0"/>
                <w:sz w:val="24"/>
                <w:szCs w:val="24"/>
              </w:rPr>
              <w:t>/dT)</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Q</w:t>
            </w:r>
            <w:r>
              <w:rPr>
                <w:rFonts w:cs="Arial" w:asciiTheme="minorEastAsia" w:hAnsiTheme="minorEastAsia" w:eastAsiaTheme="minorEastAsia"/>
                <w:kern w:val="0"/>
                <w:sz w:val="24"/>
                <w:szCs w:val="24"/>
                <w:vertAlign w:val="subscript"/>
              </w:rPr>
              <w:t>r</w:t>
            </w:r>
            <w:r>
              <w:rPr>
                <w:rFonts w:cs="Arial" w:asciiTheme="minorEastAsia" w:hAnsiTheme="minorEastAsia" w:eastAsiaTheme="minorEastAsia"/>
                <w:kern w:val="0"/>
                <w:sz w:val="24"/>
                <w:szCs w:val="24"/>
              </w:rPr>
              <w:t>&gt;Q</w:t>
            </w:r>
            <w:r>
              <w:rPr>
                <w:rFonts w:cs="Arial" w:asciiTheme="minorEastAsia" w:hAnsiTheme="minorEastAsia" w:eastAsiaTheme="minorEastAsia"/>
                <w:kern w:val="0"/>
                <w:sz w:val="24"/>
                <w:szCs w:val="24"/>
                <w:vertAlign w:val="subscript"/>
              </w:rPr>
              <w:t>g</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Q</w:t>
            </w:r>
            <w:r>
              <w:rPr>
                <w:rFonts w:cs="Arial" w:asciiTheme="minorEastAsia" w:hAnsiTheme="minorEastAsia" w:eastAsiaTheme="minorEastAsia"/>
                <w:kern w:val="0"/>
                <w:sz w:val="24"/>
                <w:szCs w:val="24"/>
                <w:vertAlign w:val="subscript"/>
              </w:rPr>
              <w:t>r</w:t>
            </w:r>
            <w:r>
              <w:rPr>
                <w:rFonts w:cs="Arial" w:asciiTheme="minorEastAsia" w:hAnsiTheme="minorEastAsia" w:eastAsiaTheme="minorEastAsia"/>
                <w:kern w:val="0"/>
                <w:sz w:val="24"/>
                <w:szCs w:val="24"/>
              </w:rPr>
              <w:t>&lt;Q</w:t>
            </w:r>
            <w:r>
              <w:rPr>
                <w:rFonts w:cs="Arial" w:asciiTheme="minorEastAsia" w:hAnsiTheme="minorEastAsia" w:eastAsiaTheme="minorEastAsia"/>
                <w:kern w:val="0"/>
                <w:sz w:val="24"/>
                <w:szCs w:val="24"/>
                <w:vertAlign w:val="subscript"/>
              </w:rPr>
              <w:t>g</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E Q</w:t>
            </w:r>
            <w:r>
              <w:rPr>
                <w:rFonts w:cs="Arial" w:asciiTheme="minorEastAsia" w:hAnsiTheme="minorEastAsia" w:eastAsiaTheme="minorEastAsia"/>
                <w:kern w:val="0"/>
                <w:sz w:val="24"/>
                <w:szCs w:val="24"/>
                <w:vertAlign w:val="subscript"/>
              </w:rPr>
              <w:t>r</w:t>
            </w:r>
            <w:r>
              <w:rPr>
                <w:rFonts w:cs="Arial" w:asciiTheme="minorEastAsia" w:hAnsiTheme="minorEastAsia" w:eastAsiaTheme="minorEastAsia"/>
                <w:kern w:val="0"/>
                <w:sz w:val="24"/>
                <w:szCs w:val="24"/>
              </w:rPr>
              <w:t>=Q</w:t>
            </w:r>
            <w:r>
              <w:rPr>
                <w:rFonts w:cs="Arial" w:asciiTheme="minorEastAsia" w:hAnsiTheme="minorEastAsia" w:eastAsiaTheme="minorEastAsia"/>
                <w:kern w:val="0"/>
                <w:sz w:val="24"/>
                <w:szCs w:val="24"/>
                <w:vertAlign w:val="subscript"/>
              </w:rPr>
              <w:t>g</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设备进行中交时，施工方向应向建设单位上交（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设备基础试运记录</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设备安装记录</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设备试运记录</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试车方案</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离子交换树脂的工作交换容量受哪些因素影响？</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树脂层高度</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流速</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再生剂量</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再生方式</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工业含酚废水进行回收时，可采用以下方法（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萃取法</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吸附法</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离子交换法</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蒸汽脱除法</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作为气力输送介质的气体通常有：（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氮气</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二氧化碳</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氧气</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空气</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以热能作为补偿的制冷方法有</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蒸气压缩式</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吸收式</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蒸气喷射式</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吸附式</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制冷系统中的节流装置主要有（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手动节流阀</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浮球节流阀</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热力膨胀阀</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毛细管</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E 热电膨胀阀</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下列有关物料中水分的表述错误的有：（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495"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根据水分载物料中的位置的不同，物料中的水分可分为吸附水分，毛细管水分，溶胀水分和化学水分</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根据在一定的空气条件下，物料中所含水分能否用干燥方法除去可划分为结合水分和非结合水分</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根据物料中水分被除去的难易程度，可把物料中所含水分划分为平衡水分和自由水分</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在一定温度下，划分平衡水分和自由水分是根据物料的性质和所接触的空气的状态而定，而划分非结合水分和结合水分只是根据物料的性质。</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板式精馏塔的塔板压降主要由下列哪几部分组成(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干板压降</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降液管压降</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液层压力降</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克服液体表面张力的压力降</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关于精馏塔操作压力对精馏操作的影响下列哪些说法是错误的（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压力升高，气相中重组分减少，轻组分浓度增加</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压力增加能提高组分间的相对挥发度</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压力增加将使塔的分离效率下降</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压力增加，塔的处理能力减小</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在气膜控制的吸收过程中，增加吸收剂用量，则下述变化不会发生的是(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吸收传质推动力减小</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吸收传质阻力明显下降</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吸收传质阻力基本不变</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操作费用减小</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在多效蒸发中，随着效数的增加，下列哪些量增加（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单位蒸汽消耗量</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总温差损失</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有效传热温差</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设备生产强度</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E 设备费用</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沉淀法制备催化剂对沉淀剂的要求以下正确的是（ ）</w:t>
            </w:r>
          </w:p>
        </w:tc>
        <w:tc>
          <w:tcPr>
            <w:tcW w:w="709"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vMerge w:val="restart"/>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A 使用易分解挥发的沉淀剂</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B 沉淀剂的溶解度要小</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C 沉淀物的溶解度要大</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 沉淀物易于洗涤分离</w:t>
            </w: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8374" w:type="dxa"/>
            <w:gridSpan w:val="4"/>
            <w:tcBorders>
              <w:top w:val="single" w:color="auto" w:sz="4" w:space="0"/>
              <w:left w:val="single" w:color="auto" w:sz="4" w:space="0"/>
              <w:bottom w:val="single" w:color="auto" w:sz="4" w:space="0"/>
              <w:right w:val="single" w:color="auto" w:sz="4" w:space="0"/>
            </w:tcBorders>
            <w:vAlign w:val="center"/>
          </w:tcPr>
          <w:p>
            <w:pPr>
              <w:widowControl/>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三、判断题（共40道题，每题1分）</w:t>
            </w: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序号</w:t>
            </w:r>
          </w:p>
        </w:tc>
        <w:tc>
          <w:tcPr>
            <w:tcW w:w="6377" w:type="dxa"/>
            <w:tcBorders>
              <w:top w:val="nil"/>
              <w:left w:val="nil"/>
              <w:bottom w:val="single" w:color="auto" w:sz="4" w:space="0"/>
              <w:right w:val="single" w:color="auto" w:sz="4" w:space="0"/>
            </w:tcBorders>
            <w:vAlign w:val="center"/>
          </w:tcPr>
          <w:p>
            <w:pPr>
              <w:widowControl/>
              <w:jc w:val="center"/>
              <w:rPr>
                <w:rFonts w:cs="Arial" w:asciiTheme="minorEastAsia" w:hAnsiTheme="minorEastAsia" w:eastAsiaTheme="minorEastAsia"/>
                <w:kern w:val="0"/>
                <w:sz w:val="24"/>
                <w:szCs w:val="24"/>
              </w:rPr>
            </w:pPr>
            <w:r>
              <w:rPr>
                <w:rFonts w:cs="Arial" w:asciiTheme="minorEastAsia" w:hAnsiTheme="minorEastAsia" w:eastAsiaTheme="minorEastAsia"/>
                <w:b/>
                <w:bCs/>
                <w:kern w:val="0"/>
                <w:sz w:val="24"/>
                <w:szCs w:val="24"/>
              </w:rPr>
              <w:t>试题</w:t>
            </w:r>
          </w:p>
        </w:tc>
        <w:tc>
          <w:tcPr>
            <w:tcW w:w="709" w:type="dxa"/>
            <w:tcBorders>
              <w:top w:val="nil"/>
              <w:left w:val="nil"/>
              <w:bottom w:val="single" w:color="auto" w:sz="4" w:space="0"/>
              <w:right w:val="single" w:color="auto" w:sz="4" w:space="0"/>
            </w:tcBorders>
            <w:vAlign w:val="center"/>
          </w:tcPr>
          <w:p>
            <w:pPr>
              <w:widowControl/>
              <w:jc w:val="center"/>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考生答案</w:t>
            </w:r>
          </w:p>
        </w:tc>
        <w:tc>
          <w:tcPr>
            <w:tcW w:w="567" w:type="dxa"/>
            <w:tcBorders>
              <w:top w:val="nil"/>
              <w:left w:val="nil"/>
              <w:bottom w:val="single" w:color="auto" w:sz="4" w:space="0"/>
              <w:right w:val="single" w:color="auto" w:sz="4" w:space="0"/>
            </w:tcBorders>
            <w:vAlign w:val="center"/>
          </w:tcPr>
          <w:p>
            <w:pPr>
              <w:widowControl/>
              <w:jc w:val="center"/>
              <w:rPr>
                <w:rFonts w:cs="Arial" w:asciiTheme="minorEastAsia" w:hAnsiTheme="minorEastAsia" w:eastAsiaTheme="minorEastAsia"/>
                <w:b/>
                <w:bCs/>
                <w:kern w:val="0"/>
                <w:sz w:val="24"/>
                <w:szCs w:val="24"/>
              </w:rPr>
            </w:pPr>
            <w:r>
              <w:rPr>
                <w:rFonts w:cs="Arial" w:asciiTheme="minorEastAsia" w:hAnsiTheme="minorEastAsia" w:eastAsiaTheme="minorEastAsia"/>
                <w:b/>
                <w:bCs/>
                <w:kern w:val="0"/>
                <w:sz w:val="24"/>
                <w:szCs w:val="24"/>
              </w:rPr>
              <w:t>得分</w:t>
            </w: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安全帽的主要作用防止物料下落击中头部及行进中碰撞突出物而受伤。（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对大气进行监测，如空气污染指数为54，则空气质量级别为</w:t>
            </w:r>
            <w:r>
              <w:rPr>
                <w:rFonts w:hint="eastAsia" w:cs="宋体" w:asciiTheme="minorEastAsia" w:hAnsiTheme="minorEastAsia" w:eastAsiaTheme="minorEastAsia"/>
                <w:kern w:val="0"/>
                <w:sz w:val="24"/>
                <w:szCs w:val="24"/>
              </w:rPr>
              <w:t>Ⅰ</w:t>
            </w:r>
            <w:r>
              <w:rPr>
                <w:rFonts w:cs="Arial" w:asciiTheme="minorEastAsia" w:hAnsiTheme="minorEastAsia" w:eastAsiaTheme="minorEastAsia"/>
                <w:kern w:val="0"/>
                <w:sz w:val="24"/>
                <w:szCs w:val="24"/>
              </w:rPr>
              <w:t>级或优。（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改进工艺、加强通风、密闭操作、水式作业等都是防尘的有效方法。（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换热器传热面积越大，传递的热量也越多。（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水对催化剂的危害是破坏其机械强度。（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10"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在连续逆流萃取塔操作时，为增加相际接触面积，一般应选流量小的一相作为分散相。（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鼓泡塔反应器和釜式反应器一样，既可要连续操作，也可以间歇操作。（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长径比较大的流化床反应器中气体的流动模型可以看成平推流。（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转筒真空过滤机是一种间歇性的过滤设备。 (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降尘室的生产能力不仅与降尘室的宽度和长度有关，而且与降尘室的高度有关。（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在酸碱质子理论中，NH</w:t>
            </w:r>
            <w:r>
              <w:rPr>
                <w:rFonts w:cs="Arial" w:asciiTheme="minorEastAsia" w:hAnsiTheme="minorEastAsia" w:eastAsiaTheme="minorEastAsia"/>
                <w:kern w:val="0"/>
                <w:sz w:val="24"/>
                <w:szCs w:val="24"/>
                <w:vertAlign w:val="subscript"/>
              </w:rPr>
              <w:t>3</w:t>
            </w:r>
            <w:r>
              <w:rPr>
                <w:rFonts w:cs="Arial" w:asciiTheme="minorEastAsia" w:hAnsiTheme="minorEastAsia" w:eastAsiaTheme="minorEastAsia"/>
                <w:kern w:val="0"/>
                <w:sz w:val="24"/>
                <w:szCs w:val="24"/>
              </w:rPr>
              <w:t>的共轭酸是NH</w:t>
            </w:r>
            <w:r>
              <w:rPr>
                <w:rFonts w:cs="Arial" w:asciiTheme="minorEastAsia" w:hAnsiTheme="minorEastAsia" w:eastAsiaTheme="minorEastAsia"/>
                <w:kern w:val="0"/>
                <w:sz w:val="24"/>
                <w:szCs w:val="24"/>
                <w:vertAlign w:val="superscript"/>
              </w:rPr>
              <w:t>4+</w:t>
            </w:r>
            <w:r>
              <w:rPr>
                <w:rFonts w:cs="Arial" w:asciiTheme="minorEastAsia" w:hAnsiTheme="minorEastAsia" w:eastAsiaTheme="minorEastAsia"/>
                <w:kern w:val="0"/>
                <w:sz w:val="24"/>
                <w:szCs w:val="24"/>
              </w:rPr>
              <w:t>。（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55"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用双指示剂法分析混合碱时，如其组成是纯的Na</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CO</w:t>
            </w:r>
            <w:r>
              <w:rPr>
                <w:rFonts w:cs="Arial" w:asciiTheme="minorEastAsia" w:hAnsiTheme="minorEastAsia" w:eastAsiaTheme="minorEastAsia"/>
                <w:kern w:val="0"/>
                <w:sz w:val="24"/>
                <w:szCs w:val="24"/>
                <w:vertAlign w:val="subscript"/>
              </w:rPr>
              <w:t>3</w:t>
            </w:r>
            <w:r>
              <w:rPr>
                <w:rFonts w:cs="Arial" w:asciiTheme="minorEastAsia" w:hAnsiTheme="minorEastAsia" w:eastAsiaTheme="minorEastAsia"/>
                <w:kern w:val="0"/>
                <w:sz w:val="24"/>
                <w:szCs w:val="24"/>
              </w:rPr>
              <w:t>则HCl消耗量V</w:t>
            </w:r>
            <w:r>
              <w:rPr>
                <w:rFonts w:cs="Arial" w:asciiTheme="minorEastAsia" w:hAnsiTheme="minorEastAsia" w:eastAsiaTheme="minorEastAsia"/>
                <w:kern w:val="0"/>
                <w:sz w:val="24"/>
                <w:szCs w:val="24"/>
                <w:vertAlign w:val="subscript"/>
              </w:rPr>
              <w:t>1</w:t>
            </w:r>
            <w:r>
              <w:rPr>
                <w:rFonts w:cs="Arial" w:asciiTheme="minorEastAsia" w:hAnsiTheme="minorEastAsia" w:eastAsiaTheme="minorEastAsia"/>
                <w:kern w:val="0"/>
                <w:sz w:val="24"/>
                <w:szCs w:val="24"/>
              </w:rPr>
              <w:t>和V</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的关系是V</w:t>
            </w:r>
            <w:r>
              <w:rPr>
                <w:rFonts w:cs="Arial" w:asciiTheme="minorEastAsia" w:hAnsiTheme="minorEastAsia" w:eastAsiaTheme="minorEastAsia"/>
                <w:kern w:val="0"/>
                <w:sz w:val="24"/>
                <w:szCs w:val="24"/>
                <w:vertAlign w:val="subscript"/>
              </w:rPr>
              <w:t>1</w:t>
            </w:r>
            <w:r>
              <w:rPr>
                <w:rFonts w:cs="Arial" w:asciiTheme="minorEastAsia" w:hAnsiTheme="minorEastAsia" w:eastAsiaTheme="minorEastAsia"/>
                <w:kern w:val="0"/>
                <w:sz w:val="24"/>
                <w:szCs w:val="24"/>
              </w:rPr>
              <w:t>＞V</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任何湿物料只要与一定温度的空气相接触都能被干燥为绝干物料（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工业生产中常用的冷源与热源是冷却水和导热油。 （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若想增大丁苯橡胶的钢性可增大苯乙烯的比例。 （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加氢过程是严重的放热过程。（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管子焊接对口时，其厚度偏差只要不超过公称壁厚的15％即可。（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蒸汽管路上的安全阀会发生阀盘与阀座胶结故障，检修时可将阀盘抬高，再用热介质经常吹涤阀盘。（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两组分挥发度之比称为相对挥发度。（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识读工艺流程图时，一般应从上到下，从左到右进行。（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85"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在电机的控制电路中，当电流过大时，熔断器和热继电器都能够切断电源从而起到保护电动机的目的，因此熔断器和热继电器完成的是一样的功能。</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采用接触器自锁的控制线路，自动具有欠压保护作用。(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二氧化硫、漂白粉、活性炭都能使红墨水褪色，其褪色原理是相同的。（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甲烷只存在于天然气和石油气中。（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氢氟酸广泛用于分析测定矿石或钢中的SiO</w:t>
            </w:r>
            <w:r>
              <w:rPr>
                <w:rFonts w:cs="Arial" w:asciiTheme="minorEastAsia" w:hAnsiTheme="minorEastAsia" w:eastAsiaTheme="minorEastAsia"/>
                <w:kern w:val="0"/>
                <w:sz w:val="24"/>
                <w:szCs w:val="24"/>
                <w:vertAlign w:val="subscript"/>
              </w:rPr>
              <w:t>2</w:t>
            </w:r>
            <w:r>
              <w:rPr>
                <w:rFonts w:cs="Arial" w:asciiTheme="minorEastAsia" w:hAnsiTheme="minorEastAsia" w:eastAsiaTheme="minorEastAsia"/>
                <w:kern w:val="0"/>
                <w:sz w:val="24"/>
                <w:szCs w:val="24"/>
              </w:rPr>
              <w:t>和玻璃器皿的刻蚀。（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由铜、锌和稀硫酸组成的原电池，工作时电解质溶液的pH不变。（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法定计量单位是由国家以书面形式规定，建议使用的计量单位。（</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晶习是同一晶系的晶体在不同条件下形成不同外形的习性。（</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离心泵的叶片采用后弯叶片时能量利用率低。（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往复泵理论上扬程与流量无关，可以达到无限大。 （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31</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一般来说，应用惰性气体的脱吸过程适用于溶剂的回收，不能直接得到纯净的溶质组分。（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32</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填料塔的液泛仅受液气比影响，而与填料特性等无关。（</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85"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33</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禁止在具有火灾、爆炸危险的场所使用明火；因特殊情况需要使用明火作业的，应当按照规定事先办理审批手续。（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34</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爆炸就是发生的激烈的化学反应。（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35</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透平压缩机的功率、效率随着流量增大而增大。（</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480"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36</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某常压单效蒸发器生蒸汽温度120</w:t>
            </w:r>
            <w:r>
              <w:rPr>
                <w:rFonts w:hint="eastAsia" w:cs="宋体" w:asciiTheme="minorEastAsia" w:hAnsiTheme="minorEastAsia" w:eastAsiaTheme="minorEastAsia"/>
                <w:kern w:val="0"/>
                <w:sz w:val="24"/>
                <w:szCs w:val="24"/>
              </w:rPr>
              <w:t>℃</w:t>
            </w:r>
            <w:r>
              <w:rPr>
                <w:rFonts w:cs="Arial" w:asciiTheme="minorEastAsia" w:hAnsiTheme="minorEastAsia" w:eastAsiaTheme="minorEastAsia"/>
                <w:kern w:val="0"/>
                <w:sz w:val="24"/>
                <w:szCs w:val="24"/>
              </w:rPr>
              <w:t>，溶液沸点108</w:t>
            </w:r>
            <w:r>
              <w:rPr>
                <w:rFonts w:hint="eastAsia" w:cs="宋体" w:asciiTheme="minorEastAsia" w:hAnsiTheme="minorEastAsia" w:eastAsiaTheme="minorEastAsia"/>
                <w:kern w:val="0"/>
                <w:sz w:val="24"/>
                <w:szCs w:val="24"/>
              </w:rPr>
              <w:t>℃</w:t>
            </w:r>
            <w:r>
              <w:rPr>
                <w:rFonts w:cs="Arial" w:asciiTheme="minorEastAsia" w:hAnsiTheme="minorEastAsia" w:eastAsiaTheme="minorEastAsia"/>
                <w:kern w:val="0"/>
                <w:sz w:val="24"/>
                <w:szCs w:val="24"/>
              </w:rPr>
              <w:t>，则温差损失为12</w:t>
            </w:r>
            <w:r>
              <w:rPr>
                <w:rFonts w:hint="eastAsia" w:cs="宋体" w:asciiTheme="minorEastAsia" w:hAnsiTheme="minorEastAsia" w:eastAsiaTheme="minorEastAsia"/>
                <w:kern w:val="0"/>
                <w:sz w:val="24"/>
                <w:szCs w:val="24"/>
              </w:rPr>
              <w:t>℃</w:t>
            </w:r>
            <w:r>
              <w:rPr>
                <w:rFonts w:cs="Arial" w:asciiTheme="minorEastAsia" w:hAnsiTheme="minorEastAsia" w:eastAsiaTheme="minorEastAsia"/>
                <w:kern w:val="0"/>
                <w:sz w:val="24"/>
                <w:szCs w:val="24"/>
              </w:rPr>
              <w:t>.（ ）</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70"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37</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精馏操作时，若</w:t>
            </w:r>
            <w:r>
              <w:rPr>
                <w:rFonts w:cs="Arial" w:asciiTheme="minorEastAsia" w:hAnsiTheme="minorEastAsia" w:eastAsiaTheme="minorEastAsia"/>
                <w:kern w:val="0"/>
                <w:sz w:val="24"/>
                <w:szCs w:val="24"/>
              </w:rPr>
              <w:t>F</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D</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X</w:t>
            </w:r>
            <w:r>
              <w:rPr>
                <w:rFonts w:cs="Arial" w:asciiTheme="minorEastAsia" w:hAnsiTheme="minorEastAsia" w:eastAsiaTheme="minorEastAsia"/>
                <w:kern w:val="0"/>
                <w:sz w:val="24"/>
                <w:szCs w:val="24"/>
                <w:vertAlign w:val="subscript"/>
              </w:rPr>
              <w:t>F</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q</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R</w:t>
            </w:r>
            <w:r>
              <w:rPr>
                <w:rFonts w:hint="eastAsia" w:cs="Arial" w:asciiTheme="minorEastAsia" w:hAnsiTheme="minorEastAsia" w:eastAsiaTheme="minorEastAsia"/>
                <w:kern w:val="0"/>
                <w:sz w:val="24"/>
                <w:szCs w:val="24"/>
              </w:rPr>
              <w:t>、加料板位置都不变，而将塔顶泡点回流改为冷回流，则塔顶产品组成</w:t>
            </w:r>
            <w:r>
              <w:rPr>
                <w:rFonts w:cs="Arial" w:asciiTheme="minorEastAsia" w:hAnsiTheme="minorEastAsia" w:eastAsiaTheme="minorEastAsia"/>
                <w:kern w:val="0"/>
                <w:sz w:val="24"/>
                <w:szCs w:val="24"/>
              </w:rPr>
              <w:t>X</w:t>
            </w:r>
            <w:r>
              <w:rPr>
                <w:rFonts w:cs="Arial" w:asciiTheme="minorEastAsia" w:hAnsiTheme="minorEastAsia" w:eastAsiaTheme="minorEastAsia"/>
                <w:kern w:val="0"/>
                <w:sz w:val="24"/>
                <w:szCs w:val="24"/>
                <w:vertAlign w:val="subscript"/>
              </w:rPr>
              <w:t>D</w:t>
            </w:r>
            <w:r>
              <w:rPr>
                <w:rFonts w:hint="eastAsia" w:cs="Arial" w:asciiTheme="minorEastAsia" w:hAnsiTheme="minorEastAsia" w:eastAsiaTheme="minorEastAsia"/>
                <w:kern w:val="0"/>
                <w:sz w:val="24"/>
                <w:szCs w:val="24"/>
              </w:rPr>
              <w:t>变大。（</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38</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筛孔塔板易于制造，易于大型化，压降小，生产能力高，操作弹性大，是一种优良的塔板。（</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289"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39</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全面质量管理的目的就是要减少以致消灭不良品。（</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373" w:hRule="atLeast"/>
        </w:trPr>
        <w:tc>
          <w:tcPr>
            <w:tcW w:w="721" w:type="dxa"/>
            <w:tcBorders>
              <w:top w:val="nil"/>
              <w:left w:val="single" w:color="auto" w:sz="4" w:space="0"/>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40</w:t>
            </w:r>
          </w:p>
        </w:tc>
        <w:tc>
          <w:tcPr>
            <w:tcW w:w="637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职业资格是对劳动者具有从事某种职业必备的学识、技术、能力的基本要求。（</w:t>
            </w: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w:t>
            </w:r>
          </w:p>
        </w:tc>
        <w:tc>
          <w:tcPr>
            <w:tcW w:w="709"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c>
          <w:tcPr>
            <w:tcW w:w="567" w:type="dxa"/>
            <w:tcBorders>
              <w:top w:val="nil"/>
              <w:left w:val="nil"/>
              <w:bottom w:val="single" w:color="auto" w:sz="4" w:space="0"/>
              <w:right w:val="single" w:color="auto" w:sz="4" w:space="0"/>
            </w:tcBorders>
          </w:tcPr>
          <w:p>
            <w:pPr>
              <w:widowControl/>
              <w:rPr>
                <w:rFonts w:cs="Arial" w:asciiTheme="minorEastAsia" w:hAnsiTheme="minorEastAsia" w:eastAsiaTheme="minorEastAsia"/>
                <w:kern w:val="0"/>
                <w:sz w:val="24"/>
                <w:szCs w:val="24"/>
              </w:rPr>
            </w:pP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（一）评分标准制订原则</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竞赛评分本着“公平、公正、公开、科学、规范”的原则，注重考核选手的职业综合能力、团队的协作与组织能力和技术应用能力。</w:t>
      </w:r>
    </w:p>
    <w:p>
      <w:pPr>
        <w:numPr>
          <w:ilvl w:val="0"/>
          <w:numId w:val="1"/>
        </w:num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评分方法</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依据《全国职业院校技能大赛成绩管理办法》要求，按照“考核分组抽签→检录→一次抽签加密→确定参赛编号→二次抽签加密→确定赛位号（机位号）→成绩评定与复核→加密信息解密→成绩公布”流程，设计竞赛考核和成绩评定办法与程序，确保相关人员各司其职、相互监督与制约，实现公平、公正。</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1．化工专业知识竞赛成绩（A）：根据参赛选手上机考核由计算机直接评分，满分100分。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2．化工仿真成绩（B）根据参赛选手上机操作，由计算机直接对各操作单元进行评分，并加权平均记分，折算成满分100分。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3．精馏操作成绩（C）：由2-3名评审裁判员依据选手现场实际操作规范程度、操作质量和文明操作情况，按照精馏操作评分细则实施过程评判，并单独评分后再加以平均，以确定成绩，满分100分。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4．比赛总成绩计算</w:t>
      </w:r>
    </w:p>
    <w:p>
      <w:pPr>
        <w:spacing w:line="560" w:lineRule="exact"/>
        <w:ind w:firstLine="600" w:firstLineChars="200"/>
        <w:rPr>
          <w:rFonts w:ascii="仿宋_GB2312" w:hAnsi="宋体" w:eastAsia="仿宋_GB2312"/>
          <w:sz w:val="30"/>
          <w:szCs w:val="30"/>
        </w:rPr>
      </w:pPr>
      <w:r>
        <w:rPr>
          <w:rFonts w:ascii="仿宋_GB2312" w:hAnsi="宋体" w:eastAsia="仿宋_GB2312"/>
          <w:sz w:val="30"/>
          <w:szCs w:val="30"/>
        </w:rPr>
        <w:t>个人</w:t>
      </w:r>
      <w:r>
        <w:rPr>
          <w:rFonts w:hint="eastAsia" w:ascii="仿宋_GB2312" w:hAnsi="宋体" w:eastAsia="仿宋_GB2312"/>
          <w:sz w:val="30"/>
          <w:szCs w:val="30"/>
        </w:rPr>
        <w:t>比赛</w:t>
      </w:r>
      <w:r>
        <w:rPr>
          <w:rFonts w:ascii="仿宋_GB2312" w:hAnsi="宋体" w:eastAsia="仿宋_GB2312"/>
          <w:sz w:val="30"/>
          <w:szCs w:val="30"/>
        </w:rPr>
        <w:t>总成绩（G</w:t>
      </w:r>
      <w:r>
        <w:rPr>
          <w:rFonts w:ascii="仿宋_GB2312" w:hAnsi="宋体" w:eastAsia="仿宋_GB2312"/>
          <w:sz w:val="30"/>
          <w:szCs w:val="30"/>
          <w:vertAlign w:val="subscript"/>
        </w:rPr>
        <w:t>i</w:t>
      </w:r>
      <w:r>
        <w:rPr>
          <w:rFonts w:ascii="仿宋_GB2312" w:hAnsi="宋体" w:eastAsia="仿宋_GB2312"/>
          <w:sz w:val="30"/>
          <w:szCs w:val="30"/>
        </w:rPr>
        <w:t>）计算：G</w:t>
      </w:r>
      <w:r>
        <w:rPr>
          <w:rFonts w:ascii="仿宋_GB2312" w:hAnsi="宋体" w:eastAsia="仿宋_GB2312"/>
          <w:sz w:val="30"/>
          <w:szCs w:val="30"/>
          <w:vertAlign w:val="subscript"/>
        </w:rPr>
        <w:t>i</w:t>
      </w:r>
      <w:r>
        <w:rPr>
          <w:rFonts w:ascii="仿宋_GB2312" w:hAnsi="宋体" w:eastAsia="仿宋_GB2312"/>
          <w:sz w:val="30"/>
          <w:szCs w:val="30"/>
        </w:rPr>
        <w:t xml:space="preserve"> =</w:t>
      </w:r>
      <w:r>
        <w:rPr>
          <w:rFonts w:hint="eastAsia" w:ascii="仿宋_GB2312" w:hAnsi="宋体" w:eastAsia="仿宋_GB2312"/>
          <w:sz w:val="30"/>
          <w:szCs w:val="30"/>
        </w:rPr>
        <w:t>A</w:t>
      </w:r>
      <w:r>
        <w:rPr>
          <w:rFonts w:ascii="仿宋_GB2312" w:hAnsi="宋体" w:eastAsia="仿宋_GB2312"/>
          <w:sz w:val="30"/>
          <w:szCs w:val="30"/>
          <w:vertAlign w:val="subscript"/>
        </w:rPr>
        <w:t>i</w:t>
      </w:r>
      <w:r>
        <w:rPr>
          <w:rFonts w:ascii="仿宋_GB2312" w:hAnsi="宋体" w:eastAsia="仿宋_GB2312"/>
          <w:sz w:val="30"/>
          <w:szCs w:val="30"/>
        </w:rPr>
        <w:t>×</w:t>
      </w:r>
      <w:r>
        <w:rPr>
          <w:rFonts w:hint="eastAsia" w:ascii="仿宋_GB2312" w:hAnsi="宋体" w:eastAsia="仿宋_GB2312"/>
          <w:sz w:val="30"/>
          <w:szCs w:val="30"/>
        </w:rPr>
        <w:t>15</w:t>
      </w:r>
      <w:r>
        <w:rPr>
          <w:rFonts w:ascii="仿宋_GB2312" w:hAnsi="宋体" w:eastAsia="仿宋_GB2312"/>
          <w:sz w:val="30"/>
          <w:szCs w:val="30"/>
        </w:rPr>
        <w:t>%＋</w:t>
      </w:r>
      <w:r>
        <w:rPr>
          <w:rFonts w:hint="eastAsia" w:ascii="仿宋_GB2312" w:hAnsi="宋体" w:eastAsia="仿宋_GB2312"/>
          <w:sz w:val="30"/>
          <w:szCs w:val="30"/>
        </w:rPr>
        <w:t>B</w:t>
      </w:r>
      <w:r>
        <w:rPr>
          <w:rFonts w:ascii="仿宋_GB2312" w:hAnsi="宋体" w:eastAsia="仿宋_GB2312"/>
          <w:sz w:val="30"/>
          <w:szCs w:val="30"/>
          <w:vertAlign w:val="subscript"/>
        </w:rPr>
        <w:t>i</w:t>
      </w:r>
      <w:r>
        <w:rPr>
          <w:rFonts w:ascii="仿宋_GB2312" w:hAnsi="宋体" w:eastAsia="仿宋_GB2312"/>
          <w:sz w:val="30"/>
          <w:szCs w:val="30"/>
        </w:rPr>
        <w:t>×4</w:t>
      </w:r>
      <w:r>
        <w:rPr>
          <w:rFonts w:hint="eastAsia" w:ascii="仿宋_GB2312" w:hAnsi="宋体" w:eastAsia="仿宋_GB2312"/>
          <w:sz w:val="30"/>
          <w:szCs w:val="30"/>
        </w:rPr>
        <w:t>0</w:t>
      </w:r>
      <w:r>
        <w:rPr>
          <w:rFonts w:ascii="仿宋_GB2312" w:hAnsi="宋体" w:eastAsia="仿宋_GB2312"/>
          <w:sz w:val="30"/>
          <w:szCs w:val="30"/>
        </w:rPr>
        <w:t>%＋</w:t>
      </w:r>
      <w:r>
        <w:rPr>
          <w:rFonts w:hint="eastAsia" w:ascii="仿宋_GB2312" w:hAnsi="宋体" w:eastAsia="仿宋_GB2312"/>
          <w:sz w:val="30"/>
          <w:szCs w:val="30"/>
        </w:rPr>
        <w:t>C</w:t>
      </w:r>
      <w:r>
        <w:rPr>
          <w:rFonts w:ascii="仿宋_GB2312" w:hAnsi="宋体" w:eastAsia="仿宋_GB2312"/>
          <w:sz w:val="30"/>
          <w:szCs w:val="30"/>
          <w:vertAlign w:val="subscript"/>
        </w:rPr>
        <w:t>i</w:t>
      </w:r>
      <w:r>
        <w:rPr>
          <w:rFonts w:ascii="仿宋_GB2312" w:hAnsi="宋体" w:eastAsia="仿宋_GB2312"/>
          <w:sz w:val="30"/>
          <w:szCs w:val="30"/>
        </w:rPr>
        <w:t>×</w:t>
      </w:r>
      <w:r>
        <w:rPr>
          <w:rFonts w:hint="eastAsia" w:ascii="仿宋_GB2312" w:hAnsi="宋体" w:eastAsia="仿宋_GB2312"/>
          <w:sz w:val="30"/>
          <w:szCs w:val="30"/>
        </w:rPr>
        <w:t>45</w:t>
      </w:r>
      <w:r>
        <w:rPr>
          <w:rFonts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团体总成绩（M）计算：M=(G</w:t>
      </w:r>
      <w:r>
        <w:rPr>
          <w:rFonts w:hint="eastAsia" w:ascii="仿宋_GB2312" w:hAnsi="宋体" w:eastAsia="仿宋_GB2312"/>
          <w:sz w:val="30"/>
          <w:szCs w:val="30"/>
          <w:vertAlign w:val="subscript"/>
        </w:rPr>
        <w:t>1</w:t>
      </w:r>
      <w:r>
        <w:rPr>
          <w:rFonts w:hint="eastAsia" w:ascii="仿宋_GB2312" w:hAnsi="宋体" w:eastAsia="仿宋_GB2312"/>
          <w:sz w:val="30"/>
          <w:szCs w:val="30"/>
        </w:rPr>
        <w:t>+ G</w:t>
      </w:r>
      <w:r>
        <w:rPr>
          <w:rFonts w:hint="eastAsia" w:ascii="仿宋_GB2312" w:hAnsi="宋体" w:eastAsia="仿宋_GB2312"/>
          <w:sz w:val="30"/>
          <w:szCs w:val="30"/>
          <w:vertAlign w:val="subscript"/>
        </w:rPr>
        <w:t>2</w:t>
      </w:r>
      <w:r>
        <w:rPr>
          <w:rFonts w:hint="eastAsia" w:ascii="仿宋_GB2312" w:hAnsi="宋体" w:eastAsia="仿宋_GB2312"/>
          <w:sz w:val="30"/>
          <w:szCs w:val="30"/>
        </w:rPr>
        <w:t>+ G</w:t>
      </w:r>
      <w:r>
        <w:rPr>
          <w:rFonts w:hint="eastAsia" w:ascii="仿宋_GB2312" w:hAnsi="宋体" w:eastAsia="仿宋_GB2312"/>
          <w:sz w:val="30"/>
          <w:szCs w:val="30"/>
          <w:vertAlign w:val="subscript"/>
        </w:rPr>
        <w:t>3</w:t>
      </w:r>
      <w:r>
        <w:rPr>
          <w:rFonts w:hint="eastAsia" w:ascii="仿宋_GB2312" w:hAnsi="宋体" w:eastAsia="仿宋_GB2312"/>
          <w:sz w:val="30"/>
          <w:szCs w:val="30"/>
        </w:rPr>
        <w:t>)/3</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5．竞赛名次按团体总成绩高低排定。总成绩相同者，以实际操作技能成绩(含仿真)高者为先，实际操作技能成绩相同时，按比赛完成时间短者为先。</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6．在比赛过程中，有舞弊行为者，将取消其参赛项目的得分，并在其所得比赛总分中扣除10分。</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（三）评分细则</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1.化工专业知识评分标准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由计算机依据命题方案随机生成100道题（见表5），每题1分。选手依次回答所有题目，计算机根据选手答题正确与否自动评分，并评出最终得分。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2.化工仿真操作评分标准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由计算机依据命题方案统一生成仿真操作试题（见表4），选手依次完成所有操作过程，计算机依据选手操作步骤的正确与否和操作控制质量的高低自动客观评分，并根据各操作单元成绩按命题方案设定的比重进行加权评出最终得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3.精馏操作评分标准（供参考）</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精馏操作主要考核三部分：精馏操作技术指标（85%）、规范操作（12.5%）和安全文明操作（2.5%）。其中精馏操作技术指标得分由电脑根据工艺指标的合理性、装置稳定时间、产品产量、产品质量（浓度）、原材料消耗等内容自动评分，当实验结束时按下实验结束键，系统自动停止对各个实时指标的考核，计算得出最后选手精馏操作技术指标的得分。具体评分项目与标准见表7。</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表7  精馏操作具体评分项目与标准</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60"/>
        <w:gridCol w:w="1080"/>
        <w:gridCol w:w="481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考核项目</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评分项</w:t>
            </w:r>
          </w:p>
        </w:tc>
        <w:tc>
          <w:tcPr>
            <w:tcW w:w="4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考核内容与要求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技</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术</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指</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标</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工艺指标合理性</w:t>
            </w: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进料温度</w:t>
            </w:r>
          </w:p>
        </w:tc>
        <w:tc>
          <w:tcPr>
            <w:tcW w:w="4813" w:type="dxa"/>
            <w:tcBorders>
              <w:top w:val="single" w:color="auto" w:sz="4" w:space="0"/>
              <w:left w:val="single" w:color="auto" w:sz="4" w:space="0"/>
              <w:bottom w:val="single" w:color="auto" w:sz="4" w:space="0"/>
              <w:right w:val="single" w:color="auto" w:sz="4" w:space="0"/>
            </w:tcBorders>
          </w:tcPr>
          <w:p>
            <w:pPr>
              <w:ind w:right="-2" w:rightChars="-1"/>
              <w:rPr>
                <w:rFonts w:asciiTheme="minorEastAsia" w:hAnsiTheme="minorEastAsia" w:eastAsiaTheme="minorEastAsia"/>
                <w:sz w:val="24"/>
                <w:szCs w:val="24"/>
              </w:rPr>
            </w:pPr>
            <w:r>
              <w:rPr>
                <w:rFonts w:hint="eastAsia" w:asciiTheme="minorEastAsia" w:hAnsiTheme="minorEastAsia" w:eastAsiaTheme="minorEastAsia"/>
                <w:sz w:val="24"/>
                <w:szCs w:val="24"/>
              </w:rPr>
              <w:t>进料温度与进料板温度差不超过指定范围，超出范围持续一定时间系统将自动扣分</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再沸器液位</w:t>
            </w:r>
          </w:p>
        </w:tc>
        <w:tc>
          <w:tcPr>
            <w:tcW w:w="4813" w:type="dxa"/>
            <w:tcBorders>
              <w:top w:val="single" w:color="auto" w:sz="4" w:space="0"/>
              <w:left w:val="single" w:color="auto" w:sz="4" w:space="0"/>
              <w:bottom w:val="single" w:color="auto" w:sz="4" w:space="0"/>
              <w:right w:val="single" w:color="auto" w:sz="4" w:space="0"/>
            </w:tcBorders>
          </w:tcPr>
          <w:p>
            <w:pPr>
              <w:ind w:right="-2" w:rightChars="-1"/>
              <w:rPr>
                <w:rFonts w:asciiTheme="minorEastAsia" w:hAnsiTheme="minorEastAsia" w:eastAsiaTheme="minorEastAsia"/>
                <w:sz w:val="24"/>
                <w:szCs w:val="24"/>
              </w:rPr>
            </w:pPr>
            <w:r>
              <w:rPr>
                <w:rFonts w:hint="eastAsia" w:asciiTheme="minorEastAsia" w:hAnsiTheme="minorEastAsia" w:eastAsiaTheme="minorEastAsia"/>
                <w:sz w:val="24"/>
                <w:szCs w:val="24"/>
              </w:rPr>
              <w:t>再沸器液位需要维持稳定在指定范围，超出范围持续一定时间系统将自动扣分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塔顶压力</w:t>
            </w:r>
          </w:p>
        </w:tc>
        <w:tc>
          <w:tcPr>
            <w:tcW w:w="4813" w:type="dxa"/>
            <w:tcBorders>
              <w:top w:val="single" w:color="auto" w:sz="4" w:space="0"/>
              <w:left w:val="single" w:color="auto" w:sz="4" w:space="0"/>
              <w:bottom w:val="single" w:color="auto" w:sz="4" w:space="0"/>
              <w:right w:val="single" w:color="auto" w:sz="4" w:space="0"/>
            </w:tcBorders>
          </w:tcPr>
          <w:p>
            <w:pPr>
              <w:ind w:right="-2" w:rightChars="-1"/>
              <w:rPr>
                <w:rFonts w:asciiTheme="minorEastAsia" w:hAnsiTheme="minorEastAsia" w:eastAsiaTheme="minorEastAsia"/>
                <w:sz w:val="24"/>
                <w:szCs w:val="24"/>
              </w:rPr>
            </w:pPr>
            <w:r>
              <w:rPr>
                <w:rFonts w:hint="eastAsia" w:asciiTheme="minorEastAsia" w:hAnsiTheme="minorEastAsia" w:eastAsiaTheme="minorEastAsia"/>
                <w:sz w:val="24"/>
                <w:szCs w:val="24"/>
              </w:rPr>
              <w:t>塔顶压力需控制在指定范围，超出范围持续一定时间系统将自动扣分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塔压差</w:t>
            </w:r>
          </w:p>
        </w:tc>
        <w:tc>
          <w:tcPr>
            <w:tcW w:w="4813" w:type="dxa"/>
            <w:tcBorders>
              <w:top w:val="single" w:color="auto" w:sz="4" w:space="0"/>
              <w:left w:val="single" w:color="auto" w:sz="4" w:space="0"/>
              <w:bottom w:val="single" w:color="auto" w:sz="4" w:space="0"/>
              <w:right w:val="single" w:color="auto" w:sz="4" w:space="0"/>
            </w:tcBorders>
          </w:tcPr>
          <w:p>
            <w:pPr>
              <w:ind w:right="-2" w:rightChars="-1"/>
              <w:rPr>
                <w:rFonts w:asciiTheme="minorEastAsia" w:hAnsiTheme="minorEastAsia" w:eastAsiaTheme="minorEastAsia"/>
                <w:sz w:val="24"/>
                <w:szCs w:val="24"/>
              </w:rPr>
            </w:pPr>
            <w:r>
              <w:rPr>
                <w:rFonts w:hint="eastAsia" w:asciiTheme="minorEastAsia" w:hAnsiTheme="minorEastAsia" w:eastAsiaTheme="minorEastAsia"/>
                <w:sz w:val="24"/>
                <w:szCs w:val="24"/>
              </w:rPr>
              <w:t>塔压差需控制在指定范围，超出范围持续一定时间系统将自动扣分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调节系统稳定的时间</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以选手按下“考核开始”键作为起始信号，终止信号由电脑根据操作者的实际塔顶温度经自动判断。然后由系统设定的扣分标准进行自动记分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产品浓度评分</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GC测定产品罐中最终产品浓度，按系统设定的扣分标准进行自动记分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产量评分</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电子称称量产品产量，按系统设定的扣分标准进行自动记分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原料损耗量</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读取原料贮槽液位，计算原料消耗量，并输入到计算机中，按系统设定的扣分标准进行自动记分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电耗</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读取装置用电总量，并输入到计算机中，按系统设定的扣分标准进行自动记分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水耗</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读取装置用水总量，并输入到计算机中，按系统设定的扣分标准进行自动记分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范</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操</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w:t>
            </w: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开车准备</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①裁判长宣布考核开始。检查总电源、仪表盘电源，查看电压表、温度显示、实时监控仪</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②检查并确定工艺流程中各阀门状态，调整至准备开车状态并挂牌标识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③记录电表初始度数，记录DCS操作界面原料罐液位，填入工艺记录卡</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④检查并清空回流罐、产品罐中积液</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⑤查有无供水，并记录水表初始值，填入工艺记录卡</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⑥规范操作进料泵（离心泵）；将原料加入再沸器至合适液位，点击评分表中的“确认”、“清零”、“复位”键至“复位”键变成绿色后，切换至DCS控制界面并点击“考核开始”</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开车操作</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①规范启动精馏塔再沸器加热系统，升温</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②开启冷却水上水总阀及精馏塔顶冷凝器冷却水进口阀，调节冷却水流量</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③规范操作产品泵（齿轮泵），并通过回流转子流量计进行全回流操作</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④控制回流罐液位及回流量，控制系统稳定性（评分系统自动扣分），必要时可取样分析，但操作过程中气相色谱测试累计不得超过3次。</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⑤适时打开系统放空，排放不凝性气体，并维持塔顶压力稳定</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⑥选择合适的进料位置，进料流量≤50L/h。开启进料后５分钟内预热器出口温度必须超过75℃，同时须防止预热器过压操作</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正常运行</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①规范操作回流泵（齿轮泵），经塔顶产品罐冷却器，将塔顶馏出液冷却至50℃以下后收集塔顶产品</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②启动塔釜残液冷却器，将塔釜残液冷却至60℃以下后，收集塔釜残液</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正常停车（10分钟内完成，未完成步骤扣除相应分数）</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①精馏操作考核80分钟完毕，停进料泵（离心泵），关闭相应管线上阀门</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②规范停止预热器加热及再沸器电加热</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③及时点击DCS操作界面的“考核结束”，停回流泵（齿轮泵）</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④将塔顶馏出液送入产品槽，停馏出液冷凝水，停产品泵（齿轮泵）</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⑤停止塔釜残液采出，塔釜冷凝水，关闭上水阀、回水阀，并正确记录水表读数、电表读数</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⑥各阀门恢复初始开车前的状态</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⑦记录DCS操作面板原料储罐液位，收集并称量产品罐中馏出液，取样交裁判计时结束。气相色谱分析最终产品含量。</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rPr>
                <w:rFonts w:asciiTheme="minorEastAsia" w:hAnsiTheme="minorEastAsia" w:eastAsiaTheme="minorEastAsia"/>
                <w:sz w:val="24"/>
                <w:szCs w:val="24"/>
              </w:rPr>
            </w:pPr>
            <w:r>
              <w:rPr>
                <w:rFonts w:hint="eastAsia" w:asciiTheme="minorEastAsia" w:hAnsiTheme="minorEastAsia" w:eastAsiaTheme="minorEastAsia"/>
                <w:sz w:val="24"/>
                <w:szCs w:val="24"/>
              </w:rPr>
              <w:t>文明操作</w:t>
            </w: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文明操作，礼貌待人</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①穿戴符合安全生产与文明操作要求</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②保持现场环境整齐、清洁、有序</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③正确操作设备、使用工具</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④文明礼貌，服从裁判，尊重工作人员</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⑤记录及时、完整、规范、真实、准确。</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⑥记录结果弄虚作假扣全部文明操作分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安</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全</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操</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w:t>
            </w: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安全生产</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如发生人为的操作安全事故（如再沸器现场液位低于5cm）/预热器干烧（预热器上方视镜无液体+预热器正在加热）、设备人为损坏、操作不当导致的严重泄漏，伤人等情况），作弊以获得高产量，扣除全部操作分</w:t>
            </w:r>
          </w:p>
        </w:tc>
        <w:tc>
          <w:tcPr>
            <w:tcW w:w="851"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p>
        </w:tc>
      </w:tr>
    </w:tbl>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注：本评分项目与标准仅作为参赛队训练参照，非最终定稿。</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（一）赛项团体奖</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本赛项只设团体奖，以参赛代表队为单位进行排名。设一等奖、二等奖和三等奖三个奖项，分别占参赛队数的10%、20%和30%；同时，颁发荣誉证书和奖杯。</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（二）优秀指导教师奖</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竞赛组委会设优秀指导教师奖若干名，对获一等奖参赛选手的各项目指导老师进行表彰，并颁发优秀指导教师证书。</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adjustRightInd w:val="0"/>
        <w:snapToGrid w:val="0"/>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（一）专业教学要求</w:t>
      </w:r>
    </w:p>
    <w:p>
      <w:pPr>
        <w:adjustRightInd w:val="0"/>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化工技术类专业及石油、轻工、制药和环保类等相关专业，能满足如下竞赛项目专业教学要求：</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1．具有从事化工生产和管理所必需的化学基础知识和，能正确理解化工生产中的常用化学原理；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2．具有化工识图基本知识，能绘制工艺配管简图、工艺流程图，能识读仪表联锁图和识记工艺技术文件等；</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3．具有化工生产常用设备与机械、电工电器与化工仪表等基础知识，能确认相关化工生产岗位设备、电气、仪表是否符合生产要求和进行必要的维护与保养；</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4．具有一定的分析检验知识，能进行必要的原料、半成品和产品的质量分析；</w:t>
      </w:r>
    </w:p>
    <w:p>
      <w:pPr>
        <w:spacing w:line="560" w:lineRule="exact"/>
        <w:ind w:firstLine="585" w:firstLineChars="195"/>
        <w:rPr>
          <w:rFonts w:ascii="仿宋_GB2312" w:hAnsi="宋体" w:eastAsia="仿宋_GB2312"/>
          <w:sz w:val="30"/>
          <w:szCs w:val="30"/>
        </w:rPr>
      </w:pPr>
      <w:r>
        <w:rPr>
          <w:rFonts w:hint="eastAsia" w:ascii="仿宋_GB2312" w:hAnsi="宋体" w:eastAsia="仿宋_GB2312"/>
          <w:sz w:val="30"/>
          <w:szCs w:val="30"/>
        </w:rPr>
        <w:t>5．掌握化工单元操作、化学反应过程与设备等化学工程基础知识，并能按操作规程完成相关岗位的开车操作、运行调节与工艺优化；</w:t>
      </w:r>
    </w:p>
    <w:p>
      <w:pPr>
        <w:spacing w:line="560" w:lineRule="exact"/>
        <w:ind w:firstLine="585" w:firstLineChars="195"/>
        <w:rPr>
          <w:rFonts w:ascii="仿宋_GB2312" w:hAnsi="宋体" w:eastAsia="仿宋_GB2312"/>
          <w:sz w:val="30"/>
          <w:szCs w:val="30"/>
        </w:rPr>
      </w:pPr>
      <w:r>
        <w:rPr>
          <w:rFonts w:hint="eastAsia" w:ascii="仿宋_GB2312" w:hAnsi="宋体" w:eastAsia="仿宋_GB2312"/>
          <w:sz w:val="30"/>
          <w:szCs w:val="30"/>
        </w:rPr>
        <w:t>6．掌握化工生产工艺条件及其对生产过程的影响、生产工艺流程组织等化工专业技术知识；并能对整个产品生产工艺进行技术分析与工艺优化；</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7．具有化工安全、消防及环境保护相关知识，具有化工生产常见事故的分析判断与处理能力；能根据化工行业的职业特点做到安全、环保、经济和清洁生产；</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8．具有相关法律与法规知识和具备化工行业职业道德。</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 xml:space="preserve">（二）行业、职业技术标准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1．适用行业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石油、化工、轻工、环境保护、制药等行业。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2．引用职业标准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《化工总控工国家职业标准》（高级工标准）、《蒸馏工国家职业标准》（高级工标准）。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3．引用技术标准</w:t>
      </w:r>
    </w:p>
    <w:p>
      <w:pPr>
        <w:snapToGrid w:val="0"/>
        <w:spacing w:line="560" w:lineRule="exact"/>
        <w:ind w:firstLine="600" w:firstLineChars="200"/>
        <w:rPr>
          <w:rFonts w:ascii="Arial Narrow" w:hAnsi="Arial Narrow" w:eastAsia="仿宋_GB2312" w:cs="Arial"/>
          <w:sz w:val="30"/>
          <w:szCs w:val="30"/>
        </w:rPr>
      </w:pPr>
      <w:r>
        <w:rPr>
          <w:rFonts w:hint="eastAsia" w:ascii="仿宋_GB2312" w:hAnsi="宋体" w:eastAsia="仿宋_GB2312"/>
          <w:sz w:val="30"/>
          <w:szCs w:val="30"/>
        </w:rPr>
        <w:t>《钢制管壳式换热器》（GB151－1999），《钢制塔式容器》（JB4710－2005），《钢制管法兰、热片、紧固件》（HB20592～20635－2009），《常用化学危险品贮存通则》(GB15603－1995)，《常用化学危险品的分类与标志》（GB13690－92），《职业性接触毒物危害程度分级》（GB5044－85），《安全标志》（GB2894－1996）。</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 xml:space="preserve">（一）建议使用的比赛器材和技术平台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1．竞赛使用器材</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（1）竞赛用台式计算机50～100台以上（根据参赛选手人数确定）；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（2）精馏操作中试装置6套以上及其相配套的公用设施；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（3）气相色谱仪及数据处理器4套以上；</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（4）各类衡器、容器、量具等；</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（5）裁判用电脑、打印机等。</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2．竞赛技术平台</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（1）台式电脑：技术要求见表8。</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表8  仿真操作与理论考核用电脑技术要求</w:t>
      </w:r>
    </w:p>
    <w:tbl>
      <w:tblPr>
        <w:tblStyle w:val="1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719"/>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298" w:type="dxa"/>
            <w:tcBorders>
              <w:right w:val="single" w:color="auto" w:sz="6" w:space="0"/>
            </w:tcBorders>
            <w:shd w:val="clear" w:color="auto" w:fill="auto"/>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项目</w:t>
            </w:r>
          </w:p>
        </w:tc>
        <w:tc>
          <w:tcPr>
            <w:tcW w:w="3719" w:type="dxa"/>
            <w:tcBorders>
              <w:left w:val="single" w:color="auto" w:sz="6" w:space="0"/>
              <w:right w:val="single" w:color="auto" w:sz="6" w:space="0"/>
            </w:tcBorders>
            <w:shd w:val="clear" w:color="auto" w:fill="auto"/>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硬件配置</w:t>
            </w:r>
          </w:p>
        </w:tc>
        <w:tc>
          <w:tcPr>
            <w:tcW w:w="3551" w:type="dxa"/>
            <w:tcBorders>
              <w:left w:val="single" w:color="auto" w:sz="6" w:space="0"/>
            </w:tcBorders>
            <w:shd w:val="clear" w:color="auto" w:fill="auto"/>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软件环境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1298"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网络服务器</w:t>
            </w:r>
            <w:r>
              <w:rPr>
                <w:rFonts w:asciiTheme="minorEastAsia" w:hAnsiTheme="minorEastAsia" w:eastAsiaTheme="minorEastAsia"/>
                <w:sz w:val="24"/>
                <w:szCs w:val="24"/>
              </w:rPr>
              <w:t xml:space="preserve"> </w:t>
            </w:r>
          </w:p>
        </w:tc>
        <w:tc>
          <w:tcPr>
            <w:tcW w:w="3719"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酷睿</w:t>
            </w:r>
            <w:r>
              <w:rPr>
                <w:rFonts w:asciiTheme="minorEastAsia" w:hAnsiTheme="minorEastAsia" w:eastAsiaTheme="minorEastAsia"/>
                <w:sz w:val="24"/>
                <w:szCs w:val="24"/>
              </w:rPr>
              <w:t xml:space="preserve"> 2.</w:t>
            </w:r>
            <w:r>
              <w:rPr>
                <w:rFonts w:hint="eastAsia" w:asciiTheme="minorEastAsia" w:hAnsiTheme="minorEastAsia" w:eastAsiaTheme="minorEastAsia"/>
                <w:sz w:val="24"/>
                <w:szCs w:val="24"/>
              </w:rPr>
              <w:t>0</w:t>
            </w:r>
            <w:r>
              <w:rPr>
                <w:rFonts w:asciiTheme="minorEastAsia" w:hAnsiTheme="minorEastAsia" w:eastAsiaTheme="minorEastAsia"/>
                <w:sz w:val="24"/>
                <w:szCs w:val="24"/>
              </w:rPr>
              <w:t>G CPU</w:t>
            </w:r>
            <w:r>
              <w:rPr>
                <w:rFonts w:hint="eastAsia" w:asciiTheme="minorEastAsia" w:hAnsiTheme="minorEastAsia" w:eastAsiaTheme="minorEastAsia"/>
                <w:sz w:val="24"/>
                <w:szCs w:val="24"/>
              </w:rPr>
              <w:t>，</w:t>
            </w:r>
            <w:r>
              <w:rPr>
                <w:rFonts w:asciiTheme="minorEastAsia" w:hAnsiTheme="minorEastAsia" w:eastAsiaTheme="minorEastAsia"/>
                <w:sz w:val="24"/>
                <w:szCs w:val="24"/>
              </w:rPr>
              <w:t>2G</w:t>
            </w:r>
            <w:r>
              <w:rPr>
                <w:rFonts w:hint="eastAsia" w:asciiTheme="minorEastAsia" w:hAnsiTheme="minorEastAsia" w:eastAsiaTheme="minorEastAsia"/>
                <w:sz w:val="24"/>
                <w:szCs w:val="24"/>
              </w:rPr>
              <w:t>内存，</w:t>
            </w:r>
            <w:r>
              <w:rPr>
                <w:rFonts w:asciiTheme="minorEastAsia" w:hAnsiTheme="minorEastAsia" w:eastAsiaTheme="minorEastAsia"/>
                <w:sz w:val="24"/>
                <w:szCs w:val="24"/>
              </w:rPr>
              <w:t>36</w:t>
            </w:r>
            <w:r>
              <w:rPr>
                <w:rFonts w:hint="eastAsia" w:asciiTheme="minorEastAsia" w:hAnsiTheme="minorEastAsia" w:eastAsiaTheme="minorEastAsia"/>
                <w:sz w:val="24"/>
                <w:szCs w:val="24"/>
              </w:rPr>
              <w:t>0</w:t>
            </w:r>
            <w:r>
              <w:rPr>
                <w:rFonts w:asciiTheme="minorEastAsia" w:hAnsiTheme="minorEastAsia" w:eastAsiaTheme="minorEastAsia"/>
                <w:sz w:val="24"/>
                <w:szCs w:val="24"/>
              </w:rPr>
              <w:t>G</w:t>
            </w:r>
            <w:r>
              <w:rPr>
                <w:rFonts w:hint="eastAsia" w:asciiTheme="minorEastAsia" w:hAnsiTheme="minorEastAsia" w:eastAsiaTheme="minorEastAsia"/>
                <w:sz w:val="24"/>
                <w:szCs w:val="24"/>
              </w:rPr>
              <w:t>硬盘</w:t>
            </w:r>
            <w:r>
              <w:rPr>
                <w:rFonts w:asciiTheme="minorEastAsia" w:hAnsiTheme="minorEastAsia" w:eastAsiaTheme="minorEastAsia"/>
                <w:sz w:val="24"/>
                <w:szCs w:val="24"/>
              </w:rPr>
              <w:t xml:space="preserve"> </w:t>
            </w:r>
          </w:p>
        </w:tc>
        <w:tc>
          <w:tcPr>
            <w:tcW w:w="3551" w:type="dxa"/>
            <w:tcBorders>
              <w:bottom w:val="single" w:color="auto" w:sz="4" w:space="0"/>
            </w:tcBorders>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Windows 2003 Server</w:t>
            </w:r>
            <w:r>
              <w:rPr>
                <w:rFonts w:hint="eastAsia" w:asciiTheme="minorEastAsia" w:hAnsiTheme="minorEastAsia" w:eastAsiaTheme="minorEastAsia"/>
                <w:sz w:val="24"/>
                <w:szCs w:val="24"/>
              </w:rPr>
              <w:t>中文版，安装</w:t>
            </w:r>
            <w:r>
              <w:rPr>
                <w:rFonts w:asciiTheme="minorEastAsia" w:hAnsiTheme="minorEastAsia" w:eastAsiaTheme="minorEastAsia"/>
                <w:sz w:val="24"/>
                <w:szCs w:val="24"/>
              </w:rPr>
              <w:t>SQL Server 200</w:t>
            </w:r>
            <w:r>
              <w:rPr>
                <w:rFonts w:hint="eastAsia" w:asciiTheme="minorEastAsia" w:hAnsiTheme="minorEastAsia" w:eastAsiaTheme="minorEastAsia"/>
                <w:sz w:val="24"/>
                <w:szCs w:val="24"/>
              </w:rPr>
              <w:t>0 中文版数据库、微软Freamwok2.0 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9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管理员计算机（裁判用机）</w:t>
            </w:r>
          </w:p>
        </w:tc>
        <w:tc>
          <w:tcPr>
            <w:tcW w:w="371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酷睿</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6</w:t>
            </w:r>
            <w:r>
              <w:rPr>
                <w:rFonts w:asciiTheme="minorEastAsia" w:hAnsiTheme="minorEastAsia" w:eastAsiaTheme="minorEastAsia"/>
                <w:sz w:val="24"/>
                <w:szCs w:val="24"/>
              </w:rPr>
              <w:t xml:space="preserve"> CPU</w:t>
            </w:r>
            <w:r>
              <w:rPr>
                <w:rFonts w:hint="eastAsia" w:asciiTheme="minorEastAsia" w:hAnsiTheme="minorEastAsia" w:eastAsiaTheme="minorEastAsia"/>
                <w:sz w:val="24"/>
                <w:szCs w:val="24"/>
              </w:rPr>
              <w:t>，1G内存，1</w:t>
            </w:r>
            <w:r>
              <w:rPr>
                <w:rFonts w:asciiTheme="minorEastAsia" w:hAnsiTheme="minorEastAsia" w:eastAsiaTheme="minorEastAsia"/>
                <w:sz w:val="24"/>
                <w:szCs w:val="24"/>
              </w:rPr>
              <w:t>20G</w:t>
            </w:r>
            <w:r>
              <w:rPr>
                <w:rFonts w:hint="eastAsia" w:asciiTheme="minorEastAsia" w:hAnsiTheme="minorEastAsia" w:eastAsiaTheme="minorEastAsia"/>
                <w:sz w:val="24"/>
                <w:szCs w:val="24"/>
              </w:rPr>
              <w:t>硬盘</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以上配置</w:t>
            </w:r>
          </w:p>
        </w:tc>
        <w:tc>
          <w:tcPr>
            <w:tcW w:w="3551"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WindowsXP</w:t>
            </w:r>
            <w:r>
              <w:rPr>
                <w:rFonts w:hint="eastAsia" w:asciiTheme="minorEastAsia" w:hAnsiTheme="minorEastAsia" w:eastAsiaTheme="minorEastAsia"/>
                <w:sz w:val="24"/>
                <w:szCs w:val="24"/>
              </w:rPr>
              <w:t>（SP2及以上），安装</w:t>
            </w:r>
            <w:r>
              <w:rPr>
                <w:rFonts w:asciiTheme="minorEastAsia" w:hAnsiTheme="minorEastAsia" w:eastAsiaTheme="minorEastAsia"/>
                <w:sz w:val="24"/>
                <w:szCs w:val="24"/>
              </w:rPr>
              <w:t>IE</w:t>
            </w:r>
            <w:r>
              <w:rPr>
                <w:rFonts w:hint="eastAsia" w:asciiTheme="minorEastAsia" w:hAnsiTheme="minorEastAsia" w:eastAsiaTheme="minorEastAsia"/>
                <w:sz w:val="24"/>
                <w:szCs w:val="24"/>
              </w:rPr>
              <w:t>7.0或以上</w:t>
            </w:r>
            <w:r>
              <w:rPr>
                <w:rFonts w:asciiTheme="minorEastAsia" w:hAnsiTheme="minorEastAsia" w:eastAsiaTheme="minorEastAsia"/>
                <w:sz w:val="24"/>
                <w:szCs w:val="24"/>
              </w:rPr>
              <w:t>浏览器</w:t>
            </w:r>
            <w:r>
              <w:rPr>
                <w:rFonts w:hint="eastAsia" w:asciiTheme="minorEastAsia" w:hAnsiTheme="minorEastAsia" w:eastAsiaTheme="minorEastAsia"/>
                <w:sz w:val="24"/>
                <w:szCs w:val="24"/>
              </w:rPr>
              <w:t>、微软Freamwok2.0 插件并安装</w:t>
            </w:r>
            <w:r>
              <w:rPr>
                <w:rFonts w:asciiTheme="minorEastAsia" w:hAnsiTheme="minorEastAsia" w:eastAsiaTheme="minorEastAsia"/>
                <w:sz w:val="24"/>
                <w:szCs w:val="24"/>
              </w:rPr>
              <w:t>Office2000</w:t>
            </w:r>
            <w:r>
              <w:rPr>
                <w:rFonts w:hint="eastAsia" w:asciiTheme="minorEastAsia" w:hAnsiTheme="minorEastAsia" w:eastAsiaTheme="minorEastAsia"/>
                <w:sz w:val="24"/>
                <w:szCs w:val="24"/>
              </w:rPr>
              <w:t>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9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学员计算机（选手用机）</w:t>
            </w:r>
          </w:p>
        </w:tc>
        <w:tc>
          <w:tcPr>
            <w:tcW w:w="371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酷睿</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6</w:t>
            </w:r>
            <w:r>
              <w:rPr>
                <w:rFonts w:asciiTheme="minorEastAsia" w:hAnsiTheme="minorEastAsia" w:eastAsiaTheme="minorEastAsia"/>
                <w:sz w:val="24"/>
                <w:szCs w:val="24"/>
              </w:rPr>
              <w:t>CPU</w:t>
            </w:r>
            <w:r>
              <w:rPr>
                <w:rFonts w:hint="eastAsia" w:asciiTheme="minorEastAsia" w:hAnsiTheme="minorEastAsia" w:eastAsiaTheme="minorEastAsia"/>
                <w:sz w:val="24"/>
                <w:szCs w:val="24"/>
              </w:rPr>
              <w:t>，1G内存，1</w:t>
            </w:r>
            <w:r>
              <w:rPr>
                <w:rFonts w:asciiTheme="minorEastAsia" w:hAnsiTheme="minorEastAsia" w:eastAsiaTheme="minorEastAsia"/>
                <w:sz w:val="24"/>
                <w:szCs w:val="24"/>
              </w:rPr>
              <w:t>20G</w:t>
            </w:r>
            <w:r>
              <w:rPr>
                <w:rFonts w:hint="eastAsia" w:asciiTheme="minorEastAsia" w:hAnsiTheme="minorEastAsia" w:eastAsiaTheme="minorEastAsia"/>
                <w:sz w:val="24"/>
                <w:szCs w:val="24"/>
              </w:rPr>
              <w:t>硬盘</w:t>
            </w:r>
          </w:p>
          <w:p>
            <w:pPr>
              <w:rPr>
                <w:rFonts w:asciiTheme="minorEastAsia" w:hAnsiTheme="minorEastAsia" w:eastAsiaTheme="minorEastAsia"/>
                <w:sz w:val="24"/>
                <w:szCs w:val="24"/>
              </w:rPr>
            </w:pPr>
          </w:p>
        </w:tc>
        <w:tc>
          <w:tcPr>
            <w:tcW w:w="3551"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Windows XP</w:t>
            </w:r>
            <w:r>
              <w:rPr>
                <w:rFonts w:hint="eastAsia" w:asciiTheme="minorEastAsia" w:hAnsiTheme="minorEastAsia" w:eastAsiaTheme="minorEastAsia"/>
                <w:sz w:val="24"/>
                <w:szCs w:val="24"/>
              </w:rPr>
              <w:t>（SP2及以上），安装</w:t>
            </w:r>
            <w:r>
              <w:rPr>
                <w:rFonts w:asciiTheme="minorEastAsia" w:hAnsiTheme="minorEastAsia" w:eastAsiaTheme="minorEastAsia"/>
                <w:sz w:val="24"/>
                <w:szCs w:val="24"/>
              </w:rPr>
              <w:t>IE</w:t>
            </w:r>
            <w:r>
              <w:rPr>
                <w:rFonts w:hint="eastAsia" w:asciiTheme="minorEastAsia" w:hAnsiTheme="minorEastAsia" w:eastAsiaTheme="minorEastAsia"/>
                <w:sz w:val="24"/>
                <w:szCs w:val="24"/>
              </w:rPr>
              <w:t>7.0或以上</w:t>
            </w:r>
            <w:r>
              <w:rPr>
                <w:rFonts w:asciiTheme="minorEastAsia" w:hAnsiTheme="minorEastAsia" w:eastAsiaTheme="minorEastAsia"/>
                <w:sz w:val="24"/>
                <w:szCs w:val="24"/>
              </w:rPr>
              <w:t>浏览器</w:t>
            </w:r>
            <w:r>
              <w:rPr>
                <w:rFonts w:hint="eastAsia" w:asciiTheme="minorEastAsia" w:hAnsiTheme="minorEastAsia" w:eastAsiaTheme="minorEastAsia"/>
                <w:sz w:val="24"/>
                <w:szCs w:val="24"/>
              </w:rPr>
              <w:t>、微软Freamwok2.0 插件。（注意市场上的 GHOST XP系统可能存在无法启动等问题）</w:t>
            </w:r>
          </w:p>
        </w:tc>
      </w:tr>
    </w:tbl>
    <w:p>
      <w:pPr>
        <w:spacing w:line="560" w:lineRule="exact"/>
        <w:ind w:firstLine="600" w:firstLineChars="200"/>
        <w:rPr>
          <w:rFonts w:ascii="仿宋_GB2312" w:eastAsia="仿宋_GB2312"/>
          <w:sz w:val="30"/>
          <w:szCs w:val="30"/>
        </w:rPr>
      </w:pPr>
      <w:r>
        <w:rPr>
          <w:rFonts w:hint="eastAsia" w:ascii="仿宋_GB2312" w:eastAsia="仿宋_GB2312"/>
          <w:sz w:val="30"/>
          <w:szCs w:val="30"/>
        </w:rPr>
        <w:t>（2）软件：理论考核与自动评分系统软件和竞赛用化工仿真操作软件。</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（3）精馏操作中试装置及其相配套的公用设施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装置原料处理量为60kg/h，配备DCS操作系统、带控制点的工艺流程图、安全操作说明书、比重计（测定）酒精浓度-温度对照表等。精馏操作中试装置的技术平台应符合如下要求。</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①设备主体结构规格及配套设施。长×宽×高：4800×2500×4200mm；材质：设备、管道为不锈钢，框架：整体采用高温烤漆钢制。带双层操作平台，一层平台方便操作、检修、巡查和操作，二层有安全斜梯通上并有护栏、花纹防滑钢板。配套：现场控制台（含嵌入式微机位、报警器及开关位、二次仪表）并内含DCS和仪表控制转换接入口。</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②</w:t>
      </w:r>
      <w:r>
        <w:rPr>
          <w:rFonts w:hint="eastAsia" w:ascii="仿宋_GB2312" w:eastAsia="仿宋_GB2312"/>
          <w:sz w:val="30"/>
          <w:szCs w:val="30"/>
        </w:rPr>
        <w:t>装置布局。采用工厂化布局；带操作平台、斜梯，反映工业精馏布局特点；含DCS系统标准工业柜；</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③</w:t>
      </w:r>
      <w:r>
        <w:rPr>
          <w:rFonts w:hint="eastAsia" w:ascii="仿宋_GB2312" w:eastAsia="仿宋_GB2312"/>
          <w:sz w:val="30"/>
          <w:szCs w:val="30"/>
        </w:rPr>
        <w:t>总体动态运行控制功能：能实现常压和真空不同状态下的动态运行。现场控制台仪表控制同时与微机通讯，基于MCGS工控软件平台的实时数据采集及过程监控；DCS工程师站与现场控制台连接，实现单回路、串级控制、比值控制和PID控制等形式，可实现手动控制和自动控制方式的切换、远程监控、流程组态的上传下载实时报警记录。</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④</w:t>
      </w:r>
      <w:r>
        <w:rPr>
          <w:rFonts w:hint="eastAsia" w:ascii="仿宋_GB2312" w:eastAsia="仿宋_GB2312"/>
          <w:sz w:val="30"/>
          <w:szCs w:val="30"/>
        </w:rPr>
        <w:t>智能仪表显示功能：多通道输入输出可完成组态、控制、通讯和实时数据及趋势显示和控制等功能。</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⑤</w:t>
      </w:r>
      <w:r>
        <w:rPr>
          <w:rFonts w:hint="eastAsia" w:ascii="仿宋_GB2312" w:eastAsia="仿宋_GB2312"/>
          <w:sz w:val="30"/>
          <w:szCs w:val="30"/>
        </w:rPr>
        <w:t>执行机构及管路阀门：采用各种工业级别管道阀门，通过Pt100温度传感器、压力变送器、远传液位计、可控硅调压模块等智能传感器完成压力和电加热管等执行器及电控单元的反馈控制。</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⑥</w:t>
      </w:r>
      <w:r>
        <w:rPr>
          <w:rFonts w:hint="eastAsia" w:ascii="仿宋_GB2312" w:eastAsia="仿宋_GB2312"/>
          <w:sz w:val="30"/>
          <w:szCs w:val="30"/>
        </w:rPr>
        <w:t>智能计量检测：包含微调转子流量计、远传液位计、声光报警器及各类就地弹簧指针表等仪表。</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（4）气相色谱仪及数据处理器</w:t>
      </w:r>
    </w:p>
    <w:p>
      <w:pPr>
        <w:spacing w:line="560" w:lineRule="exact"/>
        <w:ind w:firstLine="600" w:firstLineChars="200"/>
        <w:rPr>
          <w:rFonts w:ascii="仿宋_GB2312" w:eastAsia="仿宋_GB2312"/>
          <w:color w:val="FF0000"/>
          <w:sz w:val="30"/>
          <w:szCs w:val="30"/>
        </w:rPr>
      </w:pPr>
      <w:r>
        <w:rPr>
          <w:rFonts w:hint="eastAsia" w:ascii="仿宋_GB2312" w:eastAsia="仿宋_GB2312"/>
          <w:sz w:val="30"/>
          <w:szCs w:val="30"/>
        </w:rPr>
        <w:t>采用GC-9750气相色谱仪。</w:t>
      </w:r>
      <w:r>
        <w:rPr>
          <w:rFonts w:hint="eastAsia" w:ascii="仿宋_GB2312" w:eastAsia="仿宋_GB2312"/>
          <w:bCs/>
          <w:sz w:val="30"/>
          <w:szCs w:val="30"/>
        </w:rPr>
        <w:t>技术参数如下：</w:t>
      </w:r>
      <w:r>
        <w:rPr>
          <w:rFonts w:hint="eastAsia" w:ascii="仿宋_GB2312" w:eastAsia="仿宋_GB2312"/>
          <w:sz w:val="30"/>
          <w:szCs w:val="30"/>
        </w:rPr>
        <w:t>配填充柱，规格φ5×2000；配TCD检测器，TCD灵敏度 S≥2500mv·ml/mg(NC)。</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（5）其它：比赛现场提供生产操作工艺卡文档等。</w:t>
      </w:r>
    </w:p>
    <w:p>
      <w:pPr>
        <w:autoSpaceDE w:val="0"/>
        <w:autoSpaceDN w:val="0"/>
        <w:adjustRightInd w:val="0"/>
        <w:spacing w:line="560" w:lineRule="exact"/>
        <w:ind w:firstLine="600"/>
        <w:rPr>
          <w:rFonts w:ascii="仿宋_GB2312" w:hAnsi="宋体" w:eastAsia="仿宋_GB2312"/>
          <w:bCs/>
          <w:sz w:val="30"/>
          <w:szCs w:val="30"/>
        </w:rPr>
      </w:pPr>
      <w:r>
        <w:rPr>
          <w:rFonts w:hint="eastAsia" w:ascii="仿宋_GB2312" w:hAnsi="宋体" w:eastAsia="仿宋_GB2312"/>
          <w:bCs/>
          <w:sz w:val="30"/>
          <w:szCs w:val="30"/>
        </w:rPr>
        <w:t>（二）场地要求</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1．化工仿真操作与理论考核机房</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（1）采用相同配置的台式电脑，参赛选手每人一台，且每台考核用电脑机位标明编号。</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（2）竞赛工位相对独立，确保选手独立开展竞赛，不受外界影响。</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（3）配有裁判用电脑、打印机等竞赛评判工具。</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（4）配套稳定的水、电和应急设备，并有保安、公安、消防、设备维修等抢险人员待命，以防突发事件。</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2．精馏操作场地</w:t>
      </w:r>
    </w:p>
    <w:p>
      <w:pPr>
        <w:autoSpaceDE w:val="0"/>
        <w:autoSpaceDN w:val="0"/>
        <w:adjustRightInd w:val="0"/>
        <w:spacing w:line="560" w:lineRule="exact"/>
        <w:ind w:firstLine="600"/>
        <w:rPr>
          <w:rFonts w:ascii="仿宋_GB2312" w:hAnsi="宋体" w:eastAsia="仿宋_GB2312" w:cs="??_GB2312"/>
          <w:kern w:val="0"/>
          <w:sz w:val="30"/>
          <w:szCs w:val="30"/>
        </w:rPr>
      </w:pPr>
      <w:r>
        <w:rPr>
          <w:rFonts w:hint="eastAsia" w:ascii="仿宋_GB2312" w:hAnsi="宋体" w:eastAsia="仿宋_GB2312" w:cs="??_GB2312"/>
          <w:kern w:val="0"/>
          <w:sz w:val="30"/>
          <w:szCs w:val="30"/>
        </w:rPr>
        <w:t>（1）场地环境应按照化工生产车间的安全技术要求布置，整个比赛场地应保持通畅和开放,并配备防火防爆及其他安全设施。</w:t>
      </w:r>
    </w:p>
    <w:p>
      <w:pPr>
        <w:spacing w:line="560" w:lineRule="exact"/>
        <w:ind w:firstLine="585" w:firstLineChars="195"/>
        <w:rPr>
          <w:rFonts w:ascii="仿宋_GB2312" w:hAnsi="宋体" w:eastAsia="仿宋_GB2312"/>
          <w:bCs/>
          <w:sz w:val="30"/>
          <w:szCs w:val="30"/>
        </w:rPr>
      </w:pPr>
      <w:r>
        <w:rPr>
          <w:rFonts w:hint="eastAsia" w:ascii="仿宋_GB2312" w:hAnsi="宋体" w:eastAsia="仿宋_GB2312"/>
          <w:sz w:val="30"/>
          <w:szCs w:val="30"/>
        </w:rPr>
        <w:t>（2）场地配备不低于6套相同型号的蒸馏竞赛装置，且</w:t>
      </w:r>
      <w:r>
        <w:rPr>
          <w:rFonts w:hint="eastAsia" w:ascii="仿宋_GB2312" w:hAnsi="宋体" w:eastAsia="仿宋_GB2312"/>
          <w:bCs/>
          <w:sz w:val="30"/>
          <w:szCs w:val="30"/>
        </w:rPr>
        <w:t>每个竞赛装置（工位）标明编号。</w:t>
      </w:r>
    </w:p>
    <w:p>
      <w:pPr>
        <w:spacing w:line="560" w:lineRule="exact"/>
        <w:ind w:firstLine="585" w:firstLineChars="195"/>
        <w:rPr>
          <w:rFonts w:ascii="仿宋_GB2312" w:hAnsi="宋体" w:eastAsia="仿宋_GB2312"/>
          <w:bCs/>
          <w:sz w:val="30"/>
          <w:szCs w:val="30"/>
        </w:rPr>
      </w:pPr>
      <w:r>
        <w:rPr>
          <w:rFonts w:hint="eastAsia" w:ascii="仿宋_GB2312" w:hAnsi="宋体" w:eastAsia="仿宋_GB2312"/>
          <w:bCs/>
          <w:sz w:val="30"/>
          <w:szCs w:val="30"/>
        </w:rPr>
        <w:t>（3）每个竞赛</w:t>
      </w:r>
      <w:r>
        <w:rPr>
          <w:rFonts w:hint="eastAsia" w:ascii="仿宋_GB2312" w:hAnsi="宋体" w:eastAsia="仿宋_GB2312"/>
          <w:kern w:val="0"/>
          <w:sz w:val="30"/>
          <w:szCs w:val="30"/>
        </w:rPr>
        <w:t>装置</w:t>
      </w:r>
      <w:r>
        <w:rPr>
          <w:rFonts w:hint="eastAsia" w:ascii="仿宋_GB2312" w:hAnsi="宋体" w:eastAsia="仿宋_GB2312"/>
          <w:bCs/>
          <w:sz w:val="30"/>
          <w:szCs w:val="30"/>
        </w:rPr>
        <w:t>的操作台上配有安全帽、操作工艺卡及其他相关操作用具和技术文件，配有相应数量的清洁工具。</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（4）竞赛工位相对独立，确保选手独立开展竞赛，不受外界影响。</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（5）配备操作质量监测工具及各类相关量具。</w:t>
      </w:r>
    </w:p>
    <w:p>
      <w:pPr>
        <w:spacing w:line="560" w:lineRule="exact"/>
        <w:ind w:firstLine="585" w:firstLineChars="195"/>
        <w:rPr>
          <w:rFonts w:ascii="仿宋_GB2312" w:hAnsi="宋体" w:eastAsia="仿宋_GB2312"/>
          <w:sz w:val="30"/>
          <w:szCs w:val="30"/>
        </w:rPr>
      </w:pPr>
      <w:r>
        <w:rPr>
          <w:rFonts w:hint="eastAsia" w:ascii="仿宋_GB2312" w:hAnsi="宋体" w:eastAsia="仿宋_GB2312"/>
          <w:sz w:val="30"/>
          <w:szCs w:val="30"/>
        </w:rPr>
        <w:t>（6）场地配套提供稳定的水、电、气源和供电应急设备，并有保安、公安、消防、设备维修和电力抢险人员待命，以防突发事件。</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 xml:space="preserve">（7）设立维修服务、医疗、生活补给站等公共服务区，为选手和赛场人员提供服务。 </w:t>
      </w:r>
    </w:p>
    <w:p>
      <w:pPr>
        <w:snapToGrid w:val="0"/>
        <w:spacing w:line="560" w:lineRule="exact"/>
        <w:ind w:firstLine="600" w:firstLineChars="200"/>
        <w:rPr>
          <w:rFonts w:ascii="Arial Narrow" w:hAnsi="Arial Narrow" w:eastAsia="仿宋_GB2312" w:cs="Arial"/>
          <w:sz w:val="30"/>
          <w:szCs w:val="30"/>
        </w:rPr>
      </w:pPr>
      <w:r>
        <w:rPr>
          <w:rFonts w:hint="eastAsia" w:ascii="仿宋_GB2312" w:hAnsi="宋体" w:eastAsia="仿宋_GB2312"/>
          <w:bCs/>
          <w:sz w:val="30"/>
          <w:szCs w:val="30"/>
        </w:rPr>
        <w:t>（8）设立赛场开放区和</w:t>
      </w:r>
      <w:r>
        <w:rPr>
          <w:rFonts w:hint="eastAsia" w:ascii="仿宋_GB2312" w:hAnsi="宋体" w:eastAsia="仿宋_GB2312"/>
          <w:sz w:val="30"/>
          <w:szCs w:val="30"/>
        </w:rPr>
        <w:t>安全通道</w:t>
      </w:r>
      <w:r>
        <w:rPr>
          <w:rFonts w:hint="eastAsia" w:ascii="仿宋_GB2312" w:hAnsi="宋体" w:eastAsia="仿宋_GB2312"/>
          <w:bCs/>
          <w:sz w:val="30"/>
          <w:szCs w:val="30"/>
        </w:rPr>
        <w:t>，用于大赛观摩和采访，保证大赛安全有序进行。</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（一）安全操作要求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1．选手和裁判进入精馏赛场，须统一着工作服、戴安全帽，禁止穿钉子鞋和高跟鞋，禁止携带火柴、打火机等火种进入比赛现场，严禁在比赛现场抽烟、禁止拨打手机或接听来电。</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2．竞赛选手须严格按照安全操作规程独立操控装置，确保装置安全运行；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竞赛结束，选手须检查装置是否处于安全停车状态、设备是否完好，并清整维护现场，在操作记录上签字后，将操作记录、样品送检、分析检验报告单等交给裁判，现场确认裁判输入评分表的数据后，经裁判允许即可退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4．比赛期间，若突遇停电、停水等意外，应采取紧急停车操作，冷静处置。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（二）赛场安全保障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1．精馏操作主赛场严格按照化工生产车间要求，配备防火防爆及其他安全设施；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2．赛场提供稳定的水、电、气源和供电应急设备，并有保安、公安、消防、设备维修和电力抢险人员待命，以防突发事件；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3．全部电路按技术标准规定安装过载、短路等自动保护装置；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4．所有竞赛现场设有紧急逃生指示图和医疗急救箱。</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（三）突发事件紧急处理与应急救援</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成立比赛期间突发事件处理指挥工作小组，并制定竞赛现场应急救援预案。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rPr>
          <w:rFonts w:ascii="仿宋_GB2312" w:hAnsi="Times New Roman" w:eastAsia="仿宋_GB2312" w:cs="宋体"/>
          <w:kern w:val="0"/>
          <w:sz w:val="30"/>
          <w:szCs w:val="30"/>
          <w:lang w:val="zh-CN"/>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照《全国职业院校技能大赛经费管理</w:t>
      </w:r>
      <w:r>
        <w:rPr>
          <w:rFonts w:hint="eastAsia" w:ascii="Arial Narrow" w:hAnsi="Arial Narrow" w:eastAsia="仿宋_GB2312" w:cs="Arial"/>
          <w:sz w:val="30"/>
          <w:szCs w:val="30"/>
        </w:rPr>
        <w:t>暂行办法</w:t>
      </w:r>
      <w:r>
        <w:rPr>
          <w:rFonts w:ascii="Arial Narrow" w:hAnsi="Arial Narrow" w:eastAsia="仿宋_GB2312" w:cs="Arial"/>
          <w:sz w:val="30"/>
          <w:szCs w:val="30"/>
        </w:rPr>
        <w:t>》的有关要求，</w:t>
      </w:r>
      <w:r>
        <w:rPr>
          <w:rFonts w:hint="eastAsia" w:ascii="仿宋_GB2312" w:hAnsi="??_GB2312" w:eastAsia="仿宋_GB2312" w:cs="宋体"/>
          <w:kern w:val="0"/>
          <w:sz w:val="30"/>
          <w:szCs w:val="30"/>
          <w:lang w:val="zh-CN"/>
        </w:rPr>
        <w:t>切实做到经费预算工作，</w:t>
      </w:r>
      <w:r>
        <w:rPr>
          <w:rFonts w:hint="eastAsia" w:ascii="仿宋_GB2312" w:hAnsi="Times New Roman" w:eastAsia="仿宋_GB2312" w:cs="宋体"/>
          <w:kern w:val="0"/>
          <w:sz w:val="30"/>
          <w:szCs w:val="30"/>
          <w:lang w:val="zh-CN"/>
        </w:rPr>
        <w:t>赛项经费管理坚持专户存储，</w:t>
      </w:r>
      <w:r>
        <w:rPr>
          <w:rFonts w:hint="eastAsia" w:ascii="仿宋_GB2312" w:hAnsi="??_GB2312" w:eastAsia="仿宋_GB2312" w:cs="宋体"/>
          <w:kern w:val="0"/>
          <w:sz w:val="30"/>
          <w:szCs w:val="30"/>
          <w:lang w:val="zh-CN"/>
        </w:rPr>
        <w:t>建立经费专用账户，实行</w:t>
      </w:r>
      <w:r>
        <w:rPr>
          <w:rFonts w:hint="eastAsia" w:ascii="仿宋_GB2312" w:hAnsi="Times New Roman" w:eastAsia="仿宋_GB2312" w:cs="宋体"/>
          <w:kern w:val="0"/>
          <w:sz w:val="30"/>
          <w:szCs w:val="30"/>
          <w:lang w:val="zh-CN"/>
        </w:rPr>
        <w:t>专款专用。</w:t>
      </w:r>
    </w:p>
    <w:p>
      <w:pPr>
        <w:autoSpaceDE w:val="0"/>
        <w:autoSpaceDN w:val="0"/>
        <w:adjustRightInd w:val="0"/>
        <w:spacing w:line="560" w:lineRule="exact"/>
        <w:ind w:firstLine="600"/>
        <w:rPr>
          <w:rFonts w:ascii="仿宋_GB2312" w:hAnsi="??_GB2312" w:eastAsia="仿宋_GB2312" w:cs="宋体"/>
          <w:bCs/>
          <w:kern w:val="0"/>
          <w:sz w:val="30"/>
          <w:szCs w:val="30"/>
          <w:lang w:val="zh-CN"/>
        </w:rPr>
      </w:pPr>
      <w:r>
        <w:rPr>
          <w:rFonts w:hint="eastAsia" w:ascii="仿宋_GB2312" w:hAnsi="??_GB2312" w:eastAsia="仿宋_GB2312" w:cs="宋体"/>
          <w:bCs/>
          <w:kern w:val="0"/>
          <w:sz w:val="30"/>
          <w:szCs w:val="30"/>
          <w:lang w:val="zh-CN"/>
        </w:rPr>
        <w:t>（一）经费预算收入来源</w:t>
      </w:r>
    </w:p>
    <w:p>
      <w:pPr>
        <w:autoSpaceDE w:val="0"/>
        <w:autoSpaceDN w:val="0"/>
        <w:adjustRightInd w:val="0"/>
        <w:spacing w:line="560" w:lineRule="exact"/>
        <w:ind w:firstLine="600"/>
        <w:rPr>
          <w:rFonts w:ascii="仿宋_GB2312" w:hAnsi="??_GB2312" w:eastAsia="仿宋_GB2312" w:cs="宋体"/>
          <w:kern w:val="0"/>
          <w:sz w:val="30"/>
          <w:szCs w:val="30"/>
          <w:lang w:val="zh-CN"/>
        </w:rPr>
      </w:pPr>
      <w:r>
        <w:rPr>
          <w:rFonts w:hint="eastAsia" w:ascii="仿宋_GB2312" w:hAnsi="??_GB2312" w:eastAsia="仿宋_GB2312" w:cs="宋体"/>
          <w:kern w:val="0"/>
          <w:sz w:val="30"/>
          <w:szCs w:val="30"/>
          <w:lang w:val="zh-CN"/>
        </w:rPr>
        <w:t>在经费筹集上，主要通过接受中国教育基金会的定向捐赠、地方政府投入和承办校自筹经费投入等方式实现。</w:t>
      </w:r>
    </w:p>
    <w:p>
      <w:pPr>
        <w:autoSpaceDE w:val="0"/>
        <w:autoSpaceDN w:val="0"/>
        <w:adjustRightInd w:val="0"/>
        <w:spacing w:line="560" w:lineRule="exact"/>
        <w:ind w:firstLine="600"/>
        <w:rPr>
          <w:rFonts w:ascii="仿宋_GB2312" w:hAnsi="??_GB2312" w:eastAsia="仿宋_GB2312" w:cs="宋体"/>
          <w:bCs/>
          <w:kern w:val="0"/>
          <w:sz w:val="30"/>
          <w:szCs w:val="30"/>
          <w:lang w:val="zh-CN"/>
        </w:rPr>
      </w:pPr>
      <w:r>
        <w:rPr>
          <w:rFonts w:hint="eastAsia" w:ascii="仿宋_GB2312" w:hAnsi="??_GB2312" w:eastAsia="仿宋_GB2312" w:cs="宋体"/>
          <w:bCs/>
          <w:kern w:val="0"/>
          <w:sz w:val="30"/>
          <w:szCs w:val="30"/>
          <w:lang w:val="zh-CN"/>
        </w:rPr>
        <w:t>（二）经费支出概算</w:t>
      </w:r>
    </w:p>
    <w:p>
      <w:pPr>
        <w:autoSpaceDE w:val="0"/>
        <w:autoSpaceDN w:val="0"/>
        <w:adjustRightInd w:val="0"/>
        <w:spacing w:line="560" w:lineRule="exact"/>
        <w:ind w:firstLine="600"/>
        <w:rPr>
          <w:rFonts w:ascii="仿宋_GB2312" w:hAnsi="??_GB2312" w:eastAsia="仿宋_GB2312" w:cs="宋体"/>
          <w:kern w:val="0"/>
          <w:sz w:val="30"/>
          <w:szCs w:val="30"/>
          <w:lang w:val="zh-CN"/>
        </w:rPr>
      </w:pPr>
      <w:r>
        <w:rPr>
          <w:rFonts w:hint="eastAsia" w:ascii="仿宋_GB2312" w:hAnsi="??_GB2312" w:eastAsia="仿宋_GB2312" w:cs="宋体"/>
          <w:kern w:val="0"/>
          <w:sz w:val="30"/>
          <w:szCs w:val="30"/>
          <w:lang w:val="zh-CN"/>
        </w:rPr>
        <w:t>具体支出预算表9（以60支参赛队计）。</w:t>
      </w:r>
    </w:p>
    <w:p>
      <w:pPr>
        <w:autoSpaceDE w:val="0"/>
        <w:autoSpaceDN w:val="0"/>
        <w:adjustRightInd w:val="0"/>
        <w:jc w:val="center"/>
        <w:rPr>
          <w:rFonts w:cs="宋体" w:asciiTheme="minorEastAsia" w:hAnsiTheme="minorEastAsia" w:eastAsiaTheme="minorEastAsia"/>
          <w:b/>
          <w:kern w:val="0"/>
          <w:sz w:val="24"/>
          <w:szCs w:val="24"/>
          <w:lang w:val="zh-CN"/>
        </w:rPr>
      </w:pPr>
      <w:r>
        <w:rPr>
          <w:rFonts w:hint="eastAsia" w:cs="宋体" w:asciiTheme="minorEastAsia" w:hAnsiTheme="minorEastAsia" w:eastAsiaTheme="minorEastAsia"/>
          <w:b/>
          <w:kern w:val="0"/>
          <w:sz w:val="24"/>
          <w:szCs w:val="24"/>
          <w:lang w:val="zh-CN"/>
        </w:rPr>
        <w:t>表9  经费支出预算表</w:t>
      </w:r>
    </w:p>
    <w:tbl>
      <w:tblPr>
        <w:tblStyle w:val="18"/>
        <w:tblW w:w="8640" w:type="dxa"/>
        <w:tblInd w:w="3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1134"/>
        <w:gridCol w:w="5526"/>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371" w:hRule="exact"/>
        </w:trPr>
        <w:tc>
          <w:tcPr>
            <w:tcW w:w="1134" w:type="dxa"/>
            <w:vAlign w:val="center"/>
          </w:tcPr>
          <w:p>
            <w:pPr>
              <w:autoSpaceDE w:val="0"/>
              <w:autoSpaceDN w:val="0"/>
              <w:adjustRightInd w:val="0"/>
              <w:jc w:val="center"/>
              <w:rPr>
                <w:rFonts w:cs="宋体" w:asciiTheme="minorEastAsia" w:hAnsiTheme="minorEastAsia" w:eastAsiaTheme="minorEastAsia"/>
                <w:b/>
                <w:kern w:val="0"/>
                <w:sz w:val="24"/>
                <w:szCs w:val="24"/>
                <w:lang w:val="zh-CN"/>
              </w:rPr>
            </w:pPr>
            <w:r>
              <w:rPr>
                <w:rFonts w:hint="eastAsia" w:cs="宋体" w:asciiTheme="minorEastAsia" w:hAnsiTheme="minorEastAsia" w:eastAsiaTheme="minorEastAsia"/>
                <w:b/>
                <w:kern w:val="0"/>
                <w:sz w:val="24"/>
                <w:szCs w:val="24"/>
                <w:lang w:val="zh-CN"/>
              </w:rPr>
              <w:t>类别</w:t>
            </w:r>
          </w:p>
        </w:tc>
        <w:tc>
          <w:tcPr>
            <w:tcW w:w="5526" w:type="dxa"/>
            <w:vAlign w:val="center"/>
          </w:tcPr>
          <w:p>
            <w:pPr>
              <w:autoSpaceDE w:val="0"/>
              <w:autoSpaceDN w:val="0"/>
              <w:adjustRightInd w:val="0"/>
              <w:jc w:val="center"/>
              <w:rPr>
                <w:rFonts w:cs="宋体" w:asciiTheme="minorEastAsia" w:hAnsiTheme="minorEastAsia" w:eastAsiaTheme="minorEastAsia"/>
                <w:b/>
                <w:kern w:val="0"/>
                <w:sz w:val="24"/>
                <w:szCs w:val="24"/>
                <w:lang w:val="zh-CN"/>
              </w:rPr>
            </w:pPr>
            <w:r>
              <w:rPr>
                <w:rFonts w:hint="eastAsia" w:cs="宋体" w:asciiTheme="minorEastAsia" w:hAnsiTheme="minorEastAsia" w:eastAsiaTheme="minorEastAsia"/>
                <w:b/>
                <w:kern w:val="0"/>
                <w:sz w:val="24"/>
                <w:szCs w:val="24"/>
                <w:lang w:val="zh-CN"/>
              </w:rPr>
              <w:t>项     目</w:t>
            </w:r>
          </w:p>
        </w:tc>
        <w:tc>
          <w:tcPr>
            <w:tcW w:w="1980" w:type="dxa"/>
            <w:vAlign w:val="center"/>
          </w:tcPr>
          <w:p>
            <w:pPr>
              <w:autoSpaceDE w:val="0"/>
              <w:autoSpaceDN w:val="0"/>
              <w:adjustRightInd w:val="0"/>
              <w:jc w:val="center"/>
              <w:rPr>
                <w:rFonts w:cs="宋体" w:asciiTheme="minorEastAsia" w:hAnsiTheme="minorEastAsia" w:eastAsiaTheme="minorEastAsia"/>
                <w:b/>
                <w:kern w:val="0"/>
                <w:sz w:val="24"/>
                <w:szCs w:val="24"/>
                <w:lang w:val="zh-CN"/>
              </w:rPr>
            </w:pPr>
            <w:r>
              <w:rPr>
                <w:rFonts w:hint="eastAsia" w:cs="宋体" w:asciiTheme="minorEastAsia" w:hAnsiTheme="minorEastAsia" w:eastAsiaTheme="minorEastAsia"/>
                <w:b/>
                <w:kern w:val="0"/>
                <w:sz w:val="24"/>
                <w:szCs w:val="24"/>
                <w:lang w:val="zh-CN"/>
              </w:rPr>
              <w:t>预算估价（万元）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restart"/>
            <w:vAlign w:val="center"/>
          </w:tcPr>
          <w:p>
            <w:pPr>
              <w:widowControl/>
              <w:jc w:val="center"/>
              <w:rPr>
                <w:rFonts w:cs="宋体" w:asciiTheme="minorEastAsia" w:hAnsiTheme="minorEastAsia" w:eastAsiaTheme="minorEastAsia"/>
                <w:kern w:val="0"/>
                <w:sz w:val="24"/>
                <w:szCs w:val="24"/>
                <w:lang w:val="zh-CN"/>
              </w:rPr>
            </w:pPr>
            <w:bookmarkStart w:id="0" w:name="_Hlk332656273"/>
            <w:bookmarkStart w:id="1" w:name="OLE_LINK4" w:colFirst="4" w:colLast="4"/>
            <w:bookmarkStart w:id="2" w:name="OLE_LINK1" w:colFirst="3" w:colLast="3"/>
            <w:bookmarkStart w:id="3" w:name="OLE_LINK3" w:colFirst="4" w:colLast="4"/>
            <w:bookmarkStart w:id="4" w:name="OLE_LINK2" w:colFirst="3" w:colLast="3"/>
            <w:r>
              <w:rPr>
                <w:rFonts w:hint="eastAsia" w:cs="宋体" w:asciiTheme="minorEastAsia" w:hAnsiTheme="minorEastAsia" w:eastAsiaTheme="minorEastAsia"/>
                <w:kern w:val="0"/>
                <w:sz w:val="24"/>
                <w:szCs w:val="24"/>
                <w:lang w:val="zh-CN"/>
              </w:rPr>
              <w:t>会务费</w:t>
            </w: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会务资料与竞赛手册印制、举牌、胸牌、标牌制作等</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w:t>
            </w:r>
          </w:p>
        </w:tc>
      </w:tr>
      <w:bookmarkEnd w:id="0"/>
      <w:bookmarkEnd w:id="1"/>
      <w:bookmarkEnd w:id="2"/>
      <w:bookmarkEnd w:id="3"/>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vAlign w:val="center"/>
          </w:tcPr>
          <w:p>
            <w:pPr>
              <w:widowControl/>
              <w:jc w:val="center"/>
              <w:rPr>
                <w:rFonts w:cs="宋体" w:asciiTheme="minorEastAsia" w:hAnsiTheme="minorEastAsia" w:eastAsiaTheme="minorEastAsia"/>
                <w:kern w:val="0"/>
                <w:sz w:val="24"/>
                <w:szCs w:val="24"/>
                <w:lang w:val="zh-CN"/>
              </w:rPr>
            </w:pP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开、闭幕式会场布置</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w:t>
            </w:r>
            <w:r>
              <w:rPr>
                <w:rFonts w:cs="宋体" w:asciiTheme="minorEastAsia" w:hAnsiTheme="minorEastAsia" w:eastAsiaTheme="minorEastAsia"/>
                <w:kern w:val="0"/>
                <w:sz w:val="24"/>
                <w:szCs w:val="24"/>
                <w:lang w:val="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vAlign w:val="center"/>
          </w:tcPr>
          <w:p>
            <w:pPr>
              <w:widowControl/>
              <w:jc w:val="center"/>
              <w:rPr>
                <w:rFonts w:cs="宋体" w:asciiTheme="minorEastAsia" w:hAnsiTheme="minorEastAsia" w:eastAsiaTheme="minorEastAsia"/>
                <w:kern w:val="0"/>
                <w:sz w:val="24"/>
                <w:szCs w:val="24"/>
                <w:lang w:val="zh-CN"/>
              </w:rPr>
            </w:pP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会议室、赛场、观摩室布置</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2</w:t>
            </w:r>
            <w:r>
              <w:rPr>
                <w:rFonts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lang w:val="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restart"/>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赛项器材、设备使用费</w:t>
            </w: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比赛设施维护与检测设备校正</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tcBorders>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p>
        </w:tc>
        <w:tc>
          <w:tcPr>
            <w:tcW w:w="5526" w:type="dxa"/>
            <w:tcBorders>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消防器材、安保设备购置与使用</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tcBorders>
              <w:top w:val="single" w:color="auto" w:sz="4" w:space="0"/>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比赛消耗</w:t>
            </w:r>
          </w:p>
        </w:tc>
        <w:tc>
          <w:tcPr>
            <w:tcW w:w="5526" w:type="dxa"/>
            <w:tcBorders>
              <w:top w:val="single" w:color="auto" w:sz="4" w:space="0"/>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比赛原材料消耗（耗材、药品等）</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restart"/>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服务</w:t>
            </w:r>
          </w:p>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接待</w:t>
            </w:r>
          </w:p>
        </w:tc>
        <w:tc>
          <w:tcPr>
            <w:tcW w:w="5526" w:type="dxa"/>
            <w:tcBorders>
              <w:top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专家评委仲裁劳务补贴、食宿安排、交通旅费</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vAlign w:val="center"/>
          </w:tcPr>
          <w:p>
            <w:pPr>
              <w:widowControl/>
              <w:jc w:val="center"/>
              <w:rPr>
                <w:rFonts w:cs="宋体" w:asciiTheme="minorEastAsia" w:hAnsiTheme="minorEastAsia" w:eastAsiaTheme="minorEastAsia"/>
                <w:kern w:val="0"/>
                <w:sz w:val="24"/>
                <w:szCs w:val="24"/>
                <w:lang w:val="zh-CN"/>
              </w:rPr>
            </w:pP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嘉宾食宿安排、交通旅费</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209" w:hRule="atLeast"/>
        </w:trPr>
        <w:tc>
          <w:tcPr>
            <w:tcW w:w="1134" w:type="dxa"/>
            <w:vMerge w:val="continue"/>
            <w:vAlign w:val="center"/>
          </w:tcPr>
          <w:p>
            <w:pPr>
              <w:widowControl/>
              <w:jc w:val="center"/>
              <w:rPr>
                <w:rFonts w:cs="宋体" w:asciiTheme="minorEastAsia" w:hAnsiTheme="minorEastAsia" w:eastAsiaTheme="minorEastAsia"/>
                <w:kern w:val="0"/>
                <w:sz w:val="24"/>
                <w:szCs w:val="24"/>
                <w:lang w:val="zh-CN"/>
              </w:rPr>
            </w:pP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工作人员、服务人员、安保人员用餐、劳务补贴</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tcBorders>
              <w:bottom w:val="single" w:color="auto" w:sz="4" w:space="0"/>
            </w:tcBorders>
            <w:vAlign w:val="center"/>
          </w:tcPr>
          <w:p>
            <w:pPr>
              <w:widowControl/>
              <w:jc w:val="center"/>
              <w:rPr>
                <w:rFonts w:cs="宋体" w:asciiTheme="minorEastAsia" w:hAnsiTheme="minorEastAsia" w:eastAsiaTheme="minorEastAsia"/>
                <w:kern w:val="0"/>
                <w:sz w:val="24"/>
                <w:szCs w:val="24"/>
                <w:lang w:val="zh-CN"/>
              </w:rPr>
            </w:pPr>
          </w:p>
        </w:tc>
        <w:tc>
          <w:tcPr>
            <w:tcW w:w="5526" w:type="dxa"/>
            <w:tcBorders>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比赛选手、工作人员等用茶水、饮料等</w:t>
            </w:r>
          </w:p>
        </w:tc>
        <w:tc>
          <w:tcPr>
            <w:tcW w:w="1980"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w:t>
            </w:r>
            <w:r>
              <w:rPr>
                <w:rFonts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lang w:val="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车辆</w:t>
            </w:r>
          </w:p>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费用</w:t>
            </w:r>
          </w:p>
        </w:tc>
        <w:tc>
          <w:tcPr>
            <w:tcW w:w="5526" w:type="dxa"/>
            <w:tcBorders>
              <w:top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领导、嘉宾、评委接送，选手接站、宾馆至赛场往返</w:t>
            </w:r>
          </w:p>
        </w:tc>
        <w:tc>
          <w:tcPr>
            <w:tcW w:w="1980"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restart"/>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赛务</w:t>
            </w:r>
          </w:p>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宣传</w:t>
            </w: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媒体记者、媒体报道、广告张贴、赛项摄录像</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tcBorders>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p>
        </w:tc>
        <w:tc>
          <w:tcPr>
            <w:tcW w:w="5526" w:type="dxa"/>
            <w:tcBorders>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校园比赛氛围宣传</w:t>
            </w:r>
          </w:p>
        </w:tc>
        <w:tc>
          <w:tcPr>
            <w:tcW w:w="1980"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tcBorders>
              <w:top w:val="single" w:color="auto" w:sz="4" w:space="0"/>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赛项资源转化</w:t>
            </w:r>
          </w:p>
        </w:tc>
        <w:tc>
          <w:tcPr>
            <w:tcW w:w="5526" w:type="dxa"/>
            <w:tcBorders>
              <w:top w:val="single" w:color="auto" w:sz="4" w:space="0"/>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赛项视频制作,竞赛试题库、案例库、素材资源库等制作出版等</w:t>
            </w:r>
          </w:p>
        </w:tc>
        <w:tc>
          <w:tcPr>
            <w:tcW w:w="1980" w:type="dxa"/>
            <w:tcBorders>
              <w:top w:val="single" w:color="auto" w:sz="4" w:space="0"/>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其他</w:t>
            </w:r>
          </w:p>
        </w:tc>
        <w:tc>
          <w:tcPr>
            <w:tcW w:w="5526" w:type="dxa"/>
            <w:tcBorders>
              <w:top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比赛服装借用洗涤费、竞赛筹备相关会务费等</w:t>
            </w:r>
          </w:p>
        </w:tc>
        <w:tc>
          <w:tcPr>
            <w:tcW w:w="1980"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357" w:hRule="exact"/>
        </w:trPr>
        <w:tc>
          <w:tcPr>
            <w:tcW w:w="6660" w:type="dxa"/>
            <w:gridSpan w:val="2"/>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合   计</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85.0</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照《全国职业院校技能大赛组织机构与职能分工》</w:t>
      </w:r>
      <w:r>
        <w:rPr>
          <w:rFonts w:hint="eastAsia" w:ascii="Arial Narrow" w:hAnsi="Arial Narrow" w:eastAsia="仿宋_GB2312" w:cs="Arial"/>
          <w:sz w:val="30"/>
          <w:szCs w:val="30"/>
        </w:rPr>
        <w:t>、</w:t>
      </w:r>
      <w:r>
        <w:rPr>
          <w:rFonts w:ascii="Arial Narrow" w:hAnsi="Arial Narrow" w:eastAsia="仿宋_GB2312" w:cs="Arial"/>
          <w:sz w:val="30"/>
          <w:szCs w:val="30"/>
        </w:rPr>
        <w:t>《全国职业院校技能大赛赛项设备与设施管理办法》</w:t>
      </w:r>
      <w:r>
        <w:rPr>
          <w:rFonts w:hint="eastAsia" w:ascii="Arial Narrow" w:hAnsi="Arial Narrow" w:eastAsia="仿宋_GB2312" w:cs="Arial"/>
          <w:sz w:val="30"/>
          <w:szCs w:val="30"/>
        </w:rPr>
        <w:t>、</w:t>
      </w:r>
      <w:r>
        <w:rPr>
          <w:rFonts w:ascii="Arial Narrow" w:hAnsi="Arial Narrow" w:eastAsia="仿宋_GB2312" w:cs="Arial"/>
          <w:sz w:val="30"/>
          <w:szCs w:val="30"/>
        </w:rPr>
        <w:t>《全国职业院校技能大赛赛项监督与仲裁管理办法》等</w:t>
      </w:r>
      <w:r>
        <w:rPr>
          <w:rFonts w:hint="eastAsia" w:ascii="Arial Narrow" w:hAnsi="Arial Narrow" w:eastAsia="仿宋_GB2312" w:cs="Arial"/>
          <w:sz w:val="30"/>
          <w:szCs w:val="30"/>
        </w:rPr>
        <w:t>管理办法和全国职业院校技能大赛执委会的相关要求，成立和完善本赛项的各级管理与技术组织机构，并承担相应的领导与管理职责，确定赛项管理方案。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（一）赛区组委会及管理职责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由赛区所在省政府会同各相关承办单位及地方政府共同组建赛区组委会，全面负责指导竞赛的组织管理工作。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（二）化工生产技术赛项执委会及工作职责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由中国化工教育协会和赛项承办校所在的省（或市、自治区）教育厅共同牵头成立，全面负责竞赛的各项组织管理工作。其主要工作职责为：领导、协调赛项专家组和赛项承办单位开展本赛项的组织工作，管理赛项经费，选荐赛项专家组人员及赛项裁判与仲裁人员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执委会下设承办校赛项工作领导小组，由承办学校党政一把手任办公室主任、各相关副院长任副主任、各相关职能部门与专业系部主要领导任成员。其主要职责为：在赛项执委会的领导下，具体负责竞赛的各项组织实施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（三）化工生产技术赛项专家组及工作职责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（四）化工生产技术赛项裁判组及工作职责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参赛队伍（选手）的现场、环境安全负责；评分裁判负责对参赛队伍（选手）的技能展示、操作规范和竞赛作品等按赛项评分标准进行评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（五）赛项承办校赛务工作机构及工作职责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赛项承办校成立赛务工作组织机构，并在学校赛项领导小组的领导下展开工作。下设：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1．竞赛项目技术保障组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下设化工仿真操作、精馏操作和理论考核等3个技术保障组。主要工作职责：负责赛前竞赛项目的各项技术准备工作（设备调试、比赛用相关物资材料准备、各项技术文件的制定或建议等）、赛中技术保障、赛后技术工作总结等；负责赛前裁判、选手适应赛场时的技术咨询。</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2．竞赛秘书组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下设竞赛检录组、竞赛资料与成绩汇总组和联络服务组3个工作小组。主要工作职责：负责赛前考务准备（包括考卷印制与封装、竞赛用各种表格印制、考场布置、抽签用具准备、各种证件的印制、参赛队资料袋分装、竞赛考核服装的发放与回收等）；负责赛中考务组织工作（包括检录、抽签、选手引导入场、考场内外联络、竞赛结束成绩报送和考试材料的转交）；负责赛后成绩汇总统计；负责获奖名单统计；负责颁奖用奖状和奖杯的制作以及获奖资料袋分装与发放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3．会务接待组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主要职责：负责裁判、专家及参赛队伍的报到，住宿及交通安排；负责上级领导及来宾的接送以及食宿安排等。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4．宣传报导组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主要职责：负责校园环境设计与布置，比赛现场、观摩与体验现场的环境布置和现场录像与录播；负责设计制定媒体宣传方案等。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5．企划与会场布置组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主要职责：负责开闭幕式会场设计、布置；负责开闭幕式议程设计、彩排与实施；负责比赛现场的监控与网络直播。</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6．后勤医疗保障组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主要职责：负责参赛队及工作人员的用餐安排；负责赛事期间水电及其他物资保障；负责食品卫生保障；负责医疗保障。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7．安全保卫组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主要职责：负责赛项赛事期间安全保障，赛事期间各类突发事件应急预案的制定；负责赛事期间校园交通管制；负责赛场隔离区划分与管理。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（六）赛项监督与仲裁及工作职责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监督组由全国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仲裁工作，采取二级仲裁机制。设立赛区仲裁委员会和赛项仲裁工作组。赛区仲裁委员会在大赛执委会领导下开展工作，并对赛区执委会负责。赛项仲裁工作组在赛项执委会领导下开展工作，并对赛项执委会负责。仲裁人员的主要职责：熟悉本赛区内相关赛项的竞赛规程和规则；掌握赛区内赛事的动态及进展情况；受理各参赛队的书面申诉；对受理的申诉进行深入调查，做出客观、公正的集体仲裁。</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照《全国职业院校技能大赛赛项资源转化工作办法》的有关要求，制定赛项赛后教学资源转化方案。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（一）赛项资源的整理归类</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赛项结束后1个月内完成竞赛资源的整理与归档，并在此基础上完成制定资源转化方案。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（二）教学资源转化建设思路</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在赛项结束后30日内向大赛执委会办公室提交资源转化方案，半年内实现教学资源转化建设工作，并分步实施。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在赛项结束后30日内完成资源转化方案设计，围绕大赛风采展示、技能概要、教学单元、教学整体资源等模块，确定教学资源转化形式，将竞赛资源稼接为教学资源。在大赛结束90天内，依据竞赛项目的考核目的、技能点设置、知识应用和评价要素等关键信息，整理编制出技能训练纲要，确立训练目标、技能要点和评价指标；在大赛结束半年内，完成确立训练单元，收集训练素材，制定教学方案和教学指导书，形成教学资源，并最终实现完整的教学方案、训练指导、作业/任务、实验/实训/实习资源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2．在大赛结束半年内，完成制作能反映化工专业技能特色，可应用于专业教学与技能训练环节，较为成熟的多样性辅助资源。例如：技能点评视频、试题库、案例库、素材资源库等。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（三）教学资源转化建设进度（见表10）</w:t>
      </w:r>
    </w:p>
    <w:p>
      <w:pPr>
        <w:snapToGrid w:val="0"/>
        <w:spacing w:line="560" w:lineRule="exact"/>
        <w:ind w:firstLine="482" w:firstLineChars="20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表10  教学资源转化建设进程表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701"/>
        <w:gridCol w:w="1417"/>
        <w:gridCol w:w="851"/>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gridSpan w:val="3"/>
          </w:tcPr>
          <w:p>
            <w:pPr>
              <w:snapToGrid w:val="0"/>
              <w:jc w:val="center"/>
              <w:rPr>
                <w:rFonts w:asciiTheme="minorEastAsia" w:hAnsiTheme="minorEastAsia" w:eastAsiaTheme="minorEastAsia"/>
                <w:b/>
                <w:sz w:val="24"/>
                <w:szCs w:val="24"/>
              </w:rPr>
            </w:pPr>
            <w:r>
              <w:rPr>
                <w:rFonts w:asciiTheme="minorEastAsia" w:hAnsiTheme="minorEastAsia" w:eastAsiaTheme="minorEastAsia"/>
                <w:b/>
                <w:sz w:val="24"/>
                <w:szCs w:val="24"/>
              </w:rPr>
              <w:t>资源名称</w:t>
            </w:r>
          </w:p>
        </w:tc>
        <w:tc>
          <w:tcPr>
            <w:tcW w:w="1417" w:type="dxa"/>
          </w:tcPr>
          <w:p>
            <w:pPr>
              <w:snapToGrid w:val="0"/>
              <w:jc w:val="center"/>
              <w:rPr>
                <w:rFonts w:cs="Arial" w:asciiTheme="minorEastAsia" w:hAnsiTheme="minorEastAsia" w:eastAsiaTheme="minorEastAsia"/>
                <w:b/>
                <w:sz w:val="24"/>
                <w:szCs w:val="24"/>
              </w:rPr>
            </w:pPr>
            <w:r>
              <w:rPr>
                <w:rFonts w:asciiTheme="minorEastAsia" w:hAnsiTheme="minorEastAsia" w:eastAsiaTheme="minorEastAsia"/>
                <w:b/>
                <w:sz w:val="24"/>
                <w:szCs w:val="24"/>
              </w:rPr>
              <w:t>表现形式</w:t>
            </w:r>
          </w:p>
        </w:tc>
        <w:tc>
          <w:tcPr>
            <w:tcW w:w="851" w:type="dxa"/>
          </w:tcPr>
          <w:p>
            <w:pPr>
              <w:snapToGrid w:val="0"/>
              <w:jc w:val="center"/>
              <w:rPr>
                <w:rFonts w:cs="Arial" w:asciiTheme="minorEastAsia" w:hAnsiTheme="minorEastAsia" w:eastAsiaTheme="minorEastAsia"/>
                <w:b/>
                <w:sz w:val="24"/>
                <w:szCs w:val="24"/>
              </w:rPr>
            </w:pPr>
            <w:r>
              <w:rPr>
                <w:rFonts w:asciiTheme="minorEastAsia" w:hAnsiTheme="minorEastAsia" w:eastAsiaTheme="minorEastAsia"/>
                <w:b/>
                <w:sz w:val="24"/>
                <w:szCs w:val="24"/>
              </w:rPr>
              <w:t>资源数量</w:t>
            </w:r>
          </w:p>
        </w:tc>
        <w:tc>
          <w:tcPr>
            <w:tcW w:w="1559" w:type="dxa"/>
          </w:tcPr>
          <w:p>
            <w:pPr>
              <w:snapToGrid w:val="0"/>
              <w:jc w:val="center"/>
              <w:rPr>
                <w:rFonts w:cs="Arial" w:asciiTheme="minorEastAsia" w:hAnsiTheme="minorEastAsia" w:eastAsiaTheme="minorEastAsia"/>
                <w:b/>
                <w:sz w:val="24"/>
                <w:szCs w:val="24"/>
              </w:rPr>
            </w:pPr>
            <w:r>
              <w:rPr>
                <w:rFonts w:asciiTheme="minorEastAsia" w:hAnsiTheme="minorEastAsia" w:eastAsiaTheme="minorEastAsia"/>
                <w:b/>
                <w:sz w:val="24"/>
                <w:szCs w:val="24"/>
              </w:rPr>
              <w:t>资源要求</w:t>
            </w:r>
          </w:p>
        </w:tc>
        <w:tc>
          <w:tcPr>
            <w:tcW w:w="1468" w:type="dxa"/>
          </w:tcPr>
          <w:p>
            <w:pPr>
              <w:snapToGrid w:val="0"/>
              <w:jc w:val="center"/>
              <w:rPr>
                <w:rFonts w:cs="Arial" w:asciiTheme="minorEastAsia" w:hAnsiTheme="minorEastAsia" w:eastAsiaTheme="minorEastAsia"/>
                <w:b/>
                <w:sz w:val="24"/>
                <w:szCs w:val="24"/>
              </w:rPr>
            </w:pPr>
            <w:r>
              <w:rPr>
                <w:rFonts w:asciiTheme="minorEastAsia" w:hAnsiTheme="minorEastAsia" w:eastAsiaTheme="minorEastAsia"/>
                <w:b/>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基本资源</w:t>
            </w:r>
          </w:p>
        </w:tc>
        <w:tc>
          <w:tcPr>
            <w:tcW w:w="851" w:type="dxa"/>
            <w:vMerge w:val="restart"/>
          </w:tcPr>
          <w:p>
            <w:pPr>
              <w:snapToGrid w:val="0"/>
              <w:jc w:val="center"/>
              <w:rPr>
                <w:rFonts w:asciiTheme="minorEastAsia" w:hAnsiTheme="minorEastAsia" w:eastAsiaTheme="minorEastAsia"/>
                <w:sz w:val="24"/>
                <w:szCs w:val="24"/>
              </w:rPr>
            </w:pPr>
          </w:p>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风采展示</w:t>
            </w:r>
          </w:p>
        </w:tc>
        <w:tc>
          <w:tcPr>
            <w:tcW w:w="1701"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赛项宣传片</w:t>
            </w:r>
          </w:p>
        </w:tc>
        <w:tc>
          <w:tcPr>
            <w:tcW w:w="1417"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视频</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hint="eastAsia" w:asciiTheme="minorEastAsia" w:hAnsiTheme="minorEastAsia" w:eastAsiaTheme="minorEastAsia"/>
                <w:sz w:val="24"/>
                <w:szCs w:val="24"/>
              </w:rPr>
              <w:t>15分钟以上</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701"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风采展示片</w:t>
            </w:r>
          </w:p>
        </w:tc>
        <w:tc>
          <w:tcPr>
            <w:tcW w:w="1417"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 xml:space="preserve">视频 </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10分钟以上</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asciiTheme="minorEastAsia" w:hAnsiTheme="minorEastAsia" w:eastAsiaTheme="minorEastAsia"/>
                <w:sz w:val="24"/>
                <w:szCs w:val="24"/>
              </w:rPr>
            </w:pPr>
          </w:p>
        </w:tc>
        <w:tc>
          <w:tcPr>
            <w:tcW w:w="851" w:type="dxa"/>
            <w:vMerge w:val="restart"/>
          </w:tcPr>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技能概要</w:t>
            </w:r>
          </w:p>
        </w:tc>
        <w:tc>
          <w:tcPr>
            <w:tcW w:w="1701" w:type="dxa"/>
          </w:tcPr>
          <w:p>
            <w:pPr>
              <w:snapToGrid w:val="0"/>
              <w:jc w:val="center"/>
              <w:rPr>
                <w:rFonts w:cs="Arial" w:asciiTheme="minorEastAsia" w:hAnsiTheme="minorEastAsia" w:eastAsiaTheme="minorEastAsia"/>
                <w:sz w:val="24"/>
                <w:szCs w:val="24"/>
              </w:rPr>
            </w:pPr>
            <w:r>
              <w:rPr>
                <w:rFonts w:hint="eastAsia" w:asciiTheme="minorEastAsia" w:hAnsiTheme="minorEastAsia" w:eastAsiaTheme="minorEastAsia"/>
                <w:sz w:val="24"/>
                <w:szCs w:val="24"/>
              </w:rPr>
              <w:t>竞赛项目</w:t>
            </w:r>
            <w:r>
              <w:rPr>
                <w:rFonts w:asciiTheme="minorEastAsia" w:hAnsiTheme="minorEastAsia" w:eastAsiaTheme="minorEastAsia"/>
                <w:sz w:val="24"/>
                <w:szCs w:val="24"/>
              </w:rPr>
              <w:t>技能介绍</w:t>
            </w:r>
          </w:p>
        </w:tc>
        <w:tc>
          <w:tcPr>
            <w:tcW w:w="1417" w:type="dxa"/>
            <w:vMerge w:val="restart"/>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文本文档</w:t>
            </w:r>
          </w:p>
        </w:tc>
        <w:tc>
          <w:tcPr>
            <w:tcW w:w="851" w:type="dxa"/>
            <w:vMerge w:val="restart"/>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1套</w:t>
            </w:r>
          </w:p>
        </w:tc>
        <w:tc>
          <w:tcPr>
            <w:tcW w:w="1559"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电子文档</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asciiTheme="minorEastAsia" w:hAnsiTheme="minorEastAsia" w:eastAsiaTheme="minorEastAsia"/>
                <w:sz w:val="24"/>
                <w:szCs w:val="24"/>
              </w:rPr>
            </w:pPr>
          </w:p>
        </w:tc>
        <w:tc>
          <w:tcPr>
            <w:tcW w:w="851" w:type="dxa"/>
            <w:vMerge w:val="continue"/>
          </w:tcPr>
          <w:p>
            <w:pPr>
              <w:snapToGrid w:val="0"/>
              <w:jc w:val="center"/>
              <w:rPr>
                <w:rFonts w:asciiTheme="minorEastAsia" w:hAnsiTheme="minorEastAsia" w:eastAsiaTheme="minorEastAsia"/>
                <w:sz w:val="24"/>
                <w:szCs w:val="24"/>
              </w:rPr>
            </w:pPr>
          </w:p>
        </w:tc>
        <w:tc>
          <w:tcPr>
            <w:tcW w:w="1701" w:type="dxa"/>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竞赛项目</w:t>
            </w:r>
            <w:r>
              <w:rPr>
                <w:rFonts w:asciiTheme="minorEastAsia" w:hAnsiTheme="minorEastAsia" w:eastAsiaTheme="minorEastAsia"/>
                <w:sz w:val="24"/>
                <w:szCs w:val="24"/>
              </w:rPr>
              <w:t>技能</w:t>
            </w:r>
            <w:r>
              <w:rPr>
                <w:rFonts w:hint="eastAsia" w:asciiTheme="minorEastAsia" w:hAnsiTheme="minorEastAsia" w:eastAsiaTheme="minorEastAsia"/>
                <w:sz w:val="24"/>
                <w:szCs w:val="24"/>
              </w:rPr>
              <w:t>考核要点</w:t>
            </w:r>
          </w:p>
        </w:tc>
        <w:tc>
          <w:tcPr>
            <w:tcW w:w="1417" w:type="dxa"/>
            <w:vMerge w:val="continue"/>
          </w:tcPr>
          <w:p>
            <w:pPr>
              <w:snapToGrid w:val="0"/>
              <w:jc w:val="center"/>
              <w:rPr>
                <w:rFonts w:cs="Arial"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559"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电子文档</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675" w:type="dxa"/>
            <w:vMerge w:val="continue"/>
          </w:tcPr>
          <w:p>
            <w:pPr>
              <w:snapToGrid w:val="0"/>
              <w:jc w:val="center"/>
              <w:rPr>
                <w:rFonts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701" w:type="dxa"/>
          </w:tcPr>
          <w:p>
            <w:pPr>
              <w:snapToGrid w:val="0"/>
              <w:jc w:val="center"/>
              <w:rPr>
                <w:rFonts w:cs="Arial" w:asciiTheme="minorEastAsia" w:hAnsiTheme="minorEastAsia" w:eastAsiaTheme="minorEastAsia"/>
                <w:sz w:val="24"/>
                <w:szCs w:val="24"/>
              </w:rPr>
            </w:pPr>
            <w:r>
              <w:rPr>
                <w:rFonts w:hint="eastAsia" w:asciiTheme="minorEastAsia" w:hAnsiTheme="minorEastAsia" w:eastAsiaTheme="minorEastAsia"/>
                <w:sz w:val="24"/>
                <w:szCs w:val="24"/>
              </w:rPr>
              <w:t>竞赛项目</w:t>
            </w:r>
            <w:r>
              <w:rPr>
                <w:rFonts w:asciiTheme="minorEastAsia" w:hAnsiTheme="minorEastAsia" w:eastAsiaTheme="minorEastAsia"/>
                <w:sz w:val="24"/>
                <w:szCs w:val="24"/>
              </w:rPr>
              <w:t>评价指标</w:t>
            </w:r>
            <w:r>
              <w:rPr>
                <w:rFonts w:hint="eastAsia" w:asciiTheme="minorEastAsia" w:hAnsiTheme="minorEastAsia" w:eastAsiaTheme="minorEastAsia"/>
                <w:sz w:val="24"/>
                <w:szCs w:val="24"/>
              </w:rPr>
              <w:t>与标准</w:t>
            </w:r>
          </w:p>
        </w:tc>
        <w:tc>
          <w:tcPr>
            <w:tcW w:w="1417" w:type="dxa"/>
            <w:vMerge w:val="continue"/>
          </w:tcPr>
          <w:p>
            <w:pPr>
              <w:snapToGrid w:val="0"/>
              <w:jc w:val="center"/>
              <w:rPr>
                <w:rFonts w:cs="Arial"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559"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电子文档</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cs="Arial" w:asciiTheme="minorEastAsia" w:hAnsiTheme="minorEastAsia" w:eastAsiaTheme="minorEastAsia"/>
                <w:sz w:val="24"/>
                <w:szCs w:val="24"/>
              </w:rPr>
            </w:pPr>
          </w:p>
        </w:tc>
        <w:tc>
          <w:tcPr>
            <w:tcW w:w="851" w:type="dxa"/>
            <w:vMerge w:val="restart"/>
          </w:tcPr>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教学 资源</w:t>
            </w:r>
          </w:p>
        </w:tc>
        <w:tc>
          <w:tcPr>
            <w:tcW w:w="1701"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专业</w:t>
            </w:r>
            <w:r>
              <w:rPr>
                <w:rFonts w:hint="eastAsia" w:asciiTheme="minorEastAsia" w:hAnsiTheme="minorEastAsia" w:eastAsiaTheme="minorEastAsia"/>
                <w:sz w:val="24"/>
                <w:szCs w:val="24"/>
              </w:rPr>
              <w:t>知识题库（应知试题库）</w:t>
            </w:r>
          </w:p>
        </w:tc>
        <w:tc>
          <w:tcPr>
            <w:tcW w:w="1417"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文本文档</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电子教材</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赛后180天内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cs="Arial" w:asciiTheme="minorEastAsia" w:hAnsiTheme="minorEastAsia" w:eastAsiaTheme="minorEastAsia"/>
                <w:sz w:val="24"/>
                <w:szCs w:val="24"/>
              </w:rPr>
            </w:pPr>
          </w:p>
        </w:tc>
        <w:tc>
          <w:tcPr>
            <w:tcW w:w="851" w:type="dxa"/>
            <w:vMerge w:val="continue"/>
          </w:tcPr>
          <w:p>
            <w:pPr>
              <w:snapToGrid w:val="0"/>
              <w:jc w:val="center"/>
              <w:rPr>
                <w:rFonts w:asciiTheme="minorEastAsia" w:hAnsiTheme="minorEastAsia" w:eastAsiaTheme="minorEastAsia"/>
                <w:sz w:val="24"/>
                <w:szCs w:val="24"/>
              </w:rPr>
            </w:pPr>
          </w:p>
        </w:tc>
        <w:tc>
          <w:tcPr>
            <w:tcW w:w="1701" w:type="dxa"/>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化工仿真操作</w:t>
            </w:r>
            <w:r>
              <w:rPr>
                <w:rFonts w:asciiTheme="minorEastAsia" w:hAnsiTheme="minorEastAsia" w:eastAsiaTheme="minorEastAsia"/>
                <w:sz w:val="24"/>
                <w:szCs w:val="24"/>
              </w:rPr>
              <w:t>技能训练指导书</w:t>
            </w:r>
          </w:p>
        </w:tc>
        <w:tc>
          <w:tcPr>
            <w:tcW w:w="1417"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文本文档</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电子教材</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赛后180天内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cs="Arial"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701" w:type="dxa"/>
          </w:tcPr>
          <w:p>
            <w:pPr>
              <w:snapToGrid w:val="0"/>
              <w:jc w:val="center"/>
              <w:rPr>
                <w:rFonts w:cs="Arial" w:asciiTheme="minorEastAsia" w:hAnsiTheme="minorEastAsia" w:eastAsiaTheme="minorEastAsia"/>
                <w:sz w:val="24"/>
                <w:szCs w:val="24"/>
              </w:rPr>
            </w:pPr>
            <w:r>
              <w:rPr>
                <w:rFonts w:hint="eastAsia" w:asciiTheme="minorEastAsia" w:hAnsiTheme="minorEastAsia" w:eastAsiaTheme="minorEastAsia"/>
                <w:sz w:val="24"/>
                <w:szCs w:val="24"/>
              </w:rPr>
              <w:t>精馏</w:t>
            </w:r>
            <w:r>
              <w:rPr>
                <w:rFonts w:asciiTheme="minorEastAsia" w:hAnsiTheme="minorEastAsia" w:eastAsiaTheme="minorEastAsia"/>
                <w:sz w:val="24"/>
                <w:szCs w:val="24"/>
              </w:rPr>
              <w:t>操作</w:t>
            </w:r>
            <w:r>
              <w:rPr>
                <w:rFonts w:hint="eastAsia" w:asciiTheme="minorEastAsia" w:hAnsiTheme="minorEastAsia" w:eastAsiaTheme="minorEastAsia"/>
                <w:sz w:val="24"/>
                <w:szCs w:val="24"/>
              </w:rPr>
              <w:t>训练</w:t>
            </w:r>
            <w:r>
              <w:rPr>
                <w:rFonts w:asciiTheme="minorEastAsia" w:hAnsiTheme="minorEastAsia" w:eastAsiaTheme="minorEastAsia"/>
                <w:sz w:val="24"/>
                <w:szCs w:val="24"/>
              </w:rPr>
              <w:t>规程</w:t>
            </w:r>
          </w:p>
        </w:tc>
        <w:tc>
          <w:tcPr>
            <w:tcW w:w="1417"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文本文档</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赛后180天内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拓 展 资 源</w:t>
            </w:r>
          </w:p>
        </w:tc>
        <w:tc>
          <w:tcPr>
            <w:tcW w:w="2552" w:type="dxa"/>
            <w:gridSpan w:val="2"/>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优秀选手访谈</w:t>
            </w:r>
          </w:p>
        </w:tc>
        <w:tc>
          <w:tcPr>
            <w:tcW w:w="1417"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视频</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10分钟以上</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cs="Arial" w:asciiTheme="minorEastAsia" w:hAnsiTheme="minorEastAsia" w:eastAsiaTheme="minorEastAsia"/>
                <w:sz w:val="24"/>
                <w:szCs w:val="24"/>
              </w:rPr>
            </w:pPr>
          </w:p>
        </w:tc>
        <w:tc>
          <w:tcPr>
            <w:tcW w:w="2552" w:type="dxa"/>
            <w:gridSpan w:val="2"/>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素材资源库</w:t>
            </w:r>
          </w:p>
        </w:tc>
        <w:tc>
          <w:tcPr>
            <w:tcW w:w="1417"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网页型资源</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1套</w:t>
            </w:r>
          </w:p>
        </w:tc>
        <w:tc>
          <w:tcPr>
            <w:tcW w:w="1559" w:type="dxa"/>
          </w:tcPr>
          <w:p>
            <w:pPr>
              <w:snapToGrid w:val="0"/>
              <w:jc w:val="center"/>
              <w:rPr>
                <w:rFonts w:cs="Arial" w:asciiTheme="minorEastAsia" w:hAnsiTheme="minorEastAsia" w:eastAsiaTheme="minorEastAsia"/>
                <w:sz w:val="24"/>
                <w:szCs w:val="24"/>
              </w:rPr>
            </w:pP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赛后180天内</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autoSpaceDE w:val="0"/>
        <w:autoSpaceDN w:val="0"/>
        <w:adjustRightInd w:val="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表11  筹备工作时间进度表</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53"/>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序号</w:t>
            </w:r>
          </w:p>
        </w:tc>
        <w:tc>
          <w:tcPr>
            <w:tcW w:w="2453" w:type="dxa"/>
          </w:tcPr>
          <w:p>
            <w:pPr>
              <w:tabs>
                <w:tab w:val="left" w:pos="6120"/>
              </w:tabs>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完成时间</w:t>
            </w:r>
          </w:p>
        </w:tc>
        <w:tc>
          <w:tcPr>
            <w:tcW w:w="5191" w:type="dxa"/>
          </w:tcPr>
          <w:p>
            <w:pPr>
              <w:tabs>
                <w:tab w:val="left" w:pos="6120"/>
              </w:tabs>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筹备工作内容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2018年8月底</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提交赛项申报书、待批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2018年12月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竞赛方案与竞赛规程的研讨与制定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3</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2019年1-2月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竞赛方案与竞赛规程待批、修改与调整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4</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 xml:space="preserve">2019年3月 </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承办校成立竞赛筹备组织领导机构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5</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2019年3-4月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赛项准备，仪器配置调整、设备维修调试，耗材购进，软件测试等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6</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2019年4月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相关信息发布、竞赛方案说明会；参赛队报名；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7</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2019年4月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裁判员、仲裁员征聘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8</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2019年4-5月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承办校各项赛事准备工作全面实施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9</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2019年5月中旬</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10</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2019年5月下旬-6月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比赛总结</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ascii="仿宋_GB2312" w:hAnsi="??_GB2312" w:eastAsia="仿宋_GB2312" w:cs="??_GB2312"/>
          <w:kern w:val="0"/>
          <w:sz w:val="30"/>
          <w:szCs w:val="30"/>
        </w:rPr>
      </w:pPr>
      <w:r>
        <w:rPr>
          <w:rFonts w:hint="eastAsia" w:ascii="Arial Narrow" w:hAnsi="Arial Narrow" w:eastAsia="仿宋_GB2312" w:cs="Arial"/>
          <w:sz w:val="30"/>
          <w:szCs w:val="30"/>
        </w:rPr>
        <w:t>依据</w:t>
      </w:r>
      <w:r>
        <w:rPr>
          <w:rFonts w:ascii="Arial Narrow" w:hAnsi="Arial Narrow" w:eastAsia="仿宋_GB2312" w:cs="Arial"/>
          <w:sz w:val="30"/>
          <w:szCs w:val="30"/>
        </w:rPr>
        <w:t>《全国职业院校技能大赛专家和裁判工作管理办法》的有关要求，</w:t>
      </w:r>
      <w:r>
        <w:rPr>
          <w:rFonts w:hint="eastAsia" w:ascii="仿宋_GB2312" w:hAnsi="??_GB2312" w:eastAsia="仿宋_GB2312" w:cs="??_GB2312"/>
          <w:kern w:val="0"/>
          <w:sz w:val="30"/>
          <w:szCs w:val="30"/>
        </w:rPr>
        <w:t>结合本赛项的竞赛项目设置、竞赛规模以及本赛项的专业属性与特点，对本赛项所需裁判人员的类别、从事专业、职称、数量等作如下建议：</w:t>
      </w:r>
    </w:p>
    <w:p>
      <w:pPr>
        <w:autoSpaceDE w:val="0"/>
        <w:autoSpaceDN w:val="0"/>
        <w:adjustRightInd w:val="0"/>
        <w:spacing w:line="560" w:lineRule="exact"/>
        <w:ind w:firstLine="600"/>
        <w:rPr>
          <w:rFonts w:ascii="仿宋_GB2312" w:hAnsi="??_GB2312" w:eastAsia="仿宋_GB2312" w:cs="??_GB2312"/>
          <w:kern w:val="0"/>
          <w:sz w:val="30"/>
          <w:szCs w:val="30"/>
        </w:rPr>
      </w:pPr>
      <w:r>
        <w:rPr>
          <w:rFonts w:hint="eastAsia" w:ascii="仿宋_GB2312" w:hAnsi="??_GB2312" w:eastAsia="仿宋_GB2312" w:cs="??_GB2312"/>
          <w:kern w:val="0"/>
          <w:sz w:val="30"/>
          <w:szCs w:val="30"/>
        </w:rPr>
        <w:t>1．本赛项的裁判人员应为长期（10年以上）从事化工生产与技术管理的行业企业工程技术人员，或长期（10年以上）从事化工专业教学且具有化工企业实践经历的“双师型”教师；</w:t>
      </w:r>
    </w:p>
    <w:p>
      <w:pPr>
        <w:autoSpaceDE w:val="0"/>
        <w:autoSpaceDN w:val="0"/>
        <w:adjustRightInd w:val="0"/>
        <w:spacing w:line="560" w:lineRule="exact"/>
        <w:ind w:firstLine="600"/>
        <w:rPr>
          <w:rFonts w:ascii="仿宋_GB2312" w:hAnsi="??_GB2312" w:eastAsia="仿宋_GB2312" w:cs="??_GB2312"/>
          <w:kern w:val="0"/>
          <w:sz w:val="30"/>
          <w:szCs w:val="30"/>
        </w:rPr>
      </w:pPr>
      <w:r>
        <w:rPr>
          <w:rFonts w:hint="eastAsia" w:ascii="仿宋_GB2312" w:hAnsi="??_GB2312" w:eastAsia="仿宋_GB2312" w:cs="??_GB2312"/>
          <w:kern w:val="0"/>
          <w:sz w:val="30"/>
          <w:szCs w:val="30"/>
        </w:rPr>
        <w:t>2. 本赛项裁判应具有化工总控工技师以上职业资格或化学工程及相关技术领域工程师以上专业技术职务，对于化工专业教师还需同时具有化学工程及相关学科领域的讲师以上职称；应具有化工总控工高级考评员或国家级裁判员资格；熟悉本赛项所涉及化工相关职业的专业知识和操作技能。</w:t>
      </w:r>
    </w:p>
    <w:p>
      <w:pPr>
        <w:autoSpaceDE w:val="0"/>
        <w:autoSpaceDN w:val="0"/>
        <w:adjustRightInd w:val="0"/>
        <w:spacing w:line="560" w:lineRule="exact"/>
        <w:ind w:firstLine="600"/>
        <w:rPr>
          <w:rFonts w:ascii="仿宋_GB2312" w:hAnsi="??_GB2312" w:eastAsia="仿宋_GB2312" w:cs="??_GB2312"/>
          <w:kern w:val="0"/>
          <w:sz w:val="30"/>
          <w:szCs w:val="30"/>
        </w:rPr>
      </w:pPr>
      <w:r>
        <w:rPr>
          <w:rFonts w:hint="eastAsia" w:ascii="仿宋_GB2312" w:hAnsi="??_GB2312" w:eastAsia="仿宋_GB2312" w:cs="??_GB2312"/>
          <w:kern w:val="0"/>
          <w:sz w:val="30"/>
          <w:szCs w:val="30"/>
        </w:rPr>
        <w:t>3．本赛项裁判应热爱裁判工作，具有良好的职业道德和敬业精神；能自觉遵守裁判工作守则和有关规章制度，原则性强；能够独立进行评判和评价工作，具有一定的组织管理能力和丰富的考评工作经验。</w:t>
      </w:r>
    </w:p>
    <w:p>
      <w:pPr>
        <w:autoSpaceDE w:val="0"/>
        <w:autoSpaceDN w:val="0"/>
        <w:adjustRightInd w:val="0"/>
        <w:spacing w:line="560" w:lineRule="exact"/>
        <w:ind w:firstLine="600"/>
        <w:rPr>
          <w:rFonts w:ascii="仿宋_GB2312" w:hAnsi="??_GB2312" w:eastAsia="仿宋_GB2312" w:cs="??_GB2312"/>
          <w:kern w:val="0"/>
          <w:sz w:val="30"/>
          <w:szCs w:val="30"/>
        </w:rPr>
      </w:pPr>
      <w:r>
        <w:rPr>
          <w:rFonts w:hint="eastAsia" w:ascii="仿宋_GB2312" w:hAnsi="??_GB2312" w:eastAsia="仿宋_GB2312" w:cs="??_GB2312"/>
          <w:kern w:val="0"/>
          <w:sz w:val="30"/>
          <w:szCs w:val="30"/>
        </w:rPr>
        <w:t>4. 根据竞赛规模，拟向全国化工行业、全国中高等职业院校征聘符合上述条件的企业工程人员和“双师型”教师作为竞赛裁判员；具有执裁经历且表现优秀的优先聘任。按照60支队的竞赛规模需裁判人员21-23名。</w:t>
      </w:r>
    </w:p>
    <w:p>
      <w:pPr>
        <w:snapToGrid w:val="0"/>
        <w:spacing w:line="560" w:lineRule="exact"/>
        <w:ind w:firstLine="600" w:firstLineChars="200"/>
        <w:rPr>
          <w:rFonts w:ascii="Arial Narrow" w:hAnsi="Arial Narrow" w:eastAsia="仿宋_GB2312" w:cs="Arial"/>
          <w:sz w:val="30"/>
          <w:szCs w:val="30"/>
        </w:rPr>
      </w:pPr>
      <w:r>
        <w:rPr>
          <w:rFonts w:hint="eastAsia" w:ascii="仿宋_GB2312" w:hAnsi="??_GB2312" w:eastAsia="仿宋_GB2312" w:cs="??_GB2312"/>
          <w:kern w:val="0"/>
          <w:sz w:val="30"/>
          <w:szCs w:val="30"/>
        </w:rPr>
        <w:t>5．征聘的竞赛裁判员在竞赛前要经过严格的培训和考核，经考核合格的裁判员签订责任状。</w:t>
      </w:r>
    </w:p>
    <w:p>
      <w:pPr>
        <w:snapToGrid w:val="0"/>
        <w:jc w:val="center"/>
        <w:rPr>
          <w:rFonts w:ascii="仿宋_GB2312" w:hAnsi="??_GB2312" w:eastAsia="仿宋_GB2312" w:cs="??_GB2312"/>
          <w:b/>
          <w:kern w:val="0"/>
          <w:sz w:val="24"/>
          <w:szCs w:val="24"/>
        </w:rPr>
      </w:pPr>
      <w:r>
        <w:rPr>
          <w:rFonts w:hint="eastAsia" w:ascii="仿宋_GB2312" w:hAnsi="??_GB2312" w:eastAsia="仿宋_GB2312" w:cs="??_GB2312"/>
          <w:b/>
          <w:kern w:val="0"/>
          <w:sz w:val="24"/>
          <w:szCs w:val="24"/>
        </w:rPr>
        <w:t>表12  裁判人员基本要求建议表</w:t>
      </w:r>
    </w:p>
    <w:tbl>
      <w:tblPr>
        <w:tblStyle w:val="18"/>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24"/>
        <w:gridCol w:w="1417"/>
        <w:gridCol w:w="2835"/>
        <w:gridCol w:w="1947"/>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序号</w:t>
            </w:r>
          </w:p>
        </w:tc>
        <w:tc>
          <w:tcPr>
            <w:tcW w:w="724"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专业技术方向</w:t>
            </w:r>
          </w:p>
        </w:tc>
        <w:tc>
          <w:tcPr>
            <w:tcW w:w="1417"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知识能力要求</w:t>
            </w:r>
          </w:p>
        </w:tc>
        <w:tc>
          <w:tcPr>
            <w:tcW w:w="2835"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hint="eastAsia" w:ascii="仿宋_GB2312" w:hAnsi="??_GB2312" w:eastAsia="仿宋_GB2312" w:cs="??_GB2312"/>
                <w:b/>
                <w:kern w:val="0"/>
                <w:sz w:val="24"/>
                <w:szCs w:val="24"/>
              </w:rPr>
              <w:t>执裁、教学、工作经历</w:t>
            </w:r>
          </w:p>
        </w:tc>
        <w:tc>
          <w:tcPr>
            <w:tcW w:w="1947"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专业技术职称</w:t>
            </w:r>
          </w:p>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（职业资格等级）</w:t>
            </w:r>
          </w:p>
        </w:tc>
        <w:tc>
          <w:tcPr>
            <w:tcW w:w="779"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仿宋_GB2312" w:hAnsi="??_GB2312" w:eastAsia="仿宋_GB2312" w:cs="??_GB2312"/>
                <w:kern w:val="0"/>
                <w:sz w:val="24"/>
                <w:szCs w:val="24"/>
              </w:rPr>
            </w:pPr>
          </w:p>
        </w:tc>
        <w:tc>
          <w:tcPr>
            <w:tcW w:w="724" w:type="dxa"/>
            <w:vAlign w:val="center"/>
          </w:tcPr>
          <w:p>
            <w:pPr>
              <w:adjustRightInd w:val="0"/>
              <w:snapToGrid w:val="0"/>
              <w:rPr>
                <w:rFonts w:ascii="仿宋_GB2312" w:hAnsi="??_GB2312" w:eastAsia="仿宋_GB2312" w:cs="??_GB2312"/>
                <w:kern w:val="0"/>
                <w:sz w:val="24"/>
                <w:szCs w:val="24"/>
              </w:rPr>
            </w:pPr>
            <w:r>
              <w:rPr>
                <w:rFonts w:hint="eastAsia" w:ascii="仿宋_GB2312" w:hAnsi="??_GB2312" w:eastAsia="仿宋_GB2312" w:cs="??_GB2312"/>
                <w:kern w:val="0"/>
                <w:sz w:val="24"/>
                <w:szCs w:val="24"/>
              </w:rPr>
              <w:t>化学工程与工艺类</w:t>
            </w:r>
          </w:p>
        </w:tc>
        <w:tc>
          <w:tcPr>
            <w:tcW w:w="1417" w:type="dxa"/>
            <w:vAlign w:val="center"/>
          </w:tcPr>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熟悉本赛项所涉及化工相关职业的专业知识和操作技能。</w:t>
            </w:r>
          </w:p>
        </w:tc>
        <w:tc>
          <w:tcPr>
            <w:tcW w:w="2835" w:type="dxa"/>
            <w:vAlign w:val="center"/>
          </w:tcPr>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从事化工生产与技术管理10年以上的企业工程技术人员或从事化工专业教学10年以上且具有化工企业实践经历的“双师型”教师，并有类似竞赛的执裁经历</w:t>
            </w:r>
          </w:p>
        </w:tc>
        <w:tc>
          <w:tcPr>
            <w:tcW w:w="1947" w:type="dxa"/>
            <w:vAlign w:val="center"/>
          </w:tcPr>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具有化工总控工技师以上职业资格或化学工程及相关技术领域工程师以上专业技术职务</w:t>
            </w:r>
          </w:p>
        </w:tc>
        <w:tc>
          <w:tcPr>
            <w:tcW w:w="779" w:type="dxa"/>
            <w:vAlign w:val="center"/>
          </w:tcPr>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21-23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裁判总人数</w:t>
            </w:r>
          </w:p>
        </w:tc>
        <w:tc>
          <w:tcPr>
            <w:tcW w:w="7702" w:type="dxa"/>
            <w:gridSpan w:val="5"/>
            <w:tcBorders>
              <w:bottom w:val="single" w:color="auto" w:sz="8" w:space="0"/>
            </w:tcBorders>
          </w:tcPr>
          <w:p>
            <w:pPr>
              <w:adjustRightInd w:val="0"/>
              <w:snapToGrid w:val="0"/>
              <w:jc w:val="center"/>
              <w:rPr>
                <w:rFonts w:ascii="仿宋_GB2312" w:hAnsi="??_GB2312" w:eastAsia="仿宋_GB2312" w:cs="??_GB2312"/>
                <w:kern w:val="0"/>
                <w:sz w:val="24"/>
                <w:szCs w:val="24"/>
              </w:rPr>
            </w:pPr>
          </w:p>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21-23</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w:t>
      </w:r>
      <w:bookmarkStart w:id="5" w:name="_GoBack"/>
      <w:r>
        <w:rPr>
          <w:rFonts w:hint="eastAsia" w:ascii="黑体" w:hAnsi="黑体" w:eastAsia="黑体" w:cs="黑体"/>
          <w:bCs/>
          <w:sz w:val="30"/>
          <w:szCs w:val="30"/>
        </w:rPr>
        <w:t>承诺</w:t>
      </w:r>
      <w:bookmarkEnd w:id="5"/>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承诺保证于开赛1个月前在大赛网络信息发布平台上（www.chinaskills-jsw.org)公开全部赛题。</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snapToGrid w:val="0"/>
        <w:spacing w:line="560" w:lineRule="exact"/>
        <w:ind w:firstLine="600" w:firstLineChars="200"/>
        <w:rPr>
          <w:rFonts w:ascii="仿宋_GB2312" w:eastAsia="仿宋_GB2312"/>
          <w:sz w:val="30"/>
          <w:szCs w:val="30"/>
        </w:rPr>
      </w:pPr>
      <w:r>
        <w:rPr>
          <w:rFonts w:hint="eastAsia" w:ascii="Arial Narrow" w:hAnsi="Arial Narrow" w:eastAsia="仿宋_GB2312" w:cs="Arial"/>
          <w:sz w:val="30"/>
          <w:szCs w:val="30"/>
        </w:rPr>
        <w:t>本赛项申报具体联络人为：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6889"/>
    <w:multiLevelType w:val="singleLevel"/>
    <w:tmpl w:val="57C1688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7BCB"/>
    <w:rsid w:val="00014231"/>
    <w:rsid w:val="000B38CA"/>
    <w:rsid w:val="000C3C48"/>
    <w:rsid w:val="000E009F"/>
    <w:rsid w:val="000E417E"/>
    <w:rsid w:val="000F6631"/>
    <w:rsid w:val="00111ACC"/>
    <w:rsid w:val="00127718"/>
    <w:rsid w:val="00135F37"/>
    <w:rsid w:val="001414A1"/>
    <w:rsid w:val="00145D53"/>
    <w:rsid w:val="00154B06"/>
    <w:rsid w:val="001800E6"/>
    <w:rsid w:val="00195B33"/>
    <w:rsid w:val="001C612E"/>
    <w:rsid w:val="00236CAC"/>
    <w:rsid w:val="00241613"/>
    <w:rsid w:val="002665AB"/>
    <w:rsid w:val="00291A11"/>
    <w:rsid w:val="003B2614"/>
    <w:rsid w:val="004621AA"/>
    <w:rsid w:val="0046729D"/>
    <w:rsid w:val="00496E2C"/>
    <w:rsid w:val="004D3E9E"/>
    <w:rsid w:val="00500796"/>
    <w:rsid w:val="0058002A"/>
    <w:rsid w:val="005A26D2"/>
    <w:rsid w:val="005D5670"/>
    <w:rsid w:val="00605C59"/>
    <w:rsid w:val="00613086"/>
    <w:rsid w:val="007110CE"/>
    <w:rsid w:val="007726FE"/>
    <w:rsid w:val="00797743"/>
    <w:rsid w:val="007A5BC2"/>
    <w:rsid w:val="00806469"/>
    <w:rsid w:val="00834614"/>
    <w:rsid w:val="00840A25"/>
    <w:rsid w:val="0085539B"/>
    <w:rsid w:val="008947C1"/>
    <w:rsid w:val="0096746B"/>
    <w:rsid w:val="00A12F96"/>
    <w:rsid w:val="00A20801"/>
    <w:rsid w:val="00A65C0A"/>
    <w:rsid w:val="00A72D96"/>
    <w:rsid w:val="00A97BE3"/>
    <w:rsid w:val="00B0527F"/>
    <w:rsid w:val="00B21486"/>
    <w:rsid w:val="00B36FC6"/>
    <w:rsid w:val="00BB0CEC"/>
    <w:rsid w:val="00BD1FDD"/>
    <w:rsid w:val="00BE4908"/>
    <w:rsid w:val="00C010C6"/>
    <w:rsid w:val="00C91EAA"/>
    <w:rsid w:val="00C95E23"/>
    <w:rsid w:val="00CA4189"/>
    <w:rsid w:val="00CA5C4F"/>
    <w:rsid w:val="00CB1AAB"/>
    <w:rsid w:val="00CC33FF"/>
    <w:rsid w:val="00CC7BAF"/>
    <w:rsid w:val="00D34EA7"/>
    <w:rsid w:val="00D41A68"/>
    <w:rsid w:val="00D56CA6"/>
    <w:rsid w:val="00D87BCB"/>
    <w:rsid w:val="00DB5838"/>
    <w:rsid w:val="00E53DE6"/>
    <w:rsid w:val="00E62035"/>
    <w:rsid w:val="00E77FEA"/>
    <w:rsid w:val="00E84471"/>
    <w:rsid w:val="00ED5347"/>
    <w:rsid w:val="00EF1723"/>
    <w:rsid w:val="00F15402"/>
    <w:rsid w:val="00F2424A"/>
    <w:rsid w:val="00F37D8E"/>
    <w:rsid w:val="00F74782"/>
    <w:rsid w:val="00F83574"/>
    <w:rsid w:val="00F84B88"/>
    <w:rsid w:val="03D41790"/>
    <w:rsid w:val="03F57598"/>
    <w:rsid w:val="076A4BB5"/>
    <w:rsid w:val="08460094"/>
    <w:rsid w:val="0B17504D"/>
    <w:rsid w:val="0CB9606C"/>
    <w:rsid w:val="11F16C88"/>
    <w:rsid w:val="13FE6876"/>
    <w:rsid w:val="15A73F62"/>
    <w:rsid w:val="1674727F"/>
    <w:rsid w:val="16880828"/>
    <w:rsid w:val="1688197E"/>
    <w:rsid w:val="191319CE"/>
    <w:rsid w:val="1BC40D77"/>
    <w:rsid w:val="1CF07509"/>
    <w:rsid w:val="1CF45D9D"/>
    <w:rsid w:val="1DF12C37"/>
    <w:rsid w:val="21910808"/>
    <w:rsid w:val="22917128"/>
    <w:rsid w:val="258C4D0B"/>
    <w:rsid w:val="25EF44D4"/>
    <w:rsid w:val="28676E92"/>
    <w:rsid w:val="29070614"/>
    <w:rsid w:val="2B1178D0"/>
    <w:rsid w:val="2D32524F"/>
    <w:rsid w:val="2DA11C80"/>
    <w:rsid w:val="2E0E5EB7"/>
    <w:rsid w:val="2E101F6E"/>
    <w:rsid w:val="2E96167C"/>
    <w:rsid w:val="2E9A7F08"/>
    <w:rsid w:val="2FE4003C"/>
    <w:rsid w:val="315F4F8C"/>
    <w:rsid w:val="32E130C1"/>
    <w:rsid w:val="34E11C2A"/>
    <w:rsid w:val="35ED00B7"/>
    <w:rsid w:val="361D1978"/>
    <w:rsid w:val="36B34015"/>
    <w:rsid w:val="36B92553"/>
    <w:rsid w:val="37143554"/>
    <w:rsid w:val="382F3E26"/>
    <w:rsid w:val="38DE5D54"/>
    <w:rsid w:val="3B23304E"/>
    <w:rsid w:val="3B971BEB"/>
    <w:rsid w:val="3D73568D"/>
    <w:rsid w:val="40B01A2C"/>
    <w:rsid w:val="411E3A28"/>
    <w:rsid w:val="44860E0C"/>
    <w:rsid w:val="456B0CA1"/>
    <w:rsid w:val="46596C0E"/>
    <w:rsid w:val="467721CD"/>
    <w:rsid w:val="47E31CC0"/>
    <w:rsid w:val="4855430D"/>
    <w:rsid w:val="492D3213"/>
    <w:rsid w:val="4B266D33"/>
    <w:rsid w:val="4C286968"/>
    <w:rsid w:val="4CAC7A71"/>
    <w:rsid w:val="4DC61A03"/>
    <w:rsid w:val="4E83764E"/>
    <w:rsid w:val="504424D9"/>
    <w:rsid w:val="50D028DD"/>
    <w:rsid w:val="5109601D"/>
    <w:rsid w:val="51B2795D"/>
    <w:rsid w:val="52405282"/>
    <w:rsid w:val="525E5612"/>
    <w:rsid w:val="565955C7"/>
    <w:rsid w:val="56E3772A"/>
    <w:rsid w:val="580C2B7C"/>
    <w:rsid w:val="597B2683"/>
    <w:rsid w:val="5A4C3938"/>
    <w:rsid w:val="5AA20EE9"/>
    <w:rsid w:val="5CC27E98"/>
    <w:rsid w:val="5D9A27BE"/>
    <w:rsid w:val="5F575B0F"/>
    <w:rsid w:val="5F622785"/>
    <w:rsid w:val="612D6C5C"/>
    <w:rsid w:val="61D304B9"/>
    <w:rsid w:val="621472F6"/>
    <w:rsid w:val="63B6766D"/>
    <w:rsid w:val="63D15400"/>
    <w:rsid w:val="643A1E8E"/>
    <w:rsid w:val="67D376A9"/>
    <w:rsid w:val="6A1D0FA7"/>
    <w:rsid w:val="6DF47DE5"/>
    <w:rsid w:val="7057453A"/>
    <w:rsid w:val="710E3923"/>
    <w:rsid w:val="726E5EA5"/>
    <w:rsid w:val="743A0886"/>
    <w:rsid w:val="74653B0B"/>
    <w:rsid w:val="759317CF"/>
    <w:rsid w:val="75E915C7"/>
    <w:rsid w:val="762A3306"/>
    <w:rsid w:val="7828534A"/>
    <w:rsid w:val="7A8C5E23"/>
    <w:rsid w:val="7F6B2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3"/>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4"/>
    <w:qFormat/>
    <w:uiPriority w:val="0"/>
    <w:pPr>
      <w:keepNext/>
      <w:keepLines/>
      <w:spacing w:before="260" w:after="260" w:line="416" w:lineRule="auto"/>
      <w:outlineLvl w:val="2"/>
    </w:pPr>
    <w:rPr>
      <w:rFonts w:ascii="Times New Roman" w:hAnsi="Times New Roman"/>
      <w:b/>
      <w:bCs/>
      <w:sz w:val="32"/>
      <w:szCs w:val="32"/>
    </w:rPr>
  </w:style>
  <w:style w:type="character" w:default="1" w:styleId="12">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6"/>
    <w:qFormat/>
    <w:uiPriority w:val="0"/>
    <w:rPr>
      <w:rFonts w:asciiTheme="minorHAnsi" w:hAnsiTheme="minorHAnsi" w:eastAsiaTheme="minorEastAsia" w:cstheme="minorBidi"/>
      <w:b/>
      <w:bCs/>
    </w:rPr>
  </w:style>
  <w:style w:type="paragraph" w:styleId="6">
    <w:name w:val="annotation text"/>
    <w:basedOn w:val="1"/>
    <w:link w:val="25"/>
    <w:qFormat/>
    <w:uiPriority w:val="0"/>
    <w:pPr>
      <w:jc w:val="left"/>
    </w:p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7"/>
    <w:qFormat/>
    <w:uiPriority w:val="0"/>
    <w:pPr>
      <w:snapToGrid w:val="0"/>
      <w:jc w:val="left"/>
    </w:pPr>
    <w:rPr>
      <w:kern w:val="0"/>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563C1" w:themeColor="hyperlink"/>
      <w:u w:val="single"/>
    </w:rPr>
  </w:style>
  <w:style w:type="character" w:styleId="16">
    <w:name w:val="annotation reference"/>
    <w:basedOn w:val="12"/>
    <w:qFormat/>
    <w:uiPriority w:val="0"/>
    <w:rPr>
      <w:sz w:val="21"/>
      <w:szCs w:val="21"/>
    </w:rPr>
  </w:style>
  <w:style w:type="character" w:styleId="17">
    <w:name w:val="footnote reference"/>
    <w:qFormat/>
    <w:uiPriority w:val="0"/>
    <w:rPr>
      <w:rFonts w:cs="Times New Roman"/>
      <w:vertAlign w:val="superscript"/>
    </w:rPr>
  </w:style>
  <w:style w:type="table" w:styleId="19">
    <w:name w:val="Table Grid"/>
    <w:basedOn w:val="18"/>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0">
    <w:name w:val="Table Elegant"/>
    <w:basedOn w:val="18"/>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21">
    <w:name w:val="批注框文本 Char"/>
    <w:basedOn w:val="12"/>
    <w:link w:val="7"/>
    <w:qFormat/>
    <w:uiPriority w:val="0"/>
    <w:rPr>
      <w:rFonts w:ascii="Calibri" w:hAnsi="Calibri"/>
      <w:kern w:val="2"/>
      <w:sz w:val="18"/>
      <w:szCs w:val="18"/>
    </w:rPr>
  </w:style>
  <w:style w:type="character" w:customStyle="1" w:styleId="22">
    <w:name w:val="标题 1 Char"/>
    <w:basedOn w:val="12"/>
    <w:link w:val="2"/>
    <w:qFormat/>
    <w:uiPriority w:val="9"/>
    <w:rPr>
      <w:rFonts w:ascii="宋体" w:hAnsi="宋体" w:cs="宋体"/>
      <w:b/>
      <w:bCs/>
      <w:kern w:val="36"/>
      <w:sz w:val="48"/>
      <w:szCs w:val="48"/>
    </w:rPr>
  </w:style>
  <w:style w:type="character" w:customStyle="1" w:styleId="23">
    <w:name w:val="标题 2 Char"/>
    <w:basedOn w:val="12"/>
    <w:link w:val="3"/>
    <w:qFormat/>
    <w:uiPriority w:val="0"/>
    <w:rPr>
      <w:rFonts w:ascii="Calibri Light" w:hAnsi="Calibri Light"/>
      <w:b/>
      <w:bCs/>
      <w:kern w:val="2"/>
      <w:sz w:val="32"/>
      <w:szCs w:val="32"/>
    </w:rPr>
  </w:style>
  <w:style w:type="character" w:customStyle="1" w:styleId="24">
    <w:name w:val="标题 3 Char"/>
    <w:basedOn w:val="12"/>
    <w:link w:val="4"/>
    <w:qFormat/>
    <w:uiPriority w:val="0"/>
    <w:rPr>
      <w:rFonts w:ascii="Times New Roman" w:hAnsi="Times New Roman"/>
      <w:b/>
      <w:bCs/>
      <w:kern w:val="2"/>
      <w:sz w:val="32"/>
      <w:szCs w:val="32"/>
    </w:rPr>
  </w:style>
  <w:style w:type="character" w:customStyle="1" w:styleId="25">
    <w:name w:val="批注文字 Char"/>
    <w:basedOn w:val="12"/>
    <w:link w:val="6"/>
    <w:qFormat/>
    <w:uiPriority w:val="0"/>
    <w:rPr>
      <w:kern w:val="2"/>
      <w:sz w:val="21"/>
      <w:szCs w:val="22"/>
    </w:rPr>
  </w:style>
  <w:style w:type="character" w:customStyle="1" w:styleId="26">
    <w:name w:val="批注主题 Char"/>
    <w:basedOn w:val="25"/>
    <w:link w:val="5"/>
    <w:qFormat/>
    <w:uiPriority w:val="0"/>
    <w:rPr>
      <w:rFonts w:asciiTheme="minorHAnsi" w:hAnsiTheme="minorHAnsi" w:eastAsiaTheme="minorEastAsia" w:cstheme="minorBidi"/>
      <w:b/>
      <w:bCs/>
      <w:kern w:val="2"/>
      <w:sz w:val="21"/>
      <w:szCs w:val="22"/>
    </w:rPr>
  </w:style>
  <w:style w:type="character" w:customStyle="1" w:styleId="27">
    <w:name w:val="脚注文本 Char"/>
    <w:link w:val="10"/>
    <w:qFormat/>
    <w:uiPriority w:val="0"/>
    <w:rPr>
      <w:sz w:val="18"/>
      <w:szCs w:val="18"/>
    </w:rPr>
  </w:style>
  <w:style w:type="character" w:customStyle="1" w:styleId="28">
    <w:name w:val="star_show"/>
    <w:basedOn w:val="12"/>
    <w:uiPriority w:val="0"/>
  </w:style>
  <w:style w:type="paragraph" w:customStyle="1" w:styleId="29">
    <w:name w:val="tgt2"/>
    <w:basedOn w:val="1"/>
    <w:qFormat/>
    <w:uiPriority w:val="0"/>
    <w:pPr>
      <w:widowControl/>
      <w:spacing w:after="120" w:line="360" w:lineRule="auto"/>
      <w:jc w:val="left"/>
    </w:pPr>
    <w:rPr>
      <w:rFonts w:ascii="宋体" w:hAnsi="宋体" w:cs="宋体"/>
      <w:b/>
      <w:bCs/>
      <w:kern w:val="0"/>
      <w:sz w:val="36"/>
      <w:szCs w:val="36"/>
    </w:rPr>
  </w:style>
  <w:style w:type="paragraph" w:styleId="30">
    <w:name w:val="List Paragraph"/>
    <w:basedOn w:val="1"/>
    <w:qFormat/>
    <w:uiPriority w:val="0"/>
    <w:pPr>
      <w:widowControl/>
      <w:ind w:firstLine="420"/>
    </w:pPr>
    <w:rPr>
      <w:rFonts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4015</Words>
  <Characters>22887</Characters>
  <Lines>190</Lines>
  <Paragraphs>53</Paragraphs>
  <TotalTime>383</TotalTime>
  <ScaleCrop>false</ScaleCrop>
  <LinksUpToDate>false</LinksUpToDate>
  <CharactersWithSpaces>26849</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2018-08-04T01:41:00Z</dcterms:created>
  <dc:creator>Administrator</dc:creator>
  <cp:lastModifiedBy>守望</cp:lastModifiedBy>
  <cp:lastPrinted>2017-08-07T08:14:00Z</cp:lastPrinted>
  <dcterms:modified xsi:type="dcterms:W3CDTF">2018-09-21T02:33:03Z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