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40" w:lineRule="exact"/>
        <w:jc w:val="center"/>
        <w:rPr>
          <w:rFonts w:ascii="Arial Narrow" w:hAnsi="Arial Narrow" w:eastAsia="黑体"/>
          <w:b/>
          <w:sz w:val="36"/>
          <w:szCs w:val="36"/>
        </w:rPr>
      </w:pPr>
      <w:r>
        <w:rPr>
          <w:rFonts w:ascii="Arial Narrow" w:hAnsi="黑体" w:eastAsia="黑体"/>
          <w:b/>
          <w:sz w:val="36"/>
          <w:szCs w:val="36"/>
        </w:rPr>
        <w:t>2019</w:t>
      </w:r>
      <w:r>
        <w:rPr>
          <w:rFonts w:hint="eastAsia" w:ascii="Arial Narrow" w:hAnsi="黑体" w:eastAsia="黑体"/>
          <w:b/>
          <w:sz w:val="36"/>
          <w:szCs w:val="36"/>
        </w:rPr>
        <w:t>年全国职业院校技能大赛</w:t>
      </w:r>
    </w:p>
    <w:p>
      <w:pPr>
        <w:snapToGrid w:val="0"/>
        <w:spacing w:line="540" w:lineRule="exact"/>
        <w:jc w:val="center"/>
        <w:rPr>
          <w:rFonts w:ascii="Arial Narrow" w:hAnsi="Arial Narrow" w:eastAsia="黑体"/>
          <w:b/>
          <w:sz w:val="36"/>
          <w:szCs w:val="36"/>
        </w:rPr>
      </w:pPr>
      <w:r>
        <w:rPr>
          <w:rFonts w:hint="eastAsia" w:ascii="Arial Narrow" w:hAnsi="黑体" w:eastAsia="黑体"/>
          <w:b/>
          <w:sz w:val="36"/>
          <w:szCs w:val="36"/>
        </w:rPr>
        <w:t>赛项申报方案</w:t>
      </w:r>
    </w:p>
    <w:p>
      <w:pPr>
        <w:snapToGrid w:val="0"/>
        <w:spacing w:line="560" w:lineRule="exact"/>
        <w:ind w:firstLine="600" w:firstLineChars="200"/>
        <w:outlineLvl w:val="0"/>
        <w:rPr>
          <w:rFonts w:ascii="黑体" w:hAnsi="黑体" w:eastAsia="黑体" w:cs="黑体"/>
          <w:bCs/>
          <w:sz w:val="30"/>
          <w:szCs w:val="30"/>
        </w:rPr>
      </w:pPr>
      <w:r>
        <w:rPr>
          <w:rFonts w:hint="eastAsia" w:ascii="黑体" w:hAnsi="黑体" w:eastAsia="黑体" w:cs="黑体"/>
          <w:bCs/>
          <w:sz w:val="30"/>
          <w:szCs w:val="30"/>
        </w:rPr>
        <w:t>一、赛项名称</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（一）赛项名称</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智能电梯装调与维护</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（二）压题彩照</w:t>
      </w:r>
    </w:p>
    <w:p>
      <w:pPr>
        <w:snapToGrid w:val="0"/>
        <w:rPr>
          <w:rFonts w:ascii="Arial Narrow" w:hAnsi="Arial Narrow" w:eastAsia="仿宋_GB2312" w:cs="Arial"/>
          <w:sz w:val="30"/>
          <w:szCs w:val="30"/>
        </w:rPr>
      </w:pPr>
      <w:r>
        <w:rPr>
          <w:rFonts w:ascii="Arial Narrow" w:hAnsi="Arial Narrow" w:eastAsia="仿宋_GB2312" w:cs="Arial"/>
          <w:sz w:val="30"/>
          <w:szCs w:val="30"/>
        </w:rPr>
        <w:drawing>
          <wp:inline distT="0" distB="0" distL="0" distR="0">
            <wp:extent cx="5266055" cy="3673475"/>
            <wp:effectExtent l="19050" t="0" r="0" b="0"/>
            <wp:docPr id="1" name="图片 1" descr="_MG_7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_MG_7927"/>
                    <pic:cNvPicPr>
                      <a:picLocks noChangeAspect="1" noChangeArrowheads="1"/>
                    </pic:cNvPicPr>
                  </pic:nvPicPr>
                  <pic:blipFill>
                    <a:blip r:embed="rId6" cstate="print"/>
                    <a:srcRect/>
                    <a:stretch>
                      <a:fillRect/>
                    </a:stretch>
                  </pic:blipFill>
                  <pic:spPr>
                    <a:xfrm>
                      <a:off x="0" y="0"/>
                      <a:ext cx="5267518" cy="3674316"/>
                    </a:xfrm>
                    <a:prstGeom prst="rect">
                      <a:avLst/>
                    </a:prstGeom>
                    <a:noFill/>
                    <a:ln w="9525">
                      <a:noFill/>
                      <a:miter lim="800000"/>
                      <a:headEnd/>
                      <a:tailEnd/>
                    </a:ln>
                  </pic:spPr>
                </pic:pic>
              </a:graphicData>
            </a:graphic>
          </wp:inline>
        </w:drawing>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（三）赛项归属产业类型</w:t>
      </w:r>
    </w:p>
    <w:p>
      <w:pPr>
        <w:snapToGrid w:val="0"/>
        <w:spacing w:line="560" w:lineRule="exact"/>
        <w:ind w:firstLine="750" w:firstLineChars="250"/>
        <w:rPr>
          <w:rFonts w:ascii="Arial Narrow" w:hAnsi="Arial Narrow" w:eastAsia="仿宋_GB2312" w:cs="Arial"/>
          <w:sz w:val="30"/>
          <w:szCs w:val="30"/>
        </w:rPr>
      </w:pPr>
      <w:r>
        <w:rPr>
          <w:rFonts w:hint="eastAsia" w:ascii="仿宋_GB2312" w:hAnsi="宋体" w:eastAsia="仿宋_GB2312" w:cs="Arial"/>
          <w:kern w:val="0"/>
          <w:sz w:val="30"/>
          <w:szCs w:val="30"/>
        </w:rPr>
        <w:t>装备制造业</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（四）赛项归属专业大类</w:t>
      </w:r>
      <w:r>
        <w:rPr>
          <w:rFonts w:ascii="Arial Narrow" w:hAnsi="Arial Narrow" w:eastAsia="仿宋_GB2312" w:cs="Arial"/>
          <w:sz w:val="30"/>
          <w:szCs w:val="30"/>
        </w:rPr>
        <w:t>/</w:t>
      </w:r>
      <w:r>
        <w:rPr>
          <w:rFonts w:hint="eastAsia" w:ascii="Arial Narrow" w:hAnsi="Arial Narrow" w:eastAsia="仿宋_GB2312" w:cs="Arial"/>
          <w:sz w:val="30"/>
          <w:szCs w:val="30"/>
        </w:rPr>
        <w:t>类</w:t>
      </w:r>
    </w:p>
    <w:tbl>
      <w:tblPr>
        <w:tblStyle w:val="9"/>
        <w:tblW w:w="9053" w:type="dxa"/>
        <w:jc w:val="center"/>
        <w:tblInd w:w="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1"/>
        <w:gridCol w:w="1916"/>
        <w:gridCol w:w="2303"/>
        <w:gridCol w:w="1134"/>
        <w:gridCol w:w="27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5" w:hRule="atLeast"/>
          <w:jc w:val="center"/>
        </w:trPr>
        <w:tc>
          <w:tcPr>
            <w:tcW w:w="971"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Arial" w:asciiTheme="minorEastAsia" w:hAnsiTheme="minorEastAsia" w:eastAsiaTheme="minorEastAsia"/>
                <w:b/>
                <w:sz w:val="24"/>
                <w:szCs w:val="24"/>
              </w:rPr>
            </w:pPr>
            <w:r>
              <w:rPr>
                <w:rFonts w:hint="eastAsia" w:cs="Arial" w:asciiTheme="minorEastAsia" w:hAnsiTheme="minorEastAsia" w:eastAsiaTheme="minorEastAsia"/>
                <w:b/>
                <w:sz w:val="24"/>
                <w:szCs w:val="24"/>
              </w:rPr>
              <w:t>组别</w:t>
            </w:r>
          </w:p>
        </w:tc>
        <w:tc>
          <w:tcPr>
            <w:tcW w:w="1916"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Arial" w:asciiTheme="minorEastAsia" w:hAnsiTheme="minorEastAsia" w:eastAsiaTheme="minorEastAsia"/>
                <w:b/>
                <w:sz w:val="24"/>
                <w:szCs w:val="24"/>
              </w:rPr>
            </w:pPr>
            <w:r>
              <w:rPr>
                <w:rFonts w:hint="eastAsia" w:cs="Arial" w:asciiTheme="minorEastAsia" w:hAnsiTheme="minorEastAsia" w:eastAsiaTheme="minorEastAsia"/>
                <w:b/>
                <w:sz w:val="24"/>
                <w:szCs w:val="24"/>
              </w:rPr>
              <w:t>专业大类</w:t>
            </w:r>
          </w:p>
        </w:tc>
        <w:tc>
          <w:tcPr>
            <w:tcW w:w="2303"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Arial" w:asciiTheme="minorEastAsia" w:hAnsiTheme="minorEastAsia" w:eastAsiaTheme="minorEastAsia"/>
                <w:b/>
                <w:sz w:val="24"/>
                <w:szCs w:val="24"/>
              </w:rPr>
            </w:pPr>
            <w:r>
              <w:rPr>
                <w:rFonts w:hint="eastAsia" w:cs="Arial" w:asciiTheme="minorEastAsia" w:hAnsiTheme="minorEastAsia" w:eastAsiaTheme="minorEastAsia"/>
                <w:b/>
                <w:sz w:val="24"/>
                <w:szCs w:val="24"/>
              </w:rPr>
              <w:t>专业类</w:t>
            </w: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Arial" w:asciiTheme="minorEastAsia" w:hAnsiTheme="minorEastAsia" w:eastAsiaTheme="minorEastAsia"/>
                <w:b/>
                <w:sz w:val="24"/>
                <w:szCs w:val="24"/>
              </w:rPr>
            </w:pPr>
            <w:r>
              <w:rPr>
                <w:rFonts w:hint="eastAsia" w:cs="Arial" w:asciiTheme="minorEastAsia" w:hAnsiTheme="minorEastAsia" w:eastAsiaTheme="minorEastAsia"/>
                <w:b/>
                <w:sz w:val="24"/>
                <w:szCs w:val="24"/>
              </w:rPr>
              <w:t>专业代码</w:t>
            </w:r>
          </w:p>
        </w:tc>
        <w:tc>
          <w:tcPr>
            <w:tcW w:w="2729"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Arial" w:asciiTheme="minorEastAsia" w:hAnsiTheme="minorEastAsia" w:eastAsiaTheme="minorEastAsia"/>
                <w:b/>
                <w:sz w:val="24"/>
                <w:szCs w:val="24"/>
              </w:rPr>
            </w:pPr>
            <w:r>
              <w:rPr>
                <w:rFonts w:hint="eastAsia" w:cs="Arial" w:asciiTheme="minorEastAsia" w:hAnsiTheme="minorEastAsia" w:eastAsiaTheme="minorEastAsia"/>
                <w:b/>
                <w:sz w:val="24"/>
                <w:szCs w:val="24"/>
              </w:rPr>
              <w:t>专业名称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jc w:val="center"/>
        </w:trPr>
        <w:tc>
          <w:tcPr>
            <w:tcW w:w="971"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高职</w:t>
            </w:r>
          </w:p>
        </w:tc>
        <w:tc>
          <w:tcPr>
            <w:tcW w:w="1916"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装备制造大类</w:t>
            </w:r>
          </w:p>
        </w:tc>
        <w:tc>
          <w:tcPr>
            <w:tcW w:w="2303"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自动化类</w:t>
            </w: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560308</w:t>
            </w:r>
          </w:p>
        </w:tc>
        <w:tc>
          <w:tcPr>
            <w:tcW w:w="2729"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电梯工程技术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jc w:val="center"/>
        </w:trPr>
        <w:tc>
          <w:tcPr>
            <w:tcW w:w="971"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高职</w:t>
            </w:r>
          </w:p>
        </w:tc>
        <w:tc>
          <w:tcPr>
            <w:tcW w:w="1916"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装备制造大类</w:t>
            </w:r>
          </w:p>
        </w:tc>
        <w:tc>
          <w:tcPr>
            <w:tcW w:w="2303"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自动化类</w:t>
            </w: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560301</w:t>
            </w:r>
          </w:p>
        </w:tc>
        <w:tc>
          <w:tcPr>
            <w:tcW w:w="2729"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机电一体化技术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jc w:val="center"/>
        </w:trPr>
        <w:tc>
          <w:tcPr>
            <w:tcW w:w="971"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高职</w:t>
            </w:r>
          </w:p>
        </w:tc>
        <w:tc>
          <w:tcPr>
            <w:tcW w:w="1916"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装备制造大类</w:t>
            </w:r>
          </w:p>
        </w:tc>
        <w:tc>
          <w:tcPr>
            <w:tcW w:w="2303"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自动化类</w:t>
            </w: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560302</w:t>
            </w:r>
          </w:p>
        </w:tc>
        <w:tc>
          <w:tcPr>
            <w:tcW w:w="2729"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电气自动化技术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jc w:val="center"/>
        </w:trPr>
        <w:tc>
          <w:tcPr>
            <w:tcW w:w="971"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高职</w:t>
            </w:r>
          </w:p>
        </w:tc>
        <w:tc>
          <w:tcPr>
            <w:tcW w:w="1916"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装备制造大类</w:t>
            </w:r>
          </w:p>
        </w:tc>
        <w:tc>
          <w:tcPr>
            <w:tcW w:w="2303"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自动化类</w:t>
            </w: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560303</w:t>
            </w:r>
          </w:p>
        </w:tc>
        <w:tc>
          <w:tcPr>
            <w:tcW w:w="2729"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Arial" w:asciiTheme="minorEastAsia" w:hAnsiTheme="minorEastAsia" w:eastAsiaTheme="minorEastAsia"/>
                <w:sz w:val="24"/>
                <w:szCs w:val="24"/>
              </w:rPr>
            </w:pPr>
            <w:r>
              <w:rPr>
                <w:rFonts w:cs="Arial" w:asciiTheme="minorEastAsia" w:hAnsiTheme="minorEastAsia" w:eastAsiaTheme="minorEastAsia"/>
                <w:sz w:val="24"/>
                <w:szCs w:val="24"/>
              </w:rPr>
              <w:t>工业过程自动化技术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jc w:val="center"/>
        </w:trPr>
        <w:tc>
          <w:tcPr>
            <w:tcW w:w="971"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高职</w:t>
            </w:r>
          </w:p>
        </w:tc>
        <w:tc>
          <w:tcPr>
            <w:tcW w:w="1916"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装备制造大类</w:t>
            </w:r>
          </w:p>
        </w:tc>
        <w:tc>
          <w:tcPr>
            <w:tcW w:w="2303"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自动化类</w:t>
            </w: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560304</w:t>
            </w:r>
          </w:p>
        </w:tc>
        <w:tc>
          <w:tcPr>
            <w:tcW w:w="2729"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Arial" w:asciiTheme="minorEastAsia" w:hAnsiTheme="minorEastAsia" w:eastAsiaTheme="minorEastAsia"/>
                <w:sz w:val="24"/>
                <w:szCs w:val="24"/>
              </w:rPr>
            </w:pPr>
            <w:r>
              <w:rPr>
                <w:rFonts w:cs="Arial" w:asciiTheme="minorEastAsia" w:hAnsiTheme="minorEastAsia" w:eastAsiaTheme="minorEastAsia"/>
                <w:sz w:val="24"/>
                <w:szCs w:val="24"/>
              </w:rPr>
              <w:t>智能控制技术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jc w:val="center"/>
        </w:trPr>
        <w:tc>
          <w:tcPr>
            <w:tcW w:w="971"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高职</w:t>
            </w:r>
          </w:p>
        </w:tc>
        <w:tc>
          <w:tcPr>
            <w:tcW w:w="1916"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装备制造大类</w:t>
            </w:r>
          </w:p>
        </w:tc>
        <w:tc>
          <w:tcPr>
            <w:tcW w:w="2303"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自动化类</w:t>
            </w: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560305</w:t>
            </w:r>
          </w:p>
        </w:tc>
        <w:tc>
          <w:tcPr>
            <w:tcW w:w="2729"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Arial" w:asciiTheme="minorEastAsia" w:hAnsiTheme="minorEastAsia" w:eastAsiaTheme="minorEastAsia"/>
                <w:sz w:val="24"/>
                <w:szCs w:val="24"/>
              </w:rPr>
            </w:pPr>
            <w:r>
              <w:rPr>
                <w:rFonts w:cs="Arial" w:asciiTheme="minorEastAsia" w:hAnsiTheme="minorEastAsia" w:eastAsiaTheme="minorEastAsia"/>
                <w:sz w:val="24"/>
                <w:szCs w:val="24"/>
              </w:rPr>
              <w:t>工业网络技术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jc w:val="center"/>
        </w:trPr>
        <w:tc>
          <w:tcPr>
            <w:tcW w:w="971"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高职</w:t>
            </w:r>
          </w:p>
        </w:tc>
        <w:tc>
          <w:tcPr>
            <w:tcW w:w="1916"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装备制造大类</w:t>
            </w:r>
          </w:p>
        </w:tc>
        <w:tc>
          <w:tcPr>
            <w:tcW w:w="2303"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Arial" w:asciiTheme="minorEastAsia" w:hAnsiTheme="minorEastAsia" w:eastAsiaTheme="minorEastAsia"/>
                <w:sz w:val="24"/>
                <w:szCs w:val="24"/>
              </w:rPr>
            </w:pPr>
            <w:r>
              <w:rPr>
                <w:rFonts w:cs="Arial" w:asciiTheme="minorEastAsia" w:hAnsiTheme="minorEastAsia" w:eastAsiaTheme="minorEastAsia"/>
                <w:sz w:val="24"/>
                <w:szCs w:val="24"/>
              </w:rPr>
              <w:t>机电设备类</w:t>
            </w: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Arial" w:asciiTheme="minorEastAsia" w:hAnsiTheme="minorEastAsia" w:eastAsiaTheme="minorEastAsia"/>
                <w:sz w:val="24"/>
                <w:szCs w:val="24"/>
              </w:rPr>
            </w:pPr>
            <w:r>
              <w:rPr>
                <w:rFonts w:cs="Arial" w:asciiTheme="minorEastAsia" w:hAnsiTheme="minorEastAsia" w:eastAsiaTheme="minorEastAsia"/>
                <w:sz w:val="24"/>
                <w:szCs w:val="24"/>
              </w:rPr>
              <w:t>560202</w:t>
            </w:r>
          </w:p>
        </w:tc>
        <w:tc>
          <w:tcPr>
            <w:tcW w:w="2729"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机电设备安装技术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jc w:val="center"/>
        </w:trPr>
        <w:tc>
          <w:tcPr>
            <w:tcW w:w="971"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高职</w:t>
            </w:r>
          </w:p>
        </w:tc>
        <w:tc>
          <w:tcPr>
            <w:tcW w:w="1916"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装备制造大类</w:t>
            </w:r>
          </w:p>
        </w:tc>
        <w:tc>
          <w:tcPr>
            <w:tcW w:w="2303"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Arial" w:asciiTheme="minorEastAsia" w:hAnsiTheme="minorEastAsia" w:eastAsiaTheme="minorEastAsia"/>
                <w:sz w:val="24"/>
                <w:szCs w:val="24"/>
              </w:rPr>
            </w:pPr>
            <w:r>
              <w:rPr>
                <w:rFonts w:cs="Arial" w:asciiTheme="minorEastAsia" w:hAnsiTheme="minorEastAsia" w:eastAsiaTheme="minorEastAsia"/>
                <w:sz w:val="24"/>
                <w:szCs w:val="24"/>
              </w:rPr>
              <w:t>机电设备类</w:t>
            </w: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Arial" w:asciiTheme="minorEastAsia" w:hAnsiTheme="minorEastAsia" w:eastAsiaTheme="minorEastAsia"/>
                <w:sz w:val="24"/>
                <w:szCs w:val="24"/>
              </w:rPr>
            </w:pPr>
            <w:r>
              <w:rPr>
                <w:rFonts w:cs="Arial" w:asciiTheme="minorEastAsia" w:hAnsiTheme="minorEastAsia" w:eastAsiaTheme="minorEastAsia"/>
                <w:sz w:val="24"/>
                <w:szCs w:val="24"/>
              </w:rPr>
              <w:t>56020</w:t>
            </w:r>
            <w:r>
              <w:rPr>
                <w:rFonts w:hint="eastAsia" w:cs="Arial" w:asciiTheme="minorEastAsia" w:hAnsiTheme="minorEastAsia" w:eastAsiaTheme="minorEastAsia"/>
                <w:sz w:val="24"/>
                <w:szCs w:val="24"/>
              </w:rPr>
              <w:t>3</w:t>
            </w:r>
          </w:p>
        </w:tc>
        <w:tc>
          <w:tcPr>
            <w:tcW w:w="2729"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机电设备维修与管理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jc w:val="center"/>
        </w:trPr>
        <w:tc>
          <w:tcPr>
            <w:tcW w:w="971"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高职</w:t>
            </w:r>
          </w:p>
        </w:tc>
        <w:tc>
          <w:tcPr>
            <w:tcW w:w="1916"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装备制造大类</w:t>
            </w:r>
          </w:p>
        </w:tc>
        <w:tc>
          <w:tcPr>
            <w:tcW w:w="2303"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Arial" w:asciiTheme="minorEastAsia" w:hAnsiTheme="minorEastAsia" w:eastAsiaTheme="minorEastAsia"/>
                <w:sz w:val="24"/>
                <w:szCs w:val="24"/>
              </w:rPr>
            </w:pPr>
            <w:r>
              <w:rPr>
                <w:rFonts w:cs="Arial" w:asciiTheme="minorEastAsia" w:hAnsiTheme="minorEastAsia" w:eastAsiaTheme="minorEastAsia"/>
                <w:sz w:val="24"/>
                <w:szCs w:val="24"/>
              </w:rPr>
              <w:t>机械设计制造类</w:t>
            </w: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560102</w:t>
            </w:r>
          </w:p>
        </w:tc>
        <w:tc>
          <w:tcPr>
            <w:tcW w:w="2729"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机械制造与自动化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jc w:val="center"/>
        </w:trPr>
        <w:tc>
          <w:tcPr>
            <w:tcW w:w="971"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高职</w:t>
            </w:r>
          </w:p>
        </w:tc>
        <w:tc>
          <w:tcPr>
            <w:tcW w:w="1916"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能源动力与材料大类</w:t>
            </w:r>
          </w:p>
        </w:tc>
        <w:tc>
          <w:tcPr>
            <w:tcW w:w="2303"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Arial" w:asciiTheme="minorEastAsia" w:hAnsiTheme="minorEastAsia" w:eastAsiaTheme="minorEastAsia"/>
                <w:sz w:val="24"/>
                <w:szCs w:val="24"/>
              </w:rPr>
            </w:pPr>
            <w:r>
              <w:rPr>
                <w:rFonts w:cs="Arial" w:asciiTheme="minorEastAsia" w:hAnsiTheme="minorEastAsia" w:eastAsiaTheme="minorEastAsia"/>
                <w:sz w:val="24"/>
                <w:szCs w:val="24"/>
              </w:rPr>
              <w:t>新能源发电工程类</w:t>
            </w: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530305</w:t>
            </w:r>
          </w:p>
        </w:tc>
        <w:tc>
          <w:tcPr>
            <w:tcW w:w="2729"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工业节能技术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jc w:val="center"/>
        </w:trPr>
        <w:tc>
          <w:tcPr>
            <w:tcW w:w="971"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高职</w:t>
            </w:r>
          </w:p>
        </w:tc>
        <w:tc>
          <w:tcPr>
            <w:tcW w:w="1916"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土木建筑大类</w:t>
            </w:r>
          </w:p>
        </w:tc>
        <w:tc>
          <w:tcPr>
            <w:tcW w:w="2303"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建筑设备类</w:t>
            </w:r>
          </w:p>
        </w:tc>
        <w:tc>
          <w:tcPr>
            <w:tcW w:w="1134"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540404</w:t>
            </w:r>
          </w:p>
        </w:tc>
        <w:tc>
          <w:tcPr>
            <w:tcW w:w="2729"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Arial" w:asciiTheme="minorEastAsia" w:hAnsiTheme="minorEastAsia" w:eastAsiaTheme="minorEastAsia"/>
                <w:sz w:val="24"/>
                <w:szCs w:val="24"/>
              </w:rPr>
            </w:pPr>
            <w:r>
              <w:rPr>
                <w:rFonts w:cs="Arial" w:asciiTheme="minorEastAsia" w:hAnsiTheme="minorEastAsia" w:eastAsiaTheme="minorEastAsia"/>
                <w:sz w:val="24"/>
                <w:szCs w:val="24"/>
              </w:rPr>
              <w:t>建筑智能化工程技术</w:t>
            </w:r>
          </w:p>
        </w:tc>
      </w:tr>
    </w:tbl>
    <w:p>
      <w:pPr>
        <w:numPr>
          <w:ilvl w:val="0"/>
          <w:numId w:val="1"/>
        </w:numPr>
        <w:snapToGrid w:val="0"/>
        <w:spacing w:line="560" w:lineRule="exact"/>
        <w:ind w:firstLine="600" w:firstLineChars="200"/>
        <w:outlineLvl w:val="0"/>
        <w:rPr>
          <w:rFonts w:hint="eastAsia" w:ascii="黑体" w:hAnsi="黑体" w:eastAsia="黑体" w:cs="黑体"/>
          <w:bCs/>
          <w:sz w:val="30"/>
          <w:szCs w:val="30"/>
        </w:rPr>
      </w:pPr>
      <w:r>
        <w:rPr>
          <w:rFonts w:hint="eastAsia" w:ascii="黑体" w:hAnsi="黑体" w:eastAsia="黑体" w:cs="黑体"/>
          <w:bCs/>
          <w:sz w:val="30"/>
          <w:szCs w:val="30"/>
        </w:rPr>
        <w:t>赛项申报专家组</w:t>
      </w:r>
    </w:p>
    <w:p>
      <w:pPr>
        <w:numPr>
          <w:numId w:val="0"/>
        </w:numPr>
        <w:snapToGrid w:val="0"/>
        <w:spacing w:line="560" w:lineRule="exact"/>
        <w:ind w:firstLine="600" w:firstLineChars="200"/>
        <w:outlineLvl w:val="0"/>
        <w:rPr>
          <w:rFonts w:ascii="Arial Narrow" w:hAnsi="Arial Narrow" w:eastAsia="仿宋_GB2312" w:cs="Arial"/>
          <w:bCs/>
          <w:sz w:val="30"/>
          <w:szCs w:val="30"/>
        </w:rPr>
      </w:pPr>
      <w:r>
        <w:rPr>
          <w:rFonts w:hint="eastAsia" w:ascii="黑体" w:hAnsi="黑体" w:eastAsia="黑体" w:cs="黑体"/>
          <w:bCs/>
          <w:sz w:val="30"/>
          <w:szCs w:val="30"/>
        </w:rPr>
        <w:t>三、赛项目的</w:t>
      </w:r>
    </w:p>
    <w:p>
      <w:pPr>
        <w:snapToGrid w:val="0"/>
        <w:spacing w:line="560" w:lineRule="exact"/>
        <w:ind w:firstLine="600" w:firstLineChars="200"/>
        <w:rPr>
          <w:rFonts w:ascii="仿宋_GB2312" w:hAnsi="仿宋" w:eastAsia="仿宋_GB2312" w:cs="仿宋"/>
          <w:bCs/>
          <w:sz w:val="30"/>
          <w:szCs w:val="30"/>
        </w:rPr>
      </w:pPr>
      <w:r>
        <w:rPr>
          <w:rFonts w:hint="eastAsia" w:ascii="仿宋_GB2312" w:hAnsi="仿宋" w:eastAsia="仿宋_GB2312" w:cs="仿宋"/>
          <w:bCs/>
          <w:sz w:val="30"/>
          <w:szCs w:val="30"/>
        </w:rPr>
        <w:t>电梯作为基础设施配套工程的重要组成部分，和人民生活质量的提高密切相关。随着科技、网络通信技术的发展，智慧城市、智能建筑已成为城市建设的未来发展趋势。目前，全球有超过1500万部电梯在各种建筑里面运行，每天我们乘坐电梯的人数十亿次。到2050年，根据研究报告，全球会有70%人口会生活在城市。在未来的20年，大概会有30亿的人口进入城市。大量人口进入城市以后，城市有限的空间促进高楼的建设，电梯重要性越来越高。目前全球最大的进行城市化的国家是中国。2014年全球新建的电梯中，中国市场占全球比例是68%以上，即新装100部电梯，有68部在中国。电梯智能化是发展智能建筑不可缺少的组成部分，利用电梯作为信息入口的特点，通过融合以云计算、物联网、大数据等新一代信息技术，实现电梯运行、使用、维保等过程的智能化管理来提高电梯的智能化水平，充分发挥协同效应来构建智慧建筑。同时电梯行业未来朝“绿色节能”和“安全”方向发展。未来一段时间内“绿色节能”和“安全”将成为电梯行业发展的两大关键词，节能安全技术领域的进步均会迅速在电梯产品中得到体现。此外，电梯安全隐患和事故多发提升对电梯生产的安全要求，《中华人民共和国特种设备安全法》也将更加严格执行以保障电梯运行安全。举行“智能电梯装调与维护”赛项不仅有利于</w:t>
      </w:r>
      <w:r>
        <w:rPr>
          <w:rFonts w:hint="eastAsia" w:ascii="仿宋_GB2312" w:hAnsi="仿宋" w:eastAsia="仿宋_GB2312" w:cs="仿宋"/>
          <w:sz w:val="30"/>
          <w:szCs w:val="30"/>
        </w:rPr>
        <w:t>职业教育培养服务电梯行业的优秀人才，而且推动了电梯行业的发展。</w:t>
      </w:r>
    </w:p>
    <w:p>
      <w:pPr>
        <w:snapToGrid w:val="0"/>
        <w:spacing w:line="560" w:lineRule="exact"/>
        <w:ind w:firstLine="600" w:firstLineChars="200"/>
        <w:rPr>
          <w:rFonts w:ascii="仿宋_GB2312" w:hAnsi="仿宋" w:eastAsia="仿宋_GB2312" w:cs="仿宋"/>
          <w:bCs/>
          <w:sz w:val="30"/>
          <w:szCs w:val="30"/>
        </w:rPr>
      </w:pPr>
      <w:r>
        <w:rPr>
          <w:rFonts w:hint="eastAsia" w:ascii="仿宋_GB2312" w:hAnsi="仿宋" w:eastAsia="仿宋_GB2312" w:cs="仿宋"/>
          <w:bCs/>
          <w:sz w:val="30"/>
          <w:szCs w:val="30"/>
        </w:rPr>
        <w:t>比赛是在一个高仿真实物型电梯上进行。通过比赛考核参赛选手掌握电梯电气控制原理设计、电梯机构安装与检测装置调整、电梯电气控制柜器件的安装与线路连接、群控电梯控制程序设计与调试、电梯监控系统设计与调试、电梯故障诊断与排除等核心技能；以及</w:t>
      </w:r>
      <w:r>
        <w:rPr>
          <w:rFonts w:ascii="仿宋_GB2312" w:hAnsi="仿宋" w:eastAsia="仿宋_GB2312" w:cs="仿宋"/>
          <w:bCs/>
          <w:sz w:val="30"/>
          <w:szCs w:val="30"/>
        </w:rPr>
        <w:t>传感</w:t>
      </w:r>
      <w:r>
        <w:rPr>
          <w:rFonts w:hint="eastAsia" w:ascii="仿宋_GB2312" w:hAnsi="仿宋" w:eastAsia="仿宋_GB2312" w:cs="仿宋"/>
          <w:bCs/>
          <w:sz w:val="30"/>
          <w:szCs w:val="30"/>
        </w:rPr>
        <w:t>检测</w:t>
      </w:r>
      <w:r>
        <w:rPr>
          <w:rFonts w:ascii="仿宋_GB2312" w:hAnsi="仿宋" w:eastAsia="仿宋_GB2312" w:cs="仿宋"/>
          <w:bCs/>
          <w:sz w:val="30"/>
          <w:szCs w:val="30"/>
        </w:rPr>
        <w:t>、</w:t>
      </w:r>
      <w:r>
        <w:rPr>
          <w:rFonts w:hint="eastAsia" w:ascii="仿宋_GB2312" w:hAnsi="仿宋" w:eastAsia="仿宋_GB2312" w:cs="仿宋"/>
          <w:bCs/>
          <w:sz w:val="30"/>
          <w:szCs w:val="30"/>
        </w:rPr>
        <w:t>电机驱动、PLC编程、工业网络技术、变频器调速、</w:t>
      </w:r>
      <w:r>
        <w:rPr>
          <w:rFonts w:ascii="仿宋_GB2312" w:hAnsi="仿宋" w:eastAsia="仿宋_GB2312" w:cs="仿宋"/>
          <w:bCs/>
          <w:sz w:val="30"/>
          <w:szCs w:val="30"/>
        </w:rPr>
        <w:t>人机界面</w:t>
      </w:r>
      <w:r>
        <w:rPr>
          <w:rFonts w:hint="eastAsia" w:ascii="仿宋_GB2312" w:hAnsi="仿宋" w:eastAsia="仿宋_GB2312" w:cs="仿宋"/>
          <w:bCs/>
          <w:sz w:val="30"/>
          <w:szCs w:val="30"/>
        </w:rPr>
        <w:t>工程设计</w:t>
      </w:r>
      <w:r>
        <w:rPr>
          <w:rFonts w:ascii="仿宋_GB2312" w:hAnsi="仿宋" w:eastAsia="仿宋_GB2312" w:cs="仿宋"/>
          <w:bCs/>
          <w:sz w:val="30"/>
          <w:szCs w:val="30"/>
        </w:rPr>
        <w:t>等核心知识</w:t>
      </w:r>
      <w:r>
        <w:rPr>
          <w:rFonts w:hint="eastAsia" w:ascii="仿宋_GB2312" w:hAnsi="仿宋" w:eastAsia="仿宋_GB2312" w:cs="仿宋"/>
          <w:bCs/>
          <w:sz w:val="30"/>
          <w:szCs w:val="30"/>
        </w:rPr>
        <w:t>。</w:t>
      </w:r>
    </w:p>
    <w:p>
      <w:pPr>
        <w:snapToGrid w:val="0"/>
        <w:spacing w:line="560" w:lineRule="exact"/>
        <w:ind w:firstLine="600" w:firstLineChars="200"/>
        <w:rPr>
          <w:rFonts w:ascii="仿宋_GB2312" w:hAnsi="仿宋" w:eastAsia="仿宋_GB2312" w:cs="仿宋"/>
          <w:bCs/>
          <w:sz w:val="30"/>
          <w:szCs w:val="30"/>
        </w:rPr>
      </w:pPr>
      <w:r>
        <w:rPr>
          <w:rFonts w:hint="eastAsia" w:ascii="仿宋_GB2312" w:hAnsi="仿宋" w:eastAsia="仿宋_GB2312" w:cs="仿宋"/>
          <w:bCs/>
          <w:sz w:val="30"/>
          <w:szCs w:val="30"/>
        </w:rPr>
        <w:t>竞赛</w:t>
      </w:r>
      <w:r>
        <w:rPr>
          <w:rFonts w:ascii="仿宋_GB2312" w:hAnsi="仿宋" w:eastAsia="仿宋_GB2312" w:cs="仿宋"/>
          <w:bCs/>
          <w:sz w:val="30"/>
          <w:szCs w:val="30"/>
        </w:rPr>
        <w:t>过程与工作过程对接，不仅考查选手的专业</w:t>
      </w:r>
      <w:r>
        <w:rPr>
          <w:rFonts w:hint="eastAsia" w:ascii="仿宋_GB2312" w:hAnsi="仿宋" w:eastAsia="仿宋_GB2312" w:cs="仿宋"/>
          <w:bCs/>
          <w:sz w:val="30"/>
          <w:szCs w:val="30"/>
        </w:rPr>
        <w:t>知识和专业</w:t>
      </w:r>
      <w:r>
        <w:rPr>
          <w:rFonts w:ascii="仿宋_GB2312" w:hAnsi="仿宋" w:eastAsia="仿宋_GB2312" w:cs="仿宋"/>
          <w:bCs/>
          <w:sz w:val="30"/>
          <w:szCs w:val="30"/>
        </w:rPr>
        <w:t>能力，</w:t>
      </w:r>
      <w:r>
        <w:rPr>
          <w:rFonts w:hint="eastAsia" w:ascii="仿宋_GB2312" w:hAnsi="仿宋" w:eastAsia="仿宋_GB2312" w:cs="仿宋"/>
          <w:bCs/>
          <w:sz w:val="30"/>
          <w:szCs w:val="30"/>
        </w:rPr>
        <w:t>同时，考核参赛选手的团队合作能力、工作效率、质量意识、安全意识、职业道德和职业素养等。通过竞赛为全国高职院校提供一个电梯技术相互交流的平台，引领高职院校电梯工程技术、电气自动化、机电安装、智能楼宇等相关专业建设和教学改革的发展方向，促进产教融合人才培养模式的改革与创新，培养学生的可持续发展能力，为社会提供满足企业需求的电梯技术方面的高技能人才。</w:t>
      </w:r>
    </w:p>
    <w:p>
      <w:pPr>
        <w:snapToGrid w:val="0"/>
        <w:spacing w:line="560" w:lineRule="exact"/>
        <w:ind w:firstLine="600" w:firstLineChars="200"/>
        <w:outlineLvl w:val="0"/>
        <w:rPr>
          <w:rFonts w:ascii="Arial Narrow" w:hAnsi="Arial Narrow" w:eastAsia="仿宋_GB2312" w:cs="Arial"/>
          <w:bCs/>
          <w:sz w:val="30"/>
          <w:szCs w:val="30"/>
        </w:rPr>
      </w:pPr>
      <w:r>
        <w:rPr>
          <w:rFonts w:hint="eastAsia" w:ascii="黑体" w:hAnsi="黑体" w:eastAsia="黑体" w:cs="黑体"/>
          <w:bCs/>
          <w:sz w:val="30"/>
          <w:szCs w:val="30"/>
        </w:rPr>
        <w:t>四、赛项设计原则</w:t>
      </w:r>
    </w:p>
    <w:p>
      <w:pPr>
        <w:snapToGrid w:val="0"/>
        <w:spacing w:line="560" w:lineRule="exact"/>
        <w:ind w:firstLine="602" w:firstLineChars="200"/>
        <w:rPr>
          <w:rFonts w:ascii="Arial Narrow" w:hAnsi="Arial Narrow" w:eastAsia="仿宋_GB2312" w:cs="Arial"/>
          <w:b/>
          <w:sz w:val="30"/>
          <w:szCs w:val="30"/>
        </w:rPr>
      </w:pPr>
      <w:r>
        <w:rPr>
          <w:rFonts w:hint="eastAsia" w:ascii="Arial Narrow" w:hAnsi="Arial Narrow" w:eastAsia="仿宋_GB2312" w:cs="Arial"/>
          <w:b/>
          <w:sz w:val="30"/>
          <w:szCs w:val="30"/>
        </w:rPr>
        <w:t>（一）公开、公平、公正</w:t>
      </w:r>
    </w:p>
    <w:p>
      <w:pPr>
        <w:spacing w:line="560" w:lineRule="exact"/>
        <w:ind w:firstLine="600" w:firstLineChars="200"/>
        <w:rPr>
          <w:rFonts w:ascii="仿宋_GB2312" w:hAnsi="仿宋" w:eastAsia="仿宋_GB2312" w:cs="仿宋"/>
          <w:sz w:val="30"/>
          <w:szCs w:val="30"/>
        </w:rPr>
      </w:pPr>
      <w:r>
        <w:rPr>
          <w:rFonts w:hint="eastAsia" w:ascii="仿宋_GB2312" w:hAnsi="宋体" w:eastAsia="仿宋_GB2312"/>
          <w:sz w:val="30"/>
          <w:szCs w:val="30"/>
        </w:rPr>
        <w:t>本赛项开设五届以来，始终</w:t>
      </w:r>
      <w:r>
        <w:rPr>
          <w:rFonts w:ascii="仿宋_GB2312" w:hAnsi="宋体" w:eastAsia="仿宋_GB2312"/>
          <w:sz w:val="30"/>
          <w:szCs w:val="30"/>
        </w:rPr>
        <w:t>坚持公开、公平、公正</w:t>
      </w:r>
      <w:r>
        <w:rPr>
          <w:rFonts w:hint="eastAsia" w:ascii="仿宋_GB2312" w:hAnsi="宋体" w:eastAsia="仿宋_GB2312"/>
          <w:sz w:val="30"/>
          <w:szCs w:val="30"/>
        </w:rPr>
        <w:t>，</w:t>
      </w:r>
      <w:r>
        <w:rPr>
          <w:rFonts w:hint="eastAsia" w:ascii="仿宋_GB2312" w:hAnsi="仿宋" w:eastAsia="仿宋_GB2312" w:cs="仿宋"/>
          <w:sz w:val="30"/>
          <w:szCs w:val="30"/>
        </w:rPr>
        <w:t>引入健康、安全、环保标准原则，借鉴世界技能大赛精神，为职业素养、协作精神、创新意识的培养寻找载体和评价方式。</w:t>
      </w:r>
    </w:p>
    <w:p>
      <w:pPr>
        <w:snapToGrid w:val="0"/>
        <w:spacing w:line="560" w:lineRule="exact"/>
        <w:ind w:firstLine="602" w:firstLineChars="200"/>
        <w:rPr>
          <w:rFonts w:ascii="仿宋_GB2312" w:hAnsi="宋体" w:eastAsia="仿宋_GB2312"/>
          <w:sz w:val="30"/>
          <w:szCs w:val="30"/>
        </w:rPr>
      </w:pPr>
      <w:r>
        <w:rPr>
          <w:rFonts w:hint="eastAsia" w:ascii="仿宋_GB2312" w:hAnsi="仿宋" w:eastAsia="仿宋_GB2312" w:cs="仿宋"/>
          <w:b/>
          <w:bCs/>
          <w:sz w:val="30"/>
          <w:szCs w:val="30"/>
        </w:rPr>
        <w:t>命题设计公开化</w:t>
      </w:r>
      <w:r>
        <w:rPr>
          <w:rFonts w:hint="eastAsia" w:ascii="仿宋_GB2312" w:hAnsi="仿宋" w:eastAsia="仿宋_GB2312" w:cs="仿宋"/>
          <w:sz w:val="30"/>
          <w:szCs w:val="30"/>
        </w:rPr>
        <w:t>。</w:t>
      </w:r>
      <w:r>
        <w:rPr>
          <w:rFonts w:hint="eastAsia" w:ascii="仿宋_GB2312" w:hAnsi="宋体" w:eastAsia="仿宋_GB2312"/>
          <w:sz w:val="30"/>
          <w:szCs w:val="30"/>
        </w:rPr>
        <w:t>赛前公开赛项技术文件，公开竞赛题库、评分标准等；赛前召开赛项技术说明会，明确操作工艺规范和评分要求，专家与指导教师面对面交流。</w:t>
      </w:r>
    </w:p>
    <w:p>
      <w:pPr>
        <w:snapToGrid w:val="0"/>
        <w:spacing w:line="560" w:lineRule="exact"/>
        <w:ind w:firstLine="602" w:firstLineChars="200"/>
        <w:rPr>
          <w:rFonts w:ascii="仿宋_GB2312" w:hAnsi="仿宋" w:eastAsia="仿宋_GB2312" w:cs="仿宋"/>
          <w:sz w:val="30"/>
          <w:szCs w:val="30"/>
        </w:rPr>
      </w:pPr>
      <w:r>
        <w:rPr>
          <w:rFonts w:hint="eastAsia" w:ascii="仿宋_GB2312" w:hAnsi="仿宋" w:eastAsia="仿宋_GB2312" w:cs="仿宋"/>
          <w:b/>
          <w:bCs/>
          <w:sz w:val="30"/>
          <w:szCs w:val="30"/>
        </w:rPr>
        <w:t>赛场设计公开化。</w:t>
      </w:r>
      <w:r>
        <w:rPr>
          <w:rFonts w:hint="eastAsia" w:ascii="仿宋_GB2312" w:hAnsi="仿宋" w:eastAsia="仿宋_GB2312" w:cs="仿宋"/>
          <w:sz w:val="30"/>
          <w:szCs w:val="30"/>
        </w:rPr>
        <w:t>竞赛项目有独立的竞赛场地，竞赛场地的布局体现功能区域，竞赛场地采取开放式设计，方便参观者观摩。为更好宣传技能，使参观者更好的参观选手表现。</w:t>
      </w:r>
    </w:p>
    <w:p>
      <w:pPr>
        <w:snapToGrid w:val="0"/>
        <w:spacing w:line="560" w:lineRule="exact"/>
        <w:ind w:firstLine="602" w:firstLineChars="200"/>
        <w:rPr>
          <w:rFonts w:ascii="仿宋_GB2312" w:hAnsi="宋体" w:eastAsia="仿宋_GB2312"/>
          <w:sz w:val="30"/>
          <w:szCs w:val="30"/>
        </w:rPr>
      </w:pPr>
      <w:r>
        <w:rPr>
          <w:rFonts w:hint="eastAsia" w:ascii="仿宋_GB2312" w:hAnsi="仿宋" w:eastAsia="仿宋_GB2312" w:cs="仿宋"/>
          <w:b/>
          <w:bCs/>
          <w:sz w:val="30"/>
          <w:szCs w:val="30"/>
        </w:rPr>
        <w:t>赛程设计公正化。</w:t>
      </w:r>
      <w:r>
        <w:rPr>
          <w:rFonts w:hint="eastAsia" w:ascii="仿宋_GB2312" w:hAnsi="仿宋" w:eastAsia="仿宋_GB2312" w:cs="仿宋"/>
          <w:sz w:val="30"/>
          <w:szCs w:val="30"/>
        </w:rPr>
        <w:t>赛前专家组长主持赛项技术说明会，所有指导教师和专家均参与，专家负责答疑</w:t>
      </w:r>
      <w:r>
        <w:rPr>
          <w:rFonts w:hint="eastAsia" w:ascii="仿宋_GB2312" w:hAnsi="仿宋" w:eastAsia="仿宋_GB2312"/>
          <w:sz w:val="30"/>
          <w:szCs w:val="30"/>
        </w:rPr>
        <w:t>，统一形式和标准</w:t>
      </w:r>
      <w:r>
        <w:rPr>
          <w:rFonts w:hint="eastAsia" w:ascii="仿宋_GB2312" w:hAnsi="仿宋" w:eastAsia="仿宋_GB2312" w:cs="仿宋"/>
          <w:sz w:val="30"/>
          <w:szCs w:val="30"/>
        </w:rPr>
        <w:t>；</w:t>
      </w:r>
      <w:r>
        <w:rPr>
          <w:rFonts w:hint="eastAsia" w:ascii="仿宋_GB2312" w:hAnsi="仿宋" w:eastAsia="仿宋_GB2312"/>
          <w:sz w:val="30"/>
          <w:szCs w:val="30"/>
        </w:rPr>
        <w:t>赛中，需经两次加密确认选手工位号，同时要求试卷上只能出现工位号，不得含有个人信息。所有加密结果密封袋的封条均由相应加密裁判和监督人员签字，且放置于保密室的保险柜中。同时，任何通信、存储、记录等设备禁止带入赛场，实施一票否决制。赛后，在裁判长正式提交赛位号评分结果后，加密裁判才在监督人员监督下对加密结果进行逐一层层逆向解密，解密后形成最终成绩单，确保未解密前无人知道选手信息。</w:t>
      </w:r>
    </w:p>
    <w:p>
      <w:pPr>
        <w:snapToGrid w:val="0"/>
        <w:spacing w:line="560" w:lineRule="exact"/>
        <w:ind w:firstLine="602" w:firstLineChars="200"/>
        <w:jc w:val="left"/>
        <w:rPr>
          <w:rFonts w:ascii="仿宋_GB2312" w:hAnsi="宋体" w:eastAsia="仿宋_GB2312" w:cs="Arial"/>
          <w:kern w:val="0"/>
          <w:sz w:val="30"/>
          <w:szCs w:val="30"/>
        </w:rPr>
      </w:pPr>
      <w:r>
        <w:rPr>
          <w:rFonts w:hint="eastAsia" w:ascii="仿宋_GB2312" w:hAnsi="仿宋" w:eastAsia="仿宋_GB2312" w:cs="仿宋"/>
          <w:b/>
          <w:bCs/>
          <w:sz w:val="30"/>
          <w:szCs w:val="30"/>
        </w:rPr>
        <w:t>评判设计公平化。</w:t>
      </w:r>
      <w:r>
        <w:rPr>
          <w:rFonts w:hint="eastAsia" w:ascii="仿宋_GB2312" w:hAnsi="仿宋" w:eastAsia="仿宋_GB2312" w:cs="仿宋"/>
          <w:sz w:val="30"/>
          <w:szCs w:val="30"/>
        </w:rPr>
        <w:t>裁判长将所有的现场裁判进行分组，执行不同模块或类型的分数测评，每组裁判人数有具体要求，裁判实施回避原则。客观分评判需要3名以上的专家评委对选手比赛结果进行客观分数评判，通过结果观测、工具测量、效果量化评估等方面进行评估，项目专家对结果进行签字。主观分评判需要5名以上的专家评委对选手过程及主管结果进行打分。</w:t>
      </w:r>
    </w:p>
    <w:p>
      <w:pPr>
        <w:snapToGrid w:val="0"/>
        <w:spacing w:line="560" w:lineRule="exact"/>
        <w:ind w:firstLine="602" w:firstLineChars="200"/>
        <w:rPr>
          <w:rFonts w:ascii="Arial Narrow" w:hAnsi="Arial Narrow" w:eastAsia="仿宋_GB2312" w:cs="Arial"/>
          <w:b/>
          <w:sz w:val="30"/>
          <w:szCs w:val="30"/>
        </w:rPr>
      </w:pPr>
      <w:r>
        <w:rPr>
          <w:rFonts w:hint="eastAsia" w:ascii="Arial Narrow" w:hAnsi="Arial Narrow" w:eastAsia="仿宋_GB2312" w:cs="Arial"/>
          <w:b/>
          <w:sz w:val="30"/>
          <w:szCs w:val="30"/>
        </w:rPr>
        <w:t>（二）</w:t>
      </w:r>
      <w:r>
        <w:rPr>
          <w:rFonts w:ascii="Arial Narrow" w:hAnsi="Arial Narrow" w:eastAsia="仿宋_GB2312" w:cs="Arial"/>
          <w:b/>
          <w:sz w:val="30"/>
          <w:szCs w:val="30"/>
        </w:rPr>
        <w:t>赛项关联职业岗位面广、人才需求量大、职业院校开设专业点多</w:t>
      </w:r>
      <w:r>
        <w:rPr>
          <w:rFonts w:hint="eastAsia" w:ascii="Arial Narrow" w:hAnsi="Arial Narrow" w:eastAsia="仿宋_GB2312" w:cs="Arial"/>
          <w:b/>
          <w:sz w:val="30"/>
          <w:szCs w:val="30"/>
        </w:rPr>
        <w:t>，服务国家重点战略。</w:t>
      </w:r>
    </w:p>
    <w:p>
      <w:pPr>
        <w:snapToGrid w:val="0"/>
        <w:spacing w:line="56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电梯已与每个人的工作和生活息息相关，赛项所涉及岗位面向工业建筑、民用建筑、楼宇自动化、生产制造业、轨道交通等众多领域。</w:t>
      </w:r>
    </w:p>
    <w:p>
      <w:pPr>
        <w:snapToGrid w:val="0"/>
        <w:spacing w:line="56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赛项人才需求量大，国家市场监督管理总局关于2017年全国特种设备安全状况情况的通报，</w:t>
      </w:r>
      <w:r>
        <w:rPr>
          <w:rFonts w:ascii="仿宋_GB2312" w:hAnsi="宋体" w:eastAsia="仿宋_GB2312" w:cs="Arial"/>
          <w:kern w:val="0"/>
          <w:sz w:val="30"/>
          <w:szCs w:val="30"/>
        </w:rPr>
        <w:t>截至201</w:t>
      </w:r>
      <w:r>
        <w:rPr>
          <w:rFonts w:hint="eastAsia" w:ascii="仿宋_GB2312" w:hAnsi="宋体" w:eastAsia="仿宋_GB2312" w:cs="Arial"/>
          <w:kern w:val="0"/>
          <w:sz w:val="30"/>
          <w:szCs w:val="30"/>
        </w:rPr>
        <w:t>7</w:t>
      </w:r>
      <w:r>
        <w:rPr>
          <w:rFonts w:ascii="仿宋_GB2312" w:hAnsi="宋体" w:eastAsia="仿宋_GB2312" w:cs="Arial"/>
          <w:kern w:val="0"/>
          <w:sz w:val="30"/>
          <w:szCs w:val="30"/>
        </w:rPr>
        <w:t>年底,全国</w:t>
      </w:r>
      <w:r>
        <w:rPr>
          <w:rFonts w:hint="eastAsia" w:ascii="仿宋_GB2312" w:hAnsi="宋体" w:eastAsia="仿宋_GB2312" w:cs="Arial"/>
          <w:kern w:val="0"/>
          <w:sz w:val="30"/>
          <w:szCs w:val="30"/>
        </w:rPr>
        <w:t>共有在用</w:t>
      </w:r>
      <w:r>
        <w:rPr>
          <w:rFonts w:ascii="仿宋_GB2312" w:hAnsi="宋体" w:eastAsia="仿宋_GB2312" w:cs="Arial"/>
          <w:kern w:val="0"/>
          <w:sz w:val="30"/>
          <w:szCs w:val="30"/>
        </w:rPr>
        <w:t>电梯</w:t>
      </w:r>
      <w:r>
        <w:rPr>
          <w:rFonts w:hint="eastAsia" w:ascii="仿宋_GB2312" w:hAnsi="宋体" w:eastAsia="仿宋_GB2312" w:cs="Arial"/>
          <w:kern w:val="0"/>
          <w:sz w:val="30"/>
          <w:szCs w:val="30"/>
        </w:rPr>
        <w:t>数量达562.7</w:t>
      </w:r>
      <w:r>
        <w:rPr>
          <w:rFonts w:ascii="仿宋_GB2312" w:hAnsi="宋体" w:eastAsia="仿宋_GB2312" w:cs="Arial"/>
          <w:kern w:val="0"/>
          <w:sz w:val="30"/>
          <w:szCs w:val="30"/>
        </w:rPr>
        <w:t>万台,电梯保有量、年产量、年增长量均位列世界第一。</w:t>
      </w:r>
      <w:r>
        <w:rPr>
          <w:rFonts w:hint="eastAsia" w:ascii="仿宋_GB2312" w:hAnsi="宋体" w:eastAsia="仿宋_GB2312" w:cs="Arial"/>
          <w:kern w:val="0"/>
          <w:sz w:val="30"/>
          <w:szCs w:val="30"/>
        </w:rPr>
        <w:t>2017全国共发生电梯事故56起，百度检索“电梯事故”相关报道600多万条。我国</w:t>
      </w:r>
      <w:r>
        <w:rPr>
          <w:rFonts w:ascii="仿宋_GB2312" w:hAnsi="宋体" w:eastAsia="仿宋_GB2312" w:cs="Arial"/>
          <w:kern w:val="0"/>
          <w:sz w:val="30"/>
          <w:szCs w:val="30"/>
        </w:rPr>
        <w:t>电梯</w:t>
      </w:r>
      <w:r>
        <w:rPr>
          <w:rFonts w:hint="eastAsia" w:ascii="仿宋_GB2312" w:hAnsi="宋体" w:eastAsia="仿宋_GB2312" w:cs="Arial"/>
          <w:kern w:val="0"/>
          <w:sz w:val="30"/>
          <w:szCs w:val="30"/>
        </w:rPr>
        <w:t>高负荷、大运量、长周期使用普遍存在，老旧电梯</w:t>
      </w:r>
      <w:r>
        <w:rPr>
          <w:rFonts w:ascii="仿宋_GB2312" w:hAnsi="宋体" w:eastAsia="仿宋_GB2312" w:cs="Arial"/>
          <w:kern w:val="0"/>
          <w:sz w:val="30"/>
          <w:szCs w:val="30"/>
        </w:rPr>
        <w:t>数量激增</w:t>
      </w:r>
      <w:r>
        <w:rPr>
          <w:rFonts w:hint="eastAsia" w:ascii="仿宋_GB2312" w:hAnsi="宋体" w:eastAsia="仿宋_GB2312" w:cs="Arial"/>
          <w:kern w:val="0"/>
          <w:sz w:val="30"/>
          <w:szCs w:val="30"/>
        </w:rPr>
        <w:t>，国家规定每十五天检修保养一次，</w:t>
      </w:r>
      <w:r>
        <w:rPr>
          <w:rFonts w:ascii="仿宋_GB2312" w:hAnsi="宋体" w:eastAsia="仿宋_GB2312" w:cs="Arial"/>
          <w:kern w:val="0"/>
          <w:sz w:val="30"/>
          <w:szCs w:val="30"/>
        </w:rPr>
        <w:t>每年还要有两次专项保养，且每次维保必须有两名工作人员到场，</w:t>
      </w:r>
      <w:r>
        <w:rPr>
          <w:rFonts w:hint="eastAsia" w:ascii="仿宋_GB2312" w:hAnsi="宋体" w:eastAsia="仿宋_GB2312" w:cs="Arial"/>
          <w:kern w:val="0"/>
          <w:sz w:val="30"/>
          <w:szCs w:val="30"/>
        </w:rPr>
        <w:t>并要由持证上岗的检修保养人员负责，同时还需进行一年一次的年检。电梯行业业内的统计数据显示，全国电梯从业人员的缺口在百万，维修人员占近2/3，电梯</w:t>
      </w:r>
      <w:r>
        <w:rPr>
          <w:rFonts w:ascii="仿宋_GB2312" w:hAnsi="宋体" w:eastAsia="仿宋_GB2312" w:cs="Arial"/>
          <w:kern w:val="0"/>
          <w:sz w:val="30"/>
          <w:szCs w:val="30"/>
        </w:rPr>
        <w:t>维保</w:t>
      </w:r>
      <w:r>
        <w:rPr>
          <w:rFonts w:hint="eastAsia" w:ascii="仿宋_GB2312" w:hAnsi="宋体" w:eastAsia="仿宋_GB2312" w:cs="Arial"/>
          <w:kern w:val="0"/>
          <w:sz w:val="30"/>
          <w:szCs w:val="30"/>
        </w:rPr>
        <w:t>不到位、</w:t>
      </w:r>
      <w:r>
        <w:rPr>
          <w:rFonts w:ascii="仿宋_GB2312" w:hAnsi="宋体" w:eastAsia="仿宋_GB2312" w:cs="Arial"/>
          <w:kern w:val="0"/>
          <w:sz w:val="30"/>
          <w:szCs w:val="30"/>
        </w:rPr>
        <w:t>维保</w:t>
      </w:r>
      <w:r>
        <w:rPr>
          <w:rFonts w:hint="eastAsia" w:ascii="仿宋_GB2312" w:hAnsi="宋体" w:eastAsia="仿宋_GB2312" w:cs="Arial"/>
          <w:kern w:val="0"/>
          <w:sz w:val="30"/>
          <w:szCs w:val="30"/>
        </w:rPr>
        <w:t>人员</w:t>
      </w:r>
      <w:r>
        <w:rPr>
          <w:rFonts w:ascii="仿宋_GB2312" w:hAnsi="宋体" w:eastAsia="仿宋_GB2312" w:cs="Arial"/>
          <w:kern w:val="0"/>
          <w:sz w:val="30"/>
          <w:szCs w:val="30"/>
        </w:rPr>
        <w:t>技术水平低</w:t>
      </w:r>
      <w:r>
        <w:rPr>
          <w:rFonts w:hint="eastAsia" w:ascii="仿宋_GB2312" w:hAnsi="宋体" w:eastAsia="仿宋_GB2312" w:cs="Arial"/>
          <w:kern w:val="0"/>
          <w:sz w:val="30"/>
          <w:szCs w:val="30"/>
        </w:rPr>
        <w:t>，是造成电梯事故和故障的主要原因。</w:t>
      </w:r>
    </w:p>
    <w:p>
      <w:pPr>
        <w:snapToGrid w:val="0"/>
        <w:spacing w:line="56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目前，多数高职院校开设的“电梯工程技术”、“楼宇智能化工程技术”、“电气自动化”、“机电一体化”、“机械制造与自动化”等专业均有包含电梯项目在内的实训课程。部分省市通过成立“行、校、企共建电梯从业人员培训基地”、校企合作“电梯班”等模式加快电梯从业人员培养。</w:t>
      </w:r>
    </w:p>
    <w:p>
      <w:pPr>
        <w:snapToGrid w:val="0"/>
        <w:spacing w:line="560" w:lineRule="exact"/>
        <w:ind w:firstLine="602" w:firstLineChars="200"/>
        <w:rPr>
          <w:rFonts w:ascii="Arial Narrow" w:hAnsi="Arial Narrow" w:eastAsia="仿宋_GB2312" w:cs="Arial"/>
          <w:b/>
          <w:sz w:val="30"/>
          <w:szCs w:val="30"/>
        </w:rPr>
      </w:pPr>
      <w:r>
        <w:rPr>
          <w:rFonts w:ascii="Arial Narrow" w:hAnsi="Arial Narrow" w:eastAsia="仿宋_GB2312" w:cs="Arial"/>
          <w:b/>
          <w:sz w:val="30"/>
          <w:szCs w:val="30"/>
        </w:rPr>
        <w:t>（三）竞赛内容对应相关职业岗位或岗位群、体现专业核心能力与核心知识、涵盖丰富的专业知识与专业技能点</w:t>
      </w:r>
      <w:r>
        <w:rPr>
          <w:rFonts w:hint="eastAsia" w:ascii="Arial Narrow" w:hAnsi="Arial Narrow" w:eastAsia="仿宋_GB2312" w:cs="Arial"/>
          <w:b/>
          <w:sz w:val="30"/>
          <w:szCs w:val="30"/>
        </w:rPr>
        <w:t>。</w:t>
      </w:r>
    </w:p>
    <w:p>
      <w:pPr>
        <w:snapToGrid w:val="0"/>
        <w:spacing w:line="56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赛项专业岗位面向包括电梯设备的制造、安装、改造、调试、维修、保养及外围设备保障的操作与维护等，所针对的职业工种为电梯安装维修工，其职业编码为13-036（A），该职业共设5个等级，分别为国家职业资格五级、四级、三级、二级和一级。涉及电梯技术的电气控制原理图识图、电气控制原理图设计与绘制、电梯机构安装与检测装置调整、电梯电气控制柜器件的安装与线路连接、群控电梯控制程序设计与调试、电梯监控系统设计与调试、电梯故障诊断与排除等专业核心能力和技能点；以及</w:t>
      </w:r>
      <w:r>
        <w:rPr>
          <w:rFonts w:ascii="仿宋_GB2312" w:hAnsi="宋体" w:eastAsia="仿宋_GB2312" w:cs="Arial"/>
          <w:kern w:val="0"/>
          <w:sz w:val="30"/>
          <w:szCs w:val="30"/>
        </w:rPr>
        <w:t>传感</w:t>
      </w:r>
      <w:r>
        <w:rPr>
          <w:rFonts w:hint="eastAsia" w:ascii="仿宋_GB2312" w:hAnsi="宋体" w:eastAsia="仿宋_GB2312" w:cs="Arial"/>
          <w:kern w:val="0"/>
          <w:sz w:val="30"/>
          <w:szCs w:val="30"/>
        </w:rPr>
        <w:t>检测</w:t>
      </w:r>
      <w:r>
        <w:rPr>
          <w:rFonts w:ascii="仿宋_GB2312" w:hAnsi="宋体" w:eastAsia="仿宋_GB2312" w:cs="Arial"/>
          <w:kern w:val="0"/>
          <w:sz w:val="30"/>
          <w:szCs w:val="30"/>
        </w:rPr>
        <w:t>、</w:t>
      </w:r>
      <w:r>
        <w:rPr>
          <w:rFonts w:hint="eastAsia" w:ascii="仿宋_GB2312" w:hAnsi="宋体" w:eastAsia="仿宋_GB2312" w:cs="Arial"/>
          <w:kern w:val="0"/>
          <w:sz w:val="30"/>
          <w:szCs w:val="30"/>
        </w:rPr>
        <w:t>电机驱动、PLC编程、工业网络技术、变频器调速、</w:t>
      </w:r>
      <w:r>
        <w:rPr>
          <w:rFonts w:ascii="仿宋_GB2312" w:hAnsi="宋体" w:eastAsia="仿宋_GB2312" w:cs="Arial"/>
          <w:kern w:val="0"/>
          <w:sz w:val="30"/>
          <w:szCs w:val="30"/>
        </w:rPr>
        <w:t>人机界面</w:t>
      </w:r>
      <w:r>
        <w:rPr>
          <w:rFonts w:hint="eastAsia" w:ascii="仿宋_GB2312" w:hAnsi="宋体" w:eastAsia="仿宋_GB2312" w:cs="Arial"/>
          <w:kern w:val="0"/>
          <w:sz w:val="30"/>
          <w:szCs w:val="30"/>
        </w:rPr>
        <w:t>工程设计</w:t>
      </w:r>
      <w:r>
        <w:rPr>
          <w:rFonts w:ascii="仿宋_GB2312" w:hAnsi="宋体" w:eastAsia="仿宋_GB2312" w:cs="Arial"/>
          <w:kern w:val="0"/>
          <w:sz w:val="30"/>
          <w:szCs w:val="30"/>
        </w:rPr>
        <w:t>等</w:t>
      </w:r>
      <w:r>
        <w:rPr>
          <w:rFonts w:hint="eastAsia" w:ascii="仿宋_GB2312" w:hAnsi="宋体" w:eastAsia="仿宋_GB2312" w:cs="Arial"/>
          <w:kern w:val="0"/>
          <w:sz w:val="30"/>
          <w:szCs w:val="30"/>
        </w:rPr>
        <w:t>专业</w:t>
      </w:r>
      <w:r>
        <w:rPr>
          <w:rFonts w:ascii="仿宋_GB2312" w:hAnsi="宋体" w:eastAsia="仿宋_GB2312" w:cs="Arial"/>
          <w:kern w:val="0"/>
          <w:sz w:val="30"/>
          <w:szCs w:val="30"/>
        </w:rPr>
        <w:t>核心知识</w:t>
      </w:r>
      <w:r>
        <w:rPr>
          <w:rFonts w:hint="eastAsia" w:ascii="仿宋_GB2312" w:hAnsi="宋体" w:eastAsia="仿宋_GB2312" w:cs="Arial"/>
          <w:kern w:val="0"/>
          <w:sz w:val="30"/>
          <w:szCs w:val="30"/>
        </w:rPr>
        <w:t>。</w:t>
      </w:r>
    </w:p>
    <w:p>
      <w:pPr>
        <w:rPr>
          <w:rFonts w:ascii="宋体" w:cs="宋体" w:hAnsiTheme="minorHAnsi"/>
          <w:color w:val="000000"/>
          <w:kern w:val="0"/>
          <w:sz w:val="24"/>
          <w:szCs w:val="24"/>
          <w:lang w:val="zh-CN"/>
        </w:rPr>
      </w:pPr>
      <w:r>
        <w:rPr>
          <w:rFonts w:hint="eastAsia" w:ascii="宋体" w:cs="宋体" w:hAnsiTheme="minorHAnsi"/>
          <w:color w:val="000000"/>
          <w:kern w:val="0"/>
          <w:sz w:val="24"/>
          <w:szCs w:val="24"/>
          <w:lang w:val="zh-CN"/>
        </w:rPr>
        <w:object>
          <v:shape id="_x0000_i1025" o:spt="75" type="#_x0000_t75" style="height:141.95pt;width:412.3pt;" o:ole="t" filled="f" o:preferrelative="t" stroked="f" coordsize="21600,21600">
            <v:path/>
            <v:fill on="f" focussize="0,0"/>
            <v:stroke on="f" joinstyle="miter"/>
            <v:imagedata r:id="rId8" o:title=""/>
            <o:lock v:ext="edit" aspectratio="t"/>
            <w10:wrap type="none"/>
            <w10:anchorlock/>
          </v:shape>
          <o:OLEObject Type="Embed" ProgID="Picture.PicObj.1" ShapeID="_x0000_i1025" DrawAspect="Content" ObjectID="_1468075725" r:id="rId7">
            <o:LockedField>false</o:LockedField>
          </o:OLEObject>
        </w:object>
      </w:r>
    </w:p>
    <w:p>
      <w:pPr>
        <w:ind w:firstLine="482" w:firstLineChars="200"/>
        <w:rPr>
          <w:rFonts w:ascii="仿宋_GB2312" w:hAnsi="宋体" w:eastAsia="仿宋_GB2312"/>
          <w:color w:val="FF0000"/>
          <w:sz w:val="24"/>
          <w:szCs w:val="24"/>
        </w:rPr>
      </w:pPr>
      <w:r>
        <w:rPr>
          <w:rFonts w:hint="eastAsia" w:ascii="楷体_GB2312" w:eastAsia="楷体_GB2312" w:cs="宋体"/>
          <w:b/>
          <w:color w:val="1D05CD"/>
          <w:kern w:val="0"/>
          <w:sz w:val="24"/>
          <w:szCs w:val="24"/>
        </w:rPr>
        <w:t>西子奥的斯电梯生产车间         电梯内呼面板      仿真电梯轿厢</w:t>
      </w:r>
    </w:p>
    <w:p>
      <w:pPr>
        <w:snapToGrid w:val="0"/>
        <w:spacing w:line="560" w:lineRule="exact"/>
        <w:ind w:firstLine="602" w:firstLineChars="200"/>
        <w:jc w:val="left"/>
        <w:rPr>
          <w:rFonts w:ascii="仿宋_GB2312" w:hAnsi="宋体" w:eastAsia="仿宋_GB2312" w:cs="Arial"/>
          <w:b/>
          <w:kern w:val="0"/>
          <w:sz w:val="30"/>
          <w:szCs w:val="30"/>
        </w:rPr>
      </w:pPr>
      <w:r>
        <w:rPr>
          <w:rFonts w:hint="eastAsia" w:ascii="仿宋_GB2312" w:hAnsi="宋体" w:eastAsia="仿宋_GB2312" w:cs="Arial"/>
          <w:b/>
          <w:kern w:val="0"/>
          <w:sz w:val="30"/>
          <w:szCs w:val="30"/>
        </w:rPr>
        <w:t>（四）竞赛平台成熟</w:t>
      </w:r>
    </w:p>
    <w:p>
      <w:pPr>
        <w:snapToGrid w:val="0"/>
        <w:spacing w:line="56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竞赛平台依据高等职业院校“智能电梯装调与维护”培养目标，紧贴行业和企业标准，紧密结合行业和企业实际岗位能力要求，注重技术应用能力培养，把机械和自动控制系统有效融合，满足日常实训教学及企业岗前培训。</w:t>
      </w:r>
    </w:p>
    <w:p>
      <w:pPr>
        <w:snapToGrid w:val="0"/>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竞赛平台于2012/2013/2015/2017/2018年成功举办了五届全国职业院校技能大赛</w:t>
      </w:r>
      <w:r>
        <w:rPr>
          <w:rFonts w:hint="eastAsia" w:ascii="仿宋_GB2312" w:hAnsi="宋体" w:eastAsia="仿宋_GB2312" w:cs="Arial"/>
          <w:kern w:val="0"/>
          <w:sz w:val="30"/>
          <w:szCs w:val="30"/>
        </w:rPr>
        <w:t>高职组“智能电梯装调与维护”赛项</w:t>
      </w:r>
      <w:r>
        <w:rPr>
          <w:rFonts w:hint="eastAsia" w:ascii="仿宋_GB2312" w:hAnsi="宋体" w:eastAsia="仿宋_GB2312"/>
          <w:sz w:val="30"/>
          <w:szCs w:val="30"/>
        </w:rPr>
        <w:t>，和全国多个省市的选拔赛，受到广大院校的一致好评。</w:t>
      </w:r>
      <w:r>
        <w:rPr>
          <w:rFonts w:hint="eastAsia" w:ascii="仿宋_GB2312" w:hAnsi="宋体" w:eastAsia="仿宋_GB2312" w:cs="Arial"/>
          <w:kern w:val="0"/>
          <w:sz w:val="30"/>
          <w:szCs w:val="30"/>
        </w:rPr>
        <w:t>结合竞赛设备编写适合于高职教学的“智能电梯装调与维护”立体化教材，专业教学指导性强，被广大院校广泛采用。</w:t>
      </w:r>
    </w:p>
    <w:tbl>
      <w:tblPr>
        <w:tblStyle w:val="9"/>
        <w:tblW w:w="918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5"/>
        <w:gridCol w:w="732"/>
        <w:gridCol w:w="2532"/>
        <w:gridCol w:w="1244"/>
        <w:gridCol w:w="382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22" w:hRule="atLeast"/>
        </w:trPr>
        <w:tc>
          <w:tcPr>
            <w:tcW w:w="845" w:type="dxa"/>
            <w:vAlign w:val="center"/>
          </w:tcPr>
          <w:p>
            <w:pPr>
              <w:jc w:val="center"/>
              <w:rPr>
                <w:rFonts w:ascii="宋体" w:hAnsi="宋体" w:cs="宋体"/>
                <w:b/>
                <w:sz w:val="24"/>
                <w:szCs w:val="24"/>
              </w:rPr>
            </w:pPr>
            <w:r>
              <w:rPr>
                <w:rFonts w:hint="eastAsia" w:ascii="宋体" w:hAnsi="宋体" w:cs="宋体"/>
                <w:b/>
                <w:sz w:val="24"/>
                <w:szCs w:val="24"/>
              </w:rPr>
              <w:t>序号</w:t>
            </w:r>
          </w:p>
        </w:tc>
        <w:tc>
          <w:tcPr>
            <w:tcW w:w="732" w:type="dxa"/>
            <w:vAlign w:val="center"/>
          </w:tcPr>
          <w:p>
            <w:pPr>
              <w:jc w:val="center"/>
              <w:rPr>
                <w:rFonts w:ascii="宋体" w:hAnsi="宋体" w:cs="宋体"/>
                <w:b/>
                <w:sz w:val="24"/>
                <w:szCs w:val="24"/>
              </w:rPr>
            </w:pPr>
            <w:r>
              <w:rPr>
                <w:rFonts w:hint="eastAsia" w:ascii="宋体" w:hAnsi="宋体" w:cs="宋体"/>
                <w:b/>
                <w:sz w:val="24"/>
                <w:szCs w:val="24"/>
              </w:rPr>
              <w:t>类型</w:t>
            </w:r>
          </w:p>
        </w:tc>
        <w:tc>
          <w:tcPr>
            <w:tcW w:w="2532" w:type="dxa"/>
            <w:vAlign w:val="center"/>
          </w:tcPr>
          <w:p>
            <w:pPr>
              <w:jc w:val="center"/>
              <w:rPr>
                <w:rFonts w:ascii="宋体" w:hAnsi="宋体" w:cs="宋体"/>
                <w:b/>
                <w:sz w:val="24"/>
                <w:szCs w:val="24"/>
              </w:rPr>
            </w:pPr>
            <w:r>
              <w:rPr>
                <w:rFonts w:hint="eastAsia" w:ascii="宋体" w:hAnsi="宋体" w:cs="宋体"/>
                <w:b/>
                <w:sz w:val="24"/>
                <w:szCs w:val="24"/>
              </w:rPr>
              <w:t>竞赛名称</w:t>
            </w:r>
          </w:p>
        </w:tc>
        <w:tc>
          <w:tcPr>
            <w:tcW w:w="1244" w:type="dxa"/>
            <w:vAlign w:val="center"/>
          </w:tcPr>
          <w:p>
            <w:pPr>
              <w:jc w:val="center"/>
              <w:rPr>
                <w:rFonts w:ascii="宋体" w:hAnsi="宋体" w:cs="宋体"/>
                <w:b/>
                <w:sz w:val="24"/>
                <w:szCs w:val="24"/>
              </w:rPr>
            </w:pPr>
            <w:r>
              <w:rPr>
                <w:rFonts w:hint="eastAsia" w:ascii="宋体" w:hAnsi="宋体" w:cs="宋体"/>
                <w:b/>
                <w:sz w:val="24"/>
                <w:szCs w:val="24"/>
              </w:rPr>
              <w:t>参数人数</w:t>
            </w:r>
          </w:p>
        </w:tc>
        <w:tc>
          <w:tcPr>
            <w:tcW w:w="3827" w:type="dxa"/>
            <w:vAlign w:val="center"/>
          </w:tcPr>
          <w:p>
            <w:pPr>
              <w:jc w:val="center"/>
              <w:rPr>
                <w:rFonts w:ascii="宋体" w:hAnsi="宋体" w:cs="宋体"/>
                <w:b/>
                <w:sz w:val="24"/>
                <w:szCs w:val="24"/>
              </w:rPr>
            </w:pPr>
            <w:r>
              <w:rPr>
                <w:rFonts w:hint="eastAsia" w:ascii="宋体" w:hAnsi="宋体" w:cs="宋体"/>
                <w:b/>
                <w:sz w:val="24"/>
                <w:szCs w:val="24"/>
              </w:rPr>
              <w:t>赛场照片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22" w:hRule="atLeast"/>
        </w:trPr>
        <w:tc>
          <w:tcPr>
            <w:tcW w:w="845" w:type="dxa"/>
            <w:vAlign w:val="center"/>
          </w:tcPr>
          <w:p>
            <w:pPr>
              <w:jc w:val="center"/>
              <w:rPr>
                <w:rFonts w:ascii="宋体" w:hAnsi="宋体" w:cs="宋体"/>
                <w:sz w:val="24"/>
                <w:szCs w:val="24"/>
              </w:rPr>
            </w:pPr>
            <w:r>
              <w:rPr>
                <w:rFonts w:hint="eastAsia" w:ascii="宋体" w:hAnsi="宋体" w:cs="宋体"/>
                <w:sz w:val="24"/>
                <w:szCs w:val="24"/>
              </w:rPr>
              <w:t>1</w:t>
            </w:r>
          </w:p>
        </w:tc>
        <w:tc>
          <w:tcPr>
            <w:tcW w:w="732" w:type="dxa"/>
            <w:vAlign w:val="center"/>
          </w:tcPr>
          <w:p>
            <w:pPr>
              <w:jc w:val="center"/>
              <w:rPr>
                <w:rFonts w:ascii="宋体" w:hAnsi="宋体" w:cs="宋体"/>
                <w:sz w:val="24"/>
                <w:szCs w:val="24"/>
              </w:rPr>
            </w:pPr>
            <w:r>
              <w:rPr>
                <w:rFonts w:hint="eastAsia" w:ascii="宋体" w:hAnsi="宋体" w:cs="宋体"/>
                <w:sz w:val="24"/>
                <w:szCs w:val="24"/>
              </w:rPr>
              <w:t>国赛</w:t>
            </w:r>
          </w:p>
        </w:tc>
        <w:tc>
          <w:tcPr>
            <w:tcW w:w="2532" w:type="dxa"/>
            <w:vAlign w:val="center"/>
          </w:tcPr>
          <w:p>
            <w:pPr>
              <w:jc w:val="center"/>
              <w:rPr>
                <w:rFonts w:ascii="宋体" w:hAnsi="宋体" w:cs="宋体"/>
                <w:b/>
                <w:sz w:val="24"/>
                <w:szCs w:val="24"/>
              </w:rPr>
            </w:pPr>
            <w:r>
              <w:rPr>
                <w:rFonts w:hint="eastAsia" w:ascii="宋体" w:hAnsi="宋体" w:cs="宋体"/>
                <w:sz w:val="24"/>
                <w:szCs w:val="24"/>
              </w:rPr>
              <w:t>2012年全国职业院校技能大赛高职组“智能电梯装调与维护”赛项（举办地：天津中德应用技术大学）</w:t>
            </w:r>
          </w:p>
        </w:tc>
        <w:tc>
          <w:tcPr>
            <w:tcW w:w="1244" w:type="dxa"/>
            <w:vAlign w:val="center"/>
          </w:tcPr>
          <w:p>
            <w:pPr>
              <w:jc w:val="center"/>
              <w:rPr>
                <w:rFonts w:ascii="宋体" w:hAnsi="宋体" w:cs="宋体"/>
                <w:sz w:val="24"/>
                <w:szCs w:val="24"/>
              </w:rPr>
            </w:pPr>
            <w:r>
              <w:rPr>
                <w:rFonts w:hint="eastAsia" w:ascii="宋体" w:hAnsi="宋体" w:cs="宋体"/>
                <w:sz w:val="24"/>
                <w:szCs w:val="24"/>
              </w:rPr>
              <w:t>58</w:t>
            </w:r>
          </w:p>
        </w:tc>
        <w:tc>
          <w:tcPr>
            <w:tcW w:w="3827" w:type="dxa"/>
            <w:vAlign w:val="center"/>
          </w:tcPr>
          <w:p>
            <w:pPr>
              <w:rPr>
                <w:rFonts w:ascii="宋体" w:hAnsi="宋体" w:cs="宋体"/>
                <w:b/>
                <w:sz w:val="24"/>
                <w:szCs w:val="24"/>
              </w:rPr>
            </w:pPr>
            <w:r>
              <w:drawing>
                <wp:inline distT="0" distB="0" distL="0" distR="0">
                  <wp:extent cx="2432050" cy="1619885"/>
                  <wp:effectExtent l="19050" t="0" r="5798" b="0"/>
                  <wp:docPr id="21" name="图片 8" descr="E:\A2 艾光波文档\02职业竞赛项目文件\2012年职业大赛申请书\电梯大赛\电梯国赛现场\_MG_79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8" descr="E:\A2 艾光波文档\02职业竞赛项目文件\2012年职业大赛申请书\电梯大赛\电梯国赛现场\_MG_7932.JPG"/>
                          <pic:cNvPicPr>
                            <a:picLocks noChangeAspect="1" noChangeArrowheads="1"/>
                          </pic:cNvPicPr>
                        </pic:nvPicPr>
                        <pic:blipFill>
                          <a:blip r:embed="rId9" cstate="print"/>
                          <a:srcRect/>
                          <a:stretch>
                            <a:fillRect/>
                          </a:stretch>
                        </pic:blipFill>
                        <pic:spPr>
                          <a:xfrm>
                            <a:off x="0" y="0"/>
                            <a:ext cx="2432602" cy="1620000"/>
                          </a:xfrm>
                          <a:prstGeom prst="rect">
                            <a:avLst/>
                          </a:prstGeom>
                          <a:noFill/>
                          <a:ln w="9525">
                            <a:noFill/>
                            <a:miter lim="800000"/>
                            <a:headEnd/>
                            <a:tailEnd/>
                          </a:ln>
                        </pic:spPr>
                      </pic:pic>
                    </a:graphicData>
                  </a:graphic>
                </wp:inline>
              </w:drawing>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22" w:hRule="atLeast"/>
        </w:trPr>
        <w:tc>
          <w:tcPr>
            <w:tcW w:w="845" w:type="dxa"/>
            <w:vAlign w:val="center"/>
          </w:tcPr>
          <w:p>
            <w:pPr>
              <w:jc w:val="center"/>
              <w:rPr>
                <w:rFonts w:ascii="宋体" w:hAnsi="宋体" w:cs="宋体"/>
                <w:sz w:val="24"/>
                <w:szCs w:val="24"/>
              </w:rPr>
            </w:pPr>
            <w:r>
              <w:rPr>
                <w:rFonts w:hint="eastAsia" w:ascii="宋体" w:hAnsi="宋体" w:cs="宋体"/>
                <w:sz w:val="24"/>
                <w:szCs w:val="24"/>
              </w:rPr>
              <w:t>2</w:t>
            </w:r>
          </w:p>
        </w:tc>
        <w:tc>
          <w:tcPr>
            <w:tcW w:w="732" w:type="dxa"/>
            <w:vAlign w:val="center"/>
          </w:tcPr>
          <w:p>
            <w:pPr>
              <w:jc w:val="center"/>
              <w:rPr>
                <w:rFonts w:ascii="宋体" w:hAnsi="宋体" w:cs="宋体"/>
                <w:sz w:val="24"/>
                <w:szCs w:val="24"/>
              </w:rPr>
            </w:pPr>
            <w:r>
              <w:rPr>
                <w:rFonts w:hint="eastAsia" w:ascii="宋体" w:hAnsi="宋体" w:cs="宋体"/>
                <w:sz w:val="24"/>
                <w:szCs w:val="24"/>
              </w:rPr>
              <w:t>国赛</w:t>
            </w:r>
          </w:p>
        </w:tc>
        <w:tc>
          <w:tcPr>
            <w:tcW w:w="2532" w:type="dxa"/>
            <w:vAlign w:val="center"/>
          </w:tcPr>
          <w:p>
            <w:pPr>
              <w:jc w:val="center"/>
              <w:rPr>
                <w:rFonts w:ascii="宋体" w:hAnsi="宋体" w:cs="宋体"/>
                <w:b/>
                <w:sz w:val="24"/>
                <w:szCs w:val="24"/>
              </w:rPr>
            </w:pPr>
            <w:r>
              <w:rPr>
                <w:rFonts w:hint="eastAsia" w:ascii="宋体" w:hAnsi="宋体" w:cs="宋体"/>
                <w:sz w:val="24"/>
                <w:szCs w:val="24"/>
              </w:rPr>
              <w:t>2013年全国职业院校技能大赛高职组“智能电梯装调与维护”赛项（举办地：天津中德应用技术大学）</w:t>
            </w:r>
          </w:p>
        </w:tc>
        <w:tc>
          <w:tcPr>
            <w:tcW w:w="1244" w:type="dxa"/>
            <w:vAlign w:val="center"/>
          </w:tcPr>
          <w:p>
            <w:pPr>
              <w:jc w:val="center"/>
              <w:rPr>
                <w:rFonts w:ascii="宋体" w:hAnsi="宋体" w:cs="宋体"/>
                <w:sz w:val="24"/>
                <w:szCs w:val="24"/>
              </w:rPr>
            </w:pPr>
            <w:r>
              <w:rPr>
                <w:rFonts w:hint="eastAsia" w:ascii="宋体" w:hAnsi="宋体" w:cs="宋体"/>
                <w:sz w:val="24"/>
                <w:szCs w:val="24"/>
              </w:rPr>
              <w:t>68</w:t>
            </w:r>
          </w:p>
        </w:tc>
        <w:tc>
          <w:tcPr>
            <w:tcW w:w="3827" w:type="dxa"/>
            <w:vAlign w:val="center"/>
          </w:tcPr>
          <w:p>
            <w:pPr>
              <w:jc w:val="center"/>
              <w:rPr>
                <w:rFonts w:ascii="宋体" w:hAnsi="宋体" w:cs="宋体"/>
                <w:b/>
                <w:sz w:val="24"/>
                <w:szCs w:val="24"/>
              </w:rPr>
            </w:pPr>
            <w:r>
              <w:rPr>
                <w:rFonts w:hint="eastAsia" w:ascii="宋体" w:cs="宋体" w:hAnsiTheme="minorHAnsi"/>
                <w:color w:val="000000"/>
                <w:kern w:val="0"/>
                <w:sz w:val="20"/>
                <w:szCs w:val="20"/>
                <w:lang w:val="zh-CN"/>
              </w:rPr>
              <w:object>
                <v:shape id="_x0000_i1026" o:spt="75" type="#_x0000_t75" style="height:139.9pt;width:173.2pt;" o:ole="t" filled="f" o:preferrelative="t" stroked="f" coordsize="21600,21600">
                  <v:path/>
                  <v:fill on="f" focussize="0,0"/>
                  <v:stroke on="f" joinstyle="miter"/>
                  <v:imagedata r:id="rId11" o:title=""/>
                  <o:lock v:ext="edit" aspectratio="t"/>
                  <w10:wrap type="none"/>
                  <w10:anchorlock/>
                </v:shape>
                <o:OLEObject Type="Embed" ProgID="Picture.PicObj.1" ShapeID="_x0000_i1026" DrawAspect="Content" ObjectID="_1468075726" r:id="rId10">
                  <o:LockedField>false</o:LockedField>
                </o:OLEObject>
              </w:objec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22" w:hRule="atLeast"/>
        </w:trPr>
        <w:tc>
          <w:tcPr>
            <w:tcW w:w="845" w:type="dxa"/>
            <w:vAlign w:val="center"/>
          </w:tcPr>
          <w:p>
            <w:pPr>
              <w:jc w:val="center"/>
              <w:rPr>
                <w:rFonts w:ascii="宋体" w:hAnsi="宋体" w:cs="宋体"/>
                <w:sz w:val="24"/>
                <w:szCs w:val="24"/>
              </w:rPr>
            </w:pPr>
            <w:r>
              <w:rPr>
                <w:rFonts w:hint="eastAsia" w:ascii="宋体" w:hAnsi="宋体" w:cs="宋体"/>
                <w:sz w:val="24"/>
                <w:szCs w:val="24"/>
              </w:rPr>
              <w:t>3</w:t>
            </w:r>
          </w:p>
        </w:tc>
        <w:tc>
          <w:tcPr>
            <w:tcW w:w="732" w:type="dxa"/>
            <w:vAlign w:val="center"/>
          </w:tcPr>
          <w:p>
            <w:pPr>
              <w:jc w:val="center"/>
              <w:rPr>
                <w:rFonts w:ascii="宋体" w:hAnsi="宋体" w:cs="宋体"/>
                <w:sz w:val="24"/>
                <w:szCs w:val="24"/>
              </w:rPr>
            </w:pPr>
            <w:r>
              <w:rPr>
                <w:rFonts w:hint="eastAsia" w:ascii="宋体" w:hAnsi="宋体" w:cs="宋体"/>
                <w:sz w:val="24"/>
                <w:szCs w:val="24"/>
              </w:rPr>
              <w:t>国赛</w:t>
            </w:r>
          </w:p>
        </w:tc>
        <w:tc>
          <w:tcPr>
            <w:tcW w:w="2532" w:type="dxa"/>
            <w:vAlign w:val="center"/>
          </w:tcPr>
          <w:p>
            <w:pPr>
              <w:jc w:val="center"/>
              <w:rPr>
                <w:rFonts w:ascii="宋体" w:hAnsi="宋体" w:cs="宋体"/>
                <w:b/>
                <w:sz w:val="24"/>
                <w:szCs w:val="24"/>
              </w:rPr>
            </w:pPr>
            <w:r>
              <w:rPr>
                <w:rFonts w:hint="eastAsia" w:ascii="宋体" w:hAnsi="宋体" w:cs="宋体"/>
                <w:sz w:val="24"/>
                <w:szCs w:val="24"/>
              </w:rPr>
              <w:t>2015年全国职业院校技能大赛高职组“智能电梯装调与维护”赛项（举办地：天津中德应用技术大学）</w:t>
            </w:r>
          </w:p>
        </w:tc>
        <w:tc>
          <w:tcPr>
            <w:tcW w:w="1244" w:type="dxa"/>
            <w:vAlign w:val="center"/>
          </w:tcPr>
          <w:p>
            <w:pPr>
              <w:jc w:val="center"/>
              <w:rPr>
                <w:rFonts w:ascii="宋体" w:hAnsi="宋体" w:cs="宋体"/>
                <w:sz w:val="24"/>
                <w:szCs w:val="24"/>
              </w:rPr>
            </w:pPr>
            <w:r>
              <w:rPr>
                <w:rFonts w:hint="eastAsia" w:ascii="宋体" w:hAnsi="宋体" w:cs="宋体"/>
                <w:sz w:val="24"/>
                <w:szCs w:val="24"/>
              </w:rPr>
              <w:t>88</w:t>
            </w:r>
          </w:p>
        </w:tc>
        <w:tc>
          <w:tcPr>
            <w:tcW w:w="3827" w:type="dxa"/>
            <w:vAlign w:val="center"/>
          </w:tcPr>
          <w:p>
            <w:pPr>
              <w:jc w:val="center"/>
              <w:rPr>
                <w:rFonts w:ascii="宋体" w:hAnsi="宋体" w:cs="宋体"/>
                <w:b/>
                <w:sz w:val="24"/>
                <w:szCs w:val="24"/>
              </w:rPr>
            </w:pPr>
            <w:r>
              <w:rPr>
                <w:rFonts w:ascii="宋体" w:hAnsi="宋体" w:cs="宋体"/>
                <w:b/>
                <w:sz w:val="24"/>
                <w:szCs w:val="24"/>
              </w:rPr>
              <w:drawing>
                <wp:inline distT="0" distB="0" distL="0" distR="0">
                  <wp:extent cx="2355215" cy="1616710"/>
                  <wp:effectExtent l="19050" t="0" r="6628" b="0"/>
                  <wp:docPr id="25" name="图片 12" descr="G:\0F0F0956C550C4E9FEB22BC7DC0_90FDF8A4_1660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2" descr="G:\0F0F0956C550C4E9FEB22BC7DC0_90FDF8A4_1660A.jpg"/>
                          <pic:cNvPicPr>
                            <a:picLocks noChangeAspect="1" noChangeArrowheads="1"/>
                          </pic:cNvPicPr>
                        </pic:nvPicPr>
                        <pic:blipFill>
                          <a:blip r:embed="rId12" cstate="print"/>
                          <a:srcRect r="18240"/>
                          <a:stretch>
                            <a:fillRect/>
                          </a:stretch>
                        </pic:blipFill>
                        <pic:spPr>
                          <a:xfrm>
                            <a:off x="0" y="0"/>
                            <a:ext cx="2355572" cy="1617260"/>
                          </a:xfrm>
                          <a:prstGeom prst="rect">
                            <a:avLst/>
                          </a:prstGeom>
                          <a:noFill/>
                          <a:ln w="9525">
                            <a:noFill/>
                            <a:miter lim="800000"/>
                            <a:headEnd/>
                            <a:tailEnd/>
                          </a:ln>
                        </pic:spPr>
                      </pic:pic>
                    </a:graphicData>
                  </a:graphic>
                </wp:inline>
              </w:drawing>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22" w:hRule="atLeast"/>
        </w:trPr>
        <w:tc>
          <w:tcPr>
            <w:tcW w:w="845" w:type="dxa"/>
            <w:vAlign w:val="center"/>
          </w:tcPr>
          <w:p>
            <w:pPr>
              <w:jc w:val="center"/>
              <w:rPr>
                <w:rFonts w:ascii="宋体" w:hAnsi="宋体" w:cs="宋体"/>
                <w:sz w:val="24"/>
                <w:szCs w:val="24"/>
              </w:rPr>
            </w:pPr>
            <w:r>
              <w:rPr>
                <w:rFonts w:hint="eastAsia" w:ascii="宋体" w:hAnsi="宋体" w:cs="宋体"/>
                <w:sz w:val="24"/>
                <w:szCs w:val="24"/>
              </w:rPr>
              <w:t>4</w:t>
            </w:r>
          </w:p>
        </w:tc>
        <w:tc>
          <w:tcPr>
            <w:tcW w:w="732" w:type="dxa"/>
            <w:vAlign w:val="center"/>
          </w:tcPr>
          <w:p>
            <w:pPr>
              <w:jc w:val="center"/>
              <w:rPr>
                <w:rFonts w:ascii="宋体" w:hAnsi="宋体" w:cs="宋体"/>
                <w:sz w:val="24"/>
                <w:szCs w:val="24"/>
              </w:rPr>
            </w:pPr>
            <w:r>
              <w:rPr>
                <w:rFonts w:hint="eastAsia" w:ascii="宋体" w:hAnsi="宋体" w:cs="宋体"/>
                <w:sz w:val="24"/>
                <w:szCs w:val="24"/>
              </w:rPr>
              <w:t>国赛</w:t>
            </w:r>
          </w:p>
        </w:tc>
        <w:tc>
          <w:tcPr>
            <w:tcW w:w="2532" w:type="dxa"/>
            <w:vAlign w:val="center"/>
          </w:tcPr>
          <w:p>
            <w:pPr>
              <w:jc w:val="center"/>
              <w:rPr>
                <w:rFonts w:ascii="宋体" w:hAnsi="宋体" w:cs="宋体"/>
                <w:b/>
                <w:sz w:val="24"/>
                <w:szCs w:val="24"/>
              </w:rPr>
            </w:pPr>
            <w:r>
              <w:rPr>
                <w:rFonts w:hint="eastAsia" w:ascii="宋体" w:hAnsi="宋体" w:cs="宋体"/>
                <w:sz w:val="24"/>
                <w:szCs w:val="24"/>
              </w:rPr>
              <w:t>2017年全国职业院校技能大赛高职组“智能电梯装调与维护”赛项（举办地：天津中德应用技术大学）</w:t>
            </w:r>
          </w:p>
        </w:tc>
        <w:tc>
          <w:tcPr>
            <w:tcW w:w="1244" w:type="dxa"/>
            <w:vAlign w:val="center"/>
          </w:tcPr>
          <w:p>
            <w:pPr>
              <w:jc w:val="center"/>
              <w:rPr>
                <w:rFonts w:ascii="宋体" w:hAnsi="宋体" w:cs="宋体"/>
                <w:sz w:val="24"/>
                <w:szCs w:val="24"/>
              </w:rPr>
            </w:pPr>
            <w:r>
              <w:rPr>
                <w:rFonts w:hint="eastAsia" w:ascii="宋体" w:hAnsi="宋体" w:cs="宋体"/>
                <w:sz w:val="24"/>
                <w:szCs w:val="24"/>
              </w:rPr>
              <w:t>152</w:t>
            </w:r>
          </w:p>
        </w:tc>
        <w:tc>
          <w:tcPr>
            <w:tcW w:w="3827" w:type="dxa"/>
            <w:vAlign w:val="center"/>
          </w:tcPr>
          <w:p>
            <w:pPr>
              <w:jc w:val="center"/>
              <w:rPr>
                <w:rFonts w:ascii="Arial Narrow" w:hAnsi="Arial Narrow" w:eastAsia="仿宋_GB2312" w:cs="Arial"/>
                <w:sz w:val="30"/>
                <w:szCs w:val="30"/>
              </w:rPr>
            </w:pPr>
            <w:r>
              <w:rPr>
                <w:rFonts w:ascii="Arial Narrow" w:hAnsi="Arial Narrow" w:eastAsia="仿宋_GB2312" w:cs="Arial"/>
                <w:sz w:val="30"/>
                <w:szCs w:val="30"/>
              </w:rPr>
              <w:drawing>
                <wp:inline distT="0" distB="0" distL="0" distR="0">
                  <wp:extent cx="2217420" cy="2508250"/>
                  <wp:effectExtent l="171450" t="0" r="144236" b="0"/>
                  <wp:docPr id="22" name="图片 9" descr="E:\A2 艾光波文档\02职业竞赛项目文件\2017年大赛申报\IMG_14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9" descr="E:\A2 艾光波文档\02职业竞赛项目文件\2017年大赛申报\IMG_1415.JPG"/>
                          <pic:cNvPicPr>
                            <a:picLocks noChangeAspect="1" noChangeArrowheads="1"/>
                          </pic:cNvPicPr>
                        </pic:nvPicPr>
                        <pic:blipFill>
                          <a:blip r:embed="rId13" cstate="print"/>
                          <a:srcRect l="28134" t="522" r="5540"/>
                          <a:stretch>
                            <a:fillRect/>
                          </a:stretch>
                        </pic:blipFill>
                        <pic:spPr>
                          <a:xfrm rot="5400000">
                            <a:off x="0" y="0"/>
                            <a:ext cx="2217964" cy="2508705"/>
                          </a:xfrm>
                          <a:prstGeom prst="rect">
                            <a:avLst/>
                          </a:prstGeom>
                          <a:noFill/>
                          <a:ln w="9525">
                            <a:noFill/>
                            <a:miter lim="800000"/>
                            <a:headEnd/>
                            <a:tailEnd/>
                          </a:ln>
                        </pic:spPr>
                      </pic:pic>
                    </a:graphicData>
                  </a:graphic>
                </wp:inline>
              </w:drawing>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22" w:hRule="atLeast"/>
        </w:trPr>
        <w:tc>
          <w:tcPr>
            <w:tcW w:w="845" w:type="dxa"/>
            <w:vAlign w:val="center"/>
          </w:tcPr>
          <w:p>
            <w:pPr>
              <w:jc w:val="center"/>
              <w:rPr>
                <w:rFonts w:ascii="宋体" w:hAnsi="宋体" w:cs="宋体"/>
                <w:sz w:val="24"/>
                <w:szCs w:val="24"/>
              </w:rPr>
            </w:pPr>
            <w:r>
              <w:rPr>
                <w:rFonts w:hint="eastAsia" w:ascii="宋体" w:hAnsi="宋体" w:cs="宋体"/>
                <w:sz w:val="24"/>
                <w:szCs w:val="24"/>
              </w:rPr>
              <w:t>5</w:t>
            </w:r>
          </w:p>
        </w:tc>
        <w:tc>
          <w:tcPr>
            <w:tcW w:w="732" w:type="dxa"/>
            <w:vAlign w:val="center"/>
          </w:tcPr>
          <w:p>
            <w:pPr>
              <w:jc w:val="center"/>
              <w:rPr>
                <w:rFonts w:ascii="宋体" w:hAnsi="宋体" w:cs="宋体"/>
                <w:sz w:val="24"/>
                <w:szCs w:val="24"/>
              </w:rPr>
            </w:pPr>
            <w:r>
              <w:rPr>
                <w:rFonts w:hint="eastAsia" w:ascii="宋体" w:hAnsi="宋体" w:cs="宋体"/>
                <w:sz w:val="24"/>
                <w:szCs w:val="24"/>
              </w:rPr>
              <w:t>国赛</w:t>
            </w:r>
          </w:p>
        </w:tc>
        <w:tc>
          <w:tcPr>
            <w:tcW w:w="2532" w:type="dxa"/>
            <w:vAlign w:val="center"/>
          </w:tcPr>
          <w:p>
            <w:pPr>
              <w:jc w:val="center"/>
              <w:rPr>
                <w:rFonts w:ascii="宋体" w:hAnsi="宋体" w:cs="宋体"/>
                <w:b/>
                <w:sz w:val="24"/>
                <w:szCs w:val="24"/>
              </w:rPr>
            </w:pPr>
            <w:r>
              <w:rPr>
                <w:rFonts w:hint="eastAsia" w:ascii="宋体" w:hAnsi="宋体" w:cs="宋体"/>
                <w:sz w:val="24"/>
                <w:szCs w:val="24"/>
              </w:rPr>
              <w:t>2018年全国职业院校技能大赛高职组“智能电梯装调与维护”赛项（举办地：天津轻工职业技术学院）</w:t>
            </w:r>
          </w:p>
        </w:tc>
        <w:tc>
          <w:tcPr>
            <w:tcW w:w="1244" w:type="dxa"/>
            <w:vAlign w:val="center"/>
          </w:tcPr>
          <w:p>
            <w:pPr>
              <w:jc w:val="center"/>
              <w:rPr>
                <w:rFonts w:ascii="宋体" w:hAnsi="宋体" w:cs="宋体"/>
                <w:sz w:val="24"/>
                <w:szCs w:val="24"/>
              </w:rPr>
            </w:pPr>
            <w:r>
              <w:rPr>
                <w:rFonts w:hint="eastAsia" w:ascii="宋体" w:hAnsi="宋体" w:cs="宋体"/>
                <w:sz w:val="24"/>
                <w:szCs w:val="24"/>
              </w:rPr>
              <w:t>162</w:t>
            </w:r>
          </w:p>
        </w:tc>
        <w:tc>
          <w:tcPr>
            <w:tcW w:w="3827" w:type="dxa"/>
            <w:vAlign w:val="center"/>
          </w:tcPr>
          <w:p>
            <w:pPr>
              <w:jc w:val="center"/>
              <w:rPr>
                <w:rFonts w:ascii="Arial Narrow" w:hAnsi="Arial Narrow" w:eastAsia="仿宋_GB2312" w:cs="Arial"/>
                <w:sz w:val="30"/>
                <w:szCs w:val="30"/>
              </w:rPr>
            </w:pPr>
            <w:r>
              <w:rPr>
                <w:rFonts w:ascii="Arial Narrow" w:hAnsi="Arial Narrow" w:eastAsia="仿宋_GB2312" w:cs="Arial"/>
                <w:sz w:val="30"/>
                <w:szCs w:val="30"/>
              </w:rPr>
              <w:drawing>
                <wp:inline distT="0" distB="0" distL="0" distR="0">
                  <wp:extent cx="2348865" cy="1569085"/>
                  <wp:effectExtent l="19050" t="0" r="0" b="0"/>
                  <wp:docPr id="24" name="图片 11" descr="G:\201805070736321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1" descr="G:\20180507073632114.jpg"/>
                          <pic:cNvPicPr>
                            <a:picLocks noChangeAspect="1" noChangeArrowheads="1"/>
                          </pic:cNvPicPr>
                        </pic:nvPicPr>
                        <pic:blipFill>
                          <a:blip r:embed="rId14" cstate="print"/>
                          <a:srcRect/>
                          <a:stretch>
                            <a:fillRect/>
                          </a:stretch>
                        </pic:blipFill>
                        <pic:spPr>
                          <a:xfrm>
                            <a:off x="0" y="0"/>
                            <a:ext cx="2349855" cy="1569834"/>
                          </a:xfrm>
                          <a:prstGeom prst="rect">
                            <a:avLst/>
                          </a:prstGeom>
                          <a:noFill/>
                          <a:ln w="9525">
                            <a:noFill/>
                            <a:miter lim="800000"/>
                            <a:headEnd/>
                            <a:tailEnd/>
                          </a:ln>
                        </pic:spPr>
                      </pic:pic>
                    </a:graphicData>
                  </a:graphic>
                </wp:inline>
              </w:drawing>
            </w:r>
          </w:p>
        </w:tc>
      </w:tr>
    </w:tbl>
    <w:p>
      <w:pPr>
        <w:snapToGrid w:val="0"/>
        <w:spacing w:line="560" w:lineRule="exact"/>
        <w:ind w:firstLine="600" w:firstLineChars="200"/>
        <w:outlineLvl w:val="0"/>
        <w:rPr>
          <w:rFonts w:ascii="Arial Narrow" w:hAnsi="Arial Narrow" w:eastAsia="仿宋_GB2312" w:cs="Arial"/>
          <w:bCs/>
          <w:sz w:val="30"/>
          <w:szCs w:val="30"/>
        </w:rPr>
      </w:pPr>
      <w:r>
        <w:rPr>
          <w:rFonts w:hint="eastAsia" w:ascii="黑体" w:hAnsi="黑体" w:eastAsia="黑体" w:cs="黑体"/>
          <w:bCs/>
          <w:sz w:val="30"/>
          <w:szCs w:val="30"/>
        </w:rPr>
        <w:t>五、赛项方案的特色与创新点</w:t>
      </w:r>
    </w:p>
    <w:p>
      <w:pPr>
        <w:spacing w:line="560" w:lineRule="exact"/>
        <w:ind w:firstLine="600" w:firstLineChars="200"/>
        <w:rPr>
          <w:rFonts w:ascii="仿宋_GB2312" w:hAnsi="Times New Roman" w:eastAsia="仿宋_GB2312"/>
          <w:b/>
          <w:sz w:val="30"/>
          <w:szCs w:val="30"/>
        </w:rPr>
      </w:pPr>
      <w:r>
        <w:rPr>
          <w:rFonts w:hint="eastAsia" w:ascii="仿宋_GB2312" w:hAnsi="宋体" w:eastAsia="仿宋_GB2312" w:cs="Arial"/>
          <w:kern w:val="0"/>
          <w:sz w:val="30"/>
          <w:szCs w:val="30"/>
        </w:rPr>
        <w:t>（一）</w:t>
      </w:r>
      <w:r>
        <w:rPr>
          <w:rFonts w:hint="eastAsia" w:ascii="仿宋_GB2312" w:hAnsi="Times New Roman" w:eastAsia="仿宋_GB2312"/>
          <w:b/>
          <w:sz w:val="30"/>
          <w:szCs w:val="30"/>
        </w:rPr>
        <w:t>竞赛内容方面</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关注公共安全，紧跟社会需求，高度体现高职教育服务社会的</w:t>
      </w:r>
      <w:r>
        <w:rPr>
          <w:rFonts w:ascii="仿宋_GB2312" w:hAnsi="宋体" w:eastAsia="仿宋_GB2312" w:cs="Arial"/>
          <w:kern w:val="0"/>
          <w:sz w:val="30"/>
          <w:szCs w:val="30"/>
        </w:rPr>
        <w:t>责任感</w:t>
      </w:r>
      <w:r>
        <w:rPr>
          <w:rFonts w:hint="eastAsia" w:ascii="仿宋_GB2312" w:hAnsi="宋体" w:eastAsia="仿宋_GB2312" w:cs="Arial"/>
          <w:kern w:val="0"/>
          <w:sz w:val="30"/>
          <w:szCs w:val="30"/>
        </w:rPr>
        <w:t>、使命感，</w:t>
      </w:r>
      <w:r>
        <w:rPr>
          <w:rFonts w:ascii="仿宋_GB2312" w:hAnsi="宋体" w:eastAsia="仿宋_GB2312" w:cs="Arial"/>
          <w:kern w:val="0"/>
          <w:sz w:val="30"/>
          <w:szCs w:val="30"/>
        </w:rPr>
        <w:t>在电梯作为城市垂直交通工具和城市公共安全重要组成部分并且日益受到各级政府、社会大众和公众媒体关注的重要时刻</w:t>
      </w:r>
      <w:r>
        <w:rPr>
          <w:rFonts w:hint="eastAsia" w:ascii="仿宋_GB2312" w:hAnsi="宋体" w:eastAsia="仿宋_GB2312" w:cs="Arial"/>
          <w:kern w:val="0"/>
          <w:sz w:val="30"/>
          <w:szCs w:val="30"/>
        </w:rPr>
        <w:t>,“智能电梯装调与维护”赛项</w:t>
      </w:r>
      <w:r>
        <w:rPr>
          <w:rFonts w:ascii="仿宋_GB2312" w:hAnsi="宋体" w:eastAsia="仿宋_GB2312" w:cs="Arial"/>
          <w:kern w:val="0"/>
          <w:sz w:val="30"/>
          <w:szCs w:val="30"/>
        </w:rPr>
        <w:t>揭开中国电梯的</w:t>
      </w:r>
      <w:r>
        <w:rPr>
          <w:rFonts w:hint="eastAsia" w:ascii="仿宋_GB2312" w:hAnsi="宋体" w:eastAsia="仿宋_GB2312" w:cs="Arial"/>
          <w:kern w:val="0"/>
          <w:sz w:val="30"/>
          <w:szCs w:val="30"/>
        </w:rPr>
        <w:t>人才培养历史</w:t>
      </w:r>
      <w:r>
        <w:rPr>
          <w:rFonts w:ascii="仿宋_GB2312" w:hAnsi="宋体" w:eastAsia="仿宋_GB2312" w:cs="Arial"/>
          <w:kern w:val="0"/>
          <w:sz w:val="30"/>
          <w:szCs w:val="30"/>
        </w:rPr>
        <w:t>的新篇章，</w:t>
      </w:r>
      <w:r>
        <w:rPr>
          <w:rFonts w:hint="eastAsia" w:ascii="仿宋_GB2312" w:hAnsi="宋体" w:eastAsia="仿宋_GB2312" w:cs="Arial"/>
          <w:kern w:val="0"/>
          <w:sz w:val="30"/>
          <w:szCs w:val="30"/>
        </w:rPr>
        <w:t>为智慧城市、智能楼宇培养人才，</w:t>
      </w:r>
      <w:r>
        <w:rPr>
          <w:rFonts w:ascii="仿宋_GB2312" w:hAnsi="宋体" w:eastAsia="仿宋_GB2312" w:cs="Arial"/>
          <w:kern w:val="0"/>
          <w:sz w:val="30"/>
          <w:szCs w:val="30"/>
        </w:rPr>
        <w:t>为电梯安全使用及城市公共安全作出了具体的、实实在在的贡献，成功体现了</w:t>
      </w:r>
      <w:r>
        <w:rPr>
          <w:rFonts w:hint="eastAsia" w:ascii="仿宋_GB2312" w:hAnsi="宋体" w:eastAsia="仿宋_GB2312" w:cs="Arial"/>
          <w:kern w:val="0"/>
          <w:sz w:val="30"/>
          <w:szCs w:val="30"/>
        </w:rPr>
        <w:t>教育服务产业、服务社会的</w:t>
      </w:r>
      <w:r>
        <w:rPr>
          <w:rFonts w:ascii="仿宋_GB2312" w:hAnsi="宋体" w:eastAsia="仿宋_GB2312" w:cs="Arial"/>
          <w:kern w:val="0"/>
          <w:sz w:val="30"/>
          <w:szCs w:val="30"/>
        </w:rPr>
        <w:t>高度社会责任感和历史使命感。</w:t>
      </w:r>
    </w:p>
    <w:p>
      <w:pPr>
        <w:spacing w:line="560" w:lineRule="exact"/>
        <w:ind w:firstLine="602" w:firstLineChars="200"/>
        <w:rPr>
          <w:rFonts w:ascii="仿宋_GB2312" w:hAnsi="Times New Roman" w:eastAsia="仿宋_GB2312"/>
          <w:b/>
          <w:sz w:val="30"/>
          <w:szCs w:val="30"/>
        </w:rPr>
      </w:pPr>
      <w:r>
        <w:rPr>
          <w:rFonts w:hint="eastAsia" w:ascii="仿宋_GB2312" w:hAnsi="Times New Roman" w:eastAsia="仿宋_GB2312"/>
          <w:b/>
          <w:sz w:val="30"/>
          <w:szCs w:val="30"/>
        </w:rPr>
        <w:t>（二）竞赛过程方面</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依据相关专业培养目标，紧贴行业标准，结合国家职业资格技能鉴定大纲内容，按照职业及岗位技能要求，设计适合专业核心技术综合实训要求的技能竞赛设备及配套教学资源。能在较为真实的环境中进行比赛，锻炼提升学生的职业能力和职业素养，对高职专业建设起到示范和引领作用。</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竞赛平台系统在结构上以仿真实物电梯对象系统为基础，以实际工作任务为载体，可进行器件安装、接线布线、变频器参数设置、编程调试、维护运行等工作任务。采用和实际工程现场一致的主流品牌器件，整套竞赛设备力求做到和实际电梯一致的器件和使用环境，营造职场氛围，引领“教、学、做”一体化教学模式改革。</w:t>
      </w:r>
    </w:p>
    <w:p>
      <w:pPr>
        <w:ind w:firstLine="560" w:firstLineChars="200"/>
        <w:jc w:val="center"/>
        <w:rPr>
          <w:rFonts w:ascii="楷体_GB2312" w:eastAsia="楷体_GB2312"/>
          <w:sz w:val="28"/>
        </w:rPr>
      </w:pPr>
      <w:r>
        <w:rPr>
          <w:rFonts w:ascii="楷体_GB2312" w:eastAsia="楷体_GB2312"/>
          <w:sz w:val="28"/>
        </w:rPr>
        <w:drawing>
          <wp:inline distT="0" distB="0" distL="0" distR="0">
            <wp:extent cx="3479165" cy="2267585"/>
            <wp:effectExtent l="19050" t="0" r="6626" b="0"/>
            <wp:docPr id="9" name="图片 12" descr="E:\A2 艾光波文档\02职业竞赛项目文件\2018年大赛申报\2018电梯比赛现场照片\IMG_41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2" descr="E:\A2 艾光波文档\02职业竞赛项目文件\2018年大赛申报\2018电梯比赛现场照片\IMG_4157.JPG"/>
                    <pic:cNvPicPr>
                      <a:picLocks noChangeAspect="1" noChangeArrowheads="1"/>
                    </pic:cNvPicPr>
                  </pic:nvPicPr>
                  <pic:blipFill>
                    <a:blip r:embed="rId15" cstate="print"/>
                    <a:srcRect t="15054" r="2258"/>
                    <a:stretch>
                      <a:fillRect/>
                    </a:stretch>
                  </pic:blipFill>
                  <pic:spPr>
                    <a:xfrm>
                      <a:off x="0" y="0"/>
                      <a:ext cx="3484510" cy="2270881"/>
                    </a:xfrm>
                    <a:prstGeom prst="rect">
                      <a:avLst/>
                    </a:prstGeom>
                    <a:noFill/>
                    <a:ln w="9525">
                      <a:noFill/>
                      <a:miter lim="800000"/>
                      <a:headEnd/>
                      <a:tailEnd/>
                    </a:ln>
                  </pic:spPr>
                </pic:pic>
              </a:graphicData>
            </a:graphic>
          </wp:inline>
        </w:drawing>
      </w:r>
    </w:p>
    <w:p>
      <w:pPr>
        <w:spacing w:line="560" w:lineRule="exact"/>
        <w:ind w:firstLine="602" w:firstLineChars="200"/>
        <w:rPr>
          <w:rFonts w:ascii="仿宋_GB2312" w:hAnsi="Times New Roman" w:eastAsia="仿宋_GB2312"/>
          <w:b/>
          <w:sz w:val="30"/>
          <w:szCs w:val="30"/>
        </w:rPr>
      </w:pPr>
      <w:r>
        <w:rPr>
          <w:rFonts w:hint="eastAsia" w:ascii="仿宋_GB2312" w:hAnsi="Times New Roman" w:eastAsia="仿宋_GB2312"/>
          <w:b/>
          <w:sz w:val="30"/>
          <w:szCs w:val="30"/>
        </w:rPr>
        <w:t>（三）设备高度仿真、体现主流技术，融合安全、节能、环保等职业素养培养</w:t>
      </w:r>
    </w:p>
    <w:p>
      <w:pPr>
        <w:snapToGrid w:val="0"/>
        <w:spacing w:line="560" w:lineRule="exact"/>
        <w:ind w:firstLine="600" w:firstLineChars="200"/>
        <w:jc w:val="left"/>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1.设备高度仿真，按照实际电梯缩小比例设计，包含电梯全部要素</w:t>
      </w:r>
    </w:p>
    <w:p>
      <w:pPr>
        <w:snapToGrid w:val="0"/>
        <w:spacing w:line="560" w:lineRule="exact"/>
        <w:ind w:firstLine="600" w:firstLineChars="200"/>
        <w:jc w:val="left"/>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根据日常中最常用电梯，选用交流变频驱动中速乘客电梯比赛设备。其包含有现代电梯</w:t>
      </w:r>
      <w:r>
        <w:fldChar w:fldCharType="begin"/>
      </w:r>
      <w:r>
        <w:instrText xml:space="preserve"> HYPERLINK "http://baike.baidu.com/view/282579.htm" \t "_blank" </w:instrText>
      </w:r>
      <w:r>
        <w:fldChar w:fldCharType="separate"/>
      </w:r>
      <w:r>
        <w:rPr>
          <w:rFonts w:hint="eastAsia" w:ascii="仿宋_GB2312" w:hAnsi="仿宋_GB2312" w:eastAsia="仿宋_GB2312" w:cs="仿宋_GB2312"/>
          <w:kern w:val="0"/>
          <w:sz w:val="30"/>
          <w:szCs w:val="30"/>
        </w:rPr>
        <w:t>曳引机</w:t>
      </w:r>
      <w:r>
        <w:rPr>
          <w:rFonts w:hint="eastAsia" w:ascii="仿宋_GB2312" w:hAnsi="仿宋_GB2312" w:eastAsia="仿宋_GB2312" w:cs="仿宋_GB2312"/>
          <w:kern w:val="0"/>
          <w:sz w:val="30"/>
          <w:szCs w:val="30"/>
        </w:rPr>
        <w:fldChar w:fldCharType="end"/>
      </w:r>
      <w:r>
        <w:rPr>
          <w:rFonts w:hint="eastAsia" w:ascii="仿宋_GB2312" w:hAnsi="仿宋_GB2312" w:eastAsia="仿宋_GB2312" w:cs="仿宋_GB2312"/>
          <w:kern w:val="0"/>
          <w:sz w:val="30"/>
          <w:szCs w:val="30"/>
        </w:rPr>
        <w:t>（带有制动器、减速机、工业编码器反馈）、轿厢、</w:t>
      </w:r>
      <w:r>
        <w:fldChar w:fldCharType="begin"/>
      </w:r>
      <w:r>
        <w:instrText xml:space="preserve"> HYPERLINK "http://baike.baidu.com/view/2949800.htm" \t "_blank" </w:instrText>
      </w:r>
      <w:r>
        <w:fldChar w:fldCharType="separate"/>
      </w:r>
      <w:r>
        <w:rPr>
          <w:rFonts w:hint="eastAsia" w:ascii="仿宋_GB2312" w:hAnsi="仿宋_GB2312" w:eastAsia="仿宋_GB2312" w:cs="仿宋_GB2312"/>
          <w:kern w:val="0"/>
          <w:sz w:val="30"/>
          <w:szCs w:val="30"/>
        </w:rPr>
        <w:t>对重</w:t>
      </w:r>
      <w:r>
        <w:rPr>
          <w:rFonts w:hint="eastAsia" w:ascii="仿宋_GB2312" w:hAnsi="仿宋_GB2312" w:eastAsia="仿宋_GB2312" w:cs="仿宋_GB2312"/>
          <w:kern w:val="0"/>
          <w:sz w:val="30"/>
          <w:szCs w:val="30"/>
        </w:rPr>
        <w:fldChar w:fldCharType="end"/>
      </w:r>
      <w:r>
        <w:rPr>
          <w:rFonts w:hint="eastAsia" w:ascii="仿宋_GB2312" w:hAnsi="仿宋_GB2312" w:eastAsia="仿宋_GB2312" w:cs="仿宋_GB2312"/>
          <w:kern w:val="0"/>
          <w:sz w:val="30"/>
          <w:szCs w:val="30"/>
        </w:rPr>
        <w:t>装置、导轨、导靴、厅门、门机机构、安全装置(如限速器、安全钳和</w:t>
      </w:r>
      <w:r>
        <w:fldChar w:fldCharType="begin"/>
      </w:r>
      <w:r>
        <w:instrText xml:space="preserve"> HYPERLINK "http://baike.baidu.com/view/204317.htm" \t "_blank" </w:instrText>
      </w:r>
      <w:r>
        <w:fldChar w:fldCharType="separate"/>
      </w:r>
      <w:r>
        <w:rPr>
          <w:rFonts w:hint="eastAsia" w:ascii="仿宋_GB2312" w:hAnsi="仿宋_GB2312" w:eastAsia="仿宋_GB2312" w:cs="仿宋_GB2312"/>
          <w:kern w:val="0"/>
          <w:sz w:val="30"/>
          <w:szCs w:val="30"/>
        </w:rPr>
        <w:t>缓冲器</w:t>
      </w:r>
      <w:r>
        <w:rPr>
          <w:rFonts w:hint="eastAsia" w:ascii="仿宋_GB2312" w:hAnsi="仿宋_GB2312" w:eastAsia="仿宋_GB2312" w:cs="仿宋_GB2312"/>
          <w:kern w:val="0"/>
          <w:sz w:val="30"/>
          <w:szCs w:val="30"/>
        </w:rPr>
        <w:fldChar w:fldCharType="end"/>
      </w:r>
      <w:r>
        <w:rPr>
          <w:rFonts w:hint="eastAsia" w:ascii="仿宋_GB2312" w:hAnsi="仿宋_GB2312" w:eastAsia="仿宋_GB2312" w:cs="仿宋_GB2312"/>
          <w:kern w:val="0"/>
          <w:sz w:val="30"/>
          <w:szCs w:val="30"/>
        </w:rPr>
        <w:t>等)、信号操纵系统、井道信息采集系统（如减速感应器、限位开关、极限位开关等）等机构。</w:t>
      </w:r>
    </w:p>
    <w:p>
      <w:pPr>
        <w:ind w:firstLine="480" w:firstLineChars="200"/>
        <w:rPr>
          <w:rFonts w:ascii="楷体_GB2312" w:eastAsia="楷体_GB2312"/>
          <w:sz w:val="28"/>
        </w:rPr>
      </w:pPr>
      <w:r>
        <w:rPr>
          <w:rFonts w:hint="eastAsia" w:ascii="宋体" w:cs="宋体" w:hAnsiTheme="minorHAnsi"/>
          <w:color w:val="000000"/>
          <w:kern w:val="0"/>
          <w:sz w:val="24"/>
          <w:szCs w:val="24"/>
          <w:lang w:val="zh-CN"/>
        </w:rPr>
        <w:object>
          <v:shape id="_x0000_i1027" o:spt="75" type="#_x0000_t75" style="height:121.6pt;width:381.05pt;" o:ole="t" filled="f" o:preferrelative="t" stroked="f" coordsize="21600,21600">
            <v:path/>
            <v:fill on="f" focussize="0,0"/>
            <v:stroke on="f" joinstyle="miter"/>
            <v:imagedata r:id="rId17" o:title=""/>
            <o:lock v:ext="edit" aspectratio="t"/>
            <w10:wrap type="none"/>
            <w10:anchorlock/>
          </v:shape>
          <o:OLEObject Type="Embed" ProgID="Picture.PicObj.1" ShapeID="_x0000_i1027" DrawAspect="Content" ObjectID="_1468075727" r:id="rId16">
            <o:LockedField>false</o:LockedField>
          </o:OLEObject>
        </w:object>
      </w:r>
    </w:p>
    <w:p>
      <w:pPr>
        <w:spacing w:line="500" w:lineRule="exact"/>
        <w:ind w:firstLine="1072" w:firstLineChars="445"/>
        <w:rPr>
          <w:rFonts w:ascii="楷体_GB2312" w:eastAsia="楷体_GB2312" w:cs="宋体"/>
          <w:b/>
          <w:color w:val="1D05CD"/>
          <w:kern w:val="0"/>
          <w:sz w:val="24"/>
          <w:szCs w:val="24"/>
        </w:rPr>
      </w:pPr>
      <w:r>
        <w:rPr>
          <w:rFonts w:hint="eastAsia" w:ascii="楷体_GB2312" w:eastAsia="楷体_GB2312" w:cs="宋体"/>
          <w:b/>
          <w:color w:val="1D05CD"/>
          <w:kern w:val="0"/>
          <w:sz w:val="24"/>
          <w:szCs w:val="24"/>
        </w:rPr>
        <w:t>曳引机            永磁感应器           门驱双稳态开关</w:t>
      </w:r>
    </w:p>
    <w:p>
      <w:r>
        <w:pict>
          <v:roundrect id="_x0000_s1027" o:spid="_x0000_s1027" o:spt="2" style="height:98.25pt;width:404.25pt;" filled="t" stroked="t" coordsize="21600,21600" arcsize="0.166666666666667">
            <v:path/>
            <v:fill type="frame" on="t" o:title="QQ截图未命名1" focussize="0,0" recolor="t" r:id="rId18"/>
            <v:stroke weight="3pt" color="#548DD4"/>
            <v:imagedata o:title=""/>
            <o:lock v:ext="edit"/>
            <w10:wrap type="none"/>
            <w10:anchorlock/>
          </v:roundrect>
        </w:pict>
      </w:r>
    </w:p>
    <w:p>
      <w:pPr>
        <w:spacing w:line="500" w:lineRule="exact"/>
        <w:ind w:firstLine="590" w:firstLineChars="245"/>
        <w:rPr>
          <w:kern w:val="0"/>
          <w:sz w:val="24"/>
        </w:rPr>
      </w:pPr>
      <w:r>
        <w:rPr>
          <w:rFonts w:hint="eastAsia" w:ascii="楷体_GB2312" w:eastAsia="楷体_GB2312" w:cs="宋体"/>
          <w:b/>
          <w:color w:val="1D05CD"/>
          <w:kern w:val="0"/>
          <w:sz w:val="24"/>
          <w:szCs w:val="24"/>
        </w:rPr>
        <w:t>低压电器元件           PLC控制器                  变频器</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2.体现现代电梯主流技术</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电梯的控制系统包含有三菱FX系列可编程控制器、三菱D700系列变频器、传感器（永磁感应器、门驱双稳态开关、行程开关、光幕传感器）、电机传动(交流变频驱动、直流降压调速)、低压电气（继电器、接触器、热继电器、相序保护器）等基本功能。同时增加视频监控、消防、电话呼叫、故障诊断等，能实现按钮控制，信号控制，集选控制、人机对话等功能，多台电梯还可以智能群控(模糊控制、专家控制)、电梯远程监控和故障诊断。</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3.体现安全、节能、环保意识</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门安全触板：在轿厢门的边沿上，装有活动的安全触板。当门在关闭过程中，安全触板与乘客或障碍物相接触时，通过与安全触板相连的联杆，触及装在轿厢门上的微动开关动作，使门重新打开，避免事故发生。</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门机力矩安全保护：门机用一定的力矩同时关闭轿厢门和厅门。当有物品或人夹在门中时，就增加了关门力矩，于是通过相连的行程开关使轿厢门和厅门自动重新打开，从而避免事故发生。</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缓冲器:当电梯因故障，造成轿厢或对重蹲底或冲顶时（极限开关保护失效），轿厢或对重撞击弹簧缓冲器，由缓冲器吸收电梯的能量，从而使轿厢或对重安全减速直至停止。</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超速安全保护：当电梯发生意外事故时，轿厢超速或高速下滑（如钢丝绳折断，轿顶滑轮脱离，曳引机蜗轮蜗杆啮合失灵，电机下降转速过高等原因）。这时限速器就会紧急制动，通过安全钢索及连杆机构，带动安全钳动作，使轿厢卡在导轨上而不会下落。</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电梯节能:电梯和空调被认为大型建筑两大耗能大户。电梯行业协会统计。如果2015年全部采用节能电梯，将节电800亿千瓦时，几乎等于三峡大坝一年的发电量。到了上世纪90年代末期,电梯已经逐渐转向采用变频技术，节电效果十分明显,比传统控制平均节电30%以上,提高了能源的利用率。选用变频驱动的电梯作为比赛设备，充分体现电梯节能技术。</w:t>
      </w:r>
    </w:p>
    <w:p>
      <w:pPr>
        <w:spacing w:line="560" w:lineRule="exact"/>
        <w:ind w:firstLine="602" w:firstLineChars="200"/>
        <w:rPr>
          <w:rFonts w:ascii="仿宋_GB2312" w:hAnsi="Times New Roman" w:eastAsia="仿宋_GB2312"/>
          <w:b/>
          <w:sz w:val="30"/>
          <w:szCs w:val="30"/>
        </w:rPr>
      </w:pPr>
      <w:r>
        <w:rPr>
          <w:rFonts w:hint="eastAsia" w:ascii="仿宋_GB2312" w:hAnsi="Times New Roman" w:eastAsia="仿宋_GB2312"/>
          <w:b/>
          <w:sz w:val="30"/>
          <w:szCs w:val="30"/>
        </w:rPr>
        <w:t>（四）竞赛结果评判及竞赛资源转化方面</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将资源转换成果，融入互联网技术和现代教学方法，促进参赛学校交流和学习，推进职业院校课程改革与创新。比如联合赛项专家、合作企业、获奖优秀指导教师共同开发制作微课程；搭建职业教育云平台，包括资源共享、资源下载、技术交流、在线学习、题库建设等。</w:t>
      </w:r>
    </w:p>
    <w:p>
      <w:pPr>
        <w:snapToGrid w:val="0"/>
        <w:spacing w:line="560" w:lineRule="exact"/>
        <w:ind w:firstLine="600" w:firstLineChars="200"/>
        <w:outlineLvl w:val="0"/>
        <w:rPr>
          <w:rFonts w:ascii="黑体" w:hAnsi="黑体" w:eastAsia="黑体" w:cs="黑体"/>
          <w:bCs/>
          <w:sz w:val="30"/>
          <w:szCs w:val="30"/>
        </w:rPr>
      </w:pPr>
      <w:r>
        <w:rPr>
          <w:rFonts w:hint="eastAsia" w:ascii="黑体" w:hAnsi="黑体" w:eastAsia="黑体" w:cs="黑体"/>
          <w:bCs/>
          <w:sz w:val="30"/>
          <w:szCs w:val="30"/>
        </w:rPr>
        <w:t>六、竞赛内容简介</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竞赛平台是根据智能建筑中升降电梯的机构按照一定的比例缩小设计，所用设备、器件与实际电梯基本一致，采用槽钢方管框架结构整体设计，正面使用茶黑色有机玻璃面板，融低压电气、PLC、变频调速、智能人机、传感检测、视频监控、智能考核系统等于一体，实现智能电梯复杂的开关量控制、时序逻辑控制。可进行电梯安装维修工基本技能和核心技能的训练，也可以进行创新技能的拓展训练，完成多层次的考核，切实提高学生的技能水平。</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竞赛内容涉及电梯呼梯盒的安装、井道信息系统的安装、平层开关检测位置调整、门机机构调整、电气控制柜的器件安装、接线、变频器参数设置、</w:t>
      </w:r>
      <w:r>
        <w:rPr>
          <w:rFonts w:ascii="仿宋_GB2312" w:hAnsi="宋体" w:eastAsia="仿宋_GB2312" w:cs="Arial"/>
          <w:kern w:val="0"/>
          <w:sz w:val="30"/>
          <w:szCs w:val="30"/>
        </w:rPr>
        <w:t>PLC</w:t>
      </w:r>
      <w:r>
        <w:rPr>
          <w:rFonts w:hint="eastAsia" w:ascii="仿宋_GB2312" w:hAnsi="宋体" w:eastAsia="仿宋_GB2312" w:cs="Arial"/>
          <w:kern w:val="0"/>
          <w:sz w:val="30"/>
          <w:szCs w:val="30"/>
        </w:rPr>
        <w:t>编程与调试、电梯群控功能调试、电梯故障排除、运行维护等，通过该装置的操作训练可考核学生掌握智能电梯的装调与维护综合能力。同时可考核参赛选手的工作效率、质量意识、安全意识、节能环保意识、职业素养和团队协作精神等。</w:t>
      </w:r>
    </w:p>
    <w:p>
      <w:pPr>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The competition platform is developed as a smaller scale of elevators in buildings. We use the same equipments and devices with the actual elevator nearly. It adopts channel steel and square tube frame structure with tea black plexiglass panel on the front. Integrated with systems of low voltage electrical, PLC, frequency converter, intelligent human-computer, sensor detection, video surveillance and intelligent appraisal, the platform can realize complex switching control and sequential logic control. Via the exercises and examination of basic, core and innovative skills of elevator maintenance, students can improve the skill level indeed.</w:t>
      </w:r>
    </w:p>
    <w:p>
      <w:pPr>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The competition consists of elevator call box and hoistway information system's installation, adjustment of switch detection position, adjustment of portal crane, installation and connection of electrical control cabinet, parameter setting of converter, PLC programming and debugging, debugging of elevator group control, troubleshooting and maintenance. It can examines installation, adjustment and maintenance ability, meanwhile it can examine work efficiency, quality&amp; safety awareness, energy conservation and environment protection awareness, cooperation ability, etc.</w:t>
      </w:r>
    </w:p>
    <w:p>
      <w:pPr>
        <w:snapToGrid w:val="0"/>
        <w:spacing w:line="560" w:lineRule="exact"/>
        <w:ind w:firstLine="600" w:firstLineChars="200"/>
        <w:outlineLvl w:val="0"/>
        <w:rPr>
          <w:rFonts w:ascii="黑体" w:hAnsi="黑体" w:eastAsia="黑体" w:cs="黑体"/>
          <w:bCs/>
          <w:sz w:val="30"/>
          <w:szCs w:val="30"/>
        </w:rPr>
      </w:pPr>
      <w:r>
        <w:rPr>
          <w:rFonts w:hint="eastAsia" w:ascii="黑体" w:hAnsi="黑体" w:eastAsia="黑体" w:cs="黑体"/>
          <w:bCs/>
          <w:sz w:val="30"/>
          <w:szCs w:val="30"/>
        </w:rPr>
        <w:t>七、竞赛方式（含组队要求、是否邀请境外代表队参赛）</w:t>
      </w:r>
    </w:p>
    <w:p>
      <w:pPr>
        <w:snapToGrid w:val="0"/>
        <w:spacing w:line="560" w:lineRule="exact"/>
        <w:ind w:firstLine="600" w:firstLineChars="2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（一）团体赛。2名选手在规定时间内完成智能电梯装调与维护竞赛任务，每队不超过2名指导教师。</w:t>
      </w:r>
    </w:p>
    <w:p>
      <w:pPr>
        <w:snapToGrid w:val="0"/>
        <w:spacing w:line="560" w:lineRule="exact"/>
        <w:ind w:firstLine="600" w:firstLineChars="2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（二）以各省、自治区和直辖市为单位报名参赛。</w:t>
      </w:r>
    </w:p>
    <w:p>
      <w:pPr>
        <w:snapToGrid w:val="0"/>
        <w:spacing w:line="560" w:lineRule="exact"/>
        <w:ind w:firstLine="600" w:firstLineChars="2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（三）具体组队方式参考</w:t>
      </w:r>
      <w:r>
        <w:rPr>
          <w:rFonts w:ascii="仿宋_GB2312" w:hAnsi="仿宋_GB2312" w:eastAsia="仿宋_GB2312" w:cs="仿宋_GB2312"/>
          <w:kern w:val="0"/>
          <w:sz w:val="30"/>
          <w:szCs w:val="30"/>
        </w:rPr>
        <w:t>《全国职业院校技能大赛参赛报名办法》</w:t>
      </w:r>
      <w:r>
        <w:rPr>
          <w:rFonts w:hint="eastAsia" w:ascii="仿宋_GB2312" w:hAnsi="仿宋_GB2312" w:eastAsia="仿宋_GB2312" w:cs="仿宋_GB2312"/>
          <w:kern w:val="0"/>
          <w:sz w:val="30"/>
          <w:szCs w:val="30"/>
        </w:rPr>
        <w:t>。</w:t>
      </w:r>
    </w:p>
    <w:p>
      <w:pPr>
        <w:snapToGrid w:val="0"/>
        <w:spacing w:line="560" w:lineRule="exact"/>
        <w:ind w:firstLine="600" w:firstLineChars="200"/>
        <w:jc w:val="left"/>
        <w:rPr>
          <w:rFonts w:ascii="仿宋_GB2312" w:hAnsi="仿宋_GB2312" w:eastAsia="仿宋_GB2312" w:cs="仿宋_GB2312"/>
          <w:bCs/>
          <w:kern w:val="0"/>
          <w:sz w:val="30"/>
          <w:szCs w:val="30"/>
        </w:rPr>
      </w:pPr>
      <w:r>
        <w:rPr>
          <w:rFonts w:hint="eastAsia" w:ascii="仿宋_GB2312" w:hAnsi="仿宋_GB2312" w:eastAsia="仿宋_GB2312" w:cs="仿宋_GB2312"/>
          <w:kern w:val="0"/>
          <w:sz w:val="30"/>
          <w:szCs w:val="30"/>
        </w:rPr>
        <w:t>（四）竞赛设置体验区、观摩区，拟邀请境外代表队参赛。</w:t>
      </w:r>
      <w:r>
        <w:rPr>
          <w:rFonts w:hint="eastAsia" w:ascii="仿宋_GB2312" w:hAnsi="宋体" w:eastAsia="仿宋_GB2312" w:cs="Arial"/>
          <w:kern w:val="0"/>
          <w:sz w:val="30"/>
          <w:szCs w:val="30"/>
        </w:rPr>
        <w:t>产品已经进行国际化推广。产品配套教材已经向东南亚国家推广使用。</w:t>
      </w:r>
    </w:p>
    <w:p>
      <w:pPr>
        <w:snapToGrid w:val="0"/>
        <w:ind w:firstLine="600" w:firstLineChars="200"/>
        <w:jc w:val="center"/>
        <w:rPr>
          <w:rFonts w:ascii="仿宋_GB2312" w:hAnsi="宋体" w:eastAsia="仿宋_GB2312" w:cs="Arial"/>
          <w:kern w:val="0"/>
          <w:sz w:val="30"/>
          <w:szCs w:val="30"/>
        </w:rPr>
      </w:pPr>
      <w:r>
        <w:rPr>
          <w:rFonts w:ascii="仿宋_GB2312" w:hAnsi="宋体" w:eastAsia="仿宋_GB2312" w:cs="Arial"/>
          <w:kern w:val="0"/>
          <w:sz w:val="30"/>
          <w:szCs w:val="30"/>
        </w:rPr>
        <w:drawing>
          <wp:inline distT="0" distB="0" distL="0" distR="0">
            <wp:extent cx="3923030" cy="2667000"/>
            <wp:effectExtent l="19050" t="0" r="1078" b="0"/>
            <wp:docPr id="3" name="图片 1" descr="D:\艾光波\智能电梯装调与维护1683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D:\艾光波\智能电梯装调与维护16838-4.jpg"/>
                    <pic:cNvPicPr>
                      <a:picLocks noChangeAspect="1" noChangeArrowheads="1"/>
                    </pic:cNvPicPr>
                  </pic:nvPicPr>
                  <pic:blipFill>
                    <a:blip r:embed="rId19" cstate="print"/>
                    <a:srcRect/>
                    <a:stretch>
                      <a:fillRect/>
                    </a:stretch>
                  </pic:blipFill>
                  <pic:spPr>
                    <a:xfrm>
                      <a:off x="0" y="0"/>
                      <a:ext cx="3925881" cy="2668919"/>
                    </a:xfrm>
                    <a:prstGeom prst="rect">
                      <a:avLst/>
                    </a:prstGeom>
                    <a:noFill/>
                    <a:ln w="9525">
                      <a:noFill/>
                      <a:miter lim="800000"/>
                      <a:headEnd/>
                      <a:tailEnd/>
                    </a:ln>
                  </pic:spPr>
                </pic:pic>
              </a:graphicData>
            </a:graphic>
          </wp:inline>
        </w:drawing>
      </w:r>
    </w:p>
    <w:p>
      <w:pPr>
        <w:snapToGrid w:val="0"/>
        <w:spacing w:line="560" w:lineRule="exact"/>
        <w:ind w:firstLine="600" w:firstLineChars="200"/>
        <w:outlineLvl w:val="0"/>
        <w:rPr>
          <w:rFonts w:ascii="黑体" w:hAnsi="黑体" w:eastAsia="黑体" w:cs="黑体"/>
          <w:bCs/>
          <w:sz w:val="30"/>
          <w:szCs w:val="30"/>
        </w:rPr>
      </w:pPr>
      <w:r>
        <w:rPr>
          <w:rFonts w:hint="eastAsia" w:ascii="黑体" w:hAnsi="黑体" w:eastAsia="黑体" w:cs="黑体"/>
          <w:bCs/>
          <w:sz w:val="30"/>
          <w:szCs w:val="30"/>
        </w:rPr>
        <w:t>八、竞赛时间安排与流程</w:t>
      </w:r>
    </w:p>
    <w:p>
      <w:pPr>
        <w:snapToGrid w:val="0"/>
        <w:spacing w:line="560" w:lineRule="exact"/>
        <w:ind w:firstLine="600" w:firstLineChars="200"/>
        <w:rPr>
          <w:rFonts w:ascii="仿宋_GB2312" w:hAnsi="仿宋" w:eastAsia="仿宋_GB2312" w:cs="仿宋_GB2312"/>
          <w:sz w:val="30"/>
          <w:szCs w:val="30"/>
        </w:rPr>
      </w:pPr>
      <w:r>
        <w:rPr>
          <w:rFonts w:hint="eastAsia" w:ascii="仿宋_GB2312" w:hAnsi="仿宋" w:eastAsia="仿宋_GB2312" w:cs="仿宋_GB2312"/>
          <w:sz w:val="30"/>
          <w:szCs w:val="30"/>
        </w:rPr>
        <w:t>（一）竞赛时间：各竞赛队在规定的时间内（5小时），完成“竞赛内容”规定的竞赛任务。</w:t>
      </w:r>
    </w:p>
    <w:p>
      <w:pPr>
        <w:snapToGrid w:val="0"/>
        <w:spacing w:line="560" w:lineRule="exact"/>
        <w:ind w:firstLine="600" w:firstLineChars="2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（二）竞赛场次：根据参赛队伍数量确定竞赛场次。</w:t>
      </w:r>
    </w:p>
    <w:p>
      <w:pPr>
        <w:snapToGrid w:val="0"/>
        <w:spacing w:line="560" w:lineRule="exact"/>
        <w:ind w:firstLine="600" w:firstLineChars="2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（三）竞赛流程：</w:t>
      </w:r>
    </w:p>
    <w:p>
      <w:pPr>
        <w:snapToGrid w:val="0"/>
        <w:ind w:firstLine="480" w:firstLineChars="200"/>
        <w:rPr>
          <w:rFonts w:ascii="仿宋_GB2312" w:hAnsi="仿宋_GB2312" w:eastAsia="仿宋_GB2312" w:cs="仿宋_GB2312"/>
          <w:kern w:val="0"/>
          <w:sz w:val="30"/>
          <w:szCs w:val="30"/>
        </w:rPr>
      </w:pPr>
      <w:r>
        <w:rPr>
          <w:rFonts w:hint="eastAsia" w:ascii="宋体" w:cs="宋体" w:hAnsiTheme="minorHAnsi"/>
          <w:color w:val="000000"/>
          <w:kern w:val="0"/>
          <w:sz w:val="24"/>
          <w:szCs w:val="24"/>
          <w:lang w:val="zh-CN"/>
        </w:rPr>
        <w:object>
          <v:shape id="_x0000_i1028" o:spt="75" type="#_x0000_t75" style="height:315.15pt;width:391.25pt;" o:ole="t" filled="f" o:preferrelative="t" stroked="f" coordsize="21600,21600">
            <v:path/>
            <v:fill on="f" focussize="0,0"/>
            <v:stroke on="f" joinstyle="miter"/>
            <v:imagedata r:id="rId21" o:title=""/>
            <o:lock v:ext="edit" aspectratio="t"/>
            <w10:wrap type="none"/>
            <w10:anchorlock/>
          </v:shape>
          <o:OLEObject Type="Embed" ProgID="Picture.PicObj.1" ShapeID="_x0000_i1028" DrawAspect="Content" ObjectID="_1468075728" r:id="rId20">
            <o:LockedField>false</o:LockedField>
          </o:OLEObject>
        </w:object>
      </w:r>
    </w:p>
    <w:p>
      <w:pPr>
        <w:spacing w:line="560" w:lineRule="exact"/>
        <w:ind w:firstLine="3365" w:firstLineChars="1202"/>
        <w:jc w:val="left"/>
        <w:rPr>
          <w:rFonts w:ascii="仿宋_GB2312" w:hAnsi="仿宋" w:eastAsia="仿宋_GB2312" w:cs="宋体"/>
          <w:bCs/>
          <w:kern w:val="0"/>
          <w:sz w:val="28"/>
          <w:szCs w:val="28"/>
        </w:rPr>
      </w:pPr>
      <w:r>
        <w:rPr>
          <w:rFonts w:hint="eastAsia" w:ascii="仿宋_GB2312" w:hAnsi="仿宋" w:eastAsia="仿宋_GB2312" w:cs="宋体"/>
          <w:bCs/>
          <w:kern w:val="0"/>
          <w:sz w:val="28"/>
          <w:szCs w:val="28"/>
        </w:rPr>
        <w:t>图1  竞赛操作流程图</w:t>
      </w:r>
    </w:p>
    <w:p>
      <w:pPr>
        <w:snapToGrid w:val="0"/>
        <w:spacing w:line="560" w:lineRule="exact"/>
        <w:ind w:firstLine="600" w:firstLineChars="200"/>
        <w:rPr>
          <w:rFonts w:ascii="仿宋_GB2312" w:hAnsi="仿宋" w:eastAsia="仿宋_GB2312" w:cs="Arial"/>
          <w:kern w:val="0"/>
          <w:sz w:val="30"/>
          <w:szCs w:val="30"/>
        </w:rPr>
      </w:pPr>
      <w:r>
        <w:rPr>
          <w:rFonts w:hint="eastAsia" w:ascii="仿宋_GB2312" w:hAnsi="仿宋" w:eastAsia="仿宋_GB2312" w:cs="Arial"/>
          <w:kern w:val="0"/>
          <w:sz w:val="30"/>
          <w:szCs w:val="30"/>
        </w:rPr>
        <w:t>（四）竞赛日程</w:t>
      </w:r>
    </w:p>
    <w:p>
      <w:pPr>
        <w:snapToGrid w:val="0"/>
        <w:spacing w:line="560" w:lineRule="exact"/>
        <w:ind w:firstLine="600" w:firstLineChars="200"/>
        <w:rPr>
          <w:rFonts w:ascii="黑体" w:hAnsi="黑体" w:eastAsia="黑体" w:cs="黑体"/>
          <w:b/>
          <w:sz w:val="30"/>
          <w:szCs w:val="30"/>
        </w:rPr>
      </w:pPr>
      <w:r>
        <w:rPr>
          <w:rFonts w:hint="eastAsia" w:ascii="仿宋_GB2312" w:hAnsi="仿宋" w:eastAsia="仿宋_GB2312" w:cs="仿宋_GB2312"/>
          <w:sz w:val="30"/>
          <w:szCs w:val="30"/>
        </w:rPr>
        <w:t>具体的竞赛日期，由全国职业院校技能大赛执委会及赛区执委会统一规定，以下所列为竞赛期间的日程安排表</w:t>
      </w:r>
    </w:p>
    <w:tbl>
      <w:tblPr>
        <w:tblStyle w:val="9"/>
        <w:tblW w:w="87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6"/>
        <w:gridCol w:w="1942"/>
        <w:gridCol w:w="4478"/>
        <w:gridCol w:w="12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086" w:type="dxa"/>
            <w:vAlign w:val="center"/>
          </w:tcPr>
          <w:p>
            <w:pPr>
              <w:adjustRightInd w:val="0"/>
              <w:snapToGrid w:val="0"/>
              <w:jc w:val="center"/>
              <w:rPr>
                <w:rFonts w:ascii="宋体" w:hAnsi="宋体"/>
                <w:b/>
                <w:sz w:val="24"/>
                <w:szCs w:val="24"/>
              </w:rPr>
            </w:pPr>
            <w:r>
              <w:rPr>
                <w:rFonts w:hint="eastAsia" w:ascii="宋体" w:hAnsi="宋体"/>
                <w:b/>
                <w:sz w:val="24"/>
                <w:szCs w:val="24"/>
              </w:rPr>
              <w:t>日 期</w:t>
            </w:r>
          </w:p>
        </w:tc>
        <w:tc>
          <w:tcPr>
            <w:tcW w:w="1942" w:type="dxa"/>
            <w:vAlign w:val="center"/>
          </w:tcPr>
          <w:p>
            <w:pPr>
              <w:adjustRightInd w:val="0"/>
              <w:snapToGrid w:val="0"/>
              <w:jc w:val="center"/>
              <w:rPr>
                <w:rFonts w:ascii="宋体" w:hAnsi="宋体"/>
                <w:b/>
                <w:sz w:val="24"/>
                <w:szCs w:val="24"/>
              </w:rPr>
            </w:pPr>
            <w:r>
              <w:rPr>
                <w:rFonts w:hint="eastAsia" w:ascii="宋体" w:hAnsi="宋体"/>
                <w:b/>
                <w:sz w:val="24"/>
                <w:szCs w:val="24"/>
              </w:rPr>
              <w:t>时 间</w:t>
            </w:r>
          </w:p>
        </w:tc>
        <w:tc>
          <w:tcPr>
            <w:tcW w:w="4478" w:type="dxa"/>
            <w:vAlign w:val="center"/>
          </w:tcPr>
          <w:p>
            <w:pPr>
              <w:adjustRightInd w:val="0"/>
              <w:snapToGrid w:val="0"/>
              <w:jc w:val="center"/>
              <w:rPr>
                <w:rFonts w:ascii="宋体" w:hAnsi="宋体"/>
                <w:b/>
                <w:sz w:val="24"/>
                <w:szCs w:val="24"/>
              </w:rPr>
            </w:pPr>
            <w:r>
              <w:rPr>
                <w:rFonts w:hint="eastAsia" w:ascii="宋体" w:hAnsi="宋体"/>
                <w:b/>
                <w:sz w:val="24"/>
                <w:szCs w:val="24"/>
              </w:rPr>
              <w:t>内  容</w:t>
            </w:r>
          </w:p>
        </w:tc>
        <w:tc>
          <w:tcPr>
            <w:tcW w:w="1234" w:type="dxa"/>
            <w:vAlign w:val="center"/>
          </w:tcPr>
          <w:p>
            <w:pPr>
              <w:adjustRightInd w:val="0"/>
              <w:snapToGrid w:val="0"/>
              <w:jc w:val="center"/>
              <w:rPr>
                <w:rFonts w:ascii="宋体" w:hAnsi="宋体"/>
                <w:b/>
                <w:sz w:val="24"/>
                <w:szCs w:val="24"/>
              </w:rPr>
            </w:pPr>
            <w:r>
              <w:rPr>
                <w:rFonts w:hint="eastAsia" w:ascii="宋体" w:hAnsi="宋体" w:cs="宋体"/>
                <w:b/>
                <w:spacing w:val="-2"/>
                <w:sz w:val="24"/>
                <w:szCs w:val="24"/>
              </w:rPr>
              <w:t>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086" w:type="dxa"/>
            <w:vMerge w:val="restart"/>
            <w:vAlign w:val="center"/>
          </w:tcPr>
          <w:p>
            <w:pPr>
              <w:adjustRightInd w:val="0"/>
              <w:snapToGrid w:val="0"/>
              <w:jc w:val="center"/>
              <w:rPr>
                <w:rFonts w:ascii="宋体" w:hAnsi="宋体"/>
                <w:sz w:val="24"/>
                <w:szCs w:val="24"/>
              </w:rPr>
            </w:pPr>
            <w:r>
              <w:rPr>
                <w:rFonts w:hint="eastAsia" w:ascii="宋体" w:hAnsi="宋体"/>
                <w:sz w:val="24"/>
                <w:szCs w:val="24"/>
              </w:rPr>
              <w:t>第一天</w:t>
            </w:r>
          </w:p>
        </w:tc>
        <w:tc>
          <w:tcPr>
            <w:tcW w:w="1942" w:type="dxa"/>
            <w:vAlign w:val="center"/>
          </w:tcPr>
          <w:p>
            <w:pPr>
              <w:adjustRightInd w:val="0"/>
              <w:snapToGrid w:val="0"/>
              <w:jc w:val="center"/>
              <w:rPr>
                <w:rFonts w:ascii="宋体" w:hAnsi="宋体"/>
                <w:sz w:val="24"/>
                <w:szCs w:val="24"/>
              </w:rPr>
            </w:pPr>
            <w:r>
              <w:rPr>
                <w:rFonts w:hint="eastAsia" w:ascii="宋体" w:hAnsi="宋体"/>
                <w:sz w:val="24"/>
                <w:szCs w:val="24"/>
              </w:rPr>
              <w:t>13:30</w:t>
            </w:r>
            <w:r>
              <w:rPr>
                <w:rFonts w:hint="eastAsia" w:ascii="宋体" w:hAnsi="宋体" w:cs="宋体"/>
                <w:bCs/>
                <w:spacing w:val="-2"/>
                <w:sz w:val="24"/>
                <w:szCs w:val="24"/>
              </w:rPr>
              <w:t>前</w:t>
            </w:r>
          </w:p>
        </w:tc>
        <w:tc>
          <w:tcPr>
            <w:tcW w:w="4478" w:type="dxa"/>
            <w:vAlign w:val="center"/>
          </w:tcPr>
          <w:p>
            <w:pPr>
              <w:adjustRightInd w:val="0"/>
              <w:snapToGrid w:val="0"/>
              <w:jc w:val="center"/>
              <w:rPr>
                <w:rFonts w:ascii="宋体" w:hAnsi="宋体"/>
                <w:sz w:val="24"/>
                <w:szCs w:val="24"/>
              </w:rPr>
            </w:pPr>
            <w:r>
              <w:rPr>
                <w:rFonts w:hint="eastAsia" w:ascii="宋体" w:hAnsi="宋体"/>
                <w:sz w:val="24"/>
                <w:szCs w:val="24"/>
              </w:rPr>
              <w:t>各参赛队、裁判员办理报到手续</w:t>
            </w:r>
          </w:p>
        </w:tc>
        <w:tc>
          <w:tcPr>
            <w:tcW w:w="1234" w:type="dxa"/>
            <w:vAlign w:val="center"/>
          </w:tcPr>
          <w:p>
            <w:pPr>
              <w:jc w:val="center"/>
              <w:textAlignment w:val="baseline"/>
              <w:rPr>
                <w:rFonts w:ascii="宋体" w:hAnsi="宋体" w:cs="宋体"/>
                <w:bCs/>
                <w:spacing w:val="-2"/>
                <w:sz w:val="24"/>
                <w:szCs w:val="24"/>
              </w:rPr>
            </w:pPr>
            <w:r>
              <w:rPr>
                <w:rFonts w:hint="eastAsia" w:ascii="宋体" w:hAnsi="宋体" w:cs="宋体"/>
                <w:bCs/>
                <w:spacing w:val="-2"/>
                <w:sz w:val="24"/>
                <w:szCs w:val="24"/>
              </w:rPr>
              <w:t>酒店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086" w:type="dxa"/>
            <w:vMerge w:val="continue"/>
            <w:vAlign w:val="center"/>
          </w:tcPr>
          <w:p>
            <w:pPr>
              <w:adjustRightInd w:val="0"/>
              <w:snapToGrid w:val="0"/>
              <w:jc w:val="center"/>
              <w:rPr>
                <w:rFonts w:ascii="宋体" w:hAnsi="宋体"/>
                <w:sz w:val="24"/>
                <w:szCs w:val="24"/>
              </w:rPr>
            </w:pPr>
          </w:p>
        </w:tc>
        <w:tc>
          <w:tcPr>
            <w:tcW w:w="1942" w:type="dxa"/>
            <w:vAlign w:val="center"/>
          </w:tcPr>
          <w:p>
            <w:pPr>
              <w:adjustRightInd w:val="0"/>
              <w:snapToGrid w:val="0"/>
              <w:jc w:val="center"/>
              <w:rPr>
                <w:rFonts w:ascii="宋体" w:hAnsi="宋体"/>
                <w:sz w:val="24"/>
                <w:szCs w:val="24"/>
              </w:rPr>
            </w:pPr>
            <w:r>
              <w:rPr>
                <w:rFonts w:hint="eastAsia" w:ascii="宋体" w:hAnsi="宋体" w:cs="宋体"/>
                <w:bCs/>
                <w:spacing w:val="-2"/>
                <w:sz w:val="24"/>
                <w:szCs w:val="24"/>
              </w:rPr>
              <w:t>14:00-15:00</w:t>
            </w:r>
          </w:p>
        </w:tc>
        <w:tc>
          <w:tcPr>
            <w:tcW w:w="4478" w:type="dxa"/>
            <w:vAlign w:val="center"/>
          </w:tcPr>
          <w:p>
            <w:pPr>
              <w:adjustRightInd w:val="0"/>
              <w:snapToGrid w:val="0"/>
              <w:jc w:val="center"/>
              <w:rPr>
                <w:rFonts w:ascii="宋体" w:hAnsi="宋体"/>
                <w:sz w:val="24"/>
                <w:szCs w:val="24"/>
              </w:rPr>
            </w:pPr>
            <w:r>
              <w:rPr>
                <w:rFonts w:hint="eastAsia" w:ascii="宋体" w:hAnsi="宋体" w:cs="宋体"/>
                <w:bCs/>
                <w:spacing w:val="-2"/>
                <w:sz w:val="24"/>
                <w:szCs w:val="24"/>
              </w:rPr>
              <w:t>领队会（分组抽签、赛前说明）</w:t>
            </w:r>
          </w:p>
        </w:tc>
        <w:tc>
          <w:tcPr>
            <w:tcW w:w="1234" w:type="dxa"/>
            <w:vAlign w:val="center"/>
          </w:tcPr>
          <w:p>
            <w:pPr>
              <w:jc w:val="center"/>
              <w:textAlignment w:val="baseline"/>
              <w:rPr>
                <w:rFonts w:ascii="宋体" w:hAnsi="宋体"/>
                <w:sz w:val="24"/>
                <w:szCs w:val="24"/>
              </w:rPr>
            </w:pPr>
            <w:r>
              <w:rPr>
                <w:rFonts w:hint="eastAsia" w:ascii="宋体" w:hAnsi="宋体" w:cs="宋体"/>
                <w:bCs/>
                <w:spacing w:val="-2"/>
                <w:sz w:val="24"/>
                <w:szCs w:val="24"/>
              </w:rPr>
              <w:t>报告厅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086" w:type="dxa"/>
            <w:vMerge w:val="continue"/>
            <w:vAlign w:val="center"/>
          </w:tcPr>
          <w:p>
            <w:pPr>
              <w:adjustRightInd w:val="0"/>
              <w:snapToGrid w:val="0"/>
              <w:jc w:val="center"/>
              <w:rPr>
                <w:rFonts w:ascii="宋体" w:hAnsi="宋体"/>
                <w:sz w:val="24"/>
                <w:szCs w:val="24"/>
              </w:rPr>
            </w:pPr>
          </w:p>
        </w:tc>
        <w:tc>
          <w:tcPr>
            <w:tcW w:w="1942" w:type="dxa"/>
            <w:vAlign w:val="center"/>
          </w:tcPr>
          <w:p>
            <w:pPr>
              <w:jc w:val="center"/>
              <w:textAlignment w:val="baseline"/>
              <w:rPr>
                <w:rFonts w:ascii="宋体" w:hAnsi="宋体" w:cs="宋体"/>
                <w:bCs/>
                <w:spacing w:val="-2"/>
                <w:sz w:val="24"/>
                <w:szCs w:val="24"/>
              </w:rPr>
            </w:pPr>
            <w:r>
              <w:rPr>
                <w:rFonts w:hint="eastAsia" w:ascii="宋体" w:hAnsi="宋体" w:cs="宋体"/>
                <w:bCs/>
                <w:spacing w:val="-2"/>
                <w:sz w:val="24"/>
                <w:szCs w:val="24"/>
              </w:rPr>
              <w:t>15:30-16:30</w:t>
            </w:r>
          </w:p>
        </w:tc>
        <w:tc>
          <w:tcPr>
            <w:tcW w:w="4478" w:type="dxa"/>
            <w:vAlign w:val="center"/>
          </w:tcPr>
          <w:p>
            <w:pPr>
              <w:jc w:val="center"/>
              <w:textAlignment w:val="baseline"/>
              <w:rPr>
                <w:rFonts w:ascii="宋体" w:hAnsi="宋体" w:cs="宋体"/>
                <w:bCs/>
                <w:spacing w:val="-2"/>
                <w:sz w:val="24"/>
                <w:szCs w:val="24"/>
              </w:rPr>
            </w:pPr>
            <w:r>
              <w:rPr>
                <w:rFonts w:hint="eastAsia" w:ascii="宋体" w:hAnsi="宋体" w:cs="宋体"/>
                <w:bCs/>
                <w:spacing w:val="-2"/>
                <w:sz w:val="24"/>
                <w:szCs w:val="24"/>
              </w:rPr>
              <w:t>大赛开赛式</w:t>
            </w:r>
          </w:p>
        </w:tc>
        <w:tc>
          <w:tcPr>
            <w:tcW w:w="1234" w:type="dxa"/>
            <w:vAlign w:val="center"/>
          </w:tcPr>
          <w:p>
            <w:pPr>
              <w:jc w:val="center"/>
              <w:textAlignment w:val="baseline"/>
              <w:rPr>
                <w:rFonts w:ascii="宋体" w:hAnsi="宋体" w:cs="宋体"/>
                <w:bCs/>
                <w:spacing w:val="-2"/>
                <w:sz w:val="24"/>
                <w:szCs w:val="24"/>
              </w:rPr>
            </w:pPr>
            <w:r>
              <w:rPr>
                <w:rFonts w:hint="eastAsia" w:ascii="宋体" w:hAnsi="宋体" w:cs="宋体"/>
                <w:bCs/>
                <w:spacing w:val="-2"/>
                <w:sz w:val="24"/>
                <w:szCs w:val="24"/>
              </w:rPr>
              <w:t>报告厅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086" w:type="dxa"/>
            <w:vMerge w:val="continue"/>
            <w:vAlign w:val="center"/>
          </w:tcPr>
          <w:p>
            <w:pPr>
              <w:adjustRightInd w:val="0"/>
              <w:snapToGrid w:val="0"/>
              <w:jc w:val="center"/>
              <w:rPr>
                <w:rFonts w:ascii="宋体" w:hAnsi="宋体"/>
                <w:sz w:val="24"/>
                <w:szCs w:val="24"/>
              </w:rPr>
            </w:pPr>
          </w:p>
        </w:tc>
        <w:tc>
          <w:tcPr>
            <w:tcW w:w="1942" w:type="dxa"/>
            <w:vAlign w:val="center"/>
          </w:tcPr>
          <w:p>
            <w:pPr>
              <w:adjustRightInd w:val="0"/>
              <w:snapToGrid w:val="0"/>
              <w:jc w:val="center"/>
              <w:rPr>
                <w:rFonts w:ascii="宋体" w:hAnsi="宋体"/>
                <w:sz w:val="24"/>
                <w:szCs w:val="24"/>
              </w:rPr>
            </w:pPr>
            <w:r>
              <w:rPr>
                <w:rFonts w:hint="eastAsia" w:ascii="宋体" w:hAnsi="宋体" w:cs="宋体"/>
                <w:bCs/>
                <w:spacing w:val="-2"/>
                <w:sz w:val="24"/>
                <w:szCs w:val="24"/>
              </w:rPr>
              <w:t>16:30-17:00</w:t>
            </w:r>
          </w:p>
        </w:tc>
        <w:tc>
          <w:tcPr>
            <w:tcW w:w="4478" w:type="dxa"/>
            <w:vAlign w:val="center"/>
          </w:tcPr>
          <w:p>
            <w:pPr>
              <w:jc w:val="center"/>
              <w:textAlignment w:val="baseline"/>
              <w:rPr>
                <w:rFonts w:ascii="宋体" w:hAnsi="宋体" w:cs="宋体"/>
                <w:bCs/>
                <w:spacing w:val="-2"/>
                <w:sz w:val="24"/>
                <w:szCs w:val="24"/>
              </w:rPr>
            </w:pPr>
            <w:r>
              <w:rPr>
                <w:rFonts w:hint="eastAsia" w:ascii="宋体" w:hAnsi="宋体" w:cs="宋体"/>
                <w:bCs/>
                <w:spacing w:val="-2"/>
                <w:sz w:val="24"/>
                <w:szCs w:val="24"/>
              </w:rPr>
              <w:t>选手熟悉赛场</w:t>
            </w:r>
          </w:p>
          <w:p>
            <w:pPr>
              <w:adjustRightInd w:val="0"/>
              <w:snapToGrid w:val="0"/>
              <w:jc w:val="center"/>
              <w:rPr>
                <w:rFonts w:ascii="宋体" w:hAnsi="宋体"/>
                <w:sz w:val="24"/>
                <w:szCs w:val="24"/>
              </w:rPr>
            </w:pPr>
            <w:r>
              <w:rPr>
                <w:rFonts w:hint="eastAsia" w:ascii="宋体" w:hAnsi="宋体" w:cs="宋体"/>
                <w:bCs/>
                <w:spacing w:val="-2"/>
                <w:sz w:val="24"/>
                <w:szCs w:val="24"/>
              </w:rPr>
              <w:t>（限定在观摩区，不进入比赛区）</w:t>
            </w:r>
          </w:p>
        </w:tc>
        <w:tc>
          <w:tcPr>
            <w:tcW w:w="1234" w:type="dxa"/>
            <w:vAlign w:val="center"/>
          </w:tcPr>
          <w:p>
            <w:pPr>
              <w:adjustRightInd w:val="0"/>
              <w:snapToGrid w:val="0"/>
              <w:jc w:val="center"/>
              <w:rPr>
                <w:rFonts w:ascii="宋体" w:hAnsi="宋体"/>
                <w:sz w:val="24"/>
                <w:szCs w:val="24"/>
              </w:rPr>
            </w:pPr>
            <w:r>
              <w:rPr>
                <w:rFonts w:hint="eastAsia" w:ascii="宋体" w:hAnsi="宋体" w:cs="宋体"/>
                <w:bCs/>
                <w:spacing w:val="-2"/>
                <w:sz w:val="24"/>
                <w:szCs w:val="24"/>
              </w:rPr>
              <w:t>赛场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086" w:type="dxa"/>
            <w:vMerge w:val="restart"/>
            <w:vAlign w:val="center"/>
          </w:tcPr>
          <w:p>
            <w:pPr>
              <w:adjustRightInd w:val="0"/>
              <w:snapToGrid w:val="0"/>
              <w:jc w:val="center"/>
              <w:rPr>
                <w:rFonts w:ascii="宋体" w:hAnsi="宋体"/>
                <w:sz w:val="24"/>
                <w:szCs w:val="24"/>
              </w:rPr>
            </w:pPr>
            <w:r>
              <w:rPr>
                <w:rFonts w:hint="eastAsia" w:ascii="宋体" w:hAnsi="宋体"/>
                <w:sz w:val="24"/>
                <w:szCs w:val="24"/>
              </w:rPr>
              <w:t>第二天</w:t>
            </w:r>
          </w:p>
        </w:tc>
        <w:tc>
          <w:tcPr>
            <w:tcW w:w="1942" w:type="dxa"/>
            <w:vAlign w:val="center"/>
          </w:tcPr>
          <w:p>
            <w:pPr>
              <w:adjustRightInd w:val="0"/>
              <w:snapToGrid w:val="0"/>
              <w:jc w:val="center"/>
              <w:rPr>
                <w:rFonts w:ascii="宋体" w:hAnsi="宋体" w:cs="宋体"/>
                <w:bCs/>
                <w:spacing w:val="-2"/>
                <w:sz w:val="24"/>
                <w:szCs w:val="24"/>
              </w:rPr>
            </w:pPr>
            <w:r>
              <w:rPr>
                <w:rFonts w:hint="eastAsia" w:ascii="宋体" w:hAnsi="宋体" w:cs="宋体"/>
                <w:bCs/>
                <w:spacing w:val="-2"/>
                <w:sz w:val="24"/>
                <w:szCs w:val="24"/>
              </w:rPr>
              <w:t>7:20</w:t>
            </w:r>
          </w:p>
        </w:tc>
        <w:tc>
          <w:tcPr>
            <w:tcW w:w="4478" w:type="dxa"/>
            <w:vAlign w:val="center"/>
          </w:tcPr>
          <w:p>
            <w:pPr>
              <w:jc w:val="center"/>
              <w:textAlignment w:val="baseline"/>
              <w:rPr>
                <w:rFonts w:ascii="宋体" w:hAnsi="宋体" w:cs="宋体"/>
                <w:bCs/>
                <w:spacing w:val="-2"/>
                <w:sz w:val="24"/>
                <w:szCs w:val="24"/>
              </w:rPr>
            </w:pPr>
            <w:r>
              <w:rPr>
                <w:rFonts w:hint="eastAsia" w:ascii="宋体" w:hAnsi="宋体" w:cs="宋体"/>
                <w:bCs/>
                <w:spacing w:val="-2"/>
                <w:sz w:val="24"/>
                <w:szCs w:val="24"/>
              </w:rPr>
              <w:t>第一批选手集合上车</w:t>
            </w:r>
          </w:p>
        </w:tc>
        <w:tc>
          <w:tcPr>
            <w:tcW w:w="1234" w:type="dxa"/>
            <w:vAlign w:val="center"/>
          </w:tcPr>
          <w:p>
            <w:pPr>
              <w:jc w:val="center"/>
              <w:textAlignment w:val="baseline"/>
              <w:rPr>
                <w:rFonts w:ascii="宋体" w:hAnsi="宋体" w:cs="宋体"/>
                <w:bCs/>
                <w:spacing w:val="-2"/>
                <w:sz w:val="24"/>
                <w:szCs w:val="24"/>
              </w:rPr>
            </w:pPr>
            <w:r>
              <w:rPr>
                <w:rFonts w:hint="eastAsia" w:ascii="宋体" w:hAnsi="宋体" w:cs="宋体"/>
                <w:bCs/>
                <w:spacing w:val="-2"/>
                <w:sz w:val="24"/>
                <w:szCs w:val="24"/>
              </w:rPr>
              <w:t>酒店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086" w:type="dxa"/>
            <w:vMerge w:val="continue"/>
            <w:vAlign w:val="center"/>
          </w:tcPr>
          <w:p>
            <w:pPr>
              <w:adjustRightInd w:val="0"/>
              <w:snapToGrid w:val="0"/>
              <w:jc w:val="center"/>
              <w:rPr>
                <w:rFonts w:ascii="宋体" w:hAnsi="宋体"/>
                <w:sz w:val="24"/>
                <w:szCs w:val="24"/>
              </w:rPr>
            </w:pPr>
          </w:p>
        </w:tc>
        <w:tc>
          <w:tcPr>
            <w:tcW w:w="1942" w:type="dxa"/>
            <w:vAlign w:val="center"/>
          </w:tcPr>
          <w:p>
            <w:pPr>
              <w:adjustRightInd w:val="0"/>
              <w:snapToGrid w:val="0"/>
              <w:jc w:val="center"/>
              <w:rPr>
                <w:rFonts w:ascii="宋体" w:hAnsi="宋体" w:cs="宋体"/>
                <w:bCs/>
                <w:spacing w:val="-2"/>
                <w:sz w:val="24"/>
                <w:szCs w:val="24"/>
              </w:rPr>
            </w:pPr>
            <w:r>
              <w:rPr>
                <w:rFonts w:hint="eastAsia" w:ascii="宋体" w:hAnsi="宋体" w:cs="宋体"/>
                <w:bCs/>
                <w:spacing w:val="-2"/>
                <w:sz w:val="24"/>
                <w:szCs w:val="24"/>
              </w:rPr>
              <w:t>8:</w:t>
            </w:r>
            <w:r>
              <w:rPr>
                <w:rFonts w:ascii="宋体" w:hAnsi="宋体" w:cs="宋体"/>
                <w:bCs/>
                <w:spacing w:val="-2"/>
                <w:sz w:val="24"/>
                <w:szCs w:val="24"/>
              </w:rPr>
              <w:t>0</w:t>
            </w:r>
            <w:r>
              <w:rPr>
                <w:rFonts w:hint="eastAsia" w:ascii="宋体" w:hAnsi="宋体" w:cs="宋体"/>
                <w:bCs/>
                <w:spacing w:val="-2"/>
                <w:sz w:val="24"/>
                <w:szCs w:val="24"/>
              </w:rPr>
              <w:t>0-8:40</w:t>
            </w:r>
          </w:p>
        </w:tc>
        <w:tc>
          <w:tcPr>
            <w:tcW w:w="4478" w:type="dxa"/>
            <w:vAlign w:val="center"/>
          </w:tcPr>
          <w:p>
            <w:pPr>
              <w:adjustRightInd w:val="0"/>
              <w:snapToGrid w:val="0"/>
              <w:jc w:val="center"/>
              <w:rPr>
                <w:rFonts w:ascii="宋体" w:hAnsi="宋体" w:cs="宋体"/>
                <w:bCs/>
                <w:spacing w:val="-2"/>
                <w:sz w:val="24"/>
                <w:szCs w:val="24"/>
              </w:rPr>
            </w:pPr>
            <w:r>
              <w:rPr>
                <w:rFonts w:hint="eastAsia" w:ascii="宋体" w:hAnsi="宋体" w:cs="宋体"/>
                <w:bCs/>
                <w:spacing w:val="-2"/>
                <w:sz w:val="24"/>
                <w:szCs w:val="24"/>
              </w:rPr>
              <w:t>选手检录、赛位抽签、加密及入场</w:t>
            </w:r>
          </w:p>
        </w:tc>
        <w:tc>
          <w:tcPr>
            <w:tcW w:w="1234" w:type="dxa"/>
            <w:vAlign w:val="center"/>
          </w:tcPr>
          <w:p>
            <w:pPr>
              <w:adjustRightInd w:val="0"/>
              <w:snapToGrid w:val="0"/>
              <w:jc w:val="center"/>
              <w:rPr>
                <w:rFonts w:ascii="宋体" w:hAnsi="宋体" w:cs="宋体"/>
                <w:bCs/>
                <w:spacing w:val="-2"/>
                <w:sz w:val="24"/>
                <w:szCs w:val="24"/>
              </w:rPr>
            </w:pPr>
            <w:r>
              <w:rPr>
                <w:rFonts w:hint="eastAsia" w:ascii="宋体" w:hAnsi="宋体" w:cs="宋体"/>
                <w:bCs/>
                <w:spacing w:val="-2"/>
                <w:sz w:val="24"/>
                <w:szCs w:val="24"/>
              </w:rPr>
              <w:t>赛场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086" w:type="dxa"/>
            <w:vMerge w:val="continue"/>
            <w:vAlign w:val="center"/>
          </w:tcPr>
          <w:p>
            <w:pPr>
              <w:adjustRightInd w:val="0"/>
              <w:snapToGrid w:val="0"/>
              <w:jc w:val="center"/>
              <w:rPr>
                <w:rFonts w:ascii="宋体" w:hAnsi="宋体"/>
                <w:sz w:val="24"/>
                <w:szCs w:val="24"/>
              </w:rPr>
            </w:pPr>
          </w:p>
        </w:tc>
        <w:tc>
          <w:tcPr>
            <w:tcW w:w="1942" w:type="dxa"/>
            <w:vAlign w:val="center"/>
          </w:tcPr>
          <w:p>
            <w:pPr>
              <w:adjustRightInd w:val="0"/>
              <w:snapToGrid w:val="0"/>
              <w:jc w:val="center"/>
              <w:rPr>
                <w:rFonts w:ascii="宋体" w:hAnsi="宋体" w:cs="宋体"/>
                <w:bCs/>
                <w:spacing w:val="-2"/>
                <w:sz w:val="24"/>
                <w:szCs w:val="24"/>
              </w:rPr>
            </w:pPr>
            <w:r>
              <w:rPr>
                <w:rFonts w:hint="eastAsia" w:ascii="宋体" w:hAnsi="宋体" w:cs="宋体"/>
                <w:bCs/>
                <w:spacing w:val="-2"/>
                <w:sz w:val="24"/>
                <w:szCs w:val="24"/>
              </w:rPr>
              <w:t>8:40-9:00</w:t>
            </w:r>
          </w:p>
        </w:tc>
        <w:tc>
          <w:tcPr>
            <w:tcW w:w="4478" w:type="dxa"/>
            <w:vAlign w:val="center"/>
          </w:tcPr>
          <w:p>
            <w:pPr>
              <w:adjustRightInd w:val="0"/>
              <w:snapToGrid w:val="0"/>
              <w:jc w:val="center"/>
              <w:rPr>
                <w:rFonts w:ascii="宋体" w:hAnsi="宋体" w:cs="宋体"/>
                <w:bCs/>
                <w:spacing w:val="-2"/>
                <w:sz w:val="24"/>
                <w:szCs w:val="24"/>
              </w:rPr>
            </w:pPr>
            <w:r>
              <w:rPr>
                <w:rFonts w:hint="eastAsia" w:ascii="宋体" w:hAnsi="宋体" w:cs="宋体"/>
                <w:bCs/>
                <w:spacing w:val="-2"/>
                <w:sz w:val="24"/>
                <w:szCs w:val="24"/>
              </w:rPr>
              <w:t>发放任务书、宣布注意事项、进入工位，进行赛前设备、材料检查</w:t>
            </w:r>
          </w:p>
        </w:tc>
        <w:tc>
          <w:tcPr>
            <w:tcW w:w="1234" w:type="dxa"/>
            <w:vAlign w:val="center"/>
          </w:tcPr>
          <w:p>
            <w:pPr>
              <w:adjustRightInd w:val="0"/>
              <w:snapToGrid w:val="0"/>
              <w:jc w:val="center"/>
              <w:rPr>
                <w:rFonts w:ascii="宋体" w:hAnsi="宋体" w:cs="宋体"/>
                <w:bCs/>
                <w:spacing w:val="-2"/>
                <w:sz w:val="24"/>
                <w:szCs w:val="24"/>
              </w:rPr>
            </w:pPr>
            <w:r>
              <w:rPr>
                <w:rFonts w:hint="eastAsia" w:ascii="宋体" w:hAnsi="宋体" w:cs="宋体"/>
                <w:bCs/>
                <w:spacing w:val="-2"/>
                <w:sz w:val="24"/>
                <w:szCs w:val="24"/>
              </w:rPr>
              <w:t>赛场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086" w:type="dxa"/>
            <w:vMerge w:val="continue"/>
            <w:vAlign w:val="center"/>
          </w:tcPr>
          <w:p>
            <w:pPr>
              <w:adjustRightInd w:val="0"/>
              <w:snapToGrid w:val="0"/>
              <w:jc w:val="center"/>
              <w:rPr>
                <w:rFonts w:ascii="宋体" w:hAnsi="宋体"/>
                <w:sz w:val="24"/>
                <w:szCs w:val="24"/>
              </w:rPr>
            </w:pPr>
          </w:p>
        </w:tc>
        <w:tc>
          <w:tcPr>
            <w:tcW w:w="1942" w:type="dxa"/>
            <w:vAlign w:val="center"/>
          </w:tcPr>
          <w:p>
            <w:pPr>
              <w:adjustRightInd w:val="0"/>
              <w:snapToGrid w:val="0"/>
              <w:jc w:val="center"/>
              <w:rPr>
                <w:rFonts w:ascii="宋体" w:hAnsi="宋体" w:cs="宋体"/>
                <w:bCs/>
                <w:spacing w:val="-2"/>
                <w:sz w:val="24"/>
                <w:szCs w:val="24"/>
              </w:rPr>
            </w:pPr>
            <w:r>
              <w:rPr>
                <w:rFonts w:hint="eastAsia" w:ascii="宋体" w:hAnsi="宋体" w:cs="宋体"/>
                <w:bCs/>
                <w:spacing w:val="-2"/>
                <w:sz w:val="24"/>
                <w:szCs w:val="24"/>
              </w:rPr>
              <w:t>9:00-1</w:t>
            </w:r>
            <w:r>
              <w:rPr>
                <w:rFonts w:ascii="宋体" w:hAnsi="宋体" w:cs="宋体"/>
                <w:bCs/>
                <w:spacing w:val="-2"/>
                <w:sz w:val="24"/>
                <w:szCs w:val="24"/>
              </w:rPr>
              <w:t>4</w:t>
            </w:r>
            <w:r>
              <w:rPr>
                <w:rFonts w:hint="eastAsia" w:ascii="宋体" w:hAnsi="宋体" w:cs="宋体"/>
                <w:bCs/>
                <w:spacing w:val="-2"/>
                <w:sz w:val="24"/>
                <w:szCs w:val="24"/>
              </w:rPr>
              <w:t>:00</w:t>
            </w:r>
          </w:p>
        </w:tc>
        <w:tc>
          <w:tcPr>
            <w:tcW w:w="4478" w:type="dxa"/>
            <w:vAlign w:val="center"/>
          </w:tcPr>
          <w:p>
            <w:pPr>
              <w:adjustRightInd w:val="0"/>
              <w:snapToGrid w:val="0"/>
              <w:jc w:val="center"/>
              <w:rPr>
                <w:rFonts w:ascii="宋体" w:hAnsi="宋体" w:cs="宋体"/>
                <w:bCs/>
                <w:spacing w:val="-2"/>
                <w:sz w:val="24"/>
                <w:szCs w:val="24"/>
              </w:rPr>
            </w:pPr>
            <w:r>
              <w:rPr>
                <w:rFonts w:hint="eastAsia" w:ascii="宋体" w:hAnsi="宋体" w:cs="宋体"/>
                <w:bCs/>
                <w:spacing w:val="-2"/>
                <w:sz w:val="24"/>
                <w:szCs w:val="24"/>
              </w:rPr>
              <w:t>第一场竞赛（评分裁判在工作室工作）</w:t>
            </w:r>
          </w:p>
        </w:tc>
        <w:tc>
          <w:tcPr>
            <w:tcW w:w="1234" w:type="dxa"/>
            <w:vAlign w:val="center"/>
          </w:tcPr>
          <w:p>
            <w:pPr>
              <w:adjustRightInd w:val="0"/>
              <w:snapToGrid w:val="0"/>
              <w:jc w:val="center"/>
              <w:rPr>
                <w:rFonts w:ascii="宋体" w:hAnsi="宋体" w:cs="宋体"/>
                <w:bCs/>
                <w:spacing w:val="-2"/>
                <w:sz w:val="24"/>
                <w:szCs w:val="24"/>
              </w:rPr>
            </w:pPr>
            <w:r>
              <w:rPr>
                <w:rFonts w:hint="eastAsia" w:ascii="宋体" w:hAnsi="宋体" w:cs="宋体"/>
                <w:bCs/>
                <w:spacing w:val="-2"/>
                <w:sz w:val="24"/>
                <w:szCs w:val="24"/>
              </w:rPr>
              <w:t>赛场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086" w:type="dxa"/>
            <w:vMerge w:val="continue"/>
            <w:vAlign w:val="center"/>
          </w:tcPr>
          <w:p>
            <w:pPr>
              <w:adjustRightInd w:val="0"/>
              <w:snapToGrid w:val="0"/>
              <w:jc w:val="center"/>
              <w:rPr>
                <w:rFonts w:ascii="宋体" w:hAnsi="宋体"/>
                <w:sz w:val="24"/>
                <w:szCs w:val="24"/>
              </w:rPr>
            </w:pPr>
          </w:p>
        </w:tc>
        <w:tc>
          <w:tcPr>
            <w:tcW w:w="1942" w:type="dxa"/>
            <w:vAlign w:val="center"/>
          </w:tcPr>
          <w:p>
            <w:pPr>
              <w:adjustRightInd w:val="0"/>
              <w:snapToGrid w:val="0"/>
              <w:jc w:val="center"/>
              <w:rPr>
                <w:rFonts w:ascii="宋体" w:hAnsi="宋体" w:cs="宋体"/>
                <w:bCs/>
                <w:spacing w:val="-2"/>
                <w:sz w:val="24"/>
                <w:szCs w:val="24"/>
              </w:rPr>
            </w:pPr>
            <w:r>
              <w:rPr>
                <w:rFonts w:hint="eastAsia" w:ascii="宋体" w:hAnsi="宋体" w:cs="宋体"/>
                <w:bCs/>
                <w:spacing w:val="-2"/>
                <w:sz w:val="24"/>
                <w:szCs w:val="24"/>
              </w:rPr>
              <w:t>12:00-13:00</w:t>
            </w:r>
          </w:p>
        </w:tc>
        <w:tc>
          <w:tcPr>
            <w:tcW w:w="4478" w:type="dxa"/>
            <w:vAlign w:val="center"/>
          </w:tcPr>
          <w:p>
            <w:pPr>
              <w:adjustRightInd w:val="0"/>
              <w:snapToGrid w:val="0"/>
              <w:jc w:val="center"/>
              <w:rPr>
                <w:rFonts w:ascii="宋体" w:hAnsi="宋体" w:cs="宋体"/>
                <w:bCs/>
                <w:spacing w:val="-2"/>
                <w:sz w:val="24"/>
                <w:szCs w:val="24"/>
              </w:rPr>
            </w:pPr>
            <w:r>
              <w:rPr>
                <w:rFonts w:hint="eastAsia" w:ascii="宋体" w:hAnsi="宋体" w:cs="宋体"/>
                <w:bCs/>
                <w:spacing w:val="-2"/>
                <w:sz w:val="24"/>
                <w:szCs w:val="24"/>
              </w:rPr>
              <w:t>参赛选手、裁判在赛场内就餐；指导教师在休息区就餐</w:t>
            </w:r>
          </w:p>
        </w:tc>
        <w:tc>
          <w:tcPr>
            <w:tcW w:w="1234" w:type="dxa"/>
            <w:vAlign w:val="center"/>
          </w:tcPr>
          <w:p>
            <w:pPr>
              <w:adjustRightInd w:val="0"/>
              <w:snapToGrid w:val="0"/>
              <w:jc w:val="center"/>
              <w:rPr>
                <w:rFonts w:ascii="宋体" w:hAnsi="宋体" w:cs="宋体"/>
                <w:bCs/>
                <w:spacing w:val="-2"/>
                <w:sz w:val="24"/>
                <w:szCs w:val="24"/>
              </w:rPr>
            </w:pPr>
            <w:r>
              <w:rPr>
                <w:rFonts w:hint="eastAsia" w:ascii="宋体" w:hAnsi="宋体" w:cs="宋体"/>
                <w:bCs/>
                <w:spacing w:val="-2"/>
                <w:sz w:val="24"/>
                <w:szCs w:val="24"/>
              </w:rPr>
              <w:t>赛场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086" w:type="dxa"/>
            <w:vMerge w:val="continue"/>
            <w:vAlign w:val="center"/>
          </w:tcPr>
          <w:p>
            <w:pPr>
              <w:adjustRightInd w:val="0"/>
              <w:snapToGrid w:val="0"/>
              <w:jc w:val="center"/>
              <w:rPr>
                <w:rFonts w:ascii="宋体" w:hAnsi="宋体"/>
                <w:sz w:val="24"/>
                <w:szCs w:val="24"/>
              </w:rPr>
            </w:pPr>
          </w:p>
        </w:tc>
        <w:tc>
          <w:tcPr>
            <w:tcW w:w="1942" w:type="dxa"/>
            <w:vAlign w:val="center"/>
          </w:tcPr>
          <w:p>
            <w:pPr>
              <w:adjustRightInd w:val="0"/>
              <w:snapToGrid w:val="0"/>
              <w:jc w:val="center"/>
              <w:rPr>
                <w:rFonts w:ascii="宋体" w:hAnsi="宋体" w:cs="宋体"/>
                <w:bCs/>
                <w:spacing w:val="-2"/>
                <w:sz w:val="24"/>
                <w:szCs w:val="24"/>
              </w:rPr>
            </w:pPr>
            <w:r>
              <w:rPr>
                <w:rFonts w:ascii="宋体" w:hAnsi="宋体" w:cs="宋体"/>
                <w:bCs/>
                <w:spacing w:val="-2"/>
                <w:sz w:val="24"/>
                <w:szCs w:val="24"/>
              </w:rPr>
              <w:t>14:</w:t>
            </w:r>
            <w:r>
              <w:rPr>
                <w:rFonts w:hint="eastAsia" w:ascii="宋体" w:hAnsi="宋体" w:cs="宋体"/>
                <w:bCs/>
                <w:spacing w:val="-2"/>
                <w:sz w:val="24"/>
                <w:szCs w:val="24"/>
              </w:rPr>
              <w:t>0</w:t>
            </w:r>
            <w:r>
              <w:rPr>
                <w:rFonts w:ascii="宋体" w:hAnsi="宋体" w:cs="宋体"/>
                <w:bCs/>
                <w:spacing w:val="-2"/>
                <w:sz w:val="24"/>
                <w:szCs w:val="24"/>
              </w:rPr>
              <w:t>0-16:</w:t>
            </w:r>
            <w:r>
              <w:rPr>
                <w:rFonts w:hint="eastAsia" w:ascii="宋体" w:hAnsi="宋体" w:cs="宋体"/>
                <w:bCs/>
                <w:spacing w:val="-2"/>
                <w:sz w:val="24"/>
                <w:szCs w:val="24"/>
              </w:rPr>
              <w:t>0</w:t>
            </w:r>
            <w:r>
              <w:rPr>
                <w:rFonts w:ascii="宋体" w:hAnsi="宋体" w:cs="宋体"/>
                <w:bCs/>
                <w:spacing w:val="-2"/>
                <w:sz w:val="24"/>
                <w:szCs w:val="24"/>
              </w:rPr>
              <w:t>0</w:t>
            </w:r>
          </w:p>
        </w:tc>
        <w:tc>
          <w:tcPr>
            <w:tcW w:w="4478" w:type="dxa"/>
            <w:vAlign w:val="center"/>
          </w:tcPr>
          <w:p>
            <w:pPr>
              <w:adjustRightInd w:val="0"/>
              <w:snapToGrid w:val="0"/>
              <w:jc w:val="center"/>
              <w:rPr>
                <w:rFonts w:ascii="宋体" w:hAnsi="宋体" w:cs="宋体"/>
                <w:bCs/>
                <w:spacing w:val="-2"/>
                <w:sz w:val="24"/>
                <w:szCs w:val="24"/>
              </w:rPr>
            </w:pPr>
            <w:r>
              <w:rPr>
                <w:rFonts w:hint="eastAsia" w:ascii="宋体" w:hAnsi="宋体" w:cs="宋体"/>
                <w:bCs/>
                <w:spacing w:val="-2"/>
                <w:sz w:val="24"/>
                <w:szCs w:val="24"/>
              </w:rPr>
              <w:t>评分裁判评分，竞赛选手到指定地点等候</w:t>
            </w:r>
          </w:p>
        </w:tc>
        <w:tc>
          <w:tcPr>
            <w:tcW w:w="1234" w:type="dxa"/>
            <w:vAlign w:val="center"/>
          </w:tcPr>
          <w:p>
            <w:pPr>
              <w:adjustRightInd w:val="0"/>
              <w:snapToGrid w:val="0"/>
              <w:jc w:val="center"/>
              <w:rPr>
                <w:rFonts w:ascii="宋体" w:hAnsi="宋体" w:cs="宋体"/>
                <w:bCs/>
                <w:spacing w:val="-2"/>
                <w:sz w:val="24"/>
                <w:szCs w:val="24"/>
              </w:rPr>
            </w:pPr>
            <w:r>
              <w:rPr>
                <w:rFonts w:hint="eastAsia" w:ascii="宋体" w:hAnsi="宋体" w:cs="宋体"/>
                <w:bCs/>
                <w:spacing w:val="-2"/>
                <w:sz w:val="24"/>
                <w:szCs w:val="24"/>
              </w:rPr>
              <w:t>赛场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086" w:type="dxa"/>
            <w:vMerge w:val="restart"/>
            <w:vAlign w:val="center"/>
          </w:tcPr>
          <w:p>
            <w:pPr>
              <w:adjustRightInd w:val="0"/>
              <w:snapToGrid w:val="0"/>
              <w:jc w:val="center"/>
              <w:rPr>
                <w:rFonts w:ascii="宋体" w:hAnsi="宋体"/>
                <w:sz w:val="24"/>
                <w:szCs w:val="24"/>
              </w:rPr>
            </w:pPr>
            <w:r>
              <w:rPr>
                <w:rFonts w:hint="eastAsia" w:ascii="宋体" w:hAnsi="宋体"/>
                <w:sz w:val="24"/>
                <w:szCs w:val="24"/>
              </w:rPr>
              <w:t>第三天</w:t>
            </w:r>
          </w:p>
        </w:tc>
        <w:tc>
          <w:tcPr>
            <w:tcW w:w="1942" w:type="dxa"/>
            <w:vAlign w:val="center"/>
          </w:tcPr>
          <w:p>
            <w:pPr>
              <w:adjustRightInd w:val="0"/>
              <w:snapToGrid w:val="0"/>
              <w:jc w:val="center"/>
              <w:rPr>
                <w:rFonts w:ascii="宋体" w:hAnsi="宋体" w:cs="宋体"/>
                <w:bCs/>
                <w:spacing w:val="-2"/>
                <w:sz w:val="24"/>
                <w:szCs w:val="24"/>
              </w:rPr>
            </w:pPr>
            <w:r>
              <w:rPr>
                <w:rFonts w:hint="eastAsia" w:ascii="宋体" w:hAnsi="宋体" w:cs="宋体"/>
                <w:bCs/>
                <w:spacing w:val="-2"/>
                <w:sz w:val="24"/>
                <w:szCs w:val="24"/>
              </w:rPr>
              <w:t>7:20</w:t>
            </w:r>
          </w:p>
        </w:tc>
        <w:tc>
          <w:tcPr>
            <w:tcW w:w="4478" w:type="dxa"/>
            <w:vAlign w:val="center"/>
          </w:tcPr>
          <w:p>
            <w:pPr>
              <w:jc w:val="center"/>
              <w:textAlignment w:val="baseline"/>
              <w:rPr>
                <w:rFonts w:ascii="宋体" w:hAnsi="宋体" w:cs="宋体"/>
                <w:bCs/>
                <w:spacing w:val="-2"/>
                <w:sz w:val="24"/>
                <w:szCs w:val="24"/>
              </w:rPr>
            </w:pPr>
            <w:r>
              <w:rPr>
                <w:rFonts w:hint="eastAsia" w:ascii="宋体" w:hAnsi="宋体" w:cs="宋体"/>
                <w:bCs/>
                <w:spacing w:val="-2"/>
                <w:sz w:val="24"/>
                <w:szCs w:val="24"/>
              </w:rPr>
              <w:t>第二批选手集合上车</w:t>
            </w:r>
          </w:p>
        </w:tc>
        <w:tc>
          <w:tcPr>
            <w:tcW w:w="1234" w:type="dxa"/>
            <w:vAlign w:val="center"/>
          </w:tcPr>
          <w:p>
            <w:pPr>
              <w:jc w:val="center"/>
              <w:textAlignment w:val="baseline"/>
              <w:rPr>
                <w:rFonts w:ascii="宋体" w:hAnsi="宋体" w:cs="宋体"/>
                <w:bCs/>
                <w:spacing w:val="-2"/>
                <w:sz w:val="24"/>
                <w:szCs w:val="24"/>
              </w:rPr>
            </w:pPr>
            <w:r>
              <w:rPr>
                <w:rFonts w:hint="eastAsia" w:ascii="宋体" w:hAnsi="宋体" w:cs="宋体"/>
                <w:bCs/>
                <w:spacing w:val="-2"/>
                <w:sz w:val="24"/>
                <w:szCs w:val="24"/>
              </w:rPr>
              <w:t>酒店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086" w:type="dxa"/>
            <w:vMerge w:val="continue"/>
            <w:vAlign w:val="center"/>
          </w:tcPr>
          <w:p>
            <w:pPr>
              <w:adjustRightInd w:val="0"/>
              <w:snapToGrid w:val="0"/>
              <w:jc w:val="center"/>
              <w:rPr>
                <w:rFonts w:ascii="宋体" w:hAnsi="宋体"/>
                <w:sz w:val="24"/>
                <w:szCs w:val="24"/>
              </w:rPr>
            </w:pPr>
          </w:p>
        </w:tc>
        <w:tc>
          <w:tcPr>
            <w:tcW w:w="1942" w:type="dxa"/>
            <w:vAlign w:val="center"/>
          </w:tcPr>
          <w:p>
            <w:pPr>
              <w:adjustRightInd w:val="0"/>
              <w:snapToGrid w:val="0"/>
              <w:jc w:val="center"/>
              <w:rPr>
                <w:rFonts w:ascii="宋体" w:hAnsi="宋体" w:cs="宋体"/>
                <w:bCs/>
                <w:spacing w:val="-2"/>
                <w:sz w:val="24"/>
                <w:szCs w:val="24"/>
              </w:rPr>
            </w:pPr>
            <w:r>
              <w:rPr>
                <w:rFonts w:hint="eastAsia" w:ascii="宋体" w:hAnsi="宋体" w:cs="宋体"/>
                <w:bCs/>
                <w:spacing w:val="-2"/>
                <w:sz w:val="24"/>
                <w:szCs w:val="24"/>
              </w:rPr>
              <w:t>8:</w:t>
            </w:r>
            <w:r>
              <w:rPr>
                <w:rFonts w:ascii="宋体" w:hAnsi="宋体" w:cs="宋体"/>
                <w:bCs/>
                <w:spacing w:val="-2"/>
                <w:sz w:val="24"/>
                <w:szCs w:val="24"/>
              </w:rPr>
              <w:t>0</w:t>
            </w:r>
            <w:r>
              <w:rPr>
                <w:rFonts w:hint="eastAsia" w:ascii="宋体" w:hAnsi="宋体" w:cs="宋体"/>
                <w:bCs/>
                <w:spacing w:val="-2"/>
                <w:sz w:val="24"/>
                <w:szCs w:val="24"/>
              </w:rPr>
              <w:t>0-8:40</w:t>
            </w:r>
          </w:p>
        </w:tc>
        <w:tc>
          <w:tcPr>
            <w:tcW w:w="4478" w:type="dxa"/>
            <w:vAlign w:val="center"/>
          </w:tcPr>
          <w:p>
            <w:pPr>
              <w:adjustRightInd w:val="0"/>
              <w:snapToGrid w:val="0"/>
              <w:jc w:val="center"/>
              <w:rPr>
                <w:rFonts w:ascii="宋体" w:hAnsi="宋体" w:cs="宋体"/>
                <w:bCs/>
                <w:spacing w:val="-2"/>
                <w:sz w:val="24"/>
                <w:szCs w:val="24"/>
              </w:rPr>
            </w:pPr>
            <w:r>
              <w:rPr>
                <w:rFonts w:hint="eastAsia" w:ascii="宋体" w:hAnsi="宋体" w:cs="宋体"/>
                <w:bCs/>
                <w:spacing w:val="-2"/>
                <w:sz w:val="24"/>
                <w:szCs w:val="24"/>
              </w:rPr>
              <w:t>选手检录、赛位抽签、加密及入场</w:t>
            </w:r>
          </w:p>
        </w:tc>
        <w:tc>
          <w:tcPr>
            <w:tcW w:w="1234" w:type="dxa"/>
            <w:vAlign w:val="center"/>
          </w:tcPr>
          <w:p>
            <w:pPr>
              <w:adjustRightInd w:val="0"/>
              <w:snapToGrid w:val="0"/>
              <w:jc w:val="center"/>
              <w:rPr>
                <w:rFonts w:ascii="宋体" w:hAnsi="宋体" w:cs="宋体"/>
                <w:bCs/>
                <w:spacing w:val="-2"/>
                <w:sz w:val="24"/>
                <w:szCs w:val="24"/>
              </w:rPr>
            </w:pPr>
            <w:r>
              <w:rPr>
                <w:rFonts w:hint="eastAsia" w:ascii="宋体" w:hAnsi="宋体" w:cs="宋体"/>
                <w:bCs/>
                <w:spacing w:val="-2"/>
                <w:sz w:val="24"/>
                <w:szCs w:val="24"/>
              </w:rPr>
              <w:t>赛场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086" w:type="dxa"/>
            <w:vMerge w:val="continue"/>
            <w:vAlign w:val="center"/>
          </w:tcPr>
          <w:p>
            <w:pPr>
              <w:adjustRightInd w:val="0"/>
              <w:snapToGrid w:val="0"/>
              <w:jc w:val="center"/>
              <w:rPr>
                <w:rFonts w:ascii="宋体" w:hAnsi="宋体"/>
                <w:sz w:val="24"/>
                <w:szCs w:val="24"/>
              </w:rPr>
            </w:pPr>
          </w:p>
        </w:tc>
        <w:tc>
          <w:tcPr>
            <w:tcW w:w="1942" w:type="dxa"/>
            <w:vAlign w:val="center"/>
          </w:tcPr>
          <w:p>
            <w:pPr>
              <w:adjustRightInd w:val="0"/>
              <w:snapToGrid w:val="0"/>
              <w:jc w:val="center"/>
              <w:rPr>
                <w:rFonts w:ascii="宋体" w:hAnsi="宋体" w:cs="宋体"/>
                <w:bCs/>
                <w:spacing w:val="-2"/>
                <w:sz w:val="24"/>
                <w:szCs w:val="24"/>
              </w:rPr>
            </w:pPr>
            <w:r>
              <w:rPr>
                <w:rFonts w:hint="eastAsia" w:ascii="宋体" w:hAnsi="宋体" w:cs="宋体"/>
                <w:bCs/>
                <w:spacing w:val="-2"/>
                <w:sz w:val="24"/>
                <w:szCs w:val="24"/>
              </w:rPr>
              <w:t>8:40-9:00</w:t>
            </w:r>
          </w:p>
        </w:tc>
        <w:tc>
          <w:tcPr>
            <w:tcW w:w="4478" w:type="dxa"/>
            <w:vAlign w:val="center"/>
          </w:tcPr>
          <w:p>
            <w:pPr>
              <w:adjustRightInd w:val="0"/>
              <w:snapToGrid w:val="0"/>
              <w:jc w:val="center"/>
              <w:rPr>
                <w:rFonts w:ascii="宋体" w:hAnsi="宋体" w:cs="宋体"/>
                <w:bCs/>
                <w:spacing w:val="-2"/>
                <w:sz w:val="24"/>
                <w:szCs w:val="24"/>
              </w:rPr>
            </w:pPr>
            <w:r>
              <w:rPr>
                <w:rFonts w:hint="eastAsia" w:ascii="宋体" w:hAnsi="宋体" w:cs="宋体"/>
                <w:bCs/>
                <w:spacing w:val="-2"/>
                <w:sz w:val="24"/>
                <w:szCs w:val="24"/>
              </w:rPr>
              <w:t>发放任务书、宣布注意事项、进入工位，进行赛前设备、材料检查</w:t>
            </w:r>
          </w:p>
        </w:tc>
        <w:tc>
          <w:tcPr>
            <w:tcW w:w="1234" w:type="dxa"/>
            <w:vAlign w:val="center"/>
          </w:tcPr>
          <w:p>
            <w:pPr>
              <w:adjustRightInd w:val="0"/>
              <w:snapToGrid w:val="0"/>
              <w:jc w:val="center"/>
              <w:rPr>
                <w:rFonts w:ascii="宋体" w:hAnsi="宋体" w:cs="宋体"/>
                <w:bCs/>
                <w:spacing w:val="-2"/>
                <w:sz w:val="24"/>
                <w:szCs w:val="24"/>
              </w:rPr>
            </w:pPr>
            <w:r>
              <w:rPr>
                <w:rFonts w:hint="eastAsia" w:ascii="宋体" w:hAnsi="宋体" w:cs="宋体"/>
                <w:bCs/>
                <w:spacing w:val="-2"/>
                <w:sz w:val="24"/>
                <w:szCs w:val="24"/>
              </w:rPr>
              <w:t>赛场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086" w:type="dxa"/>
            <w:vMerge w:val="continue"/>
            <w:vAlign w:val="center"/>
          </w:tcPr>
          <w:p>
            <w:pPr>
              <w:adjustRightInd w:val="0"/>
              <w:snapToGrid w:val="0"/>
              <w:jc w:val="center"/>
              <w:rPr>
                <w:rFonts w:ascii="宋体" w:hAnsi="宋体"/>
                <w:sz w:val="24"/>
                <w:szCs w:val="24"/>
              </w:rPr>
            </w:pPr>
          </w:p>
        </w:tc>
        <w:tc>
          <w:tcPr>
            <w:tcW w:w="1942" w:type="dxa"/>
            <w:vAlign w:val="center"/>
          </w:tcPr>
          <w:p>
            <w:pPr>
              <w:adjustRightInd w:val="0"/>
              <w:snapToGrid w:val="0"/>
              <w:jc w:val="center"/>
              <w:rPr>
                <w:rFonts w:ascii="宋体" w:hAnsi="宋体" w:cs="宋体"/>
                <w:bCs/>
                <w:spacing w:val="-2"/>
                <w:sz w:val="24"/>
                <w:szCs w:val="24"/>
              </w:rPr>
            </w:pPr>
            <w:r>
              <w:rPr>
                <w:rFonts w:hint="eastAsia" w:ascii="宋体" w:hAnsi="宋体" w:cs="宋体"/>
                <w:bCs/>
                <w:spacing w:val="-2"/>
                <w:sz w:val="24"/>
                <w:szCs w:val="24"/>
              </w:rPr>
              <w:t>9:00-1</w:t>
            </w:r>
            <w:r>
              <w:rPr>
                <w:rFonts w:ascii="宋体" w:hAnsi="宋体" w:cs="宋体"/>
                <w:bCs/>
                <w:spacing w:val="-2"/>
                <w:sz w:val="24"/>
                <w:szCs w:val="24"/>
              </w:rPr>
              <w:t>4</w:t>
            </w:r>
            <w:r>
              <w:rPr>
                <w:rFonts w:hint="eastAsia" w:ascii="宋体" w:hAnsi="宋体" w:cs="宋体"/>
                <w:bCs/>
                <w:spacing w:val="-2"/>
                <w:sz w:val="24"/>
                <w:szCs w:val="24"/>
              </w:rPr>
              <w:t>:00</w:t>
            </w:r>
          </w:p>
        </w:tc>
        <w:tc>
          <w:tcPr>
            <w:tcW w:w="4478" w:type="dxa"/>
            <w:vAlign w:val="center"/>
          </w:tcPr>
          <w:p>
            <w:pPr>
              <w:adjustRightInd w:val="0"/>
              <w:snapToGrid w:val="0"/>
              <w:jc w:val="center"/>
              <w:rPr>
                <w:rFonts w:ascii="宋体" w:hAnsi="宋体" w:cs="宋体"/>
                <w:bCs/>
                <w:spacing w:val="-2"/>
                <w:sz w:val="24"/>
                <w:szCs w:val="24"/>
              </w:rPr>
            </w:pPr>
            <w:r>
              <w:rPr>
                <w:rFonts w:hint="eastAsia" w:ascii="宋体" w:hAnsi="宋体" w:cs="宋体"/>
                <w:bCs/>
                <w:spacing w:val="-2"/>
                <w:sz w:val="24"/>
                <w:szCs w:val="24"/>
              </w:rPr>
              <w:t>第二场竞赛（评分裁判在工作室工作）</w:t>
            </w:r>
          </w:p>
        </w:tc>
        <w:tc>
          <w:tcPr>
            <w:tcW w:w="1234" w:type="dxa"/>
            <w:vAlign w:val="center"/>
          </w:tcPr>
          <w:p>
            <w:pPr>
              <w:adjustRightInd w:val="0"/>
              <w:snapToGrid w:val="0"/>
              <w:jc w:val="center"/>
              <w:rPr>
                <w:rFonts w:ascii="宋体" w:hAnsi="宋体" w:cs="宋体"/>
                <w:bCs/>
                <w:spacing w:val="-2"/>
                <w:sz w:val="24"/>
                <w:szCs w:val="24"/>
              </w:rPr>
            </w:pPr>
            <w:r>
              <w:rPr>
                <w:rFonts w:hint="eastAsia" w:ascii="宋体" w:hAnsi="宋体" w:cs="宋体"/>
                <w:bCs/>
                <w:spacing w:val="-2"/>
                <w:sz w:val="24"/>
                <w:szCs w:val="24"/>
              </w:rPr>
              <w:t>赛场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086" w:type="dxa"/>
            <w:vMerge w:val="continue"/>
            <w:vAlign w:val="center"/>
          </w:tcPr>
          <w:p>
            <w:pPr>
              <w:adjustRightInd w:val="0"/>
              <w:snapToGrid w:val="0"/>
              <w:jc w:val="center"/>
              <w:rPr>
                <w:rFonts w:ascii="宋体" w:hAnsi="宋体"/>
                <w:sz w:val="24"/>
                <w:szCs w:val="24"/>
              </w:rPr>
            </w:pPr>
          </w:p>
        </w:tc>
        <w:tc>
          <w:tcPr>
            <w:tcW w:w="1942" w:type="dxa"/>
            <w:vAlign w:val="center"/>
          </w:tcPr>
          <w:p>
            <w:pPr>
              <w:adjustRightInd w:val="0"/>
              <w:snapToGrid w:val="0"/>
              <w:jc w:val="center"/>
              <w:rPr>
                <w:rFonts w:ascii="宋体" w:hAnsi="宋体" w:cs="宋体"/>
                <w:bCs/>
                <w:spacing w:val="-2"/>
                <w:sz w:val="24"/>
                <w:szCs w:val="24"/>
              </w:rPr>
            </w:pPr>
            <w:r>
              <w:rPr>
                <w:rFonts w:hint="eastAsia" w:ascii="宋体" w:hAnsi="宋体" w:cs="宋体"/>
                <w:bCs/>
                <w:spacing w:val="-2"/>
                <w:sz w:val="24"/>
                <w:szCs w:val="24"/>
              </w:rPr>
              <w:t>12:00-13:00</w:t>
            </w:r>
          </w:p>
        </w:tc>
        <w:tc>
          <w:tcPr>
            <w:tcW w:w="4478" w:type="dxa"/>
            <w:vAlign w:val="center"/>
          </w:tcPr>
          <w:p>
            <w:pPr>
              <w:adjustRightInd w:val="0"/>
              <w:snapToGrid w:val="0"/>
              <w:jc w:val="center"/>
              <w:rPr>
                <w:rFonts w:ascii="宋体" w:hAnsi="宋体" w:cs="宋体"/>
                <w:bCs/>
                <w:spacing w:val="-2"/>
                <w:sz w:val="24"/>
                <w:szCs w:val="24"/>
              </w:rPr>
            </w:pPr>
            <w:r>
              <w:rPr>
                <w:rFonts w:hint="eastAsia" w:ascii="宋体" w:hAnsi="宋体" w:cs="宋体"/>
                <w:bCs/>
                <w:spacing w:val="-2"/>
                <w:sz w:val="24"/>
                <w:szCs w:val="24"/>
              </w:rPr>
              <w:t>参赛选手、裁判在赛场内就餐；指导教师在休息区就餐</w:t>
            </w:r>
          </w:p>
        </w:tc>
        <w:tc>
          <w:tcPr>
            <w:tcW w:w="1234" w:type="dxa"/>
            <w:vAlign w:val="center"/>
          </w:tcPr>
          <w:p>
            <w:pPr>
              <w:adjustRightInd w:val="0"/>
              <w:snapToGrid w:val="0"/>
              <w:jc w:val="center"/>
              <w:rPr>
                <w:rFonts w:ascii="宋体" w:hAnsi="宋体" w:cs="宋体"/>
                <w:bCs/>
                <w:spacing w:val="-2"/>
                <w:sz w:val="24"/>
                <w:szCs w:val="24"/>
              </w:rPr>
            </w:pPr>
            <w:r>
              <w:rPr>
                <w:rFonts w:hint="eastAsia" w:ascii="宋体" w:hAnsi="宋体" w:cs="宋体"/>
                <w:bCs/>
                <w:spacing w:val="-2"/>
                <w:sz w:val="24"/>
                <w:szCs w:val="24"/>
              </w:rPr>
              <w:t>赛场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086" w:type="dxa"/>
            <w:vMerge w:val="continue"/>
            <w:vAlign w:val="center"/>
          </w:tcPr>
          <w:p>
            <w:pPr>
              <w:adjustRightInd w:val="0"/>
              <w:snapToGrid w:val="0"/>
              <w:jc w:val="center"/>
              <w:rPr>
                <w:rFonts w:ascii="宋体" w:hAnsi="宋体"/>
                <w:sz w:val="24"/>
                <w:szCs w:val="24"/>
              </w:rPr>
            </w:pPr>
          </w:p>
        </w:tc>
        <w:tc>
          <w:tcPr>
            <w:tcW w:w="1942" w:type="dxa"/>
            <w:vAlign w:val="center"/>
          </w:tcPr>
          <w:p>
            <w:pPr>
              <w:adjustRightInd w:val="0"/>
              <w:snapToGrid w:val="0"/>
              <w:jc w:val="center"/>
              <w:rPr>
                <w:rFonts w:ascii="宋体" w:hAnsi="宋体" w:cs="宋体"/>
                <w:bCs/>
                <w:spacing w:val="-2"/>
                <w:sz w:val="24"/>
                <w:szCs w:val="24"/>
              </w:rPr>
            </w:pPr>
            <w:r>
              <w:rPr>
                <w:rFonts w:ascii="宋体" w:hAnsi="宋体" w:cs="宋体"/>
                <w:bCs/>
                <w:spacing w:val="-2"/>
                <w:sz w:val="24"/>
                <w:szCs w:val="24"/>
              </w:rPr>
              <w:t>14:</w:t>
            </w:r>
            <w:r>
              <w:rPr>
                <w:rFonts w:hint="eastAsia" w:ascii="宋体" w:hAnsi="宋体" w:cs="宋体"/>
                <w:bCs/>
                <w:spacing w:val="-2"/>
                <w:sz w:val="24"/>
                <w:szCs w:val="24"/>
              </w:rPr>
              <w:t>0</w:t>
            </w:r>
            <w:r>
              <w:rPr>
                <w:rFonts w:ascii="宋体" w:hAnsi="宋体" w:cs="宋体"/>
                <w:bCs/>
                <w:spacing w:val="-2"/>
                <w:sz w:val="24"/>
                <w:szCs w:val="24"/>
              </w:rPr>
              <w:t>0-16:</w:t>
            </w:r>
            <w:r>
              <w:rPr>
                <w:rFonts w:hint="eastAsia" w:ascii="宋体" w:hAnsi="宋体" w:cs="宋体"/>
                <w:bCs/>
                <w:spacing w:val="-2"/>
                <w:sz w:val="24"/>
                <w:szCs w:val="24"/>
              </w:rPr>
              <w:t>0</w:t>
            </w:r>
            <w:r>
              <w:rPr>
                <w:rFonts w:ascii="宋体" w:hAnsi="宋体" w:cs="宋体"/>
                <w:bCs/>
                <w:spacing w:val="-2"/>
                <w:sz w:val="24"/>
                <w:szCs w:val="24"/>
              </w:rPr>
              <w:t>0</w:t>
            </w:r>
          </w:p>
        </w:tc>
        <w:tc>
          <w:tcPr>
            <w:tcW w:w="4478" w:type="dxa"/>
            <w:vAlign w:val="center"/>
          </w:tcPr>
          <w:p>
            <w:pPr>
              <w:adjustRightInd w:val="0"/>
              <w:snapToGrid w:val="0"/>
              <w:jc w:val="center"/>
              <w:rPr>
                <w:rFonts w:ascii="宋体" w:hAnsi="宋体" w:cs="宋体"/>
                <w:bCs/>
                <w:spacing w:val="-2"/>
                <w:sz w:val="24"/>
                <w:szCs w:val="24"/>
              </w:rPr>
            </w:pPr>
            <w:r>
              <w:rPr>
                <w:rFonts w:hint="eastAsia" w:ascii="宋体" w:hAnsi="宋体" w:cs="宋体"/>
                <w:bCs/>
                <w:spacing w:val="-2"/>
                <w:sz w:val="24"/>
                <w:szCs w:val="24"/>
              </w:rPr>
              <w:t>评分裁判评分，竞赛选手到指定地点等候</w:t>
            </w:r>
          </w:p>
        </w:tc>
        <w:tc>
          <w:tcPr>
            <w:tcW w:w="1234" w:type="dxa"/>
            <w:vAlign w:val="center"/>
          </w:tcPr>
          <w:p>
            <w:pPr>
              <w:adjustRightInd w:val="0"/>
              <w:snapToGrid w:val="0"/>
              <w:jc w:val="center"/>
              <w:rPr>
                <w:rFonts w:ascii="宋体" w:hAnsi="宋体" w:cs="宋体"/>
                <w:bCs/>
                <w:spacing w:val="-2"/>
                <w:sz w:val="24"/>
                <w:szCs w:val="24"/>
              </w:rPr>
            </w:pPr>
            <w:r>
              <w:rPr>
                <w:rFonts w:hint="eastAsia" w:ascii="宋体" w:hAnsi="宋体" w:cs="宋体"/>
                <w:bCs/>
                <w:spacing w:val="-2"/>
                <w:sz w:val="24"/>
                <w:szCs w:val="24"/>
              </w:rPr>
              <w:t>赛场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086" w:type="dxa"/>
            <w:vAlign w:val="center"/>
          </w:tcPr>
          <w:p>
            <w:pPr>
              <w:adjustRightInd w:val="0"/>
              <w:snapToGrid w:val="0"/>
              <w:jc w:val="center"/>
              <w:rPr>
                <w:rFonts w:ascii="宋体" w:hAnsi="宋体"/>
                <w:sz w:val="24"/>
                <w:szCs w:val="24"/>
              </w:rPr>
            </w:pPr>
            <w:r>
              <w:rPr>
                <w:rFonts w:hint="eastAsia" w:ascii="宋体" w:hAnsi="宋体"/>
                <w:sz w:val="24"/>
                <w:szCs w:val="24"/>
              </w:rPr>
              <w:t>第四天</w:t>
            </w:r>
          </w:p>
        </w:tc>
        <w:tc>
          <w:tcPr>
            <w:tcW w:w="1942" w:type="dxa"/>
            <w:vAlign w:val="center"/>
          </w:tcPr>
          <w:p>
            <w:pPr>
              <w:jc w:val="center"/>
              <w:textAlignment w:val="baseline"/>
              <w:rPr>
                <w:rFonts w:ascii="宋体" w:hAnsi="宋体" w:cs="宋体"/>
                <w:bCs/>
                <w:spacing w:val="-2"/>
                <w:sz w:val="24"/>
                <w:szCs w:val="24"/>
              </w:rPr>
            </w:pPr>
            <w:r>
              <w:rPr>
                <w:rFonts w:hint="eastAsia" w:ascii="宋体" w:hAnsi="宋体" w:cs="宋体"/>
                <w:bCs/>
                <w:spacing w:val="-2"/>
                <w:sz w:val="24"/>
                <w:szCs w:val="24"/>
              </w:rPr>
              <w:t>10:00-11:00</w:t>
            </w:r>
          </w:p>
        </w:tc>
        <w:tc>
          <w:tcPr>
            <w:tcW w:w="4478" w:type="dxa"/>
            <w:vAlign w:val="center"/>
          </w:tcPr>
          <w:p>
            <w:pPr>
              <w:adjustRightInd w:val="0"/>
              <w:snapToGrid w:val="0"/>
              <w:jc w:val="center"/>
              <w:rPr>
                <w:rFonts w:ascii="宋体" w:hAnsi="宋体"/>
                <w:sz w:val="24"/>
                <w:szCs w:val="24"/>
              </w:rPr>
            </w:pPr>
            <w:r>
              <w:rPr>
                <w:rFonts w:hint="eastAsia" w:ascii="宋体" w:hAnsi="宋体"/>
                <w:sz w:val="24"/>
                <w:szCs w:val="24"/>
              </w:rPr>
              <w:t>闭赛式</w:t>
            </w:r>
          </w:p>
        </w:tc>
        <w:tc>
          <w:tcPr>
            <w:tcW w:w="1234" w:type="dxa"/>
            <w:vAlign w:val="center"/>
          </w:tcPr>
          <w:p>
            <w:pPr>
              <w:jc w:val="center"/>
              <w:textAlignment w:val="baseline"/>
              <w:rPr>
                <w:rFonts w:ascii="宋体" w:hAnsi="宋体" w:cs="宋体"/>
                <w:bCs/>
                <w:spacing w:val="-2"/>
                <w:sz w:val="24"/>
                <w:szCs w:val="24"/>
              </w:rPr>
            </w:pPr>
            <w:r>
              <w:rPr>
                <w:rFonts w:hint="eastAsia" w:ascii="宋体" w:hAnsi="宋体" w:cs="宋体"/>
                <w:bCs/>
                <w:spacing w:val="-2"/>
                <w:sz w:val="24"/>
                <w:szCs w:val="24"/>
              </w:rPr>
              <w:t>报告厅</w:t>
            </w:r>
          </w:p>
        </w:tc>
      </w:tr>
    </w:tbl>
    <w:p>
      <w:pPr>
        <w:snapToGrid w:val="0"/>
        <w:spacing w:line="560" w:lineRule="exact"/>
        <w:ind w:firstLine="600" w:firstLineChars="200"/>
        <w:outlineLvl w:val="0"/>
        <w:rPr>
          <w:rFonts w:ascii="Arial Narrow" w:hAnsi="Arial Narrow" w:eastAsia="仿宋_GB2312" w:cs="Arial"/>
          <w:bCs/>
          <w:sz w:val="30"/>
          <w:szCs w:val="30"/>
        </w:rPr>
      </w:pPr>
      <w:r>
        <w:rPr>
          <w:rFonts w:hint="eastAsia" w:ascii="黑体" w:hAnsi="黑体" w:eastAsia="黑体" w:cs="黑体"/>
          <w:bCs/>
          <w:sz w:val="30"/>
          <w:szCs w:val="30"/>
        </w:rPr>
        <w:t>九、竞赛试题</w:t>
      </w:r>
    </w:p>
    <w:p>
      <w:pPr>
        <w:snapToGrid w:val="0"/>
        <w:spacing w:line="560" w:lineRule="exact"/>
        <w:ind w:firstLine="450" w:firstLineChars="150"/>
        <w:rPr>
          <w:rFonts w:ascii="仿宋_GB2312" w:hAnsi="宋体" w:eastAsia="仿宋_GB2312"/>
          <w:sz w:val="30"/>
          <w:szCs w:val="30"/>
        </w:rPr>
      </w:pPr>
      <w:r>
        <w:rPr>
          <w:rFonts w:hint="eastAsia" w:ascii="仿宋_GB2312" w:hAnsi="宋体" w:eastAsia="仿宋_GB2312"/>
          <w:sz w:val="30"/>
          <w:szCs w:val="30"/>
        </w:rPr>
        <w:t>（一）赛项执委会下设的赛项专家组负责本赛项赛题的编制工作，赛题编制遵从公开、公平、公正原则。</w:t>
      </w:r>
    </w:p>
    <w:p>
      <w:pPr>
        <w:snapToGrid w:val="0"/>
        <w:spacing w:line="560" w:lineRule="exact"/>
        <w:ind w:firstLine="450" w:firstLineChars="150"/>
        <w:rPr>
          <w:rFonts w:ascii="仿宋_GB2312" w:hAnsi="Arial Narrow" w:eastAsia="仿宋_GB2312" w:cs="Arial"/>
          <w:sz w:val="30"/>
          <w:szCs w:val="30"/>
        </w:rPr>
      </w:pPr>
      <w:r>
        <w:rPr>
          <w:rFonts w:hint="eastAsia" w:ascii="仿宋_GB2312" w:hAnsi="Arial Narrow" w:eastAsia="仿宋_GB2312" w:cs="Arial"/>
          <w:sz w:val="30"/>
          <w:szCs w:val="30"/>
        </w:rPr>
        <w:t>（二）本次比赛赛前预先建立赛题库，赛题库中不少于10套竞赛赛卷，开赛前一个月在大赛官网信息发布平台上（www.chinaskills-jsw.org)公开题库。</w:t>
      </w:r>
    </w:p>
    <w:p>
      <w:pPr>
        <w:snapToGrid w:val="0"/>
        <w:spacing w:line="560" w:lineRule="exact"/>
        <w:ind w:firstLine="450" w:firstLineChars="150"/>
        <w:rPr>
          <w:rFonts w:ascii="Arial Narrow" w:hAnsi="Arial Narrow" w:eastAsia="仿宋_GB2312" w:cs="Arial"/>
          <w:sz w:val="30"/>
          <w:szCs w:val="30"/>
        </w:rPr>
      </w:pPr>
      <w:r>
        <w:rPr>
          <w:rFonts w:hint="eastAsia" w:ascii="仿宋_GB2312" w:hAnsi="Arial Narrow" w:eastAsia="仿宋_GB2312" w:cs="Arial"/>
          <w:sz w:val="30"/>
          <w:szCs w:val="30"/>
        </w:rPr>
        <w:t>（三）正式赛卷于比赛前三天内，把赛卷随机排序后，在监督组的监督下，由裁判长指定相关人</w:t>
      </w:r>
      <w:r>
        <w:rPr>
          <w:rFonts w:hint="eastAsia" w:ascii="Arial Narrow" w:hAnsi="Arial Narrow" w:eastAsia="仿宋_GB2312" w:cs="Arial"/>
          <w:sz w:val="30"/>
          <w:szCs w:val="30"/>
        </w:rPr>
        <w:t>员抽取正式赛卷与备用赛卷。</w:t>
      </w:r>
    </w:p>
    <w:p>
      <w:pPr>
        <w:snapToGrid w:val="0"/>
        <w:spacing w:line="560" w:lineRule="exact"/>
        <w:ind w:firstLine="450" w:firstLineChars="150"/>
        <w:rPr>
          <w:rFonts w:ascii="仿宋_GB2312" w:hAnsi="宋体" w:eastAsia="仿宋_GB2312"/>
          <w:sz w:val="30"/>
          <w:szCs w:val="30"/>
        </w:rPr>
      </w:pPr>
      <w:r>
        <w:rPr>
          <w:rFonts w:hint="eastAsia" w:ascii="仿宋_GB2312" w:hAnsi="宋体" w:eastAsia="仿宋_GB2312"/>
          <w:sz w:val="30"/>
          <w:szCs w:val="30"/>
        </w:rPr>
        <w:t>（四）赛项比赛结束后一周内，正式赛卷通过大赛网络信息发布平台公布。</w:t>
      </w:r>
    </w:p>
    <w:p>
      <w:pPr>
        <w:snapToGrid w:val="0"/>
        <w:spacing w:line="560" w:lineRule="exact"/>
        <w:ind w:firstLine="450" w:firstLineChars="150"/>
        <w:rPr>
          <w:rFonts w:ascii="Arial Narrow" w:hAnsi="Arial Narrow" w:eastAsia="仿宋_GB2312" w:cs="Arial"/>
          <w:sz w:val="30"/>
          <w:szCs w:val="30"/>
        </w:rPr>
      </w:pPr>
      <w:r>
        <w:rPr>
          <w:rFonts w:hint="eastAsia" w:ascii="仿宋_GB2312" w:hAnsi="宋体" w:eastAsia="仿宋_GB2312"/>
          <w:sz w:val="30"/>
          <w:szCs w:val="30"/>
        </w:rPr>
        <w:t>（五）</w:t>
      </w:r>
      <w:r>
        <w:rPr>
          <w:rFonts w:hint="eastAsia" w:ascii="Arial Narrow" w:hAnsi="Arial Narrow" w:eastAsia="仿宋_GB2312" w:cs="Arial"/>
          <w:sz w:val="30"/>
          <w:szCs w:val="30"/>
        </w:rPr>
        <w:t>样卷详见附件一</w:t>
      </w:r>
      <w:r>
        <w:rPr>
          <w:rFonts w:hint="eastAsia" w:ascii="仿宋_GB2312" w:eastAsia="仿宋_GB2312"/>
          <w:sz w:val="30"/>
          <w:szCs w:val="30"/>
        </w:rPr>
        <w:t>高职组</w:t>
      </w:r>
      <w:r>
        <w:rPr>
          <w:rFonts w:hint="eastAsia" w:ascii="仿宋_GB2312" w:hAnsi="仿宋_GB2312" w:eastAsia="仿宋_GB2312" w:cs="仿宋_GB2312"/>
          <w:kern w:val="0"/>
          <w:sz w:val="30"/>
          <w:szCs w:val="30"/>
        </w:rPr>
        <w:t>“智能电梯装调与维护”</w:t>
      </w:r>
      <w:r>
        <w:rPr>
          <w:rFonts w:hint="eastAsia" w:ascii="仿宋_GB2312" w:hAnsi="宋体" w:eastAsia="仿宋_GB2312"/>
          <w:sz w:val="30"/>
          <w:szCs w:val="30"/>
        </w:rPr>
        <w:t>竞赛试题</w:t>
      </w:r>
      <w:r>
        <w:rPr>
          <w:rFonts w:hint="eastAsia" w:ascii="Arial Narrow" w:hAnsi="Arial Narrow" w:eastAsia="仿宋_GB2312" w:cs="Arial"/>
          <w:sz w:val="30"/>
          <w:szCs w:val="30"/>
        </w:rPr>
        <w:t>样卷。</w:t>
      </w:r>
    </w:p>
    <w:p>
      <w:pPr>
        <w:snapToGrid w:val="0"/>
        <w:spacing w:line="560" w:lineRule="exact"/>
        <w:ind w:firstLine="600" w:firstLineChars="200"/>
        <w:outlineLvl w:val="0"/>
        <w:rPr>
          <w:rFonts w:ascii="Arial Narrow" w:hAnsi="Arial Narrow" w:eastAsia="仿宋_GB2312" w:cs="Arial"/>
          <w:bCs/>
          <w:sz w:val="30"/>
          <w:szCs w:val="30"/>
        </w:rPr>
      </w:pPr>
      <w:r>
        <w:rPr>
          <w:rFonts w:hint="eastAsia" w:ascii="黑体" w:hAnsi="黑体" w:eastAsia="黑体" w:cs="黑体"/>
          <w:bCs/>
          <w:sz w:val="30"/>
          <w:szCs w:val="30"/>
        </w:rPr>
        <w:t>十、评分标准制定原则、评分方法、评分细则</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根据《全国职业院校技能大赛成绩管理办法》的相关要求，制定评分标准制订原则、评分方法、评分细则。</w:t>
      </w:r>
    </w:p>
    <w:p>
      <w:pPr>
        <w:snapToGrid w:val="0"/>
        <w:spacing w:line="560" w:lineRule="exact"/>
        <w:ind w:firstLine="602" w:firstLineChars="200"/>
        <w:jc w:val="left"/>
        <w:rPr>
          <w:rFonts w:ascii="仿宋_GB2312" w:hAnsi="宋体" w:eastAsia="仿宋_GB2312" w:cs="Arial"/>
          <w:b/>
          <w:kern w:val="0"/>
          <w:sz w:val="30"/>
          <w:szCs w:val="30"/>
        </w:rPr>
      </w:pPr>
      <w:r>
        <w:rPr>
          <w:rFonts w:hint="eastAsia" w:ascii="仿宋_GB2312" w:hAnsi="宋体" w:eastAsia="仿宋_GB2312" w:cs="Arial"/>
          <w:b/>
          <w:kern w:val="0"/>
          <w:sz w:val="30"/>
          <w:szCs w:val="30"/>
        </w:rPr>
        <w:t>（一）评分标准的制定原则</w:t>
      </w:r>
    </w:p>
    <w:p>
      <w:pPr>
        <w:snapToGrid w:val="0"/>
        <w:spacing w:line="560" w:lineRule="exact"/>
        <w:ind w:firstLine="600" w:firstLineChars="200"/>
        <w:jc w:val="left"/>
        <w:rPr>
          <w:rFonts w:ascii="仿宋_GB2312" w:hAnsi="宋体" w:eastAsia="仿宋_GB2312"/>
          <w:sz w:val="30"/>
          <w:szCs w:val="30"/>
        </w:rPr>
      </w:pPr>
      <w:r>
        <w:rPr>
          <w:rFonts w:hint="eastAsia" w:ascii="仿宋_GB2312" w:hAnsi="宋体" w:eastAsia="仿宋_GB2312"/>
          <w:sz w:val="30"/>
          <w:szCs w:val="30"/>
        </w:rPr>
        <w:t>按照电梯就业员工职业岗位的能力要求，结合制造业、职业技术标准、规范要求进行评分，全面评价参赛选手职业能力的要求，本着“科学严谨、公正公平、可操作性强”的原则制定评分标准，满分为100分。</w:t>
      </w:r>
    </w:p>
    <w:p>
      <w:pPr>
        <w:snapToGrid w:val="0"/>
        <w:spacing w:line="560" w:lineRule="exact"/>
        <w:ind w:firstLine="602" w:firstLineChars="200"/>
        <w:jc w:val="left"/>
        <w:rPr>
          <w:rFonts w:ascii="仿宋_GB2312" w:hAnsi="宋体" w:eastAsia="仿宋_GB2312" w:cs="Arial"/>
          <w:b/>
          <w:kern w:val="0"/>
          <w:sz w:val="30"/>
          <w:szCs w:val="30"/>
        </w:rPr>
      </w:pPr>
      <w:r>
        <w:rPr>
          <w:rFonts w:hint="eastAsia" w:ascii="仿宋_GB2312" w:hAnsi="宋体" w:eastAsia="仿宋_GB2312" w:cs="Arial"/>
          <w:b/>
          <w:kern w:val="0"/>
          <w:sz w:val="30"/>
          <w:szCs w:val="30"/>
        </w:rPr>
        <w:t>（二）评分方法</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1.裁判组实行“裁判长负责制”，设裁判长1名，全面负责赛项的裁判与管理工作。</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2.裁判员根据比赛工作需要分为检录裁判、加密裁判、现场裁判和评分裁判，检录裁判、加密裁判不得参与评分工作。</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（1）检录裁判负责对参赛队伍（选手）进行点名登记、身份核对等工作；</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（2）加密裁判负责组织参赛队伍（选手）抽签并对参赛队伍（选手）的信息进行加密、解密；</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（3）现场裁判按规定做好赛场记录，维护赛场纪律；</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（4）评分裁判负责对参赛队伍（选手）的技能展示、操作规范和竞赛作品等按赛项评分标准进行评定。</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3.赛项裁判组负责赛项成绩评定工作，现场裁判每小组按每4～6个赛位1位裁判员设置，现场裁判设组长一名，组长协调，组员互助，现场裁判对检测数据、操作行为进行记录，不予以评判；评分裁判按每10～15个赛位5位裁判员设置，赛前对裁判进行一定的培训，统一执裁标准，评判按照模块进行，由同一组裁判对同一个模块进行统一评分，对现场裁判的记录、选手设计的参数、程序进行评判。</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4.参赛选手根据赛项任务书的要求进行操作，注意操作要求，需要记录的内容要记录在比赛试题中，需要裁判确认的内容必须经过裁判员的签字确认，否则不得分；评价项目主要工量具的规范使用、装配工艺、电气连接、参数设置、设备联调、产品流程等。</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5.文明生产评价为扣分项包括工作态度、安全意识、职业规范、环境保护等方面。</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6.赛项裁判组本着“公平、公正、公开、科学、规范、透明、无异议”的原则，根据裁判的现场记录、参赛队选手的赛项任务书及评分标准，通过多方面进行综合评价，最终按总评分得分高低，确定参赛队奖项归属。</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7.按比赛成绩从高到低排列参赛队的名次。比赛成绩相同，完成竞赛任务所用时间少的名次在前；比赛成绩和完成竞赛任务用时均相同，按职业素养成绩较高的名次在前；比赛成绩、完成竞赛任务用时、职业素养成绩相同，名次并列。</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8.评分方式结合世界技能大赛的方式，以小组为单位，裁判相互监督，对检测、评分结果进行一查、二审、三复核。确保评分环节准确、公正。成绩经工作人员统计，组委会、裁判组、仲裁组分别核准后，闭赛式上公布。</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9.扣违规分情况</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选手有下列情形，需从参赛成绩中扣分：</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（1）在完成竞赛任务的过程中，因操作不当导致事故，扣10～20分，情况严重者取消比赛资格。</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（2）因违规操作损坏赛场提供的设备，污染赛场环境等不符合职业规范的行为，视情节扣5～10分。</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（3）扰乱赛场秩序，干扰裁判员工作，视情节扣5～10分，情况严重者取消比赛资格。</w:t>
      </w:r>
    </w:p>
    <w:p>
      <w:pPr>
        <w:snapToGrid w:val="0"/>
        <w:spacing w:line="560" w:lineRule="exact"/>
        <w:ind w:firstLine="600" w:firstLineChars="200"/>
        <w:rPr>
          <w:rFonts w:ascii="仿宋_GB2312" w:hAnsi="宋体" w:eastAsia="仿宋_GB2312" w:cs="Arial"/>
          <w:kern w:val="0"/>
          <w:sz w:val="30"/>
          <w:szCs w:val="30"/>
        </w:rPr>
      </w:pPr>
      <w:r>
        <w:rPr>
          <w:rFonts w:hint="eastAsia" w:ascii="仿宋_GB2312" w:hAnsi="宋体" w:eastAsia="仿宋_GB2312" w:cs="Arial"/>
          <w:kern w:val="0"/>
          <w:sz w:val="30"/>
          <w:szCs w:val="30"/>
        </w:rPr>
        <w:t>10.比赛结束后，由专家对赛项的技术要点、选手表现、比赛结果等进行点评。</w:t>
      </w:r>
    </w:p>
    <w:p>
      <w:pPr>
        <w:snapToGrid w:val="0"/>
        <w:spacing w:line="560" w:lineRule="exact"/>
        <w:ind w:firstLine="602" w:firstLineChars="200"/>
        <w:jc w:val="left"/>
        <w:rPr>
          <w:rFonts w:ascii="仿宋_GB2312" w:hAnsi="宋体" w:eastAsia="仿宋_GB2312" w:cs="Arial"/>
          <w:b/>
          <w:color w:val="000000"/>
          <w:kern w:val="0"/>
          <w:sz w:val="30"/>
          <w:szCs w:val="30"/>
        </w:rPr>
      </w:pPr>
      <w:r>
        <w:rPr>
          <w:rFonts w:hint="eastAsia" w:ascii="仿宋_GB2312" w:hAnsi="宋体" w:eastAsia="仿宋_GB2312" w:cs="Arial"/>
          <w:b/>
          <w:color w:val="000000"/>
          <w:kern w:val="0"/>
          <w:sz w:val="30"/>
          <w:szCs w:val="30"/>
        </w:rPr>
        <w:t>（三）评分细则（评分指标）</w:t>
      </w:r>
    </w:p>
    <w:tbl>
      <w:tblPr>
        <w:tblStyle w:val="9"/>
        <w:tblW w:w="921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0"/>
        <w:gridCol w:w="828"/>
        <w:gridCol w:w="2636"/>
        <w:gridCol w:w="878"/>
        <w:gridCol w:w="32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1" w:hRule="atLeast"/>
          <w:jc w:val="center"/>
        </w:trPr>
        <w:tc>
          <w:tcPr>
            <w:tcW w:w="1670" w:type="dxa"/>
            <w:vAlign w:val="center"/>
          </w:tcPr>
          <w:p>
            <w:pPr>
              <w:snapToGrid w:val="0"/>
              <w:jc w:val="center"/>
              <w:rPr>
                <w:rFonts w:ascii="宋体" w:hAnsi="宋体" w:cs="宋体"/>
                <w:b/>
                <w:sz w:val="24"/>
              </w:rPr>
            </w:pPr>
            <w:r>
              <w:rPr>
                <w:rFonts w:hint="eastAsia" w:ascii="宋体" w:hAnsi="宋体" w:cs="宋体"/>
                <w:b/>
                <w:sz w:val="24"/>
              </w:rPr>
              <w:t>一级指标</w:t>
            </w:r>
          </w:p>
        </w:tc>
        <w:tc>
          <w:tcPr>
            <w:tcW w:w="828" w:type="dxa"/>
            <w:vAlign w:val="center"/>
          </w:tcPr>
          <w:p>
            <w:pPr>
              <w:snapToGrid w:val="0"/>
              <w:jc w:val="center"/>
              <w:rPr>
                <w:rFonts w:ascii="宋体" w:hAnsi="宋体" w:cs="宋体"/>
                <w:b/>
                <w:sz w:val="24"/>
              </w:rPr>
            </w:pPr>
            <w:r>
              <w:rPr>
                <w:rFonts w:hint="eastAsia" w:ascii="宋体" w:hAnsi="宋体" w:cs="宋体"/>
                <w:b/>
                <w:sz w:val="24"/>
              </w:rPr>
              <w:t>比例</w:t>
            </w:r>
          </w:p>
        </w:tc>
        <w:tc>
          <w:tcPr>
            <w:tcW w:w="2636" w:type="dxa"/>
            <w:vAlign w:val="center"/>
          </w:tcPr>
          <w:p>
            <w:pPr>
              <w:snapToGrid w:val="0"/>
              <w:jc w:val="center"/>
              <w:rPr>
                <w:rFonts w:ascii="宋体" w:hAnsi="宋体" w:cs="宋体"/>
                <w:b/>
                <w:sz w:val="24"/>
              </w:rPr>
            </w:pPr>
            <w:r>
              <w:rPr>
                <w:rFonts w:hint="eastAsia" w:ascii="宋体" w:hAnsi="宋体" w:cs="宋体"/>
                <w:b/>
                <w:sz w:val="24"/>
              </w:rPr>
              <w:t>二级指标</w:t>
            </w:r>
          </w:p>
        </w:tc>
        <w:tc>
          <w:tcPr>
            <w:tcW w:w="878" w:type="dxa"/>
            <w:vAlign w:val="center"/>
          </w:tcPr>
          <w:p>
            <w:pPr>
              <w:snapToGrid w:val="0"/>
              <w:jc w:val="center"/>
              <w:rPr>
                <w:rFonts w:ascii="宋体" w:hAnsi="宋体" w:cs="宋体"/>
                <w:b/>
                <w:sz w:val="24"/>
              </w:rPr>
            </w:pPr>
            <w:r>
              <w:rPr>
                <w:rFonts w:hint="eastAsia" w:ascii="宋体" w:hAnsi="宋体" w:cs="宋体"/>
                <w:b/>
                <w:sz w:val="24"/>
              </w:rPr>
              <w:t>比例</w:t>
            </w:r>
          </w:p>
        </w:tc>
        <w:tc>
          <w:tcPr>
            <w:tcW w:w="3205" w:type="dxa"/>
            <w:vAlign w:val="center"/>
          </w:tcPr>
          <w:p>
            <w:pPr>
              <w:snapToGrid w:val="0"/>
              <w:jc w:val="center"/>
              <w:rPr>
                <w:rFonts w:ascii="宋体" w:hAnsi="宋体" w:cs="宋体"/>
                <w:b/>
                <w:sz w:val="24"/>
              </w:rPr>
            </w:pPr>
            <w:r>
              <w:rPr>
                <w:rFonts w:hint="eastAsia" w:ascii="宋体" w:hAnsi="宋体" w:cs="宋体"/>
                <w:b/>
                <w:sz w:val="24"/>
              </w:rPr>
              <w:t>知识点、技能点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70" w:type="dxa"/>
            <w:vAlign w:val="center"/>
          </w:tcPr>
          <w:p>
            <w:pPr>
              <w:snapToGrid w:val="0"/>
              <w:jc w:val="center"/>
              <w:rPr>
                <w:rFonts w:ascii="宋体" w:hAnsi="宋体" w:cs="宋体"/>
                <w:sz w:val="24"/>
              </w:rPr>
            </w:pPr>
            <w:r>
              <w:rPr>
                <w:rFonts w:hint="eastAsia" w:ascii="宋体" w:hAnsi="宋体" w:cs="宋体"/>
                <w:sz w:val="24"/>
              </w:rPr>
              <w:t>电梯电气控制原理图设计与绘制</w:t>
            </w:r>
          </w:p>
        </w:tc>
        <w:tc>
          <w:tcPr>
            <w:tcW w:w="828" w:type="dxa"/>
            <w:vAlign w:val="center"/>
          </w:tcPr>
          <w:p>
            <w:pPr>
              <w:snapToGrid w:val="0"/>
              <w:jc w:val="center"/>
              <w:rPr>
                <w:rFonts w:ascii="宋体" w:hAnsi="宋体" w:cs="宋体"/>
                <w:sz w:val="24"/>
              </w:rPr>
            </w:pPr>
            <w:r>
              <w:rPr>
                <w:rFonts w:hint="eastAsia" w:ascii="宋体" w:hAnsi="宋体" w:cs="宋体"/>
                <w:sz w:val="24"/>
              </w:rPr>
              <w:t>8%</w:t>
            </w:r>
          </w:p>
        </w:tc>
        <w:tc>
          <w:tcPr>
            <w:tcW w:w="2636" w:type="dxa"/>
            <w:vAlign w:val="center"/>
          </w:tcPr>
          <w:p>
            <w:pPr>
              <w:snapToGrid w:val="0"/>
              <w:jc w:val="left"/>
              <w:rPr>
                <w:rFonts w:ascii="宋体" w:hAnsi="宋体" w:cs="宋体"/>
                <w:sz w:val="24"/>
              </w:rPr>
            </w:pPr>
            <w:r>
              <w:rPr>
                <w:rFonts w:hint="eastAsia" w:ascii="宋体" w:hAnsi="宋体" w:cs="宋体"/>
                <w:sz w:val="24"/>
              </w:rPr>
              <w:t>1.完成电气原理图设计</w:t>
            </w:r>
          </w:p>
          <w:p>
            <w:pPr>
              <w:snapToGrid w:val="0"/>
              <w:jc w:val="left"/>
              <w:rPr>
                <w:rFonts w:ascii="宋体" w:hAnsi="宋体" w:cs="宋体"/>
                <w:sz w:val="24"/>
              </w:rPr>
            </w:pPr>
            <w:r>
              <w:rPr>
                <w:rFonts w:hint="eastAsia" w:ascii="宋体" w:hAnsi="宋体" w:cs="宋体"/>
                <w:sz w:val="24"/>
              </w:rPr>
              <w:t>2.电气符号使用正确</w:t>
            </w:r>
          </w:p>
          <w:p>
            <w:pPr>
              <w:snapToGrid w:val="0"/>
              <w:jc w:val="left"/>
              <w:rPr>
                <w:rFonts w:ascii="宋体" w:hAnsi="宋体" w:cs="宋体"/>
                <w:sz w:val="24"/>
              </w:rPr>
            </w:pPr>
            <w:r>
              <w:rPr>
                <w:rFonts w:hint="eastAsia" w:ascii="宋体" w:hAnsi="宋体" w:cs="宋体"/>
                <w:sz w:val="24"/>
              </w:rPr>
              <w:t>3.电路图文字符号使用正确</w:t>
            </w:r>
          </w:p>
        </w:tc>
        <w:tc>
          <w:tcPr>
            <w:tcW w:w="878" w:type="dxa"/>
            <w:vAlign w:val="center"/>
          </w:tcPr>
          <w:p>
            <w:pPr>
              <w:snapToGrid w:val="0"/>
              <w:jc w:val="center"/>
              <w:rPr>
                <w:rFonts w:ascii="宋体" w:hAnsi="宋体" w:cs="宋体"/>
                <w:sz w:val="24"/>
              </w:rPr>
            </w:pPr>
            <w:r>
              <w:rPr>
                <w:rFonts w:hint="eastAsia" w:ascii="宋体" w:hAnsi="宋体" w:cs="宋体"/>
                <w:sz w:val="24"/>
              </w:rPr>
              <w:t>8%</w:t>
            </w:r>
          </w:p>
        </w:tc>
        <w:tc>
          <w:tcPr>
            <w:tcW w:w="3205" w:type="dxa"/>
            <w:vAlign w:val="center"/>
          </w:tcPr>
          <w:p>
            <w:pPr>
              <w:snapToGrid w:val="0"/>
              <w:jc w:val="left"/>
              <w:rPr>
                <w:rFonts w:ascii="宋体" w:hAnsi="宋体" w:cs="宋体"/>
                <w:sz w:val="24"/>
              </w:rPr>
            </w:pPr>
            <w:r>
              <w:rPr>
                <w:rFonts w:hint="eastAsia" w:ascii="宋体" w:hAnsi="宋体" w:cs="宋体"/>
                <w:sz w:val="24"/>
              </w:rPr>
              <w:t>电气图原理、电路图图形符号、电路图文字符号。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70" w:type="dxa"/>
            <w:vAlign w:val="center"/>
          </w:tcPr>
          <w:p>
            <w:pPr>
              <w:snapToGrid w:val="0"/>
              <w:jc w:val="center"/>
              <w:rPr>
                <w:rFonts w:ascii="宋体" w:hAnsi="宋体" w:cs="宋体"/>
                <w:sz w:val="24"/>
              </w:rPr>
            </w:pPr>
            <w:r>
              <w:rPr>
                <w:rFonts w:hint="eastAsia" w:ascii="宋体" w:hAnsi="宋体" w:cs="宋体"/>
                <w:sz w:val="24"/>
              </w:rPr>
              <w:t>电梯井道检测装置安装与调整</w:t>
            </w:r>
          </w:p>
        </w:tc>
        <w:tc>
          <w:tcPr>
            <w:tcW w:w="828" w:type="dxa"/>
            <w:vAlign w:val="center"/>
          </w:tcPr>
          <w:p>
            <w:pPr>
              <w:snapToGrid w:val="0"/>
              <w:jc w:val="center"/>
              <w:rPr>
                <w:rFonts w:ascii="宋体" w:hAnsi="宋体" w:cs="宋体"/>
                <w:sz w:val="24"/>
              </w:rPr>
            </w:pPr>
            <w:r>
              <w:rPr>
                <w:rFonts w:hint="eastAsia" w:ascii="宋体" w:hAnsi="宋体" w:cs="宋体"/>
                <w:sz w:val="24"/>
              </w:rPr>
              <w:t>10%</w:t>
            </w:r>
          </w:p>
        </w:tc>
        <w:tc>
          <w:tcPr>
            <w:tcW w:w="2636" w:type="dxa"/>
            <w:vAlign w:val="center"/>
          </w:tcPr>
          <w:p>
            <w:pPr>
              <w:snapToGrid w:val="0"/>
              <w:jc w:val="left"/>
              <w:rPr>
                <w:rFonts w:ascii="宋体" w:hAnsi="宋体" w:cs="宋体"/>
                <w:sz w:val="24"/>
              </w:rPr>
            </w:pPr>
            <w:r>
              <w:rPr>
                <w:rFonts w:hint="eastAsia" w:ascii="宋体" w:hAnsi="宋体" w:cs="宋体"/>
                <w:sz w:val="24"/>
              </w:rPr>
              <w:t>电梯机构安装与检测装置调整</w:t>
            </w:r>
          </w:p>
        </w:tc>
        <w:tc>
          <w:tcPr>
            <w:tcW w:w="878" w:type="dxa"/>
            <w:vAlign w:val="center"/>
          </w:tcPr>
          <w:p>
            <w:pPr>
              <w:snapToGrid w:val="0"/>
              <w:jc w:val="center"/>
              <w:rPr>
                <w:rFonts w:ascii="宋体" w:hAnsi="宋体" w:cs="宋体"/>
                <w:sz w:val="24"/>
              </w:rPr>
            </w:pPr>
            <w:r>
              <w:rPr>
                <w:rFonts w:hint="eastAsia" w:ascii="宋体" w:hAnsi="宋体" w:cs="宋体"/>
                <w:sz w:val="24"/>
              </w:rPr>
              <w:t>10%</w:t>
            </w:r>
          </w:p>
        </w:tc>
        <w:tc>
          <w:tcPr>
            <w:tcW w:w="3205" w:type="dxa"/>
            <w:vAlign w:val="center"/>
          </w:tcPr>
          <w:p>
            <w:pPr>
              <w:snapToGrid w:val="0"/>
              <w:jc w:val="left"/>
              <w:rPr>
                <w:rFonts w:ascii="宋体" w:hAnsi="宋体" w:cs="宋体"/>
                <w:sz w:val="24"/>
              </w:rPr>
            </w:pPr>
            <w:r>
              <w:rPr>
                <w:rFonts w:hint="eastAsia" w:ascii="宋体" w:hAnsi="宋体" w:cs="宋体"/>
                <w:sz w:val="24"/>
              </w:rPr>
              <w:t>机械识图基础、电梯基本构造、曳引钢丝绳、悬挂装置的安装知识、电梯安装技能操作。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70" w:type="dxa"/>
            <w:vMerge w:val="restart"/>
            <w:vAlign w:val="center"/>
          </w:tcPr>
          <w:p>
            <w:pPr>
              <w:snapToGrid w:val="0"/>
              <w:jc w:val="center"/>
              <w:rPr>
                <w:rFonts w:ascii="宋体" w:hAnsi="宋体" w:cs="宋体"/>
                <w:sz w:val="24"/>
              </w:rPr>
            </w:pPr>
            <w:r>
              <w:rPr>
                <w:rFonts w:hint="eastAsia" w:ascii="宋体" w:hAnsi="宋体" w:cs="宋体"/>
                <w:sz w:val="24"/>
              </w:rPr>
              <w:t>电梯电气控制柜器件的安装与线路连接</w:t>
            </w:r>
          </w:p>
        </w:tc>
        <w:tc>
          <w:tcPr>
            <w:tcW w:w="828" w:type="dxa"/>
            <w:vMerge w:val="restart"/>
            <w:vAlign w:val="center"/>
          </w:tcPr>
          <w:p>
            <w:pPr>
              <w:snapToGrid w:val="0"/>
              <w:jc w:val="center"/>
              <w:rPr>
                <w:rFonts w:ascii="宋体" w:hAnsi="宋体" w:cs="宋体"/>
                <w:sz w:val="24"/>
              </w:rPr>
            </w:pPr>
            <w:r>
              <w:rPr>
                <w:rFonts w:hint="eastAsia" w:ascii="宋体" w:hAnsi="宋体" w:cs="宋体"/>
                <w:sz w:val="24"/>
              </w:rPr>
              <w:t>20%</w:t>
            </w:r>
          </w:p>
        </w:tc>
        <w:tc>
          <w:tcPr>
            <w:tcW w:w="2636" w:type="dxa"/>
            <w:vAlign w:val="center"/>
          </w:tcPr>
          <w:p>
            <w:pPr>
              <w:snapToGrid w:val="0"/>
              <w:jc w:val="left"/>
              <w:rPr>
                <w:rFonts w:ascii="宋体" w:hAnsi="宋体" w:cs="宋体"/>
                <w:sz w:val="24"/>
              </w:rPr>
            </w:pPr>
            <w:r>
              <w:rPr>
                <w:rFonts w:hint="eastAsia" w:ascii="宋体" w:hAnsi="宋体" w:cs="宋体"/>
                <w:sz w:val="24"/>
              </w:rPr>
              <w:t>1.电梯电气控制柜器件的安装</w:t>
            </w:r>
          </w:p>
        </w:tc>
        <w:tc>
          <w:tcPr>
            <w:tcW w:w="878" w:type="dxa"/>
            <w:vAlign w:val="center"/>
          </w:tcPr>
          <w:p>
            <w:pPr>
              <w:snapToGrid w:val="0"/>
              <w:jc w:val="center"/>
              <w:rPr>
                <w:rFonts w:ascii="宋体" w:hAnsi="宋体" w:cs="宋体"/>
                <w:sz w:val="24"/>
              </w:rPr>
            </w:pPr>
            <w:r>
              <w:rPr>
                <w:rFonts w:hint="eastAsia" w:ascii="宋体" w:hAnsi="宋体" w:cs="宋体"/>
                <w:sz w:val="24"/>
              </w:rPr>
              <w:t>5%</w:t>
            </w:r>
          </w:p>
        </w:tc>
        <w:tc>
          <w:tcPr>
            <w:tcW w:w="3205" w:type="dxa"/>
            <w:vAlign w:val="center"/>
          </w:tcPr>
          <w:p>
            <w:pPr>
              <w:snapToGrid w:val="0"/>
              <w:jc w:val="left"/>
              <w:rPr>
                <w:rFonts w:ascii="宋体" w:hAnsi="宋体" w:cs="宋体"/>
                <w:sz w:val="24"/>
              </w:rPr>
            </w:pPr>
            <w:r>
              <w:rPr>
                <w:rFonts w:hint="eastAsia" w:ascii="宋体" w:hAnsi="宋体" w:cs="宋体"/>
                <w:sz w:val="24"/>
              </w:rPr>
              <w:t>电气控制知识，电气元件类型、用途分析。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70" w:type="dxa"/>
            <w:vMerge w:val="continue"/>
            <w:vAlign w:val="center"/>
          </w:tcPr>
          <w:p>
            <w:pPr>
              <w:snapToGrid w:val="0"/>
              <w:jc w:val="center"/>
              <w:rPr>
                <w:rFonts w:ascii="宋体" w:hAnsi="宋体" w:cs="宋体"/>
                <w:sz w:val="24"/>
              </w:rPr>
            </w:pPr>
          </w:p>
        </w:tc>
        <w:tc>
          <w:tcPr>
            <w:tcW w:w="828" w:type="dxa"/>
            <w:vMerge w:val="continue"/>
            <w:vAlign w:val="center"/>
          </w:tcPr>
          <w:p>
            <w:pPr>
              <w:snapToGrid w:val="0"/>
              <w:jc w:val="center"/>
              <w:rPr>
                <w:rFonts w:ascii="宋体" w:hAnsi="宋体" w:cs="宋体"/>
                <w:sz w:val="24"/>
              </w:rPr>
            </w:pPr>
          </w:p>
        </w:tc>
        <w:tc>
          <w:tcPr>
            <w:tcW w:w="2636" w:type="dxa"/>
            <w:vAlign w:val="center"/>
          </w:tcPr>
          <w:p>
            <w:pPr>
              <w:snapToGrid w:val="0"/>
              <w:jc w:val="left"/>
              <w:rPr>
                <w:rFonts w:ascii="宋体" w:hAnsi="宋体" w:cs="宋体"/>
                <w:sz w:val="24"/>
              </w:rPr>
            </w:pPr>
            <w:r>
              <w:rPr>
                <w:rFonts w:hint="eastAsia" w:ascii="宋体" w:hAnsi="宋体" w:cs="宋体"/>
                <w:sz w:val="24"/>
              </w:rPr>
              <w:t>2.电气控制柜线路连接</w:t>
            </w:r>
          </w:p>
        </w:tc>
        <w:tc>
          <w:tcPr>
            <w:tcW w:w="878" w:type="dxa"/>
            <w:vAlign w:val="center"/>
          </w:tcPr>
          <w:p>
            <w:pPr>
              <w:snapToGrid w:val="0"/>
              <w:jc w:val="center"/>
              <w:rPr>
                <w:rFonts w:ascii="宋体" w:hAnsi="宋体" w:cs="宋体"/>
                <w:sz w:val="24"/>
              </w:rPr>
            </w:pPr>
            <w:r>
              <w:rPr>
                <w:rFonts w:hint="eastAsia" w:ascii="宋体" w:hAnsi="宋体" w:cs="宋体"/>
                <w:sz w:val="24"/>
              </w:rPr>
              <w:t>15%</w:t>
            </w:r>
          </w:p>
        </w:tc>
        <w:tc>
          <w:tcPr>
            <w:tcW w:w="3205" w:type="dxa"/>
            <w:vAlign w:val="center"/>
          </w:tcPr>
          <w:p>
            <w:pPr>
              <w:snapToGrid w:val="0"/>
              <w:jc w:val="left"/>
              <w:rPr>
                <w:rFonts w:ascii="宋体" w:hAnsi="宋体" w:cs="宋体"/>
                <w:sz w:val="24"/>
              </w:rPr>
            </w:pPr>
            <w:r>
              <w:rPr>
                <w:rFonts w:hint="eastAsia" w:ascii="宋体" w:hAnsi="宋体" w:cs="宋体"/>
                <w:sz w:val="24"/>
              </w:rPr>
              <w:t>电梯各环节的工作原理、PLC的基本知识和结构、I/O接口特性，PLC外围线路的接线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70" w:type="dxa"/>
            <w:vMerge w:val="restart"/>
            <w:vAlign w:val="center"/>
          </w:tcPr>
          <w:p>
            <w:pPr>
              <w:snapToGrid w:val="0"/>
              <w:jc w:val="center"/>
              <w:rPr>
                <w:rFonts w:ascii="宋体" w:hAnsi="宋体" w:cs="宋体"/>
                <w:sz w:val="24"/>
              </w:rPr>
            </w:pPr>
            <w:r>
              <w:rPr>
                <w:rFonts w:hint="eastAsia" w:ascii="宋体" w:hAnsi="宋体" w:cs="宋体"/>
                <w:sz w:val="24"/>
              </w:rPr>
              <w:t>电梯控制程序设计与调试</w:t>
            </w:r>
          </w:p>
        </w:tc>
        <w:tc>
          <w:tcPr>
            <w:tcW w:w="828" w:type="dxa"/>
            <w:vMerge w:val="restart"/>
            <w:vAlign w:val="center"/>
          </w:tcPr>
          <w:p>
            <w:pPr>
              <w:snapToGrid w:val="0"/>
              <w:jc w:val="center"/>
              <w:rPr>
                <w:rFonts w:ascii="宋体" w:hAnsi="宋体" w:cs="宋体"/>
                <w:sz w:val="24"/>
              </w:rPr>
            </w:pPr>
            <w:r>
              <w:rPr>
                <w:rFonts w:hint="eastAsia" w:ascii="宋体" w:hAnsi="宋体" w:cs="宋体"/>
                <w:sz w:val="24"/>
              </w:rPr>
              <w:t>35%</w:t>
            </w:r>
          </w:p>
        </w:tc>
        <w:tc>
          <w:tcPr>
            <w:tcW w:w="2636" w:type="dxa"/>
            <w:vAlign w:val="center"/>
          </w:tcPr>
          <w:p>
            <w:pPr>
              <w:snapToGrid w:val="0"/>
              <w:jc w:val="left"/>
              <w:rPr>
                <w:rFonts w:ascii="宋体" w:hAnsi="宋体" w:cs="宋体"/>
                <w:sz w:val="24"/>
              </w:rPr>
            </w:pPr>
            <w:r>
              <w:rPr>
                <w:rFonts w:hint="eastAsia" w:ascii="宋体" w:hAnsi="宋体" w:cs="宋体"/>
                <w:sz w:val="24"/>
              </w:rPr>
              <w:t>1.电梯舒适系统设计与调试</w:t>
            </w:r>
          </w:p>
        </w:tc>
        <w:tc>
          <w:tcPr>
            <w:tcW w:w="878" w:type="dxa"/>
            <w:vAlign w:val="center"/>
          </w:tcPr>
          <w:p>
            <w:pPr>
              <w:snapToGrid w:val="0"/>
              <w:jc w:val="center"/>
              <w:rPr>
                <w:rFonts w:ascii="宋体" w:hAnsi="宋体" w:cs="宋体"/>
                <w:sz w:val="24"/>
              </w:rPr>
            </w:pPr>
            <w:r>
              <w:rPr>
                <w:rFonts w:hint="eastAsia" w:ascii="宋体" w:hAnsi="宋体" w:cs="宋体"/>
                <w:sz w:val="24"/>
              </w:rPr>
              <w:t>3%</w:t>
            </w:r>
          </w:p>
        </w:tc>
        <w:tc>
          <w:tcPr>
            <w:tcW w:w="3205" w:type="dxa"/>
            <w:vAlign w:val="center"/>
          </w:tcPr>
          <w:p>
            <w:pPr>
              <w:snapToGrid w:val="0"/>
              <w:jc w:val="left"/>
              <w:rPr>
                <w:rFonts w:ascii="宋体" w:hAnsi="宋体" w:cs="宋体"/>
                <w:sz w:val="24"/>
              </w:rPr>
            </w:pPr>
            <w:r>
              <w:rPr>
                <w:rFonts w:hint="eastAsia" w:ascii="宋体" w:hAnsi="宋体" w:cs="宋体"/>
                <w:sz w:val="24"/>
              </w:rPr>
              <w:t>变频器工作原理和使用方法，电梯调速基本操作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70" w:type="dxa"/>
            <w:vMerge w:val="continue"/>
            <w:vAlign w:val="center"/>
          </w:tcPr>
          <w:p>
            <w:pPr>
              <w:snapToGrid w:val="0"/>
              <w:jc w:val="center"/>
              <w:rPr>
                <w:rFonts w:ascii="宋体" w:hAnsi="宋体" w:cs="宋体"/>
                <w:sz w:val="24"/>
              </w:rPr>
            </w:pPr>
          </w:p>
        </w:tc>
        <w:tc>
          <w:tcPr>
            <w:tcW w:w="828" w:type="dxa"/>
            <w:vMerge w:val="continue"/>
            <w:vAlign w:val="center"/>
          </w:tcPr>
          <w:p>
            <w:pPr>
              <w:snapToGrid w:val="0"/>
              <w:jc w:val="center"/>
              <w:rPr>
                <w:rFonts w:ascii="宋体" w:hAnsi="宋体" w:cs="宋体"/>
                <w:sz w:val="24"/>
              </w:rPr>
            </w:pPr>
          </w:p>
        </w:tc>
        <w:tc>
          <w:tcPr>
            <w:tcW w:w="2636" w:type="dxa"/>
            <w:vAlign w:val="center"/>
          </w:tcPr>
          <w:p>
            <w:pPr>
              <w:snapToGrid w:val="0"/>
              <w:jc w:val="left"/>
              <w:rPr>
                <w:rFonts w:ascii="宋体" w:hAnsi="宋体" w:cs="宋体"/>
                <w:sz w:val="24"/>
              </w:rPr>
            </w:pPr>
            <w:r>
              <w:rPr>
                <w:rFonts w:hint="eastAsia" w:ascii="宋体" w:hAnsi="宋体" w:cs="宋体"/>
                <w:sz w:val="24"/>
              </w:rPr>
              <w:t>2.单座电梯运行控制程序设计与调试</w:t>
            </w:r>
          </w:p>
        </w:tc>
        <w:tc>
          <w:tcPr>
            <w:tcW w:w="878" w:type="dxa"/>
            <w:vAlign w:val="center"/>
          </w:tcPr>
          <w:p>
            <w:pPr>
              <w:snapToGrid w:val="0"/>
              <w:jc w:val="center"/>
              <w:rPr>
                <w:rFonts w:ascii="宋体" w:hAnsi="宋体" w:cs="宋体"/>
                <w:sz w:val="24"/>
              </w:rPr>
            </w:pPr>
            <w:r>
              <w:rPr>
                <w:rFonts w:hint="eastAsia" w:ascii="宋体" w:hAnsi="宋体" w:cs="宋体"/>
                <w:sz w:val="24"/>
              </w:rPr>
              <w:t>14%</w:t>
            </w:r>
          </w:p>
        </w:tc>
        <w:tc>
          <w:tcPr>
            <w:tcW w:w="3205" w:type="dxa"/>
            <w:vAlign w:val="center"/>
          </w:tcPr>
          <w:p>
            <w:pPr>
              <w:snapToGrid w:val="0"/>
              <w:jc w:val="left"/>
              <w:rPr>
                <w:rFonts w:ascii="宋体" w:hAnsi="宋体" w:cs="宋体"/>
                <w:sz w:val="24"/>
              </w:rPr>
            </w:pPr>
            <w:r>
              <w:rPr>
                <w:rFonts w:hint="eastAsia" w:ascii="宋体" w:hAnsi="宋体" w:cs="宋体"/>
                <w:sz w:val="24"/>
              </w:rPr>
              <w:t>电脑编程操作， PLC在电梯控制系统中的应用和编程方法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70" w:type="dxa"/>
            <w:vMerge w:val="continue"/>
            <w:vAlign w:val="center"/>
          </w:tcPr>
          <w:p>
            <w:pPr>
              <w:snapToGrid w:val="0"/>
              <w:jc w:val="center"/>
              <w:rPr>
                <w:rFonts w:ascii="宋体" w:hAnsi="宋体" w:cs="宋体"/>
                <w:color w:val="0000FF"/>
                <w:sz w:val="24"/>
              </w:rPr>
            </w:pPr>
          </w:p>
        </w:tc>
        <w:tc>
          <w:tcPr>
            <w:tcW w:w="828" w:type="dxa"/>
            <w:vMerge w:val="continue"/>
            <w:vAlign w:val="center"/>
          </w:tcPr>
          <w:p>
            <w:pPr>
              <w:snapToGrid w:val="0"/>
              <w:jc w:val="center"/>
              <w:rPr>
                <w:rFonts w:ascii="宋体" w:hAnsi="宋体" w:cs="宋体"/>
                <w:sz w:val="24"/>
              </w:rPr>
            </w:pPr>
          </w:p>
        </w:tc>
        <w:tc>
          <w:tcPr>
            <w:tcW w:w="2636" w:type="dxa"/>
            <w:vAlign w:val="center"/>
          </w:tcPr>
          <w:p>
            <w:pPr>
              <w:snapToGrid w:val="0"/>
              <w:jc w:val="left"/>
              <w:rPr>
                <w:rFonts w:ascii="宋体" w:hAnsi="宋体" w:cs="宋体"/>
                <w:sz w:val="24"/>
              </w:rPr>
            </w:pPr>
            <w:r>
              <w:rPr>
                <w:rFonts w:hint="eastAsia" w:ascii="宋体" w:hAnsi="宋体" w:cs="宋体"/>
                <w:sz w:val="24"/>
              </w:rPr>
              <w:t>3.群控电梯程序设计与调试</w:t>
            </w:r>
          </w:p>
        </w:tc>
        <w:tc>
          <w:tcPr>
            <w:tcW w:w="878" w:type="dxa"/>
            <w:vAlign w:val="center"/>
          </w:tcPr>
          <w:p>
            <w:pPr>
              <w:snapToGrid w:val="0"/>
              <w:jc w:val="center"/>
              <w:rPr>
                <w:rFonts w:ascii="宋体" w:hAnsi="宋体" w:cs="宋体"/>
                <w:sz w:val="24"/>
              </w:rPr>
            </w:pPr>
            <w:r>
              <w:rPr>
                <w:rFonts w:hint="eastAsia" w:ascii="宋体" w:hAnsi="宋体" w:cs="宋体"/>
                <w:sz w:val="24"/>
              </w:rPr>
              <w:t>8%</w:t>
            </w:r>
          </w:p>
        </w:tc>
        <w:tc>
          <w:tcPr>
            <w:tcW w:w="3205" w:type="dxa"/>
            <w:vAlign w:val="center"/>
          </w:tcPr>
          <w:p>
            <w:pPr>
              <w:snapToGrid w:val="0"/>
              <w:jc w:val="left"/>
              <w:rPr>
                <w:rFonts w:ascii="宋体" w:hAnsi="宋体" w:cs="宋体"/>
                <w:sz w:val="24"/>
              </w:rPr>
            </w:pPr>
            <w:r>
              <w:rPr>
                <w:rFonts w:hint="eastAsia" w:ascii="宋体" w:hAnsi="宋体" w:cs="宋体"/>
                <w:sz w:val="24"/>
              </w:rPr>
              <w:t>PLC在电梯控制系统中的应用和编程方法，PLC故障诊断与排除，解决技术攻关中实际技术难题的综合能力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70" w:type="dxa"/>
            <w:vMerge w:val="continue"/>
            <w:vAlign w:val="center"/>
          </w:tcPr>
          <w:p>
            <w:pPr>
              <w:snapToGrid w:val="0"/>
              <w:jc w:val="center"/>
              <w:rPr>
                <w:rFonts w:ascii="宋体" w:hAnsi="宋体" w:cs="宋体"/>
                <w:color w:val="0000FF"/>
                <w:sz w:val="24"/>
              </w:rPr>
            </w:pPr>
          </w:p>
        </w:tc>
        <w:tc>
          <w:tcPr>
            <w:tcW w:w="828" w:type="dxa"/>
            <w:vMerge w:val="continue"/>
            <w:vAlign w:val="center"/>
          </w:tcPr>
          <w:p>
            <w:pPr>
              <w:snapToGrid w:val="0"/>
              <w:jc w:val="center"/>
              <w:rPr>
                <w:rFonts w:ascii="宋体" w:hAnsi="宋体" w:cs="宋体"/>
                <w:sz w:val="24"/>
              </w:rPr>
            </w:pPr>
          </w:p>
        </w:tc>
        <w:tc>
          <w:tcPr>
            <w:tcW w:w="2636" w:type="dxa"/>
            <w:vAlign w:val="center"/>
          </w:tcPr>
          <w:p>
            <w:pPr>
              <w:snapToGrid w:val="0"/>
              <w:jc w:val="left"/>
              <w:rPr>
                <w:rFonts w:ascii="宋体" w:hAnsi="宋体" w:cs="宋体"/>
                <w:sz w:val="24"/>
              </w:rPr>
            </w:pPr>
            <w:r>
              <w:rPr>
                <w:rFonts w:hint="eastAsia" w:ascii="宋体" w:hAnsi="宋体" w:cs="宋体"/>
                <w:sz w:val="24"/>
              </w:rPr>
              <w:t>4.电梯监控系统设计与调试</w:t>
            </w:r>
          </w:p>
        </w:tc>
        <w:tc>
          <w:tcPr>
            <w:tcW w:w="878" w:type="dxa"/>
            <w:vAlign w:val="center"/>
          </w:tcPr>
          <w:p>
            <w:pPr>
              <w:snapToGrid w:val="0"/>
              <w:jc w:val="center"/>
              <w:rPr>
                <w:rFonts w:ascii="宋体" w:hAnsi="宋体" w:cs="宋体"/>
                <w:sz w:val="24"/>
              </w:rPr>
            </w:pPr>
            <w:r>
              <w:rPr>
                <w:rFonts w:hint="eastAsia" w:ascii="宋体" w:hAnsi="宋体" w:cs="宋体"/>
                <w:sz w:val="24"/>
              </w:rPr>
              <w:t>10%</w:t>
            </w:r>
          </w:p>
        </w:tc>
        <w:tc>
          <w:tcPr>
            <w:tcW w:w="3205" w:type="dxa"/>
            <w:vAlign w:val="center"/>
          </w:tcPr>
          <w:p>
            <w:pPr>
              <w:snapToGrid w:val="0"/>
              <w:jc w:val="left"/>
              <w:rPr>
                <w:rFonts w:ascii="宋体" w:hAnsi="宋体" w:cs="宋体"/>
                <w:sz w:val="24"/>
              </w:rPr>
            </w:pPr>
            <w:r>
              <w:rPr>
                <w:rFonts w:hint="eastAsia" w:ascii="宋体" w:hAnsi="宋体" w:cs="宋体"/>
                <w:sz w:val="24"/>
              </w:rPr>
              <w:t>电梯四新技术应用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70" w:type="dxa"/>
            <w:vMerge w:val="restart"/>
            <w:vAlign w:val="center"/>
          </w:tcPr>
          <w:p>
            <w:pPr>
              <w:snapToGrid w:val="0"/>
              <w:jc w:val="center"/>
              <w:rPr>
                <w:rFonts w:ascii="宋体" w:hAnsi="宋体" w:cs="宋体"/>
                <w:sz w:val="24"/>
              </w:rPr>
            </w:pPr>
            <w:r>
              <w:rPr>
                <w:rFonts w:hint="eastAsia" w:ascii="宋体" w:hAnsi="宋体" w:cs="宋体"/>
                <w:sz w:val="24"/>
              </w:rPr>
              <w:t>电梯故障诊断与排除</w:t>
            </w:r>
          </w:p>
        </w:tc>
        <w:tc>
          <w:tcPr>
            <w:tcW w:w="828" w:type="dxa"/>
            <w:vMerge w:val="restart"/>
            <w:vAlign w:val="center"/>
          </w:tcPr>
          <w:p>
            <w:pPr>
              <w:snapToGrid w:val="0"/>
              <w:jc w:val="center"/>
              <w:rPr>
                <w:rFonts w:ascii="宋体" w:hAnsi="宋体" w:cs="宋体"/>
                <w:sz w:val="24"/>
              </w:rPr>
            </w:pPr>
            <w:r>
              <w:rPr>
                <w:rFonts w:hint="eastAsia" w:ascii="宋体" w:hAnsi="宋体" w:cs="宋体"/>
                <w:sz w:val="24"/>
              </w:rPr>
              <w:t>10%</w:t>
            </w:r>
          </w:p>
        </w:tc>
        <w:tc>
          <w:tcPr>
            <w:tcW w:w="2636" w:type="dxa"/>
            <w:vAlign w:val="center"/>
          </w:tcPr>
          <w:p>
            <w:pPr>
              <w:snapToGrid w:val="0"/>
              <w:jc w:val="left"/>
              <w:rPr>
                <w:rFonts w:ascii="宋体" w:hAnsi="宋体" w:cs="宋体"/>
                <w:sz w:val="24"/>
              </w:rPr>
            </w:pPr>
            <w:r>
              <w:rPr>
                <w:rFonts w:hint="eastAsia" w:ascii="宋体" w:hAnsi="宋体" w:cs="宋体"/>
                <w:sz w:val="24"/>
              </w:rPr>
              <w:t>1.故障诊断，故障现象描述</w:t>
            </w:r>
          </w:p>
        </w:tc>
        <w:tc>
          <w:tcPr>
            <w:tcW w:w="878" w:type="dxa"/>
            <w:vAlign w:val="center"/>
          </w:tcPr>
          <w:p>
            <w:pPr>
              <w:snapToGrid w:val="0"/>
              <w:jc w:val="center"/>
              <w:rPr>
                <w:rFonts w:ascii="宋体" w:hAnsi="宋体" w:cs="宋体"/>
                <w:sz w:val="24"/>
              </w:rPr>
            </w:pPr>
            <w:r>
              <w:rPr>
                <w:rFonts w:hint="eastAsia" w:ascii="宋体" w:hAnsi="宋体" w:cs="宋体"/>
                <w:sz w:val="24"/>
              </w:rPr>
              <w:t>5%</w:t>
            </w:r>
          </w:p>
        </w:tc>
        <w:tc>
          <w:tcPr>
            <w:tcW w:w="3205" w:type="dxa"/>
            <w:vAlign w:val="center"/>
          </w:tcPr>
          <w:p>
            <w:pPr>
              <w:snapToGrid w:val="0"/>
              <w:jc w:val="left"/>
              <w:rPr>
                <w:rFonts w:ascii="宋体" w:hAnsi="宋体" w:cs="宋体"/>
                <w:sz w:val="24"/>
              </w:rPr>
            </w:pPr>
            <w:r>
              <w:rPr>
                <w:rFonts w:hint="eastAsia" w:ascii="宋体" w:hAnsi="宋体" w:cs="宋体"/>
                <w:sz w:val="24"/>
              </w:rPr>
              <w:t>电梯电气控制系统的故障分析；如PLC、变压器、整流器、接触器、各类继电器的检测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70" w:type="dxa"/>
            <w:vMerge w:val="continue"/>
            <w:vAlign w:val="center"/>
          </w:tcPr>
          <w:p>
            <w:pPr>
              <w:snapToGrid w:val="0"/>
              <w:jc w:val="center"/>
              <w:rPr>
                <w:rFonts w:ascii="宋体" w:hAnsi="宋体" w:cs="宋体"/>
                <w:sz w:val="24"/>
              </w:rPr>
            </w:pPr>
          </w:p>
        </w:tc>
        <w:tc>
          <w:tcPr>
            <w:tcW w:w="828" w:type="dxa"/>
            <w:vMerge w:val="continue"/>
            <w:vAlign w:val="center"/>
          </w:tcPr>
          <w:p>
            <w:pPr>
              <w:snapToGrid w:val="0"/>
              <w:jc w:val="center"/>
              <w:rPr>
                <w:rFonts w:ascii="宋体" w:hAnsi="宋体" w:cs="宋体"/>
                <w:sz w:val="24"/>
              </w:rPr>
            </w:pPr>
          </w:p>
        </w:tc>
        <w:tc>
          <w:tcPr>
            <w:tcW w:w="2636" w:type="dxa"/>
            <w:vAlign w:val="center"/>
          </w:tcPr>
          <w:p>
            <w:pPr>
              <w:snapToGrid w:val="0"/>
              <w:jc w:val="left"/>
              <w:rPr>
                <w:rFonts w:ascii="宋体" w:hAnsi="宋体" w:cs="宋体"/>
                <w:sz w:val="24"/>
              </w:rPr>
            </w:pPr>
            <w:r>
              <w:rPr>
                <w:rFonts w:hint="eastAsia" w:ascii="宋体" w:hAnsi="宋体" w:cs="宋体"/>
                <w:sz w:val="24"/>
              </w:rPr>
              <w:t>2.故障排除方法正确</w:t>
            </w:r>
          </w:p>
        </w:tc>
        <w:tc>
          <w:tcPr>
            <w:tcW w:w="878" w:type="dxa"/>
            <w:vAlign w:val="center"/>
          </w:tcPr>
          <w:p>
            <w:pPr>
              <w:snapToGrid w:val="0"/>
              <w:jc w:val="center"/>
              <w:rPr>
                <w:rFonts w:ascii="宋体" w:hAnsi="宋体" w:cs="宋体"/>
                <w:sz w:val="24"/>
              </w:rPr>
            </w:pPr>
            <w:r>
              <w:rPr>
                <w:rFonts w:hint="eastAsia" w:ascii="宋体" w:hAnsi="宋体" w:cs="宋体"/>
                <w:sz w:val="24"/>
              </w:rPr>
              <w:t>5%</w:t>
            </w:r>
          </w:p>
        </w:tc>
        <w:tc>
          <w:tcPr>
            <w:tcW w:w="3205" w:type="dxa"/>
            <w:vAlign w:val="center"/>
          </w:tcPr>
          <w:p>
            <w:pPr>
              <w:snapToGrid w:val="0"/>
              <w:jc w:val="left"/>
              <w:rPr>
                <w:rFonts w:ascii="宋体" w:hAnsi="宋体" w:cs="宋体"/>
                <w:sz w:val="24"/>
              </w:rPr>
            </w:pPr>
            <w:r>
              <w:rPr>
                <w:rFonts w:hint="eastAsia" w:ascii="宋体" w:hAnsi="宋体" w:cs="宋体"/>
                <w:sz w:val="24"/>
              </w:rPr>
              <w:t>电梯电气控制系统的故障排除、能进行电梯的驱动和保护、电梯和安全线路的检测盒排故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70" w:type="dxa"/>
            <w:vAlign w:val="center"/>
          </w:tcPr>
          <w:p>
            <w:pPr>
              <w:snapToGrid w:val="0"/>
              <w:jc w:val="center"/>
              <w:rPr>
                <w:rFonts w:ascii="宋体" w:hAnsi="宋体" w:cs="宋体"/>
                <w:sz w:val="24"/>
              </w:rPr>
            </w:pPr>
            <w:r>
              <w:rPr>
                <w:rFonts w:hint="eastAsia" w:ascii="宋体" w:hAnsi="宋体" w:cs="宋体"/>
                <w:sz w:val="24"/>
              </w:rPr>
              <w:t>电梯运行调试与保养</w:t>
            </w:r>
          </w:p>
        </w:tc>
        <w:tc>
          <w:tcPr>
            <w:tcW w:w="828" w:type="dxa"/>
            <w:vAlign w:val="center"/>
          </w:tcPr>
          <w:p>
            <w:pPr>
              <w:snapToGrid w:val="0"/>
              <w:jc w:val="center"/>
              <w:rPr>
                <w:rFonts w:ascii="宋体" w:hAnsi="宋体" w:cs="宋体"/>
                <w:sz w:val="24"/>
              </w:rPr>
            </w:pPr>
            <w:r>
              <w:rPr>
                <w:rFonts w:hint="eastAsia" w:ascii="宋体" w:hAnsi="宋体" w:cs="宋体"/>
                <w:sz w:val="24"/>
              </w:rPr>
              <w:t>3%</w:t>
            </w:r>
          </w:p>
        </w:tc>
        <w:tc>
          <w:tcPr>
            <w:tcW w:w="2636" w:type="dxa"/>
            <w:vAlign w:val="center"/>
          </w:tcPr>
          <w:p>
            <w:pPr>
              <w:snapToGrid w:val="0"/>
              <w:jc w:val="left"/>
              <w:rPr>
                <w:rFonts w:ascii="宋体" w:hAnsi="宋体" w:cs="宋体"/>
                <w:sz w:val="24"/>
              </w:rPr>
            </w:pPr>
            <w:r>
              <w:rPr>
                <w:rFonts w:hint="eastAsia" w:ascii="宋体" w:hAnsi="宋体" w:cs="宋体"/>
                <w:sz w:val="24"/>
              </w:rPr>
              <w:t>对重计算、平层处理、载荷试验及开关门撞击、卡阻，电梯运行中有抖动和振动处理。</w:t>
            </w:r>
          </w:p>
        </w:tc>
        <w:tc>
          <w:tcPr>
            <w:tcW w:w="878" w:type="dxa"/>
            <w:vAlign w:val="center"/>
          </w:tcPr>
          <w:p>
            <w:pPr>
              <w:snapToGrid w:val="0"/>
              <w:jc w:val="center"/>
              <w:rPr>
                <w:rFonts w:ascii="宋体" w:hAnsi="宋体" w:cs="宋体"/>
                <w:sz w:val="24"/>
              </w:rPr>
            </w:pPr>
            <w:r>
              <w:rPr>
                <w:rFonts w:hint="eastAsia" w:ascii="宋体" w:hAnsi="宋体" w:cs="宋体"/>
                <w:sz w:val="24"/>
              </w:rPr>
              <w:t>3%</w:t>
            </w:r>
          </w:p>
        </w:tc>
        <w:tc>
          <w:tcPr>
            <w:tcW w:w="3205" w:type="dxa"/>
            <w:vAlign w:val="center"/>
          </w:tcPr>
          <w:p>
            <w:pPr>
              <w:snapToGrid w:val="0"/>
              <w:jc w:val="left"/>
              <w:rPr>
                <w:rFonts w:ascii="宋体" w:hAnsi="宋体" w:cs="宋体"/>
                <w:sz w:val="24"/>
              </w:rPr>
            </w:pPr>
            <w:r>
              <w:rPr>
                <w:rFonts w:hint="eastAsia" w:ascii="宋体" w:hAnsi="宋体" w:cs="宋体"/>
                <w:sz w:val="24"/>
              </w:rPr>
              <w:t>对重计算、电梯机械机构的调整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70" w:type="dxa"/>
            <w:vAlign w:val="center"/>
          </w:tcPr>
          <w:p>
            <w:pPr>
              <w:snapToGrid w:val="0"/>
              <w:jc w:val="center"/>
              <w:rPr>
                <w:rFonts w:ascii="宋体" w:hAnsi="宋体" w:cs="宋体"/>
                <w:sz w:val="24"/>
              </w:rPr>
            </w:pPr>
            <w:r>
              <w:rPr>
                <w:rFonts w:hint="eastAsia" w:ascii="宋体" w:hAnsi="宋体" w:cs="宋体"/>
                <w:sz w:val="24"/>
              </w:rPr>
              <w:t>电梯检验与验收</w:t>
            </w:r>
          </w:p>
        </w:tc>
        <w:tc>
          <w:tcPr>
            <w:tcW w:w="828" w:type="dxa"/>
            <w:vAlign w:val="center"/>
          </w:tcPr>
          <w:p>
            <w:pPr>
              <w:snapToGrid w:val="0"/>
              <w:jc w:val="center"/>
              <w:rPr>
                <w:rFonts w:ascii="宋体" w:hAnsi="宋体" w:cs="宋体"/>
                <w:sz w:val="24"/>
              </w:rPr>
            </w:pPr>
            <w:r>
              <w:rPr>
                <w:rFonts w:hint="eastAsia" w:ascii="宋体" w:hAnsi="宋体" w:cs="宋体"/>
                <w:sz w:val="24"/>
              </w:rPr>
              <w:t>4%</w:t>
            </w:r>
          </w:p>
        </w:tc>
        <w:tc>
          <w:tcPr>
            <w:tcW w:w="2636" w:type="dxa"/>
            <w:vAlign w:val="center"/>
          </w:tcPr>
          <w:p>
            <w:pPr>
              <w:snapToGrid w:val="0"/>
              <w:jc w:val="left"/>
              <w:rPr>
                <w:rFonts w:ascii="宋体" w:hAnsi="宋体" w:cs="宋体"/>
                <w:sz w:val="24"/>
              </w:rPr>
            </w:pPr>
            <w:r>
              <w:rPr>
                <w:rFonts w:hint="eastAsia" w:ascii="宋体" w:hAnsi="宋体" w:cs="宋体"/>
                <w:sz w:val="24"/>
              </w:rPr>
              <w:t>电梯交付使用后进行运行试验，包括电梯空载、额定载重以及超载三种运行试验</w:t>
            </w:r>
          </w:p>
        </w:tc>
        <w:tc>
          <w:tcPr>
            <w:tcW w:w="878" w:type="dxa"/>
            <w:vAlign w:val="center"/>
          </w:tcPr>
          <w:p>
            <w:pPr>
              <w:snapToGrid w:val="0"/>
              <w:jc w:val="center"/>
              <w:rPr>
                <w:rFonts w:ascii="宋体" w:hAnsi="宋体" w:cs="宋体"/>
                <w:sz w:val="24"/>
              </w:rPr>
            </w:pPr>
            <w:r>
              <w:rPr>
                <w:rFonts w:hint="eastAsia" w:ascii="宋体" w:hAnsi="宋体" w:cs="宋体"/>
                <w:sz w:val="24"/>
              </w:rPr>
              <w:t>4%</w:t>
            </w:r>
          </w:p>
        </w:tc>
        <w:tc>
          <w:tcPr>
            <w:tcW w:w="3205" w:type="dxa"/>
            <w:vAlign w:val="center"/>
          </w:tcPr>
          <w:p>
            <w:pPr>
              <w:snapToGrid w:val="0"/>
              <w:jc w:val="left"/>
              <w:rPr>
                <w:rFonts w:ascii="宋体" w:hAnsi="宋体" w:cs="宋体"/>
                <w:sz w:val="24"/>
              </w:rPr>
            </w:pPr>
            <w:r>
              <w:rPr>
                <w:rFonts w:hint="eastAsia" w:ascii="宋体" w:hAnsi="宋体" w:cs="宋体"/>
                <w:sz w:val="24"/>
              </w:rPr>
              <w:t>电梯运行试验测试：如不运行、电梯冲顶或蹲底、电梯超载运行、电梯运行噪声等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9" w:hRule="atLeast"/>
          <w:jc w:val="center"/>
        </w:trPr>
        <w:tc>
          <w:tcPr>
            <w:tcW w:w="1670" w:type="dxa"/>
            <w:vMerge w:val="restart"/>
            <w:vAlign w:val="center"/>
          </w:tcPr>
          <w:p>
            <w:pPr>
              <w:snapToGrid w:val="0"/>
              <w:jc w:val="center"/>
              <w:rPr>
                <w:rFonts w:ascii="宋体" w:hAnsi="宋体" w:cs="宋体"/>
                <w:sz w:val="24"/>
              </w:rPr>
            </w:pPr>
            <w:r>
              <w:rPr>
                <w:rFonts w:hint="eastAsia" w:ascii="宋体" w:hAnsi="宋体" w:cs="宋体"/>
                <w:sz w:val="24"/>
              </w:rPr>
              <w:t>职业素养</w:t>
            </w:r>
          </w:p>
        </w:tc>
        <w:tc>
          <w:tcPr>
            <w:tcW w:w="828" w:type="dxa"/>
            <w:vMerge w:val="restart"/>
            <w:vAlign w:val="center"/>
          </w:tcPr>
          <w:p>
            <w:pPr>
              <w:snapToGrid w:val="0"/>
              <w:jc w:val="center"/>
              <w:rPr>
                <w:rFonts w:ascii="宋体" w:hAnsi="宋体" w:cs="宋体"/>
                <w:sz w:val="24"/>
              </w:rPr>
            </w:pPr>
            <w:r>
              <w:rPr>
                <w:rFonts w:hint="eastAsia" w:ascii="宋体" w:hAnsi="宋体" w:cs="宋体"/>
                <w:sz w:val="24"/>
              </w:rPr>
              <w:t>10%</w:t>
            </w:r>
          </w:p>
        </w:tc>
        <w:tc>
          <w:tcPr>
            <w:tcW w:w="2636" w:type="dxa"/>
            <w:vAlign w:val="center"/>
          </w:tcPr>
          <w:p>
            <w:pPr>
              <w:snapToGrid w:val="0"/>
              <w:jc w:val="left"/>
              <w:rPr>
                <w:rFonts w:ascii="宋体" w:hAnsi="宋体" w:cs="宋体"/>
                <w:sz w:val="24"/>
              </w:rPr>
            </w:pPr>
            <w:r>
              <w:rPr>
                <w:rFonts w:hint="eastAsia" w:ascii="宋体" w:hAnsi="宋体" w:cs="宋体"/>
                <w:sz w:val="24"/>
              </w:rPr>
              <w:t>1.电梯特种设备操作规范性</w:t>
            </w:r>
          </w:p>
        </w:tc>
        <w:tc>
          <w:tcPr>
            <w:tcW w:w="878" w:type="dxa"/>
            <w:vAlign w:val="center"/>
          </w:tcPr>
          <w:p>
            <w:pPr>
              <w:snapToGrid w:val="0"/>
              <w:jc w:val="center"/>
              <w:rPr>
                <w:rFonts w:ascii="宋体" w:hAnsi="宋体" w:cs="宋体"/>
                <w:sz w:val="24"/>
              </w:rPr>
            </w:pPr>
            <w:r>
              <w:rPr>
                <w:rFonts w:hint="eastAsia" w:ascii="宋体" w:hAnsi="宋体" w:cs="宋体"/>
                <w:sz w:val="24"/>
              </w:rPr>
              <w:t>2%</w:t>
            </w:r>
          </w:p>
        </w:tc>
        <w:tc>
          <w:tcPr>
            <w:tcW w:w="3205" w:type="dxa"/>
            <w:vAlign w:val="center"/>
          </w:tcPr>
          <w:p>
            <w:pPr>
              <w:snapToGrid w:val="0"/>
              <w:jc w:val="left"/>
              <w:rPr>
                <w:rFonts w:ascii="宋体" w:hAnsi="宋体" w:cs="宋体"/>
                <w:sz w:val="24"/>
              </w:rPr>
            </w:pPr>
            <w:r>
              <w:rPr>
                <w:rFonts w:hint="eastAsia" w:ascii="宋体" w:hAnsi="宋体" w:cs="宋体"/>
                <w:sz w:val="24"/>
              </w:rPr>
              <w:t>电梯特种设备作业规范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70" w:type="dxa"/>
            <w:vMerge w:val="continue"/>
            <w:vAlign w:val="center"/>
          </w:tcPr>
          <w:p>
            <w:pPr>
              <w:snapToGrid w:val="0"/>
              <w:jc w:val="center"/>
              <w:rPr>
                <w:rFonts w:ascii="宋体" w:hAnsi="宋体" w:cs="宋体"/>
                <w:sz w:val="24"/>
              </w:rPr>
            </w:pPr>
          </w:p>
        </w:tc>
        <w:tc>
          <w:tcPr>
            <w:tcW w:w="828" w:type="dxa"/>
            <w:vMerge w:val="continue"/>
            <w:vAlign w:val="center"/>
          </w:tcPr>
          <w:p>
            <w:pPr>
              <w:snapToGrid w:val="0"/>
              <w:jc w:val="center"/>
              <w:rPr>
                <w:rFonts w:ascii="宋体" w:hAnsi="宋体" w:cs="宋体"/>
                <w:sz w:val="24"/>
              </w:rPr>
            </w:pPr>
          </w:p>
        </w:tc>
        <w:tc>
          <w:tcPr>
            <w:tcW w:w="2636" w:type="dxa"/>
            <w:vAlign w:val="center"/>
          </w:tcPr>
          <w:p>
            <w:pPr>
              <w:snapToGrid w:val="0"/>
              <w:jc w:val="left"/>
              <w:rPr>
                <w:rFonts w:ascii="宋体" w:hAnsi="宋体" w:cs="宋体"/>
                <w:sz w:val="24"/>
              </w:rPr>
            </w:pPr>
            <w:r>
              <w:rPr>
                <w:rFonts w:hint="eastAsia" w:ascii="宋体" w:hAnsi="宋体" w:cs="宋体"/>
                <w:sz w:val="24"/>
              </w:rPr>
              <w:t>2.材料利用效率，接线及材料损耗</w:t>
            </w:r>
          </w:p>
        </w:tc>
        <w:tc>
          <w:tcPr>
            <w:tcW w:w="878" w:type="dxa"/>
            <w:vAlign w:val="center"/>
          </w:tcPr>
          <w:p>
            <w:pPr>
              <w:snapToGrid w:val="0"/>
              <w:jc w:val="center"/>
              <w:rPr>
                <w:rFonts w:ascii="宋体" w:hAnsi="宋体" w:cs="宋体"/>
                <w:sz w:val="24"/>
              </w:rPr>
            </w:pPr>
            <w:r>
              <w:rPr>
                <w:rFonts w:hint="eastAsia" w:ascii="宋体" w:hAnsi="宋体" w:cs="宋体"/>
                <w:sz w:val="24"/>
              </w:rPr>
              <w:t>2%</w:t>
            </w:r>
          </w:p>
        </w:tc>
        <w:tc>
          <w:tcPr>
            <w:tcW w:w="3205" w:type="dxa"/>
            <w:vAlign w:val="center"/>
          </w:tcPr>
          <w:p>
            <w:pPr>
              <w:snapToGrid w:val="0"/>
              <w:jc w:val="left"/>
              <w:rPr>
                <w:rFonts w:ascii="宋体" w:hAnsi="宋体" w:cs="宋体"/>
                <w:sz w:val="24"/>
              </w:rPr>
            </w:pPr>
            <w:r>
              <w:rPr>
                <w:rFonts w:hint="eastAsia" w:ascii="宋体" w:hAnsi="宋体" w:cs="宋体"/>
                <w:sz w:val="24"/>
              </w:rPr>
              <w:t>成本控制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70" w:type="dxa"/>
            <w:vMerge w:val="continue"/>
            <w:vAlign w:val="center"/>
          </w:tcPr>
          <w:p>
            <w:pPr>
              <w:snapToGrid w:val="0"/>
              <w:jc w:val="center"/>
              <w:rPr>
                <w:rFonts w:ascii="宋体" w:hAnsi="宋体" w:cs="宋体"/>
                <w:sz w:val="24"/>
              </w:rPr>
            </w:pPr>
          </w:p>
        </w:tc>
        <w:tc>
          <w:tcPr>
            <w:tcW w:w="828" w:type="dxa"/>
            <w:vMerge w:val="continue"/>
            <w:vAlign w:val="center"/>
          </w:tcPr>
          <w:p>
            <w:pPr>
              <w:snapToGrid w:val="0"/>
              <w:jc w:val="center"/>
              <w:rPr>
                <w:rFonts w:ascii="宋体" w:hAnsi="宋体" w:cs="宋体"/>
                <w:sz w:val="24"/>
              </w:rPr>
            </w:pPr>
          </w:p>
        </w:tc>
        <w:tc>
          <w:tcPr>
            <w:tcW w:w="2636" w:type="dxa"/>
            <w:vAlign w:val="center"/>
          </w:tcPr>
          <w:p>
            <w:pPr>
              <w:snapToGrid w:val="0"/>
              <w:jc w:val="left"/>
              <w:rPr>
                <w:rFonts w:ascii="宋体" w:hAnsi="宋体" w:cs="宋体"/>
                <w:sz w:val="24"/>
              </w:rPr>
            </w:pPr>
            <w:r>
              <w:rPr>
                <w:rFonts w:hint="eastAsia" w:ascii="宋体" w:hAnsi="宋体" w:cs="宋体"/>
                <w:sz w:val="24"/>
              </w:rPr>
              <w:t>3.电梯特种作业防护、工具、仪器、仪表使用情况</w:t>
            </w:r>
          </w:p>
        </w:tc>
        <w:tc>
          <w:tcPr>
            <w:tcW w:w="878" w:type="dxa"/>
            <w:vAlign w:val="center"/>
          </w:tcPr>
          <w:p>
            <w:pPr>
              <w:snapToGrid w:val="0"/>
              <w:jc w:val="center"/>
              <w:rPr>
                <w:rFonts w:ascii="宋体" w:hAnsi="宋体" w:cs="宋体"/>
                <w:sz w:val="24"/>
              </w:rPr>
            </w:pPr>
            <w:r>
              <w:rPr>
                <w:rFonts w:hint="eastAsia" w:ascii="宋体" w:hAnsi="宋体" w:cs="宋体"/>
                <w:sz w:val="24"/>
              </w:rPr>
              <w:t>2%</w:t>
            </w:r>
          </w:p>
        </w:tc>
        <w:tc>
          <w:tcPr>
            <w:tcW w:w="3205" w:type="dxa"/>
            <w:vAlign w:val="center"/>
          </w:tcPr>
          <w:p>
            <w:pPr>
              <w:snapToGrid w:val="0"/>
              <w:jc w:val="left"/>
              <w:rPr>
                <w:rFonts w:ascii="宋体" w:hAnsi="宋体" w:cs="宋体"/>
                <w:sz w:val="24"/>
              </w:rPr>
            </w:pPr>
            <w:r>
              <w:rPr>
                <w:rFonts w:hint="eastAsia" w:ascii="宋体" w:hAnsi="宋体" w:cs="宋体"/>
                <w:sz w:val="24"/>
              </w:rPr>
              <w:t>电梯特种设备作业规范、维修电工基础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70" w:type="dxa"/>
            <w:vMerge w:val="continue"/>
            <w:vAlign w:val="center"/>
          </w:tcPr>
          <w:p>
            <w:pPr>
              <w:snapToGrid w:val="0"/>
              <w:jc w:val="center"/>
              <w:rPr>
                <w:rFonts w:ascii="宋体" w:hAnsi="宋体" w:cs="宋体"/>
                <w:sz w:val="24"/>
              </w:rPr>
            </w:pPr>
          </w:p>
        </w:tc>
        <w:tc>
          <w:tcPr>
            <w:tcW w:w="828" w:type="dxa"/>
            <w:vMerge w:val="continue"/>
            <w:vAlign w:val="center"/>
          </w:tcPr>
          <w:p>
            <w:pPr>
              <w:snapToGrid w:val="0"/>
              <w:jc w:val="center"/>
              <w:rPr>
                <w:rFonts w:ascii="宋体" w:hAnsi="宋体" w:cs="宋体"/>
                <w:sz w:val="24"/>
              </w:rPr>
            </w:pPr>
          </w:p>
        </w:tc>
        <w:tc>
          <w:tcPr>
            <w:tcW w:w="2636" w:type="dxa"/>
            <w:vAlign w:val="center"/>
          </w:tcPr>
          <w:p>
            <w:pPr>
              <w:snapToGrid w:val="0"/>
              <w:jc w:val="left"/>
              <w:rPr>
                <w:rFonts w:ascii="宋体" w:hAnsi="宋体" w:cs="宋体"/>
                <w:sz w:val="24"/>
              </w:rPr>
            </w:pPr>
            <w:r>
              <w:rPr>
                <w:rFonts w:hint="eastAsia" w:ascii="宋体" w:hAnsi="宋体" w:cs="宋体"/>
                <w:sz w:val="24"/>
              </w:rPr>
              <w:t>4.竞赛现场安全、文明情况</w:t>
            </w:r>
          </w:p>
        </w:tc>
        <w:tc>
          <w:tcPr>
            <w:tcW w:w="878" w:type="dxa"/>
            <w:vAlign w:val="center"/>
          </w:tcPr>
          <w:p>
            <w:pPr>
              <w:snapToGrid w:val="0"/>
              <w:jc w:val="center"/>
              <w:rPr>
                <w:rFonts w:ascii="宋体" w:hAnsi="宋体" w:cs="宋体"/>
                <w:sz w:val="24"/>
              </w:rPr>
            </w:pPr>
            <w:r>
              <w:rPr>
                <w:rFonts w:hint="eastAsia" w:ascii="宋体" w:hAnsi="宋体" w:cs="宋体"/>
                <w:sz w:val="24"/>
              </w:rPr>
              <w:t>2%</w:t>
            </w:r>
          </w:p>
        </w:tc>
        <w:tc>
          <w:tcPr>
            <w:tcW w:w="3205" w:type="dxa"/>
            <w:vAlign w:val="center"/>
          </w:tcPr>
          <w:p>
            <w:pPr>
              <w:snapToGrid w:val="0"/>
              <w:jc w:val="left"/>
              <w:rPr>
                <w:rFonts w:ascii="宋体" w:hAnsi="宋体" w:cs="宋体"/>
                <w:sz w:val="24"/>
              </w:rPr>
            </w:pPr>
            <w:r>
              <w:rPr>
                <w:rFonts w:hint="eastAsia" w:ascii="宋体" w:hAnsi="宋体" w:cs="宋体"/>
                <w:sz w:val="24"/>
              </w:rPr>
              <w:t>综合素质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70" w:type="dxa"/>
            <w:vMerge w:val="continue"/>
            <w:vAlign w:val="center"/>
          </w:tcPr>
          <w:p>
            <w:pPr>
              <w:snapToGrid w:val="0"/>
              <w:jc w:val="center"/>
              <w:rPr>
                <w:rFonts w:ascii="宋体" w:hAnsi="宋体" w:cs="宋体"/>
                <w:sz w:val="24"/>
              </w:rPr>
            </w:pPr>
          </w:p>
        </w:tc>
        <w:tc>
          <w:tcPr>
            <w:tcW w:w="828" w:type="dxa"/>
            <w:vMerge w:val="continue"/>
            <w:vAlign w:val="center"/>
          </w:tcPr>
          <w:p>
            <w:pPr>
              <w:snapToGrid w:val="0"/>
              <w:jc w:val="center"/>
              <w:rPr>
                <w:rFonts w:ascii="宋体" w:hAnsi="宋体" w:cs="宋体"/>
                <w:sz w:val="24"/>
              </w:rPr>
            </w:pPr>
          </w:p>
        </w:tc>
        <w:tc>
          <w:tcPr>
            <w:tcW w:w="2636" w:type="dxa"/>
            <w:vAlign w:val="center"/>
          </w:tcPr>
          <w:p>
            <w:pPr>
              <w:snapToGrid w:val="0"/>
              <w:jc w:val="left"/>
              <w:rPr>
                <w:rFonts w:ascii="宋体" w:hAnsi="宋体" w:cs="宋体"/>
                <w:sz w:val="24"/>
              </w:rPr>
            </w:pPr>
            <w:r>
              <w:rPr>
                <w:rFonts w:hint="eastAsia" w:ascii="宋体" w:hAnsi="宋体" w:cs="宋体"/>
                <w:sz w:val="24"/>
              </w:rPr>
              <w:t>5.团队分工协作情况</w:t>
            </w:r>
          </w:p>
        </w:tc>
        <w:tc>
          <w:tcPr>
            <w:tcW w:w="878" w:type="dxa"/>
            <w:vAlign w:val="center"/>
          </w:tcPr>
          <w:p>
            <w:pPr>
              <w:snapToGrid w:val="0"/>
              <w:jc w:val="center"/>
              <w:rPr>
                <w:rFonts w:ascii="宋体" w:hAnsi="宋体" w:cs="宋体"/>
                <w:sz w:val="24"/>
              </w:rPr>
            </w:pPr>
            <w:r>
              <w:rPr>
                <w:rFonts w:hint="eastAsia" w:ascii="宋体" w:hAnsi="宋体" w:cs="宋体"/>
                <w:sz w:val="24"/>
              </w:rPr>
              <w:t>2%</w:t>
            </w:r>
          </w:p>
        </w:tc>
        <w:tc>
          <w:tcPr>
            <w:tcW w:w="3205" w:type="dxa"/>
            <w:vAlign w:val="center"/>
          </w:tcPr>
          <w:p>
            <w:pPr>
              <w:snapToGrid w:val="0"/>
              <w:jc w:val="left"/>
              <w:rPr>
                <w:rFonts w:ascii="宋体" w:hAnsi="宋体" w:cs="宋体"/>
                <w:sz w:val="24"/>
              </w:rPr>
            </w:pPr>
            <w:r>
              <w:rPr>
                <w:rFonts w:hint="eastAsia" w:ascii="宋体" w:hAnsi="宋体" w:cs="宋体"/>
                <w:sz w:val="24"/>
              </w:rPr>
              <w:t>团队协作能力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70" w:type="dxa"/>
            <w:vAlign w:val="center"/>
          </w:tcPr>
          <w:p>
            <w:pPr>
              <w:snapToGrid w:val="0"/>
              <w:jc w:val="center"/>
              <w:rPr>
                <w:rFonts w:ascii="宋体" w:hAnsi="宋体" w:cs="宋体"/>
                <w:sz w:val="24"/>
              </w:rPr>
            </w:pPr>
            <w:r>
              <w:rPr>
                <w:rFonts w:hint="eastAsia" w:ascii="宋体" w:hAnsi="宋体" w:cs="宋体"/>
                <w:sz w:val="24"/>
              </w:rPr>
              <w:t>总计</w:t>
            </w:r>
          </w:p>
        </w:tc>
        <w:tc>
          <w:tcPr>
            <w:tcW w:w="7547" w:type="dxa"/>
            <w:gridSpan w:val="4"/>
            <w:vAlign w:val="center"/>
          </w:tcPr>
          <w:p>
            <w:pPr>
              <w:snapToGrid w:val="0"/>
              <w:jc w:val="center"/>
              <w:rPr>
                <w:rFonts w:ascii="宋体" w:hAnsi="宋体" w:cs="宋体"/>
                <w:sz w:val="24"/>
              </w:rPr>
            </w:pPr>
            <w:r>
              <w:rPr>
                <w:rFonts w:hint="eastAsia" w:ascii="宋体" w:hAnsi="宋体" w:cs="宋体"/>
                <w:sz w:val="24"/>
              </w:rPr>
              <w:t>100%</w:t>
            </w:r>
          </w:p>
        </w:tc>
      </w:tr>
    </w:tbl>
    <w:p>
      <w:pPr>
        <w:snapToGrid w:val="0"/>
        <w:spacing w:line="560" w:lineRule="exact"/>
        <w:ind w:firstLine="600" w:firstLineChars="200"/>
        <w:outlineLvl w:val="0"/>
        <w:rPr>
          <w:rFonts w:ascii="Arial Narrow" w:hAnsi="Arial Narrow" w:eastAsia="仿宋_GB2312" w:cs="Arial"/>
          <w:bCs/>
          <w:sz w:val="30"/>
          <w:szCs w:val="30"/>
        </w:rPr>
      </w:pPr>
      <w:r>
        <w:rPr>
          <w:rFonts w:hint="eastAsia" w:ascii="黑体" w:hAnsi="黑体" w:eastAsia="黑体" w:cs="黑体"/>
          <w:bCs/>
          <w:sz w:val="30"/>
          <w:szCs w:val="30"/>
        </w:rPr>
        <w:t>十一、奖项设置</w:t>
      </w:r>
    </w:p>
    <w:p>
      <w:pPr>
        <w:snapToGrid w:val="0"/>
        <w:spacing w:line="560" w:lineRule="exact"/>
        <w:ind w:firstLine="602" w:firstLineChars="200"/>
        <w:rPr>
          <w:rFonts w:ascii="仿宋_GB2312" w:hAnsi="宋体" w:eastAsia="仿宋_GB2312"/>
          <w:b/>
          <w:sz w:val="30"/>
          <w:szCs w:val="30"/>
        </w:rPr>
      </w:pPr>
      <w:r>
        <w:rPr>
          <w:rFonts w:ascii="仿宋_GB2312" w:hAnsi="宋体" w:eastAsia="仿宋_GB2312"/>
          <w:b/>
          <w:sz w:val="30"/>
          <w:szCs w:val="30"/>
        </w:rPr>
        <w:t>（一）参赛选手奖励</w:t>
      </w:r>
    </w:p>
    <w:p>
      <w:pPr>
        <w:snapToGrid w:val="0"/>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赛项只设团体奖，</w:t>
      </w:r>
      <w:r>
        <w:rPr>
          <w:rFonts w:ascii="仿宋_GB2312" w:hAnsi="宋体" w:eastAsia="仿宋_GB2312"/>
          <w:sz w:val="30"/>
          <w:szCs w:val="30"/>
        </w:rPr>
        <w:t>设一、二、三等奖。以实际参赛队总数为基数，一、二、三等奖获奖比例分别为10%、20%、30%（小数点后四舍五入）。</w:t>
      </w:r>
    </w:p>
    <w:p>
      <w:pPr>
        <w:snapToGrid w:val="0"/>
        <w:spacing w:line="560" w:lineRule="exact"/>
        <w:ind w:firstLine="602" w:firstLineChars="200"/>
        <w:rPr>
          <w:rFonts w:ascii="仿宋_GB2312" w:hAnsi="宋体" w:eastAsia="仿宋_GB2312"/>
          <w:b/>
          <w:sz w:val="30"/>
          <w:szCs w:val="30"/>
        </w:rPr>
      </w:pPr>
      <w:r>
        <w:rPr>
          <w:rFonts w:ascii="仿宋_GB2312" w:hAnsi="宋体" w:eastAsia="仿宋_GB2312"/>
          <w:b/>
          <w:sz w:val="30"/>
          <w:szCs w:val="30"/>
        </w:rPr>
        <w:t>（二）指导教师奖励</w:t>
      </w:r>
    </w:p>
    <w:p>
      <w:pPr>
        <w:snapToGrid w:val="0"/>
        <w:spacing w:line="560" w:lineRule="exact"/>
        <w:ind w:firstLine="600" w:firstLineChars="200"/>
        <w:rPr>
          <w:rFonts w:ascii="Arial Narrow" w:hAnsi="Arial Narrow" w:eastAsia="仿宋_GB2312" w:cs="Arial"/>
          <w:sz w:val="30"/>
          <w:szCs w:val="30"/>
        </w:rPr>
      </w:pPr>
      <w:r>
        <w:rPr>
          <w:rFonts w:hint="eastAsia" w:ascii="仿宋_GB2312" w:hAnsi="仿宋_GB2312" w:eastAsia="仿宋_GB2312" w:cs="仿宋_GB2312"/>
          <w:color w:val="000000"/>
          <w:sz w:val="30"/>
          <w:szCs w:val="30"/>
        </w:rPr>
        <w:t>获得一等奖的选手指导教师由组委会颁发优秀指导教师证书。</w:t>
      </w:r>
    </w:p>
    <w:p>
      <w:pPr>
        <w:snapToGrid w:val="0"/>
        <w:spacing w:line="560" w:lineRule="exact"/>
        <w:ind w:firstLine="600" w:firstLineChars="200"/>
        <w:outlineLvl w:val="0"/>
        <w:rPr>
          <w:rFonts w:ascii="Arial Narrow" w:hAnsi="Arial Narrow" w:eastAsia="仿宋_GB2312" w:cs="Arial"/>
          <w:bCs/>
          <w:sz w:val="30"/>
          <w:szCs w:val="30"/>
        </w:rPr>
      </w:pPr>
      <w:r>
        <w:rPr>
          <w:rFonts w:hint="eastAsia" w:ascii="黑体" w:hAnsi="黑体" w:eastAsia="黑体" w:cs="黑体"/>
          <w:bCs/>
          <w:sz w:val="30"/>
          <w:szCs w:val="30"/>
        </w:rPr>
        <w:t>十二、技术规范</w:t>
      </w:r>
    </w:p>
    <w:p>
      <w:pPr>
        <w:snapToGrid w:val="0"/>
        <w:spacing w:line="560" w:lineRule="exact"/>
        <w:ind w:firstLine="602" w:firstLineChars="200"/>
        <w:rPr>
          <w:rFonts w:ascii="仿宋_GB2312" w:hAnsi="宋体" w:eastAsia="仿宋_GB2312"/>
          <w:b/>
          <w:sz w:val="30"/>
          <w:szCs w:val="30"/>
        </w:rPr>
      </w:pPr>
      <w:r>
        <w:rPr>
          <w:rFonts w:ascii="仿宋_GB2312" w:hAnsi="宋体" w:eastAsia="仿宋_GB2312"/>
          <w:b/>
          <w:sz w:val="30"/>
          <w:szCs w:val="30"/>
        </w:rPr>
        <w:t>（一）</w:t>
      </w:r>
      <w:r>
        <w:rPr>
          <w:rFonts w:hint="eastAsia" w:ascii="仿宋_GB2312" w:hAnsi="宋体" w:eastAsia="仿宋_GB2312"/>
          <w:b/>
          <w:sz w:val="30"/>
          <w:szCs w:val="30"/>
        </w:rPr>
        <w:t>专业教育教学要求</w:t>
      </w:r>
    </w:p>
    <w:p>
      <w:pPr>
        <w:spacing w:line="560" w:lineRule="exact"/>
        <w:ind w:firstLine="600" w:firstLineChars="200"/>
        <w:rPr>
          <w:rFonts w:ascii="仿宋_GB2312" w:hAnsi="宋体" w:eastAsia="仿宋_GB2312"/>
          <w:color w:val="000000"/>
          <w:sz w:val="30"/>
          <w:szCs w:val="30"/>
        </w:rPr>
      </w:pPr>
      <w:r>
        <w:rPr>
          <w:rFonts w:hint="eastAsia" w:ascii="仿宋_GB2312" w:hAnsi="宋体" w:eastAsia="仿宋_GB2312"/>
          <w:color w:val="000000"/>
          <w:sz w:val="30"/>
          <w:szCs w:val="30"/>
        </w:rPr>
        <w:t>满足高职电梯工程技术、楼宇自动化技术、电气自动化、机电设备维修与管理、机电一体化技术及相关专业所规定的教学内容中涉及到机械、PLC控制、变频调速控制、传感器、低压电气控制、机电设备装调、机电设备的维护等方面的知识和技能要求。</w:t>
      </w:r>
    </w:p>
    <w:p>
      <w:pPr>
        <w:spacing w:line="560" w:lineRule="exact"/>
        <w:ind w:firstLine="600" w:firstLineChars="200"/>
        <w:rPr>
          <w:rFonts w:ascii="仿宋_GB2312" w:hAnsi="宋体" w:eastAsia="仿宋_GB2312"/>
          <w:color w:val="000000"/>
          <w:sz w:val="30"/>
          <w:szCs w:val="30"/>
        </w:rPr>
      </w:pPr>
      <w:r>
        <w:rPr>
          <w:rFonts w:hint="eastAsia" w:ascii="仿宋_GB2312" w:hAnsi="宋体" w:eastAsia="仿宋_GB2312"/>
          <w:color w:val="000000"/>
          <w:sz w:val="30"/>
          <w:szCs w:val="30"/>
        </w:rPr>
        <w:t>满足相关专业电梯技术方向的电梯设备制造、安装、改造、调试、维修、保养及外围设备保障的操作及维护的知识和技能要求。</w:t>
      </w:r>
    </w:p>
    <w:p>
      <w:pPr>
        <w:snapToGrid w:val="0"/>
        <w:spacing w:line="560" w:lineRule="exact"/>
        <w:ind w:firstLine="602" w:firstLineChars="200"/>
        <w:rPr>
          <w:rFonts w:ascii="仿宋_GB2312" w:hAnsi="宋体" w:eastAsia="仿宋_GB2312"/>
          <w:b/>
          <w:sz w:val="30"/>
          <w:szCs w:val="30"/>
        </w:rPr>
      </w:pPr>
      <w:r>
        <w:rPr>
          <w:rFonts w:hint="eastAsia" w:ascii="仿宋_GB2312" w:hAnsi="宋体" w:eastAsia="仿宋_GB2312"/>
          <w:b/>
          <w:sz w:val="30"/>
          <w:szCs w:val="30"/>
        </w:rPr>
        <w:t>（二）行业、职业技术标准</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1.《</w:t>
      </w:r>
      <w:r>
        <w:rPr>
          <w:rFonts w:ascii="仿宋_GB2312" w:hAnsi="宋体" w:eastAsia="仿宋_GB2312"/>
          <w:sz w:val="30"/>
          <w:szCs w:val="30"/>
        </w:rPr>
        <w:t>电梯安装验收规范</w:t>
      </w:r>
      <w:r>
        <w:rPr>
          <w:rFonts w:hint="eastAsia" w:ascii="仿宋_GB2312" w:hAnsi="宋体" w:eastAsia="仿宋_GB2312"/>
          <w:sz w:val="30"/>
          <w:szCs w:val="30"/>
        </w:rPr>
        <w:t>》</w:t>
      </w:r>
      <w:r>
        <w:rPr>
          <w:rFonts w:ascii="仿宋_GB2312" w:hAnsi="宋体" w:eastAsia="仿宋_GB2312"/>
          <w:sz w:val="30"/>
          <w:szCs w:val="30"/>
        </w:rPr>
        <w:t>GB</w:t>
      </w:r>
      <w:r>
        <w:rPr>
          <w:rFonts w:hint="eastAsia" w:ascii="仿宋_GB2312" w:hAnsi="宋体" w:eastAsia="仿宋_GB2312"/>
          <w:sz w:val="30"/>
          <w:szCs w:val="30"/>
        </w:rPr>
        <w:t>/T 10060-2011</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2.《</w:t>
      </w:r>
      <w:r>
        <w:rPr>
          <w:rFonts w:ascii="仿宋_GB2312" w:hAnsi="宋体" w:eastAsia="仿宋_GB2312"/>
          <w:sz w:val="30"/>
          <w:szCs w:val="30"/>
        </w:rPr>
        <w:t>电梯制造与安装安全规范</w:t>
      </w:r>
      <w:r>
        <w:rPr>
          <w:rFonts w:hint="eastAsia" w:ascii="仿宋_GB2312" w:hAnsi="宋体" w:eastAsia="仿宋_GB2312"/>
          <w:sz w:val="30"/>
          <w:szCs w:val="30"/>
        </w:rPr>
        <w:t>》</w:t>
      </w:r>
      <w:r>
        <w:rPr>
          <w:rFonts w:ascii="仿宋_GB2312" w:hAnsi="宋体" w:eastAsia="仿宋_GB2312"/>
          <w:sz w:val="30"/>
          <w:szCs w:val="30"/>
        </w:rPr>
        <w:t>GB 7588-2003</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3.《</w:t>
      </w:r>
      <w:r>
        <w:rPr>
          <w:rFonts w:ascii="仿宋_GB2312" w:hAnsi="宋体" w:eastAsia="仿宋_GB2312"/>
          <w:sz w:val="30"/>
          <w:szCs w:val="30"/>
        </w:rPr>
        <w:t>电梯试验方法</w:t>
      </w:r>
      <w:r>
        <w:rPr>
          <w:rFonts w:hint="eastAsia" w:ascii="仿宋_GB2312" w:hAnsi="宋体" w:eastAsia="仿宋_GB2312"/>
          <w:sz w:val="30"/>
          <w:szCs w:val="30"/>
        </w:rPr>
        <w:t>》</w:t>
      </w:r>
      <w:r>
        <w:rPr>
          <w:rFonts w:ascii="仿宋_GB2312" w:hAnsi="宋体" w:eastAsia="仿宋_GB2312"/>
          <w:sz w:val="30"/>
          <w:szCs w:val="30"/>
        </w:rPr>
        <w:t>GB/T 10059-</w:t>
      </w:r>
      <w:r>
        <w:rPr>
          <w:rFonts w:hint="eastAsia" w:ascii="仿宋_GB2312" w:hAnsi="宋体" w:eastAsia="仿宋_GB2312"/>
          <w:sz w:val="30"/>
          <w:szCs w:val="30"/>
        </w:rPr>
        <w:t>2009</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4. 《</w:t>
      </w:r>
      <w:r>
        <w:rPr>
          <w:rFonts w:ascii="仿宋_GB2312" w:hAnsi="宋体" w:eastAsia="仿宋_GB2312"/>
          <w:sz w:val="30"/>
          <w:szCs w:val="30"/>
        </w:rPr>
        <w:t>电梯</w:t>
      </w:r>
      <w:r>
        <w:rPr>
          <w:rFonts w:hint="eastAsia" w:ascii="仿宋_GB2312" w:hAnsi="宋体" w:eastAsia="仿宋_GB2312"/>
          <w:sz w:val="30"/>
          <w:szCs w:val="30"/>
        </w:rPr>
        <w:t>维护保养规则》TSG T5002-2017</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5.《</w:t>
      </w:r>
      <w:r>
        <w:rPr>
          <w:rFonts w:ascii="仿宋_GB2312" w:hAnsi="宋体" w:eastAsia="仿宋_GB2312"/>
          <w:sz w:val="30"/>
          <w:szCs w:val="30"/>
        </w:rPr>
        <w:t>电梯、自动扶梯、自动人行道术语</w:t>
      </w:r>
      <w:r>
        <w:rPr>
          <w:rFonts w:hint="eastAsia" w:ascii="仿宋_GB2312" w:hAnsi="宋体" w:eastAsia="仿宋_GB2312"/>
          <w:sz w:val="30"/>
          <w:szCs w:val="30"/>
        </w:rPr>
        <w:t>》</w:t>
      </w:r>
      <w:r>
        <w:rPr>
          <w:rFonts w:ascii="仿宋_GB2312" w:hAnsi="宋体" w:eastAsia="仿宋_GB2312"/>
          <w:sz w:val="30"/>
          <w:szCs w:val="30"/>
        </w:rPr>
        <w:t>　GB/T 7024-</w:t>
      </w:r>
      <w:r>
        <w:rPr>
          <w:rFonts w:hint="eastAsia" w:ascii="仿宋_GB2312" w:hAnsi="宋体" w:eastAsia="仿宋_GB2312"/>
          <w:sz w:val="30"/>
          <w:szCs w:val="30"/>
        </w:rPr>
        <w:t>2008</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6.《</w:t>
      </w:r>
      <w:r>
        <w:rPr>
          <w:rFonts w:ascii="仿宋_GB2312" w:hAnsi="宋体" w:eastAsia="仿宋_GB2312"/>
          <w:sz w:val="30"/>
          <w:szCs w:val="30"/>
        </w:rPr>
        <w:t>电梯技术条件</w:t>
      </w:r>
      <w:r>
        <w:rPr>
          <w:rFonts w:hint="eastAsia" w:ascii="仿宋_GB2312" w:hAnsi="宋体" w:eastAsia="仿宋_GB2312"/>
          <w:sz w:val="30"/>
          <w:szCs w:val="30"/>
        </w:rPr>
        <w:t>》</w:t>
      </w:r>
      <w:r>
        <w:rPr>
          <w:rFonts w:ascii="仿宋_GB2312" w:hAnsi="宋体" w:eastAsia="仿宋_GB2312"/>
          <w:sz w:val="30"/>
          <w:szCs w:val="30"/>
        </w:rPr>
        <w:t>　GB/T 10058-</w:t>
      </w:r>
      <w:r>
        <w:rPr>
          <w:rFonts w:hint="eastAsia" w:ascii="仿宋_GB2312" w:hAnsi="宋体" w:eastAsia="仿宋_GB2312"/>
          <w:sz w:val="30"/>
          <w:szCs w:val="30"/>
        </w:rPr>
        <w:t>2009</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7.《</w:t>
      </w:r>
      <w:r>
        <w:rPr>
          <w:rFonts w:ascii="仿宋_GB2312" w:hAnsi="宋体" w:eastAsia="仿宋_GB2312"/>
          <w:sz w:val="30"/>
          <w:szCs w:val="30"/>
        </w:rPr>
        <w:t>电梯曳引机</w:t>
      </w:r>
      <w:r>
        <w:rPr>
          <w:rFonts w:hint="eastAsia" w:ascii="仿宋_GB2312" w:hAnsi="宋体" w:eastAsia="仿宋_GB2312"/>
          <w:sz w:val="30"/>
          <w:szCs w:val="30"/>
        </w:rPr>
        <w:t>》</w:t>
      </w:r>
      <w:r>
        <w:rPr>
          <w:rFonts w:ascii="仿宋_GB2312" w:hAnsi="宋体" w:eastAsia="仿宋_GB2312"/>
          <w:sz w:val="30"/>
          <w:szCs w:val="30"/>
        </w:rPr>
        <w:t xml:space="preserve">GB/T </w:t>
      </w:r>
      <w:r>
        <w:rPr>
          <w:rFonts w:hint="eastAsia" w:ascii="仿宋_GB2312" w:hAnsi="宋体" w:eastAsia="仿宋_GB2312"/>
          <w:sz w:val="30"/>
          <w:szCs w:val="30"/>
        </w:rPr>
        <w:t>24478</w:t>
      </w:r>
      <w:r>
        <w:rPr>
          <w:rFonts w:ascii="仿宋_GB2312" w:hAnsi="宋体" w:eastAsia="仿宋_GB2312"/>
          <w:sz w:val="30"/>
          <w:szCs w:val="30"/>
        </w:rPr>
        <w:t>-</w:t>
      </w:r>
      <w:r>
        <w:rPr>
          <w:rFonts w:hint="eastAsia" w:ascii="仿宋_GB2312" w:hAnsi="宋体" w:eastAsia="仿宋_GB2312"/>
          <w:sz w:val="30"/>
          <w:szCs w:val="30"/>
        </w:rPr>
        <w:t>2009</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8.《</w:t>
      </w:r>
      <w:r>
        <w:rPr>
          <w:rFonts w:ascii="仿宋_GB2312" w:hAnsi="宋体" w:eastAsia="仿宋_GB2312"/>
          <w:sz w:val="30"/>
          <w:szCs w:val="30"/>
        </w:rPr>
        <w:t>电梯Ｔ型导轨</w:t>
      </w:r>
      <w:r>
        <w:rPr>
          <w:rFonts w:hint="eastAsia" w:ascii="仿宋_GB2312" w:hAnsi="宋体" w:eastAsia="仿宋_GB2312"/>
          <w:sz w:val="30"/>
          <w:szCs w:val="30"/>
        </w:rPr>
        <w:t>》GB</w:t>
      </w:r>
      <w:r>
        <w:rPr>
          <w:rFonts w:ascii="仿宋_GB2312" w:hAnsi="宋体" w:eastAsia="仿宋_GB2312"/>
          <w:sz w:val="30"/>
          <w:szCs w:val="30"/>
        </w:rPr>
        <w:t xml:space="preserve">/T </w:t>
      </w:r>
      <w:r>
        <w:rPr>
          <w:rFonts w:hint="eastAsia" w:ascii="仿宋_GB2312" w:hAnsi="宋体" w:eastAsia="仿宋_GB2312"/>
          <w:sz w:val="30"/>
          <w:szCs w:val="30"/>
        </w:rPr>
        <w:t>22562</w:t>
      </w:r>
      <w:r>
        <w:rPr>
          <w:rFonts w:ascii="仿宋_GB2312" w:hAnsi="宋体" w:eastAsia="仿宋_GB2312"/>
          <w:sz w:val="30"/>
          <w:szCs w:val="30"/>
        </w:rPr>
        <w:t>-</w:t>
      </w:r>
      <w:r>
        <w:rPr>
          <w:rFonts w:hint="eastAsia" w:ascii="仿宋_GB2312" w:hAnsi="宋体" w:eastAsia="仿宋_GB2312"/>
          <w:sz w:val="30"/>
          <w:szCs w:val="30"/>
        </w:rPr>
        <w:t>2008</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9.《机械安全固定式直梯的安全设计规范》GB/T 31254-2014</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10.《电梯操作装置、信号及附件》GB/T 30560-2014</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11.《智能建筑工程质量验收规范》GB50339-2016</w:t>
      </w:r>
    </w:p>
    <w:p>
      <w:pPr>
        <w:snapToGrid w:val="0"/>
        <w:spacing w:line="560" w:lineRule="exact"/>
        <w:ind w:firstLine="602" w:firstLineChars="200"/>
        <w:rPr>
          <w:rFonts w:ascii="仿宋_GB2312" w:hAnsi="宋体" w:eastAsia="仿宋_GB2312"/>
          <w:b/>
          <w:sz w:val="30"/>
          <w:szCs w:val="30"/>
        </w:rPr>
      </w:pPr>
      <w:r>
        <w:rPr>
          <w:rFonts w:hint="eastAsia" w:ascii="仿宋_GB2312" w:hAnsi="宋体" w:eastAsia="仿宋_GB2312"/>
          <w:b/>
          <w:sz w:val="30"/>
          <w:szCs w:val="30"/>
        </w:rPr>
        <w:t>（三）职业技术标准</w:t>
      </w:r>
    </w:p>
    <w:p>
      <w:pPr>
        <w:snapToGrid w:val="0"/>
        <w:spacing w:line="560" w:lineRule="exact"/>
        <w:ind w:firstLine="600" w:firstLineChars="200"/>
        <w:rPr>
          <w:rFonts w:ascii="仿宋_GB2312" w:hAnsi="宋体" w:eastAsia="仿宋_GB2312" w:cs="仿宋_GB2312"/>
          <w:kern w:val="0"/>
          <w:sz w:val="30"/>
          <w:szCs w:val="30"/>
          <w:lang w:val="zh-CN"/>
        </w:rPr>
      </w:pPr>
      <w:r>
        <w:rPr>
          <w:rFonts w:hint="eastAsia" w:ascii="仿宋_GB2312" w:hAnsi="宋体" w:eastAsia="仿宋_GB2312" w:cs="仿宋_GB2312"/>
          <w:kern w:val="0"/>
          <w:sz w:val="30"/>
          <w:szCs w:val="30"/>
          <w:lang w:val="zh-CN"/>
        </w:rPr>
        <w:t>参照国家职业标准《</w:t>
      </w:r>
      <w:r>
        <w:rPr>
          <w:rFonts w:hint="eastAsia" w:ascii="仿宋_GB2312" w:hAnsi="宋体" w:eastAsia="仿宋_GB2312"/>
          <w:color w:val="000000"/>
          <w:sz w:val="30"/>
          <w:szCs w:val="30"/>
        </w:rPr>
        <w:t>电梯安装维修工</w:t>
      </w:r>
      <w:r>
        <w:rPr>
          <w:rFonts w:hint="eastAsia" w:ascii="仿宋_GB2312" w:hAnsi="宋体" w:eastAsia="仿宋_GB2312" w:cs="仿宋_GB2312"/>
          <w:kern w:val="0"/>
          <w:sz w:val="30"/>
          <w:szCs w:val="30"/>
          <w:lang w:val="zh-CN"/>
        </w:rPr>
        <w:t>》、《电工》等相关国家职业资格标准高级工、技师要求。</w:t>
      </w:r>
    </w:p>
    <w:p>
      <w:pPr>
        <w:snapToGrid w:val="0"/>
        <w:spacing w:line="560" w:lineRule="exact"/>
        <w:ind w:firstLine="600" w:firstLineChars="200"/>
        <w:outlineLvl w:val="0"/>
        <w:rPr>
          <w:rFonts w:ascii="Arial Narrow" w:hAnsi="Arial Narrow" w:eastAsia="仿宋_GB2312" w:cs="Arial"/>
          <w:bCs/>
          <w:sz w:val="30"/>
          <w:szCs w:val="30"/>
        </w:rPr>
      </w:pPr>
      <w:r>
        <w:rPr>
          <w:rFonts w:hint="eastAsia" w:ascii="黑体" w:hAnsi="黑体" w:eastAsia="黑体" w:cs="黑体"/>
          <w:bCs/>
          <w:sz w:val="30"/>
          <w:szCs w:val="30"/>
        </w:rPr>
        <w:t>十三、建议使用的比赛器材、技术平台和场地要求</w:t>
      </w:r>
    </w:p>
    <w:p>
      <w:pPr>
        <w:spacing w:line="560" w:lineRule="exact"/>
        <w:ind w:firstLine="600" w:firstLineChars="200"/>
        <w:rPr>
          <w:rFonts w:ascii="仿宋_GB2312" w:hAnsi="宋体" w:eastAsia="仿宋_GB2312"/>
          <w:color w:val="000000"/>
          <w:sz w:val="30"/>
          <w:szCs w:val="30"/>
        </w:rPr>
      </w:pPr>
      <w:r>
        <w:rPr>
          <w:rFonts w:hint="eastAsia" w:ascii="仿宋_GB2312" w:hAnsi="宋体" w:eastAsia="仿宋_GB2312"/>
          <w:color w:val="000000"/>
          <w:sz w:val="30"/>
          <w:szCs w:val="30"/>
        </w:rPr>
        <w:t>建议使用电梯控制技术综合实训装置进行比赛，比赛内容包括</w:t>
      </w:r>
      <w:r>
        <w:rPr>
          <w:rFonts w:hint="eastAsia" w:ascii="仿宋_GB2312" w:hAnsi="仿宋_GB2312" w:eastAsia="仿宋_GB2312" w:cs="仿宋_GB2312"/>
          <w:kern w:val="0"/>
          <w:sz w:val="30"/>
          <w:szCs w:val="30"/>
        </w:rPr>
        <w:t>电梯部件安装、电气控制柜的器件安装、接线、变频器参数设置、控制器编程与调试、电梯群控功能调试、电梯故障排除、电梯监控、运行维护等工作任务</w:t>
      </w:r>
      <w:r>
        <w:rPr>
          <w:rFonts w:hint="eastAsia" w:ascii="仿宋_GB2312" w:hAnsi="宋体" w:eastAsia="仿宋_GB2312"/>
          <w:color w:val="000000"/>
          <w:sz w:val="30"/>
          <w:szCs w:val="30"/>
        </w:rPr>
        <w:t>，工具、耗材统一提供。技术平台组成如下：</w:t>
      </w:r>
    </w:p>
    <w:p>
      <w:pPr>
        <w:snapToGrid w:val="0"/>
        <w:jc w:val="center"/>
        <w:rPr>
          <w:rFonts w:ascii="仿宋_GB2312" w:eastAsia="仿宋_GB2312"/>
          <w:sz w:val="28"/>
          <w:szCs w:val="28"/>
        </w:rPr>
      </w:pPr>
      <w:r>
        <w:drawing>
          <wp:inline distT="0" distB="0" distL="0" distR="0">
            <wp:extent cx="5257800" cy="3248025"/>
            <wp:effectExtent l="19050" t="0" r="0" b="0"/>
            <wp:docPr id="2" name="图片 1" descr="THDDT-5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THDDT-5副本"/>
                    <pic:cNvPicPr>
                      <a:picLocks noChangeAspect="1" noChangeArrowheads="1"/>
                    </pic:cNvPicPr>
                  </pic:nvPicPr>
                  <pic:blipFill>
                    <a:blip r:embed="rId22" cstate="print"/>
                    <a:srcRect t="2669" r="2405" b="9406"/>
                    <a:stretch>
                      <a:fillRect/>
                    </a:stretch>
                  </pic:blipFill>
                  <pic:spPr>
                    <a:xfrm>
                      <a:off x="0" y="0"/>
                      <a:ext cx="5257800" cy="3248025"/>
                    </a:xfrm>
                    <a:prstGeom prst="rect">
                      <a:avLst/>
                    </a:prstGeom>
                    <a:noFill/>
                    <a:ln w="9525">
                      <a:noFill/>
                      <a:miter lim="800000"/>
                      <a:headEnd/>
                      <a:tailEnd/>
                    </a:ln>
                  </pic:spPr>
                </pic:pic>
              </a:graphicData>
            </a:graphic>
          </wp:inline>
        </w:drawing>
      </w:r>
    </w:p>
    <w:p>
      <w:pPr>
        <w:snapToGrid w:val="0"/>
        <w:spacing w:line="480" w:lineRule="atLeast"/>
        <w:ind w:firstLine="480" w:firstLineChars="200"/>
        <w:jc w:val="center"/>
        <w:rPr>
          <w:rFonts w:ascii="宋体" w:hAnsi="宋体" w:cs="宋体"/>
          <w:sz w:val="24"/>
          <w:szCs w:val="24"/>
        </w:rPr>
      </w:pPr>
      <w:r>
        <w:rPr>
          <w:rFonts w:hint="eastAsia" w:ascii="宋体" w:hAnsi="宋体" w:cs="宋体"/>
          <w:sz w:val="24"/>
          <w:szCs w:val="24"/>
        </w:rPr>
        <w:t>THJDDT-5型电梯控制技术综合实训装置竞赛设备图片</w:t>
      </w:r>
    </w:p>
    <w:p>
      <w:pPr>
        <w:spacing w:line="560" w:lineRule="exact"/>
        <w:ind w:firstLine="602" w:firstLineChars="200"/>
        <w:rPr>
          <w:rFonts w:ascii="仿宋_GB2312" w:hAnsi="宋体" w:eastAsia="仿宋_GB2312"/>
          <w:b/>
          <w:color w:val="000000"/>
          <w:sz w:val="30"/>
          <w:szCs w:val="30"/>
        </w:rPr>
      </w:pPr>
      <w:r>
        <w:rPr>
          <w:rFonts w:hint="eastAsia" w:ascii="仿宋_GB2312" w:hAnsi="宋体" w:eastAsia="仿宋_GB2312"/>
          <w:b/>
          <w:color w:val="000000"/>
          <w:sz w:val="30"/>
          <w:szCs w:val="30"/>
        </w:rPr>
        <w:t>（一）技术参数及特点</w:t>
      </w:r>
    </w:p>
    <w:p>
      <w:pPr>
        <w:spacing w:line="560" w:lineRule="exact"/>
        <w:ind w:firstLine="600" w:firstLineChars="200"/>
        <w:rPr>
          <w:rFonts w:ascii="仿宋_GB2312" w:hAnsi="宋体" w:eastAsia="仿宋_GB2312"/>
          <w:color w:val="000000"/>
          <w:sz w:val="30"/>
          <w:szCs w:val="30"/>
        </w:rPr>
      </w:pPr>
      <w:r>
        <w:rPr>
          <w:rFonts w:hint="eastAsia" w:ascii="仿宋_GB2312" w:hAnsi="宋体" w:eastAsia="仿宋_GB2312"/>
          <w:color w:val="000000"/>
          <w:sz w:val="30"/>
          <w:szCs w:val="30"/>
        </w:rPr>
        <w:t xml:space="preserve">1.输入电源：三相五线制 AC380V±10% 50Hz； </w:t>
      </w:r>
    </w:p>
    <w:p>
      <w:pPr>
        <w:spacing w:line="560" w:lineRule="exact"/>
        <w:ind w:firstLine="600" w:firstLineChars="200"/>
        <w:rPr>
          <w:rFonts w:ascii="仿宋_GB2312" w:hAnsi="宋体" w:eastAsia="仿宋_GB2312"/>
          <w:color w:val="000000"/>
          <w:sz w:val="30"/>
          <w:szCs w:val="30"/>
        </w:rPr>
      </w:pPr>
      <w:r>
        <w:rPr>
          <w:rFonts w:hint="eastAsia" w:ascii="仿宋_GB2312" w:hAnsi="宋体" w:eastAsia="仿宋_GB2312"/>
          <w:color w:val="000000"/>
          <w:sz w:val="30"/>
          <w:szCs w:val="30"/>
        </w:rPr>
        <w:t>2.整机尺寸（对象+控制柜+电脑桌）：5000mm×1000mm×3000mm；</w:t>
      </w:r>
    </w:p>
    <w:p>
      <w:pPr>
        <w:spacing w:line="560" w:lineRule="exact"/>
        <w:ind w:firstLine="600" w:firstLineChars="200"/>
        <w:rPr>
          <w:rFonts w:ascii="仿宋_GB2312" w:hAnsi="宋体" w:eastAsia="仿宋_GB2312"/>
          <w:color w:val="000000"/>
          <w:sz w:val="30"/>
          <w:szCs w:val="30"/>
        </w:rPr>
      </w:pPr>
      <w:r>
        <w:rPr>
          <w:rFonts w:hint="eastAsia" w:ascii="仿宋_GB2312" w:hAnsi="宋体" w:eastAsia="仿宋_GB2312"/>
          <w:color w:val="000000"/>
          <w:sz w:val="30"/>
          <w:szCs w:val="30"/>
        </w:rPr>
        <w:t>3.设备高度仿真，按照实际电梯缩小比例设计，包含电梯全部要素，电梯为四层，高度3.0米。透明结构设计，电梯内部结构、运行过程一目了然。使学生能够很直观、透彻地了解、掌握电梯的结构及其动作原理。</w:t>
      </w:r>
    </w:p>
    <w:p>
      <w:pPr>
        <w:spacing w:line="560" w:lineRule="exact"/>
        <w:ind w:firstLine="600" w:firstLineChars="200"/>
        <w:rPr>
          <w:rFonts w:ascii="仿宋_GB2312" w:hAnsi="宋体" w:eastAsia="仿宋_GB2312"/>
          <w:color w:val="000000"/>
          <w:sz w:val="30"/>
          <w:szCs w:val="30"/>
        </w:rPr>
      </w:pPr>
      <w:r>
        <w:rPr>
          <w:rFonts w:hint="eastAsia" w:ascii="仿宋_GB2312" w:hAnsi="宋体" w:eastAsia="仿宋_GB2312"/>
          <w:color w:val="000000"/>
          <w:sz w:val="30"/>
          <w:szCs w:val="30"/>
        </w:rPr>
        <w:t>4.设备为二座四层群控电梯，每部电梯系统均由一台PLC控制，PLC之间通过通信模块交换数据，电梯外呼统一管理，接近现实中的楼宇电梯控制。学生通过本装置实训，不但可以练习单座电梯控制、提高故障的检测和排除能力，还可以学习电梯群控技术。</w:t>
      </w:r>
    </w:p>
    <w:p>
      <w:pPr>
        <w:spacing w:line="560" w:lineRule="exact"/>
        <w:ind w:firstLine="600" w:firstLineChars="200"/>
        <w:rPr>
          <w:rFonts w:ascii="仿宋_GB2312" w:hAnsi="宋体" w:eastAsia="仿宋_GB2312"/>
          <w:color w:val="000000"/>
          <w:sz w:val="30"/>
          <w:szCs w:val="30"/>
        </w:rPr>
      </w:pPr>
      <w:r>
        <w:rPr>
          <w:rFonts w:hint="eastAsia" w:ascii="仿宋_GB2312" w:hAnsi="宋体" w:eastAsia="仿宋_GB2312"/>
          <w:color w:val="000000"/>
          <w:sz w:val="30"/>
          <w:szCs w:val="30"/>
        </w:rPr>
        <w:t>5.智能电梯具有机械故障设置和智能故障设置两种设置方式，方便考核。</w:t>
      </w:r>
    </w:p>
    <w:p>
      <w:pPr>
        <w:spacing w:line="560" w:lineRule="exact"/>
        <w:ind w:firstLine="600" w:firstLineChars="200"/>
        <w:rPr>
          <w:rFonts w:ascii="仿宋_GB2312" w:hAnsi="宋体" w:eastAsia="仿宋_GB2312"/>
          <w:color w:val="000000"/>
          <w:sz w:val="30"/>
          <w:szCs w:val="30"/>
        </w:rPr>
      </w:pPr>
      <w:r>
        <w:rPr>
          <w:rFonts w:hint="eastAsia" w:ascii="仿宋_GB2312" w:hAnsi="宋体" w:eastAsia="仿宋_GB2312"/>
          <w:color w:val="000000"/>
          <w:sz w:val="30"/>
          <w:szCs w:val="30"/>
        </w:rPr>
        <w:t>6.配有真实门机机构模块，全自动开门机结构，包括门安全触板保护装置、门机力矩安全保护装置、厅门自动闭合装置、电动机，控制装置，传动装置等组件。电动机，电动机控制装置，传动装置和导轨均安装于组件上，电动机受控制装置作用而运转，经传动装置带动电梯轿门在导轨上水平移动。</w:t>
      </w:r>
    </w:p>
    <w:p>
      <w:pPr>
        <w:spacing w:line="560" w:lineRule="exact"/>
        <w:ind w:firstLine="600" w:firstLineChars="200"/>
        <w:rPr>
          <w:rFonts w:ascii="仿宋_GB2312" w:hAnsi="宋体" w:eastAsia="仿宋_GB2312"/>
          <w:color w:val="000000"/>
          <w:sz w:val="30"/>
          <w:szCs w:val="30"/>
        </w:rPr>
      </w:pPr>
      <w:r>
        <w:rPr>
          <w:rFonts w:hint="eastAsia" w:ascii="仿宋_GB2312" w:hAnsi="宋体" w:eastAsia="仿宋_GB2312"/>
          <w:color w:val="000000"/>
          <w:sz w:val="30"/>
          <w:szCs w:val="30"/>
        </w:rPr>
        <w:t>7.为了保证设备稳定性，大赛指定设备需提供经第三方出具的产品检测报告。</w:t>
      </w:r>
    </w:p>
    <w:p>
      <w:pPr>
        <w:spacing w:line="560" w:lineRule="exact"/>
        <w:ind w:firstLine="602" w:firstLineChars="200"/>
        <w:rPr>
          <w:rFonts w:ascii="仿宋_GB2312" w:hAnsi="宋体" w:eastAsia="仿宋_GB2312"/>
          <w:b/>
          <w:color w:val="000000"/>
          <w:sz w:val="30"/>
          <w:szCs w:val="30"/>
        </w:rPr>
      </w:pPr>
      <w:r>
        <w:rPr>
          <w:rFonts w:hint="eastAsia" w:ascii="仿宋_GB2312" w:hAnsi="宋体" w:eastAsia="仿宋_GB2312"/>
          <w:b/>
          <w:color w:val="000000"/>
          <w:sz w:val="30"/>
          <w:szCs w:val="30"/>
        </w:rPr>
        <w:t>（二）结构组成及功能</w:t>
      </w:r>
    </w:p>
    <w:p>
      <w:pPr>
        <w:spacing w:line="560" w:lineRule="exact"/>
        <w:ind w:firstLine="600" w:firstLineChars="200"/>
        <w:rPr>
          <w:rFonts w:ascii="仿宋_GB2312" w:hAnsi="宋体" w:eastAsia="仿宋_GB2312"/>
          <w:color w:val="000000"/>
          <w:sz w:val="30"/>
          <w:szCs w:val="30"/>
        </w:rPr>
      </w:pPr>
      <w:r>
        <w:rPr>
          <w:rFonts w:hint="eastAsia" w:ascii="仿宋_GB2312" w:hAnsi="宋体" w:eastAsia="仿宋_GB2312"/>
          <w:color w:val="000000"/>
          <w:sz w:val="30"/>
          <w:szCs w:val="30"/>
        </w:rPr>
        <w:t>智能电梯由电梯控制柜和电梯模型组成，能实现按钮控制、信号控制、集选控制、人机对话等功能，两台电梯还可以智能群控、电梯远程监控和故障诊断。</w:t>
      </w:r>
    </w:p>
    <w:p>
      <w:pPr>
        <w:spacing w:line="560" w:lineRule="exact"/>
        <w:ind w:firstLine="600" w:firstLineChars="200"/>
        <w:rPr>
          <w:rFonts w:ascii="仿宋_GB2312" w:hAnsi="宋体" w:eastAsia="仿宋_GB2312"/>
          <w:color w:val="000000"/>
          <w:sz w:val="30"/>
          <w:szCs w:val="30"/>
        </w:rPr>
      </w:pPr>
      <w:r>
        <w:rPr>
          <w:rFonts w:hint="eastAsia" w:ascii="仿宋_GB2312" w:hAnsi="宋体" w:eastAsia="仿宋_GB2312"/>
          <w:color w:val="000000"/>
          <w:sz w:val="30"/>
          <w:szCs w:val="30"/>
        </w:rPr>
        <w:t>电梯高仿真模型：包含驱动装置、轿厢及对重装置、导向系统、门机机构、安全保护机构等组成。驱动装置由曳引机（带有制动器、减速机、导向轮、工业编码器）、曳引钢丝绳和绳头组合等部件组成；导向系统由井道钢架、导轨、导靴等组成；门机机构由轿门、层门、开关门机构、安全触板、门安全光幕保护、门机力矩安全保护、门套等部件组成；安全保护机构由超载装置、缓冲器、安全钳、限速保护装置、终端极限开关安全保护等部件组成；另外配有智能人机、信息系统、视频监控系统。</w:t>
      </w:r>
    </w:p>
    <w:p>
      <w:pPr>
        <w:spacing w:line="560" w:lineRule="exact"/>
        <w:ind w:firstLine="600" w:firstLineChars="200"/>
        <w:rPr>
          <w:rFonts w:ascii="仿宋_GB2312" w:hAnsi="宋体" w:eastAsia="仿宋_GB2312"/>
          <w:color w:val="000000"/>
          <w:sz w:val="30"/>
          <w:szCs w:val="30"/>
        </w:rPr>
      </w:pPr>
      <w:r>
        <w:rPr>
          <w:rFonts w:hint="eastAsia" w:ascii="仿宋_GB2312" w:hAnsi="宋体" w:eastAsia="仿宋_GB2312"/>
          <w:color w:val="000000"/>
          <w:sz w:val="30"/>
          <w:szCs w:val="30"/>
        </w:rPr>
        <w:t>电梯电气控制柜：包含三菱FX3U-64MR/ES-A或汇川H2U-3232MR（选择配置</w:t>
      </w:r>
      <w:r>
        <w:rPr>
          <w:rFonts w:ascii="仿宋_GB2312" w:hAnsi="宋体" w:eastAsia="仿宋_GB2312"/>
          <w:color w:val="000000"/>
          <w:sz w:val="30"/>
          <w:szCs w:val="30"/>
        </w:rPr>
        <w:t>）</w:t>
      </w:r>
      <w:r>
        <w:rPr>
          <w:rFonts w:hint="eastAsia" w:ascii="仿宋_GB2312" w:hAnsi="宋体" w:eastAsia="仿宋_GB2312"/>
          <w:color w:val="000000"/>
          <w:sz w:val="30"/>
          <w:szCs w:val="30"/>
        </w:rPr>
        <w:t>、三菱FR-D740-1.5KW或汇川MD280N系列变频器、低压电气（继电器、接触器、热继电器、相序保护器）、安全及门锁回路、智能考核系统等组成部分。</w:t>
      </w:r>
    </w:p>
    <w:p>
      <w:pPr>
        <w:spacing w:line="560" w:lineRule="exact"/>
        <w:ind w:firstLine="600" w:firstLineChars="200"/>
        <w:rPr>
          <w:rFonts w:ascii="仿宋_GB2312" w:hAnsi="宋体" w:eastAsia="仿宋_GB2312"/>
          <w:color w:val="000000"/>
          <w:sz w:val="30"/>
          <w:szCs w:val="30"/>
        </w:rPr>
      </w:pPr>
      <w:r>
        <w:rPr>
          <w:rFonts w:hint="eastAsia" w:ascii="仿宋_GB2312" w:hAnsi="宋体" w:eastAsia="仿宋_GB2312"/>
          <w:color w:val="000000"/>
          <w:sz w:val="30"/>
          <w:szCs w:val="30"/>
        </w:rPr>
        <w:t>1.单台电梯控制柜（每套含2台）器材清单如下：</w:t>
      </w:r>
    </w:p>
    <w:tbl>
      <w:tblPr>
        <w:tblStyle w:val="9"/>
        <w:tblW w:w="887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6"/>
        <w:gridCol w:w="2104"/>
        <w:gridCol w:w="2646"/>
        <w:gridCol w:w="772"/>
        <w:gridCol w:w="1170"/>
        <w:gridCol w:w="11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996" w:type="dxa"/>
            <w:vAlign w:val="center"/>
          </w:tcPr>
          <w:p>
            <w:pPr>
              <w:snapToGrid w:val="0"/>
              <w:jc w:val="center"/>
              <w:rPr>
                <w:rFonts w:ascii="宋体" w:hAnsi="宋体" w:cs="宋体"/>
                <w:b/>
                <w:sz w:val="24"/>
              </w:rPr>
            </w:pPr>
            <w:r>
              <w:rPr>
                <w:rFonts w:hint="eastAsia" w:ascii="宋体" w:hAnsi="宋体" w:cs="宋体"/>
                <w:b/>
                <w:sz w:val="24"/>
              </w:rPr>
              <w:t>序号</w:t>
            </w:r>
          </w:p>
        </w:tc>
        <w:tc>
          <w:tcPr>
            <w:tcW w:w="2104" w:type="dxa"/>
            <w:vAlign w:val="center"/>
          </w:tcPr>
          <w:p>
            <w:pPr>
              <w:snapToGrid w:val="0"/>
              <w:jc w:val="center"/>
              <w:rPr>
                <w:rFonts w:ascii="宋体" w:hAnsi="宋体" w:cs="宋体"/>
                <w:b/>
                <w:sz w:val="24"/>
              </w:rPr>
            </w:pPr>
            <w:r>
              <w:rPr>
                <w:rFonts w:hint="eastAsia" w:ascii="宋体" w:hAnsi="宋体" w:cs="宋体"/>
                <w:b/>
                <w:sz w:val="24"/>
              </w:rPr>
              <w:t>器材名称</w:t>
            </w:r>
          </w:p>
        </w:tc>
        <w:tc>
          <w:tcPr>
            <w:tcW w:w="3418" w:type="dxa"/>
            <w:gridSpan w:val="2"/>
            <w:vAlign w:val="center"/>
          </w:tcPr>
          <w:p>
            <w:pPr>
              <w:snapToGrid w:val="0"/>
              <w:jc w:val="center"/>
              <w:rPr>
                <w:rFonts w:ascii="宋体" w:hAnsi="宋体" w:cs="宋体"/>
                <w:b/>
                <w:sz w:val="24"/>
              </w:rPr>
            </w:pPr>
            <w:r>
              <w:rPr>
                <w:rFonts w:hint="eastAsia" w:ascii="宋体" w:hAnsi="宋体" w:cs="宋体"/>
                <w:b/>
                <w:sz w:val="24"/>
              </w:rPr>
              <w:t>器材规格或型号</w:t>
            </w:r>
          </w:p>
        </w:tc>
        <w:tc>
          <w:tcPr>
            <w:tcW w:w="1170" w:type="dxa"/>
            <w:vAlign w:val="center"/>
          </w:tcPr>
          <w:p>
            <w:pPr>
              <w:snapToGrid w:val="0"/>
              <w:jc w:val="center"/>
              <w:rPr>
                <w:rFonts w:ascii="宋体" w:hAnsi="宋体" w:cs="宋体"/>
                <w:b/>
                <w:sz w:val="24"/>
              </w:rPr>
            </w:pPr>
            <w:r>
              <w:rPr>
                <w:rFonts w:hint="eastAsia" w:ascii="宋体" w:hAnsi="宋体" w:cs="宋体"/>
                <w:b/>
                <w:sz w:val="24"/>
              </w:rPr>
              <w:t>数量</w:t>
            </w:r>
          </w:p>
        </w:tc>
        <w:tc>
          <w:tcPr>
            <w:tcW w:w="1182" w:type="dxa"/>
            <w:vAlign w:val="center"/>
          </w:tcPr>
          <w:p>
            <w:pPr>
              <w:snapToGrid w:val="0"/>
              <w:jc w:val="center"/>
              <w:rPr>
                <w:rFonts w:ascii="宋体" w:hAnsi="宋体" w:cs="宋体"/>
                <w:b/>
                <w:sz w:val="24"/>
              </w:rPr>
            </w:pPr>
            <w:r>
              <w:rPr>
                <w:rFonts w:hint="eastAsia" w:ascii="宋体" w:hAnsi="宋体" w:cs="宋体"/>
                <w:b/>
                <w:sz w:val="24"/>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996" w:type="dxa"/>
            <w:vAlign w:val="center"/>
          </w:tcPr>
          <w:p>
            <w:pPr>
              <w:snapToGrid w:val="0"/>
              <w:jc w:val="center"/>
              <w:rPr>
                <w:rFonts w:ascii="宋体" w:hAnsi="宋体" w:cs="宋体"/>
                <w:bCs/>
                <w:sz w:val="24"/>
              </w:rPr>
            </w:pPr>
            <w:r>
              <w:rPr>
                <w:rFonts w:hint="eastAsia" w:ascii="宋体" w:hAnsi="宋体" w:cs="宋体"/>
                <w:bCs/>
                <w:sz w:val="24"/>
              </w:rPr>
              <w:t>1</w:t>
            </w:r>
          </w:p>
        </w:tc>
        <w:tc>
          <w:tcPr>
            <w:tcW w:w="2104" w:type="dxa"/>
            <w:vAlign w:val="center"/>
          </w:tcPr>
          <w:p>
            <w:pPr>
              <w:snapToGrid w:val="0"/>
              <w:jc w:val="center"/>
              <w:rPr>
                <w:rFonts w:ascii="宋体" w:hAnsi="宋体" w:cs="宋体"/>
                <w:bCs/>
                <w:sz w:val="24"/>
              </w:rPr>
            </w:pPr>
            <w:r>
              <w:rPr>
                <w:rFonts w:hint="eastAsia" w:ascii="宋体" w:hAnsi="宋体" w:cs="宋体"/>
                <w:bCs/>
                <w:sz w:val="24"/>
              </w:rPr>
              <w:t>控制柜</w:t>
            </w:r>
          </w:p>
        </w:tc>
        <w:tc>
          <w:tcPr>
            <w:tcW w:w="3418" w:type="dxa"/>
            <w:gridSpan w:val="2"/>
            <w:vAlign w:val="center"/>
          </w:tcPr>
          <w:p>
            <w:pPr>
              <w:snapToGrid w:val="0"/>
              <w:jc w:val="center"/>
              <w:rPr>
                <w:rFonts w:ascii="宋体" w:hAnsi="宋体" w:cs="宋体"/>
                <w:bCs/>
                <w:sz w:val="24"/>
              </w:rPr>
            </w:pPr>
            <w:r>
              <w:rPr>
                <w:rFonts w:hint="eastAsia" w:ascii="宋体" w:hAnsi="宋体" w:cs="宋体"/>
                <w:bCs/>
                <w:sz w:val="24"/>
              </w:rPr>
              <w:t>800×600×1800mm</w:t>
            </w:r>
          </w:p>
        </w:tc>
        <w:tc>
          <w:tcPr>
            <w:tcW w:w="1170" w:type="dxa"/>
            <w:vAlign w:val="center"/>
          </w:tcPr>
          <w:p>
            <w:pPr>
              <w:snapToGrid w:val="0"/>
              <w:jc w:val="center"/>
              <w:rPr>
                <w:rFonts w:ascii="宋体" w:hAnsi="宋体" w:cs="宋体"/>
                <w:bCs/>
                <w:sz w:val="24"/>
              </w:rPr>
            </w:pPr>
            <w:r>
              <w:rPr>
                <w:rFonts w:hint="eastAsia" w:ascii="宋体" w:hAnsi="宋体" w:cs="宋体"/>
                <w:bCs/>
                <w:sz w:val="24"/>
              </w:rPr>
              <w:t>1</w:t>
            </w:r>
          </w:p>
        </w:tc>
        <w:tc>
          <w:tcPr>
            <w:tcW w:w="1182" w:type="dxa"/>
            <w:vAlign w:val="center"/>
          </w:tcPr>
          <w:p>
            <w:pPr>
              <w:snapToGrid w:val="0"/>
              <w:jc w:val="center"/>
              <w:rPr>
                <w:rFonts w:ascii="宋体" w:hAnsi="宋体" w:cs="宋体"/>
                <w:bCs/>
                <w:sz w:val="24"/>
              </w:rPr>
            </w:pPr>
            <w:r>
              <w:rPr>
                <w:rFonts w:hint="eastAsia" w:ascii="宋体" w:hAnsi="宋体" w:cs="宋体"/>
                <w:bCs/>
                <w:sz w:val="24"/>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996" w:type="dxa"/>
            <w:vMerge w:val="restart"/>
            <w:vAlign w:val="center"/>
          </w:tcPr>
          <w:p>
            <w:pPr>
              <w:snapToGrid w:val="0"/>
              <w:jc w:val="center"/>
              <w:rPr>
                <w:rFonts w:ascii="宋体" w:hAnsi="宋体" w:cs="宋体"/>
                <w:bCs/>
                <w:sz w:val="24"/>
              </w:rPr>
            </w:pPr>
            <w:r>
              <w:rPr>
                <w:rFonts w:hint="eastAsia" w:ascii="宋体" w:hAnsi="宋体" w:cs="宋体"/>
                <w:bCs/>
                <w:sz w:val="24"/>
              </w:rPr>
              <w:t>2</w:t>
            </w:r>
          </w:p>
        </w:tc>
        <w:tc>
          <w:tcPr>
            <w:tcW w:w="2104" w:type="dxa"/>
            <w:vAlign w:val="center"/>
          </w:tcPr>
          <w:p>
            <w:pPr>
              <w:snapToGrid w:val="0"/>
              <w:jc w:val="center"/>
              <w:rPr>
                <w:rFonts w:ascii="宋体" w:hAnsi="宋体" w:cs="宋体"/>
                <w:bCs/>
                <w:sz w:val="24"/>
              </w:rPr>
            </w:pPr>
            <w:r>
              <w:rPr>
                <w:rFonts w:hint="eastAsia" w:ascii="宋体" w:hAnsi="宋体" w:cs="宋体"/>
                <w:bCs/>
                <w:sz w:val="24"/>
              </w:rPr>
              <w:t>三菱PLC</w:t>
            </w:r>
          </w:p>
        </w:tc>
        <w:tc>
          <w:tcPr>
            <w:tcW w:w="2646" w:type="dxa"/>
            <w:vAlign w:val="center"/>
          </w:tcPr>
          <w:p>
            <w:pPr>
              <w:snapToGrid w:val="0"/>
              <w:jc w:val="center"/>
              <w:rPr>
                <w:rFonts w:ascii="宋体" w:hAnsi="宋体" w:cs="宋体"/>
                <w:bCs/>
                <w:sz w:val="24"/>
              </w:rPr>
            </w:pPr>
            <w:r>
              <w:rPr>
                <w:rFonts w:hint="eastAsia" w:ascii="宋体" w:hAnsi="宋体" w:cs="宋体"/>
                <w:bCs/>
                <w:sz w:val="24"/>
              </w:rPr>
              <w:t>FX3U-64MR/ES-A</w:t>
            </w:r>
          </w:p>
        </w:tc>
        <w:tc>
          <w:tcPr>
            <w:tcW w:w="772" w:type="dxa"/>
            <w:vMerge w:val="restart"/>
            <w:vAlign w:val="center"/>
          </w:tcPr>
          <w:p>
            <w:pPr>
              <w:snapToGrid w:val="0"/>
              <w:jc w:val="center"/>
              <w:rPr>
                <w:rFonts w:ascii="宋体" w:hAnsi="宋体" w:cs="宋体"/>
                <w:bCs/>
                <w:sz w:val="24"/>
              </w:rPr>
            </w:pPr>
            <w:r>
              <w:rPr>
                <w:rFonts w:hint="eastAsia" w:ascii="宋体" w:hAnsi="宋体" w:cs="宋体"/>
                <w:bCs/>
                <w:sz w:val="24"/>
              </w:rPr>
              <w:t>选择配置</w:t>
            </w:r>
          </w:p>
        </w:tc>
        <w:tc>
          <w:tcPr>
            <w:tcW w:w="1170" w:type="dxa"/>
            <w:vAlign w:val="center"/>
          </w:tcPr>
          <w:p>
            <w:pPr>
              <w:snapToGrid w:val="0"/>
              <w:jc w:val="center"/>
              <w:rPr>
                <w:rFonts w:ascii="宋体" w:hAnsi="宋体" w:cs="宋体"/>
                <w:bCs/>
                <w:sz w:val="24"/>
              </w:rPr>
            </w:pPr>
            <w:r>
              <w:rPr>
                <w:rFonts w:hint="eastAsia" w:ascii="宋体" w:hAnsi="宋体" w:cs="宋体"/>
                <w:bCs/>
                <w:sz w:val="24"/>
              </w:rPr>
              <w:t>1</w:t>
            </w:r>
          </w:p>
        </w:tc>
        <w:tc>
          <w:tcPr>
            <w:tcW w:w="1182" w:type="dxa"/>
            <w:vAlign w:val="center"/>
          </w:tcPr>
          <w:p>
            <w:pPr>
              <w:snapToGrid w:val="0"/>
              <w:jc w:val="center"/>
              <w:rPr>
                <w:rFonts w:ascii="宋体" w:hAnsi="宋体" w:cs="宋体"/>
                <w:bCs/>
                <w:sz w:val="24"/>
              </w:rPr>
            </w:pPr>
            <w:r>
              <w:rPr>
                <w:rFonts w:hint="eastAsia" w:ascii="宋体" w:hAnsi="宋体" w:cs="宋体"/>
                <w:bCs/>
                <w:sz w:val="24"/>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996" w:type="dxa"/>
            <w:vMerge w:val="continue"/>
            <w:vAlign w:val="center"/>
          </w:tcPr>
          <w:p>
            <w:pPr>
              <w:snapToGrid w:val="0"/>
              <w:jc w:val="center"/>
              <w:rPr>
                <w:rFonts w:ascii="宋体" w:hAnsi="宋体" w:cs="宋体"/>
                <w:bCs/>
                <w:sz w:val="24"/>
              </w:rPr>
            </w:pPr>
          </w:p>
        </w:tc>
        <w:tc>
          <w:tcPr>
            <w:tcW w:w="2104" w:type="dxa"/>
            <w:vAlign w:val="center"/>
          </w:tcPr>
          <w:p>
            <w:pPr>
              <w:snapToGrid w:val="0"/>
              <w:jc w:val="center"/>
              <w:rPr>
                <w:rFonts w:ascii="宋体" w:hAnsi="宋体" w:cs="宋体"/>
                <w:bCs/>
                <w:sz w:val="24"/>
              </w:rPr>
            </w:pPr>
            <w:r>
              <w:rPr>
                <w:rFonts w:hint="eastAsia" w:ascii="宋体" w:hAnsi="宋体" w:cs="宋体"/>
                <w:bCs/>
                <w:sz w:val="24"/>
              </w:rPr>
              <w:t>汇川PLC</w:t>
            </w:r>
          </w:p>
        </w:tc>
        <w:tc>
          <w:tcPr>
            <w:tcW w:w="2646" w:type="dxa"/>
            <w:vAlign w:val="center"/>
          </w:tcPr>
          <w:p>
            <w:pPr>
              <w:snapToGrid w:val="0"/>
              <w:jc w:val="center"/>
              <w:rPr>
                <w:rFonts w:ascii="宋体" w:hAnsi="宋体" w:cs="宋体"/>
                <w:bCs/>
                <w:sz w:val="24"/>
              </w:rPr>
            </w:pPr>
            <w:r>
              <w:rPr>
                <w:rFonts w:hint="eastAsia" w:ascii="宋体" w:hAnsi="宋体" w:cs="宋体"/>
                <w:bCs/>
                <w:sz w:val="24"/>
              </w:rPr>
              <w:t>H2U-3232MR</w:t>
            </w:r>
          </w:p>
        </w:tc>
        <w:tc>
          <w:tcPr>
            <w:tcW w:w="772" w:type="dxa"/>
            <w:vMerge w:val="continue"/>
            <w:vAlign w:val="center"/>
          </w:tcPr>
          <w:p>
            <w:pPr>
              <w:snapToGrid w:val="0"/>
              <w:jc w:val="center"/>
              <w:rPr>
                <w:rFonts w:ascii="宋体" w:hAnsi="宋体" w:cs="宋体"/>
                <w:bCs/>
                <w:sz w:val="24"/>
              </w:rPr>
            </w:pPr>
          </w:p>
        </w:tc>
        <w:tc>
          <w:tcPr>
            <w:tcW w:w="1170" w:type="dxa"/>
            <w:vAlign w:val="center"/>
          </w:tcPr>
          <w:p>
            <w:pPr>
              <w:snapToGrid w:val="0"/>
              <w:jc w:val="center"/>
              <w:rPr>
                <w:rFonts w:ascii="宋体" w:hAnsi="宋体" w:cs="宋体"/>
                <w:bCs/>
                <w:sz w:val="24"/>
              </w:rPr>
            </w:pPr>
            <w:r>
              <w:rPr>
                <w:rFonts w:hint="eastAsia" w:ascii="宋体" w:hAnsi="宋体" w:cs="宋体"/>
                <w:bCs/>
                <w:sz w:val="24"/>
              </w:rPr>
              <w:t>1</w:t>
            </w:r>
          </w:p>
        </w:tc>
        <w:tc>
          <w:tcPr>
            <w:tcW w:w="1182" w:type="dxa"/>
            <w:vAlign w:val="center"/>
          </w:tcPr>
          <w:p>
            <w:pPr>
              <w:snapToGrid w:val="0"/>
              <w:jc w:val="center"/>
              <w:rPr>
                <w:rFonts w:ascii="宋体" w:hAnsi="宋体" w:cs="宋体"/>
                <w:bCs/>
                <w:sz w:val="24"/>
              </w:rPr>
            </w:pPr>
            <w:r>
              <w:rPr>
                <w:rFonts w:hint="eastAsia" w:ascii="宋体" w:hAnsi="宋体" w:cs="宋体"/>
                <w:bCs/>
                <w:sz w:val="24"/>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996" w:type="dxa"/>
            <w:vMerge w:val="restart"/>
            <w:vAlign w:val="center"/>
          </w:tcPr>
          <w:p>
            <w:pPr>
              <w:snapToGrid w:val="0"/>
              <w:jc w:val="center"/>
              <w:rPr>
                <w:rFonts w:ascii="宋体" w:hAnsi="宋体" w:cs="宋体"/>
                <w:bCs/>
                <w:sz w:val="24"/>
              </w:rPr>
            </w:pPr>
            <w:r>
              <w:rPr>
                <w:rFonts w:hint="eastAsia" w:ascii="宋体" w:hAnsi="宋体" w:cs="宋体"/>
                <w:bCs/>
                <w:sz w:val="24"/>
              </w:rPr>
              <w:t>3</w:t>
            </w:r>
          </w:p>
        </w:tc>
        <w:tc>
          <w:tcPr>
            <w:tcW w:w="2104" w:type="dxa"/>
            <w:vAlign w:val="center"/>
          </w:tcPr>
          <w:p>
            <w:pPr>
              <w:snapToGrid w:val="0"/>
              <w:jc w:val="center"/>
              <w:rPr>
                <w:rFonts w:ascii="宋体" w:hAnsi="宋体" w:cs="宋体"/>
                <w:bCs/>
                <w:sz w:val="24"/>
              </w:rPr>
            </w:pPr>
            <w:r>
              <w:rPr>
                <w:rFonts w:hint="eastAsia" w:ascii="宋体" w:hAnsi="宋体" w:cs="宋体"/>
                <w:bCs/>
                <w:sz w:val="24"/>
              </w:rPr>
              <w:t>三菱变频器</w:t>
            </w:r>
          </w:p>
        </w:tc>
        <w:tc>
          <w:tcPr>
            <w:tcW w:w="2646" w:type="dxa"/>
            <w:vAlign w:val="center"/>
          </w:tcPr>
          <w:p>
            <w:pPr>
              <w:snapToGrid w:val="0"/>
              <w:jc w:val="center"/>
              <w:rPr>
                <w:rFonts w:ascii="宋体" w:hAnsi="宋体" w:cs="宋体"/>
                <w:bCs/>
                <w:sz w:val="24"/>
              </w:rPr>
            </w:pPr>
            <w:r>
              <w:rPr>
                <w:rFonts w:hint="eastAsia" w:ascii="宋体" w:hAnsi="宋体" w:cs="宋体"/>
                <w:bCs/>
                <w:sz w:val="24"/>
              </w:rPr>
              <w:t>FR-D740-1.5KW</w:t>
            </w:r>
          </w:p>
        </w:tc>
        <w:tc>
          <w:tcPr>
            <w:tcW w:w="772" w:type="dxa"/>
            <w:vMerge w:val="restart"/>
            <w:vAlign w:val="center"/>
          </w:tcPr>
          <w:p>
            <w:pPr>
              <w:snapToGrid w:val="0"/>
              <w:jc w:val="center"/>
              <w:rPr>
                <w:rFonts w:ascii="宋体" w:hAnsi="宋体" w:cs="宋体"/>
                <w:bCs/>
                <w:sz w:val="24"/>
              </w:rPr>
            </w:pPr>
            <w:r>
              <w:rPr>
                <w:rFonts w:hint="eastAsia" w:ascii="宋体" w:hAnsi="宋体" w:cs="宋体"/>
                <w:bCs/>
                <w:sz w:val="24"/>
              </w:rPr>
              <w:t>选择配置</w:t>
            </w:r>
          </w:p>
        </w:tc>
        <w:tc>
          <w:tcPr>
            <w:tcW w:w="1170" w:type="dxa"/>
            <w:vAlign w:val="center"/>
          </w:tcPr>
          <w:p>
            <w:pPr>
              <w:snapToGrid w:val="0"/>
              <w:jc w:val="center"/>
              <w:rPr>
                <w:rFonts w:ascii="宋体" w:hAnsi="宋体" w:cs="宋体"/>
                <w:bCs/>
                <w:sz w:val="24"/>
              </w:rPr>
            </w:pPr>
            <w:r>
              <w:rPr>
                <w:rFonts w:hint="eastAsia" w:ascii="宋体" w:hAnsi="宋体" w:cs="宋体"/>
                <w:bCs/>
                <w:sz w:val="24"/>
              </w:rPr>
              <w:t>1</w:t>
            </w:r>
          </w:p>
        </w:tc>
        <w:tc>
          <w:tcPr>
            <w:tcW w:w="1182" w:type="dxa"/>
            <w:vAlign w:val="center"/>
          </w:tcPr>
          <w:p>
            <w:pPr>
              <w:snapToGrid w:val="0"/>
              <w:jc w:val="center"/>
              <w:rPr>
                <w:rFonts w:ascii="宋体" w:hAnsi="宋体" w:cs="宋体"/>
                <w:bCs/>
                <w:sz w:val="24"/>
              </w:rPr>
            </w:pPr>
            <w:r>
              <w:rPr>
                <w:rFonts w:hint="eastAsia" w:ascii="宋体" w:hAnsi="宋体" w:cs="宋体"/>
                <w:bCs/>
                <w:sz w:val="24"/>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996" w:type="dxa"/>
            <w:vMerge w:val="continue"/>
            <w:vAlign w:val="center"/>
          </w:tcPr>
          <w:p>
            <w:pPr>
              <w:snapToGrid w:val="0"/>
              <w:jc w:val="center"/>
              <w:rPr>
                <w:rFonts w:ascii="宋体" w:hAnsi="宋体" w:cs="宋体"/>
                <w:bCs/>
                <w:sz w:val="24"/>
              </w:rPr>
            </w:pPr>
          </w:p>
        </w:tc>
        <w:tc>
          <w:tcPr>
            <w:tcW w:w="2104" w:type="dxa"/>
            <w:vAlign w:val="center"/>
          </w:tcPr>
          <w:p>
            <w:pPr>
              <w:snapToGrid w:val="0"/>
              <w:jc w:val="center"/>
              <w:rPr>
                <w:rFonts w:ascii="宋体" w:hAnsi="宋体" w:cs="宋体"/>
                <w:bCs/>
                <w:sz w:val="24"/>
              </w:rPr>
            </w:pPr>
            <w:r>
              <w:rPr>
                <w:rFonts w:hint="eastAsia" w:ascii="宋体" w:hAnsi="宋体" w:cs="宋体"/>
                <w:bCs/>
                <w:sz w:val="24"/>
              </w:rPr>
              <w:t>汇川变频器</w:t>
            </w:r>
          </w:p>
        </w:tc>
        <w:tc>
          <w:tcPr>
            <w:tcW w:w="2646" w:type="dxa"/>
            <w:vAlign w:val="center"/>
          </w:tcPr>
          <w:p>
            <w:pPr>
              <w:snapToGrid w:val="0"/>
              <w:jc w:val="center"/>
              <w:rPr>
                <w:rFonts w:ascii="宋体" w:hAnsi="宋体" w:cs="宋体"/>
                <w:bCs/>
                <w:sz w:val="24"/>
              </w:rPr>
            </w:pPr>
            <w:r>
              <w:rPr>
                <w:rFonts w:hint="eastAsia" w:ascii="宋体" w:hAnsi="宋体" w:cs="宋体"/>
                <w:bCs/>
                <w:sz w:val="24"/>
              </w:rPr>
              <w:t>MD280N</w:t>
            </w:r>
          </w:p>
        </w:tc>
        <w:tc>
          <w:tcPr>
            <w:tcW w:w="772" w:type="dxa"/>
            <w:vMerge w:val="continue"/>
            <w:vAlign w:val="center"/>
          </w:tcPr>
          <w:p>
            <w:pPr>
              <w:snapToGrid w:val="0"/>
              <w:jc w:val="center"/>
              <w:rPr>
                <w:rFonts w:ascii="宋体" w:hAnsi="宋体" w:cs="宋体"/>
                <w:bCs/>
                <w:sz w:val="24"/>
              </w:rPr>
            </w:pPr>
          </w:p>
        </w:tc>
        <w:tc>
          <w:tcPr>
            <w:tcW w:w="1170" w:type="dxa"/>
            <w:vAlign w:val="center"/>
          </w:tcPr>
          <w:p>
            <w:pPr>
              <w:snapToGrid w:val="0"/>
              <w:jc w:val="center"/>
              <w:rPr>
                <w:rFonts w:ascii="宋体" w:hAnsi="宋体" w:cs="宋体"/>
                <w:bCs/>
                <w:sz w:val="24"/>
              </w:rPr>
            </w:pPr>
            <w:r>
              <w:rPr>
                <w:rFonts w:hint="eastAsia" w:ascii="宋体" w:hAnsi="宋体" w:cs="宋体"/>
                <w:bCs/>
                <w:sz w:val="24"/>
              </w:rPr>
              <w:t>1</w:t>
            </w:r>
          </w:p>
        </w:tc>
        <w:tc>
          <w:tcPr>
            <w:tcW w:w="1182" w:type="dxa"/>
            <w:vAlign w:val="center"/>
          </w:tcPr>
          <w:p>
            <w:pPr>
              <w:snapToGrid w:val="0"/>
              <w:jc w:val="center"/>
              <w:rPr>
                <w:rFonts w:ascii="宋体" w:hAnsi="宋体" w:cs="宋体"/>
                <w:bCs/>
                <w:sz w:val="24"/>
              </w:rPr>
            </w:pPr>
            <w:r>
              <w:rPr>
                <w:rFonts w:hint="eastAsia" w:ascii="宋体" w:hAnsi="宋体" w:cs="宋体"/>
                <w:bCs/>
                <w:sz w:val="24"/>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996" w:type="dxa"/>
            <w:vAlign w:val="center"/>
          </w:tcPr>
          <w:p>
            <w:pPr>
              <w:snapToGrid w:val="0"/>
              <w:jc w:val="center"/>
              <w:rPr>
                <w:rFonts w:ascii="宋体" w:hAnsi="宋体" w:cs="宋体"/>
                <w:bCs/>
                <w:sz w:val="24"/>
              </w:rPr>
            </w:pPr>
            <w:r>
              <w:rPr>
                <w:rFonts w:hint="eastAsia" w:ascii="宋体" w:hAnsi="宋体" w:cs="宋体"/>
                <w:bCs/>
                <w:sz w:val="24"/>
              </w:rPr>
              <w:t>4</w:t>
            </w:r>
          </w:p>
        </w:tc>
        <w:tc>
          <w:tcPr>
            <w:tcW w:w="2104" w:type="dxa"/>
            <w:vAlign w:val="center"/>
          </w:tcPr>
          <w:p>
            <w:pPr>
              <w:snapToGrid w:val="0"/>
              <w:jc w:val="center"/>
              <w:rPr>
                <w:rFonts w:ascii="宋体" w:hAnsi="宋体" w:cs="宋体"/>
                <w:bCs/>
                <w:sz w:val="24"/>
              </w:rPr>
            </w:pPr>
            <w:r>
              <w:rPr>
                <w:rFonts w:hint="eastAsia" w:ascii="宋体" w:hAnsi="宋体" w:cs="宋体"/>
                <w:bCs/>
                <w:sz w:val="24"/>
              </w:rPr>
              <w:t>漏电保护器</w:t>
            </w:r>
          </w:p>
        </w:tc>
        <w:tc>
          <w:tcPr>
            <w:tcW w:w="3418" w:type="dxa"/>
            <w:gridSpan w:val="2"/>
            <w:vAlign w:val="center"/>
          </w:tcPr>
          <w:p>
            <w:pPr>
              <w:snapToGrid w:val="0"/>
              <w:jc w:val="center"/>
              <w:rPr>
                <w:rFonts w:ascii="宋体" w:hAnsi="宋体" w:cs="宋体"/>
                <w:bCs/>
                <w:sz w:val="24"/>
              </w:rPr>
            </w:pPr>
            <w:r>
              <w:rPr>
                <w:rFonts w:hint="eastAsia" w:ascii="宋体" w:hAnsi="宋体" w:cs="宋体"/>
                <w:bCs/>
                <w:sz w:val="24"/>
              </w:rPr>
              <w:t>4P/10A</w:t>
            </w:r>
          </w:p>
        </w:tc>
        <w:tc>
          <w:tcPr>
            <w:tcW w:w="1170" w:type="dxa"/>
            <w:vAlign w:val="center"/>
          </w:tcPr>
          <w:p>
            <w:pPr>
              <w:snapToGrid w:val="0"/>
              <w:jc w:val="center"/>
              <w:rPr>
                <w:rFonts w:ascii="宋体" w:hAnsi="宋体" w:cs="宋体"/>
                <w:bCs/>
                <w:sz w:val="24"/>
              </w:rPr>
            </w:pPr>
            <w:r>
              <w:rPr>
                <w:rFonts w:hint="eastAsia" w:ascii="宋体" w:hAnsi="宋体" w:cs="宋体"/>
                <w:bCs/>
                <w:sz w:val="24"/>
              </w:rPr>
              <w:t>1</w:t>
            </w:r>
          </w:p>
        </w:tc>
        <w:tc>
          <w:tcPr>
            <w:tcW w:w="1182" w:type="dxa"/>
            <w:vAlign w:val="center"/>
          </w:tcPr>
          <w:p>
            <w:pPr>
              <w:snapToGrid w:val="0"/>
              <w:jc w:val="center"/>
              <w:rPr>
                <w:rFonts w:ascii="宋体" w:hAnsi="宋体" w:cs="宋体"/>
                <w:bCs/>
                <w:sz w:val="24"/>
              </w:rPr>
            </w:pPr>
            <w:r>
              <w:rPr>
                <w:rFonts w:hint="eastAsia" w:ascii="宋体" w:hAnsi="宋体" w:cs="宋体"/>
                <w:bCs/>
                <w:sz w:val="24"/>
              </w:rPr>
              <w:t>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996" w:type="dxa"/>
            <w:vAlign w:val="center"/>
          </w:tcPr>
          <w:p>
            <w:pPr>
              <w:snapToGrid w:val="0"/>
              <w:jc w:val="center"/>
              <w:rPr>
                <w:rFonts w:ascii="宋体" w:hAnsi="宋体" w:cs="宋体"/>
                <w:bCs/>
                <w:sz w:val="24"/>
              </w:rPr>
            </w:pPr>
            <w:r>
              <w:rPr>
                <w:rFonts w:hint="eastAsia" w:ascii="宋体" w:hAnsi="宋体" w:cs="宋体"/>
                <w:bCs/>
                <w:sz w:val="24"/>
              </w:rPr>
              <w:t>5</w:t>
            </w:r>
          </w:p>
        </w:tc>
        <w:tc>
          <w:tcPr>
            <w:tcW w:w="2104" w:type="dxa"/>
            <w:vAlign w:val="center"/>
          </w:tcPr>
          <w:p>
            <w:pPr>
              <w:snapToGrid w:val="0"/>
              <w:jc w:val="center"/>
              <w:rPr>
                <w:rFonts w:ascii="宋体" w:hAnsi="宋体" w:cs="宋体"/>
                <w:bCs/>
                <w:sz w:val="24"/>
              </w:rPr>
            </w:pPr>
            <w:r>
              <w:rPr>
                <w:rFonts w:hint="eastAsia" w:ascii="宋体" w:hAnsi="宋体" w:cs="宋体"/>
                <w:bCs/>
                <w:sz w:val="24"/>
              </w:rPr>
              <w:t>空气开关</w:t>
            </w:r>
          </w:p>
        </w:tc>
        <w:tc>
          <w:tcPr>
            <w:tcW w:w="3418" w:type="dxa"/>
            <w:gridSpan w:val="2"/>
            <w:vAlign w:val="center"/>
          </w:tcPr>
          <w:p>
            <w:pPr>
              <w:snapToGrid w:val="0"/>
              <w:jc w:val="center"/>
              <w:rPr>
                <w:rFonts w:ascii="宋体" w:hAnsi="宋体" w:cs="宋体"/>
                <w:bCs/>
                <w:sz w:val="24"/>
              </w:rPr>
            </w:pPr>
            <w:r>
              <w:rPr>
                <w:rFonts w:hint="eastAsia" w:ascii="宋体" w:hAnsi="宋体" w:cs="宋体"/>
                <w:bCs/>
                <w:sz w:val="24"/>
              </w:rPr>
              <w:t>2P/6A</w:t>
            </w:r>
          </w:p>
        </w:tc>
        <w:tc>
          <w:tcPr>
            <w:tcW w:w="1170" w:type="dxa"/>
            <w:vAlign w:val="center"/>
          </w:tcPr>
          <w:p>
            <w:pPr>
              <w:snapToGrid w:val="0"/>
              <w:jc w:val="center"/>
              <w:rPr>
                <w:rFonts w:ascii="宋体" w:hAnsi="宋体" w:cs="宋体"/>
                <w:bCs/>
                <w:sz w:val="24"/>
              </w:rPr>
            </w:pPr>
            <w:r>
              <w:rPr>
                <w:rFonts w:hint="eastAsia" w:ascii="宋体" w:hAnsi="宋体" w:cs="宋体"/>
                <w:bCs/>
                <w:sz w:val="24"/>
              </w:rPr>
              <w:t>1</w:t>
            </w:r>
          </w:p>
        </w:tc>
        <w:tc>
          <w:tcPr>
            <w:tcW w:w="1182" w:type="dxa"/>
            <w:vAlign w:val="center"/>
          </w:tcPr>
          <w:p>
            <w:pPr>
              <w:snapToGrid w:val="0"/>
              <w:jc w:val="center"/>
              <w:rPr>
                <w:rFonts w:ascii="宋体" w:hAnsi="宋体" w:cs="宋体"/>
                <w:bCs/>
                <w:sz w:val="24"/>
              </w:rPr>
            </w:pPr>
            <w:r>
              <w:rPr>
                <w:rFonts w:hint="eastAsia" w:ascii="宋体" w:hAnsi="宋体" w:cs="宋体"/>
                <w:bCs/>
                <w:sz w:val="24"/>
              </w:rPr>
              <w:t>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996" w:type="dxa"/>
            <w:vAlign w:val="center"/>
          </w:tcPr>
          <w:p>
            <w:pPr>
              <w:snapToGrid w:val="0"/>
              <w:jc w:val="center"/>
              <w:rPr>
                <w:rFonts w:ascii="宋体" w:hAnsi="宋体" w:cs="宋体"/>
                <w:bCs/>
                <w:sz w:val="24"/>
              </w:rPr>
            </w:pPr>
            <w:r>
              <w:rPr>
                <w:rFonts w:hint="eastAsia" w:ascii="宋体" w:hAnsi="宋体" w:cs="宋体"/>
                <w:bCs/>
                <w:sz w:val="24"/>
              </w:rPr>
              <w:t>6</w:t>
            </w:r>
          </w:p>
        </w:tc>
        <w:tc>
          <w:tcPr>
            <w:tcW w:w="2104" w:type="dxa"/>
            <w:vAlign w:val="center"/>
          </w:tcPr>
          <w:p>
            <w:pPr>
              <w:snapToGrid w:val="0"/>
              <w:jc w:val="center"/>
              <w:rPr>
                <w:rFonts w:ascii="宋体" w:hAnsi="宋体" w:cs="宋体"/>
                <w:bCs/>
                <w:sz w:val="24"/>
              </w:rPr>
            </w:pPr>
            <w:r>
              <w:rPr>
                <w:rFonts w:hint="eastAsia" w:ascii="宋体" w:hAnsi="宋体" w:cs="宋体"/>
                <w:bCs/>
                <w:sz w:val="24"/>
              </w:rPr>
              <w:t>透明继电器</w:t>
            </w:r>
          </w:p>
        </w:tc>
        <w:tc>
          <w:tcPr>
            <w:tcW w:w="3418" w:type="dxa"/>
            <w:gridSpan w:val="2"/>
            <w:vAlign w:val="center"/>
          </w:tcPr>
          <w:p>
            <w:pPr>
              <w:snapToGrid w:val="0"/>
              <w:jc w:val="center"/>
              <w:rPr>
                <w:rFonts w:ascii="宋体" w:hAnsi="宋体" w:cs="宋体"/>
                <w:bCs/>
                <w:sz w:val="24"/>
              </w:rPr>
            </w:pPr>
            <w:r>
              <w:rPr>
                <w:rFonts w:hint="eastAsia" w:ascii="宋体" w:hAnsi="宋体" w:cs="宋体"/>
                <w:bCs/>
                <w:sz w:val="24"/>
              </w:rPr>
              <w:t>ARM4F-L/DC 24V</w:t>
            </w:r>
          </w:p>
        </w:tc>
        <w:tc>
          <w:tcPr>
            <w:tcW w:w="1170" w:type="dxa"/>
            <w:vAlign w:val="center"/>
          </w:tcPr>
          <w:p>
            <w:pPr>
              <w:snapToGrid w:val="0"/>
              <w:jc w:val="center"/>
              <w:rPr>
                <w:rFonts w:ascii="宋体" w:hAnsi="宋体" w:cs="宋体"/>
                <w:bCs/>
                <w:sz w:val="24"/>
              </w:rPr>
            </w:pPr>
            <w:r>
              <w:rPr>
                <w:rFonts w:hint="eastAsia" w:ascii="宋体" w:hAnsi="宋体" w:cs="宋体"/>
                <w:bCs/>
                <w:sz w:val="24"/>
              </w:rPr>
              <w:t>4</w:t>
            </w:r>
          </w:p>
        </w:tc>
        <w:tc>
          <w:tcPr>
            <w:tcW w:w="1182" w:type="dxa"/>
            <w:vAlign w:val="center"/>
          </w:tcPr>
          <w:p>
            <w:pPr>
              <w:snapToGrid w:val="0"/>
              <w:jc w:val="center"/>
              <w:rPr>
                <w:rFonts w:ascii="宋体" w:hAnsi="宋体" w:cs="宋体"/>
                <w:bCs/>
                <w:sz w:val="24"/>
              </w:rPr>
            </w:pPr>
            <w:r>
              <w:rPr>
                <w:rFonts w:hint="eastAsia" w:ascii="宋体" w:hAnsi="宋体" w:cs="宋体"/>
                <w:bCs/>
                <w:sz w:val="24"/>
              </w:rPr>
              <w:t>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996" w:type="dxa"/>
            <w:vAlign w:val="center"/>
          </w:tcPr>
          <w:p>
            <w:pPr>
              <w:snapToGrid w:val="0"/>
              <w:jc w:val="center"/>
              <w:rPr>
                <w:rFonts w:ascii="宋体" w:hAnsi="宋体" w:cs="宋体"/>
                <w:bCs/>
                <w:sz w:val="24"/>
              </w:rPr>
            </w:pPr>
            <w:r>
              <w:rPr>
                <w:rFonts w:hint="eastAsia" w:ascii="宋体" w:hAnsi="宋体" w:cs="宋体"/>
                <w:bCs/>
                <w:sz w:val="24"/>
              </w:rPr>
              <w:t>7</w:t>
            </w:r>
          </w:p>
        </w:tc>
        <w:tc>
          <w:tcPr>
            <w:tcW w:w="2104" w:type="dxa"/>
            <w:vAlign w:val="center"/>
          </w:tcPr>
          <w:p>
            <w:pPr>
              <w:snapToGrid w:val="0"/>
              <w:jc w:val="center"/>
              <w:rPr>
                <w:rFonts w:ascii="宋体" w:hAnsi="宋体" w:cs="宋体"/>
                <w:bCs/>
                <w:sz w:val="24"/>
              </w:rPr>
            </w:pPr>
          </w:p>
        </w:tc>
        <w:tc>
          <w:tcPr>
            <w:tcW w:w="3418" w:type="dxa"/>
            <w:gridSpan w:val="2"/>
            <w:vAlign w:val="center"/>
          </w:tcPr>
          <w:p>
            <w:pPr>
              <w:snapToGrid w:val="0"/>
              <w:jc w:val="center"/>
              <w:rPr>
                <w:rFonts w:ascii="宋体" w:hAnsi="宋体" w:cs="宋体"/>
                <w:bCs/>
                <w:sz w:val="24"/>
              </w:rPr>
            </w:pPr>
            <w:r>
              <w:rPr>
                <w:rFonts w:hint="eastAsia" w:ascii="宋体" w:hAnsi="宋体" w:cs="宋体"/>
                <w:bCs/>
                <w:sz w:val="24"/>
              </w:rPr>
              <w:t>ARM2F-L/DC 24V</w:t>
            </w:r>
          </w:p>
        </w:tc>
        <w:tc>
          <w:tcPr>
            <w:tcW w:w="1170" w:type="dxa"/>
            <w:vAlign w:val="center"/>
          </w:tcPr>
          <w:p>
            <w:pPr>
              <w:snapToGrid w:val="0"/>
              <w:jc w:val="center"/>
              <w:rPr>
                <w:rFonts w:ascii="宋体" w:hAnsi="宋体" w:cs="宋体"/>
                <w:bCs/>
                <w:sz w:val="24"/>
              </w:rPr>
            </w:pPr>
            <w:r>
              <w:rPr>
                <w:rFonts w:hint="eastAsia" w:ascii="宋体" w:hAnsi="宋体" w:cs="宋体"/>
                <w:bCs/>
                <w:sz w:val="24"/>
              </w:rPr>
              <w:t>1</w:t>
            </w:r>
          </w:p>
        </w:tc>
        <w:tc>
          <w:tcPr>
            <w:tcW w:w="1182" w:type="dxa"/>
            <w:vAlign w:val="center"/>
          </w:tcPr>
          <w:p>
            <w:pPr>
              <w:snapToGrid w:val="0"/>
              <w:jc w:val="center"/>
              <w:rPr>
                <w:rFonts w:ascii="宋体" w:hAnsi="宋体" w:cs="宋体"/>
                <w:bCs/>
                <w:sz w:val="24"/>
              </w:rPr>
            </w:pPr>
            <w:r>
              <w:rPr>
                <w:rFonts w:hint="eastAsia" w:ascii="宋体" w:hAnsi="宋体" w:cs="宋体"/>
                <w:bCs/>
                <w:sz w:val="24"/>
              </w:rPr>
              <w:t>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996" w:type="dxa"/>
            <w:vAlign w:val="center"/>
          </w:tcPr>
          <w:p>
            <w:pPr>
              <w:snapToGrid w:val="0"/>
              <w:jc w:val="center"/>
              <w:rPr>
                <w:rFonts w:ascii="宋体" w:hAnsi="宋体" w:cs="宋体"/>
                <w:bCs/>
                <w:sz w:val="24"/>
              </w:rPr>
            </w:pPr>
            <w:r>
              <w:rPr>
                <w:rFonts w:hint="eastAsia" w:ascii="宋体" w:hAnsi="宋体" w:cs="宋体"/>
                <w:bCs/>
                <w:sz w:val="24"/>
              </w:rPr>
              <w:t>8</w:t>
            </w:r>
          </w:p>
        </w:tc>
        <w:tc>
          <w:tcPr>
            <w:tcW w:w="2104" w:type="dxa"/>
            <w:vAlign w:val="center"/>
          </w:tcPr>
          <w:p>
            <w:pPr>
              <w:snapToGrid w:val="0"/>
              <w:jc w:val="center"/>
              <w:rPr>
                <w:rFonts w:ascii="宋体" w:hAnsi="宋体" w:cs="宋体"/>
                <w:bCs/>
                <w:sz w:val="24"/>
              </w:rPr>
            </w:pPr>
            <w:r>
              <w:rPr>
                <w:rFonts w:hint="eastAsia" w:ascii="宋体" w:hAnsi="宋体" w:cs="宋体"/>
                <w:bCs/>
                <w:sz w:val="24"/>
              </w:rPr>
              <w:t>底座</w:t>
            </w:r>
          </w:p>
        </w:tc>
        <w:tc>
          <w:tcPr>
            <w:tcW w:w="3418" w:type="dxa"/>
            <w:gridSpan w:val="2"/>
            <w:vAlign w:val="center"/>
          </w:tcPr>
          <w:p>
            <w:pPr>
              <w:snapToGrid w:val="0"/>
              <w:jc w:val="center"/>
              <w:rPr>
                <w:rFonts w:ascii="宋体" w:hAnsi="宋体" w:cs="宋体"/>
                <w:bCs/>
                <w:sz w:val="24"/>
              </w:rPr>
            </w:pPr>
            <w:r>
              <w:rPr>
                <w:rFonts w:hint="eastAsia" w:ascii="宋体" w:hAnsi="宋体" w:cs="宋体"/>
                <w:bCs/>
                <w:sz w:val="24"/>
              </w:rPr>
              <w:t>PYF014A</w:t>
            </w:r>
          </w:p>
        </w:tc>
        <w:tc>
          <w:tcPr>
            <w:tcW w:w="1170" w:type="dxa"/>
            <w:vAlign w:val="center"/>
          </w:tcPr>
          <w:p>
            <w:pPr>
              <w:snapToGrid w:val="0"/>
              <w:jc w:val="center"/>
              <w:rPr>
                <w:rFonts w:ascii="宋体" w:hAnsi="宋体" w:cs="宋体"/>
                <w:bCs/>
                <w:sz w:val="24"/>
              </w:rPr>
            </w:pPr>
            <w:r>
              <w:rPr>
                <w:rFonts w:hint="eastAsia" w:ascii="宋体" w:hAnsi="宋体" w:cs="宋体"/>
                <w:bCs/>
                <w:sz w:val="24"/>
              </w:rPr>
              <w:t>4</w:t>
            </w:r>
          </w:p>
        </w:tc>
        <w:tc>
          <w:tcPr>
            <w:tcW w:w="1182" w:type="dxa"/>
            <w:vAlign w:val="center"/>
          </w:tcPr>
          <w:p>
            <w:pPr>
              <w:snapToGrid w:val="0"/>
              <w:jc w:val="center"/>
              <w:rPr>
                <w:rFonts w:ascii="宋体" w:hAnsi="宋体" w:cs="宋体"/>
                <w:bCs/>
                <w:sz w:val="24"/>
              </w:rPr>
            </w:pPr>
            <w:r>
              <w:rPr>
                <w:rFonts w:hint="eastAsia" w:ascii="宋体" w:hAnsi="宋体" w:cs="宋体"/>
                <w:bCs/>
                <w:sz w:val="24"/>
              </w:rPr>
              <w:t>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996" w:type="dxa"/>
            <w:vAlign w:val="center"/>
          </w:tcPr>
          <w:p>
            <w:pPr>
              <w:snapToGrid w:val="0"/>
              <w:jc w:val="center"/>
              <w:rPr>
                <w:rFonts w:ascii="宋体" w:hAnsi="宋体" w:cs="宋体"/>
                <w:bCs/>
                <w:sz w:val="24"/>
              </w:rPr>
            </w:pPr>
            <w:r>
              <w:rPr>
                <w:rFonts w:hint="eastAsia" w:ascii="宋体" w:hAnsi="宋体" w:cs="宋体"/>
                <w:bCs/>
                <w:sz w:val="24"/>
              </w:rPr>
              <w:t>9</w:t>
            </w:r>
          </w:p>
        </w:tc>
        <w:tc>
          <w:tcPr>
            <w:tcW w:w="2104" w:type="dxa"/>
            <w:vAlign w:val="center"/>
          </w:tcPr>
          <w:p>
            <w:pPr>
              <w:snapToGrid w:val="0"/>
              <w:jc w:val="center"/>
              <w:rPr>
                <w:rFonts w:ascii="宋体" w:hAnsi="宋体" w:cs="宋体"/>
                <w:bCs/>
                <w:sz w:val="24"/>
              </w:rPr>
            </w:pPr>
          </w:p>
        </w:tc>
        <w:tc>
          <w:tcPr>
            <w:tcW w:w="3418" w:type="dxa"/>
            <w:gridSpan w:val="2"/>
            <w:vAlign w:val="center"/>
          </w:tcPr>
          <w:p>
            <w:pPr>
              <w:snapToGrid w:val="0"/>
              <w:jc w:val="center"/>
              <w:rPr>
                <w:rFonts w:ascii="宋体" w:hAnsi="宋体" w:cs="宋体"/>
                <w:bCs/>
                <w:sz w:val="24"/>
              </w:rPr>
            </w:pPr>
            <w:r>
              <w:rPr>
                <w:rFonts w:hint="eastAsia" w:ascii="宋体" w:hAnsi="宋体" w:cs="宋体"/>
                <w:bCs/>
                <w:sz w:val="24"/>
              </w:rPr>
              <w:t>PYF012A</w:t>
            </w:r>
          </w:p>
        </w:tc>
        <w:tc>
          <w:tcPr>
            <w:tcW w:w="1170" w:type="dxa"/>
            <w:vAlign w:val="center"/>
          </w:tcPr>
          <w:p>
            <w:pPr>
              <w:snapToGrid w:val="0"/>
              <w:jc w:val="center"/>
              <w:rPr>
                <w:rFonts w:ascii="宋体" w:hAnsi="宋体" w:cs="宋体"/>
                <w:bCs/>
                <w:sz w:val="24"/>
              </w:rPr>
            </w:pPr>
            <w:r>
              <w:rPr>
                <w:rFonts w:hint="eastAsia" w:ascii="宋体" w:hAnsi="宋体" w:cs="宋体"/>
                <w:bCs/>
                <w:sz w:val="24"/>
              </w:rPr>
              <w:t>1</w:t>
            </w:r>
          </w:p>
        </w:tc>
        <w:tc>
          <w:tcPr>
            <w:tcW w:w="1182" w:type="dxa"/>
            <w:vAlign w:val="center"/>
          </w:tcPr>
          <w:p>
            <w:pPr>
              <w:snapToGrid w:val="0"/>
              <w:jc w:val="center"/>
              <w:rPr>
                <w:rFonts w:ascii="宋体" w:hAnsi="宋体" w:cs="宋体"/>
                <w:bCs/>
                <w:sz w:val="24"/>
              </w:rPr>
            </w:pPr>
            <w:r>
              <w:rPr>
                <w:rFonts w:hint="eastAsia" w:ascii="宋体" w:hAnsi="宋体" w:cs="宋体"/>
                <w:bCs/>
                <w:sz w:val="24"/>
              </w:rPr>
              <w:t>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996" w:type="dxa"/>
            <w:vAlign w:val="center"/>
          </w:tcPr>
          <w:p>
            <w:pPr>
              <w:snapToGrid w:val="0"/>
              <w:jc w:val="center"/>
              <w:rPr>
                <w:rFonts w:ascii="宋体" w:hAnsi="宋体" w:cs="宋体"/>
                <w:bCs/>
                <w:sz w:val="24"/>
              </w:rPr>
            </w:pPr>
            <w:r>
              <w:rPr>
                <w:rFonts w:hint="eastAsia" w:ascii="宋体" w:hAnsi="宋体" w:cs="宋体"/>
                <w:bCs/>
                <w:sz w:val="24"/>
              </w:rPr>
              <w:t>10</w:t>
            </w:r>
          </w:p>
        </w:tc>
        <w:tc>
          <w:tcPr>
            <w:tcW w:w="2104" w:type="dxa"/>
            <w:vAlign w:val="center"/>
          </w:tcPr>
          <w:p>
            <w:pPr>
              <w:snapToGrid w:val="0"/>
              <w:jc w:val="center"/>
              <w:rPr>
                <w:rFonts w:ascii="宋体" w:hAnsi="宋体" w:cs="宋体"/>
                <w:bCs/>
                <w:sz w:val="24"/>
              </w:rPr>
            </w:pPr>
            <w:r>
              <w:rPr>
                <w:rFonts w:hint="eastAsia" w:ascii="宋体" w:hAnsi="宋体" w:cs="宋体"/>
                <w:bCs/>
                <w:sz w:val="24"/>
              </w:rPr>
              <w:t>交流接触器</w:t>
            </w:r>
          </w:p>
        </w:tc>
        <w:tc>
          <w:tcPr>
            <w:tcW w:w="3418" w:type="dxa"/>
            <w:gridSpan w:val="2"/>
            <w:vAlign w:val="center"/>
          </w:tcPr>
          <w:p>
            <w:pPr>
              <w:snapToGrid w:val="0"/>
              <w:jc w:val="center"/>
              <w:rPr>
                <w:rFonts w:ascii="宋体" w:hAnsi="宋体" w:cs="宋体"/>
                <w:bCs/>
                <w:sz w:val="24"/>
              </w:rPr>
            </w:pPr>
            <w:r>
              <w:rPr>
                <w:rFonts w:hint="eastAsia" w:ascii="宋体" w:hAnsi="宋体" w:cs="宋体"/>
                <w:bCs/>
                <w:sz w:val="24"/>
              </w:rPr>
              <w:t>LC1-D0610M5N</w:t>
            </w:r>
          </w:p>
        </w:tc>
        <w:tc>
          <w:tcPr>
            <w:tcW w:w="1170" w:type="dxa"/>
            <w:vAlign w:val="center"/>
          </w:tcPr>
          <w:p>
            <w:pPr>
              <w:snapToGrid w:val="0"/>
              <w:jc w:val="center"/>
              <w:rPr>
                <w:rFonts w:ascii="宋体" w:hAnsi="宋体" w:cs="宋体"/>
                <w:bCs/>
                <w:sz w:val="24"/>
              </w:rPr>
            </w:pPr>
            <w:r>
              <w:rPr>
                <w:rFonts w:hint="eastAsia" w:ascii="宋体" w:hAnsi="宋体" w:cs="宋体"/>
                <w:bCs/>
                <w:sz w:val="24"/>
              </w:rPr>
              <w:t>2</w:t>
            </w:r>
          </w:p>
        </w:tc>
        <w:tc>
          <w:tcPr>
            <w:tcW w:w="1182" w:type="dxa"/>
            <w:vAlign w:val="center"/>
          </w:tcPr>
          <w:p>
            <w:pPr>
              <w:snapToGrid w:val="0"/>
              <w:jc w:val="center"/>
              <w:rPr>
                <w:rFonts w:ascii="宋体" w:hAnsi="宋体" w:cs="宋体"/>
                <w:bCs/>
                <w:sz w:val="24"/>
              </w:rPr>
            </w:pPr>
            <w:r>
              <w:rPr>
                <w:rFonts w:hint="eastAsia" w:ascii="宋体" w:hAnsi="宋体" w:cs="宋体"/>
                <w:bCs/>
                <w:sz w:val="24"/>
              </w:rPr>
              <w:t>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996" w:type="dxa"/>
            <w:vAlign w:val="center"/>
          </w:tcPr>
          <w:p>
            <w:pPr>
              <w:snapToGrid w:val="0"/>
              <w:jc w:val="center"/>
              <w:rPr>
                <w:rFonts w:ascii="宋体" w:hAnsi="宋体" w:cs="宋体"/>
                <w:bCs/>
                <w:sz w:val="24"/>
              </w:rPr>
            </w:pPr>
            <w:r>
              <w:rPr>
                <w:rFonts w:hint="eastAsia" w:ascii="宋体" w:hAnsi="宋体" w:cs="宋体"/>
                <w:bCs/>
                <w:sz w:val="24"/>
              </w:rPr>
              <w:t>11</w:t>
            </w:r>
          </w:p>
        </w:tc>
        <w:tc>
          <w:tcPr>
            <w:tcW w:w="2104" w:type="dxa"/>
            <w:vAlign w:val="center"/>
          </w:tcPr>
          <w:p>
            <w:pPr>
              <w:snapToGrid w:val="0"/>
              <w:jc w:val="center"/>
              <w:rPr>
                <w:rFonts w:ascii="宋体" w:hAnsi="宋体" w:cs="宋体"/>
                <w:bCs/>
                <w:sz w:val="24"/>
              </w:rPr>
            </w:pPr>
            <w:r>
              <w:rPr>
                <w:rFonts w:hint="eastAsia" w:ascii="宋体" w:hAnsi="宋体" w:cs="宋体"/>
                <w:bCs/>
                <w:sz w:val="24"/>
              </w:rPr>
              <w:t>热继电器底座</w:t>
            </w:r>
          </w:p>
        </w:tc>
        <w:tc>
          <w:tcPr>
            <w:tcW w:w="3418" w:type="dxa"/>
            <w:gridSpan w:val="2"/>
            <w:vAlign w:val="center"/>
          </w:tcPr>
          <w:p>
            <w:pPr>
              <w:snapToGrid w:val="0"/>
              <w:jc w:val="center"/>
              <w:rPr>
                <w:rFonts w:ascii="宋体" w:hAnsi="宋体" w:cs="宋体"/>
                <w:bCs/>
                <w:sz w:val="24"/>
              </w:rPr>
            </w:pPr>
            <w:r>
              <w:rPr>
                <w:rFonts w:hint="eastAsia" w:ascii="宋体" w:hAnsi="宋体" w:cs="宋体"/>
                <w:bCs/>
                <w:sz w:val="24"/>
              </w:rPr>
              <w:t>LA7-D1064</w:t>
            </w:r>
          </w:p>
        </w:tc>
        <w:tc>
          <w:tcPr>
            <w:tcW w:w="1170" w:type="dxa"/>
            <w:vAlign w:val="center"/>
          </w:tcPr>
          <w:p>
            <w:pPr>
              <w:snapToGrid w:val="0"/>
              <w:jc w:val="center"/>
              <w:rPr>
                <w:rFonts w:ascii="宋体" w:hAnsi="宋体" w:cs="宋体"/>
                <w:bCs/>
                <w:sz w:val="24"/>
              </w:rPr>
            </w:pPr>
            <w:r>
              <w:rPr>
                <w:rFonts w:hint="eastAsia" w:ascii="宋体" w:hAnsi="宋体" w:cs="宋体"/>
                <w:bCs/>
                <w:sz w:val="24"/>
              </w:rPr>
              <w:t>1</w:t>
            </w:r>
          </w:p>
        </w:tc>
        <w:tc>
          <w:tcPr>
            <w:tcW w:w="1182" w:type="dxa"/>
            <w:vAlign w:val="center"/>
          </w:tcPr>
          <w:p>
            <w:pPr>
              <w:snapToGrid w:val="0"/>
              <w:jc w:val="center"/>
              <w:rPr>
                <w:rFonts w:ascii="宋体" w:hAnsi="宋体" w:cs="宋体"/>
                <w:bCs/>
                <w:sz w:val="24"/>
              </w:rPr>
            </w:pPr>
            <w:r>
              <w:rPr>
                <w:rFonts w:hint="eastAsia" w:ascii="宋体" w:hAnsi="宋体" w:cs="宋体"/>
                <w:bCs/>
                <w:sz w:val="24"/>
              </w:rPr>
              <w:t>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996" w:type="dxa"/>
            <w:vAlign w:val="center"/>
          </w:tcPr>
          <w:p>
            <w:pPr>
              <w:snapToGrid w:val="0"/>
              <w:jc w:val="center"/>
              <w:rPr>
                <w:rFonts w:ascii="宋体" w:hAnsi="宋体" w:cs="宋体"/>
                <w:bCs/>
                <w:sz w:val="24"/>
              </w:rPr>
            </w:pPr>
            <w:r>
              <w:rPr>
                <w:rFonts w:hint="eastAsia" w:ascii="宋体" w:hAnsi="宋体" w:cs="宋体"/>
                <w:bCs/>
                <w:sz w:val="24"/>
              </w:rPr>
              <w:t>12</w:t>
            </w:r>
          </w:p>
        </w:tc>
        <w:tc>
          <w:tcPr>
            <w:tcW w:w="2104" w:type="dxa"/>
            <w:vAlign w:val="center"/>
          </w:tcPr>
          <w:p>
            <w:pPr>
              <w:snapToGrid w:val="0"/>
              <w:jc w:val="center"/>
              <w:rPr>
                <w:rFonts w:ascii="宋体" w:hAnsi="宋体" w:cs="宋体"/>
                <w:bCs/>
                <w:sz w:val="24"/>
              </w:rPr>
            </w:pPr>
            <w:r>
              <w:rPr>
                <w:rFonts w:hint="eastAsia" w:ascii="宋体" w:hAnsi="宋体" w:cs="宋体"/>
                <w:bCs/>
                <w:sz w:val="24"/>
              </w:rPr>
              <w:t>热继电器</w:t>
            </w:r>
          </w:p>
        </w:tc>
        <w:tc>
          <w:tcPr>
            <w:tcW w:w="3418" w:type="dxa"/>
            <w:gridSpan w:val="2"/>
            <w:vAlign w:val="center"/>
          </w:tcPr>
          <w:p>
            <w:pPr>
              <w:snapToGrid w:val="0"/>
              <w:jc w:val="center"/>
              <w:rPr>
                <w:rFonts w:ascii="宋体" w:hAnsi="宋体" w:cs="宋体"/>
                <w:bCs/>
                <w:sz w:val="24"/>
              </w:rPr>
            </w:pPr>
            <w:r>
              <w:rPr>
                <w:rFonts w:hint="eastAsia" w:ascii="宋体" w:hAnsi="宋体" w:cs="宋体"/>
                <w:bCs/>
                <w:sz w:val="24"/>
              </w:rPr>
              <w:t>LR2-D1305N（2.5A-4A）</w:t>
            </w:r>
          </w:p>
        </w:tc>
        <w:tc>
          <w:tcPr>
            <w:tcW w:w="1170" w:type="dxa"/>
            <w:vAlign w:val="center"/>
          </w:tcPr>
          <w:p>
            <w:pPr>
              <w:snapToGrid w:val="0"/>
              <w:jc w:val="center"/>
              <w:rPr>
                <w:rFonts w:ascii="宋体" w:hAnsi="宋体" w:cs="宋体"/>
                <w:bCs/>
                <w:sz w:val="24"/>
              </w:rPr>
            </w:pPr>
            <w:r>
              <w:rPr>
                <w:rFonts w:hint="eastAsia" w:ascii="宋体" w:hAnsi="宋体" w:cs="宋体"/>
                <w:bCs/>
                <w:sz w:val="24"/>
              </w:rPr>
              <w:t>1</w:t>
            </w:r>
          </w:p>
        </w:tc>
        <w:tc>
          <w:tcPr>
            <w:tcW w:w="1182" w:type="dxa"/>
            <w:vAlign w:val="center"/>
          </w:tcPr>
          <w:p>
            <w:pPr>
              <w:snapToGrid w:val="0"/>
              <w:jc w:val="center"/>
              <w:rPr>
                <w:rFonts w:ascii="宋体" w:hAnsi="宋体" w:cs="宋体"/>
                <w:bCs/>
                <w:sz w:val="24"/>
              </w:rPr>
            </w:pPr>
            <w:r>
              <w:rPr>
                <w:rFonts w:hint="eastAsia" w:ascii="宋体" w:hAnsi="宋体" w:cs="宋体"/>
                <w:bCs/>
                <w:sz w:val="24"/>
              </w:rPr>
              <w:t>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996" w:type="dxa"/>
            <w:vAlign w:val="center"/>
          </w:tcPr>
          <w:p>
            <w:pPr>
              <w:snapToGrid w:val="0"/>
              <w:jc w:val="center"/>
              <w:rPr>
                <w:rFonts w:ascii="宋体" w:hAnsi="宋体" w:cs="宋体"/>
                <w:bCs/>
                <w:sz w:val="24"/>
              </w:rPr>
            </w:pPr>
            <w:r>
              <w:rPr>
                <w:rFonts w:hint="eastAsia" w:ascii="宋体" w:hAnsi="宋体" w:cs="宋体"/>
                <w:bCs/>
                <w:sz w:val="24"/>
              </w:rPr>
              <w:t>13</w:t>
            </w:r>
          </w:p>
        </w:tc>
        <w:tc>
          <w:tcPr>
            <w:tcW w:w="2104" w:type="dxa"/>
            <w:vAlign w:val="center"/>
          </w:tcPr>
          <w:p>
            <w:pPr>
              <w:snapToGrid w:val="0"/>
              <w:jc w:val="center"/>
              <w:rPr>
                <w:rFonts w:ascii="宋体" w:hAnsi="宋体" w:cs="宋体"/>
                <w:bCs/>
                <w:sz w:val="24"/>
              </w:rPr>
            </w:pPr>
            <w:r>
              <w:rPr>
                <w:rFonts w:hint="eastAsia" w:ascii="宋体" w:hAnsi="宋体" w:cs="宋体"/>
                <w:bCs/>
                <w:sz w:val="24"/>
              </w:rPr>
              <w:t>相序保护继电器</w:t>
            </w:r>
          </w:p>
        </w:tc>
        <w:tc>
          <w:tcPr>
            <w:tcW w:w="3418" w:type="dxa"/>
            <w:gridSpan w:val="2"/>
            <w:vAlign w:val="center"/>
          </w:tcPr>
          <w:p>
            <w:pPr>
              <w:snapToGrid w:val="0"/>
              <w:jc w:val="center"/>
              <w:rPr>
                <w:rFonts w:ascii="宋体" w:hAnsi="宋体" w:cs="宋体"/>
                <w:bCs/>
                <w:sz w:val="24"/>
              </w:rPr>
            </w:pPr>
            <w:r>
              <w:rPr>
                <w:rFonts w:hint="eastAsia" w:ascii="宋体" w:hAnsi="宋体" w:cs="宋体"/>
                <w:bCs/>
                <w:sz w:val="24"/>
              </w:rPr>
              <w:t>XJ3-S</w:t>
            </w:r>
          </w:p>
        </w:tc>
        <w:tc>
          <w:tcPr>
            <w:tcW w:w="1170" w:type="dxa"/>
            <w:vAlign w:val="center"/>
          </w:tcPr>
          <w:p>
            <w:pPr>
              <w:snapToGrid w:val="0"/>
              <w:jc w:val="center"/>
              <w:rPr>
                <w:rFonts w:ascii="宋体" w:hAnsi="宋体" w:cs="宋体"/>
                <w:bCs/>
                <w:sz w:val="24"/>
              </w:rPr>
            </w:pPr>
            <w:r>
              <w:rPr>
                <w:rFonts w:hint="eastAsia" w:ascii="宋体" w:hAnsi="宋体" w:cs="宋体"/>
                <w:bCs/>
                <w:sz w:val="24"/>
              </w:rPr>
              <w:t>1</w:t>
            </w:r>
          </w:p>
        </w:tc>
        <w:tc>
          <w:tcPr>
            <w:tcW w:w="1182" w:type="dxa"/>
            <w:vAlign w:val="center"/>
          </w:tcPr>
          <w:p>
            <w:pPr>
              <w:snapToGrid w:val="0"/>
              <w:jc w:val="center"/>
              <w:rPr>
                <w:rFonts w:ascii="宋体" w:hAnsi="宋体" w:cs="宋体"/>
                <w:bCs/>
                <w:sz w:val="24"/>
              </w:rPr>
            </w:pPr>
            <w:r>
              <w:rPr>
                <w:rFonts w:hint="eastAsia" w:ascii="宋体" w:hAnsi="宋体" w:cs="宋体"/>
                <w:bCs/>
                <w:sz w:val="24"/>
              </w:rPr>
              <w:t>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996" w:type="dxa"/>
            <w:vAlign w:val="center"/>
          </w:tcPr>
          <w:p>
            <w:pPr>
              <w:snapToGrid w:val="0"/>
              <w:jc w:val="center"/>
              <w:rPr>
                <w:rFonts w:ascii="宋体" w:hAnsi="宋体" w:cs="宋体"/>
                <w:bCs/>
                <w:sz w:val="24"/>
              </w:rPr>
            </w:pPr>
            <w:r>
              <w:rPr>
                <w:rFonts w:hint="eastAsia" w:ascii="宋体" w:hAnsi="宋体" w:cs="宋体"/>
                <w:bCs/>
                <w:sz w:val="24"/>
              </w:rPr>
              <w:t>14</w:t>
            </w:r>
          </w:p>
        </w:tc>
        <w:tc>
          <w:tcPr>
            <w:tcW w:w="2104" w:type="dxa"/>
            <w:vAlign w:val="center"/>
          </w:tcPr>
          <w:p>
            <w:pPr>
              <w:snapToGrid w:val="0"/>
              <w:jc w:val="center"/>
              <w:rPr>
                <w:rFonts w:ascii="宋体" w:hAnsi="宋体" w:cs="宋体"/>
                <w:bCs/>
                <w:sz w:val="24"/>
              </w:rPr>
            </w:pPr>
            <w:r>
              <w:rPr>
                <w:rFonts w:hint="eastAsia" w:ascii="宋体" w:hAnsi="宋体" w:cs="宋体"/>
                <w:bCs/>
                <w:sz w:val="24"/>
              </w:rPr>
              <w:t>变压器</w:t>
            </w:r>
          </w:p>
        </w:tc>
        <w:tc>
          <w:tcPr>
            <w:tcW w:w="3418" w:type="dxa"/>
            <w:gridSpan w:val="2"/>
            <w:vAlign w:val="center"/>
          </w:tcPr>
          <w:p>
            <w:pPr>
              <w:snapToGrid w:val="0"/>
              <w:jc w:val="center"/>
              <w:rPr>
                <w:rFonts w:ascii="宋体" w:hAnsi="宋体" w:cs="宋体"/>
                <w:bCs/>
                <w:sz w:val="24"/>
              </w:rPr>
            </w:pPr>
            <w:r>
              <w:rPr>
                <w:rFonts w:hint="eastAsia" w:ascii="宋体" w:hAnsi="宋体" w:cs="宋体"/>
                <w:bCs/>
                <w:sz w:val="24"/>
              </w:rPr>
              <w:t>WDT</w:t>
            </w:r>
          </w:p>
        </w:tc>
        <w:tc>
          <w:tcPr>
            <w:tcW w:w="1170" w:type="dxa"/>
            <w:vAlign w:val="center"/>
          </w:tcPr>
          <w:p>
            <w:pPr>
              <w:snapToGrid w:val="0"/>
              <w:jc w:val="center"/>
              <w:rPr>
                <w:rFonts w:ascii="宋体" w:hAnsi="宋体" w:cs="宋体"/>
                <w:bCs/>
                <w:sz w:val="24"/>
              </w:rPr>
            </w:pPr>
            <w:r>
              <w:rPr>
                <w:rFonts w:hint="eastAsia" w:ascii="宋体" w:hAnsi="宋体" w:cs="宋体"/>
                <w:bCs/>
                <w:sz w:val="24"/>
              </w:rPr>
              <w:t>1</w:t>
            </w:r>
          </w:p>
        </w:tc>
        <w:tc>
          <w:tcPr>
            <w:tcW w:w="1182" w:type="dxa"/>
            <w:vAlign w:val="center"/>
          </w:tcPr>
          <w:p>
            <w:pPr>
              <w:snapToGrid w:val="0"/>
              <w:jc w:val="center"/>
              <w:rPr>
                <w:rFonts w:ascii="宋体" w:hAnsi="宋体" w:cs="宋体"/>
                <w:bCs/>
                <w:sz w:val="24"/>
              </w:rPr>
            </w:pPr>
            <w:r>
              <w:rPr>
                <w:rFonts w:hint="eastAsia" w:ascii="宋体" w:hAnsi="宋体" w:cs="宋体"/>
                <w:bCs/>
                <w:sz w:val="24"/>
              </w:rPr>
              <w:t>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996" w:type="dxa"/>
            <w:vAlign w:val="center"/>
          </w:tcPr>
          <w:p>
            <w:pPr>
              <w:snapToGrid w:val="0"/>
              <w:jc w:val="center"/>
              <w:rPr>
                <w:rFonts w:ascii="宋体" w:hAnsi="宋体" w:cs="宋体"/>
                <w:bCs/>
                <w:sz w:val="24"/>
              </w:rPr>
            </w:pPr>
            <w:r>
              <w:rPr>
                <w:rFonts w:hint="eastAsia" w:ascii="宋体" w:hAnsi="宋体" w:cs="宋体"/>
                <w:bCs/>
                <w:sz w:val="24"/>
              </w:rPr>
              <w:t>15</w:t>
            </w:r>
          </w:p>
        </w:tc>
        <w:tc>
          <w:tcPr>
            <w:tcW w:w="2104" w:type="dxa"/>
            <w:vAlign w:val="center"/>
          </w:tcPr>
          <w:p>
            <w:pPr>
              <w:snapToGrid w:val="0"/>
              <w:jc w:val="center"/>
              <w:rPr>
                <w:rFonts w:ascii="宋体" w:hAnsi="宋体" w:cs="宋体"/>
                <w:bCs/>
                <w:sz w:val="24"/>
              </w:rPr>
            </w:pPr>
            <w:r>
              <w:rPr>
                <w:rFonts w:hint="eastAsia" w:ascii="宋体" w:hAnsi="宋体" w:cs="宋体"/>
                <w:bCs/>
                <w:sz w:val="24"/>
              </w:rPr>
              <w:t>可调电阻器</w:t>
            </w:r>
          </w:p>
        </w:tc>
        <w:tc>
          <w:tcPr>
            <w:tcW w:w="3418" w:type="dxa"/>
            <w:gridSpan w:val="2"/>
            <w:vAlign w:val="center"/>
          </w:tcPr>
          <w:p>
            <w:pPr>
              <w:snapToGrid w:val="0"/>
              <w:jc w:val="center"/>
              <w:rPr>
                <w:rFonts w:ascii="宋体" w:hAnsi="宋体" w:cs="宋体"/>
                <w:bCs/>
                <w:sz w:val="24"/>
              </w:rPr>
            </w:pPr>
            <w:r>
              <w:rPr>
                <w:rFonts w:hint="eastAsia" w:ascii="宋体" w:hAnsi="宋体" w:cs="宋体"/>
                <w:bCs/>
                <w:sz w:val="24"/>
              </w:rPr>
              <w:t>50W/50Ω</w:t>
            </w:r>
          </w:p>
        </w:tc>
        <w:tc>
          <w:tcPr>
            <w:tcW w:w="1170" w:type="dxa"/>
            <w:vAlign w:val="center"/>
          </w:tcPr>
          <w:p>
            <w:pPr>
              <w:snapToGrid w:val="0"/>
              <w:jc w:val="center"/>
              <w:rPr>
                <w:rFonts w:ascii="宋体" w:hAnsi="宋体" w:cs="宋体"/>
                <w:bCs/>
                <w:sz w:val="24"/>
              </w:rPr>
            </w:pPr>
            <w:r>
              <w:rPr>
                <w:rFonts w:hint="eastAsia" w:ascii="宋体" w:hAnsi="宋体" w:cs="宋体"/>
                <w:bCs/>
                <w:sz w:val="24"/>
              </w:rPr>
              <w:t>1</w:t>
            </w:r>
          </w:p>
        </w:tc>
        <w:tc>
          <w:tcPr>
            <w:tcW w:w="1182" w:type="dxa"/>
            <w:vAlign w:val="center"/>
          </w:tcPr>
          <w:p>
            <w:pPr>
              <w:snapToGrid w:val="0"/>
              <w:jc w:val="center"/>
              <w:rPr>
                <w:rFonts w:ascii="宋体" w:hAnsi="宋体" w:cs="宋体"/>
                <w:bCs/>
                <w:sz w:val="24"/>
              </w:rPr>
            </w:pPr>
            <w:r>
              <w:rPr>
                <w:rFonts w:hint="eastAsia" w:ascii="宋体" w:hAnsi="宋体" w:cs="宋体"/>
                <w:bCs/>
                <w:sz w:val="24"/>
              </w:rPr>
              <w:t>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996" w:type="dxa"/>
            <w:vAlign w:val="center"/>
          </w:tcPr>
          <w:p>
            <w:pPr>
              <w:snapToGrid w:val="0"/>
              <w:jc w:val="center"/>
              <w:rPr>
                <w:rFonts w:ascii="宋体" w:hAnsi="宋体" w:cs="宋体"/>
                <w:bCs/>
                <w:sz w:val="24"/>
              </w:rPr>
            </w:pPr>
            <w:r>
              <w:rPr>
                <w:rFonts w:hint="eastAsia" w:ascii="宋体" w:hAnsi="宋体" w:cs="宋体"/>
                <w:bCs/>
                <w:sz w:val="24"/>
              </w:rPr>
              <w:t>16</w:t>
            </w:r>
          </w:p>
        </w:tc>
        <w:tc>
          <w:tcPr>
            <w:tcW w:w="2104" w:type="dxa"/>
            <w:vAlign w:val="center"/>
          </w:tcPr>
          <w:p>
            <w:pPr>
              <w:snapToGrid w:val="0"/>
              <w:jc w:val="center"/>
              <w:rPr>
                <w:rFonts w:ascii="宋体" w:hAnsi="宋体" w:cs="宋体"/>
                <w:bCs/>
                <w:sz w:val="24"/>
              </w:rPr>
            </w:pPr>
            <w:r>
              <w:rPr>
                <w:rFonts w:hint="eastAsia" w:ascii="宋体" w:hAnsi="宋体" w:cs="宋体"/>
                <w:bCs/>
                <w:sz w:val="24"/>
              </w:rPr>
              <w:t>保险丝座</w:t>
            </w:r>
          </w:p>
        </w:tc>
        <w:tc>
          <w:tcPr>
            <w:tcW w:w="3418" w:type="dxa"/>
            <w:gridSpan w:val="2"/>
            <w:vAlign w:val="center"/>
          </w:tcPr>
          <w:p>
            <w:pPr>
              <w:snapToGrid w:val="0"/>
              <w:jc w:val="center"/>
              <w:rPr>
                <w:rFonts w:ascii="宋体" w:hAnsi="宋体" w:cs="宋体"/>
                <w:bCs/>
                <w:sz w:val="24"/>
              </w:rPr>
            </w:pPr>
            <w:r>
              <w:rPr>
                <w:rFonts w:hint="eastAsia" w:ascii="宋体" w:hAnsi="宋体" w:cs="宋体"/>
                <w:bCs/>
                <w:sz w:val="24"/>
              </w:rPr>
              <w:t>RT14-20</w:t>
            </w:r>
          </w:p>
        </w:tc>
        <w:tc>
          <w:tcPr>
            <w:tcW w:w="1170" w:type="dxa"/>
            <w:vAlign w:val="center"/>
          </w:tcPr>
          <w:p>
            <w:pPr>
              <w:snapToGrid w:val="0"/>
              <w:jc w:val="center"/>
              <w:rPr>
                <w:rFonts w:ascii="宋体" w:hAnsi="宋体" w:cs="宋体"/>
                <w:bCs/>
                <w:sz w:val="24"/>
              </w:rPr>
            </w:pPr>
            <w:r>
              <w:rPr>
                <w:rFonts w:hint="eastAsia" w:ascii="宋体" w:hAnsi="宋体" w:cs="宋体"/>
                <w:bCs/>
                <w:sz w:val="24"/>
              </w:rPr>
              <w:t>5</w:t>
            </w:r>
          </w:p>
        </w:tc>
        <w:tc>
          <w:tcPr>
            <w:tcW w:w="1182" w:type="dxa"/>
            <w:vAlign w:val="center"/>
          </w:tcPr>
          <w:p>
            <w:pPr>
              <w:snapToGrid w:val="0"/>
              <w:jc w:val="center"/>
              <w:rPr>
                <w:rFonts w:ascii="宋体" w:hAnsi="宋体" w:cs="宋体"/>
                <w:bCs/>
                <w:sz w:val="24"/>
              </w:rPr>
            </w:pPr>
            <w:r>
              <w:rPr>
                <w:rFonts w:hint="eastAsia" w:ascii="宋体" w:hAnsi="宋体" w:cs="宋体"/>
                <w:bCs/>
                <w:sz w:val="24"/>
              </w:rPr>
              <w:t>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996" w:type="dxa"/>
            <w:vAlign w:val="center"/>
          </w:tcPr>
          <w:p>
            <w:pPr>
              <w:snapToGrid w:val="0"/>
              <w:jc w:val="center"/>
              <w:rPr>
                <w:rFonts w:ascii="宋体" w:hAnsi="宋体" w:cs="宋体"/>
                <w:bCs/>
                <w:sz w:val="24"/>
              </w:rPr>
            </w:pPr>
            <w:r>
              <w:rPr>
                <w:rFonts w:hint="eastAsia" w:ascii="宋体" w:hAnsi="宋体" w:cs="宋体"/>
                <w:bCs/>
                <w:sz w:val="24"/>
              </w:rPr>
              <w:t>17</w:t>
            </w:r>
          </w:p>
        </w:tc>
        <w:tc>
          <w:tcPr>
            <w:tcW w:w="2104" w:type="dxa"/>
            <w:vAlign w:val="center"/>
          </w:tcPr>
          <w:p>
            <w:pPr>
              <w:snapToGrid w:val="0"/>
              <w:jc w:val="center"/>
              <w:rPr>
                <w:rFonts w:ascii="宋体" w:hAnsi="宋体" w:cs="宋体"/>
                <w:bCs/>
                <w:sz w:val="24"/>
              </w:rPr>
            </w:pPr>
            <w:r>
              <w:rPr>
                <w:rFonts w:hint="eastAsia" w:ascii="宋体" w:hAnsi="宋体" w:cs="宋体"/>
                <w:bCs/>
                <w:sz w:val="24"/>
              </w:rPr>
              <w:t>开关电源</w:t>
            </w:r>
          </w:p>
        </w:tc>
        <w:tc>
          <w:tcPr>
            <w:tcW w:w="3418" w:type="dxa"/>
            <w:gridSpan w:val="2"/>
            <w:vAlign w:val="center"/>
          </w:tcPr>
          <w:p>
            <w:pPr>
              <w:snapToGrid w:val="0"/>
              <w:jc w:val="center"/>
              <w:rPr>
                <w:rFonts w:ascii="宋体" w:hAnsi="宋体" w:cs="宋体"/>
                <w:bCs/>
                <w:sz w:val="24"/>
              </w:rPr>
            </w:pPr>
            <w:r>
              <w:rPr>
                <w:rFonts w:hint="eastAsia" w:ascii="宋体" w:hAnsi="宋体" w:cs="宋体"/>
                <w:bCs/>
                <w:sz w:val="24"/>
              </w:rPr>
              <w:t>S-100-24</w:t>
            </w:r>
          </w:p>
        </w:tc>
        <w:tc>
          <w:tcPr>
            <w:tcW w:w="1170" w:type="dxa"/>
            <w:vAlign w:val="center"/>
          </w:tcPr>
          <w:p>
            <w:pPr>
              <w:snapToGrid w:val="0"/>
              <w:jc w:val="center"/>
              <w:rPr>
                <w:rFonts w:ascii="宋体" w:hAnsi="宋体" w:cs="宋体"/>
                <w:bCs/>
                <w:sz w:val="24"/>
              </w:rPr>
            </w:pPr>
            <w:r>
              <w:rPr>
                <w:rFonts w:hint="eastAsia" w:ascii="宋体" w:hAnsi="宋体" w:cs="宋体"/>
                <w:bCs/>
                <w:sz w:val="24"/>
              </w:rPr>
              <w:t>1</w:t>
            </w:r>
          </w:p>
        </w:tc>
        <w:tc>
          <w:tcPr>
            <w:tcW w:w="1182" w:type="dxa"/>
            <w:vAlign w:val="center"/>
          </w:tcPr>
          <w:p>
            <w:pPr>
              <w:snapToGrid w:val="0"/>
              <w:jc w:val="center"/>
              <w:rPr>
                <w:rFonts w:ascii="宋体" w:hAnsi="宋体" w:cs="宋体"/>
                <w:bCs/>
                <w:sz w:val="24"/>
              </w:rPr>
            </w:pPr>
            <w:r>
              <w:rPr>
                <w:rFonts w:hint="eastAsia" w:ascii="宋体" w:hAnsi="宋体" w:cs="宋体"/>
                <w:bCs/>
                <w:sz w:val="24"/>
              </w:rPr>
              <w:t>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996" w:type="dxa"/>
            <w:vAlign w:val="center"/>
          </w:tcPr>
          <w:p>
            <w:pPr>
              <w:snapToGrid w:val="0"/>
              <w:jc w:val="center"/>
              <w:rPr>
                <w:rFonts w:ascii="宋体" w:hAnsi="宋体" w:cs="宋体"/>
                <w:bCs/>
                <w:sz w:val="24"/>
              </w:rPr>
            </w:pPr>
            <w:r>
              <w:rPr>
                <w:rFonts w:hint="eastAsia" w:ascii="宋体" w:hAnsi="宋体" w:cs="宋体"/>
                <w:bCs/>
                <w:sz w:val="24"/>
              </w:rPr>
              <w:t>18</w:t>
            </w:r>
          </w:p>
        </w:tc>
        <w:tc>
          <w:tcPr>
            <w:tcW w:w="2104" w:type="dxa"/>
            <w:vAlign w:val="center"/>
          </w:tcPr>
          <w:p>
            <w:pPr>
              <w:snapToGrid w:val="0"/>
              <w:jc w:val="center"/>
              <w:rPr>
                <w:rFonts w:ascii="宋体" w:hAnsi="宋体" w:cs="宋体"/>
                <w:bCs/>
                <w:sz w:val="24"/>
              </w:rPr>
            </w:pPr>
            <w:r>
              <w:rPr>
                <w:rFonts w:hint="eastAsia" w:ascii="宋体" w:hAnsi="宋体" w:cs="宋体"/>
                <w:bCs/>
                <w:sz w:val="24"/>
              </w:rPr>
              <w:t>整流桥堆</w:t>
            </w:r>
          </w:p>
        </w:tc>
        <w:tc>
          <w:tcPr>
            <w:tcW w:w="3418" w:type="dxa"/>
            <w:gridSpan w:val="2"/>
            <w:vAlign w:val="center"/>
          </w:tcPr>
          <w:p>
            <w:pPr>
              <w:snapToGrid w:val="0"/>
              <w:jc w:val="center"/>
              <w:rPr>
                <w:rFonts w:ascii="宋体" w:hAnsi="宋体" w:cs="宋体"/>
                <w:bCs/>
                <w:sz w:val="24"/>
              </w:rPr>
            </w:pPr>
            <w:r>
              <w:rPr>
                <w:rFonts w:hint="eastAsia" w:ascii="宋体" w:hAnsi="宋体" w:cs="宋体"/>
                <w:bCs/>
                <w:sz w:val="24"/>
              </w:rPr>
              <w:t>KBPC610</w:t>
            </w:r>
          </w:p>
        </w:tc>
        <w:tc>
          <w:tcPr>
            <w:tcW w:w="1170" w:type="dxa"/>
            <w:vAlign w:val="center"/>
          </w:tcPr>
          <w:p>
            <w:pPr>
              <w:snapToGrid w:val="0"/>
              <w:jc w:val="center"/>
              <w:rPr>
                <w:rFonts w:ascii="宋体" w:hAnsi="宋体" w:cs="宋体"/>
                <w:bCs/>
                <w:sz w:val="24"/>
              </w:rPr>
            </w:pPr>
            <w:r>
              <w:rPr>
                <w:rFonts w:hint="eastAsia" w:ascii="宋体" w:hAnsi="宋体" w:cs="宋体"/>
                <w:bCs/>
                <w:sz w:val="24"/>
              </w:rPr>
              <w:t>1</w:t>
            </w:r>
          </w:p>
        </w:tc>
        <w:tc>
          <w:tcPr>
            <w:tcW w:w="1182" w:type="dxa"/>
            <w:vAlign w:val="center"/>
          </w:tcPr>
          <w:p>
            <w:pPr>
              <w:snapToGrid w:val="0"/>
              <w:jc w:val="center"/>
              <w:rPr>
                <w:rFonts w:ascii="宋体" w:hAnsi="宋体" w:cs="宋体"/>
                <w:bCs/>
                <w:sz w:val="24"/>
              </w:rPr>
            </w:pPr>
            <w:r>
              <w:rPr>
                <w:rFonts w:hint="eastAsia" w:ascii="宋体" w:hAnsi="宋体" w:cs="宋体"/>
                <w:bCs/>
                <w:sz w:val="24"/>
              </w:rPr>
              <w:t>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996" w:type="dxa"/>
            <w:vAlign w:val="center"/>
          </w:tcPr>
          <w:p>
            <w:pPr>
              <w:snapToGrid w:val="0"/>
              <w:jc w:val="center"/>
              <w:rPr>
                <w:rFonts w:ascii="宋体" w:hAnsi="宋体" w:cs="宋体"/>
                <w:bCs/>
                <w:sz w:val="24"/>
              </w:rPr>
            </w:pPr>
            <w:r>
              <w:rPr>
                <w:rFonts w:hint="eastAsia" w:ascii="宋体" w:hAnsi="宋体" w:cs="宋体"/>
                <w:bCs/>
                <w:sz w:val="24"/>
              </w:rPr>
              <w:t>19</w:t>
            </w:r>
          </w:p>
        </w:tc>
        <w:tc>
          <w:tcPr>
            <w:tcW w:w="2104" w:type="dxa"/>
            <w:vAlign w:val="center"/>
          </w:tcPr>
          <w:p>
            <w:pPr>
              <w:snapToGrid w:val="0"/>
              <w:jc w:val="center"/>
              <w:rPr>
                <w:rFonts w:ascii="宋体" w:hAnsi="宋体" w:cs="宋体"/>
                <w:bCs/>
                <w:sz w:val="24"/>
              </w:rPr>
            </w:pPr>
            <w:r>
              <w:rPr>
                <w:rFonts w:hint="eastAsia" w:ascii="宋体" w:hAnsi="宋体" w:cs="宋体"/>
                <w:bCs/>
                <w:sz w:val="24"/>
              </w:rPr>
              <w:t>急停按钮</w:t>
            </w:r>
          </w:p>
        </w:tc>
        <w:tc>
          <w:tcPr>
            <w:tcW w:w="3418" w:type="dxa"/>
            <w:gridSpan w:val="2"/>
            <w:vAlign w:val="center"/>
          </w:tcPr>
          <w:p>
            <w:pPr>
              <w:snapToGrid w:val="0"/>
              <w:jc w:val="center"/>
              <w:rPr>
                <w:rFonts w:ascii="宋体" w:hAnsi="宋体" w:cs="宋体"/>
                <w:bCs/>
                <w:sz w:val="24"/>
              </w:rPr>
            </w:pPr>
            <w:r>
              <w:rPr>
                <w:rFonts w:hint="eastAsia" w:ascii="宋体" w:hAnsi="宋体" w:cs="宋体"/>
                <w:bCs/>
                <w:sz w:val="24"/>
              </w:rPr>
              <w:t>C11</w:t>
            </w:r>
          </w:p>
        </w:tc>
        <w:tc>
          <w:tcPr>
            <w:tcW w:w="1170" w:type="dxa"/>
            <w:vAlign w:val="center"/>
          </w:tcPr>
          <w:p>
            <w:pPr>
              <w:snapToGrid w:val="0"/>
              <w:jc w:val="center"/>
              <w:rPr>
                <w:rFonts w:ascii="宋体" w:hAnsi="宋体" w:cs="宋体"/>
                <w:bCs/>
                <w:sz w:val="24"/>
              </w:rPr>
            </w:pPr>
            <w:r>
              <w:rPr>
                <w:rFonts w:hint="eastAsia" w:ascii="宋体" w:hAnsi="宋体" w:cs="宋体"/>
                <w:bCs/>
                <w:sz w:val="24"/>
              </w:rPr>
              <w:t>1</w:t>
            </w:r>
          </w:p>
        </w:tc>
        <w:tc>
          <w:tcPr>
            <w:tcW w:w="1182" w:type="dxa"/>
            <w:vAlign w:val="center"/>
          </w:tcPr>
          <w:p>
            <w:pPr>
              <w:snapToGrid w:val="0"/>
              <w:jc w:val="center"/>
              <w:rPr>
                <w:rFonts w:ascii="宋体" w:hAnsi="宋体" w:cs="宋体"/>
                <w:bCs/>
                <w:sz w:val="24"/>
              </w:rPr>
            </w:pPr>
            <w:r>
              <w:rPr>
                <w:rFonts w:hint="eastAsia" w:ascii="宋体" w:hAnsi="宋体" w:cs="宋体"/>
                <w:bCs/>
                <w:sz w:val="24"/>
              </w:rPr>
              <w:t>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996" w:type="dxa"/>
            <w:vAlign w:val="center"/>
          </w:tcPr>
          <w:p>
            <w:pPr>
              <w:snapToGrid w:val="0"/>
              <w:jc w:val="center"/>
              <w:rPr>
                <w:rFonts w:ascii="宋体" w:hAnsi="宋体" w:cs="宋体"/>
                <w:bCs/>
                <w:sz w:val="24"/>
              </w:rPr>
            </w:pPr>
            <w:r>
              <w:rPr>
                <w:rFonts w:hint="eastAsia" w:ascii="宋体" w:hAnsi="宋体" w:cs="宋体"/>
                <w:bCs/>
                <w:sz w:val="24"/>
              </w:rPr>
              <w:t>20</w:t>
            </w:r>
          </w:p>
        </w:tc>
        <w:tc>
          <w:tcPr>
            <w:tcW w:w="2104" w:type="dxa"/>
            <w:vAlign w:val="center"/>
          </w:tcPr>
          <w:p>
            <w:pPr>
              <w:snapToGrid w:val="0"/>
              <w:jc w:val="center"/>
              <w:rPr>
                <w:rFonts w:ascii="宋体" w:hAnsi="宋体" w:cs="宋体"/>
                <w:bCs/>
                <w:sz w:val="24"/>
              </w:rPr>
            </w:pPr>
            <w:r>
              <w:rPr>
                <w:rFonts w:hint="eastAsia" w:ascii="宋体" w:hAnsi="宋体" w:cs="宋体"/>
                <w:bCs/>
                <w:sz w:val="24"/>
              </w:rPr>
              <w:t>二位旋钮</w:t>
            </w:r>
          </w:p>
        </w:tc>
        <w:tc>
          <w:tcPr>
            <w:tcW w:w="3418" w:type="dxa"/>
            <w:gridSpan w:val="2"/>
            <w:vAlign w:val="center"/>
          </w:tcPr>
          <w:p>
            <w:pPr>
              <w:snapToGrid w:val="0"/>
              <w:jc w:val="center"/>
              <w:rPr>
                <w:rFonts w:ascii="宋体" w:hAnsi="宋体" w:cs="宋体"/>
                <w:bCs/>
                <w:sz w:val="24"/>
              </w:rPr>
            </w:pPr>
            <w:r>
              <w:rPr>
                <w:rFonts w:hint="eastAsia" w:ascii="宋体" w:hAnsi="宋体" w:cs="宋体"/>
                <w:bCs/>
                <w:sz w:val="24"/>
              </w:rPr>
              <w:t>D11A</w:t>
            </w:r>
          </w:p>
        </w:tc>
        <w:tc>
          <w:tcPr>
            <w:tcW w:w="1170" w:type="dxa"/>
            <w:vAlign w:val="center"/>
          </w:tcPr>
          <w:p>
            <w:pPr>
              <w:snapToGrid w:val="0"/>
              <w:jc w:val="center"/>
              <w:rPr>
                <w:rFonts w:ascii="宋体" w:hAnsi="宋体" w:cs="宋体"/>
                <w:bCs/>
                <w:sz w:val="24"/>
              </w:rPr>
            </w:pPr>
            <w:r>
              <w:rPr>
                <w:rFonts w:hint="eastAsia" w:ascii="宋体" w:hAnsi="宋体" w:cs="宋体"/>
                <w:bCs/>
                <w:sz w:val="24"/>
              </w:rPr>
              <w:t>2</w:t>
            </w:r>
          </w:p>
        </w:tc>
        <w:tc>
          <w:tcPr>
            <w:tcW w:w="1182" w:type="dxa"/>
            <w:vAlign w:val="center"/>
          </w:tcPr>
          <w:p>
            <w:pPr>
              <w:snapToGrid w:val="0"/>
              <w:jc w:val="center"/>
              <w:rPr>
                <w:rFonts w:ascii="宋体" w:hAnsi="宋体" w:cs="宋体"/>
                <w:bCs/>
                <w:sz w:val="24"/>
              </w:rPr>
            </w:pPr>
            <w:r>
              <w:rPr>
                <w:rFonts w:hint="eastAsia" w:ascii="宋体" w:hAnsi="宋体" w:cs="宋体"/>
                <w:bCs/>
                <w:sz w:val="24"/>
              </w:rPr>
              <w:t>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996" w:type="dxa"/>
            <w:vAlign w:val="center"/>
          </w:tcPr>
          <w:p>
            <w:pPr>
              <w:snapToGrid w:val="0"/>
              <w:jc w:val="center"/>
              <w:rPr>
                <w:rFonts w:ascii="宋体" w:hAnsi="宋体" w:cs="宋体"/>
                <w:bCs/>
                <w:sz w:val="24"/>
              </w:rPr>
            </w:pPr>
            <w:r>
              <w:rPr>
                <w:rFonts w:hint="eastAsia" w:ascii="宋体" w:hAnsi="宋体" w:cs="宋体"/>
                <w:bCs/>
                <w:sz w:val="24"/>
              </w:rPr>
              <w:t>21</w:t>
            </w:r>
          </w:p>
        </w:tc>
        <w:tc>
          <w:tcPr>
            <w:tcW w:w="2104" w:type="dxa"/>
            <w:vAlign w:val="center"/>
          </w:tcPr>
          <w:p>
            <w:pPr>
              <w:snapToGrid w:val="0"/>
              <w:jc w:val="center"/>
              <w:rPr>
                <w:rFonts w:ascii="宋体" w:hAnsi="宋体" w:cs="宋体"/>
                <w:bCs/>
                <w:sz w:val="24"/>
              </w:rPr>
            </w:pPr>
            <w:r>
              <w:rPr>
                <w:rFonts w:hint="eastAsia" w:ascii="宋体" w:hAnsi="宋体" w:cs="宋体"/>
                <w:bCs/>
                <w:sz w:val="24"/>
              </w:rPr>
              <w:t>平动按钮</w:t>
            </w:r>
          </w:p>
        </w:tc>
        <w:tc>
          <w:tcPr>
            <w:tcW w:w="3418" w:type="dxa"/>
            <w:gridSpan w:val="2"/>
            <w:vAlign w:val="center"/>
          </w:tcPr>
          <w:p>
            <w:pPr>
              <w:snapToGrid w:val="0"/>
              <w:jc w:val="center"/>
              <w:rPr>
                <w:rFonts w:ascii="宋体" w:hAnsi="宋体" w:cs="宋体"/>
                <w:bCs/>
                <w:sz w:val="24"/>
              </w:rPr>
            </w:pPr>
            <w:r>
              <w:rPr>
                <w:rFonts w:hint="eastAsia" w:ascii="宋体" w:hAnsi="宋体" w:cs="宋体"/>
                <w:bCs/>
                <w:sz w:val="24"/>
              </w:rPr>
              <w:t>A11黄/绿</w:t>
            </w:r>
          </w:p>
        </w:tc>
        <w:tc>
          <w:tcPr>
            <w:tcW w:w="1170" w:type="dxa"/>
            <w:vAlign w:val="center"/>
          </w:tcPr>
          <w:p>
            <w:pPr>
              <w:snapToGrid w:val="0"/>
              <w:jc w:val="center"/>
              <w:rPr>
                <w:rFonts w:ascii="宋体" w:hAnsi="宋体" w:cs="宋体"/>
                <w:bCs/>
                <w:sz w:val="24"/>
              </w:rPr>
            </w:pPr>
            <w:r>
              <w:rPr>
                <w:rFonts w:hint="eastAsia" w:ascii="宋体" w:hAnsi="宋体" w:cs="宋体"/>
                <w:bCs/>
                <w:sz w:val="24"/>
              </w:rPr>
              <w:t>各1</w:t>
            </w:r>
          </w:p>
        </w:tc>
        <w:tc>
          <w:tcPr>
            <w:tcW w:w="1182" w:type="dxa"/>
            <w:vAlign w:val="center"/>
          </w:tcPr>
          <w:p>
            <w:pPr>
              <w:snapToGrid w:val="0"/>
              <w:jc w:val="center"/>
              <w:rPr>
                <w:rFonts w:ascii="宋体" w:hAnsi="宋体" w:cs="宋体"/>
                <w:bCs/>
                <w:sz w:val="24"/>
              </w:rPr>
            </w:pPr>
            <w:r>
              <w:rPr>
                <w:rFonts w:hint="eastAsia" w:ascii="宋体" w:hAnsi="宋体" w:cs="宋体"/>
                <w:bCs/>
                <w:sz w:val="24"/>
              </w:rPr>
              <w:t>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996" w:type="dxa"/>
            <w:vAlign w:val="center"/>
          </w:tcPr>
          <w:p>
            <w:pPr>
              <w:snapToGrid w:val="0"/>
              <w:jc w:val="center"/>
              <w:rPr>
                <w:rFonts w:ascii="宋体" w:hAnsi="宋体" w:cs="宋体"/>
                <w:bCs/>
                <w:sz w:val="24"/>
              </w:rPr>
            </w:pPr>
            <w:r>
              <w:rPr>
                <w:rFonts w:hint="eastAsia" w:ascii="宋体" w:hAnsi="宋体" w:cs="宋体"/>
                <w:bCs/>
                <w:sz w:val="24"/>
              </w:rPr>
              <w:t>22</w:t>
            </w:r>
          </w:p>
        </w:tc>
        <w:tc>
          <w:tcPr>
            <w:tcW w:w="2104" w:type="dxa"/>
            <w:vAlign w:val="center"/>
          </w:tcPr>
          <w:p>
            <w:pPr>
              <w:snapToGrid w:val="0"/>
              <w:jc w:val="center"/>
              <w:rPr>
                <w:rFonts w:ascii="宋体" w:hAnsi="宋体" w:cs="宋体"/>
                <w:bCs/>
                <w:sz w:val="24"/>
              </w:rPr>
            </w:pPr>
            <w:r>
              <w:rPr>
                <w:rFonts w:hint="eastAsia" w:ascii="宋体" w:hAnsi="宋体" w:cs="宋体"/>
                <w:bCs/>
                <w:sz w:val="24"/>
              </w:rPr>
              <w:t>接线端子排</w:t>
            </w:r>
          </w:p>
        </w:tc>
        <w:tc>
          <w:tcPr>
            <w:tcW w:w="3418" w:type="dxa"/>
            <w:gridSpan w:val="2"/>
            <w:vAlign w:val="center"/>
          </w:tcPr>
          <w:p>
            <w:pPr>
              <w:snapToGrid w:val="0"/>
              <w:jc w:val="center"/>
              <w:rPr>
                <w:rFonts w:ascii="宋体" w:hAnsi="宋体" w:cs="宋体"/>
                <w:bCs/>
                <w:sz w:val="24"/>
              </w:rPr>
            </w:pPr>
            <w:r>
              <w:rPr>
                <w:rFonts w:hint="eastAsia" w:ascii="宋体" w:hAnsi="宋体" w:cs="宋体"/>
                <w:bCs/>
                <w:sz w:val="24"/>
              </w:rPr>
              <w:t>RST系列弹簧端子</w:t>
            </w:r>
          </w:p>
        </w:tc>
        <w:tc>
          <w:tcPr>
            <w:tcW w:w="1170" w:type="dxa"/>
            <w:vAlign w:val="center"/>
          </w:tcPr>
          <w:p>
            <w:pPr>
              <w:snapToGrid w:val="0"/>
              <w:jc w:val="center"/>
              <w:rPr>
                <w:rFonts w:ascii="宋体" w:hAnsi="宋体" w:cs="宋体"/>
                <w:bCs/>
                <w:sz w:val="24"/>
              </w:rPr>
            </w:pPr>
            <w:r>
              <w:rPr>
                <w:rFonts w:hint="eastAsia" w:ascii="宋体" w:hAnsi="宋体" w:cs="宋体"/>
                <w:bCs/>
                <w:sz w:val="24"/>
              </w:rPr>
              <w:t>1</w:t>
            </w:r>
          </w:p>
        </w:tc>
        <w:tc>
          <w:tcPr>
            <w:tcW w:w="1182" w:type="dxa"/>
            <w:vAlign w:val="center"/>
          </w:tcPr>
          <w:p>
            <w:pPr>
              <w:snapToGrid w:val="0"/>
              <w:jc w:val="center"/>
              <w:rPr>
                <w:rFonts w:ascii="宋体" w:hAnsi="宋体" w:cs="宋体"/>
                <w:bCs/>
                <w:sz w:val="24"/>
              </w:rPr>
            </w:pPr>
            <w:r>
              <w:rPr>
                <w:rFonts w:hint="eastAsia" w:ascii="宋体" w:hAnsi="宋体" w:cs="宋体"/>
                <w:bCs/>
                <w:sz w:val="24"/>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996" w:type="dxa"/>
            <w:vAlign w:val="center"/>
          </w:tcPr>
          <w:p>
            <w:pPr>
              <w:snapToGrid w:val="0"/>
              <w:jc w:val="center"/>
              <w:rPr>
                <w:rFonts w:ascii="宋体" w:hAnsi="宋体" w:cs="宋体"/>
                <w:bCs/>
                <w:sz w:val="24"/>
              </w:rPr>
            </w:pPr>
            <w:r>
              <w:rPr>
                <w:rFonts w:hint="eastAsia" w:ascii="宋体" w:hAnsi="宋体" w:cs="宋体"/>
                <w:bCs/>
                <w:sz w:val="24"/>
              </w:rPr>
              <w:t>23</w:t>
            </w:r>
          </w:p>
        </w:tc>
        <w:tc>
          <w:tcPr>
            <w:tcW w:w="2104" w:type="dxa"/>
            <w:vAlign w:val="center"/>
          </w:tcPr>
          <w:p>
            <w:pPr>
              <w:snapToGrid w:val="0"/>
              <w:jc w:val="center"/>
              <w:rPr>
                <w:rFonts w:ascii="宋体" w:hAnsi="宋体" w:cs="宋体"/>
                <w:bCs/>
                <w:sz w:val="24"/>
              </w:rPr>
            </w:pPr>
            <w:r>
              <w:rPr>
                <w:rFonts w:hint="eastAsia" w:ascii="宋体" w:hAnsi="宋体" w:cs="宋体"/>
                <w:bCs/>
                <w:sz w:val="24"/>
              </w:rPr>
              <w:t>钮子开关</w:t>
            </w:r>
          </w:p>
        </w:tc>
        <w:tc>
          <w:tcPr>
            <w:tcW w:w="3418" w:type="dxa"/>
            <w:gridSpan w:val="2"/>
            <w:vAlign w:val="center"/>
          </w:tcPr>
          <w:p>
            <w:pPr>
              <w:snapToGrid w:val="0"/>
              <w:jc w:val="center"/>
              <w:rPr>
                <w:rFonts w:ascii="宋体" w:hAnsi="宋体" w:cs="宋体"/>
                <w:bCs/>
                <w:sz w:val="24"/>
              </w:rPr>
            </w:pPr>
            <w:r>
              <w:rPr>
                <w:rFonts w:hint="eastAsia" w:ascii="宋体" w:hAnsi="宋体" w:cs="宋体"/>
                <w:bCs/>
                <w:sz w:val="24"/>
              </w:rPr>
              <w:t>KN32</w:t>
            </w:r>
          </w:p>
        </w:tc>
        <w:tc>
          <w:tcPr>
            <w:tcW w:w="1170" w:type="dxa"/>
            <w:vAlign w:val="center"/>
          </w:tcPr>
          <w:p>
            <w:pPr>
              <w:snapToGrid w:val="0"/>
              <w:jc w:val="center"/>
              <w:rPr>
                <w:rFonts w:ascii="宋体" w:hAnsi="宋体" w:cs="宋体"/>
                <w:bCs/>
                <w:sz w:val="24"/>
              </w:rPr>
            </w:pPr>
            <w:r>
              <w:rPr>
                <w:rFonts w:hint="eastAsia" w:ascii="宋体" w:hAnsi="宋体" w:cs="宋体"/>
                <w:bCs/>
                <w:sz w:val="24"/>
              </w:rPr>
              <w:t>48</w:t>
            </w:r>
          </w:p>
        </w:tc>
        <w:tc>
          <w:tcPr>
            <w:tcW w:w="1182" w:type="dxa"/>
            <w:vAlign w:val="center"/>
          </w:tcPr>
          <w:p>
            <w:pPr>
              <w:snapToGrid w:val="0"/>
              <w:jc w:val="center"/>
              <w:rPr>
                <w:rFonts w:ascii="宋体" w:hAnsi="宋体" w:cs="宋体"/>
                <w:bCs/>
                <w:sz w:val="24"/>
              </w:rPr>
            </w:pPr>
            <w:r>
              <w:rPr>
                <w:rFonts w:hint="eastAsia" w:ascii="宋体" w:hAnsi="宋体" w:cs="宋体"/>
                <w:bCs/>
                <w:sz w:val="24"/>
              </w:rPr>
              <w:t>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996" w:type="dxa"/>
            <w:vAlign w:val="center"/>
          </w:tcPr>
          <w:p>
            <w:pPr>
              <w:snapToGrid w:val="0"/>
              <w:jc w:val="center"/>
              <w:rPr>
                <w:rFonts w:ascii="宋体" w:hAnsi="宋体" w:cs="宋体"/>
                <w:bCs/>
                <w:sz w:val="24"/>
              </w:rPr>
            </w:pPr>
            <w:r>
              <w:rPr>
                <w:rFonts w:hint="eastAsia" w:ascii="宋体" w:hAnsi="宋体" w:cs="宋体"/>
                <w:bCs/>
                <w:sz w:val="24"/>
              </w:rPr>
              <w:t>24</w:t>
            </w:r>
          </w:p>
        </w:tc>
        <w:tc>
          <w:tcPr>
            <w:tcW w:w="2104" w:type="dxa"/>
            <w:vMerge w:val="restart"/>
            <w:vAlign w:val="center"/>
          </w:tcPr>
          <w:p>
            <w:pPr>
              <w:snapToGrid w:val="0"/>
              <w:jc w:val="center"/>
              <w:rPr>
                <w:rFonts w:ascii="宋体" w:hAnsi="宋体" w:cs="宋体"/>
                <w:bCs/>
                <w:sz w:val="24"/>
              </w:rPr>
            </w:pPr>
            <w:r>
              <w:rPr>
                <w:rFonts w:hint="eastAsia" w:ascii="宋体" w:hAnsi="宋体" w:cs="宋体"/>
                <w:bCs/>
                <w:sz w:val="24"/>
              </w:rPr>
              <w:t>航空插座</w:t>
            </w:r>
          </w:p>
        </w:tc>
        <w:tc>
          <w:tcPr>
            <w:tcW w:w="3418" w:type="dxa"/>
            <w:gridSpan w:val="2"/>
            <w:vAlign w:val="center"/>
          </w:tcPr>
          <w:p>
            <w:pPr>
              <w:snapToGrid w:val="0"/>
              <w:jc w:val="center"/>
              <w:rPr>
                <w:rFonts w:ascii="宋体" w:hAnsi="宋体" w:cs="宋体"/>
                <w:bCs/>
                <w:sz w:val="24"/>
              </w:rPr>
            </w:pPr>
            <w:r>
              <w:rPr>
                <w:rFonts w:hint="eastAsia" w:ascii="宋体" w:hAnsi="宋体" w:cs="宋体"/>
                <w:bCs/>
                <w:sz w:val="24"/>
              </w:rPr>
              <w:t>YD48K42Z</w:t>
            </w:r>
          </w:p>
        </w:tc>
        <w:tc>
          <w:tcPr>
            <w:tcW w:w="1170" w:type="dxa"/>
            <w:vAlign w:val="center"/>
          </w:tcPr>
          <w:p>
            <w:pPr>
              <w:snapToGrid w:val="0"/>
              <w:jc w:val="center"/>
              <w:rPr>
                <w:rFonts w:ascii="宋体" w:hAnsi="宋体" w:cs="宋体"/>
                <w:bCs/>
                <w:sz w:val="24"/>
              </w:rPr>
            </w:pPr>
            <w:r>
              <w:rPr>
                <w:rFonts w:hint="eastAsia" w:ascii="宋体" w:hAnsi="宋体" w:cs="宋体"/>
                <w:bCs/>
                <w:sz w:val="24"/>
              </w:rPr>
              <w:t>1</w:t>
            </w:r>
          </w:p>
        </w:tc>
        <w:tc>
          <w:tcPr>
            <w:tcW w:w="1182" w:type="dxa"/>
            <w:vAlign w:val="center"/>
          </w:tcPr>
          <w:p>
            <w:pPr>
              <w:snapToGrid w:val="0"/>
              <w:jc w:val="center"/>
              <w:rPr>
                <w:rFonts w:ascii="宋体" w:hAnsi="宋体" w:cs="宋体"/>
                <w:bCs/>
                <w:sz w:val="24"/>
              </w:rPr>
            </w:pPr>
            <w:r>
              <w:rPr>
                <w:rFonts w:hint="eastAsia" w:ascii="宋体" w:hAnsi="宋体" w:cs="宋体"/>
                <w:bCs/>
                <w:sz w:val="24"/>
              </w:rPr>
              <w:t>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996" w:type="dxa"/>
            <w:vAlign w:val="center"/>
          </w:tcPr>
          <w:p>
            <w:pPr>
              <w:snapToGrid w:val="0"/>
              <w:jc w:val="center"/>
              <w:rPr>
                <w:rFonts w:ascii="宋体" w:hAnsi="宋体" w:cs="宋体"/>
                <w:bCs/>
                <w:sz w:val="24"/>
              </w:rPr>
            </w:pPr>
            <w:r>
              <w:rPr>
                <w:rFonts w:hint="eastAsia" w:ascii="宋体" w:hAnsi="宋体" w:cs="宋体"/>
                <w:bCs/>
                <w:sz w:val="24"/>
              </w:rPr>
              <w:t>25</w:t>
            </w:r>
          </w:p>
        </w:tc>
        <w:tc>
          <w:tcPr>
            <w:tcW w:w="2104" w:type="dxa"/>
            <w:vMerge w:val="continue"/>
            <w:vAlign w:val="center"/>
          </w:tcPr>
          <w:p>
            <w:pPr>
              <w:snapToGrid w:val="0"/>
              <w:jc w:val="center"/>
              <w:rPr>
                <w:rFonts w:ascii="宋体" w:hAnsi="宋体" w:cs="宋体"/>
                <w:bCs/>
                <w:sz w:val="24"/>
              </w:rPr>
            </w:pPr>
          </w:p>
        </w:tc>
        <w:tc>
          <w:tcPr>
            <w:tcW w:w="3418" w:type="dxa"/>
            <w:gridSpan w:val="2"/>
            <w:vAlign w:val="center"/>
          </w:tcPr>
          <w:p>
            <w:pPr>
              <w:snapToGrid w:val="0"/>
              <w:jc w:val="center"/>
              <w:rPr>
                <w:rFonts w:ascii="宋体" w:hAnsi="宋体" w:cs="宋体"/>
                <w:bCs/>
                <w:sz w:val="24"/>
              </w:rPr>
            </w:pPr>
            <w:r>
              <w:rPr>
                <w:rFonts w:hint="eastAsia" w:ascii="宋体" w:hAnsi="宋体" w:cs="宋体"/>
                <w:bCs/>
                <w:sz w:val="24"/>
              </w:rPr>
              <w:t>YD40J31Z</w:t>
            </w:r>
          </w:p>
        </w:tc>
        <w:tc>
          <w:tcPr>
            <w:tcW w:w="1170" w:type="dxa"/>
            <w:vAlign w:val="center"/>
          </w:tcPr>
          <w:p>
            <w:pPr>
              <w:snapToGrid w:val="0"/>
              <w:jc w:val="center"/>
              <w:rPr>
                <w:rFonts w:ascii="宋体" w:hAnsi="宋体" w:cs="宋体"/>
                <w:bCs/>
                <w:sz w:val="24"/>
              </w:rPr>
            </w:pPr>
            <w:r>
              <w:rPr>
                <w:rFonts w:hint="eastAsia" w:ascii="宋体" w:hAnsi="宋体" w:cs="宋体"/>
                <w:bCs/>
                <w:sz w:val="24"/>
              </w:rPr>
              <w:t>1</w:t>
            </w:r>
          </w:p>
        </w:tc>
        <w:tc>
          <w:tcPr>
            <w:tcW w:w="1182" w:type="dxa"/>
            <w:vAlign w:val="center"/>
          </w:tcPr>
          <w:p>
            <w:pPr>
              <w:snapToGrid w:val="0"/>
              <w:jc w:val="center"/>
              <w:rPr>
                <w:rFonts w:ascii="宋体" w:hAnsi="宋体" w:cs="宋体"/>
                <w:bCs/>
                <w:sz w:val="24"/>
              </w:rPr>
            </w:pPr>
            <w:r>
              <w:rPr>
                <w:rFonts w:hint="eastAsia" w:ascii="宋体" w:hAnsi="宋体" w:cs="宋体"/>
                <w:bCs/>
                <w:sz w:val="24"/>
              </w:rPr>
              <w:t>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996" w:type="dxa"/>
            <w:vAlign w:val="center"/>
          </w:tcPr>
          <w:p>
            <w:pPr>
              <w:snapToGrid w:val="0"/>
              <w:jc w:val="center"/>
              <w:rPr>
                <w:rFonts w:ascii="宋体" w:hAnsi="宋体" w:cs="宋体"/>
                <w:bCs/>
                <w:sz w:val="24"/>
              </w:rPr>
            </w:pPr>
            <w:r>
              <w:rPr>
                <w:rFonts w:hint="eastAsia" w:ascii="宋体" w:hAnsi="宋体" w:cs="宋体"/>
                <w:bCs/>
                <w:sz w:val="24"/>
              </w:rPr>
              <w:t>26</w:t>
            </w:r>
          </w:p>
        </w:tc>
        <w:tc>
          <w:tcPr>
            <w:tcW w:w="2104" w:type="dxa"/>
            <w:vMerge w:val="continue"/>
            <w:vAlign w:val="center"/>
          </w:tcPr>
          <w:p>
            <w:pPr>
              <w:snapToGrid w:val="0"/>
              <w:jc w:val="center"/>
              <w:rPr>
                <w:rFonts w:ascii="宋体" w:hAnsi="宋体" w:cs="宋体"/>
                <w:bCs/>
                <w:sz w:val="24"/>
              </w:rPr>
            </w:pPr>
          </w:p>
        </w:tc>
        <w:tc>
          <w:tcPr>
            <w:tcW w:w="3418" w:type="dxa"/>
            <w:gridSpan w:val="2"/>
            <w:vAlign w:val="center"/>
          </w:tcPr>
          <w:p>
            <w:pPr>
              <w:snapToGrid w:val="0"/>
              <w:jc w:val="center"/>
              <w:rPr>
                <w:rFonts w:ascii="宋体" w:hAnsi="宋体" w:cs="宋体"/>
                <w:bCs/>
                <w:sz w:val="24"/>
              </w:rPr>
            </w:pPr>
            <w:r>
              <w:rPr>
                <w:rFonts w:hint="eastAsia" w:ascii="宋体" w:hAnsi="宋体" w:cs="宋体"/>
                <w:bCs/>
                <w:sz w:val="24"/>
              </w:rPr>
              <w:t>YD28K10Z</w:t>
            </w:r>
          </w:p>
        </w:tc>
        <w:tc>
          <w:tcPr>
            <w:tcW w:w="1170" w:type="dxa"/>
            <w:vAlign w:val="center"/>
          </w:tcPr>
          <w:p>
            <w:pPr>
              <w:snapToGrid w:val="0"/>
              <w:jc w:val="center"/>
              <w:rPr>
                <w:rFonts w:ascii="宋体" w:hAnsi="宋体" w:cs="宋体"/>
                <w:bCs/>
                <w:sz w:val="24"/>
              </w:rPr>
            </w:pPr>
            <w:r>
              <w:rPr>
                <w:rFonts w:hint="eastAsia" w:ascii="宋体" w:hAnsi="宋体" w:cs="宋体"/>
                <w:bCs/>
                <w:sz w:val="24"/>
              </w:rPr>
              <w:t>1</w:t>
            </w:r>
          </w:p>
        </w:tc>
        <w:tc>
          <w:tcPr>
            <w:tcW w:w="1182" w:type="dxa"/>
            <w:vAlign w:val="center"/>
          </w:tcPr>
          <w:p>
            <w:pPr>
              <w:snapToGrid w:val="0"/>
              <w:jc w:val="center"/>
              <w:rPr>
                <w:rFonts w:ascii="宋体" w:hAnsi="宋体" w:cs="宋体"/>
                <w:bCs/>
                <w:sz w:val="24"/>
              </w:rPr>
            </w:pPr>
            <w:r>
              <w:rPr>
                <w:rFonts w:hint="eastAsia" w:ascii="宋体" w:hAnsi="宋体" w:cs="宋体"/>
                <w:bCs/>
                <w:sz w:val="24"/>
              </w:rPr>
              <w:t>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996" w:type="dxa"/>
            <w:vAlign w:val="center"/>
          </w:tcPr>
          <w:p>
            <w:pPr>
              <w:snapToGrid w:val="0"/>
              <w:jc w:val="center"/>
              <w:rPr>
                <w:rFonts w:ascii="宋体" w:hAnsi="宋体" w:cs="宋体"/>
                <w:bCs/>
                <w:sz w:val="24"/>
              </w:rPr>
            </w:pPr>
            <w:r>
              <w:rPr>
                <w:rFonts w:hint="eastAsia" w:ascii="宋体" w:hAnsi="宋体" w:cs="宋体"/>
                <w:bCs/>
                <w:sz w:val="24"/>
              </w:rPr>
              <w:t>27</w:t>
            </w:r>
          </w:p>
        </w:tc>
        <w:tc>
          <w:tcPr>
            <w:tcW w:w="2104" w:type="dxa"/>
            <w:vAlign w:val="center"/>
          </w:tcPr>
          <w:p>
            <w:pPr>
              <w:snapToGrid w:val="0"/>
              <w:jc w:val="center"/>
              <w:rPr>
                <w:rFonts w:ascii="宋体" w:hAnsi="宋体" w:cs="宋体"/>
                <w:bCs/>
                <w:sz w:val="24"/>
              </w:rPr>
            </w:pPr>
            <w:r>
              <w:rPr>
                <w:rFonts w:hint="eastAsia" w:ascii="宋体" w:hAnsi="宋体" w:cs="宋体"/>
                <w:bCs/>
                <w:sz w:val="24"/>
              </w:rPr>
              <w:t>液晶屏</w:t>
            </w:r>
          </w:p>
        </w:tc>
        <w:tc>
          <w:tcPr>
            <w:tcW w:w="3418" w:type="dxa"/>
            <w:gridSpan w:val="2"/>
            <w:vAlign w:val="center"/>
          </w:tcPr>
          <w:p>
            <w:pPr>
              <w:snapToGrid w:val="0"/>
              <w:jc w:val="center"/>
              <w:rPr>
                <w:rFonts w:ascii="宋体" w:hAnsi="宋体" w:cs="宋体"/>
                <w:bCs/>
                <w:sz w:val="24"/>
              </w:rPr>
            </w:pPr>
            <w:r>
              <w:rPr>
                <w:rFonts w:hint="eastAsia" w:ascii="宋体" w:hAnsi="宋体" w:cs="宋体"/>
                <w:bCs/>
                <w:sz w:val="24"/>
              </w:rPr>
              <w:t>YXD-240128C3</w:t>
            </w:r>
          </w:p>
        </w:tc>
        <w:tc>
          <w:tcPr>
            <w:tcW w:w="1170" w:type="dxa"/>
            <w:vAlign w:val="center"/>
          </w:tcPr>
          <w:p>
            <w:pPr>
              <w:snapToGrid w:val="0"/>
              <w:jc w:val="center"/>
              <w:rPr>
                <w:rFonts w:ascii="宋体" w:hAnsi="宋体" w:cs="宋体"/>
                <w:bCs/>
                <w:sz w:val="24"/>
              </w:rPr>
            </w:pPr>
            <w:r>
              <w:rPr>
                <w:rFonts w:hint="eastAsia" w:ascii="宋体" w:hAnsi="宋体" w:cs="宋体"/>
                <w:bCs/>
                <w:sz w:val="24"/>
              </w:rPr>
              <w:t>1</w:t>
            </w:r>
          </w:p>
        </w:tc>
        <w:tc>
          <w:tcPr>
            <w:tcW w:w="1182" w:type="dxa"/>
            <w:vAlign w:val="center"/>
          </w:tcPr>
          <w:p>
            <w:pPr>
              <w:snapToGrid w:val="0"/>
              <w:jc w:val="center"/>
              <w:rPr>
                <w:rFonts w:ascii="宋体" w:hAnsi="宋体" w:cs="宋体"/>
                <w:bCs/>
                <w:sz w:val="24"/>
              </w:rPr>
            </w:pPr>
            <w:r>
              <w:rPr>
                <w:rFonts w:hint="eastAsia" w:ascii="宋体" w:hAnsi="宋体" w:cs="宋体"/>
                <w:bCs/>
                <w:sz w:val="24"/>
              </w:rPr>
              <w:t>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996" w:type="dxa"/>
            <w:vAlign w:val="center"/>
          </w:tcPr>
          <w:p>
            <w:pPr>
              <w:snapToGrid w:val="0"/>
              <w:jc w:val="center"/>
              <w:rPr>
                <w:rFonts w:ascii="宋体" w:hAnsi="宋体" w:cs="宋体"/>
                <w:bCs/>
                <w:sz w:val="24"/>
              </w:rPr>
            </w:pPr>
            <w:r>
              <w:rPr>
                <w:rFonts w:hint="eastAsia" w:ascii="宋体" w:hAnsi="宋体" w:cs="宋体"/>
                <w:bCs/>
                <w:sz w:val="24"/>
              </w:rPr>
              <w:t>28</w:t>
            </w:r>
          </w:p>
        </w:tc>
        <w:tc>
          <w:tcPr>
            <w:tcW w:w="2104" w:type="dxa"/>
            <w:vAlign w:val="center"/>
          </w:tcPr>
          <w:p>
            <w:pPr>
              <w:snapToGrid w:val="0"/>
              <w:jc w:val="center"/>
              <w:rPr>
                <w:rFonts w:ascii="宋体" w:hAnsi="宋体" w:cs="宋体"/>
                <w:bCs/>
                <w:sz w:val="24"/>
              </w:rPr>
            </w:pPr>
            <w:r>
              <w:rPr>
                <w:rFonts w:hint="eastAsia" w:ascii="宋体" w:hAnsi="宋体" w:cs="宋体"/>
                <w:bCs/>
                <w:sz w:val="24"/>
              </w:rPr>
              <w:t>线路板</w:t>
            </w:r>
          </w:p>
        </w:tc>
        <w:tc>
          <w:tcPr>
            <w:tcW w:w="3418" w:type="dxa"/>
            <w:gridSpan w:val="2"/>
            <w:vAlign w:val="center"/>
          </w:tcPr>
          <w:p>
            <w:pPr>
              <w:snapToGrid w:val="0"/>
              <w:jc w:val="center"/>
              <w:rPr>
                <w:rFonts w:ascii="宋体" w:hAnsi="宋体" w:cs="宋体"/>
                <w:bCs/>
                <w:sz w:val="24"/>
              </w:rPr>
            </w:pPr>
            <w:r>
              <w:rPr>
                <w:rFonts w:hint="eastAsia" w:ascii="宋体" w:hAnsi="宋体" w:cs="宋体"/>
                <w:bCs/>
                <w:sz w:val="24"/>
              </w:rPr>
              <w:t>功能板</w:t>
            </w:r>
          </w:p>
        </w:tc>
        <w:tc>
          <w:tcPr>
            <w:tcW w:w="1170" w:type="dxa"/>
            <w:vAlign w:val="center"/>
          </w:tcPr>
          <w:p>
            <w:pPr>
              <w:snapToGrid w:val="0"/>
              <w:jc w:val="center"/>
              <w:rPr>
                <w:rFonts w:ascii="宋体" w:hAnsi="宋体" w:cs="宋体"/>
                <w:bCs/>
                <w:sz w:val="24"/>
              </w:rPr>
            </w:pPr>
            <w:r>
              <w:rPr>
                <w:rFonts w:hint="eastAsia" w:ascii="宋体" w:hAnsi="宋体" w:cs="宋体"/>
                <w:bCs/>
                <w:sz w:val="24"/>
              </w:rPr>
              <w:t>1</w:t>
            </w:r>
          </w:p>
        </w:tc>
        <w:tc>
          <w:tcPr>
            <w:tcW w:w="1182" w:type="dxa"/>
            <w:vAlign w:val="center"/>
          </w:tcPr>
          <w:p>
            <w:pPr>
              <w:snapToGrid w:val="0"/>
              <w:jc w:val="center"/>
              <w:rPr>
                <w:rFonts w:ascii="宋体" w:hAnsi="宋体" w:cs="宋体"/>
                <w:bCs/>
                <w:sz w:val="24"/>
              </w:rPr>
            </w:pPr>
            <w:r>
              <w:rPr>
                <w:rFonts w:hint="eastAsia" w:ascii="宋体" w:hAnsi="宋体" w:cs="宋体"/>
                <w:bCs/>
                <w:sz w:val="24"/>
              </w:rPr>
              <w:t>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996" w:type="dxa"/>
            <w:vAlign w:val="center"/>
          </w:tcPr>
          <w:p>
            <w:pPr>
              <w:snapToGrid w:val="0"/>
              <w:jc w:val="center"/>
              <w:rPr>
                <w:rFonts w:ascii="宋体" w:hAnsi="宋体" w:cs="宋体"/>
                <w:bCs/>
                <w:sz w:val="24"/>
              </w:rPr>
            </w:pPr>
            <w:r>
              <w:rPr>
                <w:rFonts w:hint="eastAsia" w:ascii="宋体" w:hAnsi="宋体" w:cs="宋体"/>
                <w:bCs/>
                <w:sz w:val="24"/>
              </w:rPr>
              <w:t>29</w:t>
            </w:r>
          </w:p>
        </w:tc>
        <w:tc>
          <w:tcPr>
            <w:tcW w:w="2104" w:type="dxa"/>
            <w:vAlign w:val="center"/>
          </w:tcPr>
          <w:p>
            <w:pPr>
              <w:snapToGrid w:val="0"/>
              <w:jc w:val="center"/>
              <w:rPr>
                <w:rFonts w:ascii="宋体" w:hAnsi="宋体" w:cs="宋体"/>
                <w:bCs/>
                <w:sz w:val="24"/>
              </w:rPr>
            </w:pPr>
          </w:p>
        </w:tc>
        <w:tc>
          <w:tcPr>
            <w:tcW w:w="3418" w:type="dxa"/>
            <w:gridSpan w:val="2"/>
            <w:vAlign w:val="center"/>
          </w:tcPr>
          <w:p>
            <w:pPr>
              <w:snapToGrid w:val="0"/>
              <w:jc w:val="center"/>
              <w:rPr>
                <w:rFonts w:ascii="宋体" w:hAnsi="宋体" w:cs="宋体"/>
                <w:bCs/>
                <w:sz w:val="24"/>
              </w:rPr>
            </w:pPr>
            <w:r>
              <w:rPr>
                <w:rFonts w:hint="eastAsia" w:ascii="宋体" w:hAnsi="宋体" w:cs="宋体"/>
                <w:bCs/>
                <w:sz w:val="24"/>
              </w:rPr>
              <w:t>继电器板</w:t>
            </w:r>
          </w:p>
        </w:tc>
        <w:tc>
          <w:tcPr>
            <w:tcW w:w="1170" w:type="dxa"/>
            <w:vAlign w:val="center"/>
          </w:tcPr>
          <w:p>
            <w:pPr>
              <w:snapToGrid w:val="0"/>
              <w:jc w:val="center"/>
              <w:rPr>
                <w:rFonts w:ascii="宋体" w:hAnsi="宋体" w:cs="宋体"/>
                <w:bCs/>
                <w:sz w:val="24"/>
              </w:rPr>
            </w:pPr>
            <w:r>
              <w:rPr>
                <w:rFonts w:hint="eastAsia" w:ascii="宋体" w:hAnsi="宋体" w:cs="宋体"/>
                <w:bCs/>
                <w:sz w:val="24"/>
              </w:rPr>
              <w:t>1</w:t>
            </w:r>
          </w:p>
        </w:tc>
        <w:tc>
          <w:tcPr>
            <w:tcW w:w="1182" w:type="dxa"/>
            <w:vAlign w:val="center"/>
          </w:tcPr>
          <w:p>
            <w:pPr>
              <w:snapToGrid w:val="0"/>
              <w:jc w:val="center"/>
              <w:rPr>
                <w:rFonts w:ascii="宋体" w:hAnsi="宋体" w:cs="宋体"/>
                <w:bCs/>
                <w:sz w:val="24"/>
              </w:rPr>
            </w:pPr>
            <w:r>
              <w:rPr>
                <w:rFonts w:hint="eastAsia" w:ascii="宋体" w:hAnsi="宋体" w:cs="宋体"/>
                <w:bCs/>
                <w:sz w:val="24"/>
              </w:rPr>
              <w:t>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996" w:type="dxa"/>
            <w:vAlign w:val="center"/>
          </w:tcPr>
          <w:p>
            <w:pPr>
              <w:snapToGrid w:val="0"/>
              <w:jc w:val="center"/>
              <w:rPr>
                <w:rFonts w:ascii="宋体" w:hAnsi="宋体" w:cs="宋体"/>
                <w:bCs/>
                <w:sz w:val="24"/>
              </w:rPr>
            </w:pPr>
            <w:r>
              <w:rPr>
                <w:rFonts w:hint="eastAsia" w:ascii="宋体" w:hAnsi="宋体" w:cs="宋体"/>
                <w:bCs/>
                <w:sz w:val="24"/>
              </w:rPr>
              <w:t>30</w:t>
            </w:r>
          </w:p>
        </w:tc>
        <w:tc>
          <w:tcPr>
            <w:tcW w:w="2104" w:type="dxa"/>
            <w:vAlign w:val="center"/>
          </w:tcPr>
          <w:p>
            <w:pPr>
              <w:snapToGrid w:val="0"/>
              <w:jc w:val="center"/>
              <w:rPr>
                <w:rFonts w:ascii="宋体" w:hAnsi="宋体" w:cs="宋体"/>
                <w:bCs/>
                <w:sz w:val="24"/>
              </w:rPr>
            </w:pPr>
          </w:p>
        </w:tc>
        <w:tc>
          <w:tcPr>
            <w:tcW w:w="3418" w:type="dxa"/>
            <w:gridSpan w:val="2"/>
            <w:vAlign w:val="center"/>
          </w:tcPr>
          <w:p>
            <w:pPr>
              <w:snapToGrid w:val="0"/>
              <w:jc w:val="center"/>
              <w:rPr>
                <w:rFonts w:ascii="宋体" w:hAnsi="宋体" w:cs="宋体"/>
                <w:bCs/>
                <w:sz w:val="24"/>
              </w:rPr>
            </w:pPr>
            <w:r>
              <w:rPr>
                <w:rFonts w:hint="eastAsia" w:ascii="宋体" w:hAnsi="宋体" w:cs="宋体"/>
                <w:bCs/>
                <w:sz w:val="24"/>
              </w:rPr>
              <w:t>功能板</w:t>
            </w:r>
          </w:p>
        </w:tc>
        <w:tc>
          <w:tcPr>
            <w:tcW w:w="1170" w:type="dxa"/>
            <w:vAlign w:val="center"/>
          </w:tcPr>
          <w:p>
            <w:pPr>
              <w:snapToGrid w:val="0"/>
              <w:jc w:val="center"/>
              <w:rPr>
                <w:rFonts w:ascii="宋体" w:hAnsi="宋体" w:cs="宋体"/>
                <w:bCs/>
                <w:sz w:val="24"/>
              </w:rPr>
            </w:pPr>
            <w:r>
              <w:rPr>
                <w:rFonts w:hint="eastAsia" w:ascii="宋体" w:hAnsi="宋体" w:cs="宋体"/>
                <w:bCs/>
                <w:sz w:val="24"/>
              </w:rPr>
              <w:t>1</w:t>
            </w:r>
          </w:p>
        </w:tc>
        <w:tc>
          <w:tcPr>
            <w:tcW w:w="1182" w:type="dxa"/>
            <w:vAlign w:val="center"/>
          </w:tcPr>
          <w:p>
            <w:pPr>
              <w:snapToGrid w:val="0"/>
              <w:jc w:val="center"/>
              <w:rPr>
                <w:rFonts w:ascii="宋体" w:hAnsi="宋体" w:cs="宋体"/>
                <w:bCs/>
                <w:sz w:val="24"/>
              </w:rPr>
            </w:pPr>
            <w:r>
              <w:rPr>
                <w:rFonts w:hint="eastAsia" w:ascii="宋体" w:hAnsi="宋体" w:cs="宋体"/>
                <w:bCs/>
                <w:sz w:val="24"/>
              </w:rPr>
              <w:t>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996" w:type="dxa"/>
            <w:vAlign w:val="center"/>
          </w:tcPr>
          <w:p>
            <w:pPr>
              <w:snapToGrid w:val="0"/>
              <w:jc w:val="center"/>
              <w:rPr>
                <w:rFonts w:ascii="宋体" w:hAnsi="宋体" w:cs="宋体"/>
                <w:bCs/>
                <w:sz w:val="24"/>
              </w:rPr>
            </w:pPr>
            <w:r>
              <w:rPr>
                <w:rFonts w:hint="eastAsia" w:ascii="宋体" w:hAnsi="宋体" w:cs="宋体"/>
                <w:bCs/>
                <w:sz w:val="24"/>
              </w:rPr>
              <w:t>31</w:t>
            </w:r>
          </w:p>
        </w:tc>
        <w:tc>
          <w:tcPr>
            <w:tcW w:w="2104" w:type="dxa"/>
            <w:vAlign w:val="center"/>
          </w:tcPr>
          <w:p>
            <w:pPr>
              <w:snapToGrid w:val="0"/>
              <w:jc w:val="center"/>
              <w:rPr>
                <w:rFonts w:ascii="宋体" w:hAnsi="宋体" w:cs="宋体"/>
                <w:bCs/>
                <w:sz w:val="24"/>
              </w:rPr>
            </w:pPr>
          </w:p>
        </w:tc>
        <w:tc>
          <w:tcPr>
            <w:tcW w:w="3418" w:type="dxa"/>
            <w:gridSpan w:val="2"/>
            <w:vAlign w:val="center"/>
          </w:tcPr>
          <w:p>
            <w:pPr>
              <w:snapToGrid w:val="0"/>
              <w:jc w:val="center"/>
              <w:rPr>
                <w:rFonts w:ascii="宋体" w:hAnsi="宋体" w:cs="宋体"/>
                <w:bCs/>
                <w:sz w:val="24"/>
              </w:rPr>
            </w:pPr>
            <w:r>
              <w:rPr>
                <w:rFonts w:hint="eastAsia" w:ascii="宋体" w:hAnsi="宋体" w:cs="宋体"/>
                <w:bCs/>
                <w:sz w:val="24"/>
              </w:rPr>
              <w:t>电源板</w:t>
            </w:r>
          </w:p>
        </w:tc>
        <w:tc>
          <w:tcPr>
            <w:tcW w:w="1170" w:type="dxa"/>
            <w:vAlign w:val="center"/>
          </w:tcPr>
          <w:p>
            <w:pPr>
              <w:snapToGrid w:val="0"/>
              <w:jc w:val="center"/>
              <w:rPr>
                <w:rFonts w:ascii="宋体" w:hAnsi="宋体" w:cs="宋体"/>
                <w:bCs/>
                <w:sz w:val="24"/>
              </w:rPr>
            </w:pPr>
            <w:r>
              <w:rPr>
                <w:rFonts w:hint="eastAsia" w:ascii="宋体" w:hAnsi="宋体" w:cs="宋体"/>
                <w:bCs/>
                <w:sz w:val="24"/>
              </w:rPr>
              <w:t>1</w:t>
            </w:r>
          </w:p>
        </w:tc>
        <w:tc>
          <w:tcPr>
            <w:tcW w:w="1182" w:type="dxa"/>
            <w:vAlign w:val="center"/>
          </w:tcPr>
          <w:p>
            <w:pPr>
              <w:snapToGrid w:val="0"/>
              <w:jc w:val="center"/>
              <w:rPr>
                <w:rFonts w:ascii="宋体" w:hAnsi="宋体" w:cs="宋体"/>
                <w:bCs/>
                <w:sz w:val="24"/>
              </w:rPr>
            </w:pPr>
            <w:r>
              <w:rPr>
                <w:rFonts w:hint="eastAsia" w:ascii="宋体" w:hAnsi="宋体" w:cs="宋体"/>
                <w:bCs/>
                <w:sz w:val="24"/>
              </w:rPr>
              <w:t>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996" w:type="dxa"/>
            <w:vAlign w:val="center"/>
          </w:tcPr>
          <w:p>
            <w:pPr>
              <w:snapToGrid w:val="0"/>
              <w:jc w:val="center"/>
              <w:rPr>
                <w:rFonts w:ascii="宋体" w:hAnsi="宋体" w:cs="宋体"/>
                <w:bCs/>
                <w:sz w:val="24"/>
              </w:rPr>
            </w:pPr>
            <w:r>
              <w:rPr>
                <w:rFonts w:hint="eastAsia" w:ascii="宋体" w:hAnsi="宋体" w:cs="宋体"/>
                <w:bCs/>
                <w:sz w:val="24"/>
              </w:rPr>
              <w:t>32</w:t>
            </w:r>
          </w:p>
        </w:tc>
        <w:tc>
          <w:tcPr>
            <w:tcW w:w="2104" w:type="dxa"/>
            <w:vAlign w:val="center"/>
          </w:tcPr>
          <w:p>
            <w:pPr>
              <w:snapToGrid w:val="0"/>
              <w:jc w:val="center"/>
              <w:rPr>
                <w:rFonts w:ascii="宋体" w:hAnsi="宋体" w:cs="宋体"/>
                <w:bCs/>
                <w:sz w:val="24"/>
              </w:rPr>
            </w:pPr>
            <w:r>
              <w:rPr>
                <w:rFonts w:hint="eastAsia" w:ascii="宋体" w:hAnsi="宋体" w:cs="宋体"/>
                <w:bCs/>
                <w:sz w:val="24"/>
              </w:rPr>
              <w:t>电源线</w:t>
            </w:r>
          </w:p>
        </w:tc>
        <w:tc>
          <w:tcPr>
            <w:tcW w:w="3418" w:type="dxa"/>
            <w:gridSpan w:val="2"/>
            <w:vAlign w:val="center"/>
          </w:tcPr>
          <w:p>
            <w:pPr>
              <w:snapToGrid w:val="0"/>
              <w:jc w:val="center"/>
              <w:rPr>
                <w:rFonts w:ascii="宋体" w:hAnsi="宋体" w:cs="宋体"/>
                <w:bCs/>
                <w:sz w:val="24"/>
              </w:rPr>
            </w:pPr>
            <w:r>
              <w:rPr>
                <w:rFonts w:hint="eastAsia" w:ascii="宋体" w:hAnsi="宋体" w:cs="宋体"/>
                <w:bCs/>
                <w:sz w:val="24"/>
              </w:rPr>
              <w:t>三相四线4.5米</w:t>
            </w:r>
          </w:p>
        </w:tc>
        <w:tc>
          <w:tcPr>
            <w:tcW w:w="1170" w:type="dxa"/>
            <w:vAlign w:val="center"/>
          </w:tcPr>
          <w:p>
            <w:pPr>
              <w:snapToGrid w:val="0"/>
              <w:jc w:val="center"/>
              <w:rPr>
                <w:rFonts w:ascii="宋体" w:hAnsi="宋体" w:cs="宋体"/>
                <w:bCs/>
                <w:sz w:val="24"/>
              </w:rPr>
            </w:pPr>
            <w:r>
              <w:rPr>
                <w:rFonts w:hint="eastAsia" w:ascii="宋体" w:hAnsi="宋体" w:cs="宋体"/>
                <w:bCs/>
                <w:sz w:val="24"/>
              </w:rPr>
              <w:t>1</w:t>
            </w:r>
          </w:p>
        </w:tc>
        <w:tc>
          <w:tcPr>
            <w:tcW w:w="1182" w:type="dxa"/>
            <w:vAlign w:val="center"/>
          </w:tcPr>
          <w:p>
            <w:pPr>
              <w:snapToGrid w:val="0"/>
              <w:jc w:val="center"/>
              <w:rPr>
                <w:rFonts w:ascii="宋体" w:hAnsi="宋体" w:cs="宋体"/>
                <w:bCs/>
                <w:sz w:val="24"/>
              </w:rPr>
            </w:pPr>
            <w:r>
              <w:rPr>
                <w:rFonts w:hint="eastAsia" w:ascii="宋体" w:hAnsi="宋体" w:cs="宋体"/>
                <w:bCs/>
                <w:sz w:val="24"/>
              </w:rPr>
              <w:t>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996" w:type="dxa"/>
            <w:vAlign w:val="center"/>
          </w:tcPr>
          <w:p>
            <w:pPr>
              <w:snapToGrid w:val="0"/>
              <w:jc w:val="center"/>
              <w:rPr>
                <w:rFonts w:ascii="宋体" w:hAnsi="宋体" w:cs="宋体"/>
                <w:bCs/>
                <w:sz w:val="24"/>
              </w:rPr>
            </w:pPr>
            <w:r>
              <w:rPr>
                <w:rFonts w:hint="eastAsia" w:ascii="宋体" w:hAnsi="宋体" w:cs="宋体"/>
                <w:bCs/>
                <w:sz w:val="24"/>
              </w:rPr>
              <w:t>33</w:t>
            </w:r>
          </w:p>
        </w:tc>
        <w:tc>
          <w:tcPr>
            <w:tcW w:w="2104" w:type="dxa"/>
            <w:vAlign w:val="center"/>
          </w:tcPr>
          <w:p>
            <w:pPr>
              <w:snapToGrid w:val="0"/>
              <w:jc w:val="center"/>
              <w:rPr>
                <w:rFonts w:ascii="宋体" w:hAnsi="宋体" w:cs="宋体"/>
                <w:bCs/>
                <w:sz w:val="24"/>
              </w:rPr>
            </w:pPr>
            <w:r>
              <w:rPr>
                <w:rFonts w:hint="eastAsia" w:ascii="宋体" w:hAnsi="宋体" w:cs="宋体"/>
                <w:bCs/>
                <w:sz w:val="24"/>
              </w:rPr>
              <w:t>走线槽</w:t>
            </w:r>
          </w:p>
        </w:tc>
        <w:tc>
          <w:tcPr>
            <w:tcW w:w="3418" w:type="dxa"/>
            <w:gridSpan w:val="2"/>
            <w:vAlign w:val="center"/>
          </w:tcPr>
          <w:p>
            <w:pPr>
              <w:snapToGrid w:val="0"/>
              <w:jc w:val="center"/>
              <w:rPr>
                <w:rFonts w:ascii="宋体" w:hAnsi="宋体" w:cs="宋体"/>
                <w:bCs/>
                <w:sz w:val="24"/>
              </w:rPr>
            </w:pPr>
            <w:r>
              <w:rPr>
                <w:rFonts w:hint="eastAsia" w:ascii="宋体" w:hAnsi="宋体" w:cs="宋体"/>
                <w:bCs/>
                <w:sz w:val="24"/>
              </w:rPr>
              <w:t>35×35</w:t>
            </w:r>
          </w:p>
        </w:tc>
        <w:tc>
          <w:tcPr>
            <w:tcW w:w="1170" w:type="dxa"/>
            <w:vAlign w:val="center"/>
          </w:tcPr>
          <w:p>
            <w:pPr>
              <w:snapToGrid w:val="0"/>
              <w:jc w:val="center"/>
              <w:rPr>
                <w:rFonts w:ascii="宋体" w:hAnsi="宋体" w:cs="宋体"/>
                <w:bCs/>
                <w:sz w:val="24"/>
              </w:rPr>
            </w:pPr>
            <w:r>
              <w:rPr>
                <w:rFonts w:hint="eastAsia" w:ascii="宋体" w:hAnsi="宋体" w:cs="宋体"/>
                <w:bCs/>
                <w:sz w:val="24"/>
              </w:rPr>
              <w:t>6</w:t>
            </w:r>
          </w:p>
        </w:tc>
        <w:tc>
          <w:tcPr>
            <w:tcW w:w="1182" w:type="dxa"/>
            <w:vAlign w:val="center"/>
          </w:tcPr>
          <w:p>
            <w:pPr>
              <w:snapToGrid w:val="0"/>
              <w:jc w:val="center"/>
              <w:rPr>
                <w:rFonts w:ascii="宋体" w:hAnsi="宋体" w:cs="宋体"/>
                <w:bCs/>
                <w:sz w:val="24"/>
              </w:rPr>
            </w:pPr>
            <w:r>
              <w:rPr>
                <w:rFonts w:hint="eastAsia" w:ascii="宋体" w:hAnsi="宋体" w:cs="宋体"/>
                <w:bCs/>
                <w:sz w:val="24"/>
              </w:rPr>
              <w:t>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996" w:type="dxa"/>
            <w:vAlign w:val="center"/>
          </w:tcPr>
          <w:p>
            <w:pPr>
              <w:snapToGrid w:val="0"/>
              <w:jc w:val="center"/>
              <w:rPr>
                <w:rFonts w:ascii="宋体" w:hAnsi="宋体" w:cs="宋体"/>
                <w:bCs/>
                <w:sz w:val="24"/>
              </w:rPr>
            </w:pPr>
            <w:r>
              <w:rPr>
                <w:rFonts w:hint="eastAsia" w:ascii="宋体" w:hAnsi="宋体" w:cs="宋体"/>
                <w:bCs/>
                <w:sz w:val="24"/>
              </w:rPr>
              <w:t>34</w:t>
            </w:r>
          </w:p>
        </w:tc>
        <w:tc>
          <w:tcPr>
            <w:tcW w:w="2104" w:type="dxa"/>
            <w:vAlign w:val="center"/>
          </w:tcPr>
          <w:p>
            <w:pPr>
              <w:snapToGrid w:val="0"/>
              <w:jc w:val="center"/>
              <w:rPr>
                <w:rFonts w:ascii="宋体" w:hAnsi="宋体" w:cs="宋体"/>
                <w:bCs/>
                <w:sz w:val="24"/>
              </w:rPr>
            </w:pPr>
            <w:r>
              <w:rPr>
                <w:rFonts w:hint="eastAsia" w:ascii="宋体" w:hAnsi="宋体" w:cs="宋体"/>
                <w:bCs/>
                <w:sz w:val="24"/>
              </w:rPr>
              <w:t>附件</w:t>
            </w:r>
          </w:p>
        </w:tc>
        <w:tc>
          <w:tcPr>
            <w:tcW w:w="3418" w:type="dxa"/>
            <w:gridSpan w:val="2"/>
            <w:vAlign w:val="center"/>
          </w:tcPr>
          <w:p>
            <w:pPr>
              <w:snapToGrid w:val="0"/>
              <w:jc w:val="center"/>
              <w:rPr>
                <w:rFonts w:ascii="宋体" w:hAnsi="宋体" w:cs="宋体"/>
                <w:bCs/>
                <w:sz w:val="24"/>
              </w:rPr>
            </w:pPr>
            <w:r>
              <w:rPr>
                <w:rFonts w:hint="eastAsia" w:ascii="宋体" w:hAnsi="宋体" w:cs="宋体"/>
                <w:bCs/>
                <w:sz w:val="24"/>
              </w:rPr>
              <w:t>螺丝、螺帽</w:t>
            </w:r>
          </w:p>
        </w:tc>
        <w:tc>
          <w:tcPr>
            <w:tcW w:w="1170" w:type="dxa"/>
            <w:vAlign w:val="center"/>
          </w:tcPr>
          <w:p>
            <w:pPr>
              <w:snapToGrid w:val="0"/>
              <w:jc w:val="center"/>
              <w:rPr>
                <w:rFonts w:ascii="宋体" w:hAnsi="宋体" w:cs="宋体"/>
                <w:bCs/>
                <w:sz w:val="24"/>
              </w:rPr>
            </w:pPr>
            <w:r>
              <w:rPr>
                <w:rFonts w:hint="eastAsia" w:ascii="宋体" w:hAnsi="宋体" w:cs="宋体"/>
                <w:bCs/>
                <w:sz w:val="24"/>
              </w:rPr>
              <w:t>1</w:t>
            </w:r>
          </w:p>
        </w:tc>
        <w:tc>
          <w:tcPr>
            <w:tcW w:w="1182" w:type="dxa"/>
            <w:vAlign w:val="center"/>
          </w:tcPr>
          <w:p>
            <w:pPr>
              <w:snapToGrid w:val="0"/>
              <w:jc w:val="center"/>
              <w:rPr>
                <w:rFonts w:ascii="宋体" w:hAnsi="宋体" w:cs="宋体"/>
                <w:bCs/>
                <w:sz w:val="24"/>
              </w:rPr>
            </w:pPr>
            <w:r>
              <w:rPr>
                <w:rFonts w:hint="eastAsia" w:ascii="宋体" w:hAnsi="宋体" w:cs="宋体"/>
                <w:bCs/>
                <w:sz w:val="24"/>
              </w:rPr>
              <w:t>套</w:t>
            </w:r>
          </w:p>
        </w:tc>
      </w:tr>
    </w:tbl>
    <w:p>
      <w:pPr>
        <w:spacing w:line="560" w:lineRule="exact"/>
        <w:ind w:firstLine="600" w:firstLineChars="200"/>
        <w:rPr>
          <w:rFonts w:ascii="仿宋_GB2312" w:hAnsi="宋体" w:eastAsia="仿宋_GB2312"/>
          <w:color w:val="000000"/>
          <w:sz w:val="30"/>
          <w:szCs w:val="30"/>
        </w:rPr>
      </w:pPr>
      <w:r>
        <w:rPr>
          <w:rFonts w:hint="eastAsia" w:ascii="仿宋_GB2312" w:hAnsi="宋体" w:eastAsia="仿宋_GB2312"/>
          <w:color w:val="000000"/>
          <w:sz w:val="30"/>
          <w:szCs w:val="30"/>
        </w:rPr>
        <w:t>2.单台高仿真电梯实物模型（每套含2台）器材清单如下：</w:t>
      </w:r>
    </w:p>
    <w:tbl>
      <w:tblPr>
        <w:tblStyle w:val="9"/>
        <w:tblW w:w="887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3"/>
        <w:gridCol w:w="2115"/>
        <w:gridCol w:w="3906"/>
        <w:gridCol w:w="949"/>
        <w:gridCol w:w="9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983" w:type="dxa"/>
            <w:vAlign w:val="center"/>
          </w:tcPr>
          <w:p>
            <w:pPr>
              <w:autoSpaceDE w:val="0"/>
              <w:autoSpaceDN w:val="0"/>
              <w:adjustRightInd w:val="0"/>
              <w:jc w:val="center"/>
              <w:rPr>
                <w:rFonts w:ascii="宋体" w:hAnsi="宋体" w:cs="宋体"/>
                <w:b/>
                <w:sz w:val="24"/>
                <w:szCs w:val="24"/>
              </w:rPr>
            </w:pPr>
            <w:r>
              <w:rPr>
                <w:rFonts w:hint="eastAsia" w:ascii="宋体" w:hAnsi="宋体" w:cs="宋体"/>
                <w:b/>
                <w:sz w:val="24"/>
                <w:szCs w:val="24"/>
              </w:rPr>
              <w:t>序号</w:t>
            </w:r>
          </w:p>
        </w:tc>
        <w:tc>
          <w:tcPr>
            <w:tcW w:w="2115" w:type="dxa"/>
            <w:vAlign w:val="center"/>
          </w:tcPr>
          <w:p>
            <w:pPr>
              <w:autoSpaceDE w:val="0"/>
              <w:autoSpaceDN w:val="0"/>
              <w:adjustRightInd w:val="0"/>
              <w:jc w:val="center"/>
              <w:rPr>
                <w:rFonts w:ascii="宋体" w:hAnsi="宋体" w:cs="宋体"/>
                <w:b/>
                <w:sz w:val="24"/>
                <w:szCs w:val="24"/>
              </w:rPr>
            </w:pPr>
            <w:r>
              <w:rPr>
                <w:rFonts w:hint="eastAsia" w:ascii="宋体" w:hAnsi="宋体" w:cs="宋体"/>
                <w:b/>
                <w:sz w:val="24"/>
                <w:szCs w:val="24"/>
              </w:rPr>
              <w:t>器材名称</w:t>
            </w:r>
          </w:p>
        </w:tc>
        <w:tc>
          <w:tcPr>
            <w:tcW w:w="3906" w:type="dxa"/>
            <w:vAlign w:val="center"/>
          </w:tcPr>
          <w:p>
            <w:pPr>
              <w:autoSpaceDE w:val="0"/>
              <w:autoSpaceDN w:val="0"/>
              <w:adjustRightInd w:val="0"/>
              <w:jc w:val="center"/>
              <w:rPr>
                <w:rFonts w:ascii="宋体" w:hAnsi="宋体" w:cs="宋体"/>
                <w:b/>
                <w:sz w:val="24"/>
                <w:szCs w:val="24"/>
              </w:rPr>
            </w:pPr>
            <w:r>
              <w:rPr>
                <w:rFonts w:hint="eastAsia" w:ascii="宋体" w:hAnsi="宋体" w:cs="宋体"/>
                <w:b/>
                <w:sz w:val="24"/>
                <w:szCs w:val="24"/>
              </w:rPr>
              <w:t>器材规格或型号</w:t>
            </w:r>
          </w:p>
        </w:tc>
        <w:tc>
          <w:tcPr>
            <w:tcW w:w="949" w:type="dxa"/>
            <w:vAlign w:val="center"/>
          </w:tcPr>
          <w:p>
            <w:pPr>
              <w:autoSpaceDE w:val="0"/>
              <w:autoSpaceDN w:val="0"/>
              <w:adjustRightInd w:val="0"/>
              <w:jc w:val="center"/>
              <w:rPr>
                <w:rFonts w:ascii="宋体" w:hAnsi="宋体" w:cs="宋体"/>
                <w:b/>
                <w:sz w:val="24"/>
                <w:szCs w:val="24"/>
              </w:rPr>
            </w:pPr>
            <w:r>
              <w:rPr>
                <w:rFonts w:hint="eastAsia" w:ascii="宋体" w:hAnsi="宋体" w:cs="宋体"/>
                <w:b/>
                <w:sz w:val="24"/>
                <w:szCs w:val="24"/>
              </w:rPr>
              <w:t>数量</w:t>
            </w:r>
          </w:p>
        </w:tc>
        <w:tc>
          <w:tcPr>
            <w:tcW w:w="917" w:type="dxa"/>
            <w:vAlign w:val="center"/>
          </w:tcPr>
          <w:p>
            <w:pPr>
              <w:autoSpaceDE w:val="0"/>
              <w:autoSpaceDN w:val="0"/>
              <w:adjustRightInd w:val="0"/>
              <w:jc w:val="center"/>
              <w:rPr>
                <w:rFonts w:ascii="宋体" w:hAnsi="宋体" w:cs="宋体"/>
                <w:b/>
                <w:sz w:val="24"/>
                <w:szCs w:val="24"/>
              </w:rPr>
            </w:pPr>
            <w:r>
              <w:rPr>
                <w:rFonts w:hint="eastAsia" w:ascii="宋体" w:hAnsi="宋体" w:cs="宋体"/>
                <w:b/>
                <w:sz w:val="24"/>
                <w:szCs w:val="24"/>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983"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1</w:t>
            </w:r>
          </w:p>
        </w:tc>
        <w:tc>
          <w:tcPr>
            <w:tcW w:w="2115"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结构钢架</w:t>
            </w:r>
          </w:p>
        </w:tc>
        <w:tc>
          <w:tcPr>
            <w:tcW w:w="3906"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1000×900×2500mm</w:t>
            </w:r>
          </w:p>
        </w:tc>
        <w:tc>
          <w:tcPr>
            <w:tcW w:w="949"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1</w:t>
            </w:r>
          </w:p>
        </w:tc>
        <w:tc>
          <w:tcPr>
            <w:tcW w:w="917"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983"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2</w:t>
            </w:r>
          </w:p>
        </w:tc>
        <w:tc>
          <w:tcPr>
            <w:tcW w:w="2115"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层门装置</w:t>
            </w:r>
          </w:p>
        </w:tc>
        <w:tc>
          <w:tcPr>
            <w:tcW w:w="3906"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370×310mm</w:t>
            </w:r>
          </w:p>
        </w:tc>
        <w:tc>
          <w:tcPr>
            <w:tcW w:w="949"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4</w:t>
            </w:r>
          </w:p>
        </w:tc>
        <w:tc>
          <w:tcPr>
            <w:tcW w:w="917"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983"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3</w:t>
            </w:r>
          </w:p>
        </w:tc>
        <w:tc>
          <w:tcPr>
            <w:tcW w:w="2115"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轿门装置</w:t>
            </w:r>
          </w:p>
        </w:tc>
        <w:tc>
          <w:tcPr>
            <w:tcW w:w="3906"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370×310mm</w:t>
            </w:r>
          </w:p>
        </w:tc>
        <w:tc>
          <w:tcPr>
            <w:tcW w:w="949"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1</w:t>
            </w:r>
          </w:p>
        </w:tc>
        <w:tc>
          <w:tcPr>
            <w:tcW w:w="917"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983"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4</w:t>
            </w:r>
          </w:p>
        </w:tc>
        <w:tc>
          <w:tcPr>
            <w:tcW w:w="2115"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轿架</w:t>
            </w:r>
          </w:p>
        </w:tc>
        <w:tc>
          <w:tcPr>
            <w:tcW w:w="3906"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700×600×160mm</w:t>
            </w:r>
          </w:p>
        </w:tc>
        <w:tc>
          <w:tcPr>
            <w:tcW w:w="949"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1</w:t>
            </w:r>
          </w:p>
        </w:tc>
        <w:tc>
          <w:tcPr>
            <w:tcW w:w="917"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983"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5</w:t>
            </w:r>
          </w:p>
        </w:tc>
        <w:tc>
          <w:tcPr>
            <w:tcW w:w="2115"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安全钳</w:t>
            </w:r>
          </w:p>
        </w:tc>
        <w:tc>
          <w:tcPr>
            <w:tcW w:w="3906" w:type="dxa"/>
            <w:vAlign w:val="center"/>
          </w:tcPr>
          <w:p>
            <w:pPr>
              <w:autoSpaceDE w:val="0"/>
              <w:autoSpaceDN w:val="0"/>
              <w:adjustRightInd w:val="0"/>
              <w:jc w:val="center"/>
              <w:rPr>
                <w:rFonts w:ascii="宋体" w:hAnsi="宋体" w:cs="宋体"/>
                <w:sz w:val="24"/>
                <w:szCs w:val="24"/>
              </w:rPr>
            </w:pPr>
          </w:p>
        </w:tc>
        <w:tc>
          <w:tcPr>
            <w:tcW w:w="949"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1</w:t>
            </w:r>
          </w:p>
        </w:tc>
        <w:tc>
          <w:tcPr>
            <w:tcW w:w="917"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983"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6</w:t>
            </w:r>
          </w:p>
        </w:tc>
        <w:tc>
          <w:tcPr>
            <w:tcW w:w="2115"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导靴</w:t>
            </w:r>
          </w:p>
        </w:tc>
        <w:tc>
          <w:tcPr>
            <w:tcW w:w="3906" w:type="dxa"/>
            <w:vAlign w:val="center"/>
          </w:tcPr>
          <w:p>
            <w:pPr>
              <w:autoSpaceDE w:val="0"/>
              <w:autoSpaceDN w:val="0"/>
              <w:adjustRightInd w:val="0"/>
              <w:jc w:val="center"/>
              <w:rPr>
                <w:rFonts w:ascii="宋体" w:hAnsi="宋体" w:cs="宋体"/>
                <w:sz w:val="24"/>
                <w:szCs w:val="24"/>
              </w:rPr>
            </w:pPr>
          </w:p>
        </w:tc>
        <w:tc>
          <w:tcPr>
            <w:tcW w:w="949"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4</w:t>
            </w:r>
          </w:p>
        </w:tc>
        <w:tc>
          <w:tcPr>
            <w:tcW w:w="917"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983"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7</w:t>
            </w:r>
          </w:p>
        </w:tc>
        <w:tc>
          <w:tcPr>
            <w:tcW w:w="2115"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限速器</w:t>
            </w:r>
          </w:p>
        </w:tc>
        <w:tc>
          <w:tcPr>
            <w:tcW w:w="3906"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0.4m/s</w:t>
            </w:r>
          </w:p>
        </w:tc>
        <w:tc>
          <w:tcPr>
            <w:tcW w:w="949"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1</w:t>
            </w:r>
          </w:p>
        </w:tc>
        <w:tc>
          <w:tcPr>
            <w:tcW w:w="917"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983"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8</w:t>
            </w:r>
          </w:p>
        </w:tc>
        <w:tc>
          <w:tcPr>
            <w:tcW w:w="2115"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对重装置</w:t>
            </w:r>
          </w:p>
        </w:tc>
        <w:tc>
          <w:tcPr>
            <w:tcW w:w="3906"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50Kg</w:t>
            </w:r>
          </w:p>
        </w:tc>
        <w:tc>
          <w:tcPr>
            <w:tcW w:w="949"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1</w:t>
            </w:r>
          </w:p>
        </w:tc>
        <w:tc>
          <w:tcPr>
            <w:tcW w:w="917"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983"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9</w:t>
            </w:r>
          </w:p>
        </w:tc>
        <w:tc>
          <w:tcPr>
            <w:tcW w:w="2115"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召换盒</w:t>
            </w:r>
          </w:p>
        </w:tc>
        <w:tc>
          <w:tcPr>
            <w:tcW w:w="3906"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80×55×230mm</w:t>
            </w:r>
          </w:p>
        </w:tc>
        <w:tc>
          <w:tcPr>
            <w:tcW w:w="949"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4</w:t>
            </w:r>
          </w:p>
        </w:tc>
        <w:tc>
          <w:tcPr>
            <w:tcW w:w="917"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983"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10</w:t>
            </w:r>
          </w:p>
        </w:tc>
        <w:tc>
          <w:tcPr>
            <w:tcW w:w="2115"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操作箱</w:t>
            </w:r>
          </w:p>
        </w:tc>
        <w:tc>
          <w:tcPr>
            <w:tcW w:w="3906"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100×55×260mm</w:t>
            </w:r>
          </w:p>
        </w:tc>
        <w:tc>
          <w:tcPr>
            <w:tcW w:w="949"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1</w:t>
            </w:r>
          </w:p>
        </w:tc>
        <w:tc>
          <w:tcPr>
            <w:tcW w:w="917"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983"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11</w:t>
            </w:r>
          </w:p>
        </w:tc>
        <w:tc>
          <w:tcPr>
            <w:tcW w:w="2115"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空心导轨</w:t>
            </w:r>
          </w:p>
        </w:tc>
        <w:tc>
          <w:tcPr>
            <w:tcW w:w="3906"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TK3/2.5m</w:t>
            </w:r>
          </w:p>
        </w:tc>
        <w:tc>
          <w:tcPr>
            <w:tcW w:w="949"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2</w:t>
            </w:r>
          </w:p>
        </w:tc>
        <w:tc>
          <w:tcPr>
            <w:tcW w:w="917"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983"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12</w:t>
            </w:r>
          </w:p>
        </w:tc>
        <w:tc>
          <w:tcPr>
            <w:tcW w:w="2115"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曳引机</w:t>
            </w:r>
          </w:p>
        </w:tc>
        <w:tc>
          <w:tcPr>
            <w:tcW w:w="3906"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YJ90</w:t>
            </w:r>
          </w:p>
        </w:tc>
        <w:tc>
          <w:tcPr>
            <w:tcW w:w="949"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1</w:t>
            </w:r>
          </w:p>
        </w:tc>
        <w:tc>
          <w:tcPr>
            <w:tcW w:w="917"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983"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13</w:t>
            </w:r>
          </w:p>
        </w:tc>
        <w:tc>
          <w:tcPr>
            <w:tcW w:w="2115"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直流电机</w:t>
            </w:r>
          </w:p>
        </w:tc>
        <w:tc>
          <w:tcPr>
            <w:tcW w:w="3906"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ZGB60FM31i/ DC:24V/rpm:130</w:t>
            </w:r>
          </w:p>
        </w:tc>
        <w:tc>
          <w:tcPr>
            <w:tcW w:w="949"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1</w:t>
            </w:r>
          </w:p>
        </w:tc>
        <w:tc>
          <w:tcPr>
            <w:tcW w:w="917"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983"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14</w:t>
            </w:r>
          </w:p>
        </w:tc>
        <w:tc>
          <w:tcPr>
            <w:tcW w:w="2115"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永磁感应器</w:t>
            </w:r>
          </w:p>
        </w:tc>
        <w:tc>
          <w:tcPr>
            <w:tcW w:w="3906"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YG-1</w:t>
            </w:r>
          </w:p>
        </w:tc>
        <w:tc>
          <w:tcPr>
            <w:tcW w:w="949"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10</w:t>
            </w:r>
          </w:p>
        </w:tc>
        <w:tc>
          <w:tcPr>
            <w:tcW w:w="917"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983"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15</w:t>
            </w:r>
          </w:p>
        </w:tc>
        <w:tc>
          <w:tcPr>
            <w:tcW w:w="2115"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双稳态磁保开关</w:t>
            </w:r>
          </w:p>
        </w:tc>
        <w:tc>
          <w:tcPr>
            <w:tcW w:w="3906"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KCB-1</w:t>
            </w:r>
          </w:p>
        </w:tc>
        <w:tc>
          <w:tcPr>
            <w:tcW w:w="949"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1</w:t>
            </w:r>
          </w:p>
        </w:tc>
        <w:tc>
          <w:tcPr>
            <w:tcW w:w="917"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983"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16</w:t>
            </w:r>
          </w:p>
        </w:tc>
        <w:tc>
          <w:tcPr>
            <w:tcW w:w="2115"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环形磁钢</w:t>
            </w:r>
          </w:p>
        </w:tc>
        <w:tc>
          <w:tcPr>
            <w:tcW w:w="3906" w:type="dxa"/>
            <w:vAlign w:val="center"/>
          </w:tcPr>
          <w:p>
            <w:pPr>
              <w:autoSpaceDE w:val="0"/>
              <w:autoSpaceDN w:val="0"/>
              <w:adjustRightInd w:val="0"/>
              <w:jc w:val="center"/>
              <w:rPr>
                <w:rFonts w:ascii="宋体" w:hAnsi="宋体" w:cs="宋体"/>
                <w:sz w:val="24"/>
                <w:szCs w:val="24"/>
              </w:rPr>
            </w:pPr>
          </w:p>
        </w:tc>
        <w:tc>
          <w:tcPr>
            <w:tcW w:w="949"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8</w:t>
            </w:r>
          </w:p>
        </w:tc>
        <w:tc>
          <w:tcPr>
            <w:tcW w:w="917"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983"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17</w:t>
            </w:r>
          </w:p>
        </w:tc>
        <w:tc>
          <w:tcPr>
            <w:tcW w:w="2115"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限位开关</w:t>
            </w:r>
          </w:p>
        </w:tc>
        <w:tc>
          <w:tcPr>
            <w:tcW w:w="3906"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VM3-03N-40-U56</w:t>
            </w:r>
          </w:p>
        </w:tc>
        <w:tc>
          <w:tcPr>
            <w:tcW w:w="949"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9</w:t>
            </w:r>
          </w:p>
        </w:tc>
        <w:tc>
          <w:tcPr>
            <w:tcW w:w="917"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983"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18</w:t>
            </w:r>
          </w:p>
        </w:tc>
        <w:tc>
          <w:tcPr>
            <w:tcW w:w="2115"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行程开关</w:t>
            </w:r>
          </w:p>
        </w:tc>
        <w:tc>
          <w:tcPr>
            <w:tcW w:w="3906"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JW2A-11H/L7H</w:t>
            </w:r>
          </w:p>
        </w:tc>
        <w:tc>
          <w:tcPr>
            <w:tcW w:w="949"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2</w:t>
            </w:r>
          </w:p>
        </w:tc>
        <w:tc>
          <w:tcPr>
            <w:tcW w:w="917"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983"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19</w:t>
            </w:r>
          </w:p>
        </w:tc>
        <w:tc>
          <w:tcPr>
            <w:tcW w:w="2115"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接线端子板</w:t>
            </w:r>
          </w:p>
        </w:tc>
        <w:tc>
          <w:tcPr>
            <w:tcW w:w="3906"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TB-1510L</w:t>
            </w:r>
          </w:p>
        </w:tc>
        <w:tc>
          <w:tcPr>
            <w:tcW w:w="949"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2</w:t>
            </w:r>
          </w:p>
        </w:tc>
        <w:tc>
          <w:tcPr>
            <w:tcW w:w="917"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983"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20</w:t>
            </w:r>
          </w:p>
        </w:tc>
        <w:tc>
          <w:tcPr>
            <w:tcW w:w="2115"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电梯按钮</w:t>
            </w:r>
          </w:p>
        </w:tc>
        <w:tc>
          <w:tcPr>
            <w:tcW w:w="3906"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DS-3蓝光</w:t>
            </w:r>
          </w:p>
        </w:tc>
        <w:tc>
          <w:tcPr>
            <w:tcW w:w="949"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1</w:t>
            </w:r>
          </w:p>
        </w:tc>
        <w:tc>
          <w:tcPr>
            <w:tcW w:w="917"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983"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21</w:t>
            </w:r>
          </w:p>
        </w:tc>
        <w:tc>
          <w:tcPr>
            <w:tcW w:w="2115"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电梯锁</w:t>
            </w:r>
          </w:p>
        </w:tc>
        <w:tc>
          <w:tcPr>
            <w:tcW w:w="3906"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DS-3</w:t>
            </w:r>
          </w:p>
        </w:tc>
        <w:tc>
          <w:tcPr>
            <w:tcW w:w="949"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1</w:t>
            </w:r>
          </w:p>
        </w:tc>
        <w:tc>
          <w:tcPr>
            <w:tcW w:w="917"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983"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22</w:t>
            </w:r>
          </w:p>
        </w:tc>
        <w:tc>
          <w:tcPr>
            <w:tcW w:w="2115"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钮子开关</w:t>
            </w:r>
          </w:p>
        </w:tc>
        <w:tc>
          <w:tcPr>
            <w:tcW w:w="3906"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KN32</w:t>
            </w:r>
          </w:p>
        </w:tc>
        <w:tc>
          <w:tcPr>
            <w:tcW w:w="949"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1</w:t>
            </w:r>
          </w:p>
        </w:tc>
        <w:tc>
          <w:tcPr>
            <w:tcW w:w="917"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983"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23</w:t>
            </w:r>
          </w:p>
        </w:tc>
        <w:tc>
          <w:tcPr>
            <w:tcW w:w="2115"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同步轮</w:t>
            </w:r>
          </w:p>
        </w:tc>
        <w:tc>
          <w:tcPr>
            <w:tcW w:w="3906"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ATP30XL050-B</w:t>
            </w:r>
          </w:p>
        </w:tc>
        <w:tc>
          <w:tcPr>
            <w:tcW w:w="949"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2</w:t>
            </w:r>
          </w:p>
        </w:tc>
        <w:tc>
          <w:tcPr>
            <w:tcW w:w="917"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983"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24</w:t>
            </w:r>
          </w:p>
        </w:tc>
        <w:tc>
          <w:tcPr>
            <w:tcW w:w="2115"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同步带</w:t>
            </w:r>
          </w:p>
        </w:tc>
        <w:tc>
          <w:tcPr>
            <w:tcW w:w="3906"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612XL050</w:t>
            </w:r>
          </w:p>
        </w:tc>
        <w:tc>
          <w:tcPr>
            <w:tcW w:w="949"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1</w:t>
            </w:r>
          </w:p>
        </w:tc>
        <w:tc>
          <w:tcPr>
            <w:tcW w:w="917"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983"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25</w:t>
            </w:r>
          </w:p>
        </w:tc>
        <w:tc>
          <w:tcPr>
            <w:tcW w:w="2115"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光电编码盘</w:t>
            </w:r>
          </w:p>
        </w:tc>
        <w:tc>
          <w:tcPr>
            <w:tcW w:w="3906"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ZKT8030-002J-1024BZ2/12-24C</w:t>
            </w:r>
          </w:p>
        </w:tc>
        <w:tc>
          <w:tcPr>
            <w:tcW w:w="949"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1</w:t>
            </w:r>
          </w:p>
        </w:tc>
        <w:tc>
          <w:tcPr>
            <w:tcW w:w="917"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983"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26</w:t>
            </w:r>
          </w:p>
        </w:tc>
        <w:tc>
          <w:tcPr>
            <w:tcW w:w="2115"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走线槽</w:t>
            </w:r>
          </w:p>
        </w:tc>
        <w:tc>
          <w:tcPr>
            <w:tcW w:w="3906"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50×50</w:t>
            </w:r>
          </w:p>
        </w:tc>
        <w:tc>
          <w:tcPr>
            <w:tcW w:w="949"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2.5</w:t>
            </w:r>
          </w:p>
        </w:tc>
        <w:tc>
          <w:tcPr>
            <w:tcW w:w="917"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983"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27</w:t>
            </w:r>
          </w:p>
        </w:tc>
        <w:tc>
          <w:tcPr>
            <w:tcW w:w="2115"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航空插座</w:t>
            </w:r>
          </w:p>
        </w:tc>
        <w:tc>
          <w:tcPr>
            <w:tcW w:w="3906"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YD48K42Z</w:t>
            </w:r>
          </w:p>
        </w:tc>
        <w:tc>
          <w:tcPr>
            <w:tcW w:w="949"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1</w:t>
            </w:r>
          </w:p>
        </w:tc>
        <w:tc>
          <w:tcPr>
            <w:tcW w:w="917"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983"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28</w:t>
            </w:r>
          </w:p>
        </w:tc>
        <w:tc>
          <w:tcPr>
            <w:tcW w:w="2115" w:type="dxa"/>
            <w:vAlign w:val="center"/>
          </w:tcPr>
          <w:p>
            <w:pPr>
              <w:autoSpaceDE w:val="0"/>
              <w:autoSpaceDN w:val="0"/>
              <w:adjustRightInd w:val="0"/>
              <w:jc w:val="center"/>
              <w:rPr>
                <w:rFonts w:ascii="宋体" w:hAnsi="宋体" w:cs="宋体"/>
                <w:sz w:val="24"/>
                <w:szCs w:val="24"/>
              </w:rPr>
            </w:pPr>
          </w:p>
        </w:tc>
        <w:tc>
          <w:tcPr>
            <w:tcW w:w="3906"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YD40J31Z</w:t>
            </w:r>
          </w:p>
        </w:tc>
        <w:tc>
          <w:tcPr>
            <w:tcW w:w="949"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1</w:t>
            </w:r>
          </w:p>
        </w:tc>
        <w:tc>
          <w:tcPr>
            <w:tcW w:w="917"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983"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29</w:t>
            </w:r>
          </w:p>
        </w:tc>
        <w:tc>
          <w:tcPr>
            <w:tcW w:w="2115" w:type="dxa"/>
            <w:vAlign w:val="center"/>
          </w:tcPr>
          <w:p>
            <w:pPr>
              <w:autoSpaceDE w:val="0"/>
              <w:autoSpaceDN w:val="0"/>
              <w:adjustRightInd w:val="0"/>
              <w:jc w:val="center"/>
              <w:rPr>
                <w:rFonts w:ascii="宋体" w:hAnsi="宋体" w:cs="宋体"/>
                <w:sz w:val="24"/>
                <w:szCs w:val="24"/>
              </w:rPr>
            </w:pPr>
          </w:p>
        </w:tc>
        <w:tc>
          <w:tcPr>
            <w:tcW w:w="3906"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YD28K10Z</w:t>
            </w:r>
          </w:p>
        </w:tc>
        <w:tc>
          <w:tcPr>
            <w:tcW w:w="949"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1</w:t>
            </w:r>
          </w:p>
        </w:tc>
        <w:tc>
          <w:tcPr>
            <w:tcW w:w="917"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983"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30</w:t>
            </w:r>
          </w:p>
        </w:tc>
        <w:tc>
          <w:tcPr>
            <w:tcW w:w="2115"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航空电缆</w:t>
            </w:r>
          </w:p>
        </w:tc>
        <w:tc>
          <w:tcPr>
            <w:tcW w:w="3906"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48芯2米、31芯2米、10芯2米</w:t>
            </w:r>
          </w:p>
        </w:tc>
        <w:tc>
          <w:tcPr>
            <w:tcW w:w="949"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各1</w:t>
            </w:r>
          </w:p>
        </w:tc>
        <w:tc>
          <w:tcPr>
            <w:tcW w:w="917"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983"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31</w:t>
            </w:r>
          </w:p>
        </w:tc>
        <w:tc>
          <w:tcPr>
            <w:tcW w:w="2115"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滑轮</w:t>
            </w:r>
          </w:p>
        </w:tc>
        <w:tc>
          <w:tcPr>
            <w:tcW w:w="3906"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L-023</w:t>
            </w:r>
          </w:p>
        </w:tc>
        <w:tc>
          <w:tcPr>
            <w:tcW w:w="949"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10</w:t>
            </w:r>
          </w:p>
        </w:tc>
        <w:tc>
          <w:tcPr>
            <w:tcW w:w="917"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983"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32</w:t>
            </w:r>
          </w:p>
        </w:tc>
        <w:tc>
          <w:tcPr>
            <w:tcW w:w="2115"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钢丝绳夹头</w:t>
            </w:r>
          </w:p>
        </w:tc>
        <w:tc>
          <w:tcPr>
            <w:tcW w:w="3906"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U-3</w:t>
            </w:r>
          </w:p>
        </w:tc>
        <w:tc>
          <w:tcPr>
            <w:tcW w:w="949"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2</w:t>
            </w:r>
          </w:p>
        </w:tc>
        <w:tc>
          <w:tcPr>
            <w:tcW w:w="917"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983"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33</w:t>
            </w:r>
          </w:p>
        </w:tc>
        <w:tc>
          <w:tcPr>
            <w:tcW w:w="2115" w:type="dxa"/>
            <w:vAlign w:val="center"/>
          </w:tcPr>
          <w:p>
            <w:pPr>
              <w:autoSpaceDE w:val="0"/>
              <w:autoSpaceDN w:val="0"/>
              <w:adjustRightInd w:val="0"/>
              <w:jc w:val="center"/>
              <w:rPr>
                <w:rFonts w:ascii="宋体" w:hAnsi="宋体" w:cs="宋体"/>
                <w:sz w:val="24"/>
                <w:szCs w:val="24"/>
              </w:rPr>
            </w:pPr>
          </w:p>
        </w:tc>
        <w:tc>
          <w:tcPr>
            <w:tcW w:w="3906"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U-8</w:t>
            </w:r>
          </w:p>
        </w:tc>
        <w:tc>
          <w:tcPr>
            <w:tcW w:w="949"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8</w:t>
            </w:r>
          </w:p>
        </w:tc>
        <w:tc>
          <w:tcPr>
            <w:tcW w:w="917"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983"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34</w:t>
            </w:r>
          </w:p>
        </w:tc>
        <w:tc>
          <w:tcPr>
            <w:tcW w:w="2115"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钢丝绳</w:t>
            </w:r>
          </w:p>
        </w:tc>
        <w:tc>
          <w:tcPr>
            <w:tcW w:w="3906"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Φ6×3.4米</w:t>
            </w:r>
          </w:p>
        </w:tc>
        <w:tc>
          <w:tcPr>
            <w:tcW w:w="949"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2</w:t>
            </w:r>
          </w:p>
        </w:tc>
        <w:tc>
          <w:tcPr>
            <w:tcW w:w="917"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983"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35</w:t>
            </w:r>
          </w:p>
        </w:tc>
        <w:tc>
          <w:tcPr>
            <w:tcW w:w="2115" w:type="dxa"/>
            <w:vAlign w:val="center"/>
          </w:tcPr>
          <w:p>
            <w:pPr>
              <w:autoSpaceDE w:val="0"/>
              <w:autoSpaceDN w:val="0"/>
              <w:adjustRightInd w:val="0"/>
              <w:jc w:val="center"/>
              <w:rPr>
                <w:rFonts w:ascii="宋体" w:hAnsi="宋体" w:cs="宋体"/>
                <w:sz w:val="24"/>
                <w:szCs w:val="24"/>
              </w:rPr>
            </w:pPr>
          </w:p>
        </w:tc>
        <w:tc>
          <w:tcPr>
            <w:tcW w:w="3906"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Φ3×12米</w:t>
            </w:r>
          </w:p>
        </w:tc>
        <w:tc>
          <w:tcPr>
            <w:tcW w:w="949"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1</w:t>
            </w:r>
          </w:p>
        </w:tc>
        <w:tc>
          <w:tcPr>
            <w:tcW w:w="917"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983"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36</w:t>
            </w:r>
          </w:p>
        </w:tc>
        <w:tc>
          <w:tcPr>
            <w:tcW w:w="2115"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风扇</w:t>
            </w:r>
          </w:p>
        </w:tc>
        <w:tc>
          <w:tcPr>
            <w:tcW w:w="3906" w:type="dxa"/>
            <w:vAlign w:val="center"/>
          </w:tcPr>
          <w:p>
            <w:pPr>
              <w:autoSpaceDE w:val="0"/>
              <w:autoSpaceDN w:val="0"/>
              <w:adjustRightInd w:val="0"/>
              <w:jc w:val="center"/>
              <w:rPr>
                <w:rFonts w:ascii="宋体" w:hAnsi="宋体" w:cs="宋体"/>
                <w:sz w:val="24"/>
                <w:szCs w:val="24"/>
              </w:rPr>
            </w:pPr>
          </w:p>
        </w:tc>
        <w:tc>
          <w:tcPr>
            <w:tcW w:w="949"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1</w:t>
            </w:r>
          </w:p>
        </w:tc>
        <w:tc>
          <w:tcPr>
            <w:tcW w:w="917"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983"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37</w:t>
            </w:r>
          </w:p>
        </w:tc>
        <w:tc>
          <w:tcPr>
            <w:tcW w:w="2115"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指示灯</w:t>
            </w:r>
          </w:p>
        </w:tc>
        <w:tc>
          <w:tcPr>
            <w:tcW w:w="3906" w:type="dxa"/>
            <w:vAlign w:val="center"/>
          </w:tcPr>
          <w:p>
            <w:pPr>
              <w:autoSpaceDE w:val="0"/>
              <w:autoSpaceDN w:val="0"/>
              <w:adjustRightInd w:val="0"/>
              <w:jc w:val="center"/>
              <w:rPr>
                <w:rFonts w:ascii="宋体" w:hAnsi="宋体" w:cs="宋体"/>
                <w:sz w:val="24"/>
                <w:szCs w:val="24"/>
              </w:rPr>
            </w:pPr>
          </w:p>
        </w:tc>
        <w:tc>
          <w:tcPr>
            <w:tcW w:w="949"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1</w:t>
            </w:r>
          </w:p>
        </w:tc>
        <w:tc>
          <w:tcPr>
            <w:tcW w:w="917"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983"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38</w:t>
            </w:r>
          </w:p>
        </w:tc>
        <w:tc>
          <w:tcPr>
            <w:tcW w:w="2115"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门安全传感器</w:t>
            </w:r>
          </w:p>
        </w:tc>
        <w:tc>
          <w:tcPr>
            <w:tcW w:w="3906"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对射式</w:t>
            </w:r>
          </w:p>
        </w:tc>
        <w:tc>
          <w:tcPr>
            <w:tcW w:w="949"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3</w:t>
            </w:r>
          </w:p>
        </w:tc>
        <w:tc>
          <w:tcPr>
            <w:tcW w:w="917"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983"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39</w:t>
            </w:r>
          </w:p>
        </w:tc>
        <w:tc>
          <w:tcPr>
            <w:tcW w:w="2115"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智能人机</w:t>
            </w:r>
          </w:p>
        </w:tc>
        <w:tc>
          <w:tcPr>
            <w:tcW w:w="3906"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TPC7062KX</w:t>
            </w:r>
          </w:p>
        </w:tc>
        <w:tc>
          <w:tcPr>
            <w:tcW w:w="949"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1</w:t>
            </w:r>
          </w:p>
        </w:tc>
        <w:tc>
          <w:tcPr>
            <w:tcW w:w="917"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983"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40</w:t>
            </w:r>
          </w:p>
        </w:tc>
        <w:tc>
          <w:tcPr>
            <w:tcW w:w="2115"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信息系统</w:t>
            </w:r>
          </w:p>
        </w:tc>
        <w:tc>
          <w:tcPr>
            <w:tcW w:w="3906"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LED显示屏</w:t>
            </w:r>
          </w:p>
        </w:tc>
        <w:tc>
          <w:tcPr>
            <w:tcW w:w="949"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1</w:t>
            </w:r>
          </w:p>
        </w:tc>
        <w:tc>
          <w:tcPr>
            <w:tcW w:w="917"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983"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41</w:t>
            </w:r>
          </w:p>
        </w:tc>
        <w:tc>
          <w:tcPr>
            <w:tcW w:w="2115"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视频监控系统</w:t>
            </w:r>
          </w:p>
        </w:tc>
        <w:tc>
          <w:tcPr>
            <w:tcW w:w="3906"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摄像头</w:t>
            </w:r>
          </w:p>
        </w:tc>
        <w:tc>
          <w:tcPr>
            <w:tcW w:w="949"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1</w:t>
            </w:r>
          </w:p>
        </w:tc>
        <w:tc>
          <w:tcPr>
            <w:tcW w:w="917"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983"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42</w:t>
            </w:r>
          </w:p>
        </w:tc>
        <w:tc>
          <w:tcPr>
            <w:tcW w:w="2115"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附件</w:t>
            </w:r>
          </w:p>
        </w:tc>
        <w:tc>
          <w:tcPr>
            <w:tcW w:w="3906"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螺丝、螺帽</w:t>
            </w:r>
          </w:p>
        </w:tc>
        <w:tc>
          <w:tcPr>
            <w:tcW w:w="949"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1</w:t>
            </w:r>
          </w:p>
        </w:tc>
        <w:tc>
          <w:tcPr>
            <w:tcW w:w="917"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套</w:t>
            </w:r>
          </w:p>
        </w:tc>
      </w:tr>
    </w:tbl>
    <w:p>
      <w:pPr>
        <w:widowControl/>
        <w:shd w:val="clear" w:color="auto" w:fill="FFFFFF"/>
        <w:spacing w:line="560" w:lineRule="exact"/>
        <w:ind w:firstLine="600" w:firstLineChars="200"/>
        <w:jc w:val="left"/>
        <w:rPr>
          <w:rFonts w:ascii="仿宋_GB2312" w:hAnsi="宋体" w:eastAsia="仿宋_GB2312"/>
          <w:color w:val="000000"/>
          <w:sz w:val="30"/>
          <w:szCs w:val="30"/>
        </w:rPr>
      </w:pPr>
      <w:r>
        <w:rPr>
          <w:rFonts w:hint="eastAsia" w:ascii="仿宋_GB2312" w:hAnsi="宋体" w:eastAsia="仿宋_GB2312"/>
          <w:color w:val="000000"/>
          <w:sz w:val="30"/>
          <w:szCs w:val="30"/>
        </w:rPr>
        <w:t>3.耗材、配套工具及特种设备作业流程</w:t>
      </w:r>
    </w:p>
    <w:tbl>
      <w:tblPr>
        <w:tblStyle w:val="9"/>
        <w:tblW w:w="887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1"/>
        <w:gridCol w:w="1021"/>
        <w:gridCol w:w="6091"/>
        <w:gridCol w:w="8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0" w:hRule="atLeast"/>
          <w:jc w:val="center"/>
        </w:trPr>
        <w:tc>
          <w:tcPr>
            <w:tcW w:w="951" w:type="dxa"/>
            <w:vAlign w:val="center"/>
          </w:tcPr>
          <w:p>
            <w:pPr>
              <w:autoSpaceDE w:val="0"/>
              <w:autoSpaceDN w:val="0"/>
              <w:adjustRightInd w:val="0"/>
              <w:jc w:val="center"/>
              <w:rPr>
                <w:rFonts w:ascii="宋体" w:hAnsi="宋体" w:cs="宋体"/>
                <w:b/>
                <w:sz w:val="24"/>
                <w:szCs w:val="24"/>
              </w:rPr>
            </w:pPr>
            <w:r>
              <w:rPr>
                <w:rFonts w:hint="eastAsia" w:ascii="宋体" w:hAnsi="宋体" w:cs="宋体"/>
                <w:b/>
                <w:sz w:val="24"/>
                <w:szCs w:val="24"/>
              </w:rPr>
              <w:t>序号</w:t>
            </w:r>
          </w:p>
        </w:tc>
        <w:tc>
          <w:tcPr>
            <w:tcW w:w="1021" w:type="dxa"/>
            <w:vAlign w:val="center"/>
          </w:tcPr>
          <w:p>
            <w:pPr>
              <w:autoSpaceDE w:val="0"/>
              <w:autoSpaceDN w:val="0"/>
              <w:adjustRightInd w:val="0"/>
              <w:jc w:val="center"/>
              <w:rPr>
                <w:rFonts w:ascii="宋体" w:hAnsi="宋体" w:cs="宋体"/>
                <w:b/>
                <w:sz w:val="24"/>
                <w:szCs w:val="24"/>
              </w:rPr>
            </w:pPr>
            <w:r>
              <w:rPr>
                <w:rFonts w:hint="eastAsia" w:ascii="宋体" w:hAnsi="宋体" w:cs="宋体"/>
                <w:b/>
                <w:sz w:val="24"/>
                <w:szCs w:val="24"/>
              </w:rPr>
              <w:t>名称</w:t>
            </w:r>
          </w:p>
        </w:tc>
        <w:tc>
          <w:tcPr>
            <w:tcW w:w="6091" w:type="dxa"/>
            <w:vAlign w:val="center"/>
          </w:tcPr>
          <w:p>
            <w:pPr>
              <w:autoSpaceDE w:val="0"/>
              <w:autoSpaceDN w:val="0"/>
              <w:adjustRightInd w:val="0"/>
              <w:jc w:val="center"/>
              <w:rPr>
                <w:rFonts w:ascii="宋体" w:hAnsi="宋体" w:cs="宋体"/>
                <w:b/>
                <w:sz w:val="24"/>
                <w:szCs w:val="24"/>
              </w:rPr>
            </w:pPr>
            <w:r>
              <w:rPr>
                <w:rFonts w:hint="eastAsia" w:ascii="宋体" w:hAnsi="宋体" w:cs="宋体"/>
                <w:b/>
                <w:sz w:val="24"/>
                <w:szCs w:val="24"/>
              </w:rPr>
              <w:t>主要组成器件</w:t>
            </w:r>
          </w:p>
        </w:tc>
        <w:tc>
          <w:tcPr>
            <w:tcW w:w="807" w:type="dxa"/>
            <w:vAlign w:val="center"/>
          </w:tcPr>
          <w:p>
            <w:pPr>
              <w:autoSpaceDE w:val="0"/>
              <w:autoSpaceDN w:val="0"/>
              <w:adjustRightInd w:val="0"/>
              <w:jc w:val="center"/>
              <w:rPr>
                <w:rFonts w:ascii="宋体" w:hAnsi="宋体" w:cs="宋体"/>
                <w:b/>
                <w:sz w:val="24"/>
                <w:szCs w:val="24"/>
              </w:rPr>
            </w:pPr>
            <w:r>
              <w:rPr>
                <w:rFonts w:hint="eastAsia" w:ascii="宋体" w:hAnsi="宋体" w:cs="宋体"/>
                <w:b/>
                <w:sz w:val="24"/>
                <w:szCs w:val="24"/>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951"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1</w:t>
            </w:r>
          </w:p>
        </w:tc>
        <w:tc>
          <w:tcPr>
            <w:tcW w:w="1021"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耗材</w:t>
            </w:r>
          </w:p>
        </w:tc>
        <w:tc>
          <w:tcPr>
            <w:tcW w:w="6091" w:type="dxa"/>
            <w:vAlign w:val="center"/>
          </w:tcPr>
          <w:p>
            <w:pPr>
              <w:autoSpaceDE w:val="0"/>
              <w:autoSpaceDN w:val="0"/>
              <w:adjustRightInd w:val="0"/>
              <w:jc w:val="left"/>
              <w:rPr>
                <w:rFonts w:ascii="宋体" w:hAnsi="宋体" w:cs="宋体"/>
                <w:sz w:val="24"/>
                <w:szCs w:val="24"/>
              </w:rPr>
            </w:pPr>
            <w:r>
              <w:rPr>
                <w:rFonts w:hint="eastAsia" w:ascii="宋体" w:hAnsi="宋体" w:cs="宋体"/>
                <w:sz w:val="24"/>
                <w:szCs w:val="24"/>
              </w:rPr>
              <w:t>线槽、保险丝、0.75mm</w:t>
            </w:r>
            <w:r>
              <w:rPr>
                <w:rFonts w:hint="eastAsia" w:ascii="宋体" w:hAnsi="宋体" w:cs="宋体"/>
                <w:sz w:val="24"/>
                <w:szCs w:val="24"/>
                <w:vertAlign w:val="superscript"/>
              </w:rPr>
              <w:t>2</w:t>
            </w:r>
            <w:r>
              <w:rPr>
                <w:rFonts w:hint="eastAsia" w:ascii="宋体" w:hAnsi="宋体" w:cs="宋体"/>
                <w:sz w:val="24"/>
                <w:szCs w:val="24"/>
              </w:rPr>
              <w:t>导线（红、绿、黄、黑）、0.3 mm</w:t>
            </w:r>
            <w:r>
              <w:rPr>
                <w:rFonts w:hint="eastAsia" w:ascii="宋体" w:hAnsi="宋体" w:cs="宋体"/>
                <w:sz w:val="24"/>
                <w:szCs w:val="24"/>
                <w:vertAlign w:val="superscript"/>
              </w:rPr>
              <w:t>2</w:t>
            </w:r>
            <w:r>
              <w:rPr>
                <w:rFonts w:hint="eastAsia" w:ascii="宋体" w:hAnsi="宋体" w:cs="宋体"/>
                <w:sz w:val="24"/>
                <w:szCs w:val="24"/>
              </w:rPr>
              <w:t>导线（绿）、号码管、接线端子等</w:t>
            </w:r>
          </w:p>
        </w:tc>
        <w:tc>
          <w:tcPr>
            <w:tcW w:w="807" w:type="dxa"/>
            <w:vAlign w:val="center"/>
          </w:tcPr>
          <w:p>
            <w:pPr>
              <w:tabs>
                <w:tab w:val="left" w:pos="236"/>
                <w:tab w:val="center" w:pos="468"/>
              </w:tabs>
              <w:autoSpaceDE w:val="0"/>
              <w:autoSpaceDN w:val="0"/>
              <w:adjustRightInd w:val="0"/>
              <w:jc w:val="center"/>
              <w:rPr>
                <w:rFonts w:ascii="宋体" w:hAnsi="宋体" w:cs="宋体"/>
                <w:sz w:val="24"/>
                <w:szCs w:val="24"/>
              </w:rPr>
            </w:pPr>
            <w:r>
              <w:rPr>
                <w:rFonts w:hint="eastAsia" w:ascii="宋体" w:hAnsi="宋体" w:cs="宋体"/>
                <w:sz w:val="24"/>
                <w:szCs w:val="24"/>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951"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2</w:t>
            </w:r>
          </w:p>
        </w:tc>
        <w:tc>
          <w:tcPr>
            <w:tcW w:w="1021"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配套</w:t>
            </w:r>
          </w:p>
          <w:p>
            <w:pPr>
              <w:autoSpaceDE w:val="0"/>
              <w:autoSpaceDN w:val="0"/>
              <w:adjustRightInd w:val="0"/>
              <w:jc w:val="center"/>
              <w:rPr>
                <w:rFonts w:ascii="宋体" w:hAnsi="宋体" w:cs="宋体"/>
                <w:sz w:val="24"/>
                <w:szCs w:val="24"/>
              </w:rPr>
            </w:pPr>
            <w:r>
              <w:rPr>
                <w:rFonts w:hint="eastAsia" w:ascii="宋体" w:hAnsi="宋体" w:cs="宋体"/>
                <w:sz w:val="24"/>
                <w:szCs w:val="24"/>
              </w:rPr>
              <w:t>工具</w:t>
            </w:r>
          </w:p>
        </w:tc>
        <w:tc>
          <w:tcPr>
            <w:tcW w:w="6091" w:type="dxa"/>
            <w:vAlign w:val="center"/>
          </w:tcPr>
          <w:p>
            <w:pPr>
              <w:autoSpaceDE w:val="0"/>
              <w:autoSpaceDN w:val="0"/>
              <w:adjustRightInd w:val="0"/>
              <w:jc w:val="left"/>
              <w:rPr>
                <w:rFonts w:ascii="宋体" w:hAnsi="宋体" w:cs="宋体"/>
                <w:sz w:val="24"/>
                <w:szCs w:val="24"/>
              </w:rPr>
            </w:pPr>
            <w:r>
              <w:rPr>
                <w:rFonts w:hint="eastAsia" w:ascii="宋体" w:hAnsi="宋体" w:cs="宋体"/>
                <w:sz w:val="24"/>
                <w:szCs w:val="24"/>
              </w:rPr>
              <w:t>包括电梯维修围栏860mm×560mm（标准3折）、砝码、小一字螺丝刀、小十字螺丝刀、长柄螺丝刀、剪刀、剥线钳、电工钳、尖嘴钳、斜口钳、电烙铁、试电笔、焊锡丝、镊子、活动扳手、内外六角扳手、便携式万用表及书写工具等</w:t>
            </w:r>
          </w:p>
        </w:tc>
        <w:tc>
          <w:tcPr>
            <w:tcW w:w="807" w:type="dxa"/>
            <w:vAlign w:val="center"/>
          </w:tcPr>
          <w:p>
            <w:pPr>
              <w:tabs>
                <w:tab w:val="left" w:pos="236"/>
                <w:tab w:val="center" w:pos="468"/>
              </w:tabs>
              <w:autoSpaceDE w:val="0"/>
              <w:autoSpaceDN w:val="0"/>
              <w:adjustRightInd w:val="0"/>
              <w:jc w:val="center"/>
              <w:rPr>
                <w:rFonts w:ascii="宋体" w:hAnsi="宋体" w:cs="宋体"/>
                <w:sz w:val="24"/>
                <w:szCs w:val="24"/>
              </w:rPr>
            </w:pPr>
            <w:r>
              <w:rPr>
                <w:rFonts w:hint="eastAsia" w:ascii="宋体" w:hAnsi="宋体" w:cs="宋体"/>
                <w:sz w:val="24"/>
                <w:szCs w:val="24"/>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951"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3</w:t>
            </w:r>
          </w:p>
        </w:tc>
        <w:tc>
          <w:tcPr>
            <w:tcW w:w="1021" w:type="dxa"/>
            <w:vAlign w:val="center"/>
          </w:tcPr>
          <w:p>
            <w:pPr>
              <w:autoSpaceDE w:val="0"/>
              <w:autoSpaceDN w:val="0"/>
              <w:adjustRightInd w:val="0"/>
              <w:jc w:val="center"/>
              <w:rPr>
                <w:rFonts w:ascii="宋体" w:hAnsi="宋体" w:cs="宋体"/>
                <w:sz w:val="24"/>
                <w:szCs w:val="24"/>
              </w:rPr>
            </w:pPr>
            <w:r>
              <w:rPr>
                <w:rFonts w:hint="eastAsia" w:ascii="宋体" w:hAnsi="宋体" w:cs="宋体"/>
                <w:sz w:val="24"/>
                <w:szCs w:val="24"/>
              </w:rPr>
              <w:t>特种设备作业流程</w:t>
            </w:r>
          </w:p>
        </w:tc>
        <w:tc>
          <w:tcPr>
            <w:tcW w:w="6091" w:type="dxa"/>
            <w:vAlign w:val="center"/>
          </w:tcPr>
          <w:p>
            <w:pPr>
              <w:autoSpaceDE w:val="0"/>
              <w:autoSpaceDN w:val="0"/>
              <w:adjustRightInd w:val="0"/>
              <w:jc w:val="left"/>
              <w:rPr>
                <w:rFonts w:ascii="宋体" w:hAnsi="宋体" w:cs="宋体"/>
                <w:sz w:val="24"/>
                <w:szCs w:val="24"/>
              </w:rPr>
            </w:pPr>
            <w:r>
              <w:rPr>
                <w:rFonts w:hint="eastAsia" w:ascii="宋体" w:hAnsi="宋体" w:cs="宋体"/>
                <w:sz w:val="24"/>
                <w:szCs w:val="24"/>
              </w:rPr>
              <w:t>包括标准化流程、手册和注意事项等，其中标准化流程贴在显著位置</w:t>
            </w:r>
          </w:p>
        </w:tc>
        <w:tc>
          <w:tcPr>
            <w:tcW w:w="807" w:type="dxa"/>
            <w:vAlign w:val="center"/>
          </w:tcPr>
          <w:p>
            <w:pPr>
              <w:tabs>
                <w:tab w:val="left" w:pos="236"/>
                <w:tab w:val="center" w:pos="468"/>
              </w:tabs>
              <w:autoSpaceDE w:val="0"/>
              <w:autoSpaceDN w:val="0"/>
              <w:adjustRightInd w:val="0"/>
              <w:jc w:val="center"/>
              <w:rPr>
                <w:rFonts w:ascii="宋体" w:hAnsi="宋体" w:cs="宋体"/>
                <w:sz w:val="24"/>
                <w:szCs w:val="24"/>
              </w:rPr>
            </w:pPr>
            <w:r>
              <w:rPr>
                <w:rFonts w:hint="eastAsia" w:ascii="宋体" w:hAnsi="宋体" w:cs="宋体"/>
                <w:sz w:val="24"/>
                <w:szCs w:val="24"/>
              </w:rPr>
              <w:t>1套</w:t>
            </w:r>
          </w:p>
        </w:tc>
      </w:tr>
    </w:tbl>
    <w:p>
      <w:pPr>
        <w:spacing w:line="560" w:lineRule="exact"/>
        <w:ind w:firstLine="602" w:firstLineChars="200"/>
        <w:rPr>
          <w:rFonts w:ascii="仿宋_GB2312" w:hAnsi="宋体" w:eastAsia="仿宋_GB2312"/>
          <w:b/>
          <w:color w:val="000000"/>
          <w:sz w:val="30"/>
          <w:szCs w:val="30"/>
        </w:rPr>
      </w:pPr>
      <w:r>
        <w:rPr>
          <w:rFonts w:hint="eastAsia" w:ascii="仿宋_GB2312" w:hAnsi="宋体" w:eastAsia="仿宋_GB2312"/>
          <w:b/>
          <w:color w:val="000000"/>
          <w:sz w:val="30"/>
          <w:szCs w:val="30"/>
        </w:rPr>
        <w:t>（三）场地要求</w:t>
      </w:r>
    </w:p>
    <w:p>
      <w:pPr>
        <w:spacing w:line="560" w:lineRule="exact"/>
        <w:ind w:firstLine="600" w:firstLineChars="200"/>
        <w:rPr>
          <w:rFonts w:ascii="仿宋_GB2312" w:hAnsi="宋体" w:eastAsia="仿宋_GB2312"/>
          <w:color w:val="000000"/>
          <w:sz w:val="30"/>
          <w:szCs w:val="30"/>
        </w:rPr>
      </w:pPr>
      <w:r>
        <w:rPr>
          <w:rFonts w:hint="eastAsia" w:ascii="仿宋_GB2312" w:hAnsi="宋体" w:eastAsia="仿宋_GB2312"/>
          <w:color w:val="000000"/>
          <w:sz w:val="30"/>
          <w:szCs w:val="30"/>
        </w:rPr>
        <w:t>1.竞赛场地平整、明亮、通风良好，场地面积满足竞赛要求，场地净高不低于4.5m，竞赛工位按24个工位布置，留有过道。</w:t>
      </w:r>
    </w:p>
    <w:p>
      <w:pPr>
        <w:spacing w:line="560" w:lineRule="exact"/>
        <w:ind w:firstLine="600" w:firstLineChars="200"/>
        <w:rPr>
          <w:rFonts w:ascii="仿宋_GB2312" w:hAnsi="宋体" w:eastAsia="仿宋_GB2312"/>
          <w:color w:val="000000"/>
          <w:sz w:val="30"/>
          <w:szCs w:val="30"/>
        </w:rPr>
      </w:pPr>
      <w:r>
        <w:rPr>
          <w:rFonts w:hint="eastAsia" w:ascii="仿宋_GB2312" w:hAnsi="宋体" w:eastAsia="仿宋_GB2312"/>
          <w:color w:val="000000"/>
          <w:sz w:val="30"/>
          <w:szCs w:val="30"/>
        </w:rPr>
        <w:t>2.每个竞赛工位提供380V、220V交流电源，380V供电负荷不小于1.5kVA，安装有三相五线制电源25A插座2只；提供独立于三相五线制电源的单相三线制电源一路，功率不小于0.2 kVA，安装有单相电源插座2只。提供独立的电源保护装置和安全保护措施。</w:t>
      </w:r>
    </w:p>
    <w:p>
      <w:pPr>
        <w:spacing w:line="560" w:lineRule="exact"/>
        <w:ind w:firstLine="600" w:firstLineChars="200"/>
        <w:rPr>
          <w:rFonts w:ascii="仿宋_GB2312" w:hAnsi="宋体" w:eastAsia="仿宋_GB2312"/>
          <w:color w:val="000000"/>
          <w:sz w:val="30"/>
          <w:szCs w:val="30"/>
        </w:rPr>
      </w:pPr>
      <w:r>
        <w:rPr>
          <w:rFonts w:hint="eastAsia" w:ascii="仿宋_GB2312" w:hAnsi="宋体" w:eastAsia="仿宋_GB2312"/>
          <w:color w:val="000000"/>
          <w:sz w:val="30"/>
          <w:szCs w:val="30"/>
        </w:rPr>
        <w:t>3.竞赛工位：每个工位占地不小于18m</w:t>
      </w:r>
      <w:r>
        <w:rPr>
          <w:rFonts w:hint="eastAsia" w:ascii="仿宋_GB2312" w:hAnsi="宋体" w:eastAsia="仿宋_GB2312"/>
          <w:color w:val="000000"/>
          <w:sz w:val="30"/>
          <w:szCs w:val="30"/>
          <w:vertAlign w:val="superscript"/>
        </w:rPr>
        <w:t>2</w:t>
      </w:r>
      <w:r>
        <w:rPr>
          <w:rFonts w:hint="eastAsia" w:ascii="仿宋_GB2312" w:hAnsi="宋体" w:eastAsia="仿宋_GB2312"/>
          <w:color w:val="000000"/>
          <w:sz w:val="30"/>
          <w:szCs w:val="30"/>
        </w:rPr>
        <w:t>（6m×3m），且标明工位号，布置电梯仿真模型2套、电梯控制柜2套、工作准备台1张、电脑桌1张、计算机（或笔记本）1台。</w:t>
      </w:r>
    </w:p>
    <w:p>
      <w:pPr>
        <w:snapToGrid w:val="0"/>
        <w:spacing w:line="560" w:lineRule="exact"/>
        <w:ind w:firstLine="600" w:firstLineChars="200"/>
        <w:outlineLvl w:val="0"/>
        <w:rPr>
          <w:rFonts w:ascii="Arial Narrow" w:hAnsi="Arial Narrow" w:eastAsia="仿宋_GB2312" w:cs="Arial"/>
          <w:bCs/>
          <w:sz w:val="30"/>
          <w:szCs w:val="30"/>
        </w:rPr>
      </w:pPr>
      <w:r>
        <w:rPr>
          <w:rFonts w:hint="eastAsia" w:ascii="黑体" w:hAnsi="黑体" w:eastAsia="黑体" w:cs="黑体"/>
          <w:bCs/>
          <w:sz w:val="30"/>
          <w:szCs w:val="30"/>
        </w:rPr>
        <w:t>十四、安全保障</w:t>
      </w:r>
    </w:p>
    <w:p>
      <w:pPr>
        <w:snapToGrid w:val="0"/>
        <w:spacing w:line="560" w:lineRule="exact"/>
        <w:ind w:firstLine="602" w:firstLineChars="200"/>
        <w:rPr>
          <w:rFonts w:ascii="仿宋_GB2312" w:hAnsi="宋体" w:eastAsia="仿宋_GB2312"/>
          <w:b/>
          <w:sz w:val="30"/>
          <w:szCs w:val="30"/>
          <w:lang w:val="zh-CN"/>
        </w:rPr>
      </w:pPr>
      <w:r>
        <w:rPr>
          <w:rFonts w:hint="eastAsia" w:ascii="仿宋_GB2312" w:hAnsi="宋体" w:eastAsia="仿宋_GB2312"/>
          <w:b/>
          <w:sz w:val="30"/>
          <w:szCs w:val="30"/>
          <w:lang w:val="zh-CN"/>
        </w:rPr>
        <w:t>（一）安全保障组织机构</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根据《全国职业院校技能大赛安全管理规定》：</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1.赛项成立安全管理机构负责本赛项筹备和比赛期间的各项安全工作，赛项执委会主任为第一责任人；</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2.指定1名执委会副主任负责赛场安全。赛项执委会在赛前一周会同当地消防部门、质量监督部门检查赛场消防设施和比赛设备安全性能，并按消防、质监部门意见整改。赛前两天，执委会主任会同赛项专家组对赛场进行验收；</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3.指定1名执委会副主任负责住宿与饮食安全。执委会会同当地公安部门，食品卫生部门，检查并验收驻地的安全设施和饮食卫生，保证选手的住宿安全和饮食安全；</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4.各省、自治区和直辖市在组织参赛队时，须为参赛选手购买大赛期间的人身意外伤害保险。领队为参赛队交通安全责任人，负责选手从学校出发到结束比赛回到学校整个期间的人身、交通、饮食安全。</w:t>
      </w:r>
    </w:p>
    <w:p>
      <w:pPr>
        <w:snapToGrid w:val="0"/>
        <w:spacing w:line="560" w:lineRule="exact"/>
        <w:ind w:firstLine="602" w:firstLineChars="200"/>
        <w:rPr>
          <w:rFonts w:ascii="仿宋_GB2312" w:hAnsi="宋体" w:eastAsia="仿宋_GB2312"/>
          <w:b/>
          <w:sz w:val="30"/>
          <w:szCs w:val="30"/>
          <w:lang w:val="zh-CN"/>
        </w:rPr>
      </w:pPr>
      <w:r>
        <w:rPr>
          <w:rFonts w:hint="eastAsia" w:ascii="仿宋_GB2312" w:hAnsi="宋体" w:eastAsia="仿宋_GB2312"/>
          <w:b/>
          <w:sz w:val="30"/>
          <w:szCs w:val="30"/>
          <w:lang w:val="zh-CN"/>
        </w:rPr>
        <w:t>（二）选手安全要求</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1.进入赛场，必须穿符合安全要求的服装。不得穿背心、短裤和拖鞋进入竞赛场地；</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2.严格遵守操作规程，不得擅自开启电源，不得带电操作，以免造成伤害和事故；</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3.参赛人员应爱护竞赛场所的仪器设备，操作设备时应按规定的操作程序谨慎操作，不得触动非竞赛用仪器设备。操作中若违反安全操作规定导致发生较严重的安全事故，将立即取消竞赛资格；</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4.连接电路时应断开电源，不允许带电连接电路；断开电源开关后，必须用验电器进行验电，确认无电后方可连接电路；</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5.进行设备组装和调试时，工具和检测仪器、仪表等应放置在规定的位置，不得摆放在设备和连接的电路上；</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6.进行设备调试时，应先确认设备无电，且工作台上无其他物件时，方可合闸通电。身体的任何部位不得触及带电的物体；</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7.当更改或调整电气线路时，必须断开电源，方能进行操作；</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8.有可能造成意外带电的机械部件、电气元件的金属外壳等都必须接地，赛场提供的黄、绿双色绝缘导线，只能作接地线；</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9.带电调试和检查电路时，必须有防止触及带电体和电路中裸露带电部位的措施，必须有防止短路的措施；</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10.竞赛结束时，参赛选手必须清扫、整理工作现场，与赛场工作人员办理终结手续后，方可离开赛场。</w:t>
      </w:r>
    </w:p>
    <w:p>
      <w:pPr>
        <w:snapToGrid w:val="0"/>
        <w:spacing w:line="560" w:lineRule="exact"/>
        <w:ind w:firstLine="602" w:firstLineChars="200"/>
        <w:rPr>
          <w:rFonts w:ascii="仿宋_GB2312" w:hAnsi="宋体" w:eastAsia="仿宋_GB2312"/>
          <w:b/>
          <w:sz w:val="30"/>
          <w:szCs w:val="30"/>
          <w:lang w:val="zh-CN"/>
        </w:rPr>
      </w:pPr>
      <w:r>
        <w:rPr>
          <w:rFonts w:hint="eastAsia" w:ascii="仿宋_GB2312" w:hAnsi="宋体" w:eastAsia="仿宋_GB2312"/>
          <w:b/>
          <w:sz w:val="30"/>
          <w:szCs w:val="30"/>
          <w:lang w:val="zh-CN"/>
        </w:rPr>
        <w:t>（三）安保工作要求</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1.指挥员在发生突发事件时要掌握信息，统一布置工作，其他人员不得干扰；</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2.发生突发事件时，</w:t>
      </w:r>
      <w:bookmarkStart w:id="0" w:name="OLE_LINK6"/>
      <w:r>
        <w:rPr>
          <w:rFonts w:hint="eastAsia" w:ascii="仿宋_GB2312" w:hAnsi="宋体" w:eastAsia="仿宋_GB2312"/>
          <w:sz w:val="30"/>
          <w:szCs w:val="30"/>
          <w:lang w:val="zh-CN"/>
        </w:rPr>
        <w:t>全体安全保卫人员必须</w:t>
      </w:r>
      <w:bookmarkEnd w:id="0"/>
      <w:r>
        <w:rPr>
          <w:rFonts w:hint="eastAsia" w:ascii="仿宋_GB2312" w:hAnsi="宋体" w:eastAsia="仿宋_GB2312"/>
          <w:sz w:val="30"/>
          <w:szCs w:val="30"/>
          <w:lang w:val="zh-CN"/>
        </w:rPr>
        <w:t>服从命令、听众指挥，以大局为重，不得顶撞、拖延或临时逃脱；</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3.突发事件发生时，全体安全保卫人员要坚守岗位、尽职尽责，在未接到撤岗指令之前，不得离开岗位；</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4.发现安全隐患或突发事件时，现场人员应立即向保卫组汇报，保卫组接报后要火速到达案发现场，指挥并配合公安干警及安全保卫人员搞好抢救工作；</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5.视突发事件的具体情况，分别向上级主管部门和相关部门报告，并立即启动《赛区安全保卫突发事件处理预案》；</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6.发生火警和恶性事件时，现场人员可主动向公安机关报警并向领导汇报，立即组织抢救，以免贻误战机；启用消防应急广播，通知疏散路线，稳定人心，避免踩踏伤人；</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7.安全出口执勤人员，接到指令后立即打开出口门，疏导参赛人员有序撤离现场。</w:t>
      </w:r>
    </w:p>
    <w:p>
      <w:pPr>
        <w:snapToGrid w:val="0"/>
        <w:spacing w:line="560" w:lineRule="exact"/>
        <w:ind w:firstLine="602" w:firstLineChars="200"/>
        <w:rPr>
          <w:rFonts w:ascii="仿宋_GB2312" w:hAnsi="宋体" w:eastAsia="仿宋_GB2312"/>
          <w:b/>
          <w:sz w:val="30"/>
          <w:szCs w:val="30"/>
          <w:lang w:val="zh-CN"/>
        </w:rPr>
      </w:pPr>
      <w:r>
        <w:rPr>
          <w:rFonts w:hint="eastAsia" w:ascii="仿宋_GB2312" w:hAnsi="宋体" w:eastAsia="仿宋_GB2312"/>
          <w:b/>
          <w:sz w:val="30"/>
          <w:szCs w:val="30"/>
          <w:lang w:val="zh-CN"/>
        </w:rPr>
        <w:t>（四）裁判安全要求</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1.参赛选手有故意损坏设备或故意伤害他人或自己的行为时，赛场裁判应立即制止，报告裁判长，经裁判长报执委会并经执委会同意后终止该参赛选手比赛资格；</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2.裁判在执裁过程中如发现选手操作存在安全隐患时应及时制止或采取切断电源等紧急补救措施；</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3.裁判在执裁过程中发现其他安全隐患应立即通知裁判长并上报执委会，由执委会采取紧急补救措施。</w:t>
      </w:r>
    </w:p>
    <w:p>
      <w:pPr>
        <w:snapToGrid w:val="0"/>
        <w:spacing w:line="560" w:lineRule="exact"/>
        <w:ind w:firstLine="602" w:firstLineChars="200"/>
        <w:rPr>
          <w:rFonts w:ascii="仿宋_GB2312" w:hAnsi="宋体" w:eastAsia="仿宋_GB2312"/>
          <w:b/>
          <w:sz w:val="30"/>
          <w:szCs w:val="30"/>
          <w:lang w:val="zh-CN"/>
        </w:rPr>
      </w:pPr>
      <w:r>
        <w:rPr>
          <w:rFonts w:hint="eastAsia" w:ascii="仿宋_GB2312" w:hAnsi="宋体" w:eastAsia="仿宋_GB2312"/>
          <w:b/>
          <w:sz w:val="30"/>
          <w:szCs w:val="30"/>
          <w:lang w:val="zh-CN"/>
        </w:rPr>
        <w:t>（五）赛场文明</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1.进入赛场人员要严格服从赛场工作人员的指挥，遵守赛场秩序，服从赛场工作人员的引导和安排。观摩人员要按指定区域观摩，切忌越过设置的警戒线；</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2.在赛场观摩比赛时。请不要大声喧哗，不要拥挤推搡，以免影响比赛正常进行；</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3.赛场内严禁吸烟，严禁携带易燃易爆物品入场；</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4.进入赛区的人员请爱护现场各类物品，爱护公共环境，不随意张贴个人资料；</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5.遇到问题和意外事件时，请及时向现场工作人员寻求帮助；</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6.发生火灾或突发事件时，要服从赛场服务人员指挥，有序撤离现场，避免慌乱，踩踏伤人；</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7.遇到紧急情况发生拥挤时，应保持镇静，在相对安全地点作短暂停留。人群拥挤时，要双手抱住胸口，防止内脏被挤压受伤。在人群中不小心跌到时，应立即收缩身体、抱紧头，尽量减少伤害；</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8.如遇特殊情况，则服从大赛统一指挥；</w:t>
      </w:r>
    </w:p>
    <w:p>
      <w:pPr>
        <w:snapToGrid w:val="0"/>
        <w:spacing w:line="560" w:lineRule="exact"/>
        <w:ind w:firstLine="600" w:firstLineChars="200"/>
        <w:rPr>
          <w:rFonts w:ascii="仿宋_GB2312" w:hAnsi="宋体" w:eastAsia="仿宋_GB2312"/>
          <w:sz w:val="30"/>
          <w:szCs w:val="30"/>
          <w:lang w:val="zh-CN"/>
        </w:rPr>
      </w:pPr>
      <w:r>
        <w:rPr>
          <w:rFonts w:hint="eastAsia" w:ascii="仿宋_GB2312" w:hAnsi="宋体" w:eastAsia="仿宋_GB2312"/>
          <w:sz w:val="30"/>
          <w:szCs w:val="30"/>
          <w:lang w:val="zh-CN"/>
        </w:rPr>
        <w:t>9.设置突发事件应急疏散示意图。</w:t>
      </w:r>
    </w:p>
    <w:p>
      <w:pPr>
        <w:snapToGrid w:val="0"/>
        <w:spacing w:line="560" w:lineRule="exact"/>
        <w:ind w:firstLine="602" w:firstLineChars="200"/>
        <w:rPr>
          <w:rFonts w:ascii="仿宋_GB2312" w:hAnsi="宋体" w:eastAsia="仿宋_GB2312"/>
          <w:b/>
          <w:sz w:val="30"/>
          <w:szCs w:val="30"/>
          <w:lang w:val="zh-CN"/>
        </w:rPr>
      </w:pPr>
      <w:r>
        <w:rPr>
          <w:rFonts w:hint="eastAsia" w:ascii="仿宋_GB2312" w:hAnsi="宋体" w:eastAsia="仿宋_GB2312"/>
          <w:b/>
          <w:sz w:val="30"/>
          <w:szCs w:val="30"/>
          <w:lang w:val="zh-CN"/>
        </w:rPr>
        <w:t>（六）应急处理预案</w:t>
      </w:r>
    </w:p>
    <w:p>
      <w:pPr>
        <w:snapToGrid w:val="0"/>
        <w:spacing w:line="560" w:lineRule="exact"/>
        <w:ind w:firstLine="600" w:firstLineChars="200"/>
        <w:rPr>
          <w:rFonts w:ascii="Arial Narrow" w:hAnsi="Arial Narrow" w:eastAsia="仿宋_GB2312" w:cs="Arial"/>
          <w:sz w:val="30"/>
          <w:szCs w:val="30"/>
        </w:rPr>
      </w:pPr>
      <w:r>
        <w:rPr>
          <w:rFonts w:hint="eastAsia" w:ascii="仿宋_GB2312" w:hAnsi="宋体" w:eastAsia="仿宋_GB2312"/>
          <w:sz w:val="30"/>
          <w:szCs w:val="30"/>
          <w:lang w:val="zh-CN"/>
        </w:rPr>
        <w:t>比赛期间发生意外事故时，发现者应第一时间报告赛项执委会，同时采取措施，首先保证现场所有人员的人身安全，避免事态扩大。赛项执委会应立即启动预案予以解决并向赛区执委会报告。出现重大安全问题的赛项可以停赛，是否停赛由赛区组委会决定。事后，赛区执委会应向大赛执委会报告详细情况。</w:t>
      </w:r>
    </w:p>
    <w:p>
      <w:pPr>
        <w:snapToGrid w:val="0"/>
        <w:spacing w:line="560" w:lineRule="exact"/>
        <w:ind w:firstLine="600" w:firstLineChars="200"/>
        <w:outlineLvl w:val="0"/>
        <w:rPr>
          <w:rFonts w:ascii="黑体" w:hAnsi="黑体" w:eastAsia="黑体" w:cs="黑体"/>
          <w:bCs/>
          <w:sz w:val="30"/>
          <w:szCs w:val="30"/>
        </w:rPr>
      </w:pPr>
      <w:r>
        <w:rPr>
          <w:rFonts w:hint="eastAsia" w:ascii="黑体" w:hAnsi="黑体" w:eastAsia="黑体" w:cs="黑体"/>
          <w:bCs/>
          <w:sz w:val="30"/>
          <w:szCs w:val="30"/>
        </w:rPr>
        <w:t>十五、经费概算</w:t>
      </w:r>
    </w:p>
    <w:p>
      <w:pPr>
        <w:snapToGrid w:val="0"/>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根据竞赛需求，赛事筹备准备、赛项技术完善、专家裁判、教学资源开发、场地布置、体验中心设计与实施、开闭幕式、大赛宣传及直播、奖品服装等预计费用为60万元。在比赛前确保资金到位。</w:t>
      </w:r>
    </w:p>
    <w:tbl>
      <w:tblPr>
        <w:tblStyle w:val="9"/>
        <w:tblW w:w="7740" w:type="dxa"/>
        <w:jc w:val="center"/>
        <w:tblInd w:w="0" w:type="dxa"/>
        <w:tblLayout w:type="fixed"/>
        <w:tblCellMar>
          <w:top w:w="0" w:type="dxa"/>
          <w:left w:w="0" w:type="dxa"/>
          <w:bottom w:w="0" w:type="dxa"/>
          <w:right w:w="0" w:type="dxa"/>
        </w:tblCellMar>
      </w:tblPr>
      <w:tblGrid>
        <w:gridCol w:w="1132"/>
        <w:gridCol w:w="4677"/>
        <w:gridCol w:w="1931"/>
      </w:tblGrid>
      <w:tr>
        <w:tblPrEx>
          <w:tblLayout w:type="fixed"/>
          <w:tblCellMar>
            <w:top w:w="0" w:type="dxa"/>
            <w:left w:w="0" w:type="dxa"/>
            <w:bottom w:w="0" w:type="dxa"/>
            <w:right w:w="0" w:type="dxa"/>
          </w:tblCellMar>
        </w:tblPrEx>
        <w:trPr>
          <w:trHeight w:val="397" w:hRule="exact"/>
          <w:jc w:val="center"/>
        </w:trPr>
        <w:tc>
          <w:tcPr>
            <w:tcW w:w="1132"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spacing w:before="100" w:beforeAutospacing="1" w:after="100" w:afterAutospacing="1"/>
              <w:jc w:val="center"/>
              <w:rPr>
                <w:rFonts w:ascii="宋体" w:hAnsi="宋体"/>
                <w:b/>
                <w:sz w:val="24"/>
                <w:szCs w:val="24"/>
              </w:rPr>
            </w:pPr>
            <w:r>
              <w:rPr>
                <w:rFonts w:hint="eastAsia" w:ascii="宋体" w:hAnsi="宋体"/>
                <w:b/>
                <w:bCs/>
                <w:sz w:val="24"/>
                <w:szCs w:val="24"/>
              </w:rPr>
              <w:t>序号</w:t>
            </w:r>
          </w:p>
        </w:tc>
        <w:tc>
          <w:tcPr>
            <w:tcW w:w="4677"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spacing w:before="100" w:beforeAutospacing="1" w:after="100" w:afterAutospacing="1"/>
              <w:ind w:firstLine="482" w:firstLineChars="200"/>
              <w:jc w:val="center"/>
              <w:rPr>
                <w:rFonts w:ascii="宋体" w:hAnsi="宋体"/>
                <w:b/>
                <w:sz w:val="24"/>
                <w:szCs w:val="24"/>
              </w:rPr>
            </w:pPr>
            <w:r>
              <w:rPr>
                <w:rFonts w:hint="eastAsia" w:ascii="宋体" w:hAnsi="宋体"/>
                <w:b/>
                <w:bCs/>
                <w:sz w:val="24"/>
                <w:szCs w:val="24"/>
              </w:rPr>
              <w:t>预算项目</w:t>
            </w:r>
          </w:p>
        </w:tc>
        <w:tc>
          <w:tcPr>
            <w:tcW w:w="1931"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spacing w:before="100" w:beforeAutospacing="1" w:after="100" w:afterAutospacing="1"/>
              <w:jc w:val="center"/>
              <w:rPr>
                <w:rFonts w:ascii="宋体" w:hAnsi="宋体"/>
                <w:b/>
                <w:sz w:val="24"/>
                <w:szCs w:val="24"/>
              </w:rPr>
            </w:pPr>
            <w:r>
              <w:rPr>
                <w:rFonts w:hint="eastAsia" w:ascii="宋体" w:hAnsi="宋体"/>
                <w:b/>
                <w:bCs/>
                <w:sz w:val="24"/>
                <w:szCs w:val="24"/>
              </w:rPr>
              <w:t>金额（万元）</w:t>
            </w:r>
          </w:p>
        </w:tc>
      </w:tr>
      <w:tr>
        <w:tblPrEx>
          <w:tblLayout w:type="fixed"/>
          <w:tblCellMar>
            <w:top w:w="0" w:type="dxa"/>
            <w:left w:w="0" w:type="dxa"/>
            <w:bottom w:w="0" w:type="dxa"/>
            <w:right w:w="0" w:type="dxa"/>
          </w:tblCellMar>
        </w:tblPrEx>
        <w:trPr>
          <w:trHeight w:val="397" w:hRule="exact"/>
          <w:jc w:val="center"/>
        </w:trPr>
        <w:tc>
          <w:tcPr>
            <w:tcW w:w="1132"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spacing w:before="100" w:beforeAutospacing="1" w:after="100" w:afterAutospacing="1"/>
              <w:jc w:val="center"/>
              <w:rPr>
                <w:rFonts w:ascii="宋体" w:hAnsi="宋体"/>
                <w:sz w:val="24"/>
                <w:szCs w:val="24"/>
              </w:rPr>
            </w:pPr>
            <w:r>
              <w:rPr>
                <w:rFonts w:hint="eastAsia" w:ascii="宋体" w:hAnsi="宋体"/>
                <w:bCs/>
                <w:sz w:val="24"/>
                <w:szCs w:val="24"/>
              </w:rPr>
              <w:t>1</w:t>
            </w:r>
          </w:p>
        </w:tc>
        <w:tc>
          <w:tcPr>
            <w:tcW w:w="4677"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spacing w:before="100" w:beforeAutospacing="1" w:after="100" w:afterAutospacing="1"/>
              <w:rPr>
                <w:rFonts w:ascii="宋体" w:hAnsi="宋体"/>
                <w:sz w:val="24"/>
                <w:szCs w:val="24"/>
              </w:rPr>
            </w:pPr>
            <w:r>
              <w:rPr>
                <w:rFonts w:hint="eastAsia" w:ascii="宋体" w:hAnsi="宋体"/>
                <w:bCs/>
                <w:sz w:val="24"/>
                <w:szCs w:val="24"/>
              </w:rPr>
              <w:t>专家费、裁判费</w:t>
            </w:r>
          </w:p>
        </w:tc>
        <w:tc>
          <w:tcPr>
            <w:tcW w:w="1931"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spacing w:before="100" w:beforeAutospacing="1" w:after="100" w:afterAutospacing="1"/>
              <w:jc w:val="center"/>
              <w:rPr>
                <w:rFonts w:ascii="宋体" w:hAnsi="宋体"/>
                <w:sz w:val="24"/>
                <w:szCs w:val="24"/>
              </w:rPr>
            </w:pPr>
            <w:r>
              <w:rPr>
                <w:rFonts w:hint="eastAsia" w:ascii="宋体" w:hAnsi="宋体"/>
                <w:bCs/>
                <w:sz w:val="24"/>
                <w:szCs w:val="24"/>
              </w:rPr>
              <w:t>10</w:t>
            </w:r>
          </w:p>
        </w:tc>
      </w:tr>
      <w:tr>
        <w:tblPrEx>
          <w:tblLayout w:type="fixed"/>
          <w:tblCellMar>
            <w:top w:w="0" w:type="dxa"/>
            <w:left w:w="0" w:type="dxa"/>
            <w:bottom w:w="0" w:type="dxa"/>
            <w:right w:w="0" w:type="dxa"/>
          </w:tblCellMar>
        </w:tblPrEx>
        <w:trPr>
          <w:trHeight w:val="397" w:hRule="exact"/>
          <w:jc w:val="center"/>
        </w:trPr>
        <w:tc>
          <w:tcPr>
            <w:tcW w:w="1132"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spacing w:before="100" w:beforeAutospacing="1" w:after="100" w:afterAutospacing="1"/>
              <w:jc w:val="center"/>
              <w:rPr>
                <w:rFonts w:ascii="宋体" w:hAnsi="宋体"/>
                <w:sz w:val="24"/>
                <w:szCs w:val="24"/>
              </w:rPr>
            </w:pPr>
            <w:r>
              <w:rPr>
                <w:rFonts w:hint="eastAsia" w:ascii="宋体" w:hAnsi="宋体"/>
                <w:bCs/>
                <w:sz w:val="24"/>
                <w:szCs w:val="24"/>
              </w:rPr>
              <w:t>2</w:t>
            </w:r>
          </w:p>
        </w:tc>
        <w:tc>
          <w:tcPr>
            <w:tcW w:w="4677"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spacing w:before="100" w:beforeAutospacing="1" w:after="100" w:afterAutospacing="1"/>
              <w:rPr>
                <w:rFonts w:ascii="宋体" w:hAnsi="宋体"/>
                <w:sz w:val="24"/>
                <w:szCs w:val="24"/>
              </w:rPr>
            </w:pPr>
            <w:r>
              <w:rPr>
                <w:rFonts w:hint="eastAsia" w:ascii="宋体" w:hAnsi="宋体"/>
                <w:bCs/>
                <w:sz w:val="24"/>
                <w:szCs w:val="24"/>
              </w:rPr>
              <w:t>开幕式和闭幕式</w:t>
            </w:r>
          </w:p>
        </w:tc>
        <w:tc>
          <w:tcPr>
            <w:tcW w:w="1931"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spacing w:before="100" w:beforeAutospacing="1" w:after="100" w:afterAutospacing="1"/>
              <w:jc w:val="center"/>
              <w:rPr>
                <w:rFonts w:ascii="宋体" w:hAnsi="宋体"/>
                <w:sz w:val="24"/>
                <w:szCs w:val="24"/>
              </w:rPr>
            </w:pPr>
            <w:r>
              <w:rPr>
                <w:rFonts w:hint="eastAsia" w:ascii="宋体" w:hAnsi="宋体"/>
                <w:bCs/>
                <w:sz w:val="24"/>
                <w:szCs w:val="24"/>
              </w:rPr>
              <w:t>5</w:t>
            </w:r>
          </w:p>
        </w:tc>
      </w:tr>
      <w:tr>
        <w:tblPrEx>
          <w:tblLayout w:type="fixed"/>
          <w:tblCellMar>
            <w:top w:w="0" w:type="dxa"/>
            <w:left w:w="0" w:type="dxa"/>
            <w:bottom w:w="0" w:type="dxa"/>
            <w:right w:w="0" w:type="dxa"/>
          </w:tblCellMar>
        </w:tblPrEx>
        <w:trPr>
          <w:trHeight w:val="397" w:hRule="exact"/>
          <w:jc w:val="center"/>
        </w:trPr>
        <w:tc>
          <w:tcPr>
            <w:tcW w:w="1132"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spacing w:before="100" w:beforeAutospacing="1" w:after="100" w:afterAutospacing="1"/>
              <w:jc w:val="center"/>
              <w:rPr>
                <w:rFonts w:ascii="宋体" w:hAnsi="宋体"/>
                <w:sz w:val="24"/>
                <w:szCs w:val="24"/>
              </w:rPr>
            </w:pPr>
            <w:r>
              <w:rPr>
                <w:rFonts w:hint="eastAsia" w:ascii="宋体" w:hAnsi="宋体"/>
                <w:bCs/>
                <w:sz w:val="24"/>
                <w:szCs w:val="24"/>
              </w:rPr>
              <w:t>3</w:t>
            </w:r>
          </w:p>
        </w:tc>
        <w:tc>
          <w:tcPr>
            <w:tcW w:w="4677"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spacing w:before="100" w:beforeAutospacing="1" w:after="100" w:afterAutospacing="1"/>
              <w:rPr>
                <w:rFonts w:ascii="宋体" w:hAnsi="宋体"/>
                <w:sz w:val="24"/>
                <w:szCs w:val="24"/>
              </w:rPr>
            </w:pPr>
            <w:r>
              <w:rPr>
                <w:rFonts w:hint="eastAsia" w:ascii="宋体" w:hAnsi="宋体"/>
                <w:bCs/>
                <w:sz w:val="24"/>
                <w:szCs w:val="24"/>
              </w:rPr>
              <w:t>大赛宣传、设备租赁费</w:t>
            </w:r>
          </w:p>
        </w:tc>
        <w:tc>
          <w:tcPr>
            <w:tcW w:w="1931"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spacing w:before="100" w:beforeAutospacing="1" w:after="100" w:afterAutospacing="1"/>
              <w:jc w:val="center"/>
              <w:rPr>
                <w:rFonts w:ascii="宋体" w:hAnsi="宋体"/>
                <w:sz w:val="24"/>
                <w:szCs w:val="24"/>
              </w:rPr>
            </w:pPr>
            <w:r>
              <w:rPr>
                <w:rFonts w:hint="eastAsia" w:ascii="宋体" w:hAnsi="宋体"/>
                <w:bCs/>
                <w:sz w:val="24"/>
                <w:szCs w:val="24"/>
              </w:rPr>
              <w:t>7</w:t>
            </w:r>
          </w:p>
        </w:tc>
      </w:tr>
      <w:tr>
        <w:tblPrEx>
          <w:tblLayout w:type="fixed"/>
          <w:tblCellMar>
            <w:top w:w="0" w:type="dxa"/>
            <w:left w:w="0" w:type="dxa"/>
            <w:bottom w:w="0" w:type="dxa"/>
            <w:right w:w="0" w:type="dxa"/>
          </w:tblCellMar>
        </w:tblPrEx>
        <w:trPr>
          <w:trHeight w:val="397" w:hRule="exact"/>
          <w:jc w:val="center"/>
        </w:trPr>
        <w:tc>
          <w:tcPr>
            <w:tcW w:w="1132"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spacing w:before="100" w:beforeAutospacing="1" w:after="100" w:afterAutospacing="1"/>
              <w:jc w:val="center"/>
              <w:rPr>
                <w:rFonts w:ascii="宋体" w:hAnsi="宋体"/>
                <w:sz w:val="24"/>
                <w:szCs w:val="24"/>
              </w:rPr>
            </w:pPr>
            <w:r>
              <w:rPr>
                <w:rFonts w:hint="eastAsia" w:ascii="宋体" w:hAnsi="宋体"/>
                <w:bCs/>
                <w:sz w:val="24"/>
                <w:szCs w:val="24"/>
              </w:rPr>
              <w:t>4</w:t>
            </w:r>
          </w:p>
        </w:tc>
        <w:tc>
          <w:tcPr>
            <w:tcW w:w="4677"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spacing w:before="100" w:beforeAutospacing="1" w:after="100" w:afterAutospacing="1"/>
              <w:rPr>
                <w:rFonts w:ascii="宋体" w:hAnsi="宋体"/>
                <w:sz w:val="24"/>
                <w:szCs w:val="24"/>
              </w:rPr>
            </w:pPr>
            <w:r>
              <w:rPr>
                <w:rFonts w:hint="eastAsia" w:ascii="宋体" w:hAnsi="宋体"/>
                <w:bCs/>
                <w:sz w:val="24"/>
                <w:szCs w:val="24"/>
              </w:rPr>
              <w:t>奖品、服装费</w:t>
            </w:r>
          </w:p>
        </w:tc>
        <w:tc>
          <w:tcPr>
            <w:tcW w:w="1931"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spacing w:before="100" w:beforeAutospacing="1" w:after="100" w:afterAutospacing="1"/>
              <w:jc w:val="center"/>
              <w:rPr>
                <w:rFonts w:ascii="宋体" w:hAnsi="宋体"/>
                <w:sz w:val="24"/>
                <w:szCs w:val="24"/>
              </w:rPr>
            </w:pPr>
            <w:r>
              <w:rPr>
                <w:rFonts w:hint="eastAsia" w:ascii="宋体" w:hAnsi="宋体"/>
                <w:sz w:val="24"/>
                <w:szCs w:val="24"/>
              </w:rPr>
              <w:t>10</w:t>
            </w:r>
          </w:p>
        </w:tc>
      </w:tr>
      <w:tr>
        <w:tblPrEx>
          <w:tblLayout w:type="fixed"/>
          <w:tblCellMar>
            <w:top w:w="0" w:type="dxa"/>
            <w:left w:w="0" w:type="dxa"/>
            <w:bottom w:w="0" w:type="dxa"/>
            <w:right w:w="0" w:type="dxa"/>
          </w:tblCellMar>
        </w:tblPrEx>
        <w:trPr>
          <w:trHeight w:val="397" w:hRule="exact"/>
          <w:jc w:val="center"/>
        </w:trPr>
        <w:tc>
          <w:tcPr>
            <w:tcW w:w="1132"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spacing w:before="100" w:beforeAutospacing="1" w:after="100" w:afterAutospacing="1"/>
              <w:jc w:val="center"/>
              <w:rPr>
                <w:rFonts w:ascii="宋体" w:hAnsi="宋体"/>
                <w:sz w:val="24"/>
                <w:szCs w:val="24"/>
              </w:rPr>
            </w:pPr>
            <w:r>
              <w:rPr>
                <w:rFonts w:hint="eastAsia" w:ascii="宋体" w:hAnsi="宋体"/>
                <w:bCs/>
                <w:sz w:val="24"/>
                <w:szCs w:val="24"/>
              </w:rPr>
              <w:t>5</w:t>
            </w:r>
          </w:p>
        </w:tc>
        <w:tc>
          <w:tcPr>
            <w:tcW w:w="4677"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spacing w:before="100" w:beforeAutospacing="1" w:after="100" w:afterAutospacing="1"/>
              <w:rPr>
                <w:rFonts w:ascii="宋体" w:hAnsi="宋体"/>
                <w:sz w:val="24"/>
                <w:szCs w:val="24"/>
              </w:rPr>
            </w:pPr>
            <w:r>
              <w:rPr>
                <w:rFonts w:hint="eastAsia" w:ascii="宋体" w:hAnsi="宋体"/>
                <w:bCs/>
                <w:sz w:val="24"/>
                <w:szCs w:val="24"/>
              </w:rPr>
              <w:t>场地改造</w:t>
            </w:r>
          </w:p>
        </w:tc>
        <w:tc>
          <w:tcPr>
            <w:tcW w:w="1931"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spacing w:before="100" w:beforeAutospacing="1" w:after="100" w:afterAutospacing="1"/>
              <w:jc w:val="center"/>
              <w:rPr>
                <w:rFonts w:ascii="宋体" w:hAnsi="宋体"/>
                <w:sz w:val="24"/>
                <w:szCs w:val="24"/>
              </w:rPr>
            </w:pPr>
            <w:r>
              <w:rPr>
                <w:rFonts w:hint="eastAsia" w:ascii="宋体" w:hAnsi="宋体"/>
                <w:bCs/>
                <w:sz w:val="24"/>
                <w:szCs w:val="24"/>
              </w:rPr>
              <w:t>10</w:t>
            </w:r>
          </w:p>
        </w:tc>
      </w:tr>
      <w:tr>
        <w:tblPrEx>
          <w:tblLayout w:type="fixed"/>
          <w:tblCellMar>
            <w:top w:w="0" w:type="dxa"/>
            <w:left w:w="0" w:type="dxa"/>
            <w:bottom w:w="0" w:type="dxa"/>
            <w:right w:w="0" w:type="dxa"/>
          </w:tblCellMar>
        </w:tblPrEx>
        <w:trPr>
          <w:trHeight w:val="397" w:hRule="exact"/>
          <w:jc w:val="center"/>
        </w:trPr>
        <w:tc>
          <w:tcPr>
            <w:tcW w:w="1132"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spacing w:before="100" w:beforeAutospacing="1" w:after="100" w:afterAutospacing="1"/>
              <w:jc w:val="center"/>
              <w:rPr>
                <w:rFonts w:ascii="宋体" w:hAnsi="宋体"/>
                <w:sz w:val="24"/>
                <w:szCs w:val="24"/>
              </w:rPr>
            </w:pPr>
            <w:r>
              <w:rPr>
                <w:rFonts w:hint="eastAsia" w:ascii="宋体" w:hAnsi="宋体"/>
                <w:bCs/>
                <w:sz w:val="24"/>
                <w:szCs w:val="24"/>
              </w:rPr>
              <w:t>6</w:t>
            </w:r>
          </w:p>
        </w:tc>
        <w:tc>
          <w:tcPr>
            <w:tcW w:w="4677"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spacing w:before="100" w:beforeAutospacing="1" w:after="100" w:afterAutospacing="1"/>
              <w:rPr>
                <w:rFonts w:ascii="宋体" w:hAnsi="宋体"/>
                <w:sz w:val="24"/>
                <w:szCs w:val="24"/>
              </w:rPr>
            </w:pPr>
            <w:r>
              <w:rPr>
                <w:rFonts w:hint="eastAsia" w:ascii="宋体" w:hAnsi="宋体"/>
                <w:sz w:val="24"/>
                <w:szCs w:val="24"/>
              </w:rPr>
              <w:t>赛务筹备</w:t>
            </w:r>
          </w:p>
        </w:tc>
        <w:tc>
          <w:tcPr>
            <w:tcW w:w="1931"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spacing w:before="100" w:beforeAutospacing="1" w:after="100" w:afterAutospacing="1"/>
              <w:jc w:val="center"/>
              <w:rPr>
                <w:rFonts w:ascii="宋体" w:hAnsi="宋体"/>
                <w:sz w:val="24"/>
                <w:szCs w:val="24"/>
              </w:rPr>
            </w:pPr>
            <w:r>
              <w:rPr>
                <w:rFonts w:hint="eastAsia" w:ascii="宋体" w:hAnsi="宋体"/>
                <w:bCs/>
                <w:sz w:val="24"/>
                <w:szCs w:val="24"/>
              </w:rPr>
              <w:t>5</w:t>
            </w:r>
          </w:p>
        </w:tc>
      </w:tr>
      <w:tr>
        <w:tblPrEx>
          <w:tblLayout w:type="fixed"/>
          <w:tblCellMar>
            <w:top w:w="0" w:type="dxa"/>
            <w:left w:w="0" w:type="dxa"/>
            <w:bottom w:w="0" w:type="dxa"/>
            <w:right w:w="0" w:type="dxa"/>
          </w:tblCellMar>
        </w:tblPrEx>
        <w:trPr>
          <w:trHeight w:val="397" w:hRule="exact"/>
          <w:jc w:val="center"/>
        </w:trPr>
        <w:tc>
          <w:tcPr>
            <w:tcW w:w="1132"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spacing w:before="100" w:beforeAutospacing="1" w:after="100" w:afterAutospacing="1"/>
              <w:jc w:val="center"/>
              <w:rPr>
                <w:rFonts w:ascii="宋体" w:hAnsi="宋体"/>
                <w:sz w:val="24"/>
                <w:szCs w:val="24"/>
              </w:rPr>
            </w:pPr>
            <w:r>
              <w:rPr>
                <w:rFonts w:hint="eastAsia" w:ascii="宋体" w:hAnsi="宋体"/>
                <w:bCs/>
                <w:sz w:val="24"/>
                <w:szCs w:val="24"/>
              </w:rPr>
              <w:t>7</w:t>
            </w:r>
          </w:p>
        </w:tc>
        <w:tc>
          <w:tcPr>
            <w:tcW w:w="4677"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spacing w:before="100" w:beforeAutospacing="1" w:after="100" w:afterAutospacing="1"/>
              <w:rPr>
                <w:rFonts w:ascii="宋体" w:hAnsi="宋体"/>
                <w:bCs/>
                <w:sz w:val="24"/>
                <w:szCs w:val="24"/>
              </w:rPr>
            </w:pPr>
            <w:r>
              <w:rPr>
                <w:rFonts w:hint="eastAsia" w:ascii="宋体" w:hAnsi="宋体"/>
                <w:bCs/>
                <w:sz w:val="24"/>
                <w:szCs w:val="24"/>
              </w:rPr>
              <w:t>体验中心设计与实施</w:t>
            </w:r>
          </w:p>
        </w:tc>
        <w:tc>
          <w:tcPr>
            <w:tcW w:w="1931"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spacing w:before="100" w:beforeAutospacing="1" w:after="100" w:afterAutospacing="1"/>
              <w:jc w:val="center"/>
              <w:rPr>
                <w:rFonts w:ascii="宋体" w:hAnsi="宋体"/>
                <w:sz w:val="24"/>
                <w:szCs w:val="24"/>
              </w:rPr>
            </w:pPr>
            <w:r>
              <w:rPr>
                <w:rFonts w:hint="eastAsia" w:ascii="宋体" w:hAnsi="宋体"/>
                <w:bCs/>
                <w:sz w:val="24"/>
                <w:szCs w:val="24"/>
              </w:rPr>
              <w:t>8</w:t>
            </w:r>
          </w:p>
        </w:tc>
      </w:tr>
      <w:tr>
        <w:tblPrEx>
          <w:tblLayout w:type="fixed"/>
          <w:tblCellMar>
            <w:top w:w="0" w:type="dxa"/>
            <w:left w:w="0" w:type="dxa"/>
            <w:bottom w:w="0" w:type="dxa"/>
            <w:right w:w="0" w:type="dxa"/>
          </w:tblCellMar>
        </w:tblPrEx>
        <w:trPr>
          <w:trHeight w:val="397" w:hRule="exact"/>
          <w:jc w:val="center"/>
        </w:trPr>
        <w:tc>
          <w:tcPr>
            <w:tcW w:w="1132"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spacing w:before="100" w:beforeAutospacing="1" w:after="100" w:afterAutospacing="1"/>
              <w:jc w:val="center"/>
              <w:rPr>
                <w:rFonts w:ascii="宋体" w:hAnsi="宋体"/>
                <w:bCs/>
                <w:sz w:val="24"/>
                <w:szCs w:val="24"/>
              </w:rPr>
            </w:pPr>
            <w:r>
              <w:rPr>
                <w:rFonts w:hint="eastAsia" w:ascii="宋体" w:hAnsi="宋体"/>
                <w:bCs/>
                <w:sz w:val="24"/>
                <w:szCs w:val="24"/>
              </w:rPr>
              <w:t>8</w:t>
            </w:r>
          </w:p>
        </w:tc>
        <w:tc>
          <w:tcPr>
            <w:tcW w:w="4677"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spacing w:before="100" w:beforeAutospacing="1" w:after="100" w:afterAutospacing="1"/>
              <w:rPr>
                <w:rFonts w:ascii="宋体" w:hAnsi="宋体"/>
                <w:bCs/>
                <w:sz w:val="24"/>
                <w:szCs w:val="24"/>
              </w:rPr>
            </w:pPr>
            <w:r>
              <w:rPr>
                <w:rFonts w:hint="eastAsia" w:ascii="宋体" w:hAnsi="宋体"/>
                <w:bCs/>
                <w:sz w:val="24"/>
                <w:szCs w:val="24"/>
              </w:rPr>
              <w:t>教学资源开发、赛项技术完善</w:t>
            </w:r>
          </w:p>
        </w:tc>
        <w:tc>
          <w:tcPr>
            <w:tcW w:w="1931"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spacing w:before="100" w:beforeAutospacing="1" w:after="100" w:afterAutospacing="1"/>
              <w:jc w:val="center"/>
              <w:rPr>
                <w:rFonts w:ascii="宋体" w:hAnsi="宋体"/>
                <w:bCs/>
                <w:sz w:val="24"/>
                <w:szCs w:val="24"/>
              </w:rPr>
            </w:pPr>
            <w:r>
              <w:rPr>
                <w:rFonts w:hint="eastAsia" w:ascii="宋体" w:hAnsi="宋体"/>
                <w:bCs/>
                <w:sz w:val="24"/>
                <w:szCs w:val="24"/>
              </w:rPr>
              <w:t>5</w:t>
            </w:r>
          </w:p>
        </w:tc>
      </w:tr>
      <w:tr>
        <w:tblPrEx>
          <w:tblLayout w:type="fixed"/>
          <w:tblCellMar>
            <w:top w:w="0" w:type="dxa"/>
            <w:left w:w="0" w:type="dxa"/>
            <w:bottom w:w="0" w:type="dxa"/>
            <w:right w:w="0" w:type="dxa"/>
          </w:tblCellMar>
        </w:tblPrEx>
        <w:trPr>
          <w:trHeight w:val="397" w:hRule="exact"/>
          <w:jc w:val="center"/>
        </w:trPr>
        <w:tc>
          <w:tcPr>
            <w:tcW w:w="5809" w:type="dxa"/>
            <w:gridSpan w:val="2"/>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spacing w:before="100" w:beforeAutospacing="1" w:after="100" w:afterAutospacing="1"/>
              <w:ind w:firstLine="480" w:firstLineChars="200"/>
              <w:jc w:val="center"/>
              <w:rPr>
                <w:rFonts w:ascii="宋体" w:hAnsi="宋体"/>
                <w:sz w:val="24"/>
                <w:szCs w:val="24"/>
              </w:rPr>
            </w:pPr>
            <w:r>
              <w:rPr>
                <w:rFonts w:hint="eastAsia" w:ascii="宋体" w:hAnsi="宋体"/>
                <w:bCs/>
                <w:sz w:val="24"/>
                <w:szCs w:val="24"/>
              </w:rPr>
              <w:t>合   计</w:t>
            </w:r>
          </w:p>
        </w:tc>
        <w:tc>
          <w:tcPr>
            <w:tcW w:w="1931" w:type="dxa"/>
            <w:tcBorders>
              <w:top w:val="single" w:color="000000" w:sz="8" w:space="0"/>
              <w:left w:val="single" w:color="000000" w:sz="8" w:space="0"/>
              <w:bottom w:val="single" w:color="000000" w:sz="8" w:space="0"/>
              <w:right w:val="single" w:color="000000" w:sz="8" w:space="0"/>
            </w:tcBorders>
            <w:tcMar>
              <w:top w:w="72" w:type="dxa"/>
              <w:left w:w="144" w:type="dxa"/>
              <w:bottom w:w="72" w:type="dxa"/>
              <w:right w:w="144" w:type="dxa"/>
            </w:tcMar>
            <w:vAlign w:val="center"/>
          </w:tcPr>
          <w:p>
            <w:pPr>
              <w:snapToGrid w:val="0"/>
              <w:spacing w:before="100" w:beforeAutospacing="1" w:after="100" w:afterAutospacing="1"/>
              <w:jc w:val="center"/>
              <w:rPr>
                <w:rFonts w:ascii="宋体" w:hAnsi="宋体"/>
                <w:sz w:val="24"/>
                <w:szCs w:val="24"/>
              </w:rPr>
            </w:pPr>
            <w:r>
              <w:rPr>
                <w:rFonts w:hint="eastAsia" w:ascii="宋体" w:hAnsi="宋体"/>
                <w:bCs/>
                <w:sz w:val="24"/>
                <w:szCs w:val="24"/>
              </w:rPr>
              <w:t>60</w:t>
            </w:r>
          </w:p>
        </w:tc>
      </w:tr>
    </w:tbl>
    <w:p>
      <w:pPr>
        <w:snapToGrid w:val="0"/>
        <w:spacing w:line="560" w:lineRule="exact"/>
        <w:ind w:firstLine="600" w:firstLineChars="200"/>
        <w:outlineLvl w:val="0"/>
        <w:rPr>
          <w:rFonts w:ascii="黑体" w:hAnsi="黑体" w:eastAsia="黑体" w:cs="黑体"/>
          <w:bCs/>
          <w:sz w:val="30"/>
          <w:szCs w:val="30"/>
        </w:rPr>
      </w:pPr>
      <w:r>
        <w:rPr>
          <w:rFonts w:hint="eastAsia" w:ascii="黑体" w:hAnsi="黑体" w:eastAsia="黑体" w:cs="黑体"/>
          <w:bCs/>
          <w:sz w:val="30"/>
          <w:szCs w:val="30"/>
        </w:rPr>
        <w:t>十六、比赛组织与管理</w:t>
      </w:r>
    </w:p>
    <w:p>
      <w:pPr>
        <w:snapToGrid w:val="0"/>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根据《全国职业院校技能大赛组织机构与职能分工》，由申报单位牵头成立赛项执行委员会和赛项专家组，全面负责赛项整体策划。执委会和赛项专家组由行业、企业专家和院校代表共同组成。</w:t>
      </w:r>
    </w:p>
    <w:p>
      <w:pPr>
        <w:snapToGrid w:val="0"/>
        <w:spacing w:line="560" w:lineRule="exact"/>
        <w:ind w:firstLine="602" w:firstLineChars="200"/>
        <w:rPr>
          <w:rFonts w:ascii="仿宋_GB2312" w:hAnsi="宋体" w:eastAsia="仿宋_GB2312"/>
          <w:b/>
          <w:kern w:val="0"/>
          <w:sz w:val="30"/>
          <w:szCs w:val="30"/>
        </w:rPr>
      </w:pPr>
      <w:r>
        <w:rPr>
          <w:rFonts w:hint="eastAsia" w:ascii="仿宋_GB2312" w:hAnsi="宋体" w:eastAsia="仿宋_GB2312"/>
          <w:b/>
          <w:kern w:val="0"/>
          <w:sz w:val="30"/>
          <w:szCs w:val="30"/>
        </w:rPr>
        <w:t>（一）赛项组织机构</w:t>
      </w:r>
    </w:p>
    <w:p>
      <w:pPr>
        <w:adjustRightInd w:val="0"/>
        <w:snapToGrid w:val="0"/>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1.赛项执行委员会</w:t>
      </w:r>
    </w:p>
    <w:p>
      <w:pPr>
        <w:adjustRightInd w:val="0"/>
        <w:snapToGrid w:val="0"/>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各赛项执行委员会全面负责本赛项的筹备与实施工作，接受大赛执委会领导，接受赛项所在分赛区执委会的协调和指导。赛项执委会的主要职责包括：领导、协调赛项专家组和赛项承办院校开展本赛项的组织工作，管理赛项经费，选荐赛项专家组人员及赛项裁判与仲裁人员等。</w:t>
      </w:r>
    </w:p>
    <w:p>
      <w:pPr>
        <w:adjustRightInd w:val="0"/>
        <w:snapToGrid w:val="0"/>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2.赛项专家组</w:t>
      </w:r>
    </w:p>
    <w:p>
      <w:pPr>
        <w:tabs>
          <w:tab w:val="left" w:pos="3396"/>
        </w:tabs>
        <w:adjustRightInd w:val="0"/>
        <w:snapToGrid w:val="0"/>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赛项专家组在赛项执委会领导下开展工作，负责本赛项技术文件编撰、赛题设计、赛场设计、设备拟定、赛事咨询、技术评点、赛事成果转化、赛项裁判人员培训、赛项说明会组织等竞赛技术工作；同时负责赛项展示体验及宣传方案设计。</w:t>
      </w:r>
    </w:p>
    <w:p>
      <w:pPr>
        <w:adjustRightInd w:val="0"/>
        <w:snapToGrid w:val="0"/>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3.赛项承办院校</w:t>
      </w:r>
    </w:p>
    <w:p>
      <w:pPr>
        <w:adjustRightInd w:val="0"/>
        <w:snapToGrid w:val="0"/>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赛项承办院校在赛项执委会领导下，负责承办赛项的具体保障实施工作，主要职责包括：按照赛项技术方案要求落实比赛场地及基础设施，赛项宣传，组织开展各项赛期活动，参赛人员接待，比赛过程文件存档等工作，赛务人员及服务志愿者的组织，赛场秩序维持及安全保障，赛后搜集整理大赛影像文字资料上报大赛执委会等。赛项承办院校按照赛项预算执行各项支出。承办院校人员不得参与所承办赛项的赛题设计和裁判工作。</w:t>
      </w:r>
    </w:p>
    <w:p>
      <w:pPr>
        <w:adjustRightInd w:val="0"/>
        <w:snapToGrid w:val="0"/>
        <w:spacing w:line="560" w:lineRule="exact"/>
        <w:ind w:firstLine="602" w:firstLineChars="200"/>
        <w:rPr>
          <w:rFonts w:ascii="仿宋_GB2312" w:hAnsi="宋体" w:eastAsia="仿宋_GB2312"/>
          <w:b/>
          <w:sz w:val="30"/>
          <w:szCs w:val="30"/>
        </w:rPr>
      </w:pPr>
      <w:r>
        <w:rPr>
          <w:rFonts w:hint="eastAsia" w:ascii="仿宋_GB2312" w:hAnsi="宋体" w:eastAsia="仿宋_GB2312"/>
          <w:b/>
          <w:sz w:val="30"/>
          <w:szCs w:val="30"/>
        </w:rPr>
        <w:t>（二）赛项设备与设施管理</w:t>
      </w:r>
    </w:p>
    <w:p>
      <w:pPr>
        <w:snapToGrid w:val="0"/>
        <w:spacing w:line="560" w:lineRule="exact"/>
        <w:ind w:firstLine="600" w:firstLineChars="200"/>
        <w:rPr>
          <w:rFonts w:ascii="仿宋_GB2312" w:hAnsi="宋体" w:eastAsia="仿宋_GB2312"/>
          <w:kern w:val="0"/>
          <w:sz w:val="30"/>
          <w:szCs w:val="30"/>
        </w:rPr>
      </w:pPr>
      <w:r>
        <w:rPr>
          <w:rFonts w:hint="eastAsia" w:ascii="仿宋_GB2312" w:hAnsi="宋体" w:eastAsia="仿宋_GB2312"/>
          <w:kern w:val="0"/>
          <w:sz w:val="30"/>
          <w:szCs w:val="30"/>
        </w:rPr>
        <w:t>根据《全国职业院校技能大赛赛项设备与设施管理办法》进行</w:t>
      </w:r>
      <w:r>
        <w:rPr>
          <w:rFonts w:hint="eastAsia" w:ascii="仿宋_GB2312" w:hAnsi="宋体" w:eastAsia="仿宋_GB2312"/>
          <w:sz w:val="30"/>
          <w:szCs w:val="30"/>
        </w:rPr>
        <w:t>进行设备与设施管路。</w:t>
      </w:r>
    </w:p>
    <w:p>
      <w:pPr>
        <w:spacing w:line="560" w:lineRule="exact"/>
        <w:ind w:firstLine="600" w:firstLineChars="200"/>
        <w:rPr>
          <w:rFonts w:ascii="仿宋_GB2312" w:hAnsi="宋体" w:eastAsia="仿宋_GB2312"/>
          <w:sz w:val="30"/>
          <w:szCs w:val="30"/>
        </w:rPr>
      </w:pPr>
      <w:r>
        <w:rPr>
          <w:rFonts w:hint="eastAsia" w:ascii="仿宋_GB2312" w:hAnsi="宋体" w:eastAsia="仿宋_GB2312"/>
          <w:kern w:val="0"/>
          <w:sz w:val="30"/>
          <w:szCs w:val="30"/>
        </w:rPr>
        <w:t>1.</w:t>
      </w:r>
      <w:r>
        <w:rPr>
          <w:rFonts w:hint="eastAsia" w:ascii="仿宋_GB2312" w:hAnsi="宋体" w:eastAsia="仿宋_GB2312"/>
          <w:sz w:val="30"/>
          <w:szCs w:val="30"/>
        </w:rPr>
        <w:t>赛场布置</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（1）赛场应进行周密设计，绘制满足赛事管理、引导、指示要求的平面图。竞赛举行期间，应在竞赛场所、人员密集的地方张贴。</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（2）赛场平面图上应标明安全出口、消防通道、警戒区、紧急事件发生时的疏散通道。</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（3）赛场的标注、标识应进行统一设计，按规定使用大赛的标注、标识。赛场各功能区域、赛位等应具有清晰的标注与标识。</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（4）赛位上应张贴各种设备的安全文明生产操作规程。</w:t>
      </w:r>
    </w:p>
    <w:p>
      <w:pPr>
        <w:snapToGrid w:val="0"/>
        <w:spacing w:line="560" w:lineRule="exact"/>
        <w:ind w:firstLine="600" w:firstLineChars="200"/>
        <w:rPr>
          <w:rFonts w:ascii="仿宋_GB2312" w:hAnsi="宋体" w:eastAsia="仿宋_GB2312"/>
          <w:kern w:val="0"/>
          <w:sz w:val="30"/>
          <w:szCs w:val="30"/>
        </w:rPr>
      </w:pPr>
      <w:r>
        <w:rPr>
          <w:rFonts w:hint="eastAsia" w:ascii="仿宋_GB2312" w:hAnsi="宋体" w:eastAsia="仿宋_GB2312"/>
          <w:sz w:val="30"/>
          <w:szCs w:val="30"/>
        </w:rPr>
        <w:t>2.</w:t>
      </w:r>
      <w:r>
        <w:rPr>
          <w:rFonts w:hint="eastAsia" w:ascii="仿宋_GB2312" w:hAnsi="宋体" w:eastAsia="仿宋_GB2312"/>
          <w:kern w:val="0"/>
          <w:sz w:val="30"/>
          <w:szCs w:val="30"/>
        </w:rPr>
        <w:t>赛场管理</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1）在确保竞赛选手不受干扰的前提下，全面开放赛场，吸引社会各界人士到场观赛，提升技能大赛的关注度和影响力。赛场选手竞赛的核心区域，应指定参观路线、规定停留时间，安排专职人员进行管控与疏导。</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（2）卫生间、医疗、维修服务、生活补给站和垃圾分类回收点都在警戒线范围内，以确保大赛在相对安全的环境内进行，杜绝发生选手与外界交换信息、串通作弊的情形。</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（3）设置安全通道和警戒线，确保进入赛场的大赛参观、采访、视察的人员限定在安全区域内活动，以保证大赛安全有序进行。</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3.赛项保障</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（1）建立完善的赛项保障组织管理机制，做到各竞赛单元均有专人负责指挥和协调，确保大赛有序进行。</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（2）设置生活保障组，为竞赛选手与裁判提供相应的生活服务和后勤保障。</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（3）设置技术保障组，为竞赛设备、软件与竞赛设施提供保养、维修等服务，保障设备的完好性和正常使用，保障设备配件与操作工具的及时供应。</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（4）设置医疗保障服务站，提供可能发生的急救、伤口处理等应急服务。</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（5）设置外围安保组，对赛场核心区域的外围进行警戒与引导服务。</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4.监督与执行</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（1）各赛项应制定详细的赛场建设方案和建设进度表，并遵照执行。</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（2）赛项专家组应根据已制定的建设方案和进度进行检查，确保在比赛前建设完成。</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（3）在正式比赛前一周，赛项专家组会同承办方对赛场建设结果进行验收与查漏。</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（4）赛场设备、设施、环境应进行赛前测试和试运行，确保赛项设备设施完好完善。</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（5）赛场验收：正式比赛前，专家组会同承办方应根据建设方案对赛场进行验收。并在验收报告上签字确认。经验收后的赛场应禁止无关人员出入。</w:t>
      </w:r>
    </w:p>
    <w:p>
      <w:pPr>
        <w:spacing w:line="560" w:lineRule="exact"/>
        <w:ind w:firstLine="602" w:firstLineChars="200"/>
        <w:rPr>
          <w:rFonts w:ascii="仿宋_GB2312" w:hAnsi="宋体" w:eastAsia="仿宋_GB2312"/>
          <w:b/>
          <w:sz w:val="30"/>
          <w:szCs w:val="30"/>
        </w:rPr>
      </w:pPr>
      <w:r>
        <w:rPr>
          <w:rFonts w:hint="eastAsia" w:ascii="仿宋_GB2312" w:hAnsi="宋体" w:eastAsia="仿宋_GB2312"/>
          <w:b/>
          <w:sz w:val="30"/>
          <w:szCs w:val="30"/>
        </w:rPr>
        <w:t>（三）安全措施</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1.各赛项应根据赛项具体特点做好安全事故应急预案。</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2.赛前应组织安保人员进行培训，提前进行安全教育和演习，使安保人员熟悉大赛的安全预案，明确各自的分工和职责。督促各部门检查消防设施，做好安全保卫工作，防止火灾、盗窃现象发生，要按时关窗锁门，确保大赛期间赛场财产的安全。</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3.竞赛过程中如若发生安全事故，应立即报告现场总指挥，同时启动事故处理应急预案，各类人员按照分工各尽其责，立即展开现场抢救和组织人员疏散，最大限度地减少人员伤害及财产损失。</w:t>
      </w:r>
    </w:p>
    <w:p>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4.竞赛结束时，要及时进行安全检查，重点做好防火、防盗以及电气、设备的安全检查，防止因疏忽而发生事故。</w:t>
      </w:r>
    </w:p>
    <w:p>
      <w:pPr>
        <w:spacing w:line="560" w:lineRule="exact"/>
        <w:ind w:firstLine="602" w:firstLineChars="200"/>
        <w:rPr>
          <w:rFonts w:ascii="仿宋_GB2312" w:hAnsi="宋体" w:eastAsia="仿宋_GB2312"/>
          <w:b/>
          <w:sz w:val="30"/>
          <w:szCs w:val="30"/>
        </w:rPr>
      </w:pPr>
      <w:r>
        <w:rPr>
          <w:rFonts w:hint="eastAsia" w:ascii="仿宋_GB2312" w:hAnsi="宋体" w:eastAsia="仿宋_GB2312"/>
          <w:b/>
          <w:sz w:val="30"/>
          <w:szCs w:val="30"/>
        </w:rPr>
        <w:t>（四）监督与仲裁</w:t>
      </w:r>
    </w:p>
    <w:p>
      <w:pPr>
        <w:snapToGrid w:val="0"/>
        <w:spacing w:line="560" w:lineRule="exact"/>
        <w:ind w:firstLine="600" w:firstLineChars="200"/>
        <w:rPr>
          <w:rFonts w:ascii="仿宋_GB2312" w:hAnsi="宋体" w:eastAsia="仿宋_GB2312"/>
          <w:kern w:val="0"/>
          <w:sz w:val="30"/>
          <w:szCs w:val="30"/>
        </w:rPr>
      </w:pPr>
      <w:r>
        <w:rPr>
          <w:rFonts w:hint="eastAsia" w:ascii="仿宋_GB2312" w:hAnsi="宋体" w:eastAsia="仿宋_GB2312"/>
          <w:kern w:val="0"/>
          <w:sz w:val="30"/>
          <w:szCs w:val="30"/>
        </w:rPr>
        <w:t>根据《全国职业院校技能大赛赛项监督与仲裁管理办法》</w:t>
      </w:r>
      <w:r>
        <w:rPr>
          <w:rFonts w:hint="eastAsia" w:ascii="仿宋_GB2312" w:hAnsi="宋体" w:eastAsia="仿宋_GB2312"/>
          <w:sz w:val="30"/>
          <w:szCs w:val="30"/>
        </w:rPr>
        <w:t>进行监督与仲裁：</w:t>
      </w:r>
    </w:p>
    <w:p>
      <w:pPr>
        <w:snapToGrid w:val="0"/>
        <w:spacing w:line="560" w:lineRule="exact"/>
        <w:ind w:firstLine="600" w:firstLineChars="200"/>
        <w:rPr>
          <w:rFonts w:ascii="仿宋_GB2312" w:hAnsi="宋体" w:eastAsia="仿宋_GB2312"/>
          <w:kern w:val="0"/>
          <w:sz w:val="30"/>
          <w:szCs w:val="30"/>
        </w:rPr>
      </w:pPr>
      <w:r>
        <w:rPr>
          <w:rFonts w:hint="eastAsia" w:ascii="仿宋_GB2312" w:hAnsi="宋体" w:eastAsia="仿宋_GB2312"/>
          <w:kern w:val="0"/>
          <w:sz w:val="30"/>
          <w:szCs w:val="30"/>
        </w:rPr>
        <w:t>1.赛项监督</w:t>
      </w:r>
    </w:p>
    <w:p>
      <w:pPr>
        <w:snapToGrid w:val="0"/>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（1）监督组由大赛执委会指派，在大赛执委会领导下，负责对智能电梯装调与维护竞赛筹备与组织工作实施全程现场监督。监督组实行组长负责制。</w:t>
      </w:r>
    </w:p>
    <w:p>
      <w:pPr>
        <w:snapToGrid w:val="0"/>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（2）监督组的监督内容包括赛项竞赛场地和设施的部署、选手抽签、裁判培训、竞赛组织、成绩评判及汇总、成绩发布、申诉</w:t>
      </w:r>
      <w:r>
        <w:rPr>
          <w:rFonts w:hint="eastAsia" w:ascii="仿宋_GB2312" w:hAnsi="宋体" w:eastAsia="仿宋_GB2312"/>
          <w:bCs/>
          <w:sz w:val="30"/>
          <w:szCs w:val="30"/>
        </w:rPr>
        <w:t>仲裁、成绩复核等</w:t>
      </w:r>
      <w:r>
        <w:rPr>
          <w:rFonts w:hint="eastAsia" w:ascii="仿宋_GB2312" w:hAnsi="宋体" w:eastAsia="仿宋_GB2312"/>
          <w:sz w:val="30"/>
          <w:szCs w:val="30"/>
        </w:rPr>
        <w:t>。</w:t>
      </w:r>
    </w:p>
    <w:p>
      <w:pPr>
        <w:snapToGrid w:val="0"/>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（3）监督组对竞赛过程中明显违规现象，应及时向竞赛组织方提出改正建议，同时采取必要技术手段，留取监督的过程资料。赛事结束后，向全国大赛执委会提报监督工作报告。</w:t>
      </w:r>
    </w:p>
    <w:p>
      <w:pPr>
        <w:snapToGrid w:val="0"/>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（4）监督组不参与具体的赛事组织活动。</w:t>
      </w:r>
    </w:p>
    <w:p>
      <w:pPr>
        <w:snapToGrid w:val="0"/>
        <w:spacing w:line="560" w:lineRule="exact"/>
        <w:ind w:firstLine="600" w:firstLineChars="200"/>
        <w:rPr>
          <w:rFonts w:ascii="仿宋_GB2312" w:hAnsi="宋体" w:eastAsia="仿宋_GB2312"/>
          <w:kern w:val="0"/>
          <w:sz w:val="30"/>
          <w:szCs w:val="30"/>
        </w:rPr>
      </w:pPr>
      <w:r>
        <w:rPr>
          <w:rFonts w:hint="eastAsia" w:ascii="仿宋_GB2312" w:hAnsi="宋体" w:eastAsia="仿宋_GB2312"/>
          <w:kern w:val="0"/>
          <w:sz w:val="30"/>
          <w:szCs w:val="30"/>
        </w:rPr>
        <w:t>2.申诉与仲裁</w:t>
      </w:r>
    </w:p>
    <w:p>
      <w:pPr>
        <w:snapToGrid w:val="0"/>
        <w:spacing w:line="560" w:lineRule="exact"/>
        <w:ind w:firstLine="600" w:firstLineChars="200"/>
        <w:rPr>
          <w:rFonts w:ascii="仿宋_GB2312" w:hAnsi="宋体" w:eastAsia="仿宋_GB2312"/>
          <w:kern w:val="0"/>
          <w:sz w:val="30"/>
          <w:szCs w:val="30"/>
        </w:rPr>
      </w:pPr>
      <w:r>
        <w:rPr>
          <w:rFonts w:hint="eastAsia" w:ascii="仿宋_GB2312" w:hAnsi="宋体" w:eastAsia="仿宋_GB2312"/>
          <w:sz w:val="30"/>
          <w:szCs w:val="30"/>
        </w:rPr>
        <w:t>（1）</w:t>
      </w:r>
      <w:r>
        <w:rPr>
          <w:rFonts w:hint="eastAsia" w:ascii="仿宋_GB2312" w:hAnsi="宋体" w:eastAsia="仿宋_GB2312"/>
          <w:kern w:val="0"/>
          <w:sz w:val="30"/>
          <w:szCs w:val="30"/>
        </w:rPr>
        <w:t>根据《全国职业院校技能大赛赛项监督与仲裁管理办法》仲裁人员的条件和组成程序，成立</w:t>
      </w:r>
      <w:r>
        <w:rPr>
          <w:rFonts w:hint="eastAsia" w:ascii="仿宋_GB2312" w:hAnsi="宋体" w:eastAsia="仿宋_GB2312"/>
          <w:sz w:val="30"/>
          <w:szCs w:val="30"/>
        </w:rPr>
        <w:t>智能电梯装调与维护</w:t>
      </w:r>
      <w:r>
        <w:rPr>
          <w:rFonts w:hint="eastAsia" w:ascii="仿宋_GB2312" w:hAnsi="宋体" w:eastAsia="仿宋_GB2312"/>
          <w:kern w:val="0"/>
          <w:sz w:val="30"/>
          <w:szCs w:val="30"/>
        </w:rPr>
        <w:t>赛项仲裁工作组。</w:t>
      </w:r>
      <w:r>
        <w:rPr>
          <w:rFonts w:hint="eastAsia" w:ascii="仿宋_GB2312" w:hAnsi="宋体" w:eastAsia="仿宋_GB2312"/>
          <w:sz w:val="30"/>
          <w:szCs w:val="30"/>
        </w:rPr>
        <w:t>仲裁工作组在赛项执委会领导下开展工作，并对赛项执委会负责。</w:t>
      </w:r>
    </w:p>
    <w:p>
      <w:pPr>
        <w:pStyle w:val="13"/>
        <w:tabs>
          <w:tab w:val="left" w:pos="709"/>
        </w:tabs>
        <w:adjustRightInd w:val="0"/>
        <w:snapToGrid w:val="0"/>
        <w:spacing w:line="560" w:lineRule="exact"/>
        <w:ind w:firstLine="600"/>
        <w:rPr>
          <w:rFonts w:ascii="仿宋_GB2312" w:hAnsi="宋体" w:eastAsia="仿宋_GB2312"/>
          <w:sz w:val="30"/>
          <w:szCs w:val="30"/>
        </w:rPr>
      </w:pPr>
      <w:r>
        <w:rPr>
          <w:rFonts w:hint="eastAsia" w:ascii="仿宋_GB2312" w:hAnsi="宋体" w:eastAsia="仿宋_GB2312"/>
          <w:sz w:val="30"/>
          <w:szCs w:val="30"/>
        </w:rPr>
        <w:t>（2）仲裁人员的职责</w:t>
      </w:r>
    </w:p>
    <w:p>
      <w:pPr>
        <w:pStyle w:val="13"/>
        <w:tabs>
          <w:tab w:val="left" w:pos="709"/>
        </w:tabs>
        <w:adjustRightInd w:val="0"/>
        <w:snapToGrid w:val="0"/>
        <w:spacing w:line="560" w:lineRule="exact"/>
        <w:ind w:firstLine="600"/>
        <w:rPr>
          <w:rFonts w:ascii="仿宋_GB2312" w:hAnsi="宋体" w:eastAsia="仿宋_GB2312"/>
          <w:sz w:val="30"/>
          <w:szCs w:val="30"/>
        </w:rPr>
      </w:pPr>
      <w:r>
        <w:rPr>
          <w:rFonts w:hint="eastAsia" w:ascii="仿宋_GB2312" w:hAnsi="宋体" w:eastAsia="仿宋_GB2312"/>
          <w:sz w:val="30"/>
          <w:szCs w:val="30"/>
        </w:rPr>
        <w:t>①熟悉赛项的竞赛规程和规则。</w:t>
      </w:r>
    </w:p>
    <w:p>
      <w:pPr>
        <w:pStyle w:val="13"/>
        <w:tabs>
          <w:tab w:val="left" w:pos="709"/>
        </w:tabs>
        <w:adjustRightInd w:val="0"/>
        <w:snapToGrid w:val="0"/>
        <w:spacing w:line="560" w:lineRule="exact"/>
        <w:ind w:firstLine="600"/>
        <w:rPr>
          <w:rFonts w:ascii="仿宋_GB2312" w:hAnsi="宋体" w:eastAsia="仿宋_GB2312"/>
          <w:sz w:val="30"/>
          <w:szCs w:val="30"/>
        </w:rPr>
      </w:pPr>
      <w:r>
        <w:rPr>
          <w:rFonts w:hint="eastAsia" w:ascii="仿宋_GB2312" w:hAnsi="宋体" w:eastAsia="仿宋_GB2312"/>
          <w:sz w:val="30"/>
          <w:szCs w:val="30"/>
        </w:rPr>
        <w:t>②掌握本赛项的竞赛进展情况。</w:t>
      </w:r>
    </w:p>
    <w:p>
      <w:pPr>
        <w:pStyle w:val="13"/>
        <w:tabs>
          <w:tab w:val="left" w:pos="709"/>
        </w:tabs>
        <w:adjustRightInd w:val="0"/>
        <w:snapToGrid w:val="0"/>
        <w:spacing w:line="560" w:lineRule="exact"/>
        <w:ind w:firstLine="600"/>
        <w:rPr>
          <w:rFonts w:ascii="仿宋_GB2312" w:hAnsi="宋体" w:eastAsia="仿宋_GB2312"/>
          <w:sz w:val="30"/>
          <w:szCs w:val="30"/>
        </w:rPr>
      </w:pPr>
      <w:r>
        <w:rPr>
          <w:rFonts w:hint="eastAsia" w:ascii="仿宋_GB2312" w:hAnsi="宋体" w:eastAsia="仿宋_GB2312"/>
          <w:sz w:val="30"/>
          <w:szCs w:val="30"/>
        </w:rPr>
        <w:t>③受理各参赛队的书面申诉。</w:t>
      </w:r>
    </w:p>
    <w:p>
      <w:pPr>
        <w:pStyle w:val="13"/>
        <w:tabs>
          <w:tab w:val="left" w:pos="709"/>
        </w:tabs>
        <w:adjustRightInd w:val="0"/>
        <w:snapToGrid w:val="0"/>
        <w:spacing w:line="560" w:lineRule="exact"/>
        <w:ind w:firstLine="600"/>
        <w:rPr>
          <w:rFonts w:ascii="仿宋_GB2312" w:hAnsi="宋体" w:eastAsia="仿宋_GB2312"/>
          <w:sz w:val="30"/>
          <w:szCs w:val="30"/>
        </w:rPr>
      </w:pPr>
      <w:r>
        <w:rPr>
          <w:rFonts w:hint="eastAsia" w:ascii="仿宋_GB2312" w:hAnsi="宋体" w:eastAsia="仿宋_GB2312"/>
          <w:sz w:val="30"/>
          <w:szCs w:val="30"/>
        </w:rPr>
        <w:t>④对受理的申诉进行深入调查，做出客观、公正的集体仲裁。</w:t>
      </w:r>
    </w:p>
    <w:p>
      <w:pPr>
        <w:adjustRightInd w:val="0"/>
        <w:snapToGrid w:val="0"/>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3.申诉与仲裁的程序</w:t>
      </w:r>
    </w:p>
    <w:p>
      <w:pPr>
        <w:adjustRightInd w:val="0"/>
        <w:snapToGrid w:val="0"/>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 xml:space="preserve">（1）各参赛队对不符合赛项规程规定的仪器、设备、工装、材料、物件、计算机软硬件、竞赛使用工具、用品；竞赛执裁、赛场管理、竞赛成绩，以及工作人员的不规范行为等，可向赛项仲裁工作组提出申诉。 </w:t>
      </w:r>
    </w:p>
    <w:p>
      <w:pPr>
        <w:adjustRightInd w:val="0"/>
        <w:snapToGrid w:val="0"/>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（2）申诉主体为参赛队领队。</w:t>
      </w:r>
    </w:p>
    <w:p>
      <w:pPr>
        <w:adjustRightInd w:val="0"/>
        <w:snapToGrid w:val="0"/>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 xml:space="preserve">（3）申诉启动时，参赛队以该队领队亲笔签字同意的书面报告的形式递交赛项仲裁工作组。报告应对申诉事件的现象、发生时间、涉及人员、申诉依据等进行充分、实事求是的叙述。非书面申诉不予受理。 </w:t>
      </w:r>
    </w:p>
    <w:p>
      <w:pPr>
        <w:adjustRightInd w:val="0"/>
        <w:snapToGrid w:val="0"/>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（4）提出申诉应在赛项比赛结束后2小时内提出。超过2小时不予受理。</w:t>
      </w:r>
    </w:p>
    <w:p>
      <w:pPr>
        <w:adjustRightInd w:val="0"/>
        <w:snapToGrid w:val="0"/>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5）赛项仲裁工作组在接到申诉报告后的2小时内组织复议，并及时将复议结果以书面形式告知申诉方。申诉方对复议结果仍有异议，可由省（市）领队向赛区仲裁委员会提出申诉。赛区仲裁委员会的仲裁结果为最终结果。</w:t>
      </w:r>
    </w:p>
    <w:p>
      <w:pPr>
        <w:snapToGrid w:val="0"/>
        <w:spacing w:line="560" w:lineRule="exact"/>
        <w:ind w:firstLine="600" w:firstLineChars="200"/>
        <w:rPr>
          <w:rFonts w:ascii="Arial Narrow" w:hAnsi="Arial Narrow" w:eastAsia="仿宋_GB2312" w:cs="Arial"/>
          <w:sz w:val="30"/>
          <w:szCs w:val="30"/>
        </w:rPr>
      </w:pPr>
      <w:r>
        <w:rPr>
          <w:rFonts w:hint="eastAsia" w:ascii="仿宋_GB2312" w:hAnsi="宋体" w:eastAsia="仿宋_GB2312"/>
          <w:sz w:val="30"/>
          <w:szCs w:val="30"/>
        </w:rPr>
        <w:t>（6）申诉方不得以任何理由拒绝接收仲裁结果；不得以任何理由采取过激行为扰乱赛场秩序；仲裁结果由申诉人签收，不能代收；如在约定时间和地点申诉人离开，视为自行放弃申诉。</w:t>
      </w:r>
    </w:p>
    <w:p>
      <w:pPr>
        <w:snapToGrid w:val="0"/>
        <w:spacing w:line="560" w:lineRule="exact"/>
        <w:ind w:firstLine="600" w:firstLineChars="200"/>
        <w:outlineLvl w:val="0"/>
        <w:rPr>
          <w:rFonts w:ascii="Arial Narrow" w:hAnsi="Arial Narrow" w:eastAsia="仿宋_GB2312" w:cs="Arial"/>
          <w:bCs/>
          <w:sz w:val="30"/>
          <w:szCs w:val="30"/>
        </w:rPr>
      </w:pPr>
      <w:r>
        <w:rPr>
          <w:rFonts w:hint="eastAsia" w:ascii="黑体" w:hAnsi="黑体" w:eastAsia="黑体" w:cs="黑体"/>
          <w:bCs/>
          <w:sz w:val="30"/>
          <w:szCs w:val="30"/>
        </w:rPr>
        <w:t>十七、教学资源转化建设方案</w:t>
      </w:r>
    </w:p>
    <w:p>
      <w:pPr>
        <w:spacing w:line="560" w:lineRule="exact"/>
        <w:ind w:firstLine="590" w:firstLineChars="196"/>
        <w:rPr>
          <w:rFonts w:ascii="仿宋_GB2312" w:hAnsi="宋体" w:eastAsia="仿宋_GB2312"/>
          <w:b/>
          <w:bCs/>
          <w:sz w:val="30"/>
          <w:szCs w:val="30"/>
        </w:rPr>
      </w:pPr>
      <w:r>
        <w:rPr>
          <w:rFonts w:hint="eastAsia" w:ascii="仿宋_GB2312" w:hAnsi="宋体" w:eastAsia="仿宋_GB2312"/>
          <w:b/>
          <w:bCs/>
          <w:sz w:val="30"/>
          <w:szCs w:val="30"/>
        </w:rPr>
        <w:t>（一）赛项资源转化的内容</w:t>
      </w:r>
    </w:p>
    <w:p>
      <w:pPr>
        <w:spacing w:line="560" w:lineRule="exact"/>
        <w:ind w:firstLine="588" w:firstLineChars="196"/>
        <w:rPr>
          <w:rFonts w:ascii="仿宋_GB2312" w:hAnsi="宋体" w:eastAsia="仿宋_GB2312"/>
          <w:sz w:val="30"/>
          <w:szCs w:val="30"/>
        </w:rPr>
      </w:pPr>
      <w:r>
        <w:rPr>
          <w:rFonts w:hint="eastAsia" w:ascii="仿宋_GB2312" w:hAnsi="宋体" w:eastAsia="仿宋_GB2312"/>
          <w:sz w:val="30"/>
          <w:szCs w:val="30"/>
        </w:rPr>
        <w:t>包括本赛项竞赛全过程的各类资源。本赛项所有转化资源做到均符合《2018年全国职业院校技能大赛赛项资源转化工作办法》中规定的各项技术标准，做到赛项资源转化成果应符合行业标准、契合课程标准、突出技能特色、展现竞赛优势，形成满足职业教育教学需求、体现先进教学模式、反映职业教育先进水平的共享性职业教育教学资源。本赛项资源转化成果包含基本资源和拓展资源，充分体现本赛项技能考核特点。</w:t>
      </w:r>
    </w:p>
    <w:p>
      <w:pPr>
        <w:spacing w:line="560" w:lineRule="exact"/>
        <w:ind w:firstLine="588" w:firstLineChars="196"/>
        <w:rPr>
          <w:rFonts w:ascii="仿宋_GB2312" w:hAnsi="宋体" w:eastAsia="仿宋_GB2312"/>
          <w:sz w:val="30"/>
          <w:szCs w:val="30"/>
        </w:rPr>
      </w:pPr>
      <w:r>
        <w:rPr>
          <w:rFonts w:hint="eastAsia" w:ascii="仿宋_GB2312" w:hAnsi="宋体" w:eastAsia="仿宋_GB2312"/>
          <w:sz w:val="30"/>
          <w:szCs w:val="30"/>
        </w:rPr>
        <w:t>大赛资源转换与全国职业院校技能大赛资源转换项目对接，建成体系完备、内容丰富、用户友好的赛项教学资源库。</w:t>
      </w:r>
    </w:p>
    <w:p>
      <w:pPr>
        <w:spacing w:line="560" w:lineRule="exact"/>
        <w:ind w:firstLine="588" w:firstLineChars="196"/>
        <w:rPr>
          <w:rFonts w:ascii="仿宋_GB2312" w:hAnsi="宋体" w:eastAsia="仿宋_GB2312"/>
          <w:sz w:val="30"/>
          <w:szCs w:val="30"/>
        </w:rPr>
      </w:pPr>
      <w:r>
        <w:rPr>
          <w:rFonts w:hint="eastAsia" w:ascii="仿宋_GB2312" w:hAnsi="宋体" w:eastAsia="仿宋_GB2312"/>
          <w:sz w:val="30"/>
          <w:szCs w:val="30"/>
        </w:rPr>
        <w:t>1.基本资源</w:t>
      </w:r>
    </w:p>
    <w:p>
      <w:pPr>
        <w:spacing w:line="560" w:lineRule="exact"/>
        <w:ind w:firstLine="588" w:firstLineChars="196"/>
        <w:rPr>
          <w:rFonts w:ascii="仿宋_GB2312" w:hAnsi="宋体" w:eastAsia="仿宋_GB2312"/>
          <w:sz w:val="30"/>
          <w:szCs w:val="30"/>
        </w:rPr>
      </w:pPr>
      <w:r>
        <w:rPr>
          <w:rFonts w:hint="eastAsia" w:ascii="仿宋_GB2312" w:hAnsi="宋体" w:eastAsia="仿宋_GB2312"/>
          <w:sz w:val="30"/>
          <w:szCs w:val="30"/>
        </w:rPr>
        <w:t>（1）向大赛执委会提供专家点评视频、优秀选手/指导教师访谈视频。</w:t>
      </w:r>
    </w:p>
    <w:p>
      <w:pPr>
        <w:spacing w:line="560" w:lineRule="exact"/>
        <w:ind w:firstLine="588" w:firstLineChars="196"/>
        <w:rPr>
          <w:rFonts w:ascii="仿宋_GB2312" w:hAnsi="宋体" w:eastAsia="仿宋_GB2312"/>
          <w:sz w:val="30"/>
          <w:szCs w:val="30"/>
        </w:rPr>
      </w:pPr>
      <w:r>
        <w:rPr>
          <w:rFonts w:hint="eastAsia" w:ascii="仿宋_GB2312" w:hAnsi="宋体" w:eastAsia="仿宋_GB2312"/>
          <w:sz w:val="30"/>
          <w:szCs w:val="30"/>
        </w:rPr>
        <w:t>（2）向大赛执委会提供竞赛过程的全套音视频素材。</w:t>
      </w:r>
    </w:p>
    <w:p>
      <w:pPr>
        <w:spacing w:line="560" w:lineRule="exact"/>
        <w:ind w:firstLine="588" w:firstLineChars="196"/>
        <w:rPr>
          <w:rFonts w:ascii="仿宋_GB2312" w:hAnsi="宋体" w:eastAsia="仿宋_GB2312"/>
          <w:sz w:val="30"/>
          <w:szCs w:val="30"/>
        </w:rPr>
      </w:pPr>
      <w:r>
        <w:rPr>
          <w:rFonts w:hint="eastAsia" w:ascii="仿宋_GB2312" w:hAnsi="宋体" w:eastAsia="仿宋_GB2312"/>
          <w:sz w:val="30"/>
          <w:szCs w:val="30"/>
        </w:rPr>
        <w:t>2.拓展资源</w:t>
      </w:r>
    </w:p>
    <w:p>
      <w:pPr>
        <w:spacing w:line="560" w:lineRule="exact"/>
        <w:ind w:firstLine="588" w:firstLineChars="196"/>
        <w:rPr>
          <w:rFonts w:ascii="仿宋_GB2312" w:hAnsi="宋体" w:eastAsia="仿宋_GB2312"/>
          <w:sz w:val="30"/>
          <w:szCs w:val="30"/>
        </w:rPr>
      </w:pPr>
      <w:r>
        <w:rPr>
          <w:rFonts w:hint="eastAsia" w:ascii="仿宋_GB2312" w:hAnsi="宋体" w:eastAsia="仿宋_GB2312"/>
          <w:sz w:val="30"/>
          <w:szCs w:val="30"/>
        </w:rPr>
        <w:t>（1）针对赛项竞赛平台，</w:t>
      </w:r>
      <w:r>
        <w:rPr>
          <w:rFonts w:hint="eastAsia" w:ascii="仿宋_GB2312" w:hAnsi="宋体" w:eastAsia="仿宋_GB2312"/>
          <w:color w:val="000000"/>
          <w:sz w:val="30"/>
          <w:szCs w:val="30"/>
        </w:rPr>
        <w:t>结合最新的三维显示技术、虚拟可视化技术及互联网技术，将竞赛过程中所涉及的内容以核心技能点、知识点进行整合。由赛项专家组牵头，组织行业专家、教师、企业工程师共同开发制作微课程或教学辅助资源，</w:t>
      </w:r>
      <w:r>
        <w:rPr>
          <w:rFonts w:hint="eastAsia" w:ascii="仿宋_GB2312" w:hAnsi="宋体" w:eastAsia="仿宋_GB2312"/>
          <w:sz w:val="30"/>
          <w:szCs w:val="30"/>
        </w:rPr>
        <w:t>供参赛校教学使用。</w:t>
      </w:r>
    </w:p>
    <w:p>
      <w:pPr>
        <w:spacing w:line="560" w:lineRule="exact"/>
        <w:ind w:firstLine="588" w:firstLineChars="196"/>
        <w:rPr>
          <w:rFonts w:ascii="仿宋_GB2312" w:hAnsi="宋体" w:eastAsia="仿宋_GB2312"/>
          <w:sz w:val="30"/>
          <w:szCs w:val="30"/>
        </w:rPr>
      </w:pPr>
      <w:r>
        <w:rPr>
          <w:rFonts w:hint="eastAsia" w:ascii="仿宋_GB2312" w:hAnsi="宋体" w:eastAsia="仿宋_GB2312"/>
          <w:sz w:val="30"/>
          <w:szCs w:val="30"/>
        </w:rPr>
        <w:t>（2）搭建赛项教育云平台，主要包括资源共享、资源下载、技术交流、在线学习等单元；</w:t>
      </w:r>
    </w:p>
    <w:p>
      <w:pPr>
        <w:spacing w:line="560" w:lineRule="exact"/>
        <w:ind w:firstLine="590" w:firstLineChars="196"/>
        <w:rPr>
          <w:rFonts w:ascii="仿宋_GB2312" w:hAnsi="宋体" w:eastAsia="仿宋_GB2312"/>
          <w:b/>
          <w:bCs/>
          <w:sz w:val="30"/>
          <w:szCs w:val="30"/>
        </w:rPr>
      </w:pPr>
      <w:r>
        <w:rPr>
          <w:rFonts w:hint="eastAsia" w:ascii="仿宋_GB2312" w:hAnsi="宋体" w:eastAsia="仿宋_GB2312"/>
          <w:b/>
          <w:bCs/>
          <w:sz w:val="30"/>
          <w:szCs w:val="30"/>
        </w:rPr>
        <w:t>（二）教学资源转换步骤及要求</w:t>
      </w:r>
    </w:p>
    <w:tbl>
      <w:tblPr>
        <w:tblStyle w:val="9"/>
        <w:tblW w:w="852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130"/>
        <w:gridCol w:w="2798"/>
        <w:gridCol w:w="1463"/>
        <w:gridCol w:w="213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2130" w:type="dxa"/>
            <w:vAlign w:val="center"/>
          </w:tcPr>
          <w:p>
            <w:pPr>
              <w:snapToGrid w:val="0"/>
              <w:rPr>
                <w:rFonts w:ascii="宋体" w:hAnsi="宋体" w:cs="宋体"/>
                <w:b/>
                <w:sz w:val="24"/>
                <w:szCs w:val="24"/>
              </w:rPr>
            </w:pPr>
            <w:r>
              <w:rPr>
                <w:rFonts w:hint="eastAsia" w:ascii="宋体" w:hAnsi="宋体" w:cs="宋体"/>
                <w:b/>
                <w:sz w:val="24"/>
                <w:szCs w:val="24"/>
              </w:rPr>
              <w:t>资源内容</w:t>
            </w:r>
          </w:p>
        </w:tc>
        <w:tc>
          <w:tcPr>
            <w:tcW w:w="2798" w:type="dxa"/>
            <w:vAlign w:val="center"/>
          </w:tcPr>
          <w:p>
            <w:pPr>
              <w:snapToGrid w:val="0"/>
              <w:rPr>
                <w:rFonts w:ascii="宋体" w:hAnsi="宋体" w:cs="宋体"/>
                <w:b/>
                <w:sz w:val="24"/>
                <w:szCs w:val="24"/>
              </w:rPr>
            </w:pPr>
            <w:r>
              <w:rPr>
                <w:rFonts w:hint="eastAsia" w:ascii="宋体" w:hAnsi="宋体" w:cs="宋体"/>
                <w:b/>
                <w:sz w:val="24"/>
                <w:szCs w:val="24"/>
              </w:rPr>
              <w:t>要求</w:t>
            </w:r>
          </w:p>
        </w:tc>
        <w:tc>
          <w:tcPr>
            <w:tcW w:w="1463" w:type="dxa"/>
            <w:vAlign w:val="center"/>
          </w:tcPr>
          <w:p>
            <w:pPr>
              <w:snapToGrid w:val="0"/>
              <w:rPr>
                <w:rFonts w:ascii="宋体" w:hAnsi="宋体" w:cs="宋体"/>
                <w:b/>
                <w:sz w:val="24"/>
                <w:szCs w:val="24"/>
              </w:rPr>
            </w:pPr>
            <w:r>
              <w:rPr>
                <w:rFonts w:hint="eastAsia" w:ascii="宋体" w:hAnsi="宋体" w:cs="宋体"/>
                <w:b/>
                <w:sz w:val="24"/>
                <w:szCs w:val="24"/>
              </w:rPr>
              <w:t>完成时间</w:t>
            </w:r>
          </w:p>
        </w:tc>
        <w:tc>
          <w:tcPr>
            <w:tcW w:w="2131" w:type="dxa"/>
            <w:vAlign w:val="center"/>
          </w:tcPr>
          <w:p>
            <w:pPr>
              <w:snapToGrid w:val="0"/>
              <w:jc w:val="center"/>
              <w:rPr>
                <w:rFonts w:ascii="宋体" w:hAnsi="宋体" w:cs="宋体"/>
                <w:b/>
                <w:sz w:val="24"/>
                <w:szCs w:val="24"/>
              </w:rPr>
            </w:pPr>
            <w:r>
              <w:rPr>
                <w:rFonts w:hint="eastAsia" w:ascii="宋体" w:hAnsi="宋体" w:cs="宋体"/>
                <w:b/>
                <w:sz w:val="24"/>
                <w:szCs w:val="24"/>
              </w:rPr>
              <w:t>责任单位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2130" w:type="dxa"/>
            <w:vAlign w:val="center"/>
          </w:tcPr>
          <w:p>
            <w:pPr>
              <w:snapToGrid w:val="0"/>
              <w:rPr>
                <w:rFonts w:ascii="宋体" w:hAnsi="宋体" w:cs="宋体"/>
                <w:sz w:val="24"/>
                <w:szCs w:val="24"/>
              </w:rPr>
            </w:pPr>
            <w:r>
              <w:rPr>
                <w:rFonts w:hint="eastAsia" w:ascii="宋体" w:hAnsi="宋体" w:cs="宋体"/>
                <w:sz w:val="24"/>
                <w:szCs w:val="24"/>
              </w:rPr>
              <w:t>风采展示（基本资源）</w:t>
            </w:r>
          </w:p>
        </w:tc>
        <w:tc>
          <w:tcPr>
            <w:tcW w:w="2798" w:type="dxa"/>
            <w:vAlign w:val="center"/>
          </w:tcPr>
          <w:p>
            <w:pPr>
              <w:snapToGrid w:val="0"/>
              <w:rPr>
                <w:rFonts w:ascii="宋体" w:hAnsi="宋体" w:cs="宋体"/>
                <w:sz w:val="24"/>
                <w:szCs w:val="24"/>
              </w:rPr>
            </w:pPr>
            <w:r>
              <w:rPr>
                <w:rFonts w:hint="eastAsia" w:ascii="宋体" w:hAnsi="宋体" w:cs="宋体"/>
                <w:sz w:val="24"/>
                <w:szCs w:val="24"/>
                <w:shd w:val="clear" w:color="auto" w:fill="FFFFFF"/>
              </w:rPr>
              <w:t>画面精美、伴音动听、播放流畅，时间长度15分钟左右的赛项宣传片及获奖代表优秀选手、指导教师风采展示片；竞赛过程音视频记录。</w:t>
            </w:r>
          </w:p>
        </w:tc>
        <w:tc>
          <w:tcPr>
            <w:tcW w:w="1463" w:type="dxa"/>
            <w:vAlign w:val="center"/>
          </w:tcPr>
          <w:p>
            <w:pPr>
              <w:snapToGrid w:val="0"/>
              <w:rPr>
                <w:rFonts w:ascii="宋体" w:hAnsi="宋体" w:cs="宋体"/>
                <w:sz w:val="24"/>
                <w:szCs w:val="24"/>
              </w:rPr>
            </w:pPr>
            <w:r>
              <w:rPr>
                <w:rFonts w:hint="eastAsia" w:ascii="宋体" w:hAnsi="宋体" w:cs="宋体"/>
                <w:sz w:val="24"/>
                <w:szCs w:val="24"/>
                <w:shd w:val="clear" w:color="auto" w:fill="FFFFFF"/>
              </w:rPr>
              <w:t>赛项闭赛后5日内</w:t>
            </w:r>
          </w:p>
        </w:tc>
        <w:tc>
          <w:tcPr>
            <w:tcW w:w="2131" w:type="dxa"/>
            <w:vAlign w:val="center"/>
          </w:tcPr>
          <w:p>
            <w:pPr>
              <w:snapToGrid w:val="0"/>
              <w:jc w:val="center"/>
              <w:rPr>
                <w:rFonts w:ascii="宋体" w:hAnsi="宋体" w:cs="宋体"/>
                <w:sz w:val="24"/>
                <w:szCs w:val="24"/>
              </w:rPr>
            </w:pPr>
            <w:r>
              <w:rPr>
                <w:rFonts w:hint="eastAsia" w:ascii="宋体" w:hAnsi="宋体" w:cs="宋体"/>
                <w:sz w:val="24"/>
                <w:szCs w:val="24"/>
                <w:shd w:val="clear" w:color="auto" w:fill="FFFFFF"/>
              </w:rPr>
              <w:t>承办院校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2130" w:type="dxa"/>
            <w:vAlign w:val="center"/>
          </w:tcPr>
          <w:p>
            <w:pPr>
              <w:snapToGrid w:val="0"/>
              <w:rPr>
                <w:rFonts w:ascii="宋体" w:hAnsi="宋体" w:cs="宋体"/>
                <w:sz w:val="24"/>
                <w:szCs w:val="24"/>
              </w:rPr>
            </w:pPr>
            <w:r>
              <w:rPr>
                <w:rFonts w:hint="eastAsia" w:ascii="宋体" w:hAnsi="宋体" w:cs="宋体"/>
                <w:sz w:val="24"/>
                <w:szCs w:val="24"/>
              </w:rPr>
              <w:t>点评材料（基本资源）</w:t>
            </w:r>
          </w:p>
        </w:tc>
        <w:tc>
          <w:tcPr>
            <w:tcW w:w="2798" w:type="dxa"/>
            <w:vAlign w:val="center"/>
          </w:tcPr>
          <w:p>
            <w:pPr>
              <w:snapToGrid w:val="0"/>
              <w:rPr>
                <w:rFonts w:ascii="宋体" w:hAnsi="宋体" w:cs="宋体"/>
                <w:sz w:val="24"/>
                <w:szCs w:val="24"/>
                <w:shd w:val="clear" w:color="auto" w:fill="FFFFFF"/>
              </w:rPr>
            </w:pPr>
            <w:r>
              <w:rPr>
                <w:rFonts w:hint="eastAsia" w:ascii="宋体" w:hAnsi="宋体" w:cs="宋体"/>
                <w:sz w:val="24"/>
                <w:szCs w:val="24"/>
                <w:shd w:val="clear" w:color="auto" w:fill="FFFFFF"/>
              </w:rPr>
              <w:t>评委、裁判、专家点评</w:t>
            </w:r>
          </w:p>
        </w:tc>
        <w:tc>
          <w:tcPr>
            <w:tcW w:w="1463" w:type="dxa"/>
            <w:vAlign w:val="center"/>
          </w:tcPr>
          <w:p>
            <w:pPr>
              <w:snapToGrid w:val="0"/>
              <w:rPr>
                <w:rFonts w:ascii="宋体" w:hAnsi="宋体" w:cs="宋体"/>
                <w:sz w:val="24"/>
                <w:szCs w:val="24"/>
                <w:shd w:val="clear" w:color="auto" w:fill="FFFFFF"/>
              </w:rPr>
            </w:pPr>
            <w:r>
              <w:rPr>
                <w:rFonts w:hint="eastAsia" w:ascii="宋体" w:hAnsi="宋体" w:cs="宋体"/>
                <w:sz w:val="24"/>
                <w:szCs w:val="24"/>
                <w:shd w:val="clear" w:color="auto" w:fill="FFFFFF"/>
              </w:rPr>
              <w:t>赛项闭赛后5日内</w:t>
            </w:r>
          </w:p>
        </w:tc>
        <w:tc>
          <w:tcPr>
            <w:tcW w:w="2131" w:type="dxa"/>
            <w:vAlign w:val="center"/>
          </w:tcPr>
          <w:p>
            <w:pPr>
              <w:snapToGrid w:val="0"/>
              <w:jc w:val="center"/>
              <w:rPr>
                <w:rFonts w:ascii="宋体" w:hAnsi="宋体" w:cs="宋体"/>
                <w:sz w:val="24"/>
                <w:szCs w:val="24"/>
                <w:shd w:val="clear" w:color="auto" w:fill="FFFFFF"/>
              </w:rPr>
            </w:pPr>
            <w:r>
              <w:rPr>
                <w:rFonts w:hint="eastAsia" w:ascii="宋体" w:hAnsi="宋体" w:cs="宋体"/>
                <w:sz w:val="24"/>
                <w:szCs w:val="24"/>
                <w:shd w:val="clear" w:color="auto" w:fill="FFFFFF"/>
              </w:rPr>
              <w:t>赛项执委会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2130" w:type="dxa"/>
            <w:vAlign w:val="center"/>
          </w:tcPr>
          <w:p>
            <w:pPr>
              <w:snapToGrid w:val="0"/>
              <w:rPr>
                <w:rFonts w:ascii="宋体" w:hAnsi="宋体" w:cs="宋体"/>
                <w:sz w:val="24"/>
                <w:szCs w:val="24"/>
              </w:rPr>
            </w:pPr>
            <w:r>
              <w:rPr>
                <w:rFonts w:hint="eastAsia" w:ascii="宋体" w:hAnsi="宋体" w:cs="宋体"/>
                <w:sz w:val="24"/>
                <w:szCs w:val="24"/>
                <w:shd w:val="clear" w:color="auto" w:fill="FFFFFF"/>
              </w:rPr>
              <w:t>竞赛试题库及技术分</w:t>
            </w:r>
            <w:r>
              <w:rPr>
                <w:rFonts w:hint="eastAsia" w:ascii="宋体" w:hAnsi="宋体" w:cs="宋体"/>
                <w:sz w:val="24"/>
                <w:szCs w:val="24"/>
              </w:rPr>
              <w:t>（基本资源）</w:t>
            </w:r>
          </w:p>
        </w:tc>
        <w:tc>
          <w:tcPr>
            <w:tcW w:w="2798" w:type="dxa"/>
            <w:vAlign w:val="center"/>
          </w:tcPr>
          <w:p>
            <w:pPr>
              <w:snapToGrid w:val="0"/>
              <w:rPr>
                <w:rFonts w:ascii="宋体" w:hAnsi="宋体" w:cs="宋体"/>
                <w:sz w:val="24"/>
                <w:szCs w:val="24"/>
                <w:shd w:val="clear" w:color="auto" w:fill="FFFFFF"/>
              </w:rPr>
            </w:pPr>
            <w:r>
              <w:rPr>
                <w:rFonts w:hint="eastAsia" w:ascii="宋体" w:hAnsi="宋体" w:cs="宋体"/>
                <w:sz w:val="24"/>
                <w:szCs w:val="24"/>
                <w:shd w:val="clear" w:color="auto" w:fill="FFFFFF"/>
              </w:rPr>
              <w:t>10套试题、竞赛技能考核评分案例及技术分析报告</w:t>
            </w:r>
          </w:p>
        </w:tc>
        <w:tc>
          <w:tcPr>
            <w:tcW w:w="1463" w:type="dxa"/>
            <w:vAlign w:val="center"/>
          </w:tcPr>
          <w:p>
            <w:pPr>
              <w:snapToGrid w:val="0"/>
              <w:rPr>
                <w:rFonts w:ascii="宋体" w:hAnsi="宋体" w:cs="宋体"/>
                <w:sz w:val="24"/>
                <w:szCs w:val="24"/>
                <w:shd w:val="clear" w:color="auto" w:fill="FFFFFF"/>
              </w:rPr>
            </w:pPr>
            <w:r>
              <w:rPr>
                <w:rFonts w:hint="eastAsia" w:ascii="宋体" w:hAnsi="宋体" w:cs="宋体"/>
                <w:sz w:val="24"/>
                <w:szCs w:val="24"/>
                <w:shd w:val="clear" w:color="auto" w:fill="FFFFFF"/>
              </w:rPr>
              <w:t>赛项闭赛后30日内</w:t>
            </w:r>
          </w:p>
        </w:tc>
        <w:tc>
          <w:tcPr>
            <w:tcW w:w="2131" w:type="dxa"/>
            <w:vAlign w:val="center"/>
          </w:tcPr>
          <w:p>
            <w:pPr>
              <w:snapToGrid w:val="0"/>
              <w:jc w:val="center"/>
              <w:rPr>
                <w:rFonts w:ascii="宋体" w:hAnsi="宋体" w:cs="宋体"/>
                <w:sz w:val="24"/>
                <w:szCs w:val="24"/>
                <w:shd w:val="clear" w:color="auto" w:fill="FFFFFF"/>
              </w:rPr>
            </w:pPr>
            <w:r>
              <w:rPr>
                <w:rFonts w:hint="eastAsia" w:ascii="宋体" w:hAnsi="宋体" w:cs="宋体"/>
                <w:sz w:val="24"/>
                <w:szCs w:val="24"/>
                <w:shd w:val="clear" w:color="auto" w:fill="FFFFFF"/>
              </w:rPr>
              <w:t>赛项执委会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2130" w:type="dxa"/>
            <w:vAlign w:val="center"/>
          </w:tcPr>
          <w:p>
            <w:pPr>
              <w:snapToGrid w:val="0"/>
              <w:rPr>
                <w:rFonts w:ascii="宋体" w:hAnsi="宋体" w:cs="宋体"/>
                <w:sz w:val="24"/>
                <w:szCs w:val="24"/>
                <w:shd w:val="clear" w:color="auto" w:fill="FFFFFF"/>
              </w:rPr>
            </w:pPr>
            <w:r>
              <w:rPr>
                <w:rFonts w:hint="eastAsia" w:ascii="宋体" w:hAnsi="宋体" w:cs="宋体"/>
                <w:sz w:val="24"/>
                <w:szCs w:val="24"/>
                <w:shd w:val="clear" w:color="auto" w:fill="FFFFFF"/>
              </w:rPr>
              <w:t>教学资源包（</w:t>
            </w:r>
            <w:r>
              <w:rPr>
                <w:rFonts w:hint="eastAsia" w:ascii="宋体" w:hAnsi="宋体" w:cs="宋体"/>
                <w:sz w:val="24"/>
                <w:szCs w:val="24"/>
              </w:rPr>
              <w:t>拓展资源）</w:t>
            </w:r>
          </w:p>
        </w:tc>
        <w:tc>
          <w:tcPr>
            <w:tcW w:w="2798" w:type="dxa"/>
            <w:vAlign w:val="center"/>
          </w:tcPr>
          <w:p>
            <w:pPr>
              <w:snapToGrid w:val="0"/>
              <w:rPr>
                <w:rFonts w:ascii="宋体" w:hAnsi="宋体" w:cs="宋体"/>
                <w:sz w:val="24"/>
                <w:szCs w:val="24"/>
                <w:shd w:val="clear" w:color="auto" w:fill="FFFFFF"/>
              </w:rPr>
            </w:pPr>
            <w:r>
              <w:rPr>
                <w:rFonts w:hint="eastAsia" w:ascii="宋体" w:hAnsi="宋体" w:cs="宋体"/>
                <w:sz w:val="24"/>
                <w:szCs w:val="24"/>
              </w:rPr>
              <w:t>组织行业专家、教师、企业工程师共同开发制作微课程和相关微视频，供参赛校教学使用</w:t>
            </w:r>
          </w:p>
        </w:tc>
        <w:tc>
          <w:tcPr>
            <w:tcW w:w="1463" w:type="dxa"/>
            <w:vAlign w:val="center"/>
          </w:tcPr>
          <w:p>
            <w:pPr>
              <w:snapToGrid w:val="0"/>
              <w:rPr>
                <w:rFonts w:ascii="宋体" w:hAnsi="宋体" w:cs="宋体"/>
                <w:sz w:val="24"/>
                <w:szCs w:val="24"/>
                <w:shd w:val="clear" w:color="auto" w:fill="FFFFFF"/>
              </w:rPr>
            </w:pPr>
            <w:r>
              <w:rPr>
                <w:rFonts w:hint="eastAsia" w:ascii="宋体" w:hAnsi="宋体" w:cs="宋体"/>
                <w:sz w:val="24"/>
                <w:szCs w:val="24"/>
                <w:shd w:val="clear" w:color="auto" w:fill="FFFFFF"/>
              </w:rPr>
              <w:t>赛项闭赛后100日内</w:t>
            </w:r>
          </w:p>
        </w:tc>
        <w:tc>
          <w:tcPr>
            <w:tcW w:w="2131" w:type="dxa"/>
            <w:vAlign w:val="center"/>
          </w:tcPr>
          <w:p>
            <w:pPr>
              <w:snapToGrid w:val="0"/>
              <w:jc w:val="center"/>
              <w:rPr>
                <w:rFonts w:ascii="宋体" w:hAnsi="宋体" w:cs="宋体"/>
                <w:sz w:val="24"/>
                <w:szCs w:val="24"/>
                <w:shd w:val="clear" w:color="auto" w:fill="FFFFFF"/>
              </w:rPr>
            </w:pPr>
            <w:r>
              <w:rPr>
                <w:rFonts w:hint="eastAsia" w:ascii="宋体" w:hAnsi="宋体" w:cs="宋体"/>
                <w:sz w:val="24"/>
                <w:szCs w:val="24"/>
                <w:shd w:val="clear" w:color="auto" w:fill="FFFFFF"/>
              </w:rPr>
              <w:t>赛项执委会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2130" w:type="dxa"/>
            <w:vAlign w:val="center"/>
          </w:tcPr>
          <w:p>
            <w:pPr>
              <w:snapToGrid w:val="0"/>
              <w:rPr>
                <w:rFonts w:ascii="宋体" w:hAnsi="宋体" w:cs="宋体"/>
                <w:sz w:val="24"/>
                <w:szCs w:val="24"/>
              </w:rPr>
            </w:pPr>
            <w:r>
              <w:rPr>
                <w:rFonts w:hint="eastAsia" w:ascii="宋体" w:hAnsi="宋体" w:cs="宋体"/>
                <w:sz w:val="24"/>
                <w:szCs w:val="24"/>
              </w:rPr>
              <w:t>教育云平台（拓展资源）</w:t>
            </w:r>
          </w:p>
        </w:tc>
        <w:tc>
          <w:tcPr>
            <w:tcW w:w="2798" w:type="dxa"/>
            <w:vAlign w:val="center"/>
          </w:tcPr>
          <w:p>
            <w:pPr>
              <w:snapToGrid w:val="0"/>
              <w:rPr>
                <w:rFonts w:ascii="宋体" w:hAnsi="宋体" w:cs="宋体"/>
                <w:sz w:val="24"/>
                <w:szCs w:val="24"/>
              </w:rPr>
            </w:pPr>
            <w:r>
              <w:rPr>
                <w:rFonts w:hint="eastAsia" w:ascii="宋体" w:hAnsi="宋体" w:cs="宋体"/>
                <w:sz w:val="24"/>
                <w:szCs w:val="24"/>
              </w:rPr>
              <w:t>资源共享、资源下载、技术交流、在线学习、题库建设</w:t>
            </w:r>
          </w:p>
        </w:tc>
        <w:tc>
          <w:tcPr>
            <w:tcW w:w="1463" w:type="dxa"/>
            <w:vAlign w:val="center"/>
          </w:tcPr>
          <w:p>
            <w:pPr>
              <w:snapToGrid w:val="0"/>
              <w:rPr>
                <w:rFonts w:ascii="宋体" w:hAnsi="宋体" w:cs="宋体"/>
                <w:sz w:val="24"/>
                <w:szCs w:val="24"/>
                <w:shd w:val="clear" w:color="auto" w:fill="FFFFFF"/>
              </w:rPr>
            </w:pPr>
            <w:r>
              <w:rPr>
                <w:rFonts w:hint="eastAsia" w:ascii="宋体" w:hAnsi="宋体" w:cs="宋体"/>
                <w:sz w:val="24"/>
                <w:szCs w:val="24"/>
                <w:shd w:val="clear" w:color="auto" w:fill="FFFFFF"/>
              </w:rPr>
              <w:t>赛项闭赛后100日内</w:t>
            </w:r>
          </w:p>
        </w:tc>
        <w:tc>
          <w:tcPr>
            <w:tcW w:w="2131" w:type="dxa"/>
            <w:vAlign w:val="center"/>
          </w:tcPr>
          <w:p>
            <w:pPr>
              <w:snapToGrid w:val="0"/>
              <w:jc w:val="center"/>
              <w:rPr>
                <w:rFonts w:ascii="宋体" w:hAnsi="宋体" w:cs="宋体"/>
                <w:sz w:val="24"/>
                <w:szCs w:val="24"/>
                <w:shd w:val="clear" w:color="auto" w:fill="FFFFFF"/>
              </w:rPr>
            </w:pPr>
            <w:r>
              <w:rPr>
                <w:rFonts w:hint="eastAsia" w:ascii="宋体" w:hAnsi="宋体" w:cs="宋体"/>
                <w:sz w:val="24"/>
                <w:szCs w:val="24"/>
                <w:shd w:val="clear" w:color="auto" w:fill="FFFFFF"/>
              </w:rPr>
              <w:t>赛项执委会</w:t>
            </w:r>
          </w:p>
        </w:tc>
      </w:tr>
    </w:tbl>
    <w:p>
      <w:pPr>
        <w:spacing w:line="560" w:lineRule="exact"/>
        <w:ind w:firstLine="590" w:firstLineChars="196"/>
        <w:rPr>
          <w:rFonts w:ascii="仿宋_GB2312" w:hAnsi="宋体" w:eastAsia="仿宋_GB2312"/>
          <w:b/>
          <w:bCs/>
          <w:sz w:val="30"/>
          <w:szCs w:val="30"/>
        </w:rPr>
      </w:pPr>
      <w:r>
        <w:rPr>
          <w:rFonts w:hint="eastAsia" w:ascii="仿宋_GB2312" w:hAnsi="宋体" w:eastAsia="仿宋_GB2312"/>
          <w:b/>
          <w:bCs/>
          <w:sz w:val="30"/>
          <w:szCs w:val="30"/>
        </w:rPr>
        <w:t>（三）资源的使用与管理</w:t>
      </w:r>
    </w:p>
    <w:p>
      <w:pPr>
        <w:spacing w:line="560" w:lineRule="exact"/>
        <w:ind w:firstLine="588" w:firstLineChars="196"/>
        <w:rPr>
          <w:rFonts w:ascii="仿宋_GB2312" w:hAnsi="宋体" w:eastAsia="仿宋_GB2312"/>
          <w:sz w:val="30"/>
          <w:szCs w:val="30"/>
        </w:rPr>
      </w:pPr>
      <w:r>
        <w:rPr>
          <w:rFonts w:hint="eastAsia" w:ascii="仿宋_GB2312" w:hAnsi="宋体" w:eastAsia="仿宋_GB2312"/>
          <w:sz w:val="30"/>
          <w:szCs w:val="30"/>
        </w:rPr>
        <w:t>赛项资源转化成果由大赛执委会统一实施，成熟的资源转化成果发布于全国大赛网络信息发布平台，供职业院校师生借鉴学习。</w:t>
      </w:r>
    </w:p>
    <w:p>
      <w:pPr>
        <w:snapToGrid w:val="0"/>
        <w:spacing w:line="560" w:lineRule="exact"/>
        <w:ind w:firstLine="600" w:firstLineChars="200"/>
        <w:outlineLvl w:val="0"/>
        <w:rPr>
          <w:rFonts w:ascii="黑体" w:hAnsi="黑体" w:eastAsia="黑体" w:cs="黑体"/>
          <w:bCs/>
          <w:sz w:val="30"/>
          <w:szCs w:val="30"/>
        </w:rPr>
      </w:pPr>
      <w:r>
        <w:rPr>
          <w:rFonts w:hint="eastAsia" w:ascii="黑体" w:hAnsi="黑体" w:eastAsia="黑体" w:cs="黑体"/>
          <w:bCs/>
          <w:sz w:val="30"/>
          <w:szCs w:val="30"/>
        </w:rPr>
        <w:t>十八、筹备工作进度时间表</w:t>
      </w:r>
    </w:p>
    <w:tbl>
      <w:tblPr>
        <w:tblStyle w:val="9"/>
        <w:tblW w:w="8931"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302"/>
        <w:gridCol w:w="1417"/>
        <w:gridCol w:w="1797"/>
        <w:gridCol w:w="2005"/>
        <w:gridCol w:w="241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302" w:type="dxa"/>
            <w:vAlign w:val="center"/>
          </w:tcPr>
          <w:p>
            <w:pPr>
              <w:snapToGrid w:val="0"/>
              <w:jc w:val="center"/>
              <w:rPr>
                <w:rFonts w:cs="仿宋" w:asciiTheme="minorEastAsia" w:hAnsiTheme="minorEastAsia" w:eastAsiaTheme="minorEastAsia"/>
                <w:b/>
                <w:sz w:val="24"/>
                <w:szCs w:val="24"/>
              </w:rPr>
            </w:pPr>
            <w:r>
              <w:rPr>
                <w:rFonts w:hint="eastAsia" w:cs="仿宋" w:asciiTheme="minorEastAsia" w:hAnsiTheme="minorEastAsia" w:eastAsiaTheme="minorEastAsia"/>
                <w:b/>
                <w:sz w:val="24"/>
                <w:szCs w:val="24"/>
              </w:rPr>
              <w:t>工作项目</w:t>
            </w:r>
          </w:p>
        </w:tc>
        <w:tc>
          <w:tcPr>
            <w:tcW w:w="1417" w:type="dxa"/>
            <w:vAlign w:val="center"/>
          </w:tcPr>
          <w:p>
            <w:pPr>
              <w:snapToGrid w:val="0"/>
              <w:jc w:val="center"/>
              <w:rPr>
                <w:rFonts w:cs="仿宋" w:asciiTheme="minorEastAsia" w:hAnsiTheme="minorEastAsia" w:eastAsiaTheme="minorEastAsia"/>
                <w:b/>
                <w:sz w:val="24"/>
                <w:szCs w:val="24"/>
              </w:rPr>
            </w:pPr>
            <w:r>
              <w:rPr>
                <w:rFonts w:hint="eastAsia" w:cs="仿宋" w:asciiTheme="minorEastAsia" w:hAnsiTheme="minorEastAsia" w:eastAsiaTheme="minorEastAsia"/>
                <w:b/>
                <w:sz w:val="24"/>
                <w:szCs w:val="24"/>
              </w:rPr>
              <w:t>负责人员</w:t>
            </w:r>
          </w:p>
        </w:tc>
        <w:tc>
          <w:tcPr>
            <w:tcW w:w="1797" w:type="dxa"/>
            <w:vAlign w:val="center"/>
          </w:tcPr>
          <w:p>
            <w:pPr>
              <w:snapToGrid w:val="0"/>
              <w:jc w:val="center"/>
              <w:rPr>
                <w:rFonts w:cs="仿宋" w:asciiTheme="minorEastAsia" w:hAnsiTheme="minorEastAsia" w:eastAsiaTheme="minorEastAsia"/>
                <w:b/>
                <w:sz w:val="24"/>
                <w:szCs w:val="24"/>
              </w:rPr>
            </w:pPr>
            <w:r>
              <w:rPr>
                <w:rFonts w:hint="eastAsia" w:cs="仿宋" w:asciiTheme="minorEastAsia" w:hAnsiTheme="minorEastAsia" w:eastAsiaTheme="minorEastAsia"/>
                <w:b/>
                <w:sz w:val="24"/>
                <w:szCs w:val="24"/>
              </w:rPr>
              <w:t>参与人员</w:t>
            </w:r>
          </w:p>
        </w:tc>
        <w:tc>
          <w:tcPr>
            <w:tcW w:w="2005" w:type="dxa"/>
            <w:vAlign w:val="center"/>
          </w:tcPr>
          <w:p>
            <w:pPr>
              <w:snapToGrid w:val="0"/>
              <w:jc w:val="center"/>
              <w:rPr>
                <w:rFonts w:cs="仿宋" w:asciiTheme="minorEastAsia" w:hAnsiTheme="minorEastAsia" w:eastAsiaTheme="minorEastAsia"/>
                <w:b/>
                <w:sz w:val="24"/>
                <w:szCs w:val="24"/>
              </w:rPr>
            </w:pPr>
            <w:r>
              <w:rPr>
                <w:rFonts w:hint="eastAsia" w:cs="仿宋" w:asciiTheme="minorEastAsia" w:hAnsiTheme="minorEastAsia" w:eastAsiaTheme="minorEastAsia"/>
                <w:b/>
                <w:sz w:val="24"/>
                <w:szCs w:val="24"/>
              </w:rPr>
              <w:t>工作任务</w:t>
            </w:r>
          </w:p>
        </w:tc>
        <w:tc>
          <w:tcPr>
            <w:tcW w:w="2410" w:type="dxa"/>
            <w:vAlign w:val="center"/>
          </w:tcPr>
          <w:p>
            <w:pPr>
              <w:snapToGrid w:val="0"/>
              <w:jc w:val="center"/>
              <w:rPr>
                <w:rFonts w:cs="仿宋" w:asciiTheme="minorEastAsia" w:hAnsiTheme="minorEastAsia" w:eastAsiaTheme="minorEastAsia"/>
                <w:b/>
                <w:sz w:val="24"/>
                <w:szCs w:val="24"/>
              </w:rPr>
            </w:pPr>
            <w:r>
              <w:rPr>
                <w:rFonts w:hint="eastAsia" w:cs="仿宋" w:asciiTheme="minorEastAsia" w:hAnsiTheme="minorEastAsia" w:eastAsiaTheme="minorEastAsia"/>
                <w:b/>
                <w:sz w:val="24"/>
                <w:szCs w:val="24"/>
              </w:rPr>
              <w:t>完成时间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302" w:type="dxa"/>
            <w:vAlign w:val="center"/>
          </w:tcPr>
          <w:p>
            <w:pPr>
              <w:snapToGrid w:val="0"/>
              <w:jc w:val="cente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赛项申报</w:t>
            </w:r>
          </w:p>
        </w:tc>
        <w:tc>
          <w:tcPr>
            <w:tcW w:w="1417" w:type="dxa"/>
            <w:vAlign w:val="center"/>
          </w:tcPr>
          <w:p>
            <w:pPr>
              <w:snapToGrid w:val="0"/>
              <w:jc w:val="cente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申报组长</w:t>
            </w:r>
          </w:p>
        </w:tc>
        <w:tc>
          <w:tcPr>
            <w:tcW w:w="1797" w:type="dxa"/>
            <w:vAlign w:val="center"/>
          </w:tcPr>
          <w:p>
            <w:pPr>
              <w:snapToGrid w:val="0"/>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申报专家组</w:t>
            </w:r>
          </w:p>
        </w:tc>
        <w:tc>
          <w:tcPr>
            <w:tcW w:w="2005" w:type="dxa"/>
            <w:vAlign w:val="center"/>
          </w:tcPr>
          <w:p>
            <w:pPr>
              <w:snapToGrid w:val="0"/>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赛项方案</w:t>
            </w:r>
          </w:p>
        </w:tc>
        <w:tc>
          <w:tcPr>
            <w:tcW w:w="2410" w:type="dxa"/>
            <w:vAlign w:val="center"/>
          </w:tcPr>
          <w:p>
            <w:pPr>
              <w:snapToGrid w:val="0"/>
              <w:jc w:val="left"/>
              <w:rPr>
                <w:rFonts w:cs="仿宋" w:asciiTheme="minorEastAsia" w:hAnsiTheme="minorEastAsia" w:eastAsiaTheme="minorEastAsia"/>
                <w:sz w:val="24"/>
                <w:szCs w:val="24"/>
              </w:rPr>
            </w:pPr>
            <w:r>
              <w:rPr>
                <w:rFonts w:cs="仿宋" w:asciiTheme="minorEastAsia" w:hAnsiTheme="minorEastAsia" w:eastAsiaTheme="minorEastAsia"/>
                <w:sz w:val="24"/>
                <w:szCs w:val="24"/>
              </w:rPr>
              <w:t>8</w:t>
            </w:r>
            <w:r>
              <w:rPr>
                <w:rFonts w:hint="eastAsia" w:cs="仿宋" w:asciiTheme="minorEastAsia" w:hAnsiTheme="minorEastAsia" w:eastAsiaTheme="minorEastAsia"/>
                <w:sz w:val="24"/>
                <w:szCs w:val="24"/>
              </w:rPr>
              <w:t>月底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302" w:type="dxa"/>
            <w:vAlign w:val="center"/>
          </w:tcPr>
          <w:p>
            <w:pPr>
              <w:snapToGrid w:val="0"/>
              <w:jc w:val="cente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赛项答辩</w:t>
            </w:r>
          </w:p>
        </w:tc>
        <w:tc>
          <w:tcPr>
            <w:tcW w:w="1417" w:type="dxa"/>
            <w:vAlign w:val="center"/>
          </w:tcPr>
          <w:p>
            <w:pPr>
              <w:snapToGrid w:val="0"/>
              <w:jc w:val="cente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申报组长</w:t>
            </w:r>
          </w:p>
        </w:tc>
        <w:tc>
          <w:tcPr>
            <w:tcW w:w="1797" w:type="dxa"/>
            <w:vAlign w:val="center"/>
          </w:tcPr>
          <w:p>
            <w:pPr>
              <w:snapToGrid w:val="0"/>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答辩专家</w:t>
            </w:r>
          </w:p>
        </w:tc>
        <w:tc>
          <w:tcPr>
            <w:tcW w:w="2005" w:type="dxa"/>
            <w:vAlign w:val="center"/>
          </w:tcPr>
          <w:p>
            <w:pPr>
              <w:snapToGrid w:val="0"/>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答辩材料及完成答辩</w:t>
            </w:r>
          </w:p>
        </w:tc>
        <w:tc>
          <w:tcPr>
            <w:tcW w:w="2410" w:type="dxa"/>
            <w:vAlign w:val="center"/>
          </w:tcPr>
          <w:p>
            <w:pPr>
              <w:snapToGrid w:val="0"/>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按大赛办公室通知时间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302" w:type="dxa"/>
            <w:vAlign w:val="center"/>
          </w:tcPr>
          <w:p>
            <w:pPr>
              <w:snapToGrid w:val="0"/>
              <w:jc w:val="cente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规程编制</w:t>
            </w:r>
          </w:p>
        </w:tc>
        <w:tc>
          <w:tcPr>
            <w:tcW w:w="1417" w:type="dxa"/>
            <w:vAlign w:val="center"/>
          </w:tcPr>
          <w:p>
            <w:pPr>
              <w:snapToGrid w:val="0"/>
              <w:jc w:val="cente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赛项专家组长</w:t>
            </w:r>
          </w:p>
        </w:tc>
        <w:tc>
          <w:tcPr>
            <w:tcW w:w="1797" w:type="dxa"/>
            <w:vAlign w:val="center"/>
          </w:tcPr>
          <w:p>
            <w:pPr>
              <w:snapToGrid w:val="0"/>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赛项专家组成员</w:t>
            </w:r>
          </w:p>
        </w:tc>
        <w:tc>
          <w:tcPr>
            <w:tcW w:w="2005" w:type="dxa"/>
            <w:vAlign w:val="center"/>
          </w:tcPr>
          <w:p>
            <w:pPr>
              <w:snapToGrid w:val="0"/>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提交赛项规程</w:t>
            </w:r>
          </w:p>
        </w:tc>
        <w:tc>
          <w:tcPr>
            <w:tcW w:w="2410" w:type="dxa"/>
            <w:vAlign w:val="center"/>
          </w:tcPr>
          <w:p>
            <w:pPr>
              <w:snapToGrid w:val="0"/>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大赛办公室规定提交日期前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302" w:type="dxa"/>
            <w:vAlign w:val="center"/>
          </w:tcPr>
          <w:p>
            <w:pPr>
              <w:snapToGrid w:val="0"/>
              <w:jc w:val="cente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赛项启动</w:t>
            </w:r>
          </w:p>
        </w:tc>
        <w:tc>
          <w:tcPr>
            <w:tcW w:w="1417" w:type="dxa"/>
            <w:vAlign w:val="center"/>
          </w:tcPr>
          <w:p>
            <w:pPr>
              <w:snapToGrid w:val="0"/>
              <w:jc w:val="cente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申报单位</w:t>
            </w:r>
          </w:p>
        </w:tc>
        <w:tc>
          <w:tcPr>
            <w:tcW w:w="1797" w:type="dxa"/>
            <w:vAlign w:val="center"/>
          </w:tcPr>
          <w:p>
            <w:pPr>
              <w:snapToGrid w:val="0"/>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承办校、赛项专家组长、裁判长、合作企业</w:t>
            </w:r>
          </w:p>
        </w:tc>
        <w:tc>
          <w:tcPr>
            <w:tcW w:w="2005" w:type="dxa"/>
            <w:vAlign w:val="center"/>
          </w:tcPr>
          <w:p>
            <w:pPr>
              <w:snapToGrid w:val="0"/>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组成执委会、专家组，筹备工作内容及责任人、时间节点</w:t>
            </w:r>
          </w:p>
        </w:tc>
        <w:tc>
          <w:tcPr>
            <w:tcW w:w="2410" w:type="dxa"/>
            <w:vAlign w:val="center"/>
          </w:tcPr>
          <w:p>
            <w:pPr>
              <w:snapToGrid w:val="0"/>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赛项公布后</w:t>
            </w:r>
            <w:r>
              <w:rPr>
                <w:rFonts w:cs="仿宋" w:asciiTheme="minorEastAsia" w:hAnsiTheme="minorEastAsia" w:eastAsiaTheme="minorEastAsia"/>
                <w:sz w:val="24"/>
                <w:szCs w:val="24"/>
              </w:rPr>
              <w:t>7</w:t>
            </w:r>
            <w:r>
              <w:rPr>
                <w:rFonts w:hint="eastAsia" w:cs="仿宋" w:asciiTheme="minorEastAsia" w:hAnsiTheme="minorEastAsia" w:eastAsiaTheme="minorEastAsia"/>
                <w:sz w:val="24"/>
                <w:szCs w:val="24"/>
              </w:rPr>
              <w:t>个工作日内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302" w:type="dxa"/>
            <w:vAlign w:val="center"/>
          </w:tcPr>
          <w:p>
            <w:pPr>
              <w:snapToGrid w:val="0"/>
              <w:jc w:val="cente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说明会</w:t>
            </w:r>
          </w:p>
        </w:tc>
        <w:tc>
          <w:tcPr>
            <w:tcW w:w="1417" w:type="dxa"/>
            <w:vAlign w:val="center"/>
          </w:tcPr>
          <w:p>
            <w:pPr>
              <w:snapToGrid w:val="0"/>
              <w:jc w:val="cente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赛项专家组长</w:t>
            </w:r>
          </w:p>
        </w:tc>
        <w:tc>
          <w:tcPr>
            <w:tcW w:w="1797" w:type="dxa"/>
            <w:vAlign w:val="center"/>
          </w:tcPr>
          <w:p>
            <w:pPr>
              <w:snapToGrid w:val="0"/>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各代表队指导老师</w:t>
            </w:r>
          </w:p>
        </w:tc>
        <w:tc>
          <w:tcPr>
            <w:tcW w:w="2005" w:type="dxa"/>
            <w:vAlign w:val="center"/>
          </w:tcPr>
          <w:p>
            <w:pPr>
              <w:snapToGrid w:val="0"/>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赛项规程解读，现场答疑</w:t>
            </w:r>
          </w:p>
        </w:tc>
        <w:tc>
          <w:tcPr>
            <w:tcW w:w="2410" w:type="dxa"/>
            <w:vAlign w:val="center"/>
          </w:tcPr>
          <w:p>
            <w:pPr>
              <w:snapToGrid w:val="0"/>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不少于赛前</w:t>
            </w:r>
            <w:r>
              <w:rPr>
                <w:rFonts w:cs="仿宋" w:asciiTheme="minorEastAsia" w:hAnsiTheme="minorEastAsia" w:eastAsiaTheme="minorEastAsia"/>
                <w:sz w:val="24"/>
                <w:szCs w:val="24"/>
              </w:rPr>
              <w:t>30</w:t>
            </w:r>
            <w:r>
              <w:rPr>
                <w:rFonts w:hint="eastAsia" w:cs="仿宋" w:asciiTheme="minorEastAsia" w:hAnsiTheme="minorEastAsia" w:eastAsiaTheme="minorEastAsia"/>
                <w:sz w:val="24"/>
                <w:szCs w:val="24"/>
              </w:rPr>
              <w:t>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302" w:type="dxa"/>
            <w:vAlign w:val="center"/>
          </w:tcPr>
          <w:p>
            <w:pPr>
              <w:snapToGrid w:val="0"/>
              <w:jc w:val="cente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赛题准备</w:t>
            </w:r>
          </w:p>
        </w:tc>
        <w:tc>
          <w:tcPr>
            <w:tcW w:w="1417" w:type="dxa"/>
            <w:vAlign w:val="center"/>
          </w:tcPr>
          <w:p>
            <w:pPr>
              <w:snapToGrid w:val="0"/>
              <w:jc w:val="cente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赛项专家组长</w:t>
            </w:r>
          </w:p>
        </w:tc>
        <w:tc>
          <w:tcPr>
            <w:tcW w:w="1797" w:type="dxa"/>
            <w:vAlign w:val="center"/>
          </w:tcPr>
          <w:p>
            <w:pPr>
              <w:snapToGrid w:val="0"/>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命题专家</w:t>
            </w:r>
          </w:p>
        </w:tc>
        <w:tc>
          <w:tcPr>
            <w:tcW w:w="2005" w:type="dxa"/>
            <w:vAlign w:val="center"/>
          </w:tcPr>
          <w:p>
            <w:pPr>
              <w:snapToGrid w:val="0"/>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赛题及评分表</w:t>
            </w:r>
          </w:p>
        </w:tc>
        <w:tc>
          <w:tcPr>
            <w:tcW w:w="2410" w:type="dxa"/>
            <w:vAlign w:val="center"/>
          </w:tcPr>
          <w:p>
            <w:pPr>
              <w:snapToGrid w:val="0"/>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选手报到前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302" w:type="dxa"/>
            <w:vAlign w:val="center"/>
          </w:tcPr>
          <w:p>
            <w:pPr>
              <w:snapToGrid w:val="0"/>
              <w:jc w:val="cente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赛场验收</w:t>
            </w:r>
          </w:p>
        </w:tc>
        <w:tc>
          <w:tcPr>
            <w:tcW w:w="1417" w:type="dxa"/>
            <w:vAlign w:val="center"/>
          </w:tcPr>
          <w:p>
            <w:pPr>
              <w:snapToGrid w:val="0"/>
              <w:jc w:val="cente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执委会主任</w:t>
            </w:r>
          </w:p>
        </w:tc>
        <w:tc>
          <w:tcPr>
            <w:tcW w:w="1797" w:type="dxa"/>
            <w:vAlign w:val="center"/>
          </w:tcPr>
          <w:p>
            <w:pPr>
              <w:snapToGrid w:val="0"/>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执委会有关人员、赛项专家、各项筹备工作责任人</w:t>
            </w:r>
          </w:p>
        </w:tc>
        <w:tc>
          <w:tcPr>
            <w:tcW w:w="2005" w:type="dxa"/>
            <w:vAlign w:val="center"/>
          </w:tcPr>
          <w:p>
            <w:pPr>
              <w:snapToGrid w:val="0"/>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各项工作筹备情况及整改要求</w:t>
            </w:r>
          </w:p>
        </w:tc>
        <w:tc>
          <w:tcPr>
            <w:tcW w:w="2410" w:type="dxa"/>
            <w:vAlign w:val="center"/>
          </w:tcPr>
          <w:p>
            <w:pPr>
              <w:snapToGrid w:val="0"/>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赛前</w:t>
            </w:r>
            <w:r>
              <w:rPr>
                <w:rFonts w:cs="仿宋" w:asciiTheme="minorEastAsia" w:hAnsiTheme="minorEastAsia" w:eastAsiaTheme="minorEastAsia"/>
                <w:sz w:val="24"/>
                <w:szCs w:val="24"/>
              </w:rPr>
              <w:t>7</w:t>
            </w:r>
            <w:r>
              <w:rPr>
                <w:rFonts w:hint="eastAsia" w:cs="仿宋" w:asciiTheme="minorEastAsia" w:hAnsiTheme="minorEastAsia" w:eastAsiaTheme="minorEastAsia"/>
                <w:sz w:val="24"/>
                <w:szCs w:val="24"/>
              </w:rPr>
              <w:t>个工作日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302" w:type="dxa"/>
            <w:vAlign w:val="center"/>
          </w:tcPr>
          <w:p>
            <w:pPr>
              <w:snapToGrid w:val="0"/>
              <w:jc w:val="cente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裁判组</w:t>
            </w:r>
          </w:p>
        </w:tc>
        <w:tc>
          <w:tcPr>
            <w:tcW w:w="1417" w:type="dxa"/>
            <w:vAlign w:val="center"/>
          </w:tcPr>
          <w:p>
            <w:pPr>
              <w:snapToGrid w:val="0"/>
              <w:jc w:val="cente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裁判长</w:t>
            </w:r>
          </w:p>
        </w:tc>
        <w:tc>
          <w:tcPr>
            <w:tcW w:w="1797" w:type="dxa"/>
            <w:vAlign w:val="center"/>
          </w:tcPr>
          <w:p>
            <w:pPr>
              <w:snapToGrid w:val="0"/>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裁判</w:t>
            </w:r>
          </w:p>
        </w:tc>
        <w:tc>
          <w:tcPr>
            <w:tcW w:w="2005" w:type="dxa"/>
            <w:vAlign w:val="center"/>
          </w:tcPr>
          <w:p>
            <w:pPr>
              <w:snapToGrid w:val="0"/>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确定裁判、裁判报到、裁判培训</w:t>
            </w:r>
          </w:p>
        </w:tc>
        <w:tc>
          <w:tcPr>
            <w:tcW w:w="2410" w:type="dxa"/>
            <w:vAlign w:val="center"/>
          </w:tcPr>
          <w:p>
            <w:pPr>
              <w:snapToGrid w:val="0"/>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赛前</w:t>
            </w:r>
            <w:r>
              <w:rPr>
                <w:rFonts w:cs="仿宋" w:asciiTheme="minorEastAsia" w:hAnsiTheme="minorEastAsia" w:eastAsiaTheme="minorEastAsia"/>
                <w:sz w:val="24"/>
                <w:szCs w:val="24"/>
              </w:rPr>
              <w:t>1</w:t>
            </w:r>
            <w:r>
              <w:rPr>
                <w:rFonts w:hint="eastAsia" w:cs="仿宋" w:asciiTheme="minorEastAsia" w:hAnsiTheme="minorEastAsia" w:eastAsiaTheme="minorEastAsia"/>
                <w:sz w:val="24"/>
                <w:szCs w:val="24"/>
              </w:rPr>
              <w:t>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302" w:type="dxa"/>
            <w:vAlign w:val="center"/>
          </w:tcPr>
          <w:p>
            <w:pPr>
              <w:snapToGrid w:val="0"/>
              <w:jc w:val="cente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选手报到</w:t>
            </w:r>
          </w:p>
        </w:tc>
        <w:tc>
          <w:tcPr>
            <w:tcW w:w="1417" w:type="dxa"/>
            <w:vAlign w:val="center"/>
          </w:tcPr>
          <w:p>
            <w:pPr>
              <w:snapToGrid w:val="0"/>
              <w:jc w:val="cente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执委会</w:t>
            </w:r>
          </w:p>
        </w:tc>
        <w:tc>
          <w:tcPr>
            <w:tcW w:w="1797" w:type="dxa"/>
            <w:vAlign w:val="center"/>
          </w:tcPr>
          <w:p>
            <w:pPr>
              <w:snapToGrid w:val="0"/>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承办学校</w:t>
            </w:r>
          </w:p>
        </w:tc>
        <w:tc>
          <w:tcPr>
            <w:tcW w:w="2005" w:type="dxa"/>
            <w:vAlign w:val="center"/>
          </w:tcPr>
          <w:p>
            <w:pPr>
              <w:snapToGrid w:val="0"/>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选手接待、报到、住宿安排</w:t>
            </w:r>
          </w:p>
        </w:tc>
        <w:tc>
          <w:tcPr>
            <w:tcW w:w="2410" w:type="dxa"/>
            <w:vAlign w:val="center"/>
          </w:tcPr>
          <w:p>
            <w:pPr>
              <w:snapToGrid w:val="0"/>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赛前</w:t>
            </w:r>
            <w:r>
              <w:rPr>
                <w:rFonts w:cs="仿宋" w:asciiTheme="minorEastAsia" w:hAnsiTheme="minorEastAsia" w:eastAsiaTheme="minorEastAsia"/>
                <w:sz w:val="24"/>
                <w:szCs w:val="24"/>
              </w:rPr>
              <w:t>2</w:t>
            </w:r>
            <w:r>
              <w:rPr>
                <w:rFonts w:hint="eastAsia" w:cs="仿宋" w:asciiTheme="minorEastAsia" w:hAnsiTheme="minorEastAsia" w:eastAsiaTheme="minorEastAsia"/>
                <w:sz w:val="24"/>
                <w:szCs w:val="24"/>
              </w:rPr>
              <w:t>天开始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302" w:type="dxa"/>
            <w:vAlign w:val="center"/>
          </w:tcPr>
          <w:p>
            <w:pPr>
              <w:snapToGrid w:val="0"/>
              <w:jc w:val="cente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赛前会及开赛式</w:t>
            </w:r>
          </w:p>
        </w:tc>
        <w:tc>
          <w:tcPr>
            <w:tcW w:w="1417" w:type="dxa"/>
            <w:vAlign w:val="center"/>
          </w:tcPr>
          <w:p>
            <w:pPr>
              <w:snapToGrid w:val="0"/>
              <w:jc w:val="cente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执委会</w:t>
            </w:r>
          </w:p>
        </w:tc>
        <w:tc>
          <w:tcPr>
            <w:tcW w:w="1797" w:type="dxa"/>
            <w:vAlign w:val="center"/>
          </w:tcPr>
          <w:p>
            <w:pPr>
              <w:snapToGrid w:val="0"/>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承办学校、参赛队和选手</w:t>
            </w:r>
          </w:p>
        </w:tc>
        <w:tc>
          <w:tcPr>
            <w:tcW w:w="2005" w:type="dxa"/>
            <w:vAlign w:val="center"/>
          </w:tcPr>
          <w:p>
            <w:pPr>
              <w:snapToGrid w:val="0"/>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比赛有关问题说明、熟悉赛场、开赛式</w:t>
            </w:r>
          </w:p>
        </w:tc>
        <w:tc>
          <w:tcPr>
            <w:tcW w:w="2410" w:type="dxa"/>
            <w:vAlign w:val="center"/>
          </w:tcPr>
          <w:p>
            <w:pPr>
              <w:snapToGrid w:val="0"/>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待定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302" w:type="dxa"/>
            <w:vAlign w:val="center"/>
          </w:tcPr>
          <w:p>
            <w:pPr>
              <w:snapToGrid w:val="0"/>
              <w:jc w:val="cente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比赛</w:t>
            </w:r>
          </w:p>
        </w:tc>
        <w:tc>
          <w:tcPr>
            <w:tcW w:w="1417" w:type="dxa"/>
            <w:vAlign w:val="center"/>
          </w:tcPr>
          <w:p>
            <w:pPr>
              <w:snapToGrid w:val="0"/>
              <w:jc w:val="cente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执委会</w:t>
            </w:r>
          </w:p>
        </w:tc>
        <w:tc>
          <w:tcPr>
            <w:tcW w:w="1797" w:type="dxa"/>
            <w:vAlign w:val="center"/>
          </w:tcPr>
          <w:p>
            <w:pPr>
              <w:snapToGrid w:val="0"/>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选手、裁判及相关工作人员</w:t>
            </w:r>
          </w:p>
        </w:tc>
        <w:tc>
          <w:tcPr>
            <w:tcW w:w="2005" w:type="dxa"/>
            <w:vAlign w:val="center"/>
          </w:tcPr>
          <w:p>
            <w:pPr>
              <w:snapToGrid w:val="0"/>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比赛与评分</w:t>
            </w:r>
          </w:p>
        </w:tc>
        <w:tc>
          <w:tcPr>
            <w:tcW w:w="2410" w:type="dxa"/>
            <w:vAlign w:val="center"/>
          </w:tcPr>
          <w:p>
            <w:pPr>
              <w:snapToGrid w:val="0"/>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待定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302" w:type="dxa"/>
            <w:vAlign w:val="center"/>
          </w:tcPr>
          <w:p>
            <w:pPr>
              <w:snapToGrid w:val="0"/>
              <w:jc w:val="cente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成绩发布与颁奖</w:t>
            </w:r>
          </w:p>
        </w:tc>
        <w:tc>
          <w:tcPr>
            <w:tcW w:w="1417" w:type="dxa"/>
            <w:vAlign w:val="center"/>
          </w:tcPr>
          <w:p>
            <w:pPr>
              <w:snapToGrid w:val="0"/>
              <w:jc w:val="cente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执委会</w:t>
            </w:r>
          </w:p>
        </w:tc>
        <w:tc>
          <w:tcPr>
            <w:tcW w:w="1797" w:type="dxa"/>
            <w:vAlign w:val="center"/>
          </w:tcPr>
          <w:p>
            <w:pPr>
              <w:snapToGrid w:val="0"/>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选手、相关工作人员</w:t>
            </w:r>
          </w:p>
        </w:tc>
        <w:tc>
          <w:tcPr>
            <w:tcW w:w="2005" w:type="dxa"/>
            <w:vAlign w:val="center"/>
          </w:tcPr>
          <w:p>
            <w:pPr>
              <w:snapToGrid w:val="0"/>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宣布比赛成绩、颁奖</w:t>
            </w:r>
          </w:p>
        </w:tc>
        <w:tc>
          <w:tcPr>
            <w:tcW w:w="2410" w:type="dxa"/>
            <w:vAlign w:val="center"/>
          </w:tcPr>
          <w:p>
            <w:pPr>
              <w:snapToGrid w:val="0"/>
              <w:jc w:val="left"/>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待定</w:t>
            </w:r>
          </w:p>
        </w:tc>
      </w:tr>
    </w:tbl>
    <w:p>
      <w:pPr>
        <w:snapToGrid w:val="0"/>
        <w:spacing w:line="560" w:lineRule="exact"/>
        <w:ind w:firstLine="600" w:firstLineChars="200"/>
        <w:outlineLvl w:val="0"/>
        <w:rPr>
          <w:rFonts w:ascii="黑体" w:hAnsi="黑体" w:eastAsia="黑体" w:cs="黑体"/>
          <w:bCs/>
          <w:sz w:val="30"/>
          <w:szCs w:val="30"/>
        </w:rPr>
      </w:pPr>
      <w:r>
        <w:rPr>
          <w:rFonts w:hint="eastAsia" w:ascii="黑体" w:hAnsi="黑体" w:eastAsia="黑体" w:cs="黑体"/>
          <w:bCs/>
          <w:sz w:val="30"/>
          <w:szCs w:val="30"/>
        </w:rPr>
        <w:t>十九、裁判人员建议</w:t>
      </w:r>
    </w:p>
    <w:p>
      <w:pPr>
        <w:snapToGrid w:val="0"/>
        <w:spacing w:line="560" w:lineRule="exact"/>
        <w:ind w:firstLine="600" w:firstLineChars="200"/>
        <w:rPr>
          <w:rFonts w:ascii="仿宋_GB2312" w:hAnsi="宋体" w:eastAsia="仿宋_GB2312" w:cs="仿宋_GB2312"/>
          <w:kern w:val="0"/>
          <w:sz w:val="30"/>
          <w:szCs w:val="30"/>
        </w:rPr>
      </w:pPr>
      <w:r>
        <w:rPr>
          <w:rFonts w:hint="eastAsia" w:ascii="仿宋_GB2312" w:hAnsi="宋体" w:eastAsia="仿宋_GB2312" w:cs="仿宋_GB2312"/>
          <w:kern w:val="0"/>
          <w:sz w:val="30"/>
          <w:szCs w:val="30"/>
        </w:rPr>
        <w:t>根据《全国职业院校技能大赛专家和裁判工作管理办法》：</w:t>
      </w:r>
    </w:p>
    <w:p>
      <w:pPr>
        <w:snapToGrid w:val="0"/>
        <w:spacing w:line="560" w:lineRule="exact"/>
        <w:ind w:firstLine="600" w:firstLineChars="200"/>
        <w:rPr>
          <w:rFonts w:ascii="仿宋_GB2312" w:hAnsi="宋体" w:eastAsia="仿宋_GB2312" w:cs="仿宋_GB2312"/>
          <w:kern w:val="0"/>
          <w:sz w:val="30"/>
          <w:szCs w:val="30"/>
        </w:rPr>
      </w:pPr>
      <w:r>
        <w:rPr>
          <w:rFonts w:hint="eastAsia" w:ascii="仿宋_GB2312" w:hAnsi="宋体" w:eastAsia="仿宋_GB2312" w:cs="仿宋_GB2312"/>
          <w:kern w:val="0"/>
          <w:sz w:val="30"/>
          <w:szCs w:val="30"/>
        </w:rPr>
        <w:t>（一）裁判组工作实行“裁判长负责制”，设裁判长1名，全面负责赛项的裁判与管理工作，并根据《成绩管理办法》对裁判进行合理分工。</w:t>
      </w:r>
    </w:p>
    <w:p>
      <w:pPr>
        <w:snapToGrid w:val="0"/>
        <w:spacing w:line="560" w:lineRule="exact"/>
        <w:ind w:firstLine="600" w:firstLineChars="200"/>
        <w:rPr>
          <w:rFonts w:ascii="仿宋_GB2312" w:eastAsia="仿宋_GB2312"/>
          <w:kern w:val="0"/>
          <w:sz w:val="30"/>
          <w:szCs w:val="30"/>
        </w:rPr>
      </w:pPr>
      <w:r>
        <w:rPr>
          <w:rFonts w:hint="eastAsia" w:ascii="仿宋_GB2312" w:eastAsia="仿宋_GB2312"/>
          <w:kern w:val="0"/>
          <w:sz w:val="30"/>
          <w:szCs w:val="30"/>
        </w:rPr>
        <w:t>（二）建议裁判数量</w:t>
      </w:r>
    </w:p>
    <w:tbl>
      <w:tblPr>
        <w:tblStyle w:val="9"/>
        <w:tblpPr w:leftFromText="180" w:rightFromText="180" w:vertAnchor="text" w:horzAnchor="margin" w:tblpXSpec="center" w:tblpY="8"/>
        <w:tblW w:w="8755"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02"/>
        <w:gridCol w:w="1725"/>
        <w:gridCol w:w="1665"/>
        <w:gridCol w:w="2012"/>
        <w:gridCol w:w="1521"/>
        <w:gridCol w:w="103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PrEx>
        <w:trPr>
          <w:trHeight w:val="454" w:hRule="atLeast"/>
        </w:trPr>
        <w:tc>
          <w:tcPr>
            <w:tcW w:w="802" w:type="dxa"/>
            <w:tcBorders>
              <w:top w:val="single" w:color="auto" w:sz="8" w:space="0"/>
              <w:left w:val="single" w:color="auto" w:sz="8" w:space="0"/>
              <w:bottom w:val="single" w:color="auto" w:sz="4" w:space="0"/>
              <w:right w:val="single" w:color="auto" w:sz="4" w:space="0"/>
            </w:tcBorders>
            <w:vAlign w:val="center"/>
          </w:tcPr>
          <w:p>
            <w:pPr>
              <w:adjustRightInd w:val="0"/>
              <w:snapToGrid w:val="0"/>
              <w:jc w:val="center"/>
              <w:rPr>
                <w:rFonts w:ascii="仿宋_GB2312" w:hAnsi="仿宋" w:eastAsia="仿宋_GB2312" w:cs="Arial"/>
                <w:b/>
                <w:color w:val="000000"/>
                <w:sz w:val="24"/>
                <w:szCs w:val="24"/>
              </w:rPr>
            </w:pPr>
            <w:r>
              <w:rPr>
                <w:rFonts w:hint="eastAsia" w:ascii="仿宋_GB2312" w:hAnsi="仿宋" w:eastAsia="仿宋_GB2312" w:cs="Arial"/>
                <w:b/>
                <w:color w:val="000000"/>
                <w:sz w:val="24"/>
                <w:szCs w:val="24"/>
              </w:rPr>
              <w:t>序号</w:t>
            </w:r>
          </w:p>
        </w:tc>
        <w:tc>
          <w:tcPr>
            <w:tcW w:w="1725" w:type="dxa"/>
            <w:tcBorders>
              <w:top w:val="single" w:color="auto" w:sz="8" w:space="0"/>
              <w:left w:val="single" w:color="auto" w:sz="4" w:space="0"/>
              <w:bottom w:val="single" w:color="auto" w:sz="4" w:space="0"/>
              <w:right w:val="single" w:color="auto" w:sz="4" w:space="0"/>
            </w:tcBorders>
            <w:vAlign w:val="center"/>
          </w:tcPr>
          <w:p>
            <w:pPr>
              <w:adjustRightInd w:val="0"/>
              <w:snapToGrid w:val="0"/>
              <w:jc w:val="center"/>
              <w:rPr>
                <w:rFonts w:ascii="仿宋_GB2312" w:hAnsi="仿宋" w:eastAsia="仿宋_GB2312" w:cs="Arial"/>
                <w:b/>
                <w:color w:val="000000"/>
                <w:sz w:val="24"/>
                <w:szCs w:val="24"/>
              </w:rPr>
            </w:pPr>
            <w:r>
              <w:rPr>
                <w:rFonts w:hint="eastAsia" w:ascii="仿宋_GB2312" w:hAnsi="仿宋" w:eastAsia="仿宋_GB2312" w:cs="Arial"/>
                <w:b/>
                <w:color w:val="000000"/>
                <w:sz w:val="24"/>
                <w:szCs w:val="24"/>
              </w:rPr>
              <w:t>专业技术方向</w:t>
            </w:r>
          </w:p>
        </w:tc>
        <w:tc>
          <w:tcPr>
            <w:tcW w:w="1665" w:type="dxa"/>
            <w:tcBorders>
              <w:top w:val="single" w:color="auto" w:sz="8" w:space="0"/>
              <w:left w:val="single" w:color="auto" w:sz="4" w:space="0"/>
              <w:bottom w:val="single" w:color="auto" w:sz="4" w:space="0"/>
              <w:right w:val="single" w:color="auto" w:sz="4" w:space="0"/>
            </w:tcBorders>
            <w:vAlign w:val="center"/>
          </w:tcPr>
          <w:p>
            <w:pPr>
              <w:adjustRightInd w:val="0"/>
              <w:snapToGrid w:val="0"/>
              <w:jc w:val="center"/>
              <w:rPr>
                <w:rFonts w:ascii="仿宋_GB2312" w:hAnsi="仿宋" w:eastAsia="仿宋_GB2312" w:cs="Arial"/>
                <w:b/>
                <w:color w:val="000000"/>
                <w:sz w:val="24"/>
                <w:szCs w:val="24"/>
              </w:rPr>
            </w:pPr>
            <w:r>
              <w:rPr>
                <w:rFonts w:hint="eastAsia" w:ascii="仿宋_GB2312" w:hAnsi="仿宋" w:eastAsia="仿宋_GB2312" w:cs="Arial"/>
                <w:b/>
                <w:color w:val="000000"/>
                <w:sz w:val="24"/>
                <w:szCs w:val="24"/>
              </w:rPr>
              <w:t>知识能力要求</w:t>
            </w:r>
          </w:p>
        </w:tc>
        <w:tc>
          <w:tcPr>
            <w:tcW w:w="2012" w:type="dxa"/>
            <w:tcBorders>
              <w:top w:val="single" w:color="auto" w:sz="8" w:space="0"/>
              <w:left w:val="single" w:color="auto" w:sz="4" w:space="0"/>
              <w:bottom w:val="single" w:color="auto" w:sz="4" w:space="0"/>
              <w:right w:val="single" w:color="auto" w:sz="4" w:space="0"/>
            </w:tcBorders>
            <w:vAlign w:val="center"/>
          </w:tcPr>
          <w:p>
            <w:pPr>
              <w:adjustRightInd w:val="0"/>
              <w:snapToGrid w:val="0"/>
              <w:jc w:val="center"/>
              <w:rPr>
                <w:rFonts w:ascii="仿宋_GB2312" w:hAnsi="仿宋" w:eastAsia="仿宋_GB2312" w:cs="Arial"/>
                <w:b/>
                <w:color w:val="000000"/>
                <w:sz w:val="24"/>
                <w:szCs w:val="24"/>
              </w:rPr>
            </w:pPr>
            <w:r>
              <w:rPr>
                <w:rFonts w:hint="eastAsia" w:ascii="仿宋_GB2312" w:hAnsi="仿宋" w:eastAsia="仿宋_GB2312" w:cs="Arial"/>
                <w:b/>
                <w:color w:val="000000"/>
                <w:sz w:val="24"/>
                <w:szCs w:val="24"/>
              </w:rPr>
              <w:t>执裁、教学、工作经历</w:t>
            </w:r>
          </w:p>
        </w:tc>
        <w:tc>
          <w:tcPr>
            <w:tcW w:w="1521" w:type="dxa"/>
            <w:tcBorders>
              <w:top w:val="single" w:color="auto" w:sz="8" w:space="0"/>
              <w:left w:val="single" w:color="auto" w:sz="4" w:space="0"/>
              <w:bottom w:val="single" w:color="auto" w:sz="4" w:space="0"/>
              <w:right w:val="single" w:color="auto" w:sz="4" w:space="0"/>
            </w:tcBorders>
            <w:vAlign w:val="center"/>
          </w:tcPr>
          <w:p>
            <w:pPr>
              <w:adjustRightInd w:val="0"/>
              <w:snapToGrid w:val="0"/>
              <w:jc w:val="center"/>
              <w:rPr>
                <w:rFonts w:ascii="仿宋_GB2312" w:hAnsi="仿宋" w:eastAsia="仿宋_GB2312" w:cs="Arial"/>
                <w:b/>
                <w:color w:val="000000"/>
                <w:sz w:val="24"/>
                <w:szCs w:val="24"/>
              </w:rPr>
            </w:pPr>
            <w:r>
              <w:rPr>
                <w:rFonts w:hint="eastAsia" w:ascii="仿宋_GB2312" w:hAnsi="仿宋" w:eastAsia="仿宋_GB2312" w:cs="Arial"/>
                <w:b/>
                <w:color w:val="000000"/>
                <w:sz w:val="24"/>
                <w:szCs w:val="24"/>
              </w:rPr>
              <w:t>专业技术职称（职业资格等级）</w:t>
            </w:r>
          </w:p>
        </w:tc>
        <w:tc>
          <w:tcPr>
            <w:tcW w:w="1030" w:type="dxa"/>
            <w:tcBorders>
              <w:top w:val="single" w:color="auto" w:sz="8" w:space="0"/>
              <w:left w:val="single" w:color="auto" w:sz="4" w:space="0"/>
              <w:bottom w:val="single" w:color="auto" w:sz="4" w:space="0"/>
              <w:right w:val="single" w:color="auto" w:sz="8" w:space="0"/>
            </w:tcBorders>
            <w:vAlign w:val="center"/>
          </w:tcPr>
          <w:p>
            <w:pPr>
              <w:adjustRightInd w:val="0"/>
              <w:snapToGrid w:val="0"/>
              <w:jc w:val="center"/>
              <w:rPr>
                <w:rFonts w:ascii="仿宋_GB2312" w:hAnsi="仿宋" w:eastAsia="仿宋_GB2312" w:cs="Arial"/>
                <w:b/>
                <w:color w:val="000000"/>
                <w:sz w:val="24"/>
                <w:szCs w:val="24"/>
              </w:rPr>
            </w:pPr>
            <w:r>
              <w:rPr>
                <w:rFonts w:hint="eastAsia" w:ascii="仿宋_GB2312" w:hAnsi="仿宋" w:eastAsia="仿宋_GB2312" w:cs="Arial"/>
                <w:b/>
                <w:color w:val="000000"/>
                <w:sz w:val="24"/>
                <w:szCs w:val="24"/>
              </w:rPr>
              <w:t>人数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tcBorders>
              <w:top w:val="single" w:color="auto" w:sz="4" w:space="0"/>
              <w:left w:val="single" w:color="auto" w:sz="8" w:space="0"/>
              <w:bottom w:val="single" w:color="auto" w:sz="4" w:space="0"/>
              <w:right w:val="single" w:color="auto" w:sz="4" w:space="0"/>
            </w:tcBorders>
            <w:vAlign w:val="center"/>
          </w:tcPr>
          <w:p>
            <w:pPr>
              <w:adjustRightInd w:val="0"/>
              <w:snapToGrid w:val="0"/>
              <w:jc w:val="center"/>
              <w:rPr>
                <w:rFonts w:ascii="宋体" w:hAnsi="宋体"/>
                <w:sz w:val="24"/>
              </w:rPr>
            </w:pPr>
            <w:r>
              <w:rPr>
                <w:rFonts w:hint="eastAsia" w:ascii="宋体" w:hAnsi="宋体"/>
                <w:sz w:val="24"/>
              </w:rPr>
              <w:t>1</w:t>
            </w:r>
          </w:p>
        </w:tc>
        <w:tc>
          <w:tcPr>
            <w:tcW w:w="1725" w:type="dxa"/>
            <w:tcBorders>
              <w:top w:val="single" w:color="auto" w:sz="4" w:space="0"/>
              <w:left w:val="single" w:color="auto" w:sz="4" w:space="0"/>
              <w:bottom w:val="single" w:color="auto" w:sz="4" w:space="0"/>
              <w:right w:val="single" w:color="auto" w:sz="4" w:space="0"/>
            </w:tcBorders>
            <w:vAlign w:val="center"/>
          </w:tcPr>
          <w:p>
            <w:pPr>
              <w:jc w:val="left"/>
              <w:textAlignment w:val="baseline"/>
              <w:rPr>
                <w:rFonts w:ascii="宋体" w:hAnsi="宋体"/>
                <w:spacing w:val="-2"/>
                <w:sz w:val="24"/>
                <w:szCs w:val="24"/>
              </w:rPr>
            </w:pPr>
            <w:r>
              <w:rPr>
                <w:rFonts w:hint="eastAsia" w:ascii="宋体" w:hAnsi="宋体"/>
                <w:spacing w:val="-2"/>
                <w:sz w:val="24"/>
                <w:szCs w:val="24"/>
              </w:rPr>
              <w:t>机械制造及自动化、电气自动化</w:t>
            </w:r>
          </w:p>
        </w:tc>
        <w:tc>
          <w:tcPr>
            <w:tcW w:w="1665" w:type="dxa"/>
            <w:tcBorders>
              <w:top w:val="single" w:color="auto" w:sz="4" w:space="0"/>
              <w:left w:val="single" w:color="auto" w:sz="4" w:space="0"/>
              <w:bottom w:val="single" w:color="auto" w:sz="4" w:space="0"/>
              <w:right w:val="single" w:color="auto" w:sz="4" w:space="0"/>
            </w:tcBorders>
            <w:vAlign w:val="center"/>
          </w:tcPr>
          <w:p>
            <w:pPr>
              <w:jc w:val="left"/>
              <w:textAlignment w:val="baseline"/>
              <w:rPr>
                <w:rFonts w:ascii="宋体" w:hAnsi="宋体"/>
                <w:spacing w:val="-2"/>
                <w:sz w:val="24"/>
                <w:szCs w:val="24"/>
              </w:rPr>
            </w:pPr>
            <w:r>
              <w:rPr>
                <w:rFonts w:hint="eastAsia" w:ascii="宋体" w:hAnsi="宋体"/>
                <w:spacing w:val="-2"/>
                <w:sz w:val="24"/>
                <w:szCs w:val="24"/>
              </w:rPr>
              <w:t>懂电气控制与电气自动化，会操作机电设备，懂机电设备安装与调试</w:t>
            </w:r>
          </w:p>
        </w:tc>
        <w:tc>
          <w:tcPr>
            <w:tcW w:w="2012" w:type="dxa"/>
            <w:tcBorders>
              <w:top w:val="single" w:color="auto" w:sz="4" w:space="0"/>
              <w:left w:val="single" w:color="auto" w:sz="4" w:space="0"/>
              <w:bottom w:val="single" w:color="auto" w:sz="4" w:space="0"/>
              <w:right w:val="single" w:color="auto" w:sz="4" w:space="0"/>
            </w:tcBorders>
            <w:vAlign w:val="center"/>
          </w:tcPr>
          <w:p>
            <w:pPr>
              <w:jc w:val="left"/>
              <w:textAlignment w:val="baseline"/>
              <w:rPr>
                <w:rFonts w:ascii="宋体" w:hAnsi="宋体"/>
                <w:spacing w:val="-2"/>
                <w:sz w:val="24"/>
                <w:szCs w:val="24"/>
              </w:rPr>
            </w:pPr>
            <w:r>
              <w:rPr>
                <w:rFonts w:hint="eastAsia" w:ascii="宋体" w:hAnsi="宋体"/>
                <w:spacing w:val="-2"/>
                <w:sz w:val="24"/>
                <w:szCs w:val="24"/>
              </w:rPr>
              <w:t>从事本专业（职业）相关工作5年以上，</w:t>
            </w:r>
            <w:r>
              <w:rPr>
                <w:rFonts w:ascii="宋体" w:hAnsi="宋体"/>
                <w:spacing w:val="-2"/>
                <w:sz w:val="24"/>
                <w:szCs w:val="24"/>
              </w:rPr>
              <w:t>具有省级或行业职业技能竞赛执裁经验</w:t>
            </w:r>
          </w:p>
        </w:tc>
        <w:tc>
          <w:tcPr>
            <w:tcW w:w="1521" w:type="dxa"/>
            <w:tcBorders>
              <w:top w:val="single" w:color="auto" w:sz="4" w:space="0"/>
              <w:left w:val="single" w:color="auto" w:sz="4" w:space="0"/>
              <w:bottom w:val="single" w:color="auto" w:sz="4" w:space="0"/>
              <w:right w:val="single" w:color="auto" w:sz="4" w:space="0"/>
            </w:tcBorders>
            <w:vAlign w:val="center"/>
          </w:tcPr>
          <w:p>
            <w:pPr>
              <w:jc w:val="left"/>
              <w:textAlignment w:val="baseline"/>
              <w:rPr>
                <w:rFonts w:ascii="宋体" w:hAnsi="宋体"/>
                <w:spacing w:val="-2"/>
                <w:sz w:val="24"/>
                <w:szCs w:val="24"/>
              </w:rPr>
            </w:pPr>
            <w:r>
              <w:rPr>
                <w:rFonts w:hint="eastAsia" w:ascii="宋体" w:hAnsi="宋体"/>
                <w:spacing w:val="-2"/>
                <w:sz w:val="24"/>
                <w:szCs w:val="24"/>
              </w:rPr>
              <w:t>副高及以上职称或高级技师</w:t>
            </w:r>
            <w:r>
              <w:rPr>
                <w:rFonts w:hint="eastAsia" w:ascii="宋体" w:hAnsi="宋体" w:cs="仿宋_GB2312"/>
                <w:spacing w:val="-2"/>
                <w:sz w:val="24"/>
                <w:szCs w:val="24"/>
              </w:rPr>
              <w:t>职业资格</w:t>
            </w:r>
          </w:p>
        </w:tc>
        <w:tc>
          <w:tcPr>
            <w:tcW w:w="1030" w:type="dxa"/>
            <w:tcBorders>
              <w:top w:val="single" w:color="auto" w:sz="4" w:space="0"/>
              <w:left w:val="single" w:color="auto" w:sz="4" w:space="0"/>
              <w:bottom w:val="single" w:color="auto" w:sz="4" w:space="0"/>
              <w:right w:val="single" w:color="auto" w:sz="8" w:space="0"/>
            </w:tcBorders>
            <w:vAlign w:val="center"/>
          </w:tcPr>
          <w:p>
            <w:pPr>
              <w:jc w:val="center"/>
              <w:textAlignment w:val="baseline"/>
              <w:rPr>
                <w:rFonts w:ascii="宋体" w:hAnsi="宋体"/>
                <w:spacing w:val="-2"/>
                <w:sz w:val="24"/>
                <w:szCs w:val="24"/>
              </w:rPr>
            </w:pPr>
            <w:r>
              <w:rPr>
                <w:rFonts w:hint="eastAsia" w:ascii="宋体" w:hAnsi="宋体"/>
                <w:spacing w:val="-2"/>
                <w:sz w:val="24"/>
                <w:szCs w:val="24"/>
              </w:rPr>
              <w:t>16</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tcBorders>
              <w:top w:val="single" w:color="auto" w:sz="4" w:space="0"/>
              <w:left w:val="single" w:color="auto" w:sz="8" w:space="0"/>
              <w:bottom w:val="single" w:color="auto" w:sz="4" w:space="0"/>
              <w:right w:val="single" w:color="auto" w:sz="4" w:space="0"/>
            </w:tcBorders>
            <w:vAlign w:val="center"/>
          </w:tcPr>
          <w:p>
            <w:pPr>
              <w:adjustRightInd w:val="0"/>
              <w:snapToGrid w:val="0"/>
              <w:jc w:val="center"/>
              <w:rPr>
                <w:rFonts w:ascii="宋体" w:hAnsi="宋体"/>
                <w:sz w:val="24"/>
              </w:rPr>
            </w:pPr>
            <w:r>
              <w:rPr>
                <w:rFonts w:hint="eastAsia" w:ascii="宋体" w:hAnsi="宋体"/>
                <w:sz w:val="24"/>
              </w:rPr>
              <w:t>2</w:t>
            </w:r>
          </w:p>
        </w:tc>
        <w:tc>
          <w:tcPr>
            <w:tcW w:w="1725" w:type="dxa"/>
            <w:tcBorders>
              <w:top w:val="single" w:color="auto" w:sz="4" w:space="0"/>
              <w:left w:val="single" w:color="auto" w:sz="4" w:space="0"/>
              <w:bottom w:val="single" w:color="auto" w:sz="4" w:space="0"/>
              <w:right w:val="single" w:color="auto" w:sz="4" w:space="0"/>
            </w:tcBorders>
            <w:vAlign w:val="center"/>
          </w:tcPr>
          <w:p>
            <w:pPr>
              <w:jc w:val="left"/>
              <w:textAlignment w:val="baseline"/>
              <w:rPr>
                <w:rFonts w:ascii="宋体" w:hAnsi="宋体"/>
                <w:spacing w:val="-2"/>
                <w:sz w:val="24"/>
                <w:szCs w:val="24"/>
              </w:rPr>
            </w:pPr>
            <w:r>
              <w:rPr>
                <w:rFonts w:hint="eastAsia" w:ascii="宋体" w:hAnsi="宋体" w:cs="宋体"/>
                <w:spacing w:val="-2"/>
                <w:sz w:val="24"/>
                <w:szCs w:val="24"/>
              </w:rPr>
              <w:t>电梯相关专业</w:t>
            </w:r>
          </w:p>
        </w:tc>
        <w:tc>
          <w:tcPr>
            <w:tcW w:w="1665" w:type="dxa"/>
            <w:tcBorders>
              <w:top w:val="single" w:color="auto" w:sz="4" w:space="0"/>
              <w:left w:val="single" w:color="auto" w:sz="4" w:space="0"/>
              <w:bottom w:val="single" w:color="auto" w:sz="4" w:space="0"/>
              <w:right w:val="single" w:color="auto" w:sz="4" w:space="0"/>
            </w:tcBorders>
            <w:vAlign w:val="center"/>
          </w:tcPr>
          <w:p>
            <w:pPr>
              <w:jc w:val="left"/>
              <w:textAlignment w:val="baseline"/>
              <w:rPr>
                <w:rFonts w:ascii="宋体" w:hAnsi="宋体"/>
                <w:spacing w:val="-2"/>
                <w:sz w:val="24"/>
                <w:szCs w:val="24"/>
              </w:rPr>
            </w:pPr>
            <w:r>
              <w:rPr>
                <w:rFonts w:hint="eastAsia" w:ascii="宋体" w:hAnsi="宋体"/>
                <w:spacing w:val="-2"/>
                <w:sz w:val="24"/>
                <w:szCs w:val="24"/>
              </w:rPr>
              <w:t>熟悉电梯设备技术，具有丰富的考评工作经验</w:t>
            </w:r>
          </w:p>
        </w:tc>
        <w:tc>
          <w:tcPr>
            <w:tcW w:w="2012" w:type="dxa"/>
            <w:tcBorders>
              <w:top w:val="single" w:color="auto" w:sz="4" w:space="0"/>
              <w:left w:val="single" w:color="auto" w:sz="4" w:space="0"/>
              <w:bottom w:val="single" w:color="auto" w:sz="4" w:space="0"/>
              <w:right w:val="single" w:color="auto" w:sz="4" w:space="0"/>
            </w:tcBorders>
            <w:vAlign w:val="center"/>
          </w:tcPr>
          <w:p>
            <w:pPr>
              <w:jc w:val="left"/>
              <w:textAlignment w:val="baseline"/>
              <w:rPr>
                <w:rFonts w:ascii="宋体" w:hAnsi="宋体"/>
                <w:spacing w:val="-2"/>
                <w:sz w:val="24"/>
                <w:szCs w:val="24"/>
              </w:rPr>
            </w:pPr>
            <w:r>
              <w:rPr>
                <w:rFonts w:hint="eastAsia" w:ascii="宋体" w:hAnsi="宋体"/>
                <w:spacing w:val="-2"/>
                <w:sz w:val="24"/>
                <w:szCs w:val="24"/>
              </w:rPr>
              <w:t>从事本专业（职业）相关工作5年以上，</w:t>
            </w:r>
            <w:r>
              <w:rPr>
                <w:rFonts w:ascii="宋体" w:hAnsi="宋体"/>
                <w:spacing w:val="-2"/>
                <w:sz w:val="24"/>
                <w:szCs w:val="24"/>
              </w:rPr>
              <w:t>具有省级或行业职业技能竞赛执裁经验</w:t>
            </w:r>
          </w:p>
        </w:tc>
        <w:tc>
          <w:tcPr>
            <w:tcW w:w="1521" w:type="dxa"/>
            <w:tcBorders>
              <w:top w:val="single" w:color="auto" w:sz="4" w:space="0"/>
              <w:left w:val="single" w:color="auto" w:sz="4" w:space="0"/>
              <w:bottom w:val="single" w:color="auto" w:sz="4" w:space="0"/>
              <w:right w:val="single" w:color="auto" w:sz="4" w:space="0"/>
            </w:tcBorders>
            <w:vAlign w:val="center"/>
          </w:tcPr>
          <w:p>
            <w:pPr>
              <w:jc w:val="left"/>
              <w:textAlignment w:val="baseline"/>
              <w:rPr>
                <w:rFonts w:ascii="宋体" w:hAnsi="宋体"/>
                <w:spacing w:val="-2"/>
                <w:sz w:val="24"/>
                <w:szCs w:val="24"/>
              </w:rPr>
            </w:pPr>
            <w:r>
              <w:rPr>
                <w:rFonts w:hint="eastAsia" w:ascii="宋体" w:hAnsi="宋体"/>
                <w:spacing w:val="-2"/>
                <w:sz w:val="24"/>
                <w:szCs w:val="24"/>
              </w:rPr>
              <w:t>副高及以上职称或高级技师</w:t>
            </w:r>
            <w:r>
              <w:rPr>
                <w:rFonts w:hint="eastAsia" w:ascii="宋体" w:hAnsi="宋体" w:cs="仿宋_GB2312"/>
                <w:spacing w:val="-2"/>
                <w:sz w:val="24"/>
                <w:szCs w:val="24"/>
              </w:rPr>
              <w:t>职业资格</w:t>
            </w:r>
          </w:p>
        </w:tc>
        <w:tc>
          <w:tcPr>
            <w:tcW w:w="1030" w:type="dxa"/>
            <w:tcBorders>
              <w:top w:val="single" w:color="auto" w:sz="4" w:space="0"/>
              <w:left w:val="single" w:color="auto" w:sz="4" w:space="0"/>
              <w:bottom w:val="single" w:color="auto" w:sz="4" w:space="0"/>
              <w:right w:val="single" w:color="auto" w:sz="8" w:space="0"/>
            </w:tcBorders>
            <w:vAlign w:val="center"/>
          </w:tcPr>
          <w:p>
            <w:pPr>
              <w:jc w:val="center"/>
              <w:textAlignment w:val="baseline"/>
              <w:rPr>
                <w:rFonts w:ascii="宋体" w:hAnsi="宋体"/>
                <w:spacing w:val="-2"/>
                <w:sz w:val="24"/>
                <w:szCs w:val="24"/>
              </w:rPr>
            </w:pPr>
            <w:r>
              <w:rPr>
                <w:rFonts w:hint="eastAsia" w:ascii="宋体" w:hAnsi="宋体"/>
                <w:spacing w:val="-2"/>
                <w:sz w:val="24"/>
                <w:szCs w:val="24"/>
              </w:rPr>
              <w:t>6</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tcBorders>
              <w:top w:val="single" w:color="auto" w:sz="4" w:space="0"/>
              <w:left w:val="single" w:color="auto" w:sz="8" w:space="0"/>
              <w:bottom w:val="single" w:color="auto" w:sz="8" w:space="0"/>
              <w:right w:val="single" w:color="auto" w:sz="4" w:space="0"/>
            </w:tcBorders>
            <w:vAlign w:val="center"/>
          </w:tcPr>
          <w:p>
            <w:pPr>
              <w:adjustRightInd w:val="0"/>
              <w:snapToGrid w:val="0"/>
              <w:jc w:val="center"/>
              <w:rPr>
                <w:rFonts w:ascii="Arial Narrow" w:hAnsi="Arial Narrow" w:eastAsia="仿宋_GB2312"/>
                <w:sz w:val="24"/>
              </w:rPr>
            </w:pPr>
            <w:r>
              <w:rPr>
                <w:rFonts w:ascii="宋体" w:hAnsi="宋体" w:cs="Arial"/>
                <w:b/>
                <w:color w:val="000000"/>
                <w:sz w:val="24"/>
                <w:szCs w:val="24"/>
              </w:rPr>
              <w:t>裁判总人数</w:t>
            </w:r>
          </w:p>
        </w:tc>
        <w:tc>
          <w:tcPr>
            <w:tcW w:w="7953" w:type="dxa"/>
            <w:gridSpan w:val="5"/>
            <w:tcBorders>
              <w:top w:val="single" w:color="auto" w:sz="4" w:space="0"/>
              <w:left w:val="single" w:color="auto" w:sz="4" w:space="0"/>
              <w:bottom w:val="single" w:color="auto" w:sz="8" w:space="0"/>
              <w:right w:val="single" w:color="auto" w:sz="8" w:space="0"/>
            </w:tcBorders>
            <w:vAlign w:val="center"/>
          </w:tcPr>
          <w:p>
            <w:pPr>
              <w:adjustRightInd w:val="0"/>
              <w:snapToGrid w:val="0"/>
              <w:rPr>
                <w:rFonts w:ascii="Arial Narrow" w:hAnsi="Arial Narrow" w:eastAsia="仿宋_GB2312"/>
                <w:sz w:val="24"/>
              </w:rPr>
            </w:pPr>
            <w:r>
              <w:rPr>
                <w:rFonts w:hint="eastAsia" w:ascii="宋体" w:hAnsi="宋体"/>
                <w:spacing w:val="-2"/>
                <w:sz w:val="24"/>
                <w:szCs w:val="24"/>
              </w:rPr>
              <w:t>从全国职业院校技能大赛裁判库中随机抽取，现场裁判、评分裁判共22人</w:t>
            </w:r>
            <w:r>
              <w:rPr>
                <w:rFonts w:hint="eastAsia" w:ascii="宋体" w:hAnsi="宋体"/>
                <w:sz w:val="24"/>
              </w:rPr>
              <w:t>。</w:t>
            </w:r>
          </w:p>
        </w:tc>
      </w:tr>
    </w:tbl>
    <w:p>
      <w:pPr>
        <w:snapToGrid w:val="0"/>
        <w:spacing w:line="560" w:lineRule="exact"/>
        <w:ind w:firstLine="600" w:firstLineChars="200"/>
        <w:outlineLvl w:val="0"/>
        <w:rPr>
          <w:rFonts w:ascii="Arial Narrow" w:hAnsi="Arial Narrow" w:eastAsia="仿宋_GB2312" w:cs="Arial"/>
          <w:b/>
          <w:sz w:val="30"/>
          <w:szCs w:val="30"/>
        </w:rPr>
      </w:pPr>
      <w:r>
        <w:rPr>
          <w:rFonts w:hint="eastAsia" w:ascii="黑体" w:hAnsi="黑体" w:eastAsia="黑体" w:cs="黑体"/>
          <w:bCs/>
          <w:sz w:val="30"/>
          <w:szCs w:val="30"/>
        </w:rPr>
        <w:t>二十、赛题公开承诺</w:t>
      </w:r>
    </w:p>
    <w:p>
      <w:pPr>
        <w:snapToGrid w:val="0"/>
        <w:spacing w:line="560" w:lineRule="exact"/>
        <w:ind w:firstLine="600" w:firstLineChars="200"/>
        <w:rPr>
          <w:rFonts w:ascii="黑体" w:hAnsi="黑体" w:eastAsia="黑体" w:cs="黑体"/>
          <w:b/>
          <w:sz w:val="30"/>
          <w:szCs w:val="30"/>
        </w:rPr>
      </w:pPr>
      <w:r>
        <w:rPr>
          <w:rFonts w:hint="eastAsia" w:ascii="仿宋_GB2312" w:eastAsia="仿宋_GB2312"/>
          <w:sz w:val="30"/>
          <w:szCs w:val="30"/>
        </w:rPr>
        <w:t>承诺保证于开赛1个月前在大赛网络信息发布平台上（www.chinaskills-jsw.org)公开全部赛题。</w:t>
      </w:r>
    </w:p>
    <w:p>
      <w:pPr>
        <w:snapToGrid w:val="0"/>
        <w:spacing w:line="560" w:lineRule="exact"/>
        <w:ind w:firstLine="600" w:firstLineChars="200"/>
        <w:outlineLvl w:val="0"/>
        <w:rPr>
          <w:rFonts w:ascii="Arial Narrow" w:hAnsi="Arial Narrow" w:eastAsia="仿宋_GB2312" w:cs="Arial"/>
          <w:bCs/>
          <w:sz w:val="30"/>
          <w:szCs w:val="30"/>
        </w:rPr>
      </w:pPr>
      <w:r>
        <w:rPr>
          <w:rFonts w:hint="eastAsia" w:ascii="黑体" w:hAnsi="黑体" w:eastAsia="黑体" w:cs="黑体"/>
          <w:bCs/>
          <w:sz w:val="30"/>
          <w:szCs w:val="30"/>
        </w:rPr>
        <w:t>二十一、其他</w:t>
      </w:r>
    </w:p>
    <w:p>
      <w:pPr>
        <w:snapToGrid w:val="0"/>
        <w:spacing w:line="560" w:lineRule="exact"/>
        <w:ind w:firstLine="600" w:firstLineChars="200"/>
        <w:rPr>
          <w:rFonts w:ascii="仿宋_GB2312" w:eastAsia="仿宋_GB2312"/>
          <w:sz w:val="30"/>
          <w:szCs w:val="30"/>
        </w:rPr>
      </w:pPr>
    </w:p>
    <w:p>
      <w:pPr>
        <w:snapToGrid w:val="0"/>
        <w:spacing w:line="560" w:lineRule="exact"/>
        <w:ind w:firstLine="600" w:firstLineChars="200"/>
        <w:rPr>
          <w:rFonts w:ascii="仿宋_GB2312" w:eastAsia="仿宋_GB2312"/>
          <w:sz w:val="30"/>
          <w:szCs w:val="30"/>
        </w:rPr>
      </w:pPr>
    </w:p>
    <w:p>
      <w:pPr>
        <w:spacing w:line="560" w:lineRule="exact"/>
        <w:rPr>
          <w:rFonts w:ascii="Arial Narrow" w:hAnsi="Arial Narrow" w:eastAsia="仿宋_GB2312" w:cs="Arial"/>
          <w:sz w:val="30"/>
          <w:szCs w:val="30"/>
        </w:rPr>
      </w:pPr>
      <w:bookmarkStart w:id="2" w:name="_GoBack"/>
      <w:bookmarkEnd w:id="2"/>
      <w:r>
        <w:rPr>
          <w:rFonts w:hint="eastAsia" w:ascii="Arial Narrow" w:hAnsi="Arial Narrow" w:eastAsia="仿宋_GB2312" w:cs="Arial"/>
          <w:sz w:val="30"/>
          <w:szCs w:val="30"/>
        </w:rPr>
        <w:t>附件一：高职组“智能电梯装调与维护”赛项试题样卷</w:t>
      </w:r>
    </w:p>
    <w:p>
      <w:pPr>
        <w:jc w:val="center"/>
        <w:rPr>
          <w:rFonts w:ascii="黑体" w:hAnsi="黑体" w:eastAsia="黑体" w:cs="黑体"/>
          <w:b/>
          <w:sz w:val="52"/>
          <w:szCs w:val="52"/>
        </w:rPr>
      </w:pPr>
    </w:p>
    <w:p>
      <w:pPr>
        <w:jc w:val="center"/>
        <w:rPr>
          <w:rFonts w:ascii="黑体" w:hAnsi="黑体" w:eastAsia="黑体" w:cs="黑体"/>
          <w:b/>
          <w:sz w:val="52"/>
          <w:szCs w:val="52"/>
        </w:rPr>
      </w:pPr>
    </w:p>
    <w:p>
      <w:pPr>
        <w:jc w:val="center"/>
        <w:rPr>
          <w:rFonts w:ascii="黑体" w:hAnsi="黑体" w:eastAsia="黑体" w:cs="黑体"/>
          <w:b/>
          <w:sz w:val="52"/>
          <w:szCs w:val="52"/>
        </w:rPr>
      </w:pPr>
    </w:p>
    <w:p>
      <w:pPr>
        <w:jc w:val="center"/>
        <w:rPr>
          <w:rFonts w:ascii="黑体" w:hAnsi="黑体" w:eastAsia="黑体" w:cs="黑体"/>
          <w:b/>
          <w:sz w:val="52"/>
          <w:szCs w:val="52"/>
        </w:rPr>
      </w:pPr>
    </w:p>
    <w:p>
      <w:pPr>
        <w:jc w:val="center"/>
        <w:rPr>
          <w:rFonts w:ascii="黑体" w:hAnsi="黑体" w:eastAsia="黑体" w:cs="黑体"/>
          <w:b/>
          <w:sz w:val="52"/>
          <w:szCs w:val="52"/>
        </w:rPr>
      </w:pPr>
    </w:p>
    <w:p>
      <w:pPr>
        <w:jc w:val="center"/>
        <w:rPr>
          <w:rFonts w:ascii="黑体" w:hAnsi="黑体" w:eastAsia="黑体" w:cs="黑体"/>
          <w:sz w:val="44"/>
          <w:szCs w:val="44"/>
        </w:rPr>
      </w:pPr>
      <w:r>
        <w:rPr>
          <w:rFonts w:hint="eastAsia" w:ascii="黑体" w:hAnsi="黑体" w:eastAsia="黑体" w:cs="黑体"/>
          <w:sz w:val="44"/>
          <w:szCs w:val="44"/>
        </w:rPr>
        <w:t>2019年全国职业院校技能大赛</w:t>
      </w:r>
    </w:p>
    <w:p>
      <w:pPr>
        <w:jc w:val="center"/>
        <w:rPr>
          <w:rFonts w:ascii="黑体" w:hAnsi="黑体" w:eastAsia="黑体" w:cs="黑体"/>
          <w:sz w:val="44"/>
          <w:szCs w:val="44"/>
        </w:rPr>
      </w:pPr>
      <w:r>
        <w:rPr>
          <w:rFonts w:hint="eastAsia" w:ascii="黑体" w:hAnsi="黑体" w:eastAsia="黑体" w:cs="黑体"/>
          <w:sz w:val="44"/>
          <w:szCs w:val="44"/>
        </w:rPr>
        <w:t>高职组“智能电梯装调与维护”</w:t>
      </w:r>
    </w:p>
    <w:p>
      <w:pPr>
        <w:rPr>
          <w:rFonts w:ascii="黑体" w:hAnsi="黑体" w:eastAsia="黑体" w:cs="黑体"/>
          <w:b/>
          <w:sz w:val="44"/>
          <w:szCs w:val="44"/>
        </w:rPr>
      </w:pPr>
    </w:p>
    <w:p>
      <w:pPr>
        <w:jc w:val="center"/>
        <w:rPr>
          <w:rFonts w:ascii="黑体" w:hAnsi="黑体" w:eastAsia="黑体" w:cs="黑体"/>
          <w:sz w:val="44"/>
          <w:szCs w:val="44"/>
        </w:rPr>
      </w:pPr>
      <w:r>
        <w:rPr>
          <w:rFonts w:hint="eastAsia" w:ascii="黑体" w:hAnsi="黑体" w:eastAsia="黑体" w:cs="黑体"/>
          <w:sz w:val="44"/>
          <w:szCs w:val="44"/>
        </w:rPr>
        <w:t>竞赛试题（样卷）</w:t>
      </w:r>
    </w:p>
    <w:p>
      <w:pPr>
        <w:widowControl/>
        <w:jc w:val="left"/>
        <w:rPr>
          <w:rFonts w:ascii="仿宋_GB2312" w:hAnsi="仿宋_GB2312" w:eastAsia="仿宋_GB2312" w:cs="仿宋_GB2312"/>
          <w:color w:val="000000"/>
          <w:sz w:val="30"/>
          <w:szCs w:val="30"/>
        </w:rPr>
      </w:pPr>
    </w:p>
    <w:p>
      <w:pPr>
        <w:spacing w:line="560" w:lineRule="exact"/>
        <w:ind w:firstLine="600" w:firstLineChars="2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选手须知：</w:t>
      </w:r>
    </w:p>
    <w:p>
      <w:pPr>
        <w:spacing w:line="560" w:lineRule="exact"/>
        <w:ind w:firstLine="600" w:firstLineChars="2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1、任务书共</w:t>
      </w:r>
      <w:r>
        <w:rPr>
          <w:rFonts w:hint="eastAsia" w:ascii="仿宋_GB2312" w:hAnsi="仿宋_GB2312" w:eastAsia="仿宋_GB2312" w:cs="仿宋_GB2312"/>
          <w:color w:val="000000"/>
          <w:sz w:val="30"/>
          <w:szCs w:val="30"/>
          <w:u w:val="single"/>
        </w:rPr>
        <w:t>:17</w:t>
      </w:r>
      <w:r>
        <w:rPr>
          <w:rFonts w:hint="eastAsia" w:ascii="仿宋_GB2312" w:hAnsi="仿宋_GB2312" w:eastAsia="仿宋_GB2312" w:cs="仿宋_GB2312"/>
          <w:color w:val="000000"/>
          <w:sz w:val="30"/>
          <w:szCs w:val="30"/>
        </w:rPr>
        <w:t>页，如出现任务书缺页、字迹不清等问题，请及时向裁判示意，并进行任务书的更换。</w:t>
      </w:r>
    </w:p>
    <w:p>
      <w:pPr>
        <w:spacing w:line="560" w:lineRule="exact"/>
        <w:ind w:firstLine="600" w:firstLineChars="2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2、参赛团队应在</w:t>
      </w:r>
      <w:r>
        <w:rPr>
          <w:rFonts w:hint="eastAsia" w:ascii="仿宋_GB2312" w:hAnsi="仿宋_GB2312" w:eastAsia="仿宋_GB2312" w:cs="仿宋_GB2312"/>
          <w:color w:val="000000"/>
          <w:sz w:val="30"/>
          <w:szCs w:val="30"/>
          <w:u w:val="single"/>
        </w:rPr>
        <w:t>5小时</w:t>
      </w:r>
      <w:r>
        <w:rPr>
          <w:rFonts w:hint="eastAsia" w:ascii="仿宋_GB2312" w:hAnsi="仿宋_GB2312" w:eastAsia="仿宋_GB2312" w:cs="仿宋_GB2312"/>
          <w:color w:val="000000"/>
          <w:sz w:val="30"/>
          <w:szCs w:val="30"/>
        </w:rPr>
        <w:t>内完成任务书规定内容；选手在竞赛过程中创建的程序文件必须存储到“D:\技能竞赛\工位号”文件夹下。</w:t>
      </w:r>
    </w:p>
    <w:p>
      <w:pPr>
        <w:spacing w:line="560" w:lineRule="exact"/>
        <w:ind w:firstLine="600" w:firstLineChars="2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3、选手提交的试卷用工位号标识，不得写上姓名或与身份有关的信息，否则成绩无效。</w:t>
      </w:r>
    </w:p>
    <w:p>
      <w:pPr>
        <w:spacing w:line="560" w:lineRule="exact"/>
        <w:ind w:firstLine="600" w:firstLineChars="2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4、参赛选手在比赛过程中可提出设备器件更换要求。更换的器件经裁判组检测后，如为非人为损坏，由裁判根据现场情况给予补时；如人为损坏或器件正常，每次扣3分。</w:t>
      </w:r>
    </w:p>
    <w:p>
      <w:pPr>
        <w:spacing w:line="560" w:lineRule="exact"/>
        <w:ind w:firstLine="750" w:firstLineChars="249"/>
        <w:rPr>
          <w:rFonts w:ascii="宋体" w:hAnsi="宋体" w:cs="宋体"/>
          <w:b/>
          <w:color w:val="000000"/>
          <w:sz w:val="30"/>
          <w:szCs w:val="30"/>
        </w:rPr>
      </w:pPr>
    </w:p>
    <w:p>
      <w:pPr>
        <w:ind w:firstLine="294" w:firstLineChars="98"/>
        <w:rPr>
          <w:rFonts w:eastAsia="黑体"/>
          <w:b/>
          <w:sz w:val="32"/>
          <w:u w:val="single"/>
        </w:rPr>
      </w:pPr>
      <w:r>
        <w:rPr>
          <w:rFonts w:hint="eastAsia" w:ascii="仿宋_GB2312" w:hAnsi="仿宋_GB2312" w:eastAsia="仿宋_GB2312" w:cs="仿宋_GB2312"/>
          <w:color w:val="000000"/>
          <w:sz w:val="30"/>
          <w:szCs w:val="30"/>
        </w:rPr>
        <w:t>日期：月 日  场次：工位号：</w:t>
      </w:r>
    </w:p>
    <w:p>
      <w:pPr>
        <w:spacing w:beforeLines="50" w:afterLines="50" w:line="560" w:lineRule="exact"/>
        <w:ind w:firstLine="602" w:firstLineChars="200"/>
        <w:textAlignment w:val="baseline"/>
        <w:rPr>
          <w:rFonts w:ascii="仿宋_GB2312" w:hAnsi="宋体" w:eastAsia="仿宋_GB2312"/>
          <w:b/>
          <w:color w:val="000000"/>
          <w:sz w:val="30"/>
          <w:szCs w:val="30"/>
          <w:lang w:val="zh-CN"/>
        </w:rPr>
      </w:pPr>
      <w:r>
        <w:rPr>
          <w:rFonts w:hint="eastAsia" w:ascii="仿宋_GB2312" w:hAnsi="宋体" w:eastAsia="仿宋_GB2312"/>
          <w:b/>
          <w:color w:val="000000"/>
          <w:sz w:val="30"/>
          <w:szCs w:val="30"/>
          <w:lang w:val="zh-CN"/>
        </w:rPr>
        <w:t>竞赛基本要求：</w:t>
      </w:r>
    </w:p>
    <w:p>
      <w:pPr>
        <w:spacing w:line="560" w:lineRule="exact"/>
        <w:ind w:firstLine="600" w:firstLineChars="200"/>
        <w:rPr>
          <w:rFonts w:ascii="仿宋_GB2312" w:eastAsia="仿宋_GB2312"/>
          <w:color w:val="000000"/>
          <w:sz w:val="30"/>
          <w:szCs w:val="30"/>
        </w:rPr>
      </w:pPr>
      <w:r>
        <w:rPr>
          <w:rFonts w:hint="eastAsia" w:ascii="仿宋_GB2312" w:eastAsia="仿宋_GB2312"/>
          <w:color w:val="000000"/>
          <w:sz w:val="30"/>
          <w:szCs w:val="30"/>
        </w:rPr>
        <w:t>1、正确使用工具，操作安全规范。</w:t>
      </w:r>
    </w:p>
    <w:p>
      <w:pPr>
        <w:spacing w:line="560" w:lineRule="exact"/>
        <w:ind w:firstLine="600" w:firstLineChars="200"/>
        <w:rPr>
          <w:rFonts w:ascii="仿宋_GB2312" w:eastAsia="仿宋_GB2312"/>
          <w:color w:val="000000"/>
          <w:sz w:val="30"/>
          <w:szCs w:val="30"/>
        </w:rPr>
      </w:pPr>
      <w:r>
        <w:rPr>
          <w:rFonts w:hint="eastAsia" w:ascii="仿宋_GB2312" w:eastAsia="仿宋_GB2312"/>
          <w:color w:val="000000"/>
          <w:sz w:val="30"/>
          <w:szCs w:val="30"/>
        </w:rPr>
        <w:t>2、部件安装、电路连接、接头处理正确、可靠，符合要求。</w:t>
      </w:r>
    </w:p>
    <w:p>
      <w:pPr>
        <w:spacing w:line="560" w:lineRule="exact"/>
        <w:ind w:firstLine="600" w:firstLineChars="200"/>
        <w:rPr>
          <w:rFonts w:ascii="仿宋_GB2312" w:eastAsia="仿宋_GB2312"/>
          <w:color w:val="000000"/>
          <w:sz w:val="30"/>
          <w:szCs w:val="30"/>
        </w:rPr>
      </w:pPr>
      <w:r>
        <w:rPr>
          <w:rFonts w:hint="eastAsia" w:ascii="仿宋_GB2312" w:eastAsia="仿宋_GB2312"/>
          <w:color w:val="000000"/>
          <w:sz w:val="30"/>
          <w:szCs w:val="30"/>
        </w:rPr>
        <w:t>3、爱惜赛场的设备和器材，尽量减少耗材的浪费。</w:t>
      </w:r>
    </w:p>
    <w:p>
      <w:pPr>
        <w:spacing w:line="560" w:lineRule="exact"/>
        <w:ind w:firstLine="600" w:firstLineChars="200"/>
        <w:rPr>
          <w:rFonts w:ascii="仿宋_GB2312" w:eastAsia="仿宋_GB2312"/>
          <w:color w:val="000000"/>
          <w:sz w:val="30"/>
          <w:szCs w:val="30"/>
        </w:rPr>
      </w:pPr>
      <w:r>
        <w:rPr>
          <w:rFonts w:hint="eastAsia" w:ascii="仿宋_GB2312" w:eastAsia="仿宋_GB2312"/>
          <w:color w:val="000000"/>
          <w:sz w:val="30"/>
          <w:szCs w:val="30"/>
        </w:rPr>
        <w:t>4、保持工作台及附近区域干净整洁。</w:t>
      </w:r>
    </w:p>
    <w:p>
      <w:pPr>
        <w:spacing w:line="560" w:lineRule="exact"/>
        <w:ind w:firstLine="600" w:firstLineChars="200"/>
        <w:rPr>
          <w:rFonts w:ascii="仿宋_GB2312" w:eastAsia="仿宋_GB2312"/>
          <w:color w:val="000000"/>
          <w:sz w:val="30"/>
          <w:szCs w:val="30"/>
        </w:rPr>
      </w:pPr>
      <w:r>
        <w:rPr>
          <w:rFonts w:hint="eastAsia" w:ascii="仿宋_GB2312" w:eastAsia="仿宋_GB2312"/>
          <w:color w:val="000000"/>
          <w:sz w:val="30"/>
          <w:szCs w:val="30"/>
        </w:rPr>
        <w:t>5、竞赛过程中如有异议，可向现场考评人员反映，不得扰乱赛场秩序。</w:t>
      </w:r>
    </w:p>
    <w:p>
      <w:pPr>
        <w:spacing w:line="560" w:lineRule="exact"/>
        <w:ind w:firstLine="600" w:firstLineChars="200"/>
        <w:rPr>
          <w:rFonts w:ascii="仿宋_GB2312" w:eastAsia="仿宋_GB2312"/>
          <w:color w:val="000000"/>
          <w:sz w:val="30"/>
          <w:szCs w:val="30"/>
        </w:rPr>
      </w:pPr>
      <w:r>
        <w:rPr>
          <w:rFonts w:hint="eastAsia" w:ascii="仿宋_GB2312" w:eastAsia="仿宋_GB2312"/>
          <w:color w:val="000000"/>
          <w:sz w:val="30"/>
          <w:szCs w:val="30"/>
        </w:rPr>
        <w:t>6、遵守赛场纪律，尊重考评人员，服从安排。</w:t>
      </w:r>
    </w:p>
    <w:p>
      <w:pPr>
        <w:spacing w:beforeLines="50" w:afterLines="50" w:line="560" w:lineRule="exact"/>
        <w:ind w:firstLine="602" w:firstLineChars="200"/>
        <w:textAlignment w:val="baseline"/>
        <w:rPr>
          <w:rFonts w:ascii="仿宋_GB2312" w:hAnsi="宋体" w:eastAsia="仿宋_GB2312"/>
          <w:b/>
          <w:color w:val="000000"/>
          <w:sz w:val="30"/>
          <w:szCs w:val="30"/>
          <w:lang w:val="zh-CN"/>
        </w:rPr>
      </w:pPr>
      <w:r>
        <w:rPr>
          <w:rFonts w:hint="eastAsia" w:ascii="仿宋_GB2312" w:hAnsi="宋体" w:eastAsia="仿宋_GB2312"/>
          <w:b/>
          <w:color w:val="000000"/>
          <w:sz w:val="30"/>
          <w:szCs w:val="30"/>
          <w:lang w:val="zh-CN"/>
        </w:rPr>
        <w:t>竞赛设备描述：</w:t>
      </w:r>
    </w:p>
    <w:p>
      <w:pPr>
        <w:spacing w:line="560" w:lineRule="exact"/>
        <w:ind w:firstLine="600" w:firstLineChars="200"/>
        <w:textAlignment w:val="baseline"/>
        <w:rPr>
          <w:rFonts w:ascii="仿宋_GB2312" w:hAnsi="宋体" w:eastAsia="仿宋_GB2312"/>
          <w:sz w:val="30"/>
          <w:szCs w:val="30"/>
        </w:rPr>
      </w:pPr>
      <w:r>
        <w:rPr>
          <w:rFonts w:hint="eastAsia" w:ascii="仿宋_GB2312" w:hAnsi="宋体" w:eastAsia="仿宋_GB2312"/>
          <w:sz w:val="30"/>
          <w:szCs w:val="30"/>
        </w:rPr>
        <w:t>“智能电梯装调与维护”竞赛在“THJDDT-5型电梯控制技术综合实训装置”上进行，装置由两台高仿真电梯模型和两套电气控制柜组成。电梯模型的所有信号全部通过航空电缆引入控制柜，每部电梯控制系统均由一台FX3U-64MR/ES-A PLC控制，PLC之间通过FX3U-485BD通信模块交换数据，电梯外呼统一管理，可实现电梯的群控功能。高仿真电梯模型由驱动装置、轿厢及对重装置、导向系统、门机机构、安全保护机构等组成；电气控制柜由可编程控制器、变频器、低压电气（继电器、接触器、热继电器、相序保护器）、智能考核系统等组成。选手根据竞赛任务书要求完成以下任务。</w:t>
      </w:r>
    </w:p>
    <w:p>
      <w:pPr>
        <w:spacing w:beforeLines="50" w:afterLines="50" w:line="560" w:lineRule="exact"/>
        <w:ind w:firstLine="602" w:firstLineChars="200"/>
        <w:textAlignment w:val="baseline"/>
        <w:rPr>
          <w:rFonts w:ascii="仿宋_GB2312" w:hAnsi="宋体" w:eastAsia="仿宋_GB2312"/>
          <w:b/>
          <w:color w:val="000000"/>
          <w:sz w:val="30"/>
          <w:szCs w:val="30"/>
          <w:lang w:val="zh-CN"/>
        </w:rPr>
      </w:pPr>
      <w:r>
        <w:rPr>
          <w:rFonts w:hint="eastAsia" w:ascii="仿宋_GB2312" w:hAnsi="宋体" w:eastAsia="仿宋_GB2312"/>
          <w:b/>
          <w:color w:val="000000"/>
          <w:sz w:val="30"/>
          <w:szCs w:val="30"/>
          <w:lang w:val="zh-CN"/>
        </w:rPr>
        <w:t>特别</w:t>
      </w:r>
      <w:r>
        <w:rPr>
          <w:rFonts w:ascii="仿宋_GB2312" w:hAnsi="宋体" w:eastAsia="仿宋_GB2312"/>
          <w:b/>
          <w:color w:val="000000"/>
          <w:sz w:val="30"/>
          <w:szCs w:val="30"/>
          <w:lang w:val="zh-CN"/>
        </w:rPr>
        <w:t>提示</w:t>
      </w:r>
      <w:r>
        <w:rPr>
          <w:rFonts w:hint="eastAsia" w:ascii="仿宋_GB2312" w:hAnsi="宋体" w:eastAsia="仿宋_GB2312"/>
          <w:b/>
          <w:color w:val="000000"/>
          <w:sz w:val="30"/>
          <w:szCs w:val="30"/>
          <w:lang w:val="zh-CN"/>
        </w:rPr>
        <w:t>：</w:t>
      </w:r>
    </w:p>
    <w:p>
      <w:pPr>
        <w:spacing w:line="560" w:lineRule="exact"/>
        <w:ind w:firstLine="600" w:firstLineChars="200"/>
        <w:textAlignment w:val="baseline"/>
        <w:rPr>
          <w:rFonts w:ascii="仿宋_GB2312" w:hAnsi="宋体" w:eastAsia="仿宋_GB2312"/>
          <w:sz w:val="30"/>
          <w:szCs w:val="30"/>
        </w:rPr>
      </w:pPr>
      <w:r>
        <w:rPr>
          <w:rFonts w:hint="eastAsia" w:ascii="仿宋_GB2312" w:hAnsi="宋体" w:eastAsia="仿宋_GB2312"/>
          <w:sz w:val="30"/>
          <w:szCs w:val="30"/>
        </w:rPr>
        <w:t>电梯属于国家特种设备之一，《特种设备安全法》第十四条规定“特种设备安全管理人员、检测人员和作业人员应当严格执行安全技术规范和管理制度，保证特种设备安全”。电梯装调与维护赛项选手的操作过程，包括但不限于以下不安全作业行为，裁判将作相应扣分处理：</w:t>
      </w:r>
    </w:p>
    <w:p>
      <w:pPr>
        <w:spacing w:line="560" w:lineRule="exact"/>
        <w:ind w:firstLine="600" w:firstLineChars="200"/>
        <w:textAlignment w:val="baseline"/>
        <w:rPr>
          <w:rFonts w:ascii="仿宋_GB2312" w:hAnsi="宋体" w:eastAsia="仿宋_GB2312"/>
          <w:sz w:val="30"/>
          <w:szCs w:val="30"/>
        </w:rPr>
      </w:pPr>
      <w:r>
        <w:rPr>
          <w:rFonts w:hint="eastAsia" w:ascii="仿宋_GB2312" w:hAnsi="宋体" w:eastAsia="仿宋_GB2312"/>
          <w:sz w:val="30"/>
          <w:szCs w:val="30"/>
        </w:rPr>
        <w:t>1.电梯正常运行过程中的违规操作（包括但不限于手扒门、选手肢体部分在井道内等）；</w:t>
      </w:r>
    </w:p>
    <w:p>
      <w:pPr>
        <w:spacing w:line="560" w:lineRule="exact"/>
        <w:ind w:firstLine="600" w:firstLineChars="200"/>
        <w:textAlignment w:val="baseline"/>
        <w:rPr>
          <w:rFonts w:ascii="仿宋_GB2312" w:hAnsi="宋体" w:eastAsia="仿宋_GB2312"/>
          <w:sz w:val="30"/>
          <w:szCs w:val="30"/>
        </w:rPr>
      </w:pPr>
      <w:r>
        <w:rPr>
          <w:rFonts w:hint="eastAsia" w:ascii="仿宋_GB2312" w:hAnsi="宋体" w:eastAsia="仿宋_GB2312"/>
          <w:sz w:val="30"/>
          <w:szCs w:val="30"/>
        </w:rPr>
        <w:t>2.短接‘安全回路’‘门锁回路’的部分或全部并快车运行电梯；</w:t>
      </w:r>
    </w:p>
    <w:p>
      <w:pPr>
        <w:spacing w:line="560" w:lineRule="exact"/>
        <w:ind w:firstLine="600" w:firstLineChars="200"/>
        <w:textAlignment w:val="baseline"/>
        <w:rPr>
          <w:rFonts w:ascii="仿宋_GB2312" w:hAnsi="宋体" w:eastAsia="仿宋_GB2312"/>
          <w:sz w:val="30"/>
          <w:szCs w:val="30"/>
        </w:rPr>
      </w:pPr>
      <w:r>
        <w:rPr>
          <w:rFonts w:hint="eastAsia" w:ascii="仿宋_GB2312" w:hAnsi="宋体" w:eastAsia="仿宋_GB2312"/>
          <w:sz w:val="30"/>
          <w:szCs w:val="30"/>
        </w:rPr>
        <w:t>3.电梯在开门状态下快车运行的；</w:t>
      </w:r>
    </w:p>
    <w:p>
      <w:pPr>
        <w:spacing w:line="560" w:lineRule="exact"/>
        <w:ind w:firstLine="600" w:firstLineChars="200"/>
        <w:textAlignment w:val="baseline"/>
        <w:rPr>
          <w:rFonts w:ascii="仿宋_GB2312" w:hAnsi="宋体" w:eastAsia="仿宋_GB2312"/>
          <w:sz w:val="30"/>
          <w:szCs w:val="30"/>
        </w:rPr>
      </w:pPr>
      <w:r>
        <w:rPr>
          <w:rFonts w:hint="eastAsia" w:ascii="仿宋_GB2312" w:hAnsi="宋体" w:eastAsia="仿宋_GB2312"/>
          <w:sz w:val="30"/>
          <w:szCs w:val="30"/>
        </w:rPr>
        <w:t>4.在控制系统主电源未关闭并未确认无电量（零能量）的情况下用螺丝刀等工具进行电气线路作业；</w:t>
      </w:r>
    </w:p>
    <w:p>
      <w:pPr>
        <w:spacing w:beforeLines="50" w:afterLines="50" w:line="560" w:lineRule="exact"/>
        <w:ind w:firstLine="602" w:firstLineChars="200"/>
        <w:textAlignment w:val="baseline"/>
        <w:rPr>
          <w:rFonts w:ascii="仿宋_GB2312" w:hAnsi="宋体" w:eastAsia="仿宋_GB2312"/>
          <w:b/>
          <w:color w:val="000000"/>
          <w:sz w:val="30"/>
          <w:szCs w:val="30"/>
          <w:lang w:val="zh-CN"/>
        </w:rPr>
      </w:pPr>
      <w:r>
        <w:rPr>
          <w:rFonts w:hint="eastAsia" w:ascii="仿宋_GB2312" w:hAnsi="宋体" w:eastAsia="仿宋_GB2312"/>
          <w:b/>
          <w:color w:val="000000"/>
          <w:sz w:val="30"/>
          <w:szCs w:val="30"/>
          <w:lang w:val="zh-CN"/>
        </w:rPr>
        <w:t>任务一：电梯电气控制原理图设计与绘制</w:t>
      </w:r>
    </w:p>
    <w:p>
      <w:pPr>
        <w:spacing w:line="560" w:lineRule="exact"/>
        <w:ind w:firstLine="600" w:firstLineChars="200"/>
        <w:textAlignment w:val="baseline"/>
        <w:rPr>
          <w:rFonts w:ascii="仿宋_GB2312" w:hAnsi="宋体" w:eastAsia="仿宋_GB2312"/>
          <w:color w:val="000000"/>
          <w:sz w:val="30"/>
          <w:szCs w:val="30"/>
        </w:rPr>
      </w:pPr>
      <w:r>
        <w:rPr>
          <w:rFonts w:hint="eastAsia" w:ascii="仿宋_GB2312" w:hAnsi="宋体" w:eastAsia="仿宋_GB2312"/>
          <w:color w:val="000000"/>
          <w:sz w:val="30"/>
          <w:szCs w:val="30"/>
        </w:rPr>
        <w:t>参赛选手根据所提供的相关设备和任务书中的电梯控制功能要求，在指定专用绘图页上手工绘制电路图, 电路设计图纸中的图形符号和文字描述，应符合“JBT 2739-2008 工业机械电气图用图形符号”技术规范。</w:t>
      </w:r>
    </w:p>
    <w:p>
      <w:pPr>
        <w:spacing w:line="560" w:lineRule="exact"/>
        <w:ind w:firstLine="600" w:firstLineChars="200"/>
        <w:textAlignment w:val="baseline"/>
        <w:rPr>
          <w:rFonts w:ascii="仿宋_GB2312" w:hAnsi="宋体" w:eastAsia="仿宋_GB2312"/>
          <w:color w:val="000000"/>
          <w:sz w:val="30"/>
          <w:szCs w:val="30"/>
        </w:rPr>
      </w:pPr>
      <w:r>
        <w:rPr>
          <w:rFonts w:hint="eastAsia" w:ascii="仿宋_GB2312" w:hAnsi="宋体" w:eastAsia="仿宋_GB2312"/>
          <w:color w:val="000000"/>
          <w:sz w:val="30"/>
          <w:szCs w:val="30"/>
        </w:rPr>
        <w:t>1.电梯主电路、变频器主电路及控制电路设计与绘制：含交流接触器、相序保护器、熔断器、变频器、曳引机、热继电器，不含PLC控制电路，其中部分图形符号和文字描述已提供。</w:t>
      </w:r>
    </w:p>
    <w:p>
      <w:pPr>
        <w:spacing w:line="560" w:lineRule="exact"/>
        <w:ind w:firstLine="600" w:firstLineChars="200"/>
        <w:textAlignment w:val="baseline"/>
        <w:rPr>
          <w:rFonts w:ascii="仿宋_GB2312" w:hAnsi="宋体" w:eastAsia="仿宋_GB2312"/>
          <w:color w:val="000000"/>
          <w:sz w:val="30"/>
          <w:szCs w:val="30"/>
        </w:rPr>
      </w:pPr>
      <w:r>
        <w:rPr>
          <w:rFonts w:hint="eastAsia" w:ascii="仿宋_GB2312" w:hAnsi="宋体" w:eastAsia="仿宋_GB2312"/>
          <w:color w:val="000000"/>
          <w:sz w:val="30"/>
          <w:szCs w:val="30"/>
        </w:rPr>
        <w:t>2.电梯开关门电气控制电路设计及绘制：含电阻器、电梯门机、开门继电器触点、关门继电器触点、关门减速开关。</w:t>
      </w:r>
    </w:p>
    <w:p>
      <w:pPr>
        <w:spacing w:beforeLines="50" w:afterLines="50" w:line="560" w:lineRule="exact"/>
        <w:ind w:firstLine="602" w:firstLineChars="200"/>
        <w:textAlignment w:val="baseline"/>
        <w:rPr>
          <w:rFonts w:ascii="仿宋_GB2312" w:hAnsi="宋体" w:eastAsia="仿宋_GB2312"/>
          <w:b/>
          <w:color w:val="000000"/>
          <w:sz w:val="30"/>
          <w:szCs w:val="30"/>
          <w:lang w:val="zh-CN"/>
        </w:rPr>
      </w:pPr>
      <w:r>
        <w:rPr>
          <w:rFonts w:hint="eastAsia" w:ascii="仿宋_GB2312" w:hAnsi="宋体" w:eastAsia="仿宋_GB2312"/>
          <w:b/>
          <w:color w:val="000000"/>
          <w:sz w:val="30"/>
          <w:szCs w:val="30"/>
          <w:lang w:val="zh-CN"/>
        </w:rPr>
        <w:t>任务二：电梯机构安装、调整与线路连接</w:t>
      </w:r>
    </w:p>
    <w:p>
      <w:pPr>
        <w:spacing w:line="560" w:lineRule="exact"/>
        <w:ind w:firstLine="600" w:firstLineChars="200"/>
        <w:textAlignment w:val="baseline"/>
        <w:rPr>
          <w:rFonts w:ascii="仿宋_GB2312" w:hAnsi="宋体" w:eastAsia="仿宋_GB2312"/>
          <w:color w:val="000000"/>
          <w:sz w:val="30"/>
          <w:szCs w:val="30"/>
        </w:rPr>
      </w:pPr>
      <w:r>
        <w:rPr>
          <w:rFonts w:hint="eastAsia" w:ascii="仿宋_GB2312" w:hAnsi="宋体" w:eastAsia="仿宋_GB2312"/>
          <w:color w:val="000000"/>
          <w:sz w:val="30"/>
          <w:szCs w:val="30"/>
        </w:rPr>
        <w:t>根据所提供的设备及部件，完成下列电梯机构的安装、调整与线路连接（包括呼梯盒、井道信息系统、平层检测机构、限速器钢丝绳、层门开合传动机构等），电梯模型各部件相应位置示意图如图1。</w:t>
      </w:r>
    </w:p>
    <w:p>
      <w:pPr>
        <w:spacing w:line="440" w:lineRule="atLeast"/>
        <w:ind w:firstLine="480" w:firstLineChars="200"/>
        <w:textAlignment w:val="baseline"/>
        <w:rPr>
          <w:rFonts w:ascii="仿宋_GB2312" w:hAnsi="宋体" w:eastAsia="仿宋_GB2312"/>
          <w:color w:val="000000"/>
          <w:sz w:val="24"/>
          <w:szCs w:val="24"/>
        </w:rPr>
      </w:pPr>
    </w:p>
    <w:p>
      <w:pPr>
        <w:spacing w:line="440" w:lineRule="atLeast"/>
        <w:ind w:firstLine="480" w:firstLineChars="200"/>
        <w:textAlignment w:val="baseline"/>
        <w:rPr>
          <w:rFonts w:ascii="仿宋_GB2312" w:hAnsi="宋体" w:eastAsia="仿宋_GB2312"/>
          <w:color w:val="000000"/>
          <w:sz w:val="24"/>
          <w:szCs w:val="24"/>
        </w:rPr>
      </w:pPr>
    </w:p>
    <w:p>
      <w:pPr>
        <w:spacing w:line="440" w:lineRule="atLeast"/>
        <w:jc w:val="left"/>
        <w:textAlignment w:val="baseline"/>
        <w:rPr>
          <w:color w:val="000000"/>
        </w:rPr>
      </w:pPr>
      <w:r>
        <w:rPr>
          <w:color w:val="000000"/>
        </w:rPr>
        <w:drawing>
          <wp:inline distT="0" distB="0" distL="0" distR="0">
            <wp:extent cx="5066030" cy="4864735"/>
            <wp:effectExtent l="19050" t="0" r="1270" b="0"/>
            <wp:docPr id="4" name="图片 1" descr="图形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图形1"/>
                    <pic:cNvPicPr>
                      <a:picLocks noChangeAspect="1" noChangeArrowheads="1"/>
                    </pic:cNvPicPr>
                  </pic:nvPicPr>
                  <pic:blipFill>
                    <a:blip r:embed="rId23" cstate="print"/>
                    <a:srcRect/>
                    <a:stretch>
                      <a:fillRect/>
                    </a:stretch>
                  </pic:blipFill>
                  <pic:spPr>
                    <a:xfrm>
                      <a:off x="0" y="0"/>
                      <a:ext cx="5067738" cy="4866636"/>
                    </a:xfrm>
                    <a:prstGeom prst="rect">
                      <a:avLst/>
                    </a:prstGeom>
                    <a:noFill/>
                    <a:ln w="9525">
                      <a:noFill/>
                      <a:miter lim="800000"/>
                      <a:headEnd/>
                      <a:tailEnd/>
                    </a:ln>
                  </pic:spPr>
                </pic:pic>
              </a:graphicData>
            </a:graphic>
          </wp:inline>
        </w:drawing>
      </w:r>
    </w:p>
    <w:p>
      <w:pPr>
        <w:spacing w:line="400" w:lineRule="atLeast"/>
        <w:ind w:firstLine="480" w:firstLineChars="200"/>
        <w:jc w:val="center"/>
        <w:textAlignment w:val="baseline"/>
        <w:rPr>
          <w:rFonts w:ascii="宋体" w:hAnsi="宋体" w:cs="宋体"/>
          <w:b/>
          <w:color w:val="000000"/>
          <w:sz w:val="24"/>
          <w:szCs w:val="24"/>
        </w:rPr>
      </w:pPr>
      <w:r>
        <w:rPr>
          <w:rFonts w:hint="eastAsia" w:ascii="宋体" w:hAnsi="宋体" w:cs="宋体"/>
          <w:color w:val="000000"/>
          <w:sz w:val="24"/>
          <w:szCs w:val="24"/>
        </w:rPr>
        <w:t>图1 电梯模型各部件相应位置示意图</w:t>
      </w:r>
    </w:p>
    <w:p>
      <w:pPr>
        <w:spacing w:line="560" w:lineRule="atLeast"/>
        <w:ind w:firstLine="602" w:firstLineChars="200"/>
        <w:textAlignment w:val="baseline"/>
        <w:rPr>
          <w:rFonts w:ascii="仿宋_GB2312" w:hAnsi="宋体" w:eastAsia="仿宋_GB2312"/>
          <w:b/>
          <w:color w:val="000000"/>
          <w:sz w:val="30"/>
          <w:szCs w:val="30"/>
        </w:rPr>
      </w:pPr>
      <w:r>
        <w:rPr>
          <w:rFonts w:hint="eastAsia" w:ascii="仿宋_GB2312" w:hAnsi="宋体" w:eastAsia="仿宋_GB2312"/>
          <w:b/>
          <w:color w:val="000000"/>
          <w:sz w:val="30"/>
          <w:szCs w:val="30"/>
        </w:rPr>
        <w:t>1.操作箱与呼梯盒的安装与接线</w:t>
      </w:r>
    </w:p>
    <w:p>
      <w:pPr>
        <w:spacing w:line="560" w:lineRule="atLeast"/>
        <w:ind w:firstLine="600" w:firstLineChars="200"/>
        <w:textAlignment w:val="baseline"/>
        <w:rPr>
          <w:rFonts w:ascii="仿宋_GB2312" w:hAnsi="宋体" w:eastAsia="仿宋_GB2312"/>
          <w:color w:val="000000"/>
          <w:sz w:val="30"/>
          <w:szCs w:val="30"/>
        </w:rPr>
      </w:pPr>
      <w:r>
        <w:rPr>
          <w:rFonts w:hint="eastAsia" w:ascii="仿宋_GB2312" w:hAnsi="宋体" w:eastAsia="仿宋_GB2312"/>
          <w:color w:val="000000"/>
          <w:sz w:val="30"/>
          <w:szCs w:val="30"/>
        </w:rPr>
        <w:t>按照图1标识的位置，将操作箱、2楼和3楼呼梯盒安装在相应位置，并完成按钮的接线与调试。</w:t>
      </w:r>
    </w:p>
    <w:p>
      <w:pPr>
        <w:spacing w:line="560" w:lineRule="atLeast"/>
        <w:ind w:firstLine="602" w:firstLineChars="200"/>
        <w:textAlignment w:val="baseline"/>
        <w:rPr>
          <w:rFonts w:ascii="仿宋_GB2312" w:hAnsi="宋体" w:eastAsia="仿宋_GB2312"/>
          <w:b/>
          <w:color w:val="000000"/>
          <w:sz w:val="30"/>
          <w:szCs w:val="30"/>
        </w:rPr>
      </w:pPr>
      <w:r>
        <w:rPr>
          <w:rFonts w:hint="eastAsia" w:ascii="仿宋_GB2312" w:hAnsi="宋体" w:eastAsia="仿宋_GB2312"/>
          <w:b/>
          <w:color w:val="000000"/>
          <w:sz w:val="30"/>
          <w:szCs w:val="30"/>
        </w:rPr>
        <w:t>2.井道信息系统安装与接线</w:t>
      </w:r>
    </w:p>
    <w:p>
      <w:pPr>
        <w:spacing w:line="560" w:lineRule="atLeast"/>
        <w:ind w:firstLine="600" w:firstLineChars="200"/>
        <w:textAlignment w:val="baseline"/>
        <w:rPr>
          <w:rFonts w:ascii="仿宋_GB2312" w:hAnsi="宋体" w:eastAsia="仿宋_GB2312"/>
          <w:color w:val="000000"/>
          <w:sz w:val="30"/>
          <w:szCs w:val="30"/>
        </w:rPr>
      </w:pPr>
      <w:r>
        <w:rPr>
          <w:rFonts w:hint="eastAsia" w:ascii="仿宋_GB2312" w:hAnsi="宋体" w:eastAsia="仿宋_GB2312"/>
          <w:color w:val="000000"/>
          <w:sz w:val="30"/>
          <w:szCs w:val="30"/>
        </w:rPr>
        <w:t>根据电梯实际工作要求及图1标识的位置，正确安装1层、2层、3层和4层减速感应器及感应器支架，将支架调整到合适的位置，并完成线路的连接。</w:t>
      </w:r>
    </w:p>
    <w:p>
      <w:pPr>
        <w:spacing w:line="560" w:lineRule="atLeast"/>
        <w:ind w:firstLine="602" w:firstLineChars="200"/>
        <w:textAlignment w:val="baseline"/>
        <w:rPr>
          <w:rFonts w:ascii="仿宋_GB2312" w:hAnsi="宋体" w:eastAsia="仿宋_GB2312"/>
          <w:b/>
          <w:color w:val="000000"/>
          <w:sz w:val="30"/>
          <w:szCs w:val="30"/>
        </w:rPr>
      </w:pPr>
      <w:r>
        <w:rPr>
          <w:rFonts w:hint="eastAsia" w:ascii="仿宋_GB2312" w:hAnsi="宋体" w:eastAsia="仿宋_GB2312"/>
          <w:b/>
          <w:color w:val="000000"/>
          <w:sz w:val="30"/>
          <w:szCs w:val="30"/>
        </w:rPr>
        <w:t>3.平层检测机构的安装与调整</w:t>
      </w:r>
    </w:p>
    <w:p>
      <w:pPr>
        <w:spacing w:line="560" w:lineRule="atLeast"/>
        <w:ind w:firstLine="600" w:firstLineChars="200"/>
        <w:textAlignment w:val="baseline"/>
        <w:rPr>
          <w:rFonts w:ascii="仿宋_GB2312" w:hAnsi="宋体" w:eastAsia="仿宋_GB2312"/>
          <w:color w:val="000000"/>
          <w:sz w:val="30"/>
          <w:szCs w:val="30"/>
        </w:rPr>
      </w:pPr>
      <w:r>
        <w:rPr>
          <w:rFonts w:hint="eastAsia" w:ascii="仿宋_GB2312" w:hAnsi="宋体" w:eastAsia="仿宋_GB2312"/>
          <w:color w:val="000000"/>
          <w:sz w:val="30"/>
          <w:szCs w:val="30"/>
        </w:rPr>
        <w:t>根据双稳态开关的工作特性及图1标识的位置，正确安装1层、2层、3层和4层感应磁钢及磁钢支架，并调整到合适的位置。</w:t>
      </w:r>
    </w:p>
    <w:p>
      <w:pPr>
        <w:spacing w:line="560" w:lineRule="atLeast"/>
        <w:ind w:firstLine="602" w:firstLineChars="200"/>
        <w:textAlignment w:val="baseline"/>
        <w:rPr>
          <w:rFonts w:ascii="仿宋_GB2312" w:hAnsi="宋体" w:eastAsia="仿宋_GB2312"/>
          <w:b/>
          <w:color w:val="000000"/>
          <w:sz w:val="30"/>
          <w:szCs w:val="30"/>
        </w:rPr>
      </w:pPr>
      <w:r>
        <w:rPr>
          <w:rFonts w:hint="eastAsia" w:ascii="仿宋_GB2312" w:hAnsi="宋体" w:eastAsia="仿宋_GB2312"/>
          <w:b/>
          <w:color w:val="000000"/>
          <w:sz w:val="30"/>
          <w:szCs w:val="30"/>
        </w:rPr>
        <w:t>4.限速器钢丝绳的安装与调整</w:t>
      </w:r>
    </w:p>
    <w:p>
      <w:pPr>
        <w:spacing w:line="560" w:lineRule="atLeast"/>
        <w:ind w:firstLine="600" w:firstLineChars="200"/>
        <w:textAlignment w:val="baseline"/>
        <w:rPr>
          <w:rFonts w:ascii="仿宋_GB2312" w:hAnsi="宋体" w:eastAsia="仿宋_GB2312"/>
          <w:color w:val="000000"/>
          <w:sz w:val="30"/>
          <w:szCs w:val="30"/>
        </w:rPr>
      </w:pPr>
      <w:r>
        <w:rPr>
          <w:rFonts w:hint="eastAsia" w:ascii="仿宋_GB2312" w:hAnsi="宋体" w:eastAsia="仿宋_GB2312"/>
          <w:color w:val="000000"/>
          <w:sz w:val="30"/>
          <w:szCs w:val="30"/>
        </w:rPr>
        <w:t>根据限速器实际工作要求及图1标识的位置，正确安装限速器钢丝绳，按照图2完成钢丝绳的连接及绳头制作，并调整钢丝绳长度、安全钳开关及断绳开关的位置。</w:t>
      </w:r>
    </w:p>
    <w:p>
      <w:pPr>
        <w:spacing w:line="440" w:lineRule="atLeast"/>
        <w:ind w:firstLine="480" w:firstLineChars="200"/>
        <w:jc w:val="center"/>
        <w:textAlignment w:val="baseline"/>
        <w:rPr>
          <w:rFonts w:ascii="仿宋_GB2312" w:hAnsi="宋体" w:eastAsia="仿宋_GB2312"/>
          <w:color w:val="000000"/>
          <w:sz w:val="24"/>
          <w:szCs w:val="24"/>
        </w:rPr>
      </w:pPr>
      <w:r>
        <w:rPr>
          <w:rFonts w:hint="eastAsia" w:ascii="宋体" w:hAnsi="宋体" w:cs="宋体"/>
          <w:color w:val="000000"/>
          <w:sz w:val="24"/>
          <w:szCs w:val="24"/>
        </w:rPr>
        <w:drawing>
          <wp:anchor distT="0" distB="0" distL="114300" distR="114300" simplePos="0" relativeHeight="251641856" behindDoc="0" locked="0" layoutInCell="1" allowOverlap="1">
            <wp:simplePos x="0" y="0"/>
            <wp:positionH relativeFrom="column">
              <wp:posOffset>1413510</wp:posOffset>
            </wp:positionH>
            <wp:positionV relativeFrom="paragraph">
              <wp:posOffset>1666240</wp:posOffset>
            </wp:positionV>
            <wp:extent cx="2419350" cy="6115685"/>
            <wp:effectExtent l="1866900" t="0" r="1847850" b="0"/>
            <wp:wrapNone/>
            <wp:docPr id="5" name="图片 30" descr="THJDDT-5型电梯控制技术综合实训装置电气原理图2007 Model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0" descr="THJDDT-5型电梯控制技术综合实训装置电气原理图2007 Model (1)"/>
                    <pic:cNvPicPr>
                      <a:picLocks noChangeAspect="1" noChangeArrowheads="1"/>
                    </pic:cNvPicPr>
                  </pic:nvPicPr>
                  <pic:blipFill>
                    <a:blip r:embed="rId24" cstate="print"/>
                    <a:srcRect l="25241" t="1329" r="21031" b="2928"/>
                    <a:stretch>
                      <a:fillRect/>
                    </a:stretch>
                  </pic:blipFill>
                  <pic:spPr>
                    <a:xfrm rot="16200000">
                      <a:off x="0" y="0"/>
                      <a:ext cx="2419350" cy="6115685"/>
                    </a:xfrm>
                    <a:prstGeom prst="rect">
                      <a:avLst/>
                    </a:prstGeom>
                    <a:noFill/>
                    <a:ln w="9525">
                      <a:noFill/>
                      <a:miter lim="800000"/>
                      <a:headEnd/>
                      <a:tailEnd/>
                    </a:ln>
                  </pic:spPr>
                </pic:pic>
              </a:graphicData>
            </a:graphic>
          </wp:anchor>
        </w:drawing>
      </w:r>
      <w:r>
        <w:rPr>
          <w:rFonts w:hint="eastAsia" w:ascii="宋体" w:hAnsi="宋体" w:cs="宋体"/>
          <w:color w:val="000000"/>
          <w:sz w:val="24"/>
          <w:szCs w:val="24"/>
        </w:rPr>
        <w:drawing>
          <wp:inline distT="0" distB="0" distL="0" distR="0">
            <wp:extent cx="3771900" cy="2038350"/>
            <wp:effectExtent l="19050" t="0" r="0" b="0"/>
            <wp:docPr id="6" name="图片 2" descr="图形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descr="图形2"/>
                    <pic:cNvPicPr>
                      <a:picLocks noChangeAspect="1" noChangeArrowheads="1"/>
                    </pic:cNvPicPr>
                  </pic:nvPicPr>
                  <pic:blipFill>
                    <a:blip r:embed="rId25" cstate="print"/>
                    <a:srcRect/>
                    <a:stretch>
                      <a:fillRect/>
                    </a:stretch>
                  </pic:blipFill>
                  <pic:spPr>
                    <a:xfrm>
                      <a:off x="0" y="0"/>
                      <a:ext cx="3771900" cy="2038350"/>
                    </a:xfrm>
                    <a:prstGeom prst="rect">
                      <a:avLst/>
                    </a:prstGeom>
                    <a:noFill/>
                    <a:ln w="9525">
                      <a:noFill/>
                      <a:miter lim="800000"/>
                      <a:headEnd/>
                      <a:tailEnd/>
                    </a:ln>
                  </pic:spPr>
                </pic:pic>
              </a:graphicData>
            </a:graphic>
          </wp:inline>
        </w:drawing>
      </w:r>
    </w:p>
    <w:p>
      <w:pPr>
        <w:spacing w:line="400" w:lineRule="atLeast"/>
        <w:ind w:firstLine="480" w:firstLineChars="200"/>
        <w:jc w:val="center"/>
        <w:textAlignment w:val="baseline"/>
        <w:rPr>
          <w:rFonts w:ascii="宋体" w:hAnsi="宋体" w:cs="宋体"/>
          <w:color w:val="000000"/>
          <w:sz w:val="24"/>
          <w:szCs w:val="24"/>
        </w:rPr>
      </w:pPr>
      <w:r>
        <w:rPr>
          <w:rFonts w:hint="eastAsia" w:ascii="宋体" w:hAnsi="宋体" w:cs="宋体"/>
          <w:color w:val="000000"/>
          <w:sz w:val="24"/>
          <w:szCs w:val="24"/>
        </w:rPr>
        <w:t>图2 钢丝绳连接示意图</w:t>
      </w:r>
    </w:p>
    <w:p>
      <w:pPr>
        <w:spacing w:line="560" w:lineRule="exact"/>
        <w:ind w:firstLine="602" w:firstLineChars="200"/>
        <w:textAlignment w:val="baseline"/>
        <w:rPr>
          <w:rFonts w:ascii="仿宋_GB2312" w:hAnsi="宋体" w:eastAsia="仿宋_GB2312"/>
          <w:b/>
          <w:color w:val="000000"/>
          <w:sz w:val="30"/>
          <w:szCs w:val="30"/>
        </w:rPr>
      </w:pPr>
      <w:r>
        <w:rPr>
          <w:rFonts w:hint="eastAsia" w:ascii="仿宋_GB2312" w:hAnsi="宋体" w:eastAsia="仿宋_GB2312"/>
          <w:b/>
          <w:color w:val="000000"/>
          <w:sz w:val="30"/>
          <w:szCs w:val="30"/>
        </w:rPr>
        <w:t>5. 电梯门机传动机构安装与调整</w:t>
      </w:r>
    </w:p>
    <w:p>
      <w:pPr>
        <w:spacing w:line="560" w:lineRule="exact"/>
        <w:ind w:firstLine="600" w:firstLineChars="200"/>
        <w:textAlignment w:val="baseline"/>
        <w:rPr>
          <w:rFonts w:ascii="仿宋_GB2312" w:hAnsi="宋体" w:eastAsia="仿宋_GB2312"/>
          <w:color w:val="000000"/>
          <w:sz w:val="30"/>
          <w:szCs w:val="30"/>
        </w:rPr>
      </w:pPr>
      <w:bookmarkStart w:id="1" w:name="OLE_LINK1"/>
      <w:r>
        <w:rPr>
          <w:rFonts w:hint="eastAsia" w:ascii="仿宋_GB2312" w:hAnsi="宋体" w:eastAsia="仿宋_GB2312"/>
          <w:color w:val="000000"/>
          <w:sz w:val="30"/>
          <w:szCs w:val="30"/>
        </w:rPr>
        <w:t>根据层门的实际工作要求，按照图3完成2楼层门开合传动机构已标注部分的安装，并调整好传动钢丝绳和拉伸弹簧的长度。</w:t>
      </w:r>
    </w:p>
    <w:p>
      <w:pPr>
        <w:spacing w:line="560" w:lineRule="exact"/>
        <w:ind w:firstLine="420" w:firstLineChars="200"/>
        <w:textAlignment w:val="baseline"/>
      </w:pPr>
    </w:p>
    <w:p>
      <w:pPr>
        <w:spacing w:line="560" w:lineRule="exact"/>
        <w:ind w:firstLine="422" w:firstLineChars="200"/>
        <w:textAlignment w:val="baseline"/>
        <w:rPr>
          <w:rFonts w:ascii="仿宋_GB2312" w:hAnsi="宋体" w:eastAsia="仿宋_GB2312"/>
          <w:b/>
          <w:color w:val="000000"/>
          <w:szCs w:val="21"/>
        </w:rPr>
      </w:pPr>
    </w:p>
    <w:p>
      <w:pPr>
        <w:spacing w:line="400" w:lineRule="atLeast"/>
        <w:ind w:firstLine="422" w:firstLineChars="200"/>
        <w:jc w:val="center"/>
        <w:textAlignment w:val="baseline"/>
        <w:rPr>
          <w:rFonts w:ascii="仿宋_GB2312" w:hAnsi="宋体" w:eastAsia="仿宋_GB2312"/>
          <w:b/>
          <w:color w:val="000000"/>
          <w:szCs w:val="21"/>
        </w:rPr>
      </w:pPr>
    </w:p>
    <w:p>
      <w:pPr>
        <w:spacing w:line="400" w:lineRule="atLeast"/>
        <w:ind w:firstLine="422" w:firstLineChars="200"/>
        <w:jc w:val="center"/>
        <w:textAlignment w:val="baseline"/>
        <w:rPr>
          <w:rFonts w:ascii="仿宋_GB2312" w:hAnsi="宋体" w:eastAsia="仿宋_GB2312"/>
          <w:b/>
          <w:color w:val="000000"/>
          <w:szCs w:val="21"/>
        </w:rPr>
      </w:pPr>
    </w:p>
    <w:p>
      <w:pPr>
        <w:spacing w:line="400" w:lineRule="atLeast"/>
        <w:ind w:firstLine="422" w:firstLineChars="200"/>
        <w:jc w:val="center"/>
        <w:textAlignment w:val="baseline"/>
        <w:rPr>
          <w:rFonts w:ascii="仿宋_GB2312" w:hAnsi="宋体" w:eastAsia="仿宋_GB2312"/>
          <w:b/>
          <w:color w:val="000000"/>
          <w:szCs w:val="21"/>
        </w:rPr>
      </w:pPr>
    </w:p>
    <w:p>
      <w:pPr>
        <w:spacing w:line="400" w:lineRule="atLeast"/>
        <w:ind w:firstLine="422" w:firstLineChars="200"/>
        <w:jc w:val="center"/>
        <w:textAlignment w:val="baseline"/>
        <w:rPr>
          <w:rFonts w:ascii="仿宋_GB2312" w:hAnsi="宋体" w:eastAsia="仿宋_GB2312"/>
          <w:b/>
          <w:color w:val="000000"/>
          <w:szCs w:val="21"/>
        </w:rPr>
      </w:pPr>
    </w:p>
    <w:p>
      <w:pPr>
        <w:spacing w:line="400" w:lineRule="atLeast"/>
        <w:ind w:firstLine="422" w:firstLineChars="200"/>
        <w:jc w:val="center"/>
        <w:textAlignment w:val="baseline"/>
        <w:rPr>
          <w:rFonts w:ascii="仿宋_GB2312" w:hAnsi="宋体" w:eastAsia="仿宋_GB2312"/>
          <w:b/>
          <w:color w:val="000000"/>
          <w:szCs w:val="21"/>
        </w:rPr>
      </w:pPr>
    </w:p>
    <w:p>
      <w:pPr>
        <w:spacing w:line="400" w:lineRule="atLeast"/>
        <w:ind w:firstLine="422" w:firstLineChars="200"/>
        <w:jc w:val="center"/>
        <w:textAlignment w:val="baseline"/>
        <w:rPr>
          <w:rFonts w:ascii="仿宋_GB2312" w:hAnsi="宋体" w:eastAsia="仿宋_GB2312"/>
          <w:b/>
          <w:color w:val="000000"/>
          <w:szCs w:val="21"/>
        </w:rPr>
      </w:pPr>
    </w:p>
    <w:p>
      <w:pPr>
        <w:spacing w:line="400" w:lineRule="atLeast"/>
        <w:ind w:firstLine="422" w:firstLineChars="200"/>
        <w:jc w:val="center"/>
        <w:textAlignment w:val="baseline"/>
        <w:rPr>
          <w:rFonts w:ascii="仿宋_GB2312" w:hAnsi="宋体" w:eastAsia="仿宋_GB2312"/>
          <w:b/>
          <w:color w:val="000000"/>
          <w:szCs w:val="21"/>
        </w:rPr>
      </w:pPr>
    </w:p>
    <w:p>
      <w:pPr>
        <w:spacing w:line="400" w:lineRule="atLeast"/>
        <w:ind w:firstLine="480" w:firstLineChars="200"/>
        <w:jc w:val="center"/>
        <w:textAlignment w:val="baseline"/>
        <w:rPr>
          <w:rFonts w:ascii="宋体" w:hAnsi="宋体" w:cs="宋体"/>
          <w:bCs/>
          <w:color w:val="000000"/>
          <w:sz w:val="24"/>
          <w:szCs w:val="24"/>
        </w:rPr>
      </w:pPr>
      <w:r>
        <w:rPr>
          <w:rFonts w:hint="eastAsia" w:ascii="宋体" w:hAnsi="宋体" w:cs="宋体"/>
          <w:bCs/>
          <w:color w:val="000000"/>
          <w:sz w:val="24"/>
          <w:szCs w:val="24"/>
        </w:rPr>
        <w:t>图3 层门开合传动机构安装示意图</w:t>
      </w:r>
    </w:p>
    <w:p>
      <w:pPr>
        <w:spacing w:beforeLines="50" w:afterLines="50" w:line="560" w:lineRule="exact"/>
        <w:ind w:firstLine="602" w:firstLineChars="200"/>
        <w:textAlignment w:val="baseline"/>
        <w:rPr>
          <w:rFonts w:ascii="仿宋_GB2312" w:hAnsi="宋体" w:eastAsia="仿宋_GB2312"/>
          <w:b/>
          <w:color w:val="000000"/>
          <w:sz w:val="30"/>
          <w:szCs w:val="30"/>
        </w:rPr>
      </w:pPr>
    </w:p>
    <w:p>
      <w:pPr>
        <w:spacing w:beforeLines="50" w:afterLines="50" w:line="560" w:lineRule="exact"/>
        <w:ind w:firstLine="602" w:firstLineChars="200"/>
        <w:textAlignment w:val="baseline"/>
        <w:rPr>
          <w:rFonts w:ascii="仿宋_GB2312" w:hAnsi="宋体" w:eastAsia="仿宋_GB2312"/>
          <w:b/>
          <w:color w:val="000000"/>
          <w:sz w:val="30"/>
          <w:szCs w:val="30"/>
          <w:lang w:val="zh-CN"/>
        </w:rPr>
      </w:pPr>
      <w:r>
        <w:rPr>
          <w:rFonts w:hint="eastAsia" w:ascii="仿宋_GB2312" w:hAnsi="宋体" w:eastAsia="仿宋_GB2312"/>
          <w:b/>
          <w:color w:val="000000"/>
          <w:sz w:val="30"/>
          <w:szCs w:val="30"/>
          <w:lang w:val="zh-CN"/>
        </w:rPr>
        <w:t>任务</w:t>
      </w:r>
      <w:bookmarkEnd w:id="1"/>
      <w:r>
        <w:rPr>
          <w:rFonts w:hint="eastAsia" w:ascii="仿宋_GB2312" w:hAnsi="宋体" w:eastAsia="仿宋_GB2312"/>
          <w:b/>
          <w:color w:val="000000"/>
          <w:sz w:val="30"/>
          <w:szCs w:val="30"/>
          <w:lang w:val="zh-CN"/>
        </w:rPr>
        <w:t>三：电梯电气控制柜的器件安装与线路连接</w:t>
      </w:r>
    </w:p>
    <w:p>
      <w:pPr>
        <w:spacing w:line="560" w:lineRule="exact"/>
        <w:ind w:firstLine="600" w:firstLineChars="200"/>
        <w:textAlignment w:val="baseline"/>
        <w:rPr>
          <w:rFonts w:ascii="仿宋_GB2312" w:hAnsi="宋体" w:eastAsia="仿宋_GB2312"/>
          <w:color w:val="000000"/>
          <w:sz w:val="30"/>
          <w:szCs w:val="30"/>
        </w:rPr>
      </w:pPr>
      <w:r>
        <w:rPr>
          <w:rFonts w:hint="eastAsia" w:ascii="仿宋_GB2312" w:hAnsi="宋体" w:eastAsia="仿宋_GB2312"/>
          <w:color w:val="000000"/>
          <w:sz w:val="30"/>
          <w:szCs w:val="30"/>
        </w:rPr>
        <w:t>1.参赛选手根据所提供的控制柜布局图（图4），完成电气控制柜中电梯电气控制系统安装（变频器1只、变压器1只、调速电阻1只、整流桥堆1只、继电器5只、交流接触器2只、热继电器1只、相序保护器1只、保险丝座3只、固定器6只、导轨1根），其余器件已经安装好，器件的安装要牢靠、合理、规范。</w:t>
      </w:r>
    </w:p>
    <w:p>
      <w:pPr>
        <w:ind w:firstLine="480" w:firstLineChars="200"/>
        <w:jc w:val="center"/>
        <w:textAlignment w:val="baseline"/>
        <w:rPr>
          <w:rFonts w:ascii="仿宋_GB2312" w:hAnsi="宋体" w:eastAsia="仿宋_GB2312"/>
          <w:color w:val="000000"/>
          <w:sz w:val="24"/>
          <w:szCs w:val="24"/>
        </w:rPr>
      </w:pPr>
      <w:r>
        <w:rPr>
          <w:rFonts w:ascii="仿宋_GB2312" w:hAnsi="宋体" w:eastAsia="仿宋_GB2312"/>
          <w:color w:val="000000"/>
          <w:sz w:val="24"/>
          <w:szCs w:val="24"/>
        </w:rPr>
        <w:drawing>
          <wp:inline distT="0" distB="0" distL="0" distR="0">
            <wp:extent cx="4589145" cy="5921375"/>
            <wp:effectExtent l="19050" t="0" r="1797" b="0"/>
            <wp:docPr id="7" name="图片 4" descr="网孔铁板装配图（字调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descr="网孔铁板装配图（字调大）"/>
                    <pic:cNvPicPr>
                      <a:picLocks noChangeAspect="1" noChangeArrowheads="1"/>
                    </pic:cNvPicPr>
                  </pic:nvPicPr>
                  <pic:blipFill>
                    <a:blip r:embed="rId26" cstate="print"/>
                    <a:srcRect/>
                    <a:stretch>
                      <a:fillRect/>
                    </a:stretch>
                  </pic:blipFill>
                  <pic:spPr>
                    <a:xfrm>
                      <a:off x="0" y="0"/>
                      <a:ext cx="4589253" cy="5921617"/>
                    </a:xfrm>
                    <a:prstGeom prst="rect">
                      <a:avLst/>
                    </a:prstGeom>
                    <a:noFill/>
                    <a:ln w="9525">
                      <a:noFill/>
                      <a:miter lim="800000"/>
                      <a:headEnd/>
                      <a:tailEnd/>
                    </a:ln>
                  </pic:spPr>
                </pic:pic>
              </a:graphicData>
            </a:graphic>
          </wp:inline>
        </w:drawing>
      </w:r>
    </w:p>
    <w:p>
      <w:pPr>
        <w:spacing w:line="400" w:lineRule="atLeast"/>
        <w:ind w:firstLine="480" w:firstLineChars="200"/>
        <w:jc w:val="center"/>
        <w:textAlignment w:val="baseline"/>
        <w:rPr>
          <w:rFonts w:ascii="宋体" w:hAnsi="宋体" w:cs="宋体"/>
          <w:bCs/>
          <w:color w:val="000000"/>
          <w:sz w:val="24"/>
          <w:szCs w:val="24"/>
        </w:rPr>
      </w:pPr>
      <w:r>
        <w:rPr>
          <w:rFonts w:hint="eastAsia" w:ascii="宋体" w:hAnsi="宋体" w:cs="宋体"/>
          <w:bCs/>
          <w:color w:val="000000"/>
          <w:sz w:val="24"/>
          <w:szCs w:val="24"/>
        </w:rPr>
        <w:t>图4控制柜布局图</w:t>
      </w:r>
    </w:p>
    <w:p>
      <w:pPr>
        <w:spacing w:line="560" w:lineRule="exact"/>
        <w:ind w:firstLine="600" w:firstLineChars="200"/>
        <w:textAlignment w:val="baseline"/>
        <w:rPr>
          <w:rFonts w:ascii="仿宋_GB2312" w:hAnsi="宋体" w:eastAsia="仿宋_GB2312"/>
          <w:color w:val="000000"/>
          <w:sz w:val="30"/>
          <w:szCs w:val="30"/>
        </w:rPr>
      </w:pPr>
      <w:r>
        <w:rPr>
          <w:rFonts w:hint="eastAsia" w:ascii="仿宋_GB2312" w:hAnsi="宋体" w:eastAsia="仿宋_GB2312"/>
          <w:color w:val="000000"/>
          <w:sz w:val="30"/>
          <w:szCs w:val="30"/>
        </w:rPr>
        <w:t>2.根据提供的电梯电气控制柜接线图(图8)完成线路的连接，其中，航空插座到航空插座转接端子排的线路已经连接好。接线正确能实现相应的电气功能，接线符合工艺标准,</w:t>
      </w:r>
      <w:r>
        <w:rPr>
          <w:rFonts w:hint="eastAsia" w:ascii="仿宋_GB2312" w:hAnsi="宋体" w:eastAsia="仿宋_GB2312"/>
          <w:bCs/>
          <w:sz w:val="30"/>
          <w:szCs w:val="30"/>
        </w:rPr>
        <w:t>端子排接线应使用管型绝缘端子，继电器、接触器等接线应使用U型插片</w:t>
      </w:r>
      <w:r>
        <w:rPr>
          <w:rFonts w:hint="eastAsia" w:ascii="仿宋_GB2312" w:hAnsi="宋体" w:eastAsia="仿宋_GB2312"/>
          <w:color w:val="000000"/>
          <w:sz w:val="30"/>
          <w:szCs w:val="30"/>
        </w:rPr>
        <w:t>，各导线连接处需要套号码管，工作完成后盖上线槽盖。</w:t>
      </w:r>
    </w:p>
    <w:p>
      <w:pPr>
        <w:spacing w:beforeLines="50" w:afterLines="50" w:line="560" w:lineRule="exact"/>
        <w:ind w:firstLine="602" w:firstLineChars="200"/>
        <w:textAlignment w:val="baseline"/>
        <w:rPr>
          <w:rFonts w:ascii="仿宋_GB2312" w:hAnsi="宋体" w:eastAsia="仿宋_GB2312"/>
          <w:b/>
          <w:sz w:val="30"/>
          <w:szCs w:val="30"/>
          <w:lang w:val="zh-CN"/>
        </w:rPr>
      </w:pPr>
    </w:p>
    <w:p>
      <w:pPr>
        <w:spacing w:beforeLines="50" w:afterLines="50" w:line="560" w:lineRule="exact"/>
        <w:ind w:firstLine="602" w:firstLineChars="200"/>
        <w:textAlignment w:val="baseline"/>
        <w:rPr>
          <w:rFonts w:ascii="仿宋_GB2312" w:hAnsi="宋体" w:eastAsia="仿宋_GB2312"/>
          <w:b/>
          <w:sz w:val="30"/>
          <w:szCs w:val="30"/>
          <w:lang w:val="zh-CN"/>
        </w:rPr>
      </w:pPr>
    </w:p>
    <w:p>
      <w:pPr>
        <w:spacing w:beforeLines="50" w:afterLines="50" w:line="560" w:lineRule="exact"/>
        <w:ind w:firstLine="602" w:firstLineChars="200"/>
        <w:textAlignment w:val="baseline"/>
        <w:rPr>
          <w:rFonts w:ascii="仿宋_GB2312" w:hAnsi="宋体" w:eastAsia="仿宋_GB2312"/>
          <w:b/>
          <w:sz w:val="30"/>
          <w:szCs w:val="30"/>
          <w:lang w:val="zh-CN"/>
        </w:rPr>
      </w:pPr>
      <w:r>
        <w:rPr>
          <w:rFonts w:hint="eastAsia" w:ascii="仿宋_GB2312" w:hAnsi="宋体" w:eastAsia="仿宋_GB2312"/>
          <w:b/>
          <w:sz w:val="30"/>
          <w:szCs w:val="30"/>
          <w:lang w:val="zh-CN"/>
        </w:rPr>
        <w:t>任务四：电梯控制程序设计与调试</w:t>
      </w:r>
    </w:p>
    <w:p>
      <w:pPr>
        <w:spacing w:line="560" w:lineRule="exact"/>
        <w:ind w:firstLine="602" w:firstLineChars="200"/>
        <w:textAlignment w:val="baseline"/>
        <w:rPr>
          <w:rFonts w:ascii="仿宋_GB2312" w:hAnsi="宋体" w:eastAsia="仿宋_GB2312"/>
          <w:b/>
          <w:sz w:val="30"/>
          <w:szCs w:val="30"/>
        </w:rPr>
      </w:pPr>
      <w:r>
        <w:rPr>
          <w:rFonts w:hint="eastAsia" w:ascii="仿宋_GB2312" w:hAnsi="宋体" w:eastAsia="仿宋_GB2312"/>
          <w:b/>
          <w:sz w:val="30"/>
          <w:szCs w:val="30"/>
        </w:rPr>
        <w:t>按照给定的PLC控制电梯I/O端口分配图（图5），编写控制程序及调试设备，使设备达到下列控制要求：</w:t>
      </w:r>
    </w:p>
    <w:p>
      <w:pPr>
        <w:spacing w:line="560" w:lineRule="exact"/>
        <w:ind w:firstLine="602" w:firstLineChars="200"/>
        <w:textAlignment w:val="baseline"/>
        <w:rPr>
          <w:rFonts w:ascii="仿宋_GB2312" w:hAnsi="宋体" w:eastAsia="仿宋_GB2312"/>
          <w:b/>
          <w:sz w:val="30"/>
          <w:szCs w:val="30"/>
        </w:rPr>
      </w:pPr>
      <w:r>
        <w:rPr>
          <w:rFonts w:hint="eastAsia" w:ascii="仿宋_GB2312" w:hAnsi="宋体" w:eastAsia="仿宋_GB2312"/>
          <w:b/>
          <w:sz w:val="30"/>
          <w:szCs w:val="30"/>
        </w:rPr>
        <w:t>1.电梯舒适系统设计与调试</w:t>
      </w:r>
    </w:p>
    <w:p>
      <w:pPr>
        <w:spacing w:line="560" w:lineRule="exact"/>
        <w:ind w:firstLine="600" w:firstLineChars="200"/>
        <w:textAlignment w:val="baseline"/>
        <w:rPr>
          <w:rFonts w:ascii="仿宋_GB2312" w:hAnsi="宋体" w:eastAsia="仿宋_GB2312"/>
          <w:sz w:val="30"/>
          <w:szCs w:val="30"/>
        </w:rPr>
      </w:pPr>
      <w:r>
        <w:rPr>
          <w:rFonts w:hint="eastAsia" w:ascii="仿宋_GB2312" w:hAnsi="宋体" w:eastAsia="仿宋_GB2312"/>
          <w:sz w:val="30"/>
          <w:szCs w:val="30"/>
        </w:rPr>
        <w:t>进行舒适系统控制程序设计，参赛选手根据任务书中的电梯节能和平稳度的要求，设置变频器参数，编写变频控制程序，实现变频器多段速度自动切换，平稳停止。</w:t>
      </w:r>
    </w:p>
    <w:p>
      <w:pPr>
        <w:spacing w:line="560" w:lineRule="exact"/>
        <w:ind w:firstLine="600" w:firstLineChars="200"/>
        <w:textAlignment w:val="baseline"/>
        <w:rPr>
          <w:rFonts w:ascii="仿宋_GB2312" w:hAnsi="宋体" w:eastAsia="仿宋_GB2312"/>
          <w:sz w:val="30"/>
          <w:szCs w:val="30"/>
        </w:rPr>
      </w:pPr>
      <w:r>
        <w:rPr>
          <w:rFonts w:hint="eastAsia" w:ascii="仿宋_GB2312" w:hAnsi="宋体" w:eastAsia="仿宋_GB2312"/>
          <w:sz w:val="30"/>
          <w:szCs w:val="30"/>
        </w:rPr>
        <w:t>变频器参数设置基本要求：</w:t>
      </w:r>
    </w:p>
    <w:p>
      <w:pPr>
        <w:spacing w:line="560" w:lineRule="exact"/>
        <w:ind w:firstLine="600" w:firstLineChars="200"/>
        <w:textAlignment w:val="baseline"/>
        <w:rPr>
          <w:rFonts w:ascii="仿宋_GB2312" w:hAnsi="宋体" w:eastAsia="仿宋_GB2312"/>
          <w:sz w:val="30"/>
          <w:szCs w:val="30"/>
        </w:rPr>
      </w:pPr>
      <w:r>
        <w:rPr>
          <w:rFonts w:hint="eastAsia" w:ascii="仿宋_GB2312" w:hAnsi="宋体" w:eastAsia="仿宋_GB2312"/>
          <w:sz w:val="30"/>
          <w:szCs w:val="30"/>
        </w:rPr>
        <w:t>（1）运行模式：可外部端子控制；</w:t>
      </w:r>
    </w:p>
    <w:p>
      <w:pPr>
        <w:spacing w:line="560" w:lineRule="exact"/>
        <w:ind w:firstLine="600" w:firstLineChars="200"/>
        <w:textAlignment w:val="baseline"/>
        <w:rPr>
          <w:rFonts w:ascii="仿宋_GB2312" w:hAnsi="宋体" w:eastAsia="仿宋_GB2312"/>
          <w:sz w:val="30"/>
          <w:szCs w:val="30"/>
        </w:rPr>
      </w:pPr>
      <w:r>
        <w:rPr>
          <w:rFonts w:hint="eastAsia" w:ascii="仿宋_GB2312" w:hAnsi="宋体" w:eastAsia="仿宋_GB2312"/>
          <w:sz w:val="30"/>
          <w:szCs w:val="30"/>
        </w:rPr>
        <w:t>（2）加速时间1.5S,减速时间1.6～2.2S之间；</w:t>
      </w:r>
    </w:p>
    <w:p>
      <w:pPr>
        <w:spacing w:line="560" w:lineRule="exact"/>
        <w:ind w:firstLine="600" w:firstLineChars="200"/>
        <w:textAlignment w:val="baseline"/>
        <w:rPr>
          <w:rFonts w:ascii="仿宋_GB2312" w:hAnsi="宋体" w:eastAsia="仿宋_GB2312"/>
          <w:sz w:val="30"/>
          <w:szCs w:val="30"/>
        </w:rPr>
      </w:pPr>
      <w:r>
        <w:rPr>
          <w:rFonts w:hint="eastAsia" w:ascii="仿宋_GB2312" w:hAnsi="宋体" w:eastAsia="仿宋_GB2312"/>
          <w:sz w:val="30"/>
          <w:szCs w:val="30"/>
        </w:rPr>
        <w:t>（3）运行高速为30Hz，低速为15Hz，检修为8Hz。</w:t>
      </w:r>
    </w:p>
    <w:p>
      <w:pPr>
        <w:spacing w:line="560" w:lineRule="exact"/>
        <w:ind w:firstLine="602" w:firstLineChars="200"/>
        <w:textAlignment w:val="baseline"/>
        <w:rPr>
          <w:rFonts w:ascii="仿宋_GB2312" w:hAnsi="宋体" w:eastAsia="仿宋_GB2312"/>
          <w:b/>
          <w:sz w:val="30"/>
          <w:szCs w:val="30"/>
        </w:rPr>
      </w:pPr>
      <w:r>
        <w:rPr>
          <w:rFonts w:hint="eastAsia" w:ascii="仿宋_GB2312" w:hAnsi="宋体" w:eastAsia="仿宋_GB2312"/>
          <w:b/>
          <w:sz w:val="30"/>
          <w:szCs w:val="30"/>
        </w:rPr>
        <w:t>2.单座电梯运行基本功能要求</w:t>
      </w:r>
    </w:p>
    <w:p>
      <w:pPr>
        <w:spacing w:line="560" w:lineRule="exact"/>
        <w:ind w:firstLine="600" w:firstLineChars="200"/>
        <w:textAlignment w:val="baseline"/>
        <w:rPr>
          <w:rFonts w:ascii="仿宋_GB2312" w:hAnsi="宋体" w:eastAsia="仿宋_GB2312"/>
          <w:sz w:val="30"/>
          <w:szCs w:val="30"/>
        </w:rPr>
      </w:pPr>
      <w:r>
        <w:rPr>
          <w:rFonts w:hint="eastAsia" w:ascii="仿宋_GB2312" w:hAnsi="宋体" w:eastAsia="仿宋_GB2312"/>
          <w:sz w:val="30"/>
          <w:szCs w:val="30"/>
        </w:rPr>
        <w:t>（1）将电梯上电，开始时，电梯处于任意一层。</w:t>
      </w:r>
    </w:p>
    <w:p>
      <w:pPr>
        <w:spacing w:line="560" w:lineRule="exact"/>
        <w:ind w:firstLine="600" w:firstLineChars="200"/>
        <w:textAlignment w:val="baseline"/>
        <w:rPr>
          <w:rFonts w:ascii="仿宋_GB2312" w:hAnsi="宋体" w:eastAsia="仿宋_GB2312"/>
          <w:sz w:val="30"/>
          <w:szCs w:val="30"/>
        </w:rPr>
      </w:pPr>
      <w:r>
        <w:rPr>
          <w:rFonts w:hint="eastAsia" w:ascii="仿宋_GB2312" w:hAnsi="宋体" w:eastAsia="仿宋_GB2312"/>
          <w:sz w:val="30"/>
          <w:szCs w:val="30"/>
        </w:rPr>
        <w:t>（2）电梯应能正确响应任意楼层内选、外呼信号，电梯到达响应楼层后，电梯停止运行，电梯门自动打开，5秒后电梯自动关门。</w:t>
      </w:r>
    </w:p>
    <w:p>
      <w:pPr>
        <w:spacing w:line="560" w:lineRule="exact"/>
        <w:ind w:firstLine="600" w:firstLineChars="200"/>
        <w:textAlignment w:val="baseline"/>
        <w:rPr>
          <w:rFonts w:ascii="仿宋_GB2312" w:hAnsi="宋体" w:eastAsia="仿宋_GB2312"/>
          <w:sz w:val="30"/>
          <w:szCs w:val="30"/>
        </w:rPr>
      </w:pPr>
      <w:r>
        <w:rPr>
          <w:rFonts w:hint="eastAsia" w:ascii="仿宋_GB2312" w:hAnsi="宋体" w:eastAsia="仿宋_GB2312"/>
          <w:sz w:val="30"/>
          <w:szCs w:val="30"/>
        </w:rPr>
        <w:t>（3）电梯按钮带有指示灯。当按内选/外呼按钮时，指示灯亮，到达内选/外呼楼层后，相应楼层内选/外呼信号解除，指示灯灭。</w:t>
      </w:r>
    </w:p>
    <w:p>
      <w:pPr>
        <w:spacing w:line="560" w:lineRule="exact"/>
        <w:ind w:firstLine="600" w:firstLineChars="200"/>
        <w:textAlignment w:val="baseline"/>
        <w:rPr>
          <w:rFonts w:ascii="仿宋_GB2312" w:hAnsi="宋体" w:eastAsia="仿宋_GB2312"/>
          <w:sz w:val="30"/>
          <w:szCs w:val="30"/>
        </w:rPr>
      </w:pPr>
      <w:r>
        <w:rPr>
          <w:rFonts w:hint="eastAsia" w:ascii="仿宋_GB2312" w:hAnsi="宋体" w:eastAsia="仿宋_GB2312"/>
          <w:sz w:val="30"/>
          <w:szCs w:val="30"/>
        </w:rPr>
        <w:t>（4）</w:t>
      </w:r>
      <w:r>
        <w:rPr>
          <w:rFonts w:ascii="仿宋_GB2312" w:hAnsi="宋体" w:eastAsia="仿宋_GB2312"/>
          <w:sz w:val="30"/>
          <w:szCs w:val="30"/>
        </w:rPr>
        <w:t>电梯</w:t>
      </w:r>
      <w:r>
        <w:rPr>
          <w:rFonts w:hint="eastAsia" w:ascii="仿宋_GB2312" w:hAnsi="宋体" w:eastAsia="仿宋_GB2312"/>
          <w:sz w:val="30"/>
          <w:szCs w:val="30"/>
        </w:rPr>
        <w:t>司机模式：当电梯进入司机模式时（在触摸屏上激活司机操作功能，主梯完成即可），电梯楼层有外呼信号时，外呼指示灯亮的同时对应轿厢内选楼层指示灯以1Hz频率闪烁，只有司机按下触摸屏上内选楼层后，内选指示灯常亮，电梯运行到该楼层后内选及外呼指示灯熄灭，自动开门，但不能自动关门，司机长按触摸屏上关门按钮后才能关门。此时司机可按触摸屏上的下一个内选指示灯闪烁的楼层。</w:t>
      </w:r>
    </w:p>
    <w:p>
      <w:pPr>
        <w:spacing w:line="560" w:lineRule="exact"/>
        <w:ind w:firstLine="600" w:firstLineChars="200"/>
        <w:textAlignment w:val="baseline"/>
        <w:rPr>
          <w:rFonts w:ascii="仿宋_GB2312" w:hAnsi="宋体" w:eastAsia="仿宋_GB2312"/>
          <w:sz w:val="30"/>
          <w:szCs w:val="30"/>
        </w:rPr>
      </w:pPr>
      <w:r>
        <w:rPr>
          <w:rFonts w:hint="eastAsia" w:ascii="仿宋_GB2312" w:hAnsi="宋体" w:eastAsia="仿宋_GB2312"/>
          <w:sz w:val="30"/>
          <w:szCs w:val="30"/>
        </w:rPr>
        <w:t>（5）</w:t>
      </w:r>
      <w:r>
        <w:rPr>
          <w:rFonts w:ascii="仿宋_GB2312" w:hAnsi="宋体" w:eastAsia="仿宋_GB2312"/>
          <w:sz w:val="30"/>
          <w:szCs w:val="30"/>
        </w:rPr>
        <w:t>电梯</w:t>
      </w:r>
      <w:r>
        <w:rPr>
          <w:rFonts w:hint="eastAsia" w:ascii="仿宋_GB2312" w:hAnsi="宋体" w:eastAsia="仿宋_GB2312"/>
          <w:sz w:val="30"/>
          <w:szCs w:val="30"/>
        </w:rPr>
        <w:t>具有</w:t>
      </w:r>
      <w:r>
        <w:rPr>
          <w:rFonts w:ascii="仿宋_GB2312" w:hAnsi="宋体" w:eastAsia="仿宋_GB2312"/>
          <w:sz w:val="30"/>
          <w:szCs w:val="30"/>
        </w:rPr>
        <w:t>错误登记消号功能</w:t>
      </w:r>
      <w:r>
        <w:rPr>
          <w:rFonts w:hint="eastAsia" w:ascii="仿宋_GB2312" w:hAnsi="宋体" w:eastAsia="仿宋_GB2312"/>
          <w:sz w:val="30"/>
          <w:szCs w:val="30"/>
        </w:rPr>
        <w:t>：电梯执行运行任务时，除已响应的当前楼层外，主梯和副梯均可通过1秒内双击楼层按钮对误操作的楼层进行销号处理。如电梯1楼上客后，内选信号有2楼、3楼和4楼，则电梯先响应2楼，可对3楼、4楼进行销号处理。在运行到该楼层之前，如果再一次按动取消过的楼层，则再次响应该楼层且不能进行销号处理。</w:t>
      </w:r>
    </w:p>
    <w:p>
      <w:pPr>
        <w:spacing w:line="560" w:lineRule="exact"/>
        <w:ind w:firstLine="600" w:firstLineChars="200"/>
        <w:textAlignment w:val="baseline"/>
        <w:rPr>
          <w:rFonts w:ascii="仿宋_GB2312" w:hAnsi="宋体" w:eastAsia="仿宋_GB2312"/>
          <w:color w:val="000000"/>
          <w:sz w:val="30"/>
          <w:szCs w:val="30"/>
        </w:rPr>
      </w:pPr>
      <w:r>
        <w:rPr>
          <w:rFonts w:hint="eastAsia" w:ascii="仿宋_GB2312" w:hAnsi="宋体" w:eastAsia="仿宋_GB2312"/>
          <w:sz w:val="30"/>
          <w:szCs w:val="30"/>
        </w:rPr>
        <w:t>（6）</w:t>
      </w:r>
      <w:r>
        <w:rPr>
          <w:rFonts w:ascii="仿宋_GB2312" w:hAnsi="宋体" w:eastAsia="仿宋_GB2312"/>
          <w:sz w:val="30"/>
          <w:szCs w:val="30"/>
        </w:rPr>
        <w:t>电梯</w:t>
      </w:r>
      <w:r>
        <w:rPr>
          <w:rFonts w:hint="eastAsia" w:ascii="仿宋_GB2312" w:hAnsi="宋体" w:eastAsia="仿宋_GB2312"/>
          <w:sz w:val="30"/>
          <w:szCs w:val="30"/>
        </w:rPr>
        <w:t>具有服务层设置功能（在触摸屏上设置关闭楼层）：可主梯和副梯对2楼、3楼是否停靠进行设置。如设置关闭2楼停靠服务，则2楼内呼按钮、2楼外呼按钮系统不响应。关闭的楼层若有召唤信号时，对应的召唤按钮指示灯闪烁2次，同时触摸屏弹出提示“该楼层已关闭停靠服务”，2秒后提示信息自动关闭。</w:t>
      </w:r>
    </w:p>
    <w:p>
      <w:pPr>
        <w:spacing w:line="560" w:lineRule="exact"/>
        <w:ind w:firstLine="600" w:firstLineChars="200"/>
        <w:textAlignment w:val="baseline"/>
        <w:rPr>
          <w:rFonts w:ascii="仿宋_GB2312" w:hAnsi="宋体" w:eastAsia="仿宋_GB2312"/>
          <w:sz w:val="30"/>
          <w:szCs w:val="30"/>
        </w:rPr>
      </w:pPr>
      <w:r>
        <w:rPr>
          <w:rFonts w:hint="eastAsia" w:ascii="仿宋_GB2312" w:hAnsi="宋体" w:eastAsia="仿宋_GB2312"/>
          <w:color w:val="000000"/>
          <w:sz w:val="30"/>
          <w:szCs w:val="30"/>
        </w:rPr>
        <w:t>（7）电梯运行逻辑要求：对多个同向的内选信号，按到达位置先后次序依</w:t>
      </w:r>
      <w:r>
        <w:rPr>
          <w:rFonts w:hint="eastAsia" w:ascii="仿宋_GB2312" w:hAnsi="宋体" w:eastAsia="仿宋_GB2312"/>
          <w:sz w:val="30"/>
          <w:szCs w:val="30"/>
        </w:rPr>
        <w:t>次响应；对同时有多个内选信号与外呼信号，响应原则为“先按定向，同向响应，顺向截梯，最远端反向截梯”。</w:t>
      </w:r>
    </w:p>
    <w:p>
      <w:pPr>
        <w:spacing w:line="560" w:lineRule="exact"/>
        <w:ind w:firstLine="600" w:firstLineChars="200"/>
        <w:textAlignment w:val="baseline"/>
        <w:rPr>
          <w:rFonts w:ascii="仿宋_GB2312" w:hAnsi="宋体" w:eastAsia="仿宋_GB2312"/>
          <w:sz w:val="30"/>
          <w:szCs w:val="30"/>
        </w:rPr>
      </w:pPr>
      <w:r>
        <w:rPr>
          <w:rFonts w:hint="eastAsia" w:ascii="仿宋_GB2312" w:hAnsi="宋体" w:eastAsia="仿宋_GB2312"/>
          <w:sz w:val="30"/>
          <w:szCs w:val="30"/>
        </w:rPr>
        <w:t>（8）电梯应具有以下安全保护功能：</w:t>
      </w:r>
    </w:p>
    <w:p>
      <w:pPr>
        <w:spacing w:line="560" w:lineRule="exact"/>
        <w:ind w:firstLine="600" w:firstLineChars="200"/>
        <w:textAlignment w:val="baseline"/>
        <w:rPr>
          <w:rFonts w:ascii="仿宋_GB2312" w:hAnsi="宋体" w:eastAsia="仿宋_GB2312"/>
          <w:sz w:val="30"/>
          <w:szCs w:val="30"/>
        </w:rPr>
      </w:pPr>
      <w:r>
        <w:rPr>
          <w:rFonts w:hint="eastAsia" w:ascii="仿宋_GB2312" w:hAnsi="仿宋_GB2312" w:eastAsia="仿宋_GB2312" w:cs="仿宋_GB2312"/>
          <w:sz w:val="30"/>
          <w:szCs w:val="30"/>
        </w:rPr>
        <w:t>①</w:t>
      </w:r>
      <w:r>
        <w:rPr>
          <w:rFonts w:hint="eastAsia" w:ascii="仿宋_GB2312" w:hAnsi="宋体" w:eastAsia="仿宋_GB2312"/>
          <w:sz w:val="30"/>
          <w:szCs w:val="30"/>
        </w:rPr>
        <w:t>电梯未平层或运行时，开门按钮和关门按钮均不起作用。平层且电梯停止运行后，按开门按钮电梯门打开，按关门电梯门关闭。</w:t>
      </w:r>
    </w:p>
    <w:p>
      <w:pPr>
        <w:spacing w:line="560" w:lineRule="exact"/>
        <w:ind w:firstLine="600" w:firstLineChars="200"/>
        <w:textAlignment w:val="baseline"/>
        <w:rPr>
          <w:rFonts w:ascii="仿宋_GB2312" w:hAnsi="宋体" w:eastAsia="仿宋_GB2312"/>
          <w:sz w:val="30"/>
          <w:szCs w:val="30"/>
        </w:rPr>
      </w:pPr>
      <w:r>
        <w:rPr>
          <w:rFonts w:hint="eastAsia" w:ascii="仿宋_GB2312" w:hAnsi="仿宋_GB2312" w:eastAsia="仿宋_GB2312" w:cs="仿宋_GB2312"/>
          <w:sz w:val="30"/>
          <w:szCs w:val="30"/>
        </w:rPr>
        <w:t>②</w:t>
      </w:r>
      <w:r>
        <w:rPr>
          <w:rFonts w:hint="eastAsia" w:ascii="仿宋_GB2312" w:hAnsi="宋体" w:eastAsia="仿宋_GB2312"/>
          <w:sz w:val="30"/>
          <w:szCs w:val="30"/>
        </w:rPr>
        <w:t>电梯具有上、下限位保护功能。</w:t>
      </w:r>
    </w:p>
    <w:p>
      <w:pPr>
        <w:spacing w:line="560" w:lineRule="exact"/>
        <w:ind w:firstLine="600" w:firstLineChars="200"/>
        <w:textAlignment w:val="baseline"/>
        <w:rPr>
          <w:rFonts w:ascii="仿宋_GB2312" w:hAnsi="宋体" w:eastAsia="仿宋_GB2312"/>
          <w:sz w:val="30"/>
          <w:szCs w:val="30"/>
        </w:rPr>
      </w:pPr>
      <w:r>
        <w:rPr>
          <w:rFonts w:hint="eastAsia" w:ascii="仿宋_GB2312" w:hAnsi="仿宋_GB2312" w:eastAsia="仿宋_GB2312" w:cs="仿宋_GB2312"/>
          <w:sz w:val="30"/>
          <w:szCs w:val="30"/>
        </w:rPr>
        <w:t>③</w:t>
      </w:r>
      <w:r>
        <w:rPr>
          <w:rFonts w:hint="eastAsia" w:ascii="仿宋_GB2312" w:hAnsi="宋体" w:eastAsia="仿宋_GB2312"/>
          <w:sz w:val="30"/>
          <w:szCs w:val="30"/>
        </w:rPr>
        <w:t>电梯具有安全触板和光电对射传感器双重保护措施，当电梯关门中两者任意一项有信号时，电梯立即停止关门，并执行开门。</w:t>
      </w:r>
    </w:p>
    <w:p>
      <w:pPr>
        <w:spacing w:line="560" w:lineRule="exact"/>
        <w:ind w:firstLine="600" w:firstLineChars="200"/>
        <w:textAlignment w:val="baseline"/>
        <w:rPr>
          <w:rFonts w:ascii="仿宋_GB2312" w:hAnsi="宋体" w:eastAsia="仿宋_GB2312"/>
          <w:sz w:val="30"/>
          <w:szCs w:val="30"/>
        </w:rPr>
      </w:pPr>
      <w:r>
        <w:rPr>
          <w:rFonts w:hint="eastAsia" w:ascii="仿宋_GB2312" w:hAnsi="仿宋_GB2312" w:eastAsia="仿宋_GB2312" w:cs="仿宋_GB2312"/>
          <w:sz w:val="30"/>
          <w:szCs w:val="30"/>
        </w:rPr>
        <w:t>④</w:t>
      </w:r>
      <w:r>
        <w:rPr>
          <w:rFonts w:hint="eastAsia" w:ascii="仿宋_GB2312" w:hAnsi="宋体" w:eastAsia="仿宋_GB2312"/>
          <w:sz w:val="30"/>
          <w:szCs w:val="30"/>
        </w:rPr>
        <w:t>电梯超载时，超载指示灯亮，电梯开门等待，超载解除，超载指示灯灭。</w:t>
      </w:r>
    </w:p>
    <w:p>
      <w:pPr>
        <w:spacing w:line="560" w:lineRule="exact"/>
        <w:ind w:firstLine="600" w:firstLineChars="200"/>
        <w:textAlignment w:val="baseline"/>
        <w:rPr>
          <w:rFonts w:ascii="仿宋_GB2312" w:hAnsi="宋体" w:eastAsia="仿宋_GB2312"/>
          <w:sz w:val="30"/>
          <w:szCs w:val="30"/>
        </w:rPr>
      </w:pPr>
      <w:r>
        <w:rPr>
          <w:rFonts w:hint="eastAsia" w:ascii="仿宋_GB2312" w:hAnsi="宋体" w:eastAsia="仿宋_GB2312"/>
          <w:sz w:val="30"/>
          <w:szCs w:val="30"/>
        </w:rPr>
        <w:t>⑤打开电梯锁（梯锁有信号）时，电梯从其他楼层返回停在一层，到达一层后驻停指示灯亮，并开门10秒后自动关门，此时不响应所有内呼和外呼信号，等关闭电梯锁时电梯恢复正常工作。</w:t>
      </w:r>
    </w:p>
    <w:p>
      <w:pPr>
        <w:spacing w:line="560" w:lineRule="exact"/>
        <w:ind w:firstLine="600" w:firstLineChars="200"/>
        <w:textAlignment w:val="baseline"/>
        <w:rPr>
          <w:rFonts w:ascii="仿宋_GB2312" w:hAnsi="宋体" w:eastAsia="仿宋_GB2312"/>
          <w:sz w:val="30"/>
          <w:szCs w:val="30"/>
        </w:rPr>
      </w:pPr>
      <w:r>
        <w:rPr>
          <w:rFonts w:hint="eastAsia" w:ascii="仿宋_GB2312" w:hAnsi="宋体" w:eastAsia="仿宋_GB2312"/>
          <w:sz w:val="30"/>
          <w:szCs w:val="30"/>
        </w:rPr>
        <w:t>（9）电梯节能要求，当轿厢处于正常关门状态且处于停止状态，等待8秒，无内呼或外呼信号时，内部照明灯和风扇停止工作，当有呼叫信号时恢复正常工作。</w:t>
      </w:r>
    </w:p>
    <w:p>
      <w:pPr>
        <w:spacing w:line="560" w:lineRule="exact"/>
        <w:ind w:firstLine="602" w:firstLineChars="200"/>
        <w:textAlignment w:val="baseline"/>
        <w:rPr>
          <w:rFonts w:ascii="仿宋_GB2312" w:hAnsi="宋体" w:eastAsia="仿宋_GB2312"/>
          <w:b/>
          <w:sz w:val="30"/>
          <w:szCs w:val="30"/>
        </w:rPr>
      </w:pPr>
      <w:r>
        <w:rPr>
          <w:rFonts w:hint="eastAsia" w:ascii="仿宋_GB2312" w:hAnsi="宋体" w:eastAsia="仿宋_GB2312"/>
          <w:b/>
          <w:sz w:val="30"/>
          <w:szCs w:val="30"/>
        </w:rPr>
        <w:t>3.两台群控电梯运行逻辑要求</w:t>
      </w:r>
    </w:p>
    <w:p>
      <w:pPr>
        <w:spacing w:line="560" w:lineRule="exact"/>
        <w:ind w:firstLine="600" w:firstLineChars="200"/>
        <w:textAlignment w:val="baseline"/>
        <w:rPr>
          <w:rFonts w:ascii="仿宋_GB2312" w:hAnsi="宋体" w:eastAsia="仿宋_GB2312"/>
          <w:sz w:val="30"/>
          <w:szCs w:val="30"/>
        </w:rPr>
      </w:pPr>
      <w:r>
        <w:rPr>
          <w:rFonts w:hint="eastAsia" w:ascii="仿宋_GB2312" w:hAnsi="宋体" w:eastAsia="仿宋_GB2312"/>
          <w:sz w:val="30"/>
          <w:szCs w:val="30"/>
        </w:rPr>
        <w:t>（1）两台电梯内选信号的响应规则与单台电梯一致，群控逻辑主要考虑两台电梯对外呼信号如何响应，外呼信号统一管理，两台电梯外呼信号作用相同，响应逻辑应遵循路程最短原则、时间最少原则与任务均分原则。</w:t>
      </w:r>
    </w:p>
    <w:p>
      <w:pPr>
        <w:spacing w:line="560" w:lineRule="exact"/>
        <w:ind w:firstLine="600" w:firstLineChars="200"/>
        <w:textAlignment w:val="baseline"/>
        <w:rPr>
          <w:rFonts w:ascii="仿宋_GB2312" w:hAnsi="宋体" w:eastAsia="仿宋_GB2312"/>
          <w:sz w:val="30"/>
          <w:szCs w:val="30"/>
        </w:rPr>
      </w:pPr>
      <w:r>
        <w:rPr>
          <w:rFonts w:hint="eastAsia" w:ascii="仿宋_GB2312" w:hAnsi="宋体" w:eastAsia="仿宋_GB2312"/>
          <w:sz w:val="30"/>
          <w:szCs w:val="30"/>
        </w:rPr>
        <w:t>（2）高峰时段电梯优化调控模式：</w:t>
      </w:r>
    </w:p>
    <w:p>
      <w:pPr>
        <w:spacing w:line="560" w:lineRule="exact"/>
        <w:ind w:firstLine="600" w:firstLineChars="200"/>
        <w:textAlignment w:val="baseline"/>
        <w:rPr>
          <w:rFonts w:ascii="仿宋_GB2312" w:hAnsi="宋体" w:eastAsia="仿宋_GB2312"/>
          <w:sz w:val="30"/>
          <w:szCs w:val="30"/>
        </w:rPr>
      </w:pPr>
      <w:r>
        <w:rPr>
          <w:rFonts w:hint="eastAsia" w:ascii="仿宋_GB2312" w:hAnsi="仿宋_GB2312" w:eastAsia="仿宋_GB2312" w:cs="仿宋_GB2312"/>
          <w:sz w:val="30"/>
          <w:szCs w:val="30"/>
        </w:rPr>
        <w:t>①</w:t>
      </w:r>
      <w:r>
        <w:rPr>
          <w:rFonts w:hint="eastAsia" w:ascii="仿宋_GB2312" w:hAnsi="宋体" w:eastAsia="仿宋_GB2312"/>
          <w:sz w:val="30"/>
          <w:szCs w:val="30"/>
        </w:rPr>
        <w:t>早间上班模式：设置为早间上班模式，2台电梯自动停靠1楼，当有呼梯信号时，按照群控逻辑响应信号，呼梯信号响应完成，电梯门关闭，等待10秒没有呼梯信号，2台电梯自动返回并停靠1楼。</w:t>
      </w:r>
    </w:p>
    <w:p>
      <w:pPr>
        <w:spacing w:line="560" w:lineRule="exact"/>
        <w:ind w:firstLine="600" w:firstLineChars="200"/>
        <w:textAlignment w:val="baseline"/>
        <w:rPr>
          <w:rFonts w:ascii="仿宋_GB2312" w:hAnsi="宋体" w:eastAsia="仿宋_GB2312"/>
          <w:sz w:val="30"/>
          <w:szCs w:val="30"/>
        </w:rPr>
      </w:pPr>
      <w:r>
        <w:rPr>
          <w:rFonts w:hint="eastAsia" w:ascii="仿宋_GB2312" w:hAnsi="仿宋_GB2312" w:eastAsia="仿宋_GB2312" w:cs="仿宋_GB2312"/>
          <w:sz w:val="30"/>
          <w:szCs w:val="30"/>
        </w:rPr>
        <w:t>②</w:t>
      </w:r>
      <w:r>
        <w:rPr>
          <w:rFonts w:hint="eastAsia" w:ascii="仿宋_GB2312" w:hAnsi="宋体" w:eastAsia="仿宋_GB2312"/>
          <w:sz w:val="30"/>
          <w:szCs w:val="30"/>
        </w:rPr>
        <w:t>区间工作模式：设置为区间工作模式，主梯自动停靠3楼，副梯自动停靠2楼，当有呼梯信号时，按照群控逻辑响应信号，呼梯信号响应完成，电梯门关闭，等待10秒没有呼梯信号，主梯自动停靠3楼，副梯自动停靠2楼。</w:t>
      </w:r>
    </w:p>
    <w:p>
      <w:pPr>
        <w:spacing w:line="560" w:lineRule="exact"/>
        <w:ind w:firstLine="600" w:firstLineChars="200"/>
        <w:textAlignment w:val="baseline"/>
        <w:rPr>
          <w:rFonts w:ascii="仿宋_GB2312" w:hAnsi="宋体" w:eastAsia="仿宋_GB2312"/>
          <w:sz w:val="30"/>
          <w:szCs w:val="30"/>
        </w:rPr>
      </w:pPr>
      <w:r>
        <w:rPr>
          <w:rFonts w:hint="eastAsia" w:ascii="仿宋_GB2312" w:hAnsi="仿宋_GB2312" w:eastAsia="仿宋_GB2312" w:cs="仿宋_GB2312"/>
          <w:sz w:val="30"/>
          <w:szCs w:val="30"/>
        </w:rPr>
        <w:t>③</w:t>
      </w:r>
      <w:r>
        <w:rPr>
          <w:rFonts w:hint="eastAsia" w:ascii="仿宋_GB2312" w:hAnsi="宋体" w:eastAsia="仿宋_GB2312"/>
          <w:sz w:val="30"/>
          <w:szCs w:val="30"/>
        </w:rPr>
        <w:t>晚间下班模式：设置为晚间下班模式，主梯自动停靠4楼，副梯自动停靠3楼，当有呼梯信号时，按照群控逻辑响应信号，呼梯信号响应完成，电梯门关闭，等待10秒没有呼梯信号，主梯自动停靠4楼，副梯自动停靠3楼。</w:t>
      </w:r>
    </w:p>
    <w:p>
      <w:pPr>
        <w:spacing w:line="560" w:lineRule="exact"/>
        <w:ind w:firstLine="600" w:firstLineChars="200"/>
        <w:textAlignment w:val="baseline"/>
        <w:rPr>
          <w:rFonts w:ascii="仿宋_GB2312" w:hAnsi="宋体" w:eastAsia="仿宋_GB2312"/>
          <w:sz w:val="30"/>
          <w:szCs w:val="30"/>
        </w:rPr>
      </w:pPr>
      <w:r>
        <w:rPr>
          <w:rFonts w:hint="eastAsia" w:ascii="仿宋_GB2312" w:hAnsi="仿宋_GB2312" w:eastAsia="仿宋_GB2312" w:cs="仿宋_GB2312"/>
          <w:sz w:val="30"/>
          <w:szCs w:val="30"/>
        </w:rPr>
        <w:t>④</w:t>
      </w:r>
      <w:r>
        <w:rPr>
          <w:rFonts w:hint="eastAsia" w:ascii="仿宋_GB2312" w:hAnsi="宋体" w:eastAsia="仿宋_GB2312"/>
          <w:sz w:val="30"/>
          <w:szCs w:val="30"/>
        </w:rPr>
        <w:t>取消模式选择，电梯按照群控逻辑响应信号，停靠楼层按照最后响应楼层停靠。</w:t>
      </w:r>
    </w:p>
    <w:p>
      <w:pPr>
        <w:spacing w:line="560" w:lineRule="exact"/>
        <w:ind w:firstLine="600" w:firstLineChars="200"/>
        <w:textAlignment w:val="baseline"/>
        <w:rPr>
          <w:rFonts w:ascii="仿宋_GB2312" w:hAnsi="宋体" w:eastAsia="仿宋_GB2312"/>
          <w:sz w:val="30"/>
          <w:szCs w:val="30"/>
        </w:rPr>
      </w:pPr>
      <w:r>
        <w:rPr>
          <w:rFonts w:hint="eastAsia" w:ascii="仿宋_GB2312" w:hAnsi="仿宋_GB2312" w:eastAsia="仿宋_GB2312" w:cs="仿宋_GB2312"/>
          <w:sz w:val="30"/>
          <w:szCs w:val="30"/>
        </w:rPr>
        <w:t>⑤</w:t>
      </w:r>
      <w:r>
        <w:rPr>
          <w:rFonts w:hint="eastAsia" w:ascii="仿宋_GB2312" w:hAnsi="宋体" w:eastAsia="仿宋_GB2312"/>
          <w:sz w:val="30"/>
          <w:szCs w:val="30"/>
        </w:rPr>
        <w:t>三种模式选择与取消模式选择通过触摸屏操作。</w:t>
      </w:r>
    </w:p>
    <w:p>
      <w:pPr>
        <w:spacing w:line="560" w:lineRule="exact"/>
        <w:ind w:firstLine="600" w:firstLineChars="200"/>
        <w:textAlignment w:val="baseline"/>
        <w:rPr>
          <w:rFonts w:ascii="仿宋_GB2312" w:hAnsi="宋体" w:eastAsia="仿宋_GB2312"/>
          <w:sz w:val="30"/>
          <w:szCs w:val="30"/>
        </w:rPr>
      </w:pPr>
      <w:r>
        <w:rPr>
          <w:rFonts w:hint="eastAsia" w:ascii="仿宋_GB2312" w:hAnsi="宋体" w:eastAsia="仿宋_GB2312"/>
          <w:sz w:val="30"/>
          <w:szCs w:val="30"/>
        </w:rPr>
        <w:t>（3）将电梯分为待召、上客、运行三种状态，定义：其中一台为主梯（主梯PLC1为主站），另一台为副梯（副梯PLC2为从站），相同情况下主梯优先响应。当其中一台电梯处于检修状态时，另一台按单电梯运行逻辑运行。</w:t>
      </w:r>
    </w:p>
    <w:p>
      <w:pPr>
        <w:spacing w:beforeLines="50" w:afterLines="50" w:line="560" w:lineRule="exact"/>
        <w:ind w:firstLine="602" w:firstLineChars="200"/>
        <w:textAlignment w:val="baseline"/>
        <w:rPr>
          <w:rFonts w:ascii="仿宋_GB2312" w:hAnsi="宋体" w:eastAsia="仿宋_GB2312"/>
          <w:b/>
          <w:sz w:val="30"/>
          <w:szCs w:val="30"/>
          <w:lang w:val="zh-CN"/>
        </w:rPr>
      </w:pPr>
      <w:r>
        <w:rPr>
          <w:rFonts w:hint="eastAsia" w:ascii="仿宋_GB2312" w:hAnsi="宋体" w:eastAsia="仿宋_GB2312"/>
          <w:b/>
          <w:sz w:val="30"/>
          <w:szCs w:val="30"/>
          <w:lang w:val="zh-CN"/>
        </w:rPr>
        <w:t>4.触摸显示屏工程设计</w:t>
      </w:r>
    </w:p>
    <w:p>
      <w:pPr>
        <w:spacing w:line="560" w:lineRule="exact"/>
        <w:ind w:firstLine="600" w:firstLineChars="200"/>
        <w:textAlignment w:val="baseline"/>
        <w:rPr>
          <w:rFonts w:ascii="仿宋_GB2312" w:hAnsi="宋体" w:eastAsia="仿宋_GB2312"/>
          <w:sz w:val="30"/>
          <w:szCs w:val="30"/>
        </w:rPr>
      </w:pPr>
      <w:r>
        <w:rPr>
          <w:rFonts w:hint="eastAsia" w:ascii="仿宋_GB2312" w:hAnsi="宋体" w:eastAsia="仿宋_GB2312"/>
          <w:sz w:val="30"/>
          <w:szCs w:val="30"/>
        </w:rPr>
        <w:t>（1）在主梯的触摸屏TPC7062KX上制作二个界面。界面一为启动窗口，在界面一中设置有进入界面二的按钮，并有相应的文字说明。界面一中包含主梯和副梯的电梯开门及关门动画模拟（门动作为连续移动变化）、</w:t>
      </w:r>
      <w:r>
        <w:rPr>
          <w:rFonts w:hint="eastAsia" w:ascii="仿宋_GB2312" w:hAnsi="宋体" w:eastAsia="仿宋_GB2312"/>
          <w:color w:val="000000"/>
          <w:sz w:val="30"/>
          <w:szCs w:val="30"/>
        </w:rPr>
        <w:t>主梯和副梯</w:t>
      </w:r>
      <w:r>
        <w:rPr>
          <w:rFonts w:hint="eastAsia" w:ascii="仿宋_GB2312" w:hAnsi="宋体" w:eastAsia="仿宋_GB2312"/>
          <w:sz w:val="30"/>
          <w:szCs w:val="30"/>
        </w:rPr>
        <w:t>轿厢的运行轨迹（包括轿厢的连续</w:t>
      </w:r>
      <w:r>
        <w:rPr>
          <w:rFonts w:hint="eastAsia" w:ascii="仿宋_GB2312" w:hAnsi="宋体" w:eastAsia="仿宋_GB2312"/>
          <w:color w:val="000000"/>
          <w:sz w:val="30"/>
          <w:szCs w:val="30"/>
        </w:rPr>
        <w:t>移动</w:t>
      </w:r>
      <w:r>
        <w:rPr>
          <w:rFonts w:hint="eastAsia" w:ascii="仿宋_GB2312" w:hAnsi="宋体" w:eastAsia="仿宋_GB2312"/>
          <w:sz w:val="30"/>
          <w:szCs w:val="30"/>
        </w:rPr>
        <w:t>变化及平层停止）及主梯和副梯轿当前轿厢的实时高度（显示单位为mm）。在界面一中设置有入界面二的按钮, 并有相应的文字说明。界面二中包含主梯司机模式开关（需包含开、关门按钮和四个楼层选择按钮）、主梯2、3楼服务层设置开关，早间上班模式、区间工作模式、晚间下班模式选择开关与取消模式选择开关。关闭的楼层若有召唤信号时触摸屏弹出提示“该楼层已关闭停靠服务”，2秒后提示信息自动关闭。超载时，触摸屏提示“电梯已超载”的信息。在界面二中设置返回界面一的按钮, 并有相应的文字说明。</w:t>
      </w:r>
    </w:p>
    <w:p>
      <w:pPr>
        <w:spacing w:line="560" w:lineRule="exact"/>
        <w:ind w:firstLine="600" w:firstLineChars="200"/>
        <w:textAlignment w:val="baseline"/>
        <w:rPr>
          <w:rFonts w:ascii="仿宋_GB2312" w:hAnsi="宋体" w:eastAsia="仿宋_GB2312"/>
          <w:sz w:val="30"/>
          <w:szCs w:val="30"/>
        </w:rPr>
      </w:pPr>
      <w:r>
        <w:rPr>
          <w:rFonts w:hint="eastAsia" w:ascii="仿宋_GB2312" w:hAnsi="宋体" w:eastAsia="仿宋_GB2312"/>
          <w:sz w:val="30"/>
          <w:szCs w:val="30"/>
        </w:rPr>
        <w:t>（2）在副梯的触摸屏TPC7062KX上制作二个界面。界面一为启动窗口，在界面一中设置有进入界面二的按钮，并有相应的文字说明。界面一中包含主梯和副梯的轿厢当前楼层信息、电梯运行方向、所有外呼指示灯,所有内选指示灯显示状态与电梯运行状态一致,触摸屏与PLC通信正常指示灯。界面二副梯2、3楼服务层设置开关，关闭的楼层若有召唤信号时触摸屏弹出提示“该楼层已关闭停靠服务”，2秒后提示信息自动关闭。超载时，触摸屏提示“电梯已超载”的信息。在界面二中设置返回界面一的按钮, 并有相应的文字说明。</w:t>
      </w:r>
    </w:p>
    <w:p>
      <w:pPr>
        <w:spacing w:line="560" w:lineRule="exact"/>
        <w:ind w:firstLine="600" w:firstLineChars="200"/>
        <w:textAlignment w:val="baseline"/>
        <w:rPr>
          <w:rFonts w:ascii="仿宋_GB2312" w:hAnsi="宋体" w:eastAsia="仿宋_GB2312"/>
          <w:sz w:val="30"/>
          <w:szCs w:val="30"/>
        </w:rPr>
      </w:pPr>
      <w:r>
        <w:rPr>
          <w:rFonts w:hint="eastAsia" w:ascii="仿宋_GB2312" w:hAnsi="宋体" w:eastAsia="仿宋_GB2312"/>
          <w:sz w:val="30"/>
          <w:szCs w:val="30"/>
        </w:rPr>
        <w:t>（3）在PLC程序中增加相应程序段使触摸屏实现上述功能。</w:t>
      </w:r>
    </w:p>
    <w:p>
      <w:pPr>
        <w:spacing w:beforeLines="50" w:afterLines="50" w:line="560" w:lineRule="exact"/>
        <w:ind w:firstLine="602" w:firstLineChars="200"/>
        <w:textAlignment w:val="baseline"/>
        <w:rPr>
          <w:rFonts w:ascii="仿宋_GB2312" w:hAnsi="宋体" w:eastAsia="仿宋_GB2312"/>
          <w:b/>
          <w:color w:val="000000"/>
          <w:sz w:val="30"/>
          <w:szCs w:val="30"/>
          <w:lang w:val="zh-CN"/>
        </w:rPr>
      </w:pPr>
      <w:r>
        <w:rPr>
          <w:rFonts w:hint="eastAsia" w:ascii="仿宋_GB2312" w:hAnsi="宋体" w:eastAsia="仿宋_GB2312"/>
          <w:b/>
          <w:color w:val="000000"/>
          <w:sz w:val="30"/>
          <w:szCs w:val="30"/>
          <w:lang w:val="zh-CN"/>
        </w:rPr>
        <w:t>任务六：电梯故障诊断与排除</w:t>
      </w:r>
    </w:p>
    <w:p>
      <w:pPr>
        <w:spacing w:line="560" w:lineRule="exact"/>
        <w:ind w:firstLine="600" w:firstLineChars="200"/>
        <w:textAlignment w:val="baseline"/>
        <w:rPr>
          <w:rFonts w:ascii="仿宋_GB2312" w:hAnsi="宋体" w:eastAsia="仿宋_GB2312"/>
          <w:color w:val="000000"/>
          <w:sz w:val="24"/>
          <w:szCs w:val="24"/>
        </w:rPr>
      </w:pPr>
      <w:r>
        <w:rPr>
          <w:rFonts w:hint="eastAsia" w:ascii="仿宋_GB2312" w:hAnsi="宋体" w:eastAsia="仿宋_GB2312"/>
          <w:color w:val="000000"/>
          <w:sz w:val="30"/>
          <w:szCs w:val="30"/>
        </w:rPr>
        <w:t>参赛选手根据电梯故障现象，结合PLC控制电梯I/O端口分配图（图5）、电梯电气控制柜带故障设置接线图（图6</w:t>
      </w:r>
      <w:r>
        <w:rPr>
          <w:rFonts w:ascii="仿宋_GB2312" w:hAnsi="宋体" w:eastAsia="仿宋_GB2312"/>
          <w:color w:val="000000"/>
          <w:sz w:val="30"/>
          <w:szCs w:val="30"/>
        </w:rPr>
        <w:t>）</w:t>
      </w:r>
      <w:r>
        <w:rPr>
          <w:rFonts w:hint="eastAsia" w:ascii="仿宋_GB2312" w:hAnsi="宋体" w:eastAsia="仿宋_GB2312"/>
          <w:color w:val="000000"/>
          <w:sz w:val="30"/>
          <w:szCs w:val="30"/>
        </w:rPr>
        <w:t>、电梯模型接线图（图7）,要对所设置的4个故障进行诊断和排除（排除故障需在网孔板上进行相应的线路连接），并对故障现象进行描述、写出排除方法</w:t>
      </w:r>
      <w:r>
        <w:rPr>
          <w:rFonts w:hint="eastAsia" w:ascii="仿宋_GB2312" w:hAnsi="宋体" w:eastAsia="仿宋_GB2312"/>
          <w:color w:val="000000"/>
          <w:sz w:val="24"/>
          <w:szCs w:val="24"/>
        </w:rPr>
        <w:t>。</w:t>
      </w:r>
    </w:p>
    <w:p>
      <w:pPr>
        <w:spacing w:line="560" w:lineRule="exact"/>
        <w:ind w:firstLine="600" w:firstLineChars="200"/>
        <w:textAlignment w:val="baseline"/>
        <w:rPr>
          <w:rFonts w:ascii="仿宋_GB2312" w:hAnsi="宋体" w:eastAsia="仿宋_GB2312"/>
          <w:sz w:val="30"/>
          <w:szCs w:val="30"/>
          <w:u w:val="single"/>
        </w:rPr>
      </w:pPr>
      <w:r>
        <w:rPr>
          <w:rFonts w:hint="eastAsia" w:ascii="仿宋_GB2312" w:hAnsi="宋体" w:eastAsia="仿宋_GB2312"/>
          <w:sz w:val="30"/>
          <w:szCs w:val="30"/>
        </w:rPr>
        <w:t>故障一 现象描述：</w:t>
      </w:r>
    </w:p>
    <w:p>
      <w:pPr>
        <w:spacing w:line="560" w:lineRule="exact"/>
        <w:ind w:firstLine="600" w:firstLineChars="200"/>
        <w:textAlignment w:val="baseline"/>
        <w:rPr>
          <w:rFonts w:ascii="仿宋_GB2312" w:hAnsi="宋体" w:eastAsia="仿宋_GB2312"/>
          <w:sz w:val="30"/>
          <w:szCs w:val="30"/>
        </w:rPr>
      </w:pPr>
      <w:r>
        <w:rPr>
          <w:rFonts w:hint="eastAsia" w:ascii="仿宋_GB2312" w:hAnsi="宋体" w:eastAsia="仿宋_GB2312"/>
          <w:sz w:val="30"/>
          <w:szCs w:val="30"/>
        </w:rPr>
        <w:t xml:space="preserve">       排除方法：</w:t>
      </w:r>
    </w:p>
    <w:p>
      <w:pPr>
        <w:spacing w:line="560" w:lineRule="exact"/>
        <w:ind w:firstLine="600" w:firstLineChars="200"/>
        <w:textAlignment w:val="baseline"/>
        <w:rPr>
          <w:rFonts w:ascii="仿宋_GB2312" w:hAnsi="宋体" w:eastAsia="仿宋_GB2312"/>
          <w:sz w:val="30"/>
          <w:szCs w:val="30"/>
        </w:rPr>
      </w:pPr>
      <w:r>
        <w:rPr>
          <w:rFonts w:hint="eastAsia" w:ascii="仿宋_GB2312" w:hAnsi="宋体" w:eastAsia="仿宋_GB2312"/>
          <w:sz w:val="30"/>
          <w:szCs w:val="30"/>
        </w:rPr>
        <w:t>故障二 现象描述：</w:t>
      </w:r>
    </w:p>
    <w:p>
      <w:pPr>
        <w:spacing w:line="560" w:lineRule="exact"/>
        <w:ind w:firstLine="1650" w:firstLineChars="550"/>
        <w:textAlignment w:val="baseline"/>
        <w:rPr>
          <w:rFonts w:ascii="仿宋_GB2312" w:hAnsi="宋体" w:eastAsia="仿宋_GB2312"/>
          <w:sz w:val="30"/>
          <w:szCs w:val="30"/>
          <w:u w:val="single"/>
        </w:rPr>
      </w:pPr>
      <w:r>
        <w:rPr>
          <w:rFonts w:hint="eastAsia" w:ascii="仿宋_GB2312" w:hAnsi="宋体" w:eastAsia="仿宋_GB2312"/>
          <w:sz w:val="30"/>
          <w:szCs w:val="30"/>
        </w:rPr>
        <w:t>排除方法：</w:t>
      </w:r>
    </w:p>
    <w:p>
      <w:pPr>
        <w:spacing w:line="560" w:lineRule="exact"/>
        <w:ind w:firstLine="600" w:firstLineChars="200"/>
        <w:textAlignment w:val="baseline"/>
        <w:rPr>
          <w:rFonts w:ascii="仿宋_GB2312" w:hAnsi="宋体" w:eastAsia="仿宋_GB2312"/>
          <w:sz w:val="30"/>
          <w:szCs w:val="30"/>
        </w:rPr>
      </w:pPr>
      <w:r>
        <w:rPr>
          <w:rFonts w:hint="eastAsia" w:ascii="仿宋_GB2312" w:hAnsi="宋体" w:eastAsia="仿宋_GB2312"/>
          <w:sz w:val="30"/>
          <w:szCs w:val="30"/>
        </w:rPr>
        <w:t>故障三 现象描述：</w:t>
      </w:r>
    </w:p>
    <w:p>
      <w:pPr>
        <w:spacing w:line="560" w:lineRule="exact"/>
        <w:ind w:firstLine="1650" w:firstLineChars="550"/>
        <w:textAlignment w:val="baseline"/>
        <w:rPr>
          <w:rFonts w:ascii="仿宋_GB2312" w:hAnsi="宋体" w:eastAsia="仿宋_GB2312"/>
          <w:sz w:val="30"/>
          <w:szCs w:val="30"/>
        </w:rPr>
      </w:pPr>
      <w:r>
        <w:rPr>
          <w:rFonts w:hint="eastAsia" w:ascii="仿宋_GB2312" w:hAnsi="宋体" w:eastAsia="仿宋_GB2312"/>
          <w:sz w:val="30"/>
          <w:szCs w:val="30"/>
        </w:rPr>
        <w:t>排除方法：</w:t>
      </w:r>
    </w:p>
    <w:p>
      <w:pPr>
        <w:spacing w:line="560" w:lineRule="exact"/>
        <w:ind w:firstLine="600" w:firstLineChars="200"/>
        <w:textAlignment w:val="baseline"/>
        <w:rPr>
          <w:rFonts w:ascii="仿宋_GB2312" w:hAnsi="宋体" w:eastAsia="仿宋_GB2312"/>
          <w:sz w:val="30"/>
          <w:szCs w:val="30"/>
        </w:rPr>
      </w:pPr>
      <w:r>
        <w:rPr>
          <w:rFonts w:hint="eastAsia" w:ascii="仿宋_GB2312" w:hAnsi="宋体" w:eastAsia="仿宋_GB2312"/>
          <w:sz w:val="30"/>
          <w:szCs w:val="30"/>
        </w:rPr>
        <w:t>故障四 现象描述：</w:t>
      </w:r>
    </w:p>
    <w:p>
      <w:pPr>
        <w:spacing w:line="560" w:lineRule="exact"/>
        <w:ind w:firstLine="1650" w:firstLineChars="550"/>
        <w:textAlignment w:val="baseline"/>
        <w:rPr>
          <w:rFonts w:ascii="仿宋_GB2312" w:hAnsi="宋体" w:eastAsia="仿宋_GB2312"/>
          <w:b/>
          <w:color w:val="000000"/>
          <w:sz w:val="30"/>
          <w:szCs w:val="30"/>
          <w:lang w:val="zh-CN"/>
        </w:rPr>
      </w:pPr>
      <w:r>
        <w:rPr>
          <w:rFonts w:hint="eastAsia" w:ascii="仿宋_GB2312" w:hAnsi="宋体" w:eastAsia="仿宋_GB2312"/>
          <w:sz w:val="30"/>
          <w:szCs w:val="30"/>
        </w:rPr>
        <w:t>排除方法：</w:t>
      </w:r>
    </w:p>
    <w:p>
      <w:pPr>
        <w:spacing w:beforeLines="50" w:afterLines="50" w:line="560" w:lineRule="exact"/>
        <w:ind w:firstLine="602" w:firstLineChars="200"/>
        <w:textAlignment w:val="baseline"/>
        <w:rPr>
          <w:rFonts w:ascii="仿宋_GB2312" w:hAnsi="宋体" w:eastAsia="仿宋_GB2312"/>
          <w:b/>
          <w:color w:val="000000"/>
          <w:sz w:val="30"/>
          <w:szCs w:val="30"/>
          <w:lang w:val="zh-CN"/>
        </w:rPr>
      </w:pPr>
    </w:p>
    <w:p>
      <w:pPr>
        <w:spacing w:beforeLines="50" w:afterLines="50" w:line="560" w:lineRule="exact"/>
        <w:ind w:firstLine="602" w:firstLineChars="200"/>
        <w:textAlignment w:val="baseline"/>
        <w:rPr>
          <w:rFonts w:ascii="仿宋_GB2312" w:hAnsi="宋体" w:eastAsia="仿宋_GB2312"/>
          <w:b/>
          <w:color w:val="000000"/>
          <w:sz w:val="30"/>
          <w:szCs w:val="30"/>
          <w:lang w:val="zh-CN"/>
        </w:rPr>
      </w:pPr>
      <w:r>
        <w:rPr>
          <w:rFonts w:hint="eastAsia" w:ascii="仿宋_GB2312" w:hAnsi="宋体" w:eastAsia="仿宋_GB2312"/>
          <w:b/>
          <w:color w:val="000000"/>
          <w:sz w:val="30"/>
          <w:szCs w:val="30"/>
          <w:lang w:val="zh-CN"/>
        </w:rPr>
        <w:t>任务七：电梯调试、机械故障排除与保养</w:t>
      </w:r>
    </w:p>
    <w:p>
      <w:pPr>
        <w:spacing w:line="560" w:lineRule="exact"/>
        <w:ind w:left="480" w:firstLine="600" w:firstLineChars="200"/>
        <w:textAlignment w:val="baseline"/>
        <w:rPr>
          <w:rFonts w:ascii="仿宋_GB2312" w:hAnsi="宋体" w:eastAsia="仿宋_GB2312"/>
          <w:color w:val="000000"/>
          <w:sz w:val="30"/>
          <w:szCs w:val="30"/>
        </w:rPr>
      </w:pPr>
      <w:r>
        <w:rPr>
          <w:rFonts w:hint="eastAsia" w:ascii="仿宋_GB2312" w:hAnsi="宋体" w:eastAsia="仿宋_GB2312"/>
          <w:sz w:val="30"/>
          <w:szCs w:val="30"/>
        </w:rPr>
        <w:t>（1）达到电梯平层准确（误差小于5mm）。</w:t>
      </w:r>
    </w:p>
    <w:p>
      <w:pPr>
        <w:spacing w:line="560" w:lineRule="exact"/>
        <w:ind w:left="480" w:firstLine="600" w:firstLineChars="200"/>
        <w:textAlignment w:val="baseline"/>
        <w:rPr>
          <w:rFonts w:ascii="仿宋_GB2312" w:hAnsi="宋体" w:eastAsia="仿宋_GB2312"/>
          <w:color w:val="000000"/>
          <w:sz w:val="30"/>
          <w:szCs w:val="30"/>
        </w:rPr>
      </w:pPr>
      <w:r>
        <w:rPr>
          <w:rFonts w:hint="eastAsia" w:ascii="仿宋_GB2312" w:hAnsi="宋体" w:eastAsia="仿宋_GB2312"/>
          <w:color w:val="000000"/>
          <w:sz w:val="30"/>
          <w:szCs w:val="30"/>
        </w:rPr>
        <w:t>（2）解决开关门过程中有撞击声的问题，解决开关门过程中有卡阻的现象，解决电梯运行中有抖动和振动的现象。</w:t>
      </w:r>
    </w:p>
    <w:p>
      <w:pPr>
        <w:spacing w:line="560" w:lineRule="exact"/>
        <w:ind w:left="480" w:firstLine="600" w:firstLineChars="200"/>
        <w:textAlignment w:val="baseline"/>
        <w:rPr>
          <w:rFonts w:ascii="仿宋_GB2312" w:hAnsi="宋体" w:eastAsia="仿宋_GB2312"/>
          <w:color w:val="000000"/>
          <w:sz w:val="30"/>
          <w:szCs w:val="30"/>
        </w:rPr>
      </w:pPr>
      <w:r>
        <w:rPr>
          <w:rFonts w:hint="eastAsia" w:ascii="仿宋_GB2312" w:hAnsi="宋体" w:eastAsia="仿宋_GB2312"/>
          <w:color w:val="000000"/>
          <w:sz w:val="30"/>
          <w:szCs w:val="30"/>
        </w:rPr>
        <w:t>（3）根据电梯额定载重，按照提供的砝码对电梯进行空载、超载等试验。</w:t>
      </w:r>
    </w:p>
    <w:p>
      <w:pPr>
        <w:spacing w:line="560" w:lineRule="exact"/>
        <w:ind w:left="480" w:firstLine="600" w:firstLineChars="200"/>
        <w:textAlignment w:val="baseline"/>
        <w:rPr>
          <w:rFonts w:ascii="仿宋_GB2312" w:hAnsi="宋体" w:eastAsia="仿宋_GB2312"/>
          <w:color w:val="000000"/>
          <w:sz w:val="30"/>
          <w:szCs w:val="30"/>
        </w:rPr>
      </w:pPr>
      <w:r>
        <w:rPr>
          <w:rFonts w:hint="eastAsia" w:ascii="仿宋_GB2312" w:hAnsi="宋体" w:eastAsia="仿宋_GB2312"/>
          <w:color w:val="000000"/>
          <w:sz w:val="30"/>
          <w:szCs w:val="30"/>
        </w:rPr>
        <w:t>（4） 电梯运行检验并正确使用维修警示护栏：按照电梯行业相关规范，在调试与维修时，“维修警示护栏”打开，放置于醒目处（赛前放置位），并确保安全出入以及安全的工作环境。</w:t>
      </w:r>
    </w:p>
    <w:p>
      <w:pPr>
        <w:spacing w:line="560" w:lineRule="exact"/>
        <w:ind w:left="480" w:firstLine="600" w:firstLineChars="200"/>
        <w:textAlignment w:val="baseline"/>
        <w:rPr>
          <w:rFonts w:ascii="仿宋_GB2312" w:hAnsi="宋体" w:eastAsia="仿宋_GB2312"/>
          <w:color w:val="000000"/>
          <w:sz w:val="30"/>
          <w:szCs w:val="30"/>
        </w:rPr>
      </w:pPr>
      <w:r>
        <w:rPr>
          <w:rFonts w:hint="eastAsia" w:ascii="仿宋_GB2312" w:hAnsi="宋体" w:eastAsia="仿宋_GB2312"/>
          <w:color w:val="000000"/>
          <w:sz w:val="30"/>
          <w:szCs w:val="30"/>
        </w:rPr>
        <w:t>在竞赛过程中或竞赛时间已到，选手在完成智能电梯装调与维护工作部分或全部的情况下，自行确认主梯和副梯试题要求的各项安全保护功能正常，同时电梯可以正常平层、门锁安全保护开关有效，电梯运行不冲顶和不蹲底，电梯能正确响应任一楼层内选、外呼信号，不会对井道外的人员造成危险，同时排故电梯故障已排除，需撤离维修警示护栏并按照5S要求统一放置在电脑桌右侧。</w:t>
      </w:r>
    </w:p>
    <w:p>
      <w:pPr>
        <w:spacing w:line="560" w:lineRule="exact"/>
        <w:ind w:left="480" w:firstLine="600" w:firstLineChars="200"/>
        <w:textAlignment w:val="baseline"/>
        <w:rPr>
          <w:rFonts w:ascii="仿宋_GB2312" w:hAnsi="宋体" w:eastAsia="仿宋_GB2312"/>
          <w:color w:val="000000"/>
          <w:sz w:val="30"/>
          <w:szCs w:val="30"/>
        </w:rPr>
      </w:pPr>
      <w:r>
        <w:rPr>
          <w:rFonts w:hint="eastAsia" w:ascii="仿宋_GB2312" w:hAnsi="宋体" w:eastAsia="仿宋_GB2312"/>
          <w:color w:val="000000"/>
          <w:sz w:val="30"/>
          <w:szCs w:val="30"/>
        </w:rPr>
        <w:t>竞赛终止时间已到，但选手未达到撤离维修警示护栏的条件，选手停止所有操作，不可撤离维修警示护栏。</w:t>
      </w:r>
    </w:p>
    <w:p>
      <w:pPr>
        <w:spacing w:line="560" w:lineRule="exact"/>
        <w:textAlignment w:val="baseline"/>
        <w:rPr>
          <w:rFonts w:ascii="仿宋_GB2312" w:hAnsi="宋体" w:eastAsia="仿宋_GB2312"/>
          <w:sz w:val="30"/>
          <w:szCs w:val="30"/>
        </w:rPr>
      </w:pPr>
    </w:p>
    <w:p>
      <w:pPr>
        <w:widowControl/>
        <w:jc w:val="left"/>
        <w:rPr>
          <w:rFonts w:ascii="仿宋_GB2312" w:hAnsi="宋体" w:eastAsia="仿宋_GB2312"/>
          <w:sz w:val="30"/>
          <w:szCs w:val="30"/>
        </w:rPr>
      </w:pPr>
      <w:r>
        <w:rPr>
          <w:rFonts w:ascii="仿宋_GB2312" w:hAnsi="宋体" w:eastAsia="仿宋_GB2312"/>
          <w:sz w:val="30"/>
          <w:szCs w:val="30"/>
        </w:rPr>
        <w:br w:type="page"/>
      </w:r>
    </w:p>
    <w:p>
      <w:pPr>
        <w:spacing w:line="560" w:lineRule="exact"/>
        <w:textAlignment w:val="baseline"/>
        <w:rPr>
          <w:rFonts w:ascii="仿宋_GB2312" w:hAnsi="宋体" w:eastAsia="仿宋_GB2312"/>
          <w:sz w:val="30"/>
          <w:szCs w:val="30"/>
        </w:rPr>
      </w:pPr>
      <w:r>
        <w:rPr>
          <w:rFonts w:hint="eastAsia" w:ascii="仿宋_GB2312" w:hAnsi="宋体" w:eastAsia="仿宋_GB2312"/>
          <w:sz w:val="30"/>
          <w:szCs w:val="30"/>
        </w:rPr>
        <w:t>电梯主电路、变频器主电路及控制电路设计与绘制专用绘图页</w:t>
      </w:r>
    </w:p>
    <w:p>
      <w:pPr>
        <w:spacing w:beforeLines="50" w:afterLines="50"/>
        <w:ind w:left="-708" w:leftChars="-337"/>
        <w:textAlignment w:val="baseline"/>
        <w:rPr>
          <w:rFonts w:ascii="仿宋_GB2312" w:hAnsi="宋体" w:eastAsia="仿宋_GB2312"/>
          <w:b/>
          <w:color w:val="000000"/>
          <w:sz w:val="28"/>
          <w:lang w:val="zh-CN"/>
        </w:rPr>
      </w:pPr>
      <w:r>
        <w:drawing>
          <wp:inline distT="0" distB="0" distL="0" distR="0">
            <wp:extent cx="5830570" cy="7919720"/>
            <wp:effectExtent l="19050" t="0" r="0" b="0"/>
            <wp:docPr id="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
                    <pic:cNvPicPr>
                      <a:picLocks noChangeAspect="1" noChangeArrowheads="1"/>
                    </pic:cNvPicPr>
                  </pic:nvPicPr>
                  <pic:blipFill>
                    <a:blip r:embed="rId27" cstate="print"/>
                    <a:srcRect/>
                    <a:stretch>
                      <a:fillRect/>
                    </a:stretch>
                  </pic:blipFill>
                  <pic:spPr>
                    <a:xfrm>
                      <a:off x="0" y="0"/>
                      <a:ext cx="5830826" cy="7920000"/>
                    </a:xfrm>
                    <a:prstGeom prst="rect">
                      <a:avLst/>
                    </a:prstGeom>
                    <a:noFill/>
                    <a:ln w="9525">
                      <a:noFill/>
                      <a:miter lim="800000"/>
                      <a:headEnd/>
                      <a:tailEnd/>
                    </a:ln>
                  </pic:spPr>
                </pic:pic>
              </a:graphicData>
            </a:graphic>
          </wp:inline>
        </w:drawing>
      </w:r>
    </w:p>
    <w:p>
      <w:pPr>
        <w:spacing w:beforeLines="50" w:afterLines="50" w:line="400" w:lineRule="atLeast"/>
        <w:ind w:firstLine="285" w:firstLineChars="95"/>
        <w:textAlignment w:val="baseline"/>
        <w:rPr>
          <w:rFonts w:ascii="仿宋_GB2312" w:hAnsi="宋体" w:eastAsia="仿宋_GB2312"/>
          <w:sz w:val="30"/>
          <w:szCs w:val="30"/>
        </w:rPr>
      </w:pPr>
    </w:p>
    <w:p>
      <w:pPr>
        <w:spacing w:beforeLines="50" w:afterLines="50" w:line="400" w:lineRule="atLeast"/>
        <w:ind w:firstLine="285" w:firstLineChars="95"/>
        <w:textAlignment w:val="baseline"/>
        <w:rPr>
          <w:rFonts w:ascii="仿宋_GB2312" w:hAnsi="宋体" w:eastAsia="仿宋_GB2312"/>
          <w:sz w:val="30"/>
          <w:szCs w:val="30"/>
        </w:rPr>
      </w:pPr>
      <w:r>
        <w:rPr>
          <w:rFonts w:hint="eastAsia" w:ascii="仿宋_GB2312" w:hAnsi="宋体" w:eastAsia="仿宋_GB2312"/>
          <w:sz w:val="30"/>
          <w:szCs w:val="30"/>
        </w:rPr>
        <w:t>电梯开关门电气控制电路设计及绘制专用页</w:t>
      </w:r>
    </w:p>
    <w:p>
      <w:pPr>
        <w:spacing w:line="400" w:lineRule="atLeast"/>
        <w:ind w:left="-567" w:leftChars="-270"/>
        <w:textAlignment w:val="baseline"/>
      </w:pPr>
      <w:r>
        <w:rPr>
          <w:rFonts w:ascii="仿宋_GB2312" w:hAnsi="宋体" w:eastAsia="仿宋_GB2312"/>
          <w:b/>
          <w:sz w:val="28"/>
        </w:rPr>
        <w:drawing>
          <wp:inline distT="0" distB="0" distL="0" distR="0">
            <wp:extent cx="5812155" cy="8221980"/>
            <wp:effectExtent l="19050" t="0" r="0" b="0"/>
            <wp:docPr id="19" name="图片 6" descr="THJDDT-5型电梯控制技术综合实训装置电气原理图 Model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6" descr="THJDDT-5型电梯控制技术综合实训装置电气原理图 Model (1)"/>
                    <pic:cNvPicPr>
                      <a:picLocks noChangeAspect="1" noChangeArrowheads="1"/>
                    </pic:cNvPicPr>
                  </pic:nvPicPr>
                  <pic:blipFill>
                    <a:blip r:embed="rId28" cstate="print"/>
                    <a:srcRect/>
                    <a:stretch>
                      <a:fillRect/>
                    </a:stretch>
                  </pic:blipFill>
                  <pic:spPr>
                    <a:xfrm>
                      <a:off x="0" y="0"/>
                      <a:ext cx="5814250" cy="8224778"/>
                    </a:xfrm>
                    <a:prstGeom prst="rect">
                      <a:avLst/>
                    </a:prstGeom>
                    <a:noFill/>
                    <a:ln w="9525">
                      <a:noFill/>
                      <a:miter lim="800000"/>
                      <a:headEnd/>
                      <a:tailEnd/>
                    </a:ln>
                  </pic:spPr>
                </pic:pic>
              </a:graphicData>
            </a:graphic>
          </wp:inline>
        </w:drawing>
      </w:r>
    </w:p>
    <w:p>
      <w:pPr>
        <w:spacing w:beforeLines="50" w:afterLines="50" w:line="400" w:lineRule="atLeast"/>
        <w:ind w:firstLine="285" w:firstLineChars="95"/>
        <w:textAlignment w:val="baseline"/>
        <w:rPr>
          <w:rFonts w:ascii="仿宋_GB2312" w:hAnsi="宋体" w:eastAsia="仿宋_GB2312"/>
          <w:sz w:val="30"/>
          <w:szCs w:val="30"/>
        </w:rPr>
      </w:pPr>
      <w:r>
        <w:rPr>
          <w:rFonts w:hint="eastAsia" w:ascii="仿宋_GB2312" w:hAnsi="宋体" w:eastAsia="仿宋_GB2312"/>
          <w:sz w:val="30"/>
          <w:szCs w:val="30"/>
        </w:rPr>
        <w:t>图5：PLC控制电梯I/O端口分配图</w:t>
      </w:r>
    </w:p>
    <w:p>
      <w:pPr>
        <w:spacing w:beforeLines="50" w:afterLines="50" w:line="400" w:lineRule="atLeast"/>
        <w:ind w:left="-850" w:leftChars="-405" w:firstLine="525" w:firstLineChars="250"/>
        <w:textAlignment w:val="baseline"/>
        <w:rPr>
          <w:rFonts w:ascii="仿宋_GB2312" w:hAnsi="宋体" w:eastAsia="仿宋_GB2312"/>
          <w:b/>
          <w:color w:val="000000"/>
          <w:sz w:val="28"/>
          <w:lang w:val="zh-CN"/>
        </w:rPr>
      </w:pPr>
      <w:r>
        <w:drawing>
          <wp:inline distT="0" distB="0" distL="0" distR="0">
            <wp:extent cx="5844540" cy="7919720"/>
            <wp:effectExtent l="19050" t="0" r="3624" b="0"/>
            <wp:docPr id="1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7"/>
                    <pic:cNvPicPr>
                      <a:picLocks noChangeAspect="1" noChangeArrowheads="1"/>
                    </pic:cNvPicPr>
                  </pic:nvPicPr>
                  <pic:blipFill>
                    <a:blip r:embed="rId29" cstate="print"/>
                    <a:srcRect/>
                    <a:stretch>
                      <a:fillRect/>
                    </a:stretch>
                  </pic:blipFill>
                  <pic:spPr>
                    <a:xfrm rot="10800000">
                      <a:off x="0" y="0"/>
                      <a:ext cx="5844726" cy="7920000"/>
                    </a:xfrm>
                    <a:prstGeom prst="rect">
                      <a:avLst/>
                    </a:prstGeom>
                    <a:noFill/>
                    <a:ln w="9525">
                      <a:noFill/>
                      <a:miter lim="800000"/>
                      <a:headEnd/>
                      <a:tailEnd/>
                    </a:ln>
                  </pic:spPr>
                </pic:pic>
              </a:graphicData>
            </a:graphic>
          </wp:inline>
        </w:drawing>
      </w:r>
    </w:p>
    <w:p>
      <w:pPr>
        <w:spacing w:beforeLines="50" w:afterLines="50" w:line="400" w:lineRule="atLeast"/>
        <w:textAlignment w:val="baseline"/>
        <w:rPr>
          <w:rFonts w:ascii="宋体" w:hAnsi="宋体" w:cs="宋体"/>
          <w:b/>
          <w:color w:val="000000"/>
          <w:sz w:val="28"/>
          <w:lang w:val="zh-CN"/>
        </w:rPr>
      </w:pPr>
    </w:p>
    <w:p>
      <w:pPr>
        <w:spacing w:beforeLines="50" w:afterLines="50" w:line="400" w:lineRule="atLeast"/>
        <w:textAlignment w:val="baseline"/>
        <w:rPr>
          <w:rFonts w:ascii="宋体" w:hAnsi="宋体" w:cs="宋体"/>
          <w:b/>
          <w:color w:val="000000"/>
          <w:sz w:val="28"/>
          <w:lang w:val="zh-CN"/>
        </w:rPr>
      </w:pPr>
      <w:r>
        <w:rPr>
          <w:rFonts w:hint="eastAsia" w:ascii="宋体" w:hAnsi="宋体" w:cs="宋体"/>
          <w:b/>
          <w:color w:val="000000"/>
          <w:sz w:val="28"/>
          <w:lang w:val="zh-CN"/>
        </w:rPr>
        <w:t>图6：电梯电气控制柜带故障设置接线图</w:t>
      </w:r>
    </w:p>
    <w:p>
      <w:pPr>
        <w:ind w:left="-850" w:leftChars="-405" w:firstLine="210" w:firstLineChars="100"/>
        <w:textAlignment w:val="baseline"/>
        <w:rPr>
          <w:rFonts w:ascii="仿宋_GB2312" w:eastAsia="仿宋_GB2312"/>
          <w:sz w:val="28"/>
        </w:rPr>
      </w:pPr>
      <w:r>
        <w:drawing>
          <wp:anchor distT="0" distB="0" distL="114300" distR="114300" simplePos="0" relativeHeight="251639808" behindDoc="0" locked="0" layoutInCell="1" allowOverlap="1">
            <wp:simplePos x="0" y="0"/>
            <wp:positionH relativeFrom="column">
              <wp:posOffset>699770</wp:posOffset>
            </wp:positionH>
            <wp:positionV relativeFrom="paragraph">
              <wp:posOffset>236855</wp:posOffset>
            </wp:positionV>
            <wp:extent cx="4564380" cy="7302500"/>
            <wp:effectExtent l="0" t="0" r="0" b="0"/>
            <wp:wrapNone/>
            <wp:docPr id="1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8"/>
                    <pic:cNvPicPr>
                      <a:picLocks noChangeAspect="1" noChangeArrowheads="1"/>
                    </pic:cNvPicPr>
                  </pic:nvPicPr>
                  <pic:blipFill>
                    <a:blip r:embed="rId30" cstate="print"/>
                    <a:srcRect/>
                    <a:stretch>
                      <a:fillRect/>
                    </a:stretch>
                  </pic:blipFill>
                  <pic:spPr>
                    <a:xfrm>
                      <a:off x="0" y="0"/>
                      <a:ext cx="4564380" cy="7302500"/>
                    </a:xfrm>
                    <a:prstGeom prst="rect">
                      <a:avLst/>
                    </a:prstGeom>
                    <a:noFill/>
                    <a:ln w="9525">
                      <a:noFill/>
                      <a:miter lim="800000"/>
                      <a:headEnd/>
                      <a:tailEnd/>
                    </a:ln>
                  </pic:spPr>
                </pic:pic>
              </a:graphicData>
            </a:graphic>
          </wp:anchor>
        </w:drawing>
      </w:r>
      <w:r>
        <w:drawing>
          <wp:inline distT="0" distB="0" distL="0" distR="0">
            <wp:extent cx="6276975" cy="8296275"/>
            <wp:effectExtent l="19050" t="0" r="9525" b="0"/>
            <wp:docPr id="1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8"/>
                    <pic:cNvPicPr>
                      <a:picLocks noChangeAspect="1" noChangeArrowheads="1"/>
                    </pic:cNvPicPr>
                  </pic:nvPicPr>
                  <pic:blipFill>
                    <a:blip r:embed="rId31" cstate="print"/>
                    <a:srcRect/>
                    <a:stretch>
                      <a:fillRect/>
                    </a:stretch>
                  </pic:blipFill>
                  <pic:spPr>
                    <a:xfrm>
                      <a:off x="0" y="0"/>
                      <a:ext cx="6276975" cy="8296275"/>
                    </a:xfrm>
                    <a:prstGeom prst="rect">
                      <a:avLst/>
                    </a:prstGeom>
                    <a:noFill/>
                    <a:ln w="9525">
                      <a:noFill/>
                      <a:miter lim="800000"/>
                      <a:headEnd/>
                      <a:tailEnd/>
                    </a:ln>
                  </pic:spPr>
                </pic:pic>
              </a:graphicData>
            </a:graphic>
          </wp:inline>
        </w:drawing>
      </w:r>
    </w:p>
    <w:p>
      <w:pPr>
        <w:spacing w:beforeLines="50" w:afterLines="50" w:line="400" w:lineRule="atLeast"/>
        <w:textAlignment w:val="baseline"/>
        <w:rPr>
          <w:rFonts w:ascii="宋体" w:hAnsi="宋体" w:cs="宋体"/>
          <w:b/>
          <w:color w:val="000000"/>
          <w:sz w:val="28"/>
          <w:lang w:val="zh-CN"/>
        </w:rPr>
      </w:pPr>
      <w:r>
        <w:rPr>
          <w:rFonts w:hint="eastAsia" w:ascii="宋体" w:hAnsi="宋体" w:cs="宋体"/>
          <w:b/>
          <w:color w:val="000000"/>
          <w:sz w:val="28"/>
          <w:lang w:val="zh-CN"/>
        </w:rPr>
        <w:t>图7：电梯模型接线图</w:t>
      </w:r>
    </w:p>
    <w:p>
      <w:pPr>
        <w:ind w:left="-708" w:leftChars="-337"/>
        <w:textAlignment w:val="baseline"/>
        <w:rPr>
          <w:rFonts w:ascii="宋体" w:hAnsi="宋体"/>
          <w:b/>
          <w:sz w:val="24"/>
          <w:szCs w:val="24"/>
          <w:lang w:val="zh-CN"/>
        </w:rPr>
        <w:sectPr>
          <w:footerReference r:id="rId3" w:type="default"/>
          <w:footerReference r:id="rId4" w:type="even"/>
          <w:pgSz w:w="11907" w:h="16840"/>
          <w:pgMar w:top="1440" w:right="1797" w:bottom="1440" w:left="1797" w:header="851" w:footer="1077" w:gutter="0"/>
          <w:pgNumType w:start="0"/>
          <w:cols w:space="720" w:num="1"/>
          <w:titlePg/>
          <w:docGrid w:linePitch="312" w:charSpace="0"/>
        </w:sectPr>
      </w:pPr>
      <w:r>
        <w:drawing>
          <wp:anchor distT="0" distB="0" distL="114300" distR="114300" simplePos="0" relativeHeight="251638784" behindDoc="0" locked="0" layoutInCell="1" allowOverlap="1">
            <wp:simplePos x="0" y="0"/>
            <wp:positionH relativeFrom="column">
              <wp:posOffset>99060</wp:posOffset>
            </wp:positionH>
            <wp:positionV relativeFrom="paragraph">
              <wp:posOffset>497840</wp:posOffset>
            </wp:positionV>
            <wp:extent cx="5563870" cy="6210935"/>
            <wp:effectExtent l="0" t="0" r="0" b="0"/>
            <wp:wrapNone/>
            <wp:docPr id="1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0"/>
                    <pic:cNvPicPr>
                      <a:picLocks noChangeAspect="1" noChangeArrowheads="1"/>
                    </pic:cNvPicPr>
                  </pic:nvPicPr>
                  <pic:blipFill>
                    <a:blip r:embed="rId32" cstate="print"/>
                    <a:srcRect/>
                    <a:stretch>
                      <a:fillRect/>
                    </a:stretch>
                  </pic:blipFill>
                  <pic:spPr>
                    <a:xfrm>
                      <a:off x="0" y="0"/>
                      <a:ext cx="5564038" cy="6211019"/>
                    </a:xfrm>
                    <a:prstGeom prst="rect">
                      <a:avLst/>
                    </a:prstGeom>
                    <a:noFill/>
                    <a:ln w="9525">
                      <a:noFill/>
                      <a:miter lim="800000"/>
                      <a:headEnd/>
                      <a:tailEnd/>
                    </a:ln>
                  </pic:spPr>
                </pic:pic>
              </a:graphicData>
            </a:graphic>
          </wp:anchor>
        </w:drawing>
      </w:r>
      <w:r>
        <w:drawing>
          <wp:inline distT="0" distB="0" distL="0" distR="0">
            <wp:extent cx="6334125" cy="8382000"/>
            <wp:effectExtent l="19050" t="0" r="9525" b="0"/>
            <wp:docPr id="1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9"/>
                    <pic:cNvPicPr>
                      <a:picLocks noChangeAspect="1" noChangeArrowheads="1"/>
                    </pic:cNvPicPr>
                  </pic:nvPicPr>
                  <pic:blipFill>
                    <a:blip r:embed="rId33" cstate="print"/>
                    <a:srcRect/>
                    <a:stretch>
                      <a:fillRect/>
                    </a:stretch>
                  </pic:blipFill>
                  <pic:spPr>
                    <a:xfrm>
                      <a:off x="0" y="0"/>
                      <a:ext cx="6334125" cy="8382000"/>
                    </a:xfrm>
                    <a:prstGeom prst="rect">
                      <a:avLst/>
                    </a:prstGeom>
                    <a:noFill/>
                    <a:ln w="9525">
                      <a:noFill/>
                      <a:miter lim="800000"/>
                      <a:headEnd/>
                      <a:tailEnd/>
                    </a:ln>
                  </pic:spPr>
                </pic:pic>
              </a:graphicData>
            </a:graphic>
          </wp:inline>
        </w:drawing>
      </w:r>
    </w:p>
    <w:p>
      <w:pPr>
        <w:spacing w:beforeLines="50" w:afterLines="50" w:line="400" w:lineRule="atLeast"/>
        <w:textAlignment w:val="baseline"/>
        <w:rPr>
          <w:rFonts w:ascii="宋体" w:hAnsi="宋体" w:cs="宋体"/>
          <w:b/>
          <w:color w:val="000000"/>
          <w:sz w:val="28"/>
          <w:lang w:val="zh-CN"/>
        </w:rPr>
      </w:pPr>
      <w:r>
        <w:rPr>
          <w:rFonts w:hint="eastAsia" w:ascii="宋体" w:hAnsi="宋体" w:cs="宋体"/>
          <w:b/>
          <w:color w:val="000000"/>
          <w:sz w:val="28"/>
          <w:lang w:val="zh-CN"/>
        </w:rPr>
        <w:t>图8：电梯电气控制柜接线图</w:t>
      </w:r>
    </w:p>
    <w:p>
      <w:pPr>
        <w:jc w:val="center"/>
      </w:pPr>
      <w:r>
        <w:drawing>
          <wp:anchor distT="0" distB="0" distL="114300" distR="114300" simplePos="0" relativeHeight="251640832" behindDoc="0" locked="0" layoutInCell="1" allowOverlap="1">
            <wp:simplePos x="0" y="0"/>
            <wp:positionH relativeFrom="column">
              <wp:posOffset>622300</wp:posOffset>
            </wp:positionH>
            <wp:positionV relativeFrom="paragraph">
              <wp:posOffset>324485</wp:posOffset>
            </wp:positionV>
            <wp:extent cx="4982845" cy="6911340"/>
            <wp:effectExtent l="19050" t="0" r="8255" b="0"/>
            <wp:wrapNone/>
            <wp:docPr id="15" name="图片 12" descr="复件 THJDDT-5A型柜子成品接线图改图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2" descr="复件 THJDDT-5A型柜子成品接线图改图框"/>
                    <pic:cNvPicPr>
                      <a:picLocks noChangeAspect="1" noChangeArrowheads="1"/>
                    </pic:cNvPicPr>
                  </pic:nvPicPr>
                  <pic:blipFill>
                    <a:blip r:embed="rId34" cstate="print"/>
                    <a:srcRect/>
                    <a:stretch>
                      <a:fillRect/>
                    </a:stretch>
                  </pic:blipFill>
                  <pic:spPr>
                    <a:xfrm>
                      <a:off x="0" y="0"/>
                      <a:ext cx="4982845" cy="6911340"/>
                    </a:xfrm>
                    <a:prstGeom prst="rect">
                      <a:avLst/>
                    </a:prstGeom>
                    <a:noFill/>
                    <a:ln w="9525">
                      <a:noFill/>
                      <a:miter lim="800000"/>
                      <a:headEnd/>
                      <a:tailEnd/>
                    </a:ln>
                  </pic:spPr>
                </pic:pic>
              </a:graphicData>
            </a:graphic>
          </wp:anchor>
        </w:drawing>
      </w:r>
      <w:r>
        <w:drawing>
          <wp:inline distT="0" distB="0" distL="0" distR="0">
            <wp:extent cx="5973445" cy="7880350"/>
            <wp:effectExtent l="19050" t="0" r="8038" b="0"/>
            <wp:docPr id="1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0"/>
                    <pic:cNvPicPr>
                      <a:picLocks noChangeAspect="1" noChangeArrowheads="1"/>
                    </pic:cNvPicPr>
                  </pic:nvPicPr>
                  <pic:blipFill>
                    <a:blip r:embed="rId35" cstate="print"/>
                    <a:srcRect/>
                    <a:stretch>
                      <a:fillRect/>
                    </a:stretch>
                  </pic:blipFill>
                  <pic:spPr>
                    <a:xfrm>
                      <a:off x="0" y="0"/>
                      <a:ext cx="5973662" cy="7880350"/>
                    </a:xfrm>
                    <a:prstGeom prst="rect">
                      <a:avLst/>
                    </a:prstGeom>
                    <a:noFill/>
                    <a:ln w="9525">
                      <a:noFill/>
                      <a:miter lim="800000"/>
                      <a:headEnd/>
                      <a:tailEnd/>
                    </a:ln>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Arial Narrow">
    <w:panose1 w:val="020B0606020202030204"/>
    <w:charset w:val="00"/>
    <w:family w:val="swiss"/>
    <w:pitch w:val="default"/>
    <w:sig w:usb0="00000287" w:usb1="00000800" w:usb2="00000000" w:usb3="00000000" w:csb0="2000009F" w:csb1="DFD70000"/>
  </w:font>
  <w:font w:name="楷体">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right="360"/>
      <w:jc w:val="center"/>
      <w:rPr>
        <w:rFonts w:asciiTheme="minorEastAsia" w:hAnsiTheme="minorEastAsia"/>
        <w:sz w:val="21"/>
        <w:szCs w:val="21"/>
      </w:rPr>
    </w:pPr>
    <w:r>
      <w:rPr>
        <w:rStyle w:val="7"/>
        <w:rFonts w:asciiTheme="minorEastAsia" w:hAnsiTheme="minorEastAsia"/>
        <w:sz w:val="21"/>
        <w:szCs w:val="21"/>
      </w:rPr>
      <w:fldChar w:fldCharType="begin"/>
    </w:r>
    <w:r>
      <w:rPr>
        <w:rStyle w:val="7"/>
        <w:rFonts w:asciiTheme="minorEastAsia" w:hAnsiTheme="minorEastAsia"/>
        <w:sz w:val="21"/>
        <w:szCs w:val="21"/>
      </w:rPr>
      <w:instrText xml:space="preserve"> PAGE </w:instrText>
    </w:r>
    <w:r>
      <w:rPr>
        <w:rStyle w:val="7"/>
        <w:rFonts w:asciiTheme="minorEastAsia" w:hAnsiTheme="minorEastAsia"/>
        <w:sz w:val="21"/>
        <w:szCs w:val="21"/>
      </w:rPr>
      <w:fldChar w:fldCharType="separate"/>
    </w:r>
    <w:r>
      <w:rPr>
        <w:rStyle w:val="7"/>
        <w:rFonts w:asciiTheme="minorEastAsia" w:hAnsiTheme="minorEastAsia"/>
        <w:sz w:val="21"/>
        <w:szCs w:val="21"/>
      </w:rPr>
      <w:t>22</w:t>
    </w:r>
    <w:r>
      <w:rPr>
        <w:rStyle w:val="7"/>
        <w:rFonts w:asciiTheme="minorEastAsia" w:hAnsiTheme="minorEastAsia"/>
        <w:sz w:val="21"/>
        <w:szCs w:val="21"/>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7"/>
      </w:rPr>
    </w:pPr>
    <w:r>
      <w:fldChar w:fldCharType="begin"/>
    </w:r>
    <w:r>
      <w:rPr>
        <w:rStyle w:val="7"/>
      </w:rPr>
      <w:instrText xml:space="preserve">PAGE  </w:instrText>
    </w:r>
    <w:r>
      <w:fldChar w:fldCharType="end"/>
    </w:r>
  </w:p>
  <w:p>
    <w:pPr>
      <w:pStyle w:val="4"/>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D6C949"/>
    <w:multiLevelType w:val="singleLevel"/>
    <w:tmpl w:val="68D6C949"/>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284BA1"/>
    <w:rsid w:val="00000EFA"/>
    <w:rsid w:val="00002C77"/>
    <w:rsid w:val="00005045"/>
    <w:rsid w:val="00005113"/>
    <w:rsid w:val="000076B9"/>
    <w:rsid w:val="00007A59"/>
    <w:rsid w:val="00010282"/>
    <w:rsid w:val="00010C07"/>
    <w:rsid w:val="000113DB"/>
    <w:rsid w:val="0001190E"/>
    <w:rsid w:val="00016795"/>
    <w:rsid w:val="00023080"/>
    <w:rsid w:val="00023EB8"/>
    <w:rsid w:val="00027829"/>
    <w:rsid w:val="00030294"/>
    <w:rsid w:val="00030DC5"/>
    <w:rsid w:val="00031A0A"/>
    <w:rsid w:val="00031B29"/>
    <w:rsid w:val="00032C34"/>
    <w:rsid w:val="00034FD0"/>
    <w:rsid w:val="00035389"/>
    <w:rsid w:val="00042278"/>
    <w:rsid w:val="00042467"/>
    <w:rsid w:val="00046FEF"/>
    <w:rsid w:val="00047BC1"/>
    <w:rsid w:val="00053825"/>
    <w:rsid w:val="00053C44"/>
    <w:rsid w:val="00053E0F"/>
    <w:rsid w:val="0005404E"/>
    <w:rsid w:val="00055587"/>
    <w:rsid w:val="000613FA"/>
    <w:rsid w:val="00061929"/>
    <w:rsid w:val="000656D1"/>
    <w:rsid w:val="000663CF"/>
    <w:rsid w:val="000677A5"/>
    <w:rsid w:val="00070C98"/>
    <w:rsid w:val="00071013"/>
    <w:rsid w:val="00071A7C"/>
    <w:rsid w:val="00072229"/>
    <w:rsid w:val="00072D0F"/>
    <w:rsid w:val="000737A1"/>
    <w:rsid w:val="00075776"/>
    <w:rsid w:val="00075A66"/>
    <w:rsid w:val="0007611B"/>
    <w:rsid w:val="00081881"/>
    <w:rsid w:val="00085007"/>
    <w:rsid w:val="00085CB3"/>
    <w:rsid w:val="00087AD5"/>
    <w:rsid w:val="0009467C"/>
    <w:rsid w:val="00094937"/>
    <w:rsid w:val="000979F8"/>
    <w:rsid w:val="00097D1A"/>
    <w:rsid w:val="000A13D7"/>
    <w:rsid w:val="000A1620"/>
    <w:rsid w:val="000A39E1"/>
    <w:rsid w:val="000A4BC9"/>
    <w:rsid w:val="000A77CD"/>
    <w:rsid w:val="000B0C8A"/>
    <w:rsid w:val="000B2BA7"/>
    <w:rsid w:val="000B50A0"/>
    <w:rsid w:val="000D0097"/>
    <w:rsid w:val="000D0B57"/>
    <w:rsid w:val="000D1907"/>
    <w:rsid w:val="000D1EAF"/>
    <w:rsid w:val="000D6123"/>
    <w:rsid w:val="000D729F"/>
    <w:rsid w:val="000D762A"/>
    <w:rsid w:val="000D7726"/>
    <w:rsid w:val="000E0734"/>
    <w:rsid w:val="000E2127"/>
    <w:rsid w:val="000E24E1"/>
    <w:rsid w:val="000E420F"/>
    <w:rsid w:val="000E53F7"/>
    <w:rsid w:val="000E77B4"/>
    <w:rsid w:val="000F2671"/>
    <w:rsid w:val="000F38CC"/>
    <w:rsid w:val="000F4F05"/>
    <w:rsid w:val="000F56C1"/>
    <w:rsid w:val="00103C70"/>
    <w:rsid w:val="001044FB"/>
    <w:rsid w:val="0010484C"/>
    <w:rsid w:val="001106B6"/>
    <w:rsid w:val="0011098E"/>
    <w:rsid w:val="0011139E"/>
    <w:rsid w:val="00112AD6"/>
    <w:rsid w:val="00113270"/>
    <w:rsid w:val="001178E2"/>
    <w:rsid w:val="001219D4"/>
    <w:rsid w:val="00122D2B"/>
    <w:rsid w:val="0012396F"/>
    <w:rsid w:val="001248D2"/>
    <w:rsid w:val="00124FE5"/>
    <w:rsid w:val="00125E97"/>
    <w:rsid w:val="00127458"/>
    <w:rsid w:val="00130A25"/>
    <w:rsid w:val="0013172E"/>
    <w:rsid w:val="001343EB"/>
    <w:rsid w:val="00140175"/>
    <w:rsid w:val="00140647"/>
    <w:rsid w:val="00142499"/>
    <w:rsid w:val="00142C4F"/>
    <w:rsid w:val="001437DC"/>
    <w:rsid w:val="00143EC9"/>
    <w:rsid w:val="00144A80"/>
    <w:rsid w:val="001508F6"/>
    <w:rsid w:val="00152588"/>
    <w:rsid w:val="001525B0"/>
    <w:rsid w:val="00153839"/>
    <w:rsid w:val="00153B58"/>
    <w:rsid w:val="001562E7"/>
    <w:rsid w:val="00157010"/>
    <w:rsid w:val="00157A0F"/>
    <w:rsid w:val="00162696"/>
    <w:rsid w:val="00162D04"/>
    <w:rsid w:val="00164528"/>
    <w:rsid w:val="00166560"/>
    <w:rsid w:val="00170834"/>
    <w:rsid w:val="00170909"/>
    <w:rsid w:val="00171AD9"/>
    <w:rsid w:val="00172999"/>
    <w:rsid w:val="001735D8"/>
    <w:rsid w:val="001745DC"/>
    <w:rsid w:val="00176E20"/>
    <w:rsid w:val="0017729A"/>
    <w:rsid w:val="0018119B"/>
    <w:rsid w:val="00181D14"/>
    <w:rsid w:val="00185FDE"/>
    <w:rsid w:val="00187314"/>
    <w:rsid w:val="00196C76"/>
    <w:rsid w:val="0019778C"/>
    <w:rsid w:val="001A0BB4"/>
    <w:rsid w:val="001A3BD9"/>
    <w:rsid w:val="001A43EA"/>
    <w:rsid w:val="001A6C49"/>
    <w:rsid w:val="001B0106"/>
    <w:rsid w:val="001B4882"/>
    <w:rsid w:val="001B4BC2"/>
    <w:rsid w:val="001B573D"/>
    <w:rsid w:val="001C4142"/>
    <w:rsid w:val="001D472D"/>
    <w:rsid w:val="001E01A0"/>
    <w:rsid w:val="001E1391"/>
    <w:rsid w:val="001E6AF0"/>
    <w:rsid w:val="001E6F92"/>
    <w:rsid w:val="001E7077"/>
    <w:rsid w:val="001F0327"/>
    <w:rsid w:val="001F0782"/>
    <w:rsid w:val="001F188F"/>
    <w:rsid w:val="001F4AF5"/>
    <w:rsid w:val="001F51A4"/>
    <w:rsid w:val="001F528A"/>
    <w:rsid w:val="002007E2"/>
    <w:rsid w:val="002009AD"/>
    <w:rsid w:val="00202B22"/>
    <w:rsid w:val="00202CBD"/>
    <w:rsid w:val="00205075"/>
    <w:rsid w:val="00207B8F"/>
    <w:rsid w:val="0021010B"/>
    <w:rsid w:val="00210735"/>
    <w:rsid w:val="002107FA"/>
    <w:rsid w:val="0021126A"/>
    <w:rsid w:val="00212B07"/>
    <w:rsid w:val="00212BE8"/>
    <w:rsid w:val="00226CAF"/>
    <w:rsid w:val="00227B7D"/>
    <w:rsid w:val="0023125D"/>
    <w:rsid w:val="00231397"/>
    <w:rsid w:val="0023666A"/>
    <w:rsid w:val="00236917"/>
    <w:rsid w:val="002404CF"/>
    <w:rsid w:val="00240EF9"/>
    <w:rsid w:val="00241876"/>
    <w:rsid w:val="00243BB6"/>
    <w:rsid w:val="00244545"/>
    <w:rsid w:val="00244BF1"/>
    <w:rsid w:val="00246321"/>
    <w:rsid w:val="00246BFB"/>
    <w:rsid w:val="002511B2"/>
    <w:rsid w:val="00251A2E"/>
    <w:rsid w:val="00252637"/>
    <w:rsid w:val="00252A2F"/>
    <w:rsid w:val="002548C5"/>
    <w:rsid w:val="00255801"/>
    <w:rsid w:val="00255A6F"/>
    <w:rsid w:val="00256A4F"/>
    <w:rsid w:val="00256C37"/>
    <w:rsid w:val="002578C1"/>
    <w:rsid w:val="00261E49"/>
    <w:rsid w:val="0026702A"/>
    <w:rsid w:val="00270232"/>
    <w:rsid w:val="002730C3"/>
    <w:rsid w:val="00275D67"/>
    <w:rsid w:val="00277EEF"/>
    <w:rsid w:val="002807CA"/>
    <w:rsid w:val="00282BBC"/>
    <w:rsid w:val="00284BA1"/>
    <w:rsid w:val="00287ABB"/>
    <w:rsid w:val="00287B4A"/>
    <w:rsid w:val="00287E0F"/>
    <w:rsid w:val="00291DBB"/>
    <w:rsid w:val="00294BAD"/>
    <w:rsid w:val="002A0B67"/>
    <w:rsid w:val="002A3D40"/>
    <w:rsid w:val="002A5EEC"/>
    <w:rsid w:val="002A69BB"/>
    <w:rsid w:val="002A7825"/>
    <w:rsid w:val="002B4BC0"/>
    <w:rsid w:val="002B6193"/>
    <w:rsid w:val="002B73D8"/>
    <w:rsid w:val="002B7527"/>
    <w:rsid w:val="002C21B4"/>
    <w:rsid w:val="002C2B0B"/>
    <w:rsid w:val="002C64B4"/>
    <w:rsid w:val="002C6E94"/>
    <w:rsid w:val="002D0B10"/>
    <w:rsid w:val="002D364B"/>
    <w:rsid w:val="002D51EA"/>
    <w:rsid w:val="002D539F"/>
    <w:rsid w:val="002D694C"/>
    <w:rsid w:val="002E2646"/>
    <w:rsid w:val="002E3975"/>
    <w:rsid w:val="002E5FB0"/>
    <w:rsid w:val="002E64C1"/>
    <w:rsid w:val="002E78BD"/>
    <w:rsid w:val="002F064C"/>
    <w:rsid w:val="002F1D72"/>
    <w:rsid w:val="002F2205"/>
    <w:rsid w:val="002F259A"/>
    <w:rsid w:val="002F3118"/>
    <w:rsid w:val="002F466C"/>
    <w:rsid w:val="002F6A1E"/>
    <w:rsid w:val="00302D57"/>
    <w:rsid w:val="00306886"/>
    <w:rsid w:val="00307A56"/>
    <w:rsid w:val="003106A3"/>
    <w:rsid w:val="0031422D"/>
    <w:rsid w:val="00315606"/>
    <w:rsid w:val="003164F9"/>
    <w:rsid w:val="003178DC"/>
    <w:rsid w:val="0032175F"/>
    <w:rsid w:val="00321BC1"/>
    <w:rsid w:val="003225D3"/>
    <w:rsid w:val="00330FCF"/>
    <w:rsid w:val="00331D8E"/>
    <w:rsid w:val="00331DFB"/>
    <w:rsid w:val="0033266F"/>
    <w:rsid w:val="00340C6F"/>
    <w:rsid w:val="00341838"/>
    <w:rsid w:val="00341C9E"/>
    <w:rsid w:val="00342749"/>
    <w:rsid w:val="00343437"/>
    <w:rsid w:val="003449A0"/>
    <w:rsid w:val="00344CD1"/>
    <w:rsid w:val="0034537B"/>
    <w:rsid w:val="00346DE6"/>
    <w:rsid w:val="00347F16"/>
    <w:rsid w:val="00351C6D"/>
    <w:rsid w:val="00352A23"/>
    <w:rsid w:val="00354AAB"/>
    <w:rsid w:val="00356DF6"/>
    <w:rsid w:val="00356F08"/>
    <w:rsid w:val="00360CC3"/>
    <w:rsid w:val="003636C9"/>
    <w:rsid w:val="00363AD4"/>
    <w:rsid w:val="00364360"/>
    <w:rsid w:val="003644F1"/>
    <w:rsid w:val="003647EA"/>
    <w:rsid w:val="00365918"/>
    <w:rsid w:val="003715B1"/>
    <w:rsid w:val="00371F54"/>
    <w:rsid w:val="00371FB3"/>
    <w:rsid w:val="00376CAB"/>
    <w:rsid w:val="00380941"/>
    <w:rsid w:val="00380A20"/>
    <w:rsid w:val="00380DB5"/>
    <w:rsid w:val="00380F5B"/>
    <w:rsid w:val="003816B2"/>
    <w:rsid w:val="00384B41"/>
    <w:rsid w:val="00385072"/>
    <w:rsid w:val="00390CBC"/>
    <w:rsid w:val="00392DDE"/>
    <w:rsid w:val="003939D6"/>
    <w:rsid w:val="00394E12"/>
    <w:rsid w:val="00395A7B"/>
    <w:rsid w:val="00395DB0"/>
    <w:rsid w:val="00396169"/>
    <w:rsid w:val="003A1497"/>
    <w:rsid w:val="003A3C9B"/>
    <w:rsid w:val="003A3CB4"/>
    <w:rsid w:val="003A70AF"/>
    <w:rsid w:val="003B1379"/>
    <w:rsid w:val="003B2242"/>
    <w:rsid w:val="003B4F4A"/>
    <w:rsid w:val="003B734A"/>
    <w:rsid w:val="003C0D9A"/>
    <w:rsid w:val="003C52A8"/>
    <w:rsid w:val="003C5531"/>
    <w:rsid w:val="003D08AD"/>
    <w:rsid w:val="003D18D5"/>
    <w:rsid w:val="003D3924"/>
    <w:rsid w:val="003D6D07"/>
    <w:rsid w:val="003D74AC"/>
    <w:rsid w:val="003E062E"/>
    <w:rsid w:val="003E1AD5"/>
    <w:rsid w:val="003E1E16"/>
    <w:rsid w:val="003E3119"/>
    <w:rsid w:val="003E38EB"/>
    <w:rsid w:val="003E3E16"/>
    <w:rsid w:val="003E4728"/>
    <w:rsid w:val="003E673B"/>
    <w:rsid w:val="003E705F"/>
    <w:rsid w:val="003F11C5"/>
    <w:rsid w:val="003F11D5"/>
    <w:rsid w:val="003F527A"/>
    <w:rsid w:val="003F5318"/>
    <w:rsid w:val="003F597C"/>
    <w:rsid w:val="003F6C86"/>
    <w:rsid w:val="004000A5"/>
    <w:rsid w:val="0040564F"/>
    <w:rsid w:val="004071FD"/>
    <w:rsid w:val="00407FBF"/>
    <w:rsid w:val="00411A5D"/>
    <w:rsid w:val="0041466D"/>
    <w:rsid w:val="00417066"/>
    <w:rsid w:val="00417EE0"/>
    <w:rsid w:val="004219EB"/>
    <w:rsid w:val="00422A7F"/>
    <w:rsid w:val="00424B81"/>
    <w:rsid w:val="00427686"/>
    <w:rsid w:val="004308A8"/>
    <w:rsid w:val="0043187A"/>
    <w:rsid w:val="00432792"/>
    <w:rsid w:val="00433017"/>
    <w:rsid w:val="00433B21"/>
    <w:rsid w:val="00434224"/>
    <w:rsid w:val="00445630"/>
    <w:rsid w:val="00451C89"/>
    <w:rsid w:val="00453BA0"/>
    <w:rsid w:val="004559D1"/>
    <w:rsid w:val="004578C1"/>
    <w:rsid w:val="00464BB2"/>
    <w:rsid w:val="00465914"/>
    <w:rsid w:val="00465970"/>
    <w:rsid w:val="0046624B"/>
    <w:rsid w:val="0047189B"/>
    <w:rsid w:val="004721C4"/>
    <w:rsid w:val="00473705"/>
    <w:rsid w:val="00473A88"/>
    <w:rsid w:val="004740E5"/>
    <w:rsid w:val="00474BEE"/>
    <w:rsid w:val="0047763B"/>
    <w:rsid w:val="00477EEE"/>
    <w:rsid w:val="00482D71"/>
    <w:rsid w:val="00483DA6"/>
    <w:rsid w:val="004847C1"/>
    <w:rsid w:val="004849C8"/>
    <w:rsid w:val="00484EBD"/>
    <w:rsid w:val="00485F22"/>
    <w:rsid w:val="00486A2E"/>
    <w:rsid w:val="00487595"/>
    <w:rsid w:val="00490EBE"/>
    <w:rsid w:val="0049614B"/>
    <w:rsid w:val="004968BE"/>
    <w:rsid w:val="00496B03"/>
    <w:rsid w:val="0049719B"/>
    <w:rsid w:val="004A4393"/>
    <w:rsid w:val="004A44A4"/>
    <w:rsid w:val="004A4BC8"/>
    <w:rsid w:val="004A5CCB"/>
    <w:rsid w:val="004A7121"/>
    <w:rsid w:val="004B3B6F"/>
    <w:rsid w:val="004B4627"/>
    <w:rsid w:val="004B4FDE"/>
    <w:rsid w:val="004B6DE9"/>
    <w:rsid w:val="004C0536"/>
    <w:rsid w:val="004C19CF"/>
    <w:rsid w:val="004C26D4"/>
    <w:rsid w:val="004C2B5B"/>
    <w:rsid w:val="004C3454"/>
    <w:rsid w:val="004C4114"/>
    <w:rsid w:val="004D0339"/>
    <w:rsid w:val="004D057A"/>
    <w:rsid w:val="004D2009"/>
    <w:rsid w:val="004D2652"/>
    <w:rsid w:val="004E1959"/>
    <w:rsid w:val="004E2F4B"/>
    <w:rsid w:val="004E3C98"/>
    <w:rsid w:val="004F0471"/>
    <w:rsid w:val="004F17DA"/>
    <w:rsid w:val="004F1D02"/>
    <w:rsid w:val="004F38DB"/>
    <w:rsid w:val="004F45AE"/>
    <w:rsid w:val="004F46A1"/>
    <w:rsid w:val="004F4B37"/>
    <w:rsid w:val="00500367"/>
    <w:rsid w:val="00503527"/>
    <w:rsid w:val="005036CA"/>
    <w:rsid w:val="00503DA3"/>
    <w:rsid w:val="00504804"/>
    <w:rsid w:val="005051A8"/>
    <w:rsid w:val="00505784"/>
    <w:rsid w:val="0050590D"/>
    <w:rsid w:val="00507838"/>
    <w:rsid w:val="005114FB"/>
    <w:rsid w:val="0051442F"/>
    <w:rsid w:val="005145CF"/>
    <w:rsid w:val="00516365"/>
    <w:rsid w:val="005170EB"/>
    <w:rsid w:val="00517349"/>
    <w:rsid w:val="00523E23"/>
    <w:rsid w:val="00524085"/>
    <w:rsid w:val="00524FD5"/>
    <w:rsid w:val="00530127"/>
    <w:rsid w:val="0053679B"/>
    <w:rsid w:val="005369CC"/>
    <w:rsid w:val="0053726C"/>
    <w:rsid w:val="00540D93"/>
    <w:rsid w:val="005431C9"/>
    <w:rsid w:val="00543699"/>
    <w:rsid w:val="00543F4B"/>
    <w:rsid w:val="0054440E"/>
    <w:rsid w:val="005471B8"/>
    <w:rsid w:val="005502D0"/>
    <w:rsid w:val="00552B30"/>
    <w:rsid w:val="005542F3"/>
    <w:rsid w:val="00554DCD"/>
    <w:rsid w:val="0055508D"/>
    <w:rsid w:val="00560D98"/>
    <w:rsid w:val="00567389"/>
    <w:rsid w:val="00573E1F"/>
    <w:rsid w:val="00574E6F"/>
    <w:rsid w:val="00575E91"/>
    <w:rsid w:val="00576A48"/>
    <w:rsid w:val="00577119"/>
    <w:rsid w:val="005807B1"/>
    <w:rsid w:val="00580C87"/>
    <w:rsid w:val="0058356E"/>
    <w:rsid w:val="00583DDC"/>
    <w:rsid w:val="00584B3F"/>
    <w:rsid w:val="005852B0"/>
    <w:rsid w:val="00590925"/>
    <w:rsid w:val="00591B9C"/>
    <w:rsid w:val="00591ED4"/>
    <w:rsid w:val="00595802"/>
    <w:rsid w:val="00595A68"/>
    <w:rsid w:val="005A0D4D"/>
    <w:rsid w:val="005A1164"/>
    <w:rsid w:val="005A1840"/>
    <w:rsid w:val="005A2EBD"/>
    <w:rsid w:val="005A3388"/>
    <w:rsid w:val="005A440A"/>
    <w:rsid w:val="005A4696"/>
    <w:rsid w:val="005A679A"/>
    <w:rsid w:val="005A6DD0"/>
    <w:rsid w:val="005B27E8"/>
    <w:rsid w:val="005B3091"/>
    <w:rsid w:val="005B59FF"/>
    <w:rsid w:val="005B5B64"/>
    <w:rsid w:val="005C1855"/>
    <w:rsid w:val="005C60C7"/>
    <w:rsid w:val="005D6B86"/>
    <w:rsid w:val="005E1816"/>
    <w:rsid w:val="005E6605"/>
    <w:rsid w:val="005F056B"/>
    <w:rsid w:val="005F1AD5"/>
    <w:rsid w:val="005F27B3"/>
    <w:rsid w:val="005F3922"/>
    <w:rsid w:val="005F5074"/>
    <w:rsid w:val="005F707D"/>
    <w:rsid w:val="005F712A"/>
    <w:rsid w:val="005F7348"/>
    <w:rsid w:val="006025A5"/>
    <w:rsid w:val="0060474F"/>
    <w:rsid w:val="00606AB7"/>
    <w:rsid w:val="00607857"/>
    <w:rsid w:val="00610550"/>
    <w:rsid w:val="00611673"/>
    <w:rsid w:val="006120E4"/>
    <w:rsid w:val="00612804"/>
    <w:rsid w:val="00615CE3"/>
    <w:rsid w:val="00616012"/>
    <w:rsid w:val="006173A8"/>
    <w:rsid w:val="00620A08"/>
    <w:rsid w:val="006354CA"/>
    <w:rsid w:val="0063598C"/>
    <w:rsid w:val="00635E3B"/>
    <w:rsid w:val="00640AD8"/>
    <w:rsid w:val="006410B1"/>
    <w:rsid w:val="00642C5F"/>
    <w:rsid w:val="006460E7"/>
    <w:rsid w:val="0065027B"/>
    <w:rsid w:val="00650683"/>
    <w:rsid w:val="00651D46"/>
    <w:rsid w:val="00653021"/>
    <w:rsid w:val="00653517"/>
    <w:rsid w:val="00653E08"/>
    <w:rsid w:val="00656F1E"/>
    <w:rsid w:val="006602AF"/>
    <w:rsid w:val="0066253B"/>
    <w:rsid w:val="0066377E"/>
    <w:rsid w:val="00664421"/>
    <w:rsid w:val="00664D70"/>
    <w:rsid w:val="0066555C"/>
    <w:rsid w:val="006670E0"/>
    <w:rsid w:val="00672238"/>
    <w:rsid w:val="006728C1"/>
    <w:rsid w:val="00673CA1"/>
    <w:rsid w:val="00674735"/>
    <w:rsid w:val="00675214"/>
    <w:rsid w:val="00675BAE"/>
    <w:rsid w:val="006761DE"/>
    <w:rsid w:val="006815DC"/>
    <w:rsid w:val="006818BC"/>
    <w:rsid w:val="00681DA4"/>
    <w:rsid w:val="006824A1"/>
    <w:rsid w:val="0068280F"/>
    <w:rsid w:val="00685391"/>
    <w:rsid w:val="00686026"/>
    <w:rsid w:val="006862A5"/>
    <w:rsid w:val="006872D4"/>
    <w:rsid w:val="00687378"/>
    <w:rsid w:val="0069189F"/>
    <w:rsid w:val="0069305E"/>
    <w:rsid w:val="00695282"/>
    <w:rsid w:val="006A1F55"/>
    <w:rsid w:val="006A49B7"/>
    <w:rsid w:val="006B0792"/>
    <w:rsid w:val="006B1807"/>
    <w:rsid w:val="006B40A1"/>
    <w:rsid w:val="006B5C07"/>
    <w:rsid w:val="006B631C"/>
    <w:rsid w:val="006C0A0A"/>
    <w:rsid w:val="006C0F16"/>
    <w:rsid w:val="006C21BB"/>
    <w:rsid w:val="006C2736"/>
    <w:rsid w:val="006C2833"/>
    <w:rsid w:val="006C4197"/>
    <w:rsid w:val="006C564D"/>
    <w:rsid w:val="006C7260"/>
    <w:rsid w:val="006C79E6"/>
    <w:rsid w:val="006D26EC"/>
    <w:rsid w:val="006D2E13"/>
    <w:rsid w:val="006D33E6"/>
    <w:rsid w:val="006D4478"/>
    <w:rsid w:val="006D4874"/>
    <w:rsid w:val="006E0E2C"/>
    <w:rsid w:val="006E3545"/>
    <w:rsid w:val="006E3839"/>
    <w:rsid w:val="006E3C11"/>
    <w:rsid w:val="006E4741"/>
    <w:rsid w:val="006E7B6E"/>
    <w:rsid w:val="006E7C7E"/>
    <w:rsid w:val="006F25D3"/>
    <w:rsid w:val="006F2AA2"/>
    <w:rsid w:val="00701BDE"/>
    <w:rsid w:val="007023F3"/>
    <w:rsid w:val="00702B6D"/>
    <w:rsid w:val="007037C6"/>
    <w:rsid w:val="007040BA"/>
    <w:rsid w:val="0070442B"/>
    <w:rsid w:val="0070486E"/>
    <w:rsid w:val="007117C5"/>
    <w:rsid w:val="0071527B"/>
    <w:rsid w:val="00715678"/>
    <w:rsid w:val="00720544"/>
    <w:rsid w:val="00721B7D"/>
    <w:rsid w:val="007306A8"/>
    <w:rsid w:val="00735AA9"/>
    <w:rsid w:val="00735E6D"/>
    <w:rsid w:val="00742FAB"/>
    <w:rsid w:val="007458A4"/>
    <w:rsid w:val="007463A3"/>
    <w:rsid w:val="0075363D"/>
    <w:rsid w:val="0075420C"/>
    <w:rsid w:val="00760FE3"/>
    <w:rsid w:val="00763287"/>
    <w:rsid w:val="0076549B"/>
    <w:rsid w:val="007657C9"/>
    <w:rsid w:val="00765F71"/>
    <w:rsid w:val="007660DC"/>
    <w:rsid w:val="00766430"/>
    <w:rsid w:val="00766B87"/>
    <w:rsid w:val="00767D80"/>
    <w:rsid w:val="007767A9"/>
    <w:rsid w:val="00782B0E"/>
    <w:rsid w:val="00782E64"/>
    <w:rsid w:val="00785338"/>
    <w:rsid w:val="0078562D"/>
    <w:rsid w:val="00786982"/>
    <w:rsid w:val="00787E5D"/>
    <w:rsid w:val="00791931"/>
    <w:rsid w:val="0079198E"/>
    <w:rsid w:val="00791F2D"/>
    <w:rsid w:val="007928EE"/>
    <w:rsid w:val="00793A2D"/>
    <w:rsid w:val="00794D72"/>
    <w:rsid w:val="00795F1B"/>
    <w:rsid w:val="0079687A"/>
    <w:rsid w:val="007A1F24"/>
    <w:rsid w:val="007A2BDF"/>
    <w:rsid w:val="007A3BEE"/>
    <w:rsid w:val="007A4935"/>
    <w:rsid w:val="007B03BF"/>
    <w:rsid w:val="007B03C9"/>
    <w:rsid w:val="007B0E75"/>
    <w:rsid w:val="007B29FB"/>
    <w:rsid w:val="007B712E"/>
    <w:rsid w:val="007B73B4"/>
    <w:rsid w:val="007B7709"/>
    <w:rsid w:val="007C281F"/>
    <w:rsid w:val="007C33FA"/>
    <w:rsid w:val="007C49AF"/>
    <w:rsid w:val="007C5B66"/>
    <w:rsid w:val="007C6143"/>
    <w:rsid w:val="007C638D"/>
    <w:rsid w:val="007C7FFE"/>
    <w:rsid w:val="007D05DB"/>
    <w:rsid w:val="007D07BF"/>
    <w:rsid w:val="007D283A"/>
    <w:rsid w:val="007D3ADF"/>
    <w:rsid w:val="007D63DA"/>
    <w:rsid w:val="007D734C"/>
    <w:rsid w:val="007E08D6"/>
    <w:rsid w:val="007E10A7"/>
    <w:rsid w:val="007E1984"/>
    <w:rsid w:val="007E68FB"/>
    <w:rsid w:val="007E7289"/>
    <w:rsid w:val="007E72A9"/>
    <w:rsid w:val="007F0F4A"/>
    <w:rsid w:val="007F1B33"/>
    <w:rsid w:val="007F3038"/>
    <w:rsid w:val="007F37EA"/>
    <w:rsid w:val="007F6367"/>
    <w:rsid w:val="007F7A71"/>
    <w:rsid w:val="00800D54"/>
    <w:rsid w:val="0080606F"/>
    <w:rsid w:val="008067B6"/>
    <w:rsid w:val="008068C7"/>
    <w:rsid w:val="00806930"/>
    <w:rsid w:val="008077CD"/>
    <w:rsid w:val="00807D32"/>
    <w:rsid w:val="00810F86"/>
    <w:rsid w:val="00811491"/>
    <w:rsid w:val="00813A87"/>
    <w:rsid w:val="00817D03"/>
    <w:rsid w:val="00820350"/>
    <w:rsid w:val="00822AAB"/>
    <w:rsid w:val="008238C9"/>
    <w:rsid w:val="00823914"/>
    <w:rsid w:val="008267D2"/>
    <w:rsid w:val="008270ED"/>
    <w:rsid w:val="0083452C"/>
    <w:rsid w:val="00834E02"/>
    <w:rsid w:val="008350DC"/>
    <w:rsid w:val="00835217"/>
    <w:rsid w:val="0083532C"/>
    <w:rsid w:val="0083786A"/>
    <w:rsid w:val="00840E9C"/>
    <w:rsid w:val="00842EC4"/>
    <w:rsid w:val="00850630"/>
    <w:rsid w:val="00850842"/>
    <w:rsid w:val="0085168E"/>
    <w:rsid w:val="0085313E"/>
    <w:rsid w:val="00853B91"/>
    <w:rsid w:val="008541D0"/>
    <w:rsid w:val="008556C3"/>
    <w:rsid w:val="008621EB"/>
    <w:rsid w:val="00863CDB"/>
    <w:rsid w:val="00863EF3"/>
    <w:rsid w:val="008645A7"/>
    <w:rsid w:val="0086475D"/>
    <w:rsid w:val="008667AF"/>
    <w:rsid w:val="00866BEC"/>
    <w:rsid w:val="00870CA8"/>
    <w:rsid w:val="00874082"/>
    <w:rsid w:val="00874371"/>
    <w:rsid w:val="0087620E"/>
    <w:rsid w:val="00880006"/>
    <w:rsid w:val="008812C5"/>
    <w:rsid w:val="00883332"/>
    <w:rsid w:val="0088472F"/>
    <w:rsid w:val="008850FE"/>
    <w:rsid w:val="00886288"/>
    <w:rsid w:val="00890097"/>
    <w:rsid w:val="008906FD"/>
    <w:rsid w:val="00891D3D"/>
    <w:rsid w:val="008966F4"/>
    <w:rsid w:val="008A00C7"/>
    <w:rsid w:val="008A207B"/>
    <w:rsid w:val="008A60CE"/>
    <w:rsid w:val="008A7B4C"/>
    <w:rsid w:val="008B30EC"/>
    <w:rsid w:val="008B6653"/>
    <w:rsid w:val="008C3AC6"/>
    <w:rsid w:val="008C3E5B"/>
    <w:rsid w:val="008C492B"/>
    <w:rsid w:val="008C570A"/>
    <w:rsid w:val="008D1D70"/>
    <w:rsid w:val="008D23B3"/>
    <w:rsid w:val="008D4655"/>
    <w:rsid w:val="008D67C6"/>
    <w:rsid w:val="008D7BD8"/>
    <w:rsid w:val="008E0128"/>
    <w:rsid w:val="008E03F9"/>
    <w:rsid w:val="008E0521"/>
    <w:rsid w:val="008E229F"/>
    <w:rsid w:val="008E31C5"/>
    <w:rsid w:val="008E3523"/>
    <w:rsid w:val="008E5606"/>
    <w:rsid w:val="008E582D"/>
    <w:rsid w:val="008E7C29"/>
    <w:rsid w:val="008F30EC"/>
    <w:rsid w:val="008F575E"/>
    <w:rsid w:val="008F5809"/>
    <w:rsid w:val="008F6387"/>
    <w:rsid w:val="008F6A3E"/>
    <w:rsid w:val="008F7CF7"/>
    <w:rsid w:val="00903948"/>
    <w:rsid w:val="0090605E"/>
    <w:rsid w:val="00910135"/>
    <w:rsid w:val="009105CE"/>
    <w:rsid w:val="00911006"/>
    <w:rsid w:val="00912CBC"/>
    <w:rsid w:val="00914584"/>
    <w:rsid w:val="00917089"/>
    <w:rsid w:val="009171FC"/>
    <w:rsid w:val="00917D1F"/>
    <w:rsid w:val="00926248"/>
    <w:rsid w:val="00926C5C"/>
    <w:rsid w:val="00926DF6"/>
    <w:rsid w:val="00932F5E"/>
    <w:rsid w:val="00933FB4"/>
    <w:rsid w:val="009355CD"/>
    <w:rsid w:val="00935B25"/>
    <w:rsid w:val="009369F6"/>
    <w:rsid w:val="00940221"/>
    <w:rsid w:val="00941C86"/>
    <w:rsid w:val="00942205"/>
    <w:rsid w:val="00942C59"/>
    <w:rsid w:val="009440F8"/>
    <w:rsid w:val="009446A9"/>
    <w:rsid w:val="009519C9"/>
    <w:rsid w:val="00951E45"/>
    <w:rsid w:val="00952555"/>
    <w:rsid w:val="0095479E"/>
    <w:rsid w:val="00955136"/>
    <w:rsid w:val="00955292"/>
    <w:rsid w:val="00955D78"/>
    <w:rsid w:val="00961D77"/>
    <w:rsid w:val="009633B9"/>
    <w:rsid w:val="0096343D"/>
    <w:rsid w:val="009636B7"/>
    <w:rsid w:val="0096521B"/>
    <w:rsid w:val="009656E6"/>
    <w:rsid w:val="00967165"/>
    <w:rsid w:val="009706DF"/>
    <w:rsid w:val="00974A60"/>
    <w:rsid w:val="009759DD"/>
    <w:rsid w:val="00975E52"/>
    <w:rsid w:val="009762B6"/>
    <w:rsid w:val="00976A78"/>
    <w:rsid w:val="009775EB"/>
    <w:rsid w:val="00980A03"/>
    <w:rsid w:val="00987CAF"/>
    <w:rsid w:val="009912C7"/>
    <w:rsid w:val="0099174B"/>
    <w:rsid w:val="00994438"/>
    <w:rsid w:val="0099489E"/>
    <w:rsid w:val="00994B1B"/>
    <w:rsid w:val="009A24E3"/>
    <w:rsid w:val="009A4897"/>
    <w:rsid w:val="009A5C75"/>
    <w:rsid w:val="009B00D1"/>
    <w:rsid w:val="009B29DC"/>
    <w:rsid w:val="009B3F5F"/>
    <w:rsid w:val="009B6541"/>
    <w:rsid w:val="009C2623"/>
    <w:rsid w:val="009C4346"/>
    <w:rsid w:val="009C4959"/>
    <w:rsid w:val="009C6F10"/>
    <w:rsid w:val="009C7F9C"/>
    <w:rsid w:val="009D2B35"/>
    <w:rsid w:val="009D3622"/>
    <w:rsid w:val="009D4B92"/>
    <w:rsid w:val="009D5E70"/>
    <w:rsid w:val="009D706E"/>
    <w:rsid w:val="009E0A37"/>
    <w:rsid w:val="009E11C4"/>
    <w:rsid w:val="009E6210"/>
    <w:rsid w:val="009E65C1"/>
    <w:rsid w:val="009E7657"/>
    <w:rsid w:val="009E7A8B"/>
    <w:rsid w:val="009F031D"/>
    <w:rsid w:val="009F1667"/>
    <w:rsid w:val="009F3AC6"/>
    <w:rsid w:val="009F52BD"/>
    <w:rsid w:val="009F6594"/>
    <w:rsid w:val="009F71B5"/>
    <w:rsid w:val="00A02B4D"/>
    <w:rsid w:val="00A03E46"/>
    <w:rsid w:val="00A04331"/>
    <w:rsid w:val="00A04493"/>
    <w:rsid w:val="00A04DC4"/>
    <w:rsid w:val="00A07E22"/>
    <w:rsid w:val="00A10160"/>
    <w:rsid w:val="00A11A09"/>
    <w:rsid w:val="00A11AF0"/>
    <w:rsid w:val="00A179B4"/>
    <w:rsid w:val="00A217CE"/>
    <w:rsid w:val="00A219A4"/>
    <w:rsid w:val="00A2283B"/>
    <w:rsid w:val="00A23EF1"/>
    <w:rsid w:val="00A245D2"/>
    <w:rsid w:val="00A30956"/>
    <w:rsid w:val="00A33D71"/>
    <w:rsid w:val="00A34E7F"/>
    <w:rsid w:val="00A360C9"/>
    <w:rsid w:val="00A4180D"/>
    <w:rsid w:val="00A41D6A"/>
    <w:rsid w:val="00A425EC"/>
    <w:rsid w:val="00A42614"/>
    <w:rsid w:val="00A43DD9"/>
    <w:rsid w:val="00A45F6D"/>
    <w:rsid w:val="00A46ED7"/>
    <w:rsid w:val="00A50A12"/>
    <w:rsid w:val="00A50CC5"/>
    <w:rsid w:val="00A50D4C"/>
    <w:rsid w:val="00A51251"/>
    <w:rsid w:val="00A51E36"/>
    <w:rsid w:val="00A52956"/>
    <w:rsid w:val="00A62D4E"/>
    <w:rsid w:val="00A645DF"/>
    <w:rsid w:val="00A660AD"/>
    <w:rsid w:val="00A67401"/>
    <w:rsid w:val="00A675E2"/>
    <w:rsid w:val="00A70318"/>
    <w:rsid w:val="00A70662"/>
    <w:rsid w:val="00A7148A"/>
    <w:rsid w:val="00A74354"/>
    <w:rsid w:val="00A748C0"/>
    <w:rsid w:val="00A7785A"/>
    <w:rsid w:val="00A77C08"/>
    <w:rsid w:val="00A8051F"/>
    <w:rsid w:val="00A80C6E"/>
    <w:rsid w:val="00A81447"/>
    <w:rsid w:val="00A81EF4"/>
    <w:rsid w:val="00A876ED"/>
    <w:rsid w:val="00A91448"/>
    <w:rsid w:val="00A914F2"/>
    <w:rsid w:val="00A916AC"/>
    <w:rsid w:val="00A91C18"/>
    <w:rsid w:val="00A94EEB"/>
    <w:rsid w:val="00A966B6"/>
    <w:rsid w:val="00A97276"/>
    <w:rsid w:val="00AA055F"/>
    <w:rsid w:val="00AA2DA1"/>
    <w:rsid w:val="00AA46EC"/>
    <w:rsid w:val="00AA68D7"/>
    <w:rsid w:val="00AA6E74"/>
    <w:rsid w:val="00AA71B9"/>
    <w:rsid w:val="00AB350A"/>
    <w:rsid w:val="00AB5192"/>
    <w:rsid w:val="00AC0909"/>
    <w:rsid w:val="00AC2DAB"/>
    <w:rsid w:val="00AC4058"/>
    <w:rsid w:val="00AC4DE7"/>
    <w:rsid w:val="00AC5097"/>
    <w:rsid w:val="00AC7CAD"/>
    <w:rsid w:val="00AD3028"/>
    <w:rsid w:val="00AD3215"/>
    <w:rsid w:val="00AD4282"/>
    <w:rsid w:val="00AE0571"/>
    <w:rsid w:val="00AE1B7C"/>
    <w:rsid w:val="00AE6F4B"/>
    <w:rsid w:val="00AF2FA0"/>
    <w:rsid w:val="00AF3304"/>
    <w:rsid w:val="00AF3B98"/>
    <w:rsid w:val="00B02B05"/>
    <w:rsid w:val="00B04E27"/>
    <w:rsid w:val="00B109B7"/>
    <w:rsid w:val="00B10DD9"/>
    <w:rsid w:val="00B11E59"/>
    <w:rsid w:val="00B16CA5"/>
    <w:rsid w:val="00B20B02"/>
    <w:rsid w:val="00B216C3"/>
    <w:rsid w:val="00B219F9"/>
    <w:rsid w:val="00B22953"/>
    <w:rsid w:val="00B23937"/>
    <w:rsid w:val="00B2598C"/>
    <w:rsid w:val="00B25C4E"/>
    <w:rsid w:val="00B26F86"/>
    <w:rsid w:val="00B34CA8"/>
    <w:rsid w:val="00B363E2"/>
    <w:rsid w:val="00B364FE"/>
    <w:rsid w:val="00B419DA"/>
    <w:rsid w:val="00B42319"/>
    <w:rsid w:val="00B4393F"/>
    <w:rsid w:val="00B4407D"/>
    <w:rsid w:val="00B52CF3"/>
    <w:rsid w:val="00B55C4B"/>
    <w:rsid w:val="00B5723B"/>
    <w:rsid w:val="00B619EA"/>
    <w:rsid w:val="00B64CBA"/>
    <w:rsid w:val="00B65A13"/>
    <w:rsid w:val="00B65CF4"/>
    <w:rsid w:val="00B67D99"/>
    <w:rsid w:val="00B70970"/>
    <w:rsid w:val="00B72358"/>
    <w:rsid w:val="00B76764"/>
    <w:rsid w:val="00B76AFB"/>
    <w:rsid w:val="00B8230C"/>
    <w:rsid w:val="00B8289F"/>
    <w:rsid w:val="00B83504"/>
    <w:rsid w:val="00B836DB"/>
    <w:rsid w:val="00B84219"/>
    <w:rsid w:val="00B91404"/>
    <w:rsid w:val="00B9278D"/>
    <w:rsid w:val="00B92ACB"/>
    <w:rsid w:val="00B92B19"/>
    <w:rsid w:val="00B93AD2"/>
    <w:rsid w:val="00B93B62"/>
    <w:rsid w:val="00B95967"/>
    <w:rsid w:val="00BA1293"/>
    <w:rsid w:val="00BA1B02"/>
    <w:rsid w:val="00BA2B45"/>
    <w:rsid w:val="00BA50AC"/>
    <w:rsid w:val="00BA5E8A"/>
    <w:rsid w:val="00BB183B"/>
    <w:rsid w:val="00BB27AC"/>
    <w:rsid w:val="00BB4F58"/>
    <w:rsid w:val="00BB6670"/>
    <w:rsid w:val="00BB74F3"/>
    <w:rsid w:val="00BC190D"/>
    <w:rsid w:val="00BC27B1"/>
    <w:rsid w:val="00BC331F"/>
    <w:rsid w:val="00BC4501"/>
    <w:rsid w:val="00BC6377"/>
    <w:rsid w:val="00BC6467"/>
    <w:rsid w:val="00BC7E7A"/>
    <w:rsid w:val="00BD0DFA"/>
    <w:rsid w:val="00BD2DF0"/>
    <w:rsid w:val="00BD62C9"/>
    <w:rsid w:val="00BD66AC"/>
    <w:rsid w:val="00BD7191"/>
    <w:rsid w:val="00BE03BD"/>
    <w:rsid w:val="00BE12CF"/>
    <w:rsid w:val="00BE1B1C"/>
    <w:rsid w:val="00BE2A82"/>
    <w:rsid w:val="00BE610A"/>
    <w:rsid w:val="00BF2EE5"/>
    <w:rsid w:val="00BF3BEE"/>
    <w:rsid w:val="00BF73B4"/>
    <w:rsid w:val="00C0404D"/>
    <w:rsid w:val="00C04743"/>
    <w:rsid w:val="00C0474E"/>
    <w:rsid w:val="00C071C6"/>
    <w:rsid w:val="00C1091F"/>
    <w:rsid w:val="00C112D0"/>
    <w:rsid w:val="00C11AB8"/>
    <w:rsid w:val="00C136AA"/>
    <w:rsid w:val="00C2075D"/>
    <w:rsid w:val="00C20F41"/>
    <w:rsid w:val="00C22A8F"/>
    <w:rsid w:val="00C23540"/>
    <w:rsid w:val="00C248EC"/>
    <w:rsid w:val="00C24B8D"/>
    <w:rsid w:val="00C25F15"/>
    <w:rsid w:val="00C274C6"/>
    <w:rsid w:val="00C30955"/>
    <w:rsid w:val="00C327B9"/>
    <w:rsid w:val="00C3744E"/>
    <w:rsid w:val="00C408B4"/>
    <w:rsid w:val="00C42176"/>
    <w:rsid w:val="00C46809"/>
    <w:rsid w:val="00C479A4"/>
    <w:rsid w:val="00C52D48"/>
    <w:rsid w:val="00C54D18"/>
    <w:rsid w:val="00C5545B"/>
    <w:rsid w:val="00C5672A"/>
    <w:rsid w:val="00C618C5"/>
    <w:rsid w:val="00C626E4"/>
    <w:rsid w:val="00C63737"/>
    <w:rsid w:val="00C65267"/>
    <w:rsid w:val="00C65530"/>
    <w:rsid w:val="00C65C57"/>
    <w:rsid w:val="00C66077"/>
    <w:rsid w:val="00C67C8A"/>
    <w:rsid w:val="00C70F40"/>
    <w:rsid w:val="00C72A7D"/>
    <w:rsid w:val="00C741BF"/>
    <w:rsid w:val="00C80A85"/>
    <w:rsid w:val="00C81DA7"/>
    <w:rsid w:val="00C83034"/>
    <w:rsid w:val="00C8457E"/>
    <w:rsid w:val="00C85C9D"/>
    <w:rsid w:val="00C86BE1"/>
    <w:rsid w:val="00C90B58"/>
    <w:rsid w:val="00C91853"/>
    <w:rsid w:val="00C9472C"/>
    <w:rsid w:val="00C9567D"/>
    <w:rsid w:val="00C97716"/>
    <w:rsid w:val="00CA5E01"/>
    <w:rsid w:val="00CA61DC"/>
    <w:rsid w:val="00CA6A13"/>
    <w:rsid w:val="00CA6A5F"/>
    <w:rsid w:val="00CA6BEB"/>
    <w:rsid w:val="00CB0A51"/>
    <w:rsid w:val="00CB0ED9"/>
    <w:rsid w:val="00CB5EC6"/>
    <w:rsid w:val="00CC0377"/>
    <w:rsid w:val="00CC1B64"/>
    <w:rsid w:val="00CC23FF"/>
    <w:rsid w:val="00CC5D1C"/>
    <w:rsid w:val="00CD20E9"/>
    <w:rsid w:val="00CD2E38"/>
    <w:rsid w:val="00CD3D44"/>
    <w:rsid w:val="00CD47BA"/>
    <w:rsid w:val="00CD4CC6"/>
    <w:rsid w:val="00CD4D19"/>
    <w:rsid w:val="00CD6B4D"/>
    <w:rsid w:val="00CE3E1F"/>
    <w:rsid w:val="00CE4BA8"/>
    <w:rsid w:val="00CE540E"/>
    <w:rsid w:val="00CF2D81"/>
    <w:rsid w:val="00CF6014"/>
    <w:rsid w:val="00CF6EB9"/>
    <w:rsid w:val="00CF7B81"/>
    <w:rsid w:val="00D015EC"/>
    <w:rsid w:val="00D02B9B"/>
    <w:rsid w:val="00D055F3"/>
    <w:rsid w:val="00D0578C"/>
    <w:rsid w:val="00D07191"/>
    <w:rsid w:val="00D12BE2"/>
    <w:rsid w:val="00D12FDF"/>
    <w:rsid w:val="00D17CAA"/>
    <w:rsid w:val="00D202BD"/>
    <w:rsid w:val="00D22F76"/>
    <w:rsid w:val="00D25304"/>
    <w:rsid w:val="00D262D9"/>
    <w:rsid w:val="00D27719"/>
    <w:rsid w:val="00D279A4"/>
    <w:rsid w:val="00D30463"/>
    <w:rsid w:val="00D3248F"/>
    <w:rsid w:val="00D32CD8"/>
    <w:rsid w:val="00D32FE4"/>
    <w:rsid w:val="00D33B70"/>
    <w:rsid w:val="00D36D95"/>
    <w:rsid w:val="00D37372"/>
    <w:rsid w:val="00D40428"/>
    <w:rsid w:val="00D45FC1"/>
    <w:rsid w:val="00D46D2A"/>
    <w:rsid w:val="00D47952"/>
    <w:rsid w:val="00D52458"/>
    <w:rsid w:val="00D55550"/>
    <w:rsid w:val="00D57CB2"/>
    <w:rsid w:val="00D629FD"/>
    <w:rsid w:val="00D70719"/>
    <w:rsid w:val="00D70A4D"/>
    <w:rsid w:val="00D732E7"/>
    <w:rsid w:val="00D747D7"/>
    <w:rsid w:val="00D75565"/>
    <w:rsid w:val="00D8165C"/>
    <w:rsid w:val="00D83DC0"/>
    <w:rsid w:val="00D85982"/>
    <w:rsid w:val="00D86B9B"/>
    <w:rsid w:val="00D94E01"/>
    <w:rsid w:val="00D96271"/>
    <w:rsid w:val="00D966DF"/>
    <w:rsid w:val="00D96AE4"/>
    <w:rsid w:val="00D974CB"/>
    <w:rsid w:val="00DA109A"/>
    <w:rsid w:val="00DA191F"/>
    <w:rsid w:val="00DA388D"/>
    <w:rsid w:val="00DA619C"/>
    <w:rsid w:val="00DA645C"/>
    <w:rsid w:val="00DA70AD"/>
    <w:rsid w:val="00DA7A1B"/>
    <w:rsid w:val="00DB00B3"/>
    <w:rsid w:val="00DB0516"/>
    <w:rsid w:val="00DB25FF"/>
    <w:rsid w:val="00DB4391"/>
    <w:rsid w:val="00DB57F9"/>
    <w:rsid w:val="00DC1A98"/>
    <w:rsid w:val="00DC32C2"/>
    <w:rsid w:val="00DC4148"/>
    <w:rsid w:val="00DC4663"/>
    <w:rsid w:val="00DC731C"/>
    <w:rsid w:val="00DD0044"/>
    <w:rsid w:val="00DD583C"/>
    <w:rsid w:val="00DE0684"/>
    <w:rsid w:val="00DE1B58"/>
    <w:rsid w:val="00DE4930"/>
    <w:rsid w:val="00DE539D"/>
    <w:rsid w:val="00DE7A5E"/>
    <w:rsid w:val="00DF0FCA"/>
    <w:rsid w:val="00DF65D0"/>
    <w:rsid w:val="00DF7B47"/>
    <w:rsid w:val="00E01EFA"/>
    <w:rsid w:val="00E032E4"/>
    <w:rsid w:val="00E04535"/>
    <w:rsid w:val="00E10881"/>
    <w:rsid w:val="00E11D26"/>
    <w:rsid w:val="00E12886"/>
    <w:rsid w:val="00E13F4A"/>
    <w:rsid w:val="00E14CFD"/>
    <w:rsid w:val="00E14E14"/>
    <w:rsid w:val="00E15B56"/>
    <w:rsid w:val="00E17817"/>
    <w:rsid w:val="00E20C0D"/>
    <w:rsid w:val="00E20DA4"/>
    <w:rsid w:val="00E243C6"/>
    <w:rsid w:val="00E24FC2"/>
    <w:rsid w:val="00E25E72"/>
    <w:rsid w:val="00E30E23"/>
    <w:rsid w:val="00E33403"/>
    <w:rsid w:val="00E345E1"/>
    <w:rsid w:val="00E34CD2"/>
    <w:rsid w:val="00E359D9"/>
    <w:rsid w:val="00E35FDC"/>
    <w:rsid w:val="00E37AAA"/>
    <w:rsid w:val="00E37F1A"/>
    <w:rsid w:val="00E4457E"/>
    <w:rsid w:val="00E47250"/>
    <w:rsid w:val="00E4739B"/>
    <w:rsid w:val="00E51391"/>
    <w:rsid w:val="00E52CA9"/>
    <w:rsid w:val="00E56FF0"/>
    <w:rsid w:val="00E574BA"/>
    <w:rsid w:val="00E60327"/>
    <w:rsid w:val="00E6061A"/>
    <w:rsid w:val="00E611A8"/>
    <w:rsid w:val="00E654BD"/>
    <w:rsid w:val="00E66E76"/>
    <w:rsid w:val="00E703AD"/>
    <w:rsid w:val="00E74E4B"/>
    <w:rsid w:val="00E75F35"/>
    <w:rsid w:val="00E801B8"/>
    <w:rsid w:val="00E84E3A"/>
    <w:rsid w:val="00E87161"/>
    <w:rsid w:val="00E92052"/>
    <w:rsid w:val="00E92DA7"/>
    <w:rsid w:val="00E92E8A"/>
    <w:rsid w:val="00E9433B"/>
    <w:rsid w:val="00E950A8"/>
    <w:rsid w:val="00EA0339"/>
    <w:rsid w:val="00EA047C"/>
    <w:rsid w:val="00EA0FE6"/>
    <w:rsid w:val="00EA128C"/>
    <w:rsid w:val="00EA3CBF"/>
    <w:rsid w:val="00EA4AD4"/>
    <w:rsid w:val="00EA4BFE"/>
    <w:rsid w:val="00EB06A5"/>
    <w:rsid w:val="00EB277C"/>
    <w:rsid w:val="00EB7535"/>
    <w:rsid w:val="00EB78F9"/>
    <w:rsid w:val="00EC0751"/>
    <w:rsid w:val="00EC07B2"/>
    <w:rsid w:val="00EC0801"/>
    <w:rsid w:val="00EC1302"/>
    <w:rsid w:val="00EC2D9E"/>
    <w:rsid w:val="00EC2F1F"/>
    <w:rsid w:val="00EC50C8"/>
    <w:rsid w:val="00EC5F2A"/>
    <w:rsid w:val="00EC7AB1"/>
    <w:rsid w:val="00ED1062"/>
    <w:rsid w:val="00ED34DD"/>
    <w:rsid w:val="00ED3548"/>
    <w:rsid w:val="00ED4C1D"/>
    <w:rsid w:val="00ED5570"/>
    <w:rsid w:val="00ED6F9D"/>
    <w:rsid w:val="00EE059F"/>
    <w:rsid w:val="00EE0B83"/>
    <w:rsid w:val="00EE13EE"/>
    <w:rsid w:val="00EE4D97"/>
    <w:rsid w:val="00EE5F63"/>
    <w:rsid w:val="00EF2893"/>
    <w:rsid w:val="00EF5CD0"/>
    <w:rsid w:val="00EF5CE8"/>
    <w:rsid w:val="00EF7B08"/>
    <w:rsid w:val="00F0199D"/>
    <w:rsid w:val="00F01E6C"/>
    <w:rsid w:val="00F026D8"/>
    <w:rsid w:val="00F03124"/>
    <w:rsid w:val="00F03CC9"/>
    <w:rsid w:val="00F06F73"/>
    <w:rsid w:val="00F1185B"/>
    <w:rsid w:val="00F148EC"/>
    <w:rsid w:val="00F14BF3"/>
    <w:rsid w:val="00F20647"/>
    <w:rsid w:val="00F21363"/>
    <w:rsid w:val="00F228C6"/>
    <w:rsid w:val="00F23A9D"/>
    <w:rsid w:val="00F25C18"/>
    <w:rsid w:val="00F26520"/>
    <w:rsid w:val="00F26552"/>
    <w:rsid w:val="00F26BD1"/>
    <w:rsid w:val="00F3008B"/>
    <w:rsid w:val="00F301FD"/>
    <w:rsid w:val="00F33243"/>
    <w:rsid w:val="00F33492"/>
    <w:rsid w:val="00F34A0F"/>
    <w:rsid w:val="00F34DDB"/>
    <w:rsid w:val="00F37B9B"/>
    <w:rsid w:val="00F404DD"/>
    <w:rsid w:val="00F40CD5"/>
    <w:rsid w:val="00F4186A"/>
    <w:rsid w:val="00F4207F"/>
    <w:rsid w:val="00F42714"/>
    <w:rsid w:val="00F42795"/>
    <w:rsid w:val="00F4359A"/>
    <w:rsid w:val="00F45C3A"/>
    <w:rsid w:val="00F503A8"/>
    <w:rsid w:val="00F54F62"/>
    <w:rsid w:val="00F56B8F"/>
    <w:rsid w:val="00F60972"/>
    <w:rsid w:val="00F60EE4"/>
    <w:rsid w:val="00F61A5A"/>
    <w:rsid w:val="00F6205C"/>
    <w:rsid w:val="00F62DC1"/>
    <w:rsid w:val="00F642E1"/>
    <w:rsid w:val="00F64CF5"/>
    <w:rsid w:val="00F7321D"/>
    <w:rsid w:val="00F73346"/>
    <w:rsid w:val="00F73399"/>
    <w:rsid w:val="00F75571"/>
    <w:rsid w:val="00F76046"/>
    <w:rsid w:val="00F76FA8"/>
    <w:rsid w:val="00F81EC4"/>
    <w:rsid w:val="00F90576"/>
    <w:rsid w:val="00F90957"/>
    <w:rsid w:val="00F95F5C"/>
    <w:rsid w:val="00FA5B24"/>
    <w:rsid w:val="00FA65B4"/>
    <w:rsid w:val="00FB3564"/>
    <w:rsid w:val="00FB37D7"/>
    <w:rsid w:val="00FB657A"/>
    <w:rsid w:val="00FB6B81"/>
    <w:rsid w:val="00FB6C12"/>
    <w:rsid w:val="00FB77D2"/>
    <w:rsid w:val="00FC2C5A"/>
    <w:rsid w:val="00FC2F80"/>
    <w:rsid w:val="00FC3284"/>
    <w:rsid w:val="00FC3D50"/>
    <w:rsid w:val="00FD0827"/>
    <w:rsid w:val="00FD1AE0"/>
    <w:rsid w:val="00FD4E57"/>
    <w:rsid w:val="00FD5875"/>
    <w:rsid w:val="00FE2264"/>
    <w:rsid w:val="00FE2266"/>
    <w:rsid w:val="00FE2869"/>
    <w:rsid w:val="00FE3A45"/>
    <w:rsid w:val="00FE51F8"/>
    <w:rsid w:val="00FE5817"/>
    <w:rsid w:val="00FE780B"/>
    <w:rsid w:val="00FF1293"/>
    <w:rsid w:val="00FF13D6"/>
    <w:rsid w:val="00FF18AB"/>
    <w:rsid w:val="00FF2768"/>
    <w:rsid w:val="00FF3AA5"/>
    <w:rsid w:val="1BAB5691"/>
    <w:rsid w:val="3BBC4B5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unhideWhenUsed/>
    <w:uiPriority w:val="1"/>
  </w:style>
  <w:style w:type="table" w:default="1" w:styleId="9">
    <w:name w:val="Normal Table"/>
    <w:semiHidden/>
    <w:unhideWhenUsed/>
    <w:qFormat/>
    <w:uiPriority w:val="99"/>
    <w:tblPr>
      <w:tblLayout w:type="fixed"/>
      <w:tblCellMar>
        <w:top w:w="0" w:type="dxa"/>
        <w:left w:w="108" w:type="dxa"/>
        <w:bottom w:w="0" w:type="dxa"/>
        <w:right w:w="108" w:type="dxa"/>
      </w:tblCellMar>
    </w:tblPr>
  </w:style>
  <w:style w:type="paragraph" w:styleId="2">
    <w:name w:val="Document Map"/>
    <w:basedOn w:val="1"/>
    <w:link w:val="14"/>
    <w:semiHidden/>
    <w:unhideWhenUsed/>
    <w:uiPriority w:val="99"/>
    <w:rPr>
      <w:rFonts w:ascii="宋体"/>
      <w:sz w:val="18"/>
      <w:szCs w:val="18"/>
    </w:rPr>
  </w:style>
  <w:style w:type="paragraph" w:styleId="3">
    <w:name w:val="Balloon Text"/>
    <w:basedOn w:val="1"/>
    <w:link w:val="12"/>
    <w:semiHidden/>
    <w:unhideWhenUsed/>
    <w:uiPriority w:val="99"/>
    <w:rPr>
      <w:sz w:val="18"/>
      <w:szCs w:val="18"/>
    </w:rPr>
  </w:style>
  <w:style w:type="paragraph" w:styleId="4">
    <w:name w:val="footer"/>
    <w:basedOn w:val="1"/>
    <w:link w:val="11"/>
    <w:unhideWhenUsed/>
    <w:qFormat/>
    <w:uiPriority w:val="0"/>
    <w:pPr>
      <w:tabs>
        <w:tab w:val="center" w:pos="4153"/>
        <w:tab w:val="right" w:pos="8306"/>
      </w:tabs>
      <w:snapToGrid w:val="0"/>
      <w:jc w:val="left"/>
    </w:pPr>
    <w:rPr>
      <w:sz w:val="18"/>
      <w:szCs w:val="18"/>
    </w:rPr>
  </w:style>
  <w:style w:type="paragraph" w:styleId="5">
    <w:name w:val="header"/>
    <w:basedOn w:val="1"/>
    <w:link w:val="10"/>
    <w:unhideWhenUsed/>
    <w:uiPriority w:val="99"/>
    <w:pPr>
      <w:pBdr>
        <w:bottom w:val="single" w:color="auto" w:sz="6" w:space="1"/>
      </w:pBdr>
      <w:tabs>
        <w:tab w:val="center" w:pos="4153"/>
        <w:tab w:val="right" w:pos="8306"/>
      </w:tabs>
      <w:snapToGrid w:val="0"/>
      <w:jc w:val="center"/>
    </w:pPr>
    <w:rPr>
      <w:sz w:val="18"/>
      <w:szCs w:val="18"/>
    </w:rPr>
  </w:style>
  <w:style w:type="character" w:styleId="7">
    <w:name w:val="page number"/>
    <w:basedOn w:val="6"/>
    <w:uiPriority w:val="0"/>
  </w:style>
  <w:style w:type="character" w:styleId="8">
    <w:name w:val="Hyperlink"/>
    <w:basedOn w:val="6"/>
    <w:unhideWhenUsed/>
    <w:qFormat/>
    <w:uiPriority w:val="99"/>
    <w:rPr>
      <w:color w:val="0000FF" w:themeColor="hyperlink"/>
      <w:u w:val="single"/>
    </w:rPr>
  </w:style>
  <w:style w:type="character" w:customStyle="1" w:styleId="10">
    <w:name w:val="页眉 Char"/>
    <w:basedOn w:val="6"/>
    <w:link w:val="5"/>
    <w:uiPriority w:val="99"/>
    <w:rPr>
      <w:rFonts w:ascii="Calibri" w:hAnsi="Calibri" w:eastAsia="宋体" w:cs="Times New Roman"/>
      <w:sz w:val="18"/>
      <w:szCs w:val="18"/>
    </w:rPr>
  </w:style>
  <w:style w:type="character" w:customStyle="1" w:styleId="11">
    <w:name w:val="页脚 Char"/>
    <w:basedOn w:val="6"/>
    <w:link w:val="4"/>
    <w:qFormat/>
    <w:uiPriority w:val="0"/>
    <w:rPr>
      <w:rFonts w:ascii="Calibri" w:hAnsi="Calibri" w:eastAsia="宋体" w:cs="Times New Roman"/>
      <w:sz w:val="18"/>
      <w:szCs w:val="18"/>
    </w:rPr>
  </w:style>
  <w:style w:type="character" w:customStyle="1" w:styleId="12">
    <w:name w:val="批注框文本 Char"/>
    <w:basedOn w:val="6"/>
    <w:link w:val="3"/>
    <w:semiHidden/>
    <w:uiPriority w:val="99"/>
    <w:rPr>
      <w:rFonts w:ascii="Calibri" w:hAnsi="Calibri" w:eastAsia="宋体" w:cs="Times New Roman"/>
      <w:sz w:val="18"/>
      <w:szCs w:val="18"/>
    </w:rPr>
  </w:style>
  <w:style w:type="paragraph" w:styleId="13">
    <w:name w:val="List Paragraph"/>
    <w:basedOn w:val="1"/>
    <w:qFormat/>
    <w:uiPriority w:val="34"/>
    <w:pPr>
      <w:ind w:firstLine="420" w:firstLineChars="200"/>
    </w:pPr>
  </w:style>
  <w:style w:type="character" w:customStyle="1" w:styleId="14">
    <w:name w:val="文档结构图 Char"/>
    <w:basedOn w:val="6"/>
    <w:link w:val="2"/>
    <w:semiHidden/>
    <w:uiPriority w:val="99"/>
    <w:rPr>
      <w:rFonts w:ascii="宋体" w:hAnsi="Calibri" w:eastAsia="宋体"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png"/><Relationship Id="rId7" Type="http://schemas.openxmlformats.org/officeDocument/2006/relationships/oleObject" Target="embeddings/oleObject1.bin"/><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8" Type="http://schemas.openxmlformats.org/officeDocument/2006/relationships/fontTable" Target="fontTable.xml"/><Relationship Id="rId37" Type="http://schemas.openxmlformats.org/officeDocument/2006/relationships/numbering" Target="numbering.xml"/><Relationship Id="rId36" Type="http://schemas.openxmlformats.org/officeDocument/2006/relationships/customXml" Target="../customXml/item1.xml"/><Relationship Id="rId35" Type="http://schemas.openxmlformats.org/officeDocument/2006/relationships/image" Target="media/image26.jpeg"/><Relationship Id="rId34" Type="http://schemas.openxmlformats.org/officeDocument/2006/relationships/image" Target="media/image25.png"/><Relationship Id="rId33" Type="http://schemas.openxmlformats.org/officeDocument/2006/relationships/image" Target="media/image24.jpeg"/><Relationship Id="rId32" Type="http://schemas.openxmlformats.org/officeDocument/2006/relationships/image" Target="media/image23.emf"/><Relationship Id="rId31" Type="http://schemas.openxmlformats.org/officeDocument/2006/relationships/image" Target="media/image22.jpeg"/><Relationship Id="rId30" Type="http://schemas.openxmlformats.org/officeDocument/2006/relationships/image" Target="media/image21.emf"/><Relationship Id="rId3" Type="http://schemas.openxmlformats.org/officeDocument/2006/relationships/footer" Target="footer1.xml"/><Relationship Id="rId29" Type="http://schemas.openxmlformats.org/officeDocument/2006/relationships/image" Target="media/image20.jpeg"/><Relationship Id="rId28" Type="http://schemas.openxmlformats.org/officeDocument/2006/relationships/image" Target="media/image19.png"/><Relationship Id="rId27" Type="http://schemas.openxmlformats.org/officeDocument/2006/relationships/image" Target="media/image18.jpeg"/><Relationship Id="rId26" Type="http://schemas.openxmlformats.org/officeDocument/2006/relationships/image" Target="media/image17.png"/><Relationship Id="rId25" Type="http://schemas.openxmlformats.org/officeDocument/2006/relationships/image" Target="media/image16.jpeg"/><Relationship Id="rId24" Type="http://schemas.openxmlformats.org/officeDocument/2006/relationships/image" Target="media/image15.jpeg"/><Relationship Id="rId23" Type="http://schemas.openxmlformats.org/officeDocument/2006/relationships/image" Target="media/image14.png"/><Relationship Id="rId22" Type="http://schemas.openxmlformats.org/officeDocument/2006/relationships/image" Target="media/image13.jpeg"/><Relationship Id="rId21" Type="http://schemas.openxmlformats.org/officeDocument/2006/relationships/image" Target="media/image12.png"/><Relationship Id="rId20" Type="http://schemas.openxmlformats.org/officeDocument/2006/relationships/oleObject" Target="embeddings/oleObject4.bin"/><Relationship Id="rId2" Type="http://schemas.openxmlformats.org/officeDocument/2006/relationships/settings" Target="settings.xml"/><Relationship Id="rId19" Type="http://schemas.openxmlformats.org/officeDocument/2006/relationships/image" Target="media/image11.jpeg"/><Relationship Id="rId18" Type="http://schemas.openxmlformats.org/officeDocument/2006/relationships/image" Target="media/image10.jpeg"/><Relationship Id="rId17" Type="http://schemas.openxmlformats.org/officeDocument/2006/relationships/image" Target="media/image9.png"/><Relationship Id="rId16" Type="http://schemas.openxmlformats.org/officeDocument/2006/relationships/oleObject" Target="embeddings/oleObject3.bin"/><Relationship Id="rId15" Type="http://schemas.openxmlformats.org/officeDocument/2006/relationships/image" Target="media/image8.jpeg"/><Relationship Id="rId14" Type="http://schemas.openxmlformats.org/officeDocument/2006/relationships/image" Target="media/image7.jpeg"/><Relationship Id="rId13" Type="http://schemas.openxmlformats.org/officeDocument/2006/relationships/image" Target="media/image6.jpeg"/><Relationship Id="rId12" Type="http://schemas.openxmlformats.org/officeDocument/2006/relationships/image" Target="media/image5.jpeg"/><Relationship Id="rId11" Type="http://schemas.openxmlformats.org/officeDocument/2006/relationships/image" Target="media/image4.png"/><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59</Pages>
  <Words>4168</Words>
  <Characters>23763</Characters>
  <Lines>198</Lines>
  <Paragraphs>55</Paragraphs>
  <TotalTime>709</TotalTime>
  <ScaleCrop>false</ScaleCrop>
  <LinksUpToDate>false</LinksUpToDate>
  <CharactersWithSpaces>27876</CharactersWithSpaces>
  <Application>WPS Office_11.1.0.7881_F1E327BC-269C-435d-A152-05C5408002CA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2018-07-29T06:00:00Z</dcterms:created>
  <dc:creator>刘中仁</dc:creator>
  <cp:lastModifiedBy>徐园园</cp:lastModifiedBy>
  <dcterms:modified xsi:type="dcterms:W3CDTF">2018-10-24T01:54:25Z</dcterms:modified>
  <cp:revision>181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2052-11.1.0.7881</vt:lpwstr>
  </property>
</Properties>
</file>