
<file path=[Content_Types].xml><?xml version="1.0" encoding="utf-8"?>
<Types xmlns="http://schemas.openxmlformats.org/package/2006/content-types">
  <Default Extension="xml" ContentType="application/xml"/>
  <Default Extension="jpeg" ContentType="image/jpe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现代电气控制系统安装与调试</w:t>
      </w:r>
    </w:p>
    <w:p>
      <w:pPr>
        <w:numPr>
          <w:ilvl w:val="0"/>
          <w:numId w:val="1"/>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压题彩照</w:t>
      </w:r>
    </w:p>
    <w:p>
      <w:p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drawing>
          <wp:anchor distT="0" distB="0" distL="114300" distR="114300" simplePos="0" relativeHeight="251663360" behindDoc="0" locked="0" layoutInCell="1" allowOverlap="1">
            <wp:simplePos x="0" y="0"/>
            <wp:positionH relativeFrom="column">
              <wp:posOffset>-352425</wp:posOffset>
            </wp:positionH>
            <wp:positionV relativeFrom="paragraph">
              <wp:posOffset>254000</wp:posOffset>
            </wp:positionV>
            <wp:extent cx="6137910" cy="4096385"/>
            <wp:effectExtent l="0" t="0" r="15240" b="18415"/>
            <wp:wrapTopAndBottom/>
            <wp:docPr id="7" name="图片 7" descr="DSC_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_2097"/>
                    <pic:cNvPicPr>
                      <a:picLocks noChangeAspect="1"/>
                    </pic:cNvPicPr>
                  </pic:nvPicPr>
                  <pic:blipFill>
                    <a:blip r:embed="rId7" cstate="print"/>
                    <a:stretch>
                      <a:fillRect/>
                    </a:stretch>
                  </pic:blipFill>
                  <pic:spPr>
                    <a:xfrm>
                      <a:off x="0" y="0"/>
                      <a:ext cx="6137910" cy="4096385"/>
                    </a:xfrm>
                    <a:prstGeom prst="rect">
                      <a:avLst/>
                    </a:prstGeom>
                  </pic:spPr>
                </pic:pic>
              </a:graphicData>
            </a:graphic>
          </wp:anchor>
        </w:drawing>
      </w:r>
    </w:p>
    <w:p>
      <w:pPr>
        <w:numPr>
          <w:ilvl w:val="0"/>
          <w:numId w:val="2"/>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赛项归属产业类型</w:t>
      </w:r>
    </w:p>
    <w:p>
      <w:pPr>
        <w:snapToGrid w:val="0"/>
        <w:spacing w:line="560" w:lineRule="exact"/>
        <w:ind w:firstLine="900" w:firstLineChars="300"/>
        <w:rPr>
          <w:rFonts w:ascii="Arial Narrow" w:hAnsi="Arial Narrow" w:eastAsia="仿宋_GB2312" w:cs="Arial"/>
          <w:sz w:val="30"/>
          <w:szCs w:val="30"/>
        </w:rPr>
      </w:pPr>
      <w:r>
        <w:rPr>
          <w:rFonts w:hint="eastAsia" w:ascii="Arial Narrow" w:hAnsi="Arial Narrow" w:eastAsia="仿宋_GB2312" w:cs="Arial"/>
          <w:sz w:val="30"/>
          <w:szCs w:val="30"/>
        </w:rPr>
        <w:t>现代装备制造业、工业自动化。</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9"/>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装备制造</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自动化类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560302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电气自动化技术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装备制造</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自动化类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560301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机电一体化技术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装备制造</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自动化类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560305</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工业网络技术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装备制造</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机电设备类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560203</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机电设备维修与管理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装备制造</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宋体" w:eastAsia="仿宋_GB2312"/>
                <w:sz w:val="24"/>
                <w:szCs w:val="24"/>
              </w:rPr>
              <w:t>机械设计制造类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560114</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电机与电器技术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能源动力与材料</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电力技术类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530102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供用电技术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能源动力与材料</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电力技术类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530111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农业电气化技术</w:t>
            </w:r>
          </w:p>
        </w:tc>
      </w:tr>
    </w:tbl>
    <w:p>
      <w:pPr>
        <w:snapToGrid w:val="0"/>
        <w:spacing w:line="440" w:lineRule="exact"/>
        <w:ind w:firstLine="400" w:firstLineChars="200"/>
        <w:rPr>
          <w:rFonts w:ascii="Arial Narrow" w:hAnsi="Arial Narrow" w:eastAsia="仿宋_GB2312" w:cs="Arial"/>
          <w:sz w:val="30"/>
          <w:szCs w:val="30"/>
        </w:rPr>
      </w:pPr>
      <w:r>
        <w:rPr>
          <w:rFonts w:hint="eastAsia" w:ascii="Arial Narrow" w:hAnsi="Arial Narrow" w:eastAsia="仿宋_GB2312" w:cs="Arial"/>
          <w:sz w:val="20"/>
          <w:szCs w:val="20"/>
        </w:rPr>
        <w:t>注：请按现行的《普通高等学校高等职业教育（专科）专业目录》和《中等职业学校专业目录》标准，明确赛项对应的专业类别、代码及名称。</w:t>
      </w:r>
    </w:p>
    <w:p>
      <w:pPr>
        <w:snapToGrid w:val="0"/>
        <w:spacing w:line="4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二、赛项申报专家组</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适应现代产业升级需求，覆盖电气自动化技术、电气设备应用与维护、机电一体化技术、低压电器制造及应用、供用电技术、农村电气化技术、电气测控技术、工业网络技术、电气化铁道技术、光机电应用技术、建筑水电技术等众多专业的专项技术和专业核心技术技能。通过竞赛引领教育与产业、学校与企业、课程设置与职业岗位的深度衔接，引领全国职业院校自动化大类、机电大类专业建设、实训基地建设、师资队伍的提升、课程教学的改革和优化，培养有精湛现代电气控制系统安装与调试的实践能力、创新能力的高端技能型专门人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此项比赛，考核选手电工基本技能、电机与电气控制、PLC应用技术、电工测量与仪表调试、电力电子技术、交直流调速、组态控制技术、工业现场网络等核心技术技能，同时可考核参赛选手工作效率、质量意识、安全意识、节能环保意识和规范操作等职业素养等。</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（一）公开、公平、公正</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赛前公布现代电气控制系统安装与调试赛项设备，公布操作工艺规范和要求，公布配分细则，做到比赛内容、比赛过程、工艺标准、评分要求公开、公平与公正。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按国家相关的过程验收规范和标准拟定评分细则，严格按照评分表评定比赛成绩，让选手参与竞赛成绩的评定，做到比赛成绩评定公开、公平与公正。</w:t>
      </w:r>
    </w:p>
    <w:p>
      <w:pPr>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（二）</w:t>
      </w:r>
      <w:r>
        <w:rPr>
          <w:rFonts w:hint="eastAsia" w:ascii="Arial Narrow" w:hAnsi="Arial Narrow" w:eastAsia="仿宋_GB2312" w:cs="Arial"/>
          <w:sz w:val="30"/>
          <w:szCs w:val="30"/>
        </w:rPr>
        <w:t>常规</w:t>
      </w:r>
      <w:r>
        <w:rPr>
          <w:rFonts w:ascii="Arial Narrow" w:hAnsi="Arial Narrow" w:eastAsia="仿宋_GB2312" w:cs="Arial"/>
          <w:sz w:val="30"/>
          <w:szCs w:val="30"/>
        </w:rPr>
        <w:t>赛项关联专业人才需求量大或职业院校开设专业点多</w:t>
      </w:r>
      <w:r>
        <w:rPr>
          <w:rFonts w:hint="eastAsia" w:ascii="Arial Narrow" w:hAnsi="Arial Narrow" w:eastAsia="仿宋_GB2312" w:cs="Arial"/>
          <w:sz w:val="30"/>
          <w:szCs w:val="30"/>
        </w:rPr>
        <w:t>，</w:t>
      </w:r>
      <w:r>
        <w:rPr>
          <w:rFonts w:ascii="Arial Narrow" w:hAnsi="Arial Narrow" w:eastAsia="仿宋_GB2312" w:cs="Arial"/>
          <w:sz w:val="30"/>
          <w:szCs w:val="30"/>
        </w:rPr>
        <w:t>服务国家重点战略</w:t>
      </w:r>
      <w:r>
        <w:rPr>
          <w:rFonts w:hint="eastAsia" w:ascii="Arial Narrow" w:hAnsi="Arial Narrow" w:eastAsia="仿宋_GB2312" w:cs="Arial"/>
          <w:sz w:val="30"/>
          <w:szCs w:val="30"/>
        </w:rPr>
        <w:t>。</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在现代工业自动化领域、现代化农业、现代化物流业、现代化制造服务业等众多职业岗位群，甚至无论什么行业，都离不开电气控制技术，而且都在随着工业进步、产业结构调整、技术升级换代的发展而发展。</w:t>
      </w:r>
    </w:p>
    <w:p>
      <w:pPr>
        <w:snapToGrid w:val="0"/>
        <w:jc w:val="center"/>
        <w:rPr>
          <w:rFonts w:ascii="仿宋_GB2312" w:hAnsi="宋体" w:eastAsia="仿宋_GB2312"/>
          <w:sz w:val="30"/>
          <w:szCs w:val="30"/>
        </w:rPr>
      </w:pPr>
      <w:r>
        <w:drawing>
          <wp:inline distT="0" distB="0" distL="114300" distR="114300">
            <wp:extent cx="2362200" cy="1288415"/>
            <wp:effectExtent l="0" t="0" r="0" b="69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cstate="print"/>
                    <a:stretch>
                      <a:fillRect/>
                    </a:stretch>
                  </pic:blipFill>
                  <pic:spPr>
                    <a:xfrm>
                      <a:off x="0" y="0"/>
                      <a:ext cx="2362200" cy="1288415"/>
                    </a:xfrm>
                    <a:prstGeom prst="rect">
                      <a:avLst/>
                    </a:prstGeom>
                    <a:noFill/>
                    <a:ln w="9525">
                      <a:noFill/>
                    </a:ln>
                  </pic:spPr>
                </pic:pic>
              </a:graphicData>
            </a:graphic>
          </wp:inline>
        </w:drawing>
      </w:r>
      <w:r>
        <w:drawing>
          <wp:inline distT="0" distB="0" distL="114300" distR="114300">
            <wp:extent cx="2656205" cy="1289050"/>
            <wp:effectExtent l="0" t="0" r="10795" b="635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cstate="print"/>
                    <a:stretch>
                      <a:fillRect/>
                    </a:stretch>
                  </pic:blipFill>
                  <pic:spPr>
                    <a:xfrm>
                      <a:off x="0" y="0"/>
                      <a:ext cx="2656205" cy="1289050"/>
                    </a:xfrm>
                    <a:prstGeom prst="rect">
                      <a:avLst/>
                    </a:prstGeom>
                    <a:noFill/>
                    <a:ln w="9525">
                      <a:noFill/>
                    </a:ln>
                  </pic:spPr>
                </pic:pic>
              </a:graphicData>
            </a:graphic>
          </wp:inline>
        </w:drawing>
      </w:r>
    </w:p>
    <w:p>
      <w:pPr>
        <w:snapToGrid w:val="0"/>
        <w:jc w:val="center"/>
        <w:rPr>
          <w:rFonts w:ascii="仿宋_GB2312" w:hAnsi="宋体" w:eastAsia="仿宋_GB2312"/>
          <w:sz w:val="30"/>
          <w:szCs w:val="30"/>
        </w:rPr>
      </w:pPr>
      <w:r>
        <w:drawing>
          <wp:inline distT="0" distB="0" distL="114300" distR="114300">
            <wp:extent cx="3179445" cy="1271905"/>
            <wp:effectExtent l="0" t="0" r="1905" b="444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0" cstate="print"/>
                    <a:stretch>
                      <a:fillRect/>
                    </a:stretch>
                  </pic:blipFill>
                  <pic:spPr>
                    <a:xfrm>
                      <a:off x="0" y="0"/>
                      <a:ext cx="3179445" cy="1271905"/>
                    </a:xfrm>
                    <a:prstGeom prst="rect">
                      <a:avLst/>
                    </a:prstGeom>
                    <a:noFill/>
                    <a:ln w="9525">
                      <a:noFill/>
                    </a:ln>
                  </pic:spPr>
                </pic:pic>
              </a:graphicData>
            </a:graphic>
          </wp:inline>
        </w:drawing>
      </w:r>
    </w:p>
    <w:p>
      <w:pPr>
        <w:snapToGrid w:val="0"/>
        <w:rPr>
          <w:rFonts w:ascii="仿宋_GB2312" w:hAnsi="宋体" w:eastAsia="仿宋_GB2312"/>
          <w:sz w:val="30"/>
          <w:szCs w:val="30"/>
        </w:rPr>
      </w:pPr>
      <w:r>
        <w:drawing>
          <wp:inline distT="0" distB="0" distL="114300" distR="114300">
            <wp:extent cx="2633345" cy="1859280"/>
            <wp:effectExtent l="0" t="0" r="14605" b="762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1" cstate="print"/>
                    <a:stretch>
                      <a:fillRect/>
                    </a:stretch>
                  </pic:blipFill>
                  <pic:spPr>
                    <a:xfrm>
                      <a:off x="0" y="0"/>
                      <a:ext cx="2633345" cy="1859280"/>
                    </a:xfrm>
                    <a:prstGeom prst="rect">
                      <a:avLst/>
                    </a:prstGeom>
                    <a:noFill/>
                    <a:ln w="9525">
                      <a:noFill/>
                    </a:ln>
                  </pic:spPr>
                </pic:pic>
              </a:graphicData>
            </a:graphic>
          </wp:inline>
        </w:drawing>
      </w:r>
      <w:r>
        <w:drawing>
          <wp:inline distT="0" distB="0" distL="114300" distR="114300">
            <wp:extent cx="2512695" cy="1835785"/>
            <wp:effectExtent l="0" t="0" r="1905" b="1206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cstate="print"/>
                    <a:srcRect t="25819"/>
                    <a:stretch>
                      <a:fillRect/>
                    </a:stretch>
                  </pic:blipFill>
                  <pic:spPr>
                    <a:xfrm>
                      <a:off x="0" y="0"/>
                      <a:ext cx="2512695" cy="1835785"/>
                    </a:xfrm>
                    <a:prstGeom prst="rect">
                      <a:avLst/>
                    </a:prstGeom>
                    <a:noFill/>
                    <a:ln w="9525">
                      <a:noFill/>
                    </a:ln>
                  </pic:spPr>
                </pic:pic>
              </a:graphicData>
            </a:graphic>
          </wp:inline>
        </w:drawing>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（三）竞赛内容对应相关职业岗位或岗位群、体现专业核心能力与核心知识、涵盖丰富的专业知识与专业技能点</w:t>
      </w:r>
      <w:r>
        <w:rPr>
          <w:rFonts w:hint="eastAsia" w:ascii="Arial Narrow" w:hAnsi="Arial Narrow" w:eastAsia="仿宋_GB2312" w:cs="Arial"/>
          <w:sz w:val="30"/>
          <w:szCs w:val="30"/>
        </w:rPr>
        <w:t>。</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赛项设计紧扣产业发展方向。竞赛平台与高职专业必须跟随产业结构调整、升级换代的发展。通过产业的引领组织大赛，大赛再引领专业的建设、教学的改革。竞赛推动高职院校专业建设，对培养适合行业企业人才十分有利。技能大赛紧密围绕我国产业发展的实际设置竞赛项目，以实际的行动服务和支撑产业发展，为行业企业提供生产第一线急需技能型人力资源。</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项设计与专业建设相结合。竞赛项目的载体选择是基于工业现场真实电气控制系统的典型设备，符合教育部专业指导目录中的高职机电类专业培养目标，并且将该类专业的核心技术技能进行了综合；该赛项为高职院校校内生产性实训基地建设提供了新选择，为教学团队培养学生专业技术综合应用能力提供了新平台，为基于工作过程的课程开发、行动导向教学实施找到了新载体。竞赛内容所涉及的技术应用范围，符合《普通高等学校高职高专教育指导性专业目录（试行）》制造类（58）中的大多数专业的电气类专项技能培养要求。</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赛项设计紧扣职业资格要求。“现代电气控制系统安装与调试”竞赛项目通过完成典型电气控制系统的安装、调试与组态任务,体现出电工基本技能、电机与电气控制、PLC应用技术、电工测量与仪表调试、电力电子技术、交直流调速、组态控制、工业现场网络等专项核心技术技能，赛项内容包含了高于国家职业资格证书 “电工（三级）-高级工”的标准要求。</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rPr>
        <w:t>4．赛项设计紧扣职业素养培养。大赛赛项设计的目的还在于使技能大赛能检验高职学生的团队协作能力、计划组织能力、交流沟通能力等能力，并将团队学习、团队训练、团队精神融入整体竞赛过程中。“现代电气控制系统安装与调试”竞赛既要考技能、也要考素养，以理实一体化的评价方式，坚持过程评测、工艺评测和功能评测相结合，以社会需求为导向设计竞赛、学习方式，这些都是代表着高职教育的方向。赛项考评设计检验高职学生的机电设备安装调试能力、工程实施能力、团队协作能力、计划组织能力，检验高职学生的职业素养、交流沟通以及效率、成本和安全意识，指明了高职院校机电类专业教学的改革发展方向，促进了工学结合人才培养模式改革与创新，有利于培养可持续发展的满足企业需求的高端技能人才。</w:t>
      </w:r>
    </w:p>
    <w:p>
      <w:pPr>
        <w:snapToGrid w:val="0"/>
        <w:spacing w:line="560" w:lineRule="exact"/>
        <w:ind w:firstLine="600" w:firstLineChars="200"/>
        <w:rPr>
          <w:rFonts w:ascii="Arial Narrow" w:hAnsi="Arial Narrow" w:eastAsia="仿宋_GB2312"/>
          <w:sz w:val="30"/>
          <w:szCs w:val="30"/>
        </w:rPr>
      </w:pPr>
      <w:r>
        <w:rPr>
          <w:rFonts w:ascii="Arial Narrow" w:hAnsi="Arial Narrow" w:eastAsia="仿宋_GB2312" w:cs="Arial"/>
          <w:sz w:val="30"/>
          <w:szCs w:val="30"/>
        </w:rPr>
        <w:t>（四）竞赛平台成熟。</w:t>
      </w:r>
      <w:r>
        <w:rPr>
          <w:rFonts w:ascii="Arial Narrow" w:hAnsi="Arial Narrow" w:eastAsia="仿宋_GB2312"/>
          <w:sz w:val="30"/>
          <w:szCs w:val="30"/>
        </w:rPr>
        <w:t>根据行业特点，赛项选择相对先进、通用性强、社会保有量高的设备与软件</w:t>
      </w:r>
      <w:r>
        <w:rPr>
          <w:rFonts w:hint="eastAsia" w:ascii="Arial Narrow" w:hAnsi="Arial Narrow" w:eastAsia="仿宋_GB2312"/>
          <w:sz w:val="30"/>
          <w:szCs w:val="30"/>
        </w:rPr>
        <w:t>。</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竞赛平台采用“现代电气控制系统实训考核装置”，该装置以实际工作任务为载体，模块化挂板自由组合，兼具通用性、兼容性、先进性。</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竞赛平台分为如下模块化挂板。</w:t>
      </w:r>
    </w:p>
    <w:p>
      <w:pPr>
        <w:spacing w:line="560" w:lineRule="exact"/>
        <w:ind w:firstLine="525" w:firstLineChars="250"/>
        <w:rPr>
          <w:rFonts w:ascii="仿宋_GB2312" w:hAnsi="宋体" w:eastAsia="仿宋_GB2312"/>
          <w:sz w:val="30"/>
          <w:szCs w:val="30"/>
        </w:rPr>
      </w:pPr>
      <w:r>
        <w:rPr>
          <w:rFonts w:hint="eastAsia" w:eastAsiaTheme="minorEastAsia"/>
        </w:rPr>
        <w:drawing>
          <wp:anchor distT="0" distB="0" distL="114300" distR="114300" simplePos="0" relativeHeight="251658240" behindDoc="0" locked="0" layoutInCell="1" allowOverlap="1">
            <wp:simplePos x="0" y="0"/>
            <wp:positionH relativeFrom="column">
              <wp:posOffset>1457325</wp:posOffset>
            </wp:positionH>
            <wp:positionV relativeFrom="paragraph">
              <wp:posOffset>259080</wp:posOffset>
            </wp:positionV>
            <wp:extent cx="2247900" cy="2384425"/>
            <wp:effectExtent l="0" t="0" r="0" b="0"/>
            <wp:wrapTopAndBottom/>
            <wp:docPr id="1" name="图片 1" descr="DSC_8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SC_8282"/>
                    <pic:cNvPicPr>
                      <a:picLocks noChangeAspect="1"/>
                    </pic:cNvPicPr>
                  </pic:nvPicPr>
                  <pic:blipFill>
                    <a:blip r:embed="rId13" cstate="print"/>
                    <a:srcRect l="35208" t="22920" r="32269" b="25393"/>
                    <a:stretch>
                      <a:fillRect/>
                    </a:stretch>
                  </pic:blipFill>
                  <pic:spPr>
                    <a:xfrm>
                      <a:off x="0" y="0"/>
                      <a:ext cx="2247900" cy="2384425"/>
                    </a:xfrm>
                    <a:prstGeom prst="rect">
                      <a:avLst/>
                    </a:prstGeom>
                  </pic:spPr>
                </pic:pic>
              </a:graphicData>
            </a:graphic>
          </wp:anchor>
        </w:drawing>
      </w:r>
      <w:r>
        <w:rPr>
          <w:rFonts w:hint="eastAsia" w:ascii="仿宋_GB2312" w:hAnsi="宋体" w:eastAsia="仿宋_GB2312"/>
          <w:sz w:val="30"/>
          <w:szCs w:val="30"/>
        </w:rPr>
        <w:t>1．主令电气及仪表单元挂板是控制信号和显示（指示）单元，在整个电气控制系统中，起着向系统中的其他单元提供控制信号的作用。</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主要组成：包括进线电源控制与保护、主令电气控制元件、指示灯、触摸屏、显示仪表、紧急停止按钮等器件。</w:t>
      </w:r>
    </w:p>
    <w:p>
      <w:pPr>
        <w:spacing w:line="560" w:lineRule="exact"/>
        <w:ind w:firstLine="750" w:firstLineChars="250"/>
        <w:rPr>
          <w:rFonts w:ascii="仿宋_GB2312" w:hAnsi="宋体" w:eastAsia="仿宋_GB2312"/>
          <w:sz w:val="30"/>
          <w:szCs w:val="30"/>
        </w:rPr>
      </w:pPr>
      <w:r>
        <w:rPr>
          <w:rFonts w:hint="eastAsia" w:ascii="仿宋_GB2312" w:hAnsi="宋体" w:eastAsia="仿宋_GB2312"/>
          <w:sz w:val="30"/>
          <w:szCs w:val="30"/>
        </w:rPr>
        <w:t>2．PLC控制单元挂板是电气系统程序控制的主要控制单元，在整个系统中，起着对输入信号处理和电气控制信号输出等重要作用。</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主要组成：包括PLC、模拟量模块、扩展模块，4~20mA标准恒流源、0~10V标准恒压源、数字式显示仪表、变频器、伺服驱动器、步进驱动器等器件。</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3．电控制单元挂板是实现基本的电机拖动控制的一个单元，在整个电气自动控制系统中，起着对PLC控制信号放大和执行的作用。同时可实现独立的继电拖动功能。</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主要组成：包括断路器、熔断器、接触器、中间继电器、热保护继电器、行程开关、时间继电器等。同时还安装由伺服、步进电机驱动的（可相互转换）小车运动装置，并且安装有传感器、微动开关、滚珠丝杠、增量型编码器等。</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rPr>
        <w:t>4．多用途机床电路智能考核单元挂板，该单元即可通过对典型机床电路故障现象的分析和判断，测量和检查故障点，使用电脑只能考核软件排除故障，完成机床电路的故障检查和排除；也可以实现典型电气控制。</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（一）赛项行业覆盖面广，技术兼具通用性与先进性</w:t>
      </w:r>
    </w:p>
    <w:p>
      <w:pPr>
        <w:spacing w:line="560" w:lineRule="exact"/>
        <w:ind w:firstLine="600"/>
        <w:rPr>
          <w:rFonts w:ascii="仿宋_GB2312" w:hAnsi="宋体" w:eastAsia="仿宋_GB2312"/>
          <w:sz w:val="30"/>
          <w:szCs w:val="30"/>
        </w:rPr>
      </w:pPr>
      <w:r>
        <w:rPr>
          <w:rFonts w:hint="eastAsia" w:ascii="仿宋_GB2312" w:hAnsi="宋体" w:eastAsia="仿宋_GB2312"/>
          <w:sz w:val="30"/>
          <w:szCs w:val="30"/>
        </w:rPr>
        <w:t>赛项覆盖了农业、物流业、制造服务业、轻工包装、工程机械、新能源、医疗卫生、食品加工等行业，囊括了传统行业和新兴行业，融合现代电气技术应用发展，选取典型的行业应用为竞赛任务和实践教学项目。</w:t>
      </w:r>
    </w:p>
    <w:p>
      <w:pPr>
        <w:spacing w:line="560" w:lineRule="exact"/>
        <w:ind w:firstLine="600"/>
        <w:rPr>
          <w:rFonts w:ascii="仿宋_GB2312" w:hAnsi="宋体" w:eastAsia="仿宋_GB2312"/>
          <w:sz w:val="30"/>
          <w:szCs w:val="30"/>
        </w:rPr>
      </w:pPr>
      <w:r>
        <w:rPr>
          <w:rFonts w:hint="eastAsia" w:ascii="仿宋_GB2312" w:hAnsi="宋体" w:eastAsia="仿宋_GB2312"/>
          <w:sz w:val="30"/>
          <w:szCs w:val="30"/>
        </w:rPr>
        <w:t>赛项涉及的电气控制系统核心技术兼具通用性与先进性，既有经典电气控制系统应用，也有技术最新、市场主流品牌的核心设备。在竞赛内容设计上，把电气线路基本设计、常规的继电控制、PLC及通讯、触摸屏组态控制、</w:t>
      </w:r>
      <w:r>
        <w:rPr>
          <w:rFonts w:ascii="仿宋_GB2312" w:hAnsi="宋体" w:eastAsia="仿宋_GB2312"/>
          <w:sz w:val="30"/>
          <w:szCs w:val="30"/>
        </w:rPr>
        <w:t>PWM</w:t>
      </w:r>
      <w:r>
        <w:rPr>
          <w:rFonts w:hint="eastAsia" w:ascii="仿宋_GB2312" w:hAnsi="宋体" w:eastAsia="仿宋_GB2312"/>
          <w:sz w:val="30"/>
          <w:szCs w:val="30"/>
        </w:rPr>
        <w:t>控制、直流调速控制、传感器技术、编码器、异步电动机、特种电机进行系统设置，以实现组成不同的控制量与被控制量的开环和闭环控制，以各种电机为最终控制对象，体现出电气控制的系统性、全面性和完整性，构成多种变化的实训内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（二）赛项内容与过程体现职业核心能力培养</w:t>
      </w:r>
    </w:p>
    <w:p>
      <w:pPr>
        <w:spacing w:line="560" w:lineRule="exact"/>
        <w:ind w:firstLine="600"/>
        <w:rPr>
          <w:rFonts w:ascii="仿宋_GB2312" w:hAnsi="宋体" w:eastAsia="仿宋_GB2312"/>
          <w:sz w:val="30"/>
          <w:szCs w:val="30"/>
        </w:rPr>
      </w:pPr>
      <w:r>
        <w:rPr>
          <w:rFonts w:hint="eastAsia" w:ascii="仿宋_GB2312" w:hAnsi="宋体" w:eastAsia="仿宋_GB2312"/>
          <w:sz w:val="30"/>
          <w:szCs w:val="30"/>
        </w:rPr>
        <w:t>赛项坚持现场竞赛与技术体验相结合，使电气自动化系统装与调试赛项成为软硬结合、场内与场外互动、国内与国外交流，融技能竞赛、创新体验和文化传承于一体的自动化技术盛会。吸引国际知名企业全面参与了赛项设计、提供技术和相应展示体验条件的保障。将工厂企业电气自动化技术应用的主流设备全面引入竞赛装置，实现了学生与今后就业岗位技术设备要求对接。</w:t>
      </w:r>
    </w:p>
    <w:p>
      <w:pPr>
        <w:spacing w:line="560" w:lineRule="exact"/>
        <w:ind w:firstLine="600"/>
        <w:rPr>
          <w:rFonts w:ascii="仿宋_GB2312" w:hAnsi="宋体" w:eastAsia="仿宋_GB2312"/>
          <w:sz w:val="30"/>
          <w:szCs w:val="30"/>
        </w:rPr>
      </w:pPr>
      <w:r>
        <w:rPr>
          <w:rFonts w:hint="eastAsia" w:ascii="仿宋_GB2312" w:hAnsi="宋体" w:eastAsia="仿宋_GB2312"/>
          <w:sz w:val="30"/>
          <w:szCs w:val="30"/>
        </w:rPr>
        <w:t>赛项坚持个人能力展示与团队协作相结合,强调理实一体化的评判，把电路设计融入到竞赛过程中，考核高职选手的综合设计能力。竞赛强化过程考核、工艺考核、功能考核、素养考核，在真实工作任务下实施工作团队的职业能力素养的综合评价。</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（三）赛项对接世界技能大赛，实现中高职赛项衔接。</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赛项与世界技能大赛“工业控制</w:t>
      </w:r>
      <w:r>
        <w:rPr>
          <w:rFonts w:ascii="仿宋_GB2312" w:hAnsi="宋体" w:eastAsia="仿宋_GB2312"/>
          <w:sz w:val="30"/>
          <w:szCs w:val="30"/>
        </w:rPr>
        <w:t>”</w:t>
      </w:r>
      <w:r>
        <w:rPr>
          <w:rFonts w:hint="eastAsia" w:ascii="仿宋_GB2312" w:hAnsi="宋体" w:eastAsia="仿宋_GB2312"/>
          <w:sz w:val="30"/>
          <w:szCs w:val="30"/>
        </w:rPr>
        <w:t>赛项相的技能考核点“电路设计与修改、控制面板设计、现场安装、编程测试、故障查找等”对接，相比现有人才培养考核方式有一定的超前引领作用。</w:t>
      </w:r>
    </w:p>
    <w:p>
      <w:pPr>
        <w:snapToGrid w:val="0"/>
        <w:spacing w:line="560" w:lineRule="exact"/>
        <w:ind w:firstLine="600" w:firstLineChars="200"/>
        <w:rPr>
          <w:rFonts w:ascii="仿宋_GB2312" w:hAnsi="宋体" w:eastAsia="仿宋_GB2312"/>
          <w:color w:val="FF6600"/>
          <w:sz w:val="30"/>
          <w:szCs w:val="30"/>
        </w:rPr>
      </w:pPr>
      <w:r>
        <w:rPr>
          <w:rFonts w:hint="eastAsia" w:ascii="仿宋_GB2312" w:hAnsi="宋体" w:eastAsia="仿宋_GB2312"/>
          <w:sz w:val="30"/>
          <w:szCs w:val="30"/>
        </w:rPr>
        <w:t>赛项与中职组“电气安装与维修” 赛项和相关专业建设衔接，形成电气类技术专业中高职实训条件、课程体系、人才培养与选拔考核方式衔接。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（四）赛项运行成熟，资源转化内容丰富</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该赛项经过连续六年（2010年~2015年）教育行政部门、教育学会、教指委连同行业、企业在山东、江苏、浙江等省市共同开展高职院校技能大赛，并和机械行指委联合举办</w:t>
      </w:r>
      <w:r>
        <w:rPr>
          <w:rFonts w:ascii="仿宋_GB2312" w:hAnsi="宋体" w:eastAsia="仿宋_GB2312"/>
          <w:sz w:val="30"/>
          <w:szCs w:val="30"/>
        </w:rPr>
        <w:t>机电类专业教师教学能力大赛</w:t>
      </w:r>
      <w:r>
        <w:rPr>
          <w:rFonts w:hint="eastAsia" w:ascii="仿宋_GB2312" w:hAnsi="宋体" w:eastAsia="仿宋_GB2312"/>
          <w:sz w:val="30"/>
          <w:szCs w:val="30"/>
        </w:rPr>
        <w:t>，赛项参与院校多。特别是2014、2016、2018年在天津、江苏成功举办全国高职院校“现代电气控制系统安装与调试”技能大赛。</w:t>
      </w:r>
    </w:p>
    <w:p>
      <w:pPr>
        <w:snapToGrid w:val="0"/>
        <w:rPr>
          <w:rFonts w:ascii="仿宋" w:hAnsi="仿宋" w:eastAsia="仿宋"/>
          <w:sz w:val="30"/>
          <w:szCs w:val="30"/>
        </w:rPr>
      </w:pPr>
      <w:r>
        <w:drawing>
          <wp:inline distT="0" distB="0" distL="114300" distR="114300">
            <wp:extent cx="2498090" cy="1662430"/>
            <wp:effectExtent l="0" t="0" r="16510" b="13970"/>
            <wp:docPr id="8" name="图片 6" descr="DSC_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DSC_3098"/>
                    <pic:cNvPicPr>
                      <a:picLocks noChangeAspect="1"/>
                    </pic:cNvPicPr>
                  </pic:nvPicPr>
                  <pic:blipFill>
                    <a:blip r:embed="rId14" cstate="print"/>
                    <a:stretch>
                      <a:fillRect/>
                    </a:stretch>
                  </pic:blipFill>
                  <pic:spPr>
                    <a:xfrm>
                      <a:off x="0" y="0"/>
                      <a:ext cx="2498090" cy="1662430"/>
                    </a:xfrm>
                    <a:prstGeom prst="rect">
                      <a:avLst/>
                    </a:prstGeom>
                    <a:noFill/>
                    <a:ln w="9525">
                      <a:noFill/>
                    </a:ln>
                  </pic:spPr>
                </pic:pic>
              </a:graphicData>
            </a:graphic>
          </wp:inline>
        </w:drawing>
      </w:r>
      <w:r>
        <w:drawing>
          <wp:inline distT="0" distB="0" distL="114300" distR="114300">
            <wp:extent cx="2519045" cy="1678305"/>
            <wp:effectExtent l="0" t="0" r="14605" b="17145"/>
            <wp:docPr id="10" name="图片 7" descr="DSC_3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DSC_3030"/>
                    <pic:cNvPicPr>
                      <a:picLocks noChangeAspect="1"/>
                    </pic:cNvPicPr>
                  </pic:nvPicPr>
                  <pic:blipFill>
                    <a:blip r:embed="rId15" cstate="print"/>
                    <a:stretch>
                      <a:fillRect/>
                    </a:stretch>
                  </pic:blipFill>
                  <pic:spPr>
                    <a:xfrm>
                      <a:off x="0" y="0"/>
                      <a:ext cx="2519045" cy="1678305"/>
                    </a:xfrm>
                    <a:prstGeom prst="rect">
                      <a:avLst/>
                    </a:prstGeom>
                    <a:noFill/>
                    <a:ln w="9525">
                      <a:noFill/>
                    </a:ln>
                  </pic:spPr>
                </pic:pic>
              </a:graphicData>
            </a:graphic>
          </wp:inline>
        </w:drawing>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国内</w:t>
      </w:r>
      <w:r>
        <w:rPr>
          <w:rFonts w:hint="eastAsia" w:ascii="仿宋_GB2312" w:hAnsi="宋体" w:eastAsia="仿宋_GB2312"/>
          <w:sz w:val="30"/>
          <w:szCs w:val="30"/>
        </w:rPr>
        <w:t>相当数量的高职院校已经开展了“现代电气控制系统安装与调试”的专项实训教学，专家组与高等教育出版社、中国铁道出版社共同开发新形态一体化教材《电气控制系统安装与调试（三菱系统）》、《电气控制系统安装与调试（西门子系统）》。</w:t>
      </w:r>
      <w:r>
        <w:rPr>
          <w:rFonts w:hint="eastAsia" w:ascii="仿宋_GB2312" w:hAnsi="宋体" w:eastAsia="仿宋_GB2312" w:cs="Arial"/>
          <w:kern w:val="0"/>
          <w:sz w:val="30"/>
          <w:szCs w:val="30"/>
        </w:rPr>
        <w:t>结合竞赛设备，校企合作，完善专业建设和课程建设，</w:t>
      </w:r>
      <w:r>
        <w:rPr>
          <w:rFonts w:hint="eastAsia" w:ascii="仿宋_GB2312" w:hAnsi="宋体" w:eastAsia="仿宋_GB2312"/>
          <w:sz w:val="30"/>
          <w:szCs w:val="30"/>
        </w:rPr>
        <w:t>同时开发了微视频、演示课件、动画等数字教学资源，</w:t>
      </w:r>
      <w:r>
        <w:rPr>
          <w:rFonts w:hint="eastAsia" w:ascii="仿宋_GB2312" w:hAnsi="宋体" w:eastAsia="仿宋_GB2312" w:cs="Arial"/>
          <w:kern w:val="0"/>
          <w:sz w:val="30"/>
          <w:szCs w:val="30"/>
        </w:rPr>
        <w:t>建立网络共享型教学资源包，提供动态资源信息。</w:t>
      </w:r>
    </w:p>
    <w:p>
      <w:pPr>
        <w:snapToGrid w:val="0"/>
        <w:jc w:val="center"/>
        <w:rPr>
          <w:rFonts w:ascii="仿宋_GB2312" w:hAnsi="宋体" w:eastAsia="仿宋_GB2312" w:cs="Arial"/>
          <w:kern w:val="0"/>
          <w:sz w:val="30"/>
          <w:szCs w:val="30"/>
        </w:rPr>
      </w:pPr>
      <w:r>
        <w:rPr>
          <w:rFonts w:ascii="仿宋_GB2312" w:hAnsi="宋体" w:eastAsia="仿宋_GB2312" w:cs="Arial"/>
          <w:kern w:val="0"/>
          <w:sz w:val="30"/>
          <w:szCs w:val="30"/>
        </w:rPr>
        <w:drawing>
          <wp:inline distT="0" distB="0" distL="114300" distR="114300">
            <wp:extent cx="1897380" cy="2705735"/>
            <wp:effectExtent l="0" t="0" r="7620" b="1841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6" cstate="print"/>
                    <a:srcRect l="51588"/>
                    <a:stretch>
                      <a:fillRect/>
                    </a:stretch>
                  </pic:blipFill>
                  <pic:spPr>
                    <a:xfrm>
                      <a:off x="0" y="0"/>
                      <a:ext cx="1897380" cy="2705735"/>
                    </a:xfrm>
                    <a:prstGeom prst="rect">
                      <a:avLst/>
                    </a:prstGeom>
                    <a:noFill/>
                    <a:ln w="9525">
                      <a:noFill/>
                    </a:ln>
                  </pic:spPr>
                </pic:pic>
              </a:graphicData>
            </a:graphic>
          </wp:inline>
        </w:drawing>
      </w:r>
      <w:r>
        <w:rPr>
          <w:rFonts w:ascii="仿宋_GB2312" w:hAnsi="宋体" w:eastAsia="仿宋_GB2312" w:cs="Arial"/>
          <w:kern w:val="0"/>
          <w:sz w:val="30"/>
          <w:szCs w:val="30"/>
        </w:rPr>
        <w:drawing>
          <wp:inline distT="0" distB="0" distL="114300" distR="114300">
            <wp:extent cx="2079625" cy="2736850"/>
            <wp:effectExtent l="0" t="0" r="15875" b="6350"/>
            <wp:docPr id="11" name="图片 9" descr="23042-5+现代电气控制系统安装与调试-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23042-5+现代电气控制系统安装与调试-01"/>
                    <pic:cNvPicPr>
                      <a:picLocks noChangeAspect="1"/>
                    </pic:cNvPicPr>
                  </pic:nvPicPr>
                  <pic:blipFill>
                    <a:blip r:embed="rId17" cstate="print"/>
                    <a:srcRect l="51622"/>
                    <a:stretch>
                      <a:fillRect/>
                    </a:stretch>
                  </pic:blipFill>
                  <pic:spPr>
                    <a:xfrm>
                      <a:off x="0" y="0"/>
                      <a:ext cx="2079625" cy="2736850"/>
                    </a:xfrm>
                    <a:prstGeom prst="rect">
                      <a:avLst/>
                    </a:prstGeom>
                    <a:noFill/>
                    <a:ln w="9525">
                      <a:noFill/>
                    </a:ln>
                  </pic:spPr>
                </pic:pic>
              </a:graphicData>
            </a:graphic>
          </wp:inline>
        </w:drawing>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现代电气控制系统安装与调试”赛项为团体赛，在赛场提供的装备中，完成典型工程项目案例的电气控制系统安装与调试。包含了继电控制、PLC及通讯、触摸屏组态控制、交直流调速控制、传感器技术、编码器、特种电机等，以实现组成不同的控制量与被控制量的开环和闭环控制，体现出电气控制的系统性、全面性和完整性，构成多种变化的实训任务。</w:t>
      </w:r>
    </w:p>
    <w:p>
      <w:pPr>
        <w:spacing w:line="560" w:lineRule="exact"/>
        <w:ind w:firstLine="600" w:firstLineChars="200"/>
        <w:rPr>
          <w:rFonts w:ascii="仿宋_GB2312" w:hAnsi="宋体" w:eastAsia="仿宋_GB2312"/>
          <w:sz w:val="30"/>
          <w:szCs w:val="30"/>
        </w:rPr>
      </w:pPr>
      <w:r>
        <w:rPr>
          <w:rFonts w:ascii="仿宋_GB2312" w:hAnsi="宋体" w:eastAsia="仿宋_GB2312"/>
          <w:sz w:val="30"/>
          <w:szCs w:val="30"/>
        </w:rPr>
        <w:t>"Modern electric control system installation and debugging"</w:t>
      </w:r>
      <w:r>
        <w:rPr>
          <w:rFonts w:hint="eastAsia" w:ascii="仿宋_GB2312" w:hAnsi="宋体" w:eastAsia="仿宋_GB2312"/>
          <w:sz w:val="30"/>
          <w:szCs w:val="30"/>
        </w:rPr>
        <w:t xml:space="preserve">is teamwork </w:t>
      </w:r>
      <w:r>
        <w:rPr>
          <w:rFonts w:ascii="仿宋_GB2312" w:hAnsi="宋体" w:eastAsia="仿宋_GB2312"/>
          <w:sz w:val="30"/>
          <w:szCs w:val="30"/>
        </w:rPr>
        <w:t>contest item</w:t>
      </w:r>
      <w:r>
        <w:rPr>
          <w:rFonts w:hint="eastAsia" w:ascii="仿宋_GB2312" w:hAnsi="宋体" w:eastAsia="仿宋_GB2312"/>
          <w:sz w:val="30"/>
          <w:szCs w:val="30"/>
        </w:rPr>
        <w:t>,</w:t>
      </w:r>
      <w:r>
        <w:rPr>
          <w:rFonts w:ascii="仿宋_GB2312" w:hAnsi="宋体" w:eastAsia="仿宋_GB2312"/>
          <w:sz w:val="30"/>
          <w:szCs w:val="30"/>
        </w:rPr>
        <w:t xml:space="preserve"> contestant</w:t>
      </w:r>
      <w:r>
        <w:rPr>
          <w:rFonts w:hint="eastAsia" w:ascii="仿宋_GB2312" w:hAnsi="宋体" w:eastAsia="仿宋_GB2312"/>
          <w:sz w:val="30"/>
          <w:szCs w:val="30"/>
        </w:rPr>
        <w:t xml:space="preserve"> should </w:t>
      </w:r>
      <w:r>
        <w:rPr>
          <w:rFonts w:ascii="仿宋_GB2312" w:hAnsi="宋体" w:eastAsia="仿宋_GB2312"/>
          <w:sz w:val="30"/>
          <w:szCs w:val="30"/>
        </w:rPr>
        <w:t>complete electric control system installation and debugging</w:t>
      </w:r>
      <w:r>
        <w:rPr>
          <w:rFonts w:hint="eastAsia" w:ascii="仿宋_GB2312" w:hAnsi="宋体" w:eastAsia="仿宋_GB2312"/>
          <w:sz w:val="30"/>
          <w:szCs w:val="30"/>
        </w:rPr>
        <w:t xml:space="preserve"> task of</w:t>
      </w:r>
      <w:r>
        <w:rPr>
          <w:rFonts w:ascii="仿宋_GB2312" w:hAnsi="宋体" w:eastAsia="仿宋_GB2312"/>
          <w:sz w:val="30"/>
          <w:szCs w:val="30"/>
        </w:rPr>
        <w:t xml:space="preserve"> typical project</w:t>
      </w:r>
      <w:r>
        <w:rPr>
          <w:rFonts w:hint="eastAsia" w:ascii="仿宋_GB2312" w:hAnsi="宋体" w:eastAsia="仿宋_GB2312"/>
          <w:sz w:val="30"/>
          <w:szCs w:val="30"/>
        </w:rPr>
        <w:t xml:space="preserve"> in the provided equipment. This equipment c</w:t>
      </w:r>
      <w:r>
        <w:rPr>
          <w:rFonts w:ascii="仿宋_GB2312" w:hAnsi="宋体" w:eastAsia="仿宋_GB2312"/>
          <w:sz w:val="30"/>
          <w:szCs w:val="30"/>
        </w:rPr>
        <w:t>ontain</w:t>
      </w:r>
      <w:r>
        <w:rPr>
          <w:rFonts w:hint="eastAsia" w:ascii="仿宋_GB2312" w:hAnsi="宋体" w:eastAsia="仿宋_GB2312"/>
          <w:sz w:val="30"/>
          <w:szCs w:val="30"/>
        </w:rPr>
        <w:t>s</w:t>
      </w:r>
      <w:r>
        <w:rPr>
          <w:rFonts w:ascii="仿宋_GB2312" w:hAnsi="宋体" w:eastAsia="仿宋_GB2312"/>
          <w:sz w:val="30"/>
          <w:szCs w:val="30"/>
        </w:rPr>
        <w:t xml:space="preserve"> therelay control,PLC andcommunication,touch screen control,AC and DC speed control,sensortechnology,encoder,special motor</w:t>
      </w:r>
      <w:r>
        <w:rPr>
          <w:rFonts w:hint="eastAsia" w:ascii="仿宋_GB2312" w:hAnsi="宋体" w:eastAsia="仿宋_GB2312"/>
          <w:sz w:val="30"/>
          <w:szCs w:val="30"/>
        </w:rPr>
        <w:t xml:space="preserve"> and so on. Different</w:t>
      </w:r>
      <w:r>
        <w:rPr>
          <w:rFonts w:ascii="仿宋_GB2312" w:hAnsi="宋体" w:eastAsia="仿宋_GB2312"/>
          <w:sz w:val="30"/>
          <w:szCs w:val="30"/>
        </w:rPr>
        <w:t xml:space="preserve"> open loop and closed loop control </w:t>
      </w:r>
      <w:r>
        <w:rPr>
          <w:rFonts w:hint="eastAsia" w:ascii="仿宋_GB2312" w:hAnsi="宋体" w:eastAsia="仿宋_GB2312"/>
          <w:sz w:val="30"/>
          <w:szCs w:val="30"/>
        </w:rPr>
        <w:t>can be  formed using this equipment.And a</w:t>
      </w:r>
      <w:r>
        <w:rPr>
          <w:rFonts w:ascii="仿宋_GB2312" w:hAnsi="宋体" w:eastAsia="仿宋_GB2312"/>
          <w:sz w:val="30"/>
          <w:szCs w:val="30"/>
        </w:rPr>
        <w:t xml:space="preserve"> variety of training task </w:t>
      </w:r>
      <w:r>
        <w:rPr>
          <w:rFonts w:hint="eastAsia" w:ascii="仿宋_GB2312" w:hAnsi="宋体" w:eastAsia="仿宋_GB2312"/>
          <w:sz w:val="30"/>
          <w:szCs w:val="30"/>
        </w:rPr>
        <w:t>can be formed using this equipment</w:t>
      </w:r>
      <w:r>
        <w:rPr>
          <w:rFonts w:ascii="仿宋_GB2312" w:hAnsi="宋体" w:eastAsia="仿宋_GB2312"/>
          <w:sz w:val="30"/>
          <w:szCs w:val="30"/>
        </w:rPr>
        <w:t>. T</w:t>
      </w:r>
      <w:r>
        <w:rPr>
          <w:rFonts w:hint="eastAsia" w:ascii="仿宋_GB2312" w:hAnsi="宋体" w:eastAsia="仿宋_GB2312"/>
          <w:sz w:val="30"/>
          <w:szCs w:val="30"/>
        </w:rPr>
        <w:t xml:space="preserve">his equipment </w:t>
      </w:r>
      <w:r>
        <w:rPr>
          <w:rFonts w:ascii="仿宋_GB2312" w:hAnsi="宋体" w:eastAsia="仿宋_GB2312"/>
          <w:sz w:val="30"/>
          <w:szCs w:val="30"/>
        </w:rPr>
        <w:t>reflect</w:t>
      </w:r>
      <w:r>
        <w:rPr>
          <w:rFonts w:hint="eastAsia" w:ascii="仿宋_GB2312" w:hAnsi="宋体" w:eastAsia="仿宋_GB2312"/>
          <w:sz w:val="30"/>
          <w:szCs w:val="30"/>
        </w:rPr>
        <w:t xml:space="preserve"> the </w:t>
      </w:r>
      <w:r>
        <w:rPr>
          <w:rFonts w:ascii="仿宋_GB2312" w:hAnsi="宋体" w:eastAsia="仿宋_GB2312"/>
          <w:sz w:val="30"/>
          <w:szCs w:val="30"/>
        </w:rPr>
        <w:t>systematicness</w:t>
      </w:r>
      <w:r>
        <w:rPr>
          <w:rFonts w:hint="eastAsia" w:ascii="仿宋_GB2312" w:hAnsi="宋体" w:eastAsia="仿宋_GB2312"/>
          <w:sz w:val="30"/>
          <w:szCs w:val="30"/>
        </w:rPr>
        <w:t>，</w:t>
      </w:r>
      <w:r>
        <w:rPr>
          <w:rFonts w:ascii="仿宋_GB2312" w:hAnsi="宋体" w:eastAsia="仿宋_GB2312"/>
          <w:sz w:val="30"/>
          <w:szCs w:val="30"/>
        </w:rPr>
        <w:t>integrity</w:t>
      </w:r>
      <w:r>
        <w:rPr>
          <w:rFonts w:hint="eastAsia" w:ascii="仿宋_GB2312" w:hAnsi="宋体" w:eastAsia="仿宋_GB2312"/>
          <w:sz w:val="30"/>
          <w:szCs w:val="30"/>
        </w:rPr>
        <w:t xml:space="preserve"> and </w:t>
      </w:r>
      <w:r>
        <w:rPr>
          <w:rFonts w:ascii="仿宋_GB2312" w:hAnsi="宋体" w:eastAsia="仿宋_GB2312"/>
          <w:sz w:val="30"/>
          <w:szCs w:val="30"/>
        </w:rPr>
        <w:t>comprehensiveness</w:t>
      </w:r>
      <w:r>
        <w:rPr>
          <w:rFonts w:hint="eastAsia" w:ascii="仿宋_GB2312" w:hAnsi="宋体" w:eastAsia="仿宋_GB2312"/>
          <w:sz w:val="30"/>
          <w:szCs w:val="30"/>
        </w:rPr>
        <w:t xml:space="preserve"> of the </w:t>
      </w:r>
      <w:r>
        <w:rPr>
          <w:rFonts w:ascii="仿宋_GB2312" w:hAnsi="宋体" w:eastAsia="仿宋_GB2312"/>
          <w:sz w:val="30"/>
          <w:szCs w:val="30"/>
        </w:rPr>
        <w:t>electric control system</w:t>
      </w:r>
      <w:r>
        <w:rPr>
          <w:rFonts w:hint="eastAsia" w:ascii="仿宋_GB2312" w:hAnsi="宋体" w:eastAsia="仿宋_GB2312"/>
          <w:sz w:val="30"/>
          <w:szCs w:val="30"/>
        </w:rPr>
        <w:t>.</w:t>
      </w:r>
    </w:p>
    <w:p>
      <w:pPr>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sz w:val="30"/>
          <w:szCs w:val="30"/>
        </w:rPr>
        <w:t>竞赛内容包括控制系统电路设计、控制系统电路布置、连接工艺与调试、工作单元独立功能编程调试、控制系统整体功能编程调试、电气控制系统故障检修</w:t>
      </w:r>
      <w:r>
        <w:rPr>
          <w:rFonts w:hint="eastAsia" w:ascii="仿宋_GB2312" w:hAnsi="宋体" w:eastAsia="仿宋_GB2312" w:cs="Arial"/>
          <w:kern w:val="0"/>
          <w:sz w:val="30"/>
          <w:szCs w:val="30"/>
        </w:rPr>
        <w:t>等核心技能。同时可考核参赛选手的工作效率、质量意识、安全意识、节能环保意识和职业素养精神等。</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rPr>
        <w:t>P</w:t>
      </w:r>
      <w:r>
        <w:rPr>
          <w:rFonts w:ascii="仿宋_GB2312" w:hAnsi="宋体" w:eastAsia="仿宋_GB2312"/>
          <w:sz w:val="30"/>
          <w:szCs w:val="30"/>
        </w:rPr>
        <w:t xml:space="preserve">rofessional key skills </w:t>
      </w:r>
      <w:r>
        <w:rPr>
          <w:rFonts w:hint="eastAsia" w:ascii="仿宋_GB2312" w:hAnsi="宋体" w:eastAsia="仿宋_GB2312"/>
          <w:sz w:val="30"/>
          <w:szCs w:val="30"/>
        </w:rPr>
        <w:t>are evaluated in t</w:t>
      </w:r>
      <w:r>
        <w:rPr>
          <w:rFonts w:ascii="仿宋_GB2312" w:hAnsi="宋体" w:eastAsia="仿宋_GB2312"/>
          <w:sz w:val="30"/>
          <w:szCs w:val="30"/>
        </w:rPr>
        <w:t>hecompetitioncontent</w:t>
      </w:r>
      <w:r>
        <w:rPr>
          <w:rFonts w:hint="eastAsia" w:ascii="仿宋_GB2312" w:hAnsi="宋体" w:eastAsia="仿宋_GB2312"/>
          <w:sz w:val="30"/>
          <w:szCs w:val="30"/>
        </w:rPr>
        <w:t xml:space="preserve">. These professional key skills </w:t>
      </w:r>
      <w:r>
        <w:rPr>
          <w:rFonts w:ascii="仿宋_GB2312" w:hAnsi="宋体" w:eastAsia="仿宋_GB2312"/>
          <w:sz w:val="30"/>
          <w:szCs w:val="30"/>
        </w:rPr>
        <w:t>includ</w:t>
      </w:r>
      <w:r>
        <w:rPr>
          <w:rFonts w:hint="eastAsia" w:ascii="仿宋_GB2312" w:hAnsi="宋体" w:eastAsia="仿宋_GB2312"/>
          <w:sz w:val="30"/>
          <w:szCs w:val="30"/>
        </w:rPr>
        <w:t xml:space="preserve">e </w:t>
      </w:r>
      <w:r>
        <w:rPr>
          <w:rFonts w:ascii="仿宋_GB2312" w:hAnsi="宋体" w:eastAsia="仿宋_GB2312"/>
          <w:sz w:val="30"/>
          <w:szCs w:val="30"/>
        </w:rPr>
        <w:t>controlsystem</w:t>
      </w:r>
      <w:r>
        <w:rPr>
          <w:rFonts w:hint="eastAsia" w:ascii="仿宋_GB2312" w:hAnsi="宋体" w:eastAsia="仿宋_GB2312"/>
          <w:sz w:val="30"/>
          <w:szCs w:val="30"/>
        </w:rPr>
        <w:t xml:space="preserve"> circuit </w:t>
      </w:r>
      <w:r>
        <w:rPr>
          <w:rFonts w:ascii="仿宋_GB2312" w:hAnsi="宋体" w:eastAsia="仿宋_GB2312"/>
          <w:sz w:val="30"/>
          <w:szCs w:val="30"/>
        </w:rPr>
        <w:t>design</w:t>
      </w:r>
      <w:r>
        <w:rPr>
          <w:rFonts w:hint="eastAsia" w:ascii="仿宋_GB2312" w:hAnsi="宋体" w:eastAsia="仿宋_GB2312"/>
          <w:sz w:val="30"/>
          <w:szCs w:val="30"/>
        </w:rPr>
        <w:t xml:space="preserve"> and </w:t>
      </w:r>
      <w:r>
        <w:rPr>
          <w:rFonts w:ascii="仿宋_GB2312" w:hAnsi="宋体" w:eastAsia="仿宋_GB2312"/>
          <w:sz w:val="30"/>
          <w:szCs w:val="30"/>
        </w:rPr>
        <w:t>layout</w:t>
      </w:r>
      <w:r>
        <w:rPr>
          <w:rFonts w:hint="eastAsia" w:ascii="仿宋_GB2312" w:hAnsi="宋体" w:eastAsia="仿宋_GB2312"/>
          <w:sz w:val="30"/>
          <w:szCs w:val="30"/>
        </w:rPr>
        <w:t xml:space="preserve">, </w:t>
      </w:r>
      <w:r>
        <w:rPr>
          <w:rFonts w:ascii="仿宋_GB2312" w:hAnsi="宋体" w:eastAsia="仿宋_GB2312"/>
          <w:sz w:val="30"/>
          <w:szCs w:val="30"/>
        </w:rPr>
        <w:t>connectiontechnologyanddebugging</w:t>
      </w:r>
      <w:r>
        <w:rPr>
          <w:rFonts w:hint="eastAsia" w:ascii="仿宋_GB2312" w:hAnsi="宋体" w:eastAsia="仿宋_GB2312"/>
          <w:sz w:val="30"/>
          <w:szCs w:val="30"/>
        </w:rPr>
        <w:t xml:space="preserve">, </w:t>
      </w:r>
      <w:r>
        <w:rPr>
          <w:rFonts w:ascii="仿宋_GB2312" w:hAnsi="宋体" w:eastAsia="仿宋_GB2312"/>
          <w:sz w:val="30"/>
          <w:szCs w:val="30"/>
        </w:rPr>
        <w:t>workunit independentfunctionprogramming and debugging</w:t>
      </w:r>
      <w:r>
        <w:rPr>
          <w:rFonts w:hint="eastAsia" w:ascii="仿宋_GB2312" w:hAnsi="宋体" w:eastAsia="仿宋_GB2312"/>
          <w:sz w:val="30"/>
          <w:szCs w:val="30"/>
        </w:rPr>
        <w:t xml:space="preserve">, </w:t>
      </w:r>
      <w:r>
        <w:rPr>
          <w:rFonts w:ascii="仿宋_GB2312" w:hAnsi="宋体" w:eastAsia="仿宋_GB2312"/>
          <w:sz w:val="30"/>
          <w:szCs w:val="30"/>
        </w:rPr>
        <w:t>the whole function programming anddebugging</w:t>
      </w:r>
      <w:r>
        <w:rPr>
          <w:rFonts w:hint="eastAsia" w:ascii="仿宋_GB2312" w:hAnsi="宋体" w:eastAsia="仿宋_GB2312"/>
          <w:sz w:val="30"/>
          <w:szCs w:val="30"/>
        </w:rPr>
        <w:t xml:space="preserve">, </w:t>
      </w:r>
      <w:r>
        <w:rPr>
          <w:rFonts w:ascii="仿宋_GB2312" w:hAnsi="宋体" w:eastAsia="仿宋_GB2312"/>
          <w:sz w:val="30"/>
          <w:szCs w:val="30"/>
        </w:rPr>
        <w:t xml:space="preserve">electricalcontrolsystem faultmaintenance </w:t>
      </w:r>
      <w:r>
        <w:rPr>
          <w:rFonts w:hint="eastAsia" w:ascii="仿宋_GB2312" w:hAnsi="宋体" w:eastAsia="仿宋_GB2312"/>
          <w:sz w:val="30"/>
          <w:szCs w:val="30"/>
        </w:rPr>
        <w:t>and so on</w:t>
      </w:r>
      <w:r>
        <w:rPr>
          <w:rFonts w:ascii="仿宋_GB2312" w:hAnsi="宋体" w:eastAsia="仿宋_GB2312"/>
          <w:sz w:val="30"/>
          <w:szCs w:val="30"/>
        </w:rPr>
        <w:t>.At the same time</w:t>
      </w:r>
      <w:r>
        <w:rPr>
          <w:rFonts w:hint="eastAsia" w:ascii="仿宋_GB2312" w:hAnsi="宋体" w:eastAsia="仿宋_GB2312"/>
          <w:sz w:val="30"/>
          <w:szCs w:val="30"/>
        </w:rPr>
        <w:t xml:space="preserve">, </w:t>
      </w:r>
      <w:r>
        <w:rPr>
          <w:rFonts w:ascii="仿宋_GB2312" w:hAnsi="宋体" w:eastAsia="仿宋_GB2312"/>
          <w:sz w:val="30"/>
          <w:szCs w:val="30"/>
        </w:rPr>
        <w:t>playerswork efficiency,quality awareness</w:t>
      </w:r>
      <w:r>
        <w:rPr>
          <w:rFonts w:hint="eastAsia" w:ascii="仿宋_GB2312" w:hAnsi="宋体" w:eastAsia="仿宋_GB2312"/>
          <w:sz w:val="30"/>
          <w:szCs w:val="30"/>
        </w:rPr>
        <w:t xml:space="preserve">, </w:t>
      </w:r>
      <w:r>
        <w:rPr>
          <w:rFonts w:ascii="仿宋_GB2312" w:hAnsi="宋体" w:eastAsia="仿宋_GB2312"/>
          <w:sz w:val="30"/>
          <w:szCs w:val="30"/>
        </w:rPr>
        <w:t>safety awareness</w:t>
      </w:r>
      <w:r>
        <w:rPr>
          <w:rFonts w:hint="eastAsia" w:ascii="仿宋_GB2312" w:hAnsi="宋体" w:eastAsia="仿宋_GB2312"/>
          <w:sz w:val="30"/>
          <w:szCs w:val="30"/>
        </w:rPr>
        <w:t xml:space="preserve">, </w:t>
      </w:r>
      <w:r>
        <w:rPr>
          <w:rFonts w:ascii="仿宋_GB2312" w:hAnsi="宋体" w:eastAsia="仿宋_GB2312"/>
          <w:sz w:val="30"/>
          <w:szCs w:val="30"/>
        </w:rPr>
        <w:t>awareness of energy saving and environmentalprotection andoccupationaccomplishmentspiritcan be evaluate</w:t>
      </w:r>
      <w:r>
        <w:rPr>
          <w:rFonts w:hint="eastAsia" w:ascii="仿宋_GB2312" w:hAnsi="宋体" w:eastAsia="仿宋_GB2312"/>
          <w:sz w:val="30"/>
          <w:szCs w:val="30"/>
        </w:rPr>
        <w:t>d.</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 参赛报名平台</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全国职业院校技能大赛以省、自治区、直辖市、新疆生产建设兵团、计划单列市（以下简称省）为单位组织报名参赛。报名通过全国职业院校技能大赛网络报名系统统一进行，本赛项拟邀请境外代表队参赛。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 参赛名额</w:t>
      </w:r>
    </w:p>
    <w:p>
      <w:pPr>
        <w:tabs>
          <w:tab w:val="left" w:pos="567"/>
          <w:tab w:val="left" w:pos="709"/>
        </w:tabs>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本赛项为团体赛</w:t>
      </w:r>
      <w:r>
        <w:rPr>
          <w:rFonts w:ascii="仿宋_GB2312" w:hAnsi="宋体" w:eastAsia="仿宋_GB2312" w:cs="Arial"/>
          <w:kern w:val="0"/>
          <w:sz w:val="30"/>
          <w:szCs w:val="30"/>
        </w:rPr>
        <w:t>，2名选手为一队</w:t>
      </w:r>
      <w:r>
        <w:rPr>
          <w:rFonts w:hint="eastAsia" w:ascii="仿宋_GB2312" w:hAnsi="宋体" w:eastAsia="仿宋_GB2312"/>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（三）报名资格</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1．高职组参赛选手须为高等学校全日制在籍学生；本科院校中高职类全日制在籍学生可报名参加高职组比赛。五年制高职四、五年级学生可报名参加高职组比赛。</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2．高职组参赛选手年龄须不超过</w:t>
      </w:r>
      <w:r>
        <w:rPr>
          <w:rFonts w:ascii="仿宋_GB2312" w:hAnsi="宋体" w:eastAsia="仿宋_GB2312"/>
          <w:sz w:val="30"/>
          <w:szCs w:val="30"/>
        </w:rPr>
        <w:t>25</w:t>
      </w:r>
      <w:r>
        <w:rPr>
          <w:rFonts w:hint="eastAsia" w:ascii="仿宋_GB2312" w:hAnsi="宋体" w:eastAsia="仿宋_GB2312"/>
          <w:sz w:val="30"/>
          <w:szCs w:val="30"/>
        </w:rPr>
        <w:t>周岁（当年）。</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3．各地区的省内参赛选拔、名额分配和参赛师生资格审查工作主要由省级教育行政部门负责。大赛执委会办公室有对参赛人员资格进行抽查的权利。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（四）组队要求</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1．省、自治区、直辖市、新疆生产建设兵团、计划单列市可报名参加比赛。</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2．团体赛不得跨校组队，同一学校相同项目报名参赛队不超过</w:t>
      </w:r>
      <w:r>
        <w:rPr>
          <w:rFonts w:ascii="仿宋_GB2312" w:hAnsi="宋体" w:eastAsia="仿宋_GB2312"/>
          <w:sz w:val="30"/>
          <w:szCs w:val="30"/>
        </w:rPr>
        <w:t>1</w:t>
      </w:r>
      <w:r>
        <w:rPr>
          <w:rFonts w:hint="eastAsia" w:ascii="仿宋_GB2312" w:hAnsi="宋体" w:eastAsia="仿宋_GB2312"/>
          <w:sz w:val="30"/>
          <w:szCs w:val="30"/>
        </w:rPr>
        <w:t>支。</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3．团体赛参赛队选手均可配指导教师。指导教师人数以赛项规程中要求为准，团体赛每队不超过</w:t>
      </w:r>
      <w:r>
        <w:rPr>
          <w:rFonts w:ascii="仿宋_GB2312" w:hAnsi="宋体" w:eastAsia="仿宋_GB2312"/>
          <w:sz w:val="30"/>
          <w:szCs w:val="30"/>
        </w:rPr>
        <w:t>2</w:t>
      </w:r>
      <w:r>
        <w:rPr>
          <w:rFonts w:hint="eastAsia" w:ascii="仿宋_GB2312" w:hAnsi="宋体" w:eastAsia="仿宋_GB2312"/>
          <w:sz w:val="30"/>
          <w:szCs w:val="30"/>
        </w:rPr>
        <w:t>名指导教师。指导教师须为本校专职教师。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（五）人员变更</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rPr>
        <w:t>参赛选手和指导教师报名获得确认后不得随意更换。如备赛过程中参赛选手和指导教师因故无法参赛，须由省级教育行政部门于开赛</w:t>
      </w:r>
      <w:r>
        <w:rPr>
          <w:rFonts w:ascii="仿宋_GB2312" w:hAnsi="宋体" w:eastAsia="仿宋_GB2312"/>
          <w:sz w:val="30"/>
          <w:szCs w:val="30"/>
        </w:rPr>
        <w:t>10</w:t>
      </w:r>
      <w:r>
        <w:rPr>
          <w:rFonts w:hint="eastAsia" w:ascii="仿宋_GB2312" w:hAnsi="宋体" w:eastAsia="仿宋_GB2312"/>
          <w:sz w:val="30"/>
          <w:szCs w:val="30"/>
        </w:rPr>
        <w:t>个工作日之前出具书面说明，经大赛执委会办公室核实后予以更换；团体赛选手因特殊原因不能参加比赛时，由大</w:t>
      </w:r>
      <w:r>
        <w:rPr>
          <w:rFonts w:hint="eastAsia" w:ascii="仿宋_GB2312" w:hAnsi="仿宋_GB2312" w:eastAsia="仿宋_GB2312" w:cs="仿宋_GB2312"/>
          <w:sz w:val="30"/>
          <w:szCs w:val="30"/>
        </w:rPr>
        <w:t>赛执委会根据赛项的特点决定是否可进行缺员比赛。</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（一）竞赛时间安排</w:t>
      </w:r>
    </w:p>
    <w:tbl>
      <w:tblPr>
        <w:tblStyle w:val="9"/>
        <w:tblW w:w="832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1559"/>
        <w:gridCol w:w="2127"/>
        <w:gridCol w:w="38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jc w:val="center"/>
        </w:trPr>
        <w:tc>
          <w:tcPr>
            <w:tcW w:w="817" w:type="dxa"/>
            <w:vAlign w:val="center"/>
          </w:tcPr>
          <w:p>
            <w:pPr>
              <w:snapToGrid w:val="0"/>
              <w:spacing w:line="360" w:lineRule="auto"/>
              <w:jc w:val="center"/>
              <w:rPr>
                <w:rFonts w:ascii="宋体" w:hAnsi="宋体"/>
                <w:b/>
                <w:kern w:val="0"/>
                <w:sz w:val="24"/>
                <w:szCs w:val="24"/>
              </w:rPr>
            </w:pPr>
            <w:r>
              <w:rPr>
                <w:rFonts w:hint="eastAsia" w:ascii="宋体" w:hAnsi="宋体"/>
                <w:b/>
                <w:kern w:val="0"/>
                <w:sz w:val="24"/>
                <w:szCs w:val="24"/>
              </w:rPr>
              <w:t>序号</w:t>
            </w:r>
          </w:p>
        </w:tc>
        <w:tc>
          <w:tcPr>
            <w:tcW w:w="1559" w:type="dxa"/>
            <w:vAlign w:val="center"/>
          </w:tcPr>
          <w:p>
            <w:pPr>
              <w:snapToGrid w:val="0"/>
              <w:spacing w:line="360" w:lineRule="auto"/>
              <w:jc w:val="center"/>
              <w:rPr>
                <w:rFonts w:ascii="宋体" w:hAnsi="宋体"/>
                <w:b/>
                <w:kern w:val="0"/>
                <w:sz w:val="24"/>
                <w:szCs w:val="24"/>
              </w:rPr>
            </w:pPr>
            <w:r>
              <w:rPr>
                <w:rFonts w:hint="eastAsia" w:ascii="宋体" w:hAnsi="宋体"/>
                <w:b/>
                <w:kern w:val="0"/>
                <w:sz w:val="24"/>
                <w:szCs w:val="24"/>
              </w:rPr>
              <w:t>日  期</w:t>
            </w:r>
          </w:p>
        </w:tc>
        <w:tc>
          <w:tcPr>
            <w:tcW w:w="2127" w:type="dxa"/>
            <w:vAlign w:val="center"/>
          </w:tcPr>
          <w:p>
            <w:pPr>
              <w:snapToGrid w:val="0"/>
              <w:spacing w:line="360" w:lineRule="auto"/>
              <w:jc w:val="center"/>
              <w:rPr>
                <w:rFonts w:ascii="宋体" w:hAnsi="宋体"/>
                <w:b/>
                <w:kern w:val="0"/>
                <w:sz w:val="24"/>
                <w:szCs w:val="24"/>
              </w:rPr>
            </w:pPr>
            <w:r>
              <w:rPr>
                <w:rFonts w:hint="eastAsia" w:ascii="宋体" w:hAnsi="宋体"/>
                <w:b/>
                <w:kern w:val="0"/>
                <w:sz w:val="24"/>
                <w:szCs w:val="24"/>
              </w:rPr>
              <w:t>时   间</w:t>
            </w:r>
          </w:p>
        </w:tc>
        <w:tc>
          <w:tcPr>
            <w:tcW w:w="3825" w:type="dxa"/>
            <w:vAlign w:val="center"/>
          </w:tcPr>
          <w:p>
            <w:pPr>
              <w:snapToGrid w:val="0"/>
              <w:spacing w:line="360" w:lineRule="auto"/>
              <w:jc w:val="center"/>
              <w:rPr>
                <w:rFonts w:ascii="宋体" w:hAnsi="宋体"/>
                <w:b/>
                <w:kern w:val="0"/>
                <w:sz w:val="24"/>
                <w:szCs w:val="24"/>
              </w:rPr>
            </w:pPr>
            <w:r>
              <w:rPr>
                <w:rFonts w:hint="eastAsia" w:ascii="宋体" w:hAnsi="宋体"/>
                <w:b/>
                <w:kern w:val="0"/>
                <w:sz w:val="24"/>
                <w:szCs w:val="24"/>
              </w:rPr>
              <w:t>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1</w:t>
            </w:r>
          </w:p>
        </w:tc>
        <w:tc>
          <w:tcPr>
            <w:tcW w:w="1559"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第一日</w:t>
            </w: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全天</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报到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2</w:t>
            </w:r>
          </w:p>
        </w:tc>
        <w:tc>
          <w:tcPr>
            <w:tcW w:w="1559" w:type="dxa"/>
            <w:vMerge w:val="restart"/>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第二日</w:t>
            </w: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8:00-14:00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报到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3</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14:00-15:00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领队会、赛前说明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4</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15:00-16:30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领队抽取场次签及检录顺序号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5</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16:00-17:00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选手熟悉赛场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6</w:t>
            </w:r>
          </w:p>
        </w:tc>
        <w:tc>
          <w:tcPr>
            <w:tcW w:w="1559" w:type="dxa"/>
            <w:vMerge w:val="restart"/>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第三日</w:t>
            </w: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8:00-8:30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开赛仪式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7</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8:50-9:20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第一场竞赛赛场检录、参赛编号抽签、二次加密产生赛位号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8</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9:20-9:30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题目发放、宣布竞赛注意事项、选手进入赛位、检查赛位设备及耗材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9</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9:30-13:30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竞赛选手完成竞赛任务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11</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14:00-19:30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竞赛成绩评定，完成评判赛位选手回宾馆。工作人员进行赛场恢复。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12</w:t>
            </w:r>
          </w:p>
        </w:tc>
        <w:tc>
          <w:tcPr>
            <w:tcW w:w="1559" w:type="dxa"/>
            <w:vMerge w:val="restart"/>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第四日</w:t>
            </w: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8:50-9:20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第二场竞赛赛场检录、参赛编号抽签、二次加密产生赛位号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13</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9:20-9:30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题目发放、宣布竞赛注意事项、选手进入赛位、检查赛位设备及耗材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14</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9:30-13:30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竞赛选手完成竞赛任务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15</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14:00-20:00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竞赛成绩评定，完成评判赛位选手回宾馆。进行成绩汇总。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16</w:t>
            </w:r>
          </w:p>
        </w:tc>
        <w:tc>
          <w:tcPr>
            <w:tcW w:w="1559" w:type="dxa"/>
            <w:vMerge w:val="restart"/>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第五日</w:t>
            </w: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8:30-9:00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宣布竞赛成绩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17</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9:00-10:00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闭赛与颁奖仪式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snapToGrid w:val="0"/>
              <w:spacing w:line="360" w:lineRule="auto"/>
              <w:jc w:val="center"/>
              <w:rPr>
                <w:rFonts w:ascii="宋体" w:hAnsi="宋体"/>
                <w:color w:val="000000"/>
                <w:kern w:val="0"/>
                <w:sz w:val="24"/>
                <w:szCs w:val="24"/>
              </w:rPr>
            </w:pPr>
            <w:r>
              <w:rPr>
                <w:rFonts w:hint="eastAsia" w:ascii="宋体" w:hAnsi="宋体"/>
                <w:color w:val="000000"/>
                <w:kern w:val="0"/>
                <w:sz w:val="24"/>
                <w:szCs w:val="24"/>
              </w:rPr>
              <w:t>18</w:t>
            </w:r>
          </w:p>
        </w:tc>
        <w:tc>
          <w:tcPr>
            <w:tcW w:w="1559" w:type="dxa"/>
            <w:vMerge w:val="continue"/>
            <w:vAlign w:val="center"/>
          </w:tcPr>
          <w:p>
            <w:pPr>
              <w:snapToGrid w:val="0"/>
              <w:spacing w:line="360" w:lineRule="auto"/>
              <w:jc w:val="center"/>
              <w:rPr>
                <w:rFonts w:ascii="宋体" w:hAnsi="宋体"/>
                <w:kern w:val="0"/>
                <w:sz w:val="24"/>
                <w:szCs w:val="24"/>
              </w:rPr>
            </w:pPr>
          </w:p>
        </w:tc>
        <w:tc>
          <w:tcPr>
            <w:tcW w:w="2127" w:type="dxa"/>
            <w:vAlign w:val="center"/>
          </w:tcPr>
          <w:p>
            <w:pPr>
              <w:snapToGrid w:val="0"/>
              <w:spacing w:line="360" w:lineRule="auto"/>
              <w:jc w:val="center"/>
              <w:rPr>
                <w:rFonts w:ascii="宋体" w:hAnsi="宋体"/>
                <w:kern w:val="0"/>
                <w:sz w:val="24"/>
                <w:szCs w:val="24"/>
              </w:rPr>
            </w:pPr>
            <w:r>
              <w:rPr>
                <w:rFonts w:hint="eastAsia" w:ascii="宋体" w:hAnsi="宋体"/>
                <w:kern w:val="0"/>
                <w:sz w:val="24"/>
                <w:szCs w:val="24"/>
              </w:rPr>
              <w:t>10:00</w:t>
            </w:r>
          </w:p>
        </w:tc>
        <w:tc>
          <w:tcPr>
            <w:tcW w:w="3825" w:type="dxa"/>
            <w:vAlign w:val="center"/>
          </w:tcPr>
          <w:p>
            <w:pPr>
              <w:snapToGrid w:val="0"/>
              <w:spacing w:line="360" w:lineRule="auto"/>
              <w:rPr>
                <w:rFonts w:ascii="宋体" w:hAnsi="宋体"/>
                <w:kern w:val="0"/>
                <w:sz w:val="24"/>
                <w:szCs w:val="24"/>
              </w:rPr>
            </w:pPr>
            <w:r>
              <w:rPr>
                <w:rFonts w:hint="eastAsia" w:ascii="宋体" w:hAnsi="宋体"/>
                <w:kern w:val="0"/>
                <w:sz w:val="24"/>
                <w:szCs w:val="24"/>
              </w:rPr>
              <w:t>结束</w:t>
            </w:r>
          </w:p>
        </w:tc>
      </w:tr>
    </w:tbl>
    <w:p>
      <w:pPr>
        <w:spacing w:line="560" w:lineRule="exact"/>
        <w:ind w:firstLine="600" w:firstLineChars="200"/>
        <w:rPr>
          <w:rFonts w:ascii="仿宋_GB2312" w:hAnsi="宋体" w:eastAsia="仿宋_GB2312"/>
          <w:sz w:val="30"/>
          <w:szCs w:val="30"/>
        </w:rPr>
      </w:pPr>
    </w:p>
    <w:p>
      <w:pPr>
        <w:widowControl/>
        <w:jc w:val="left"/>
        <w:rPr>
          <w:rFonts w:ascii="仿宋_GB2312" w:hAnsi="宋体" w:eastAsia="仿宋_GB2312"/>
          <w:sz w:val="30"/>
          <w:szCs w:val="30"/>
        </w:rPr>
      </w:pPr>
      <w:r>
        <w:rPr>
          <w:rFonts w:ascii="仿宋_GB2312" w:hAnsi="宋体" w:eastAsia="仿宋_GB2312"/>
          <w:sz w:val="30"/>
          <w:szCs w:val="30"/>
        </w:rPr>
        <w:br w:type="page"/>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（二）竞赛流程</w:t>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pict>
          <v:group id="组合 5" o:spid="_x0000_s1043" o:spt="203" style="position:absolute;left:0pt;margin-left:50.25pt;margin-top:-16.1pt;height:526.75pt;width:359.3pt;z-index:251665408;mso-width-relative:page;mso-height-relative:page;" coordorigin="2626,1373" coordsize="7186,10535203">
            <o:lock v:ext="edit"/>
            <v:shape id="流程图: 可选过程 1" o:spid="_x0000_s1044" o:spt="176" type="#_x0000_t176" style="position:absolute;left:3099;top:1373;height:1173;width:5671;" fillcolor="#9CBEE0" filled="t" stroked="t" coordsize="21600,21600">
              <v:path/>
              <v:fill type="gradient" on="t" color2="#BBD5F0" focussize="0,0">
                <o:fill type="gradientUnscaled" v:ext="backwardCompatible"/>
              </v:fill>
              <v:stroke weight="1.25pt" color="#739CC3" joinstyle="miter"/>
              <v:imagedata o:title=""/>
              <o:lock v:ext="edit"/>
              <v:textbox>
                <w:txbxContent>
                  <w:p>
                    <w:pPr>
                      <w:pStyle w:val="13"/>
                      <w:snapToGrid w:val="0"/>
                      <w:spacing w:line="240" w:lineRule="auto"/>
                      <w:jc w:val="center"/>
                      <w:rPr>
                        <w:rFonts w:ascii="仿宋" w:hAnsi="仿宋" w:eastAsia="仿宋" w:cs="仿宋"/>
                        <w:szCs w:val="24"/>
                      </w:rPr>
                    </w:pPr>
                    <w:r>
                      <w:rPr>
                        <w:rFonts w:hint="eastAsia" w:ascii="仿宋" w:hAnsi="仿宋" w:eastAsia="仿宋" w:cs="仿宋"/>
                        <w:szCs w:val="24"/>
                      </w:rPr>
                      <w:t>佩戴大赛组委会颁发的胸卡，在规定时间及指定地点，向检录工作人员提供选手证（参赛证）、本人学生证、身份证证件，通过检录进入赛场。</w:t>
                    </w:r>
                  </w:p>
                </w:txbxContent>
              </v:textbox>
            </v:shape>
            <v:shape id="流程图: 可选过程 2" o:spid="_x0000_s1045" o:spt="176" type="#_x0000_t176" style="position:absolute;left:5005;top:2973;height:845;width:2172;" fillcolor="#9CBEE0" filled="t" stroked="t" coordsize="21600,21600">
              <v:path/>
              <v:fill type="gradient" on="t" color2="#BBD5F0" focussize="0,0">
                <o:fill type="gradientUnscaled" v:ext="backwardCompatible"/>
              </v:fill>
              <v:stroke weight="1.25pt" color="#739CC3" joinstyle="miter"/>
              <v:imagedata o:title=""/>
              <o:lock v:ext="edit"/>
              <v:textbox>
                <w:txbxContent>
                  <w:p>
                    <w:pPr>
                      <w:pStyle w:val="13"/>
                      <w:snapToGrid w:val="0"/>
                      <w:spacing w:line="240" w:lineRule="auto"/>
                      <w:jc w:val="center"/>
                      <w:rPr>
                        <w:rFonts w:ascii="仿宋" w:hAnsi="仿宋" w:eastAsia="仿宋" w:cs="仿宋"/>
                        <w:szCs w:val="24"/>
                      </w:rPr>
                    </w:pPr>
                    <w:r>
                      <w:rPr>
                        <w:rFonts w:hint="eastAsia" w:ascii="仿宋" w:hAnsi="仿宋" w:eastAsia="仿宋" w:cs="仿宋"/>
                        <w:szCs w:val="24"/>
                      </w:rPr>
                      <w:t>一次抽签加密</w:t>
                    </w:r>
                  </w:p>
                  <w:p>
                    <w:pPr>
                      <w:pStyle w:val="13"/>
                      <w:snapToGrid w:val="0"/>
                      <w:spacing w:line="240" w:lineRule="auto"/>
                      <w:jc w:val="center"/>
                      <w:rPr>
                        <w:rFonts w:ascii="仿宋" w:hAnsi="仿宋" w:eastAsia="仿宋" w:cs="仿宋"/>
                        <w:szCs w:val="24"/>
                      </w:rPr>
                    </w:pPr>
                    <w:r>
                      <w:rPr>
                        <w:rFonts w:hint="eastAsia" w:ascii="仿宋" w:hAnsi="仿宋" w:eastAsia="仿宋" w:cs="仿宋"/>
                        <w:szCs w:val="24"/>
                      </w:rPr>
                      <w:t>确定参赛编号</w:t>
                    </w:r>
                  </w:p>
                  <w:p>
                    <w:pPr>
                      <w:rPr>
                        <w:sz w:val="24"/>
                      </w:rPr>
                    </w:pPr>
                  </w:p>
                </w:txbxContent>
              </v:textbox>
            </v:shape>
            <v:shape id="流程图: 可选过程 2" o:spid="_x0000_s1046" o:spt="176" type="#_x0000_t176" style="position:absolute;left:5005;top:4246;height:845;width:2172;" fillcolor="#9CBEE0" filled="t" stroked="t" coordsize="21600,21600">
              <v:path/>
              <v:fill type="gradient" on="t" color2="#BBD5F0" focussize="0,0">
                <o:fill type="gradientUnscaled" v:ext="backwardCompatible"/>
              </v:fill>
              <v:stroke weight="1.25pt" color="#739CC3" joinstyle="miter"/>
              <v:imagedata o:title=""/>
              <o:lock v:ext="edit"/>
              <v:textbox>
                <w:txbxContent>
                  <w:p>
                    <w:pPr>
                      <w:pStyle w:val="13"/>
                      <w:snapToGrid w:val="0"/>
                      <w:spacing w:line="240" w:lineRule="auto"/>
                      <w:jc w:val="center"/>
                      <w:rPr>
                        <w:rFonts w:ascii="仿宋" w:hAnsi="仿宋" w:eastAsia="仿宋" w:cs="仿宋"/>
                        <w:szCs w:val="24"/>
                      </w:rPr>
                    </w:pPr>
                    <w:r>
                      <w:rPr>
                        <w:rFonts w:hint="eastAsia" w:ascii="仿宋" w:hAnsi="仿宋" w:eastAsia="仿宋" w:cs="仿宋"/>
                        <w:szCs w:val="24"/>
                      </w:rPr>
                      <w:t>二次抽签加密</w:t>
                    </w:r>
                  </w:p>
                  <w:p>
                    <w:pPr>
                      <w:pStyle w:val="13"/>
                      <w:snapToGrid w:val="0"/>
                      <w:spacing w:line="240" w:lineRule="auto"/>
                      <w:jc w:val="center"/>
                      <w:rPr>
                        <w:rFonts w:ascii="仿宋" w:hAnsi="仿宋" w:eastAsia="仿宋" w:cs="仿宋"/>
                        <w:szCs w:val="24"/>
                      </w:rPr>
                    </w:pPr>
                    <w:r>
                      <w:rPr>
                        <w:rFonts w:hint="eastAsia" w:ascii="仿宋" w:hAnsi="仿宋" w:eastAsia="仿宋" w:cs="仿宋"/>
                        <w:szCs w:val="24"/>
                      </w:rPr>
                      <w:t>确定赛位号</w:t>
                    </w:r>
                  </w:p>
                  <w:p>
                    <w:pPr>
                      <w:rPr>
                        <w:sz w:val="24"/>
                      </w:rPr>
                    </w:pPr>
                  </w:p>
                </w:txbxContent>
              </v:textbox>
            </v:shape>
            <v:shape id="流程图: 可选过程 1" o:spid="_x0000_s1047" o:spt="176" type="#_x0000_t176" style="position:absolute;left:3301;top:5518;height:892;width:5671;" fillcolor="#9CBEE0" filled="t" stroked="t" coordsize="21600,21600">
              <v:path/>
              <v:fill type="gradient" on="t" color2="#BBD5F0" focussize="0,0">
                <o:fill type="gradientUnscaled" v:ext="backwardCompatible"/>
              </v:fill>
              <v:stroke weight="1.25pt" color="#739CC3" joinstyle="miter"/>
              <v:imagedata o:title=""/>
              <o:lock v:ext="edit"/>
              <v:textbox>
                <w:txbxContent>
                  <w:p>
                    <w:pPr>
                      <w:pStyle w:val="13"/>
                      <w:snapToGrid w:val="0"/>
                      <w:spacing w:line="240" w:lineRule="auto"/>
                      <w:jc w:val="center"/>
                      <w:rPr>
                        <w:rFonts w:ascii="仿宋" w:hAnsi="仿宋" w:eastAsia="仿宋" w:cs="仿宋"/>
                        <w:szCs w:val="24"/>
                      </w:rPr>
                    </w:pPr>
                    <w:r>
                      <w:rPr>
                        <w:rFonts w:hint="eastAsia" w:ascii="仿宋" w:hAnsi="仿宋" w:eastAsia="仿宋" w:cs="仿宋"/>
                        <w:szCs w:val="24"/>
                      </w:rPr>
                      <w:t>在现场工作人员引导下，参赛选手进入赛位，检查并确认设备、工具清单等，并签字确认</w:t>
                    </w:r>
                  </w:p>
                </w:txbxContent>
              </v:textbox>
            </v:shape>
            <v:shape id="流程图: 可选过程 1" o:spid="_x0000_s1048" o:spt="176" type="#_x0000_t176" style="position:absolute;left:3326;top:6837;height:859;width:5672;" fillcolor="#9CBEE0" filled="t" stroked="t" coordsize="21600,21600">
              <v:path/>
              <v:fill type="gradient" on="t" color2="#BBD5F0" focussize="0,0">
                <o:fill type="gradientUnscaled" v:ext="backwardCompatible"/>
              </v:fill>
              <v:stroke weight="1.25pt" color="#739CC3" joinstyle="miter"/>
              <v:imagedata o:title=""/>
              <o:lock v:ext="edit"/>
              <v:textbox>
                <w:txbxContent>
                  <w:p>
                    <w:pPr>
                      <w:pStyle w:val="13"/>
                      <w:snapToGrid w:val="0"/>
                      <w:spacing w:line="240" w:lineRule="auto"/>
                      <w:jc w:val="center"/>
                      <w:rPr>
                        <w:rFonts w:ascii="仿宋" w:hAnsi="仿宋" w:eastAsia="仿宋" w:cs="仿宋"/>
                        <w:szCs w:val="24"/>
                      </w:rPr>
                    </w:pPr>
                    <w:r>
                      <w:rPr>
                        <w:rFonts w:hint="eastAsia" w:ascii="仿宋" w:hAnsi="仿宋" w:eastAsia="仿宋" w:cs="仿宋"/>
                        <w:szCs w:val="24"/>
                      </w:rPr>
                      <w:t xml:space="preserve">裁判长宣布比赛开始，参赛选手开始进行操作，比赛开始计时 </w:t>
                    </w:r>
                  </w:p>
                </w:txbxContent>
              </v:textbox>
            </v:shape>
            <v:shape id="流程图: 可选过程 1" o:spid="_x0000_s1049" o:spt="176" type="#_x0000_t176" style="position:absolute;left:2626;top:8124;height:1539;width:7186;" fillcolor="#9CBEE0" filled="t" stroked="t" coordsize="21600,21600">
              <v:path/>
              <v:fill type="gradient" on="t" color2="#BBD5F0" focussize="0,0">
                <o:fill type="gradientUnscaled" v:ext="backwardCompatible"/>
              </v:fill>
              <v:stroke weight="1.25pt" color="#739CC3" joinstyle="miter"/>
              <v:imagedata o:title=""/>
              <o:lock v:ext="edit"/>
              <v:textbox>
                <w:txbxContent>
                  <w:p>
                    <w:pPr>
                      <w:pStyle w:val="13"/>
                      <w:snapToGrid w:val="0"/>
                      <w:spacing w:line="240" w:lineRule="auto"/>
                      <w:jc w:val="center"/>
                      <w:rPr>
                        <w:rFonts w:ascii="仿宋" w:hAnsi="仿宋" w:eastAsia="仿宋" w:cs="仿宋"/>
                        <w:szCs w:val="24"/>
                      </w:rPr>
                    </w:pPr>
                    <w:r>
                      <w:rPr>
                        <w:rFonts w:hint="eastAsia" w:ascii="仿宋" w:hAnsi="仿宋" w:eastAsia="仿宋" w:cs="仿宋"/>
                        <w:szCs w:val="24"/>
                      </w:rPr>
                      <w:t>若竞赛过程中出现设备故障时，参赛选手应提请裁判及现场技术支持到比赛赛位处确认原因，对于确因设备自身故障而耽误的时间，由大赛裁判组将该参赛队的比赛时间酌情增补，补时时间最多不超过5分钟；如非设备自身故障，则不予考虑</w:t>
                    </w:r>
                  </w:p>
                </w:txbxContent>
              </v:textbox>
            </v:shape>
            <v:shape id="流程图: 可选过程 1" o:spid="_x0000_s1050" o:spt="176" type="#_x0000_t176" style="position:absolute;left:3301;top:10090;height:534;width:5671;" fillcolor="#9CBEE0" filled="t" stroked="t" coordsize="21600,21600">
              <v:path/>
              <v:fill type="gradient" on="t" color2="#BBD5F0" focussize="0,0">
                <o:fill type="gradientUnscaled" v:ext="backwardCompatible"/>
              </v:fill>
              <v:stroke weight="1.25pt" color="#739CC3" joinstyle="miter"/>
              <v:imagedata o:title=""/>
              <o:lock v:ext="edit"/>
              <v:textbox>
                <w:txbxContent>
                  <w:p>
                    <w:pPr>
                      <w:pStyle w:val="13"/>
                      <w:snapToGrid w:val="0"/>
                      <w:spacing w:line="240" w:lineRule="auto"/>
                      <w:jc w:val="center"/>
                      <w:rPr>
                        <w:rFonts w:ascii="仿宋" w:hAnsi="仿宋" w:eastAsia="仿宋" w:cs="仿宋"/>
                        <w:szCs w:val="24"/>
                      </w:rPr>
                    </w:pPr>
                    <w:r>
                      <w:rPr>
                        <w:rFonts w:hint="eastAsia" w:ascii="仿宋" w:hAnsi="仿宋" w:eastAsia="仿宋" w:cs="仿宋"/>
                        <w:szCs w:val="24"/>
                      </w:rPr>
                      <w:t>比赛结束前10分钟，裁判长提醒比赛即将结束</w:t>
                    </w:r>
                  </w:p>
                </w:txbxContent>
              </v:textbox>
            </v:shape>
            <v:shape id="流程图: 可选过程 1" o:spid="_x0000_s1051" o:spt="176" type="#_x0000_t176" style="position:absolute;left:2862;top:11052;height:856;width:6653;" fillcolor="#9CBEE0" filled="t" stroked="t" coordsize="21600,21600">
              <v:path/>
              <v:fill type="gradient" on="t" color2="#BBD5F0" focussize="0,0">
                <o:fill type="gradientUnscaled" v:ext="backwardCompatible"/>
              </v:fill>
              <v:stroke weight="1.25pt" color="#739CC3" joinstyle="miter"/>
              <v:imagedata o:title=""/>
              <o:lock v:ext="edit"/>
              <v:textbox>
                <w:txbxContent>
                  <w:p>
                    <w:pPr>
                      <w:pStyle w:val="13"/>
                      <w:snapToGrid w:val="0"/>
                      <w:spacing w:line="240" w:lineRule="auto"/>
                      <w:jc w:val="center"/>
                      <w:rPr>
                        <w:rFonts w:ascii="仿宋" w:hAnsi="仿宋" w:eastAsia="仿宋" w:cs="仿宋"/>
                        <w:szCs w:val="24"/>
                      </w:rPr>
                    </w:pPr>
                    <w:r>
                      <w:rPr>
                        <w:rFonts w:hint="eastAsia" w:ascii="仿宋" w:hAnsi="仿宋" w:eastAsia="仿宋" w:cs="仿宋"/>
                        <w:szCs w:val="24"/>
                      </w:rPr>
                      <w:t>参赛队完成比赛结果提交后，参赛选手签字确认；在工作人员引导下离开赛场，比赛结束</w:t>
                    </w:r>
                  </w:p>
                </w:txbxContent>
              </v:textbox>
            </v:shape>
            <v:line id="箭头 12" o:spid="_x0000_s1052" o:spt="20" style="position:absolute;left:6112;top:2546;height:427;width:1;" stroked="t" coordsize="21600,21600">
              <v:path arrowok="t"/>
              <v:fill focussize="0,0"/>
              <v:stroke weight="1.25pt" color="#739CC3" endarrow="block"/>
              <v:imagedata o:title=""/>
              <o:lock v:ext="edit"/>
            </v:line>
            <v:line id="箭头 12" o:spid="_x0000_s1053" o:spt="20" style="position:absolute;left:6113;top:3818;height:428;width:1;" stroked="t" coordsize="21600,21600">
              <v:path arrowok="t"/>
              <v:fill focussize="0,0"/>
              <v:stroke weight="1.25pt" color="#739CC3" endarrow="block"/>
              <v:imagedata o:title=""/>
              <o:lock v:ext="edit"/>
            </v:line>
            <v:line id="箭头 12" o:spid="_x0000_s1054" o:spt="20" style="position:absolute;left:6153;top:6410;height:427;width:1;" stroked="t" coordsize="21600,21600">
              <v:path arrowok="t"/>
              <v:fill focussize="0,0"/>
              <v:stroke weight="1.25pt" color="#739CC3" endarrow="block"/>
              <v:imagedata o:title=""/>
              <o:lock v:ext="edit"/>
            </v:line>
            <v:line id="箭头 12" o:spid="_x0000_s1055" o:spt="20" style="position:absolute;left:6182;top:7696;height:428;width:1;" stroked="t" coordsize="21600,21600">
              <v:path arrowok="t"/>
              <v:fill focussize="0,0"/>
              <v:stroke weight="1.25pt" color="#739CC3" endarrow="block"/>
              <v:imagedata o:title=""/>
              <o:lock v:ext="edit"/>
            </v:line>
            <v:line id="箭头 12" o:spid="_x0000_s1056" o:spt="20" style="position:absolute;left:6183;top:9663;height:427;width:1;" stroked="t" coordsize="21600,21600">
              <v:path arrowok="t"/>
              <v:fill focussize="0,0"/>
              <v:stroke weight="1.25pt" color="#739CC3" endarrow="block"/>
              <v:imagedata o:title=""/>
              <o:lock v:ext="edit"/>
            </v:line>
            <v:line id="箭头 12" o:spid="_x0000_s1057" o:spt="20" style="position:absolute;left:6184;top:10624;height:428;width:1;" stroked="t" coordsize="21600,21600">
              <v:path arrowok="t"/>
              <v:fill focussize="0,0"/>
              <v:stroke weight="1.25pt" color="#739CC3" endarrow="block"/>
              <v:imagedata o:title=""/>
              <o:lock v:ext="edit"/>
            </v:line>
          </v:group>
        </w:pict>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widowControl/>
        <w:jc w:val="left"/>
        <w:rPr>
          <w:rFonts w:ascii="黑体" w:hAnsi="黑体" w:eastAsia="黑体" w:cs="黑体"/>
          <w:bCs/>
          <w:sz w:val="30"/>
          <w:szCs w:val="30"/>
        </w:rPr>
      </w:pPr>
      <w:r>
        <w:rPr>
          <w:rFonts w:ascii="黑体" w:hAnsi="黑体" w:eastAsia="黑体" w:cs="黑体"/>
          <w:bCs/>
          <w:sz w:val="30"/>
          <w:szCs w:val="30"/>
        </w:rPr>
        <w:br w:type="page"/>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九、竞赛试题</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（一）赛项执委会下设的赛项专家组负责本赛项赛题的编制工作。</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（二）赛题编制遵从公开、公平、公正原则。</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（三）赛题全部公开。于开赛</w:t>
      </w:r>
      <w:r>
        <w:rPr>
          <w:rFonts w:ascii="仿宋_GB2312" w:hAnsi="仿宋_GB2312" w:eastAsia="仿宋_GB2312" w:cs="仿宋_GB2312"/>
          <w:sz w:val="30"/>
          <w:szCs w:val="30"/>
        </w:rPr>
        <w:t>1</w:t>
      </w:r>
      <w:r>
        <w:rPr>
          <w:rFonts w:hint="eastAsia" w:ascii="仿宋_GB2312" w:hAnsi="仿宋_GB2312" w:eastAsia="仿宋_GB2312" w:cs="仿宋_GB2312"/>
          <w:sz w:val="30"/>
          <w:szCs w:val="30"/>
        </w:rPr>
        <w:t>个月前，在大赛网络信息发布平台公开赛题或赛题库。</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（四）赛项比赛结束后一周内，正式赛卷通过大赛网络信息发布平台公布。</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（五）竞赛试题样卷见附件。</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十、评分标准制定原则、评分方法、评分细则</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为贯彻全国职业院校技能大赛（以下简称“大赛”）公开、公平、公正的比赛原则，促进大赛成绩管理的规范化、高效化、科学化，参照有关规定对评分标准制定原则、评分方法、评分细则制定本赛项具体原则。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（一）评分标准制订原则</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 元器件选择、系统制图、电路连接与安装等评分内容及参照以下标准制定。</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（1）GB4458-2002（2003）、GB/T4459-2003《机械制图》、GB/T10609-2009《技术制图》等相关国家标准</w:t>
      </w:r>
    </w:p>
    <w:p>
      <w:pPr>
        <w:autoSpaceDE w:val="0"/>
        <w:autoSpaceDN w:val="0"/>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（2）GB/T 6988.1-2008 《电气图形符号》、GB/T4728.1-2005《电气简图用图形符号》、GB/T5465.2-1996《电气设备用图形符号》、GB/T7159-1987《电气技术中的文字符号制订通则》相关国家标准</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（3）GB50254—96《电气装置安装工程低压电器施工及验收规范》的内容和标准验收</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 参考电工高级工（国家三级）的基本知识和基本技能标准内容、根据职业岗位要求制订本赛项的评分标准。评价方式采用过程评价与结果评价相结合，工艺评价与功能评价相结合，能力评价与职业素养评价相结合。满分为100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（二）评分方法</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评分方法以机考评分（电气系统排故）、现场评分（工艺）、过程评分（操作规范及安全文明）和结果评分（系统功能实现）四类。本赛项总分为以上四种评分之合。</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1．机考评分</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参赛队伍（选手）在计算机上完成竞赛项目内容后，由答题系统自动判分的评分方法。流程如下：</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（1）参赛队伍（选手）登录答题系统，核实团队或个人信息后限时答题，竞赛结束前保存成果并提交；</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（2）答题系统自动判分，显示成绩；</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（3）竞赛结束后裁判长下载各参赛队伍（选手）的成绩，并由裁判长、监督人员和仲裁人员签字后确认。</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2．现场评分</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裁判依据评分标准对参赛队伍（选手）的现场工艺情况独立判分。流程如下：</w:t>
      </w:r>
    </w:p>
    <w:p>
      <w:pPr>
        <w:tabs>
          <w:tab w:val="left" w:pos="993"/>
        </w:tabs>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（1）竞赛结束后，由裁判对参赛队伍（选手）的电气安装工艺按评分表进行客观评判，每个评判小组由3名裁判组成；</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（2）监督人员抽查审核现场评分过程；</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（3）评分结果，并由裁判长、监督人员和仲裁人员签字后确认。</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3．过程评分</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根据参赛队伍（选手）在操作过程中的规范性、合理性以及安全、文明生产等，评分裁判依据评分标准进行评分。流程如下：</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参赛队伍（选手）按比赛要求进行操作，现场评分裁判对照评分表即时判分。评分裁判不得少于2人；</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4．结果评分</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评分裁判对参赛队伍（选手）竞赛结束后的功能实现情况（选手进场按任务书要求步骤演示），裁判依据赛项评价标准判分的评分方法。对功能实现的多少进行客观评分。流程如下：</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（1）客观评分应由3名评分裁判统一评分；</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（2）评分结果，并由裁判长、监督人员和仲裁人员签字后确认。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（三）评分的抽检复核</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1．为保障成绩评判的准确性，监督组对赛项总成绩排名前30%的所有参赛队伍（选手）的成绩进行复核；对其余成绩进行抽检复核，抽检覆盖率不得低于15%。</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2．监督组需将复检中发现的错误以书面方式及时告知裁判长，由裁判长更正成绩并签字确认。</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3．复核、抽检错误率超过5%的，则认定为非小概率事件，裁判组需对所有成绩进行复核。</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（四）留档备案</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成绩分析。为了更好做好赛项资源向教学资源转化工作，赛项承办单位需根据裁判的判分情况，对参赛选手在比赛过程中对各个知识点、技术掌握程度进行分析，并将分析报告报备大赛执委会办公室适时公布。</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2．留档备案。赛项每个比赛环节裁判判分的原始材料和最终成绩等结果性材料都需经监督组人员和裁判长签字后装袋密封留档，并由赛项承办校封存。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（五）任务的配分</w:t>
      </w:r>
    </w:p>
    <w:p>
      <w:pPr>
        <w:snapToGrid w:val="0"/>
        <w:spacing w:line="48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具体的评分细则由专家组成员依据工作任务书制定，满分为100分，各工作任务的配分是：</w:t>
      </w:r>
    </w:p>
    <w:p>
      <w:pPr>
        <w:snapToGrid w:val="0"/>
        <w:spacing w:line="480" w:lineRule="exact"/>
        <w:ind w:firstLine="600" w:firstLineChars="200"/>
        <w:rPr>
          <w:rFonts w:ascii="仿宋_GB2312" w:hAnsi="仿宋_GB2312" w:eastAsia="仿宋_GB2312" w:cs="仿宋_GB2312"/>
          <w:sz w:val="30"/>
          <w:szCs w:val="30"/>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833"/>
        <w:gridCol w:w="1840"/>
        <w:gridCol w:w="732"/>
        <w:gridCol w:w="4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9" w:type="dxa"/>
            <w:vAlign w:val="center"/>
          </w:tcPr>
          <w:p>
            <w:pPr>
              <w:snapToGrid w:val="0"/>
              <w:jc w:val="center"/>
              <w:rPr>
                <w:rFonts w:ascii="宋体" w:hAnsi="宋体"/>
                <w:b/>
                <w:sz w:val="24"/>
                <w:szCs w:val="24"/>
              </w:rPr>
            </w:pPr>
            <w:r>
              <w:rPr>
                <w:rFonts w:hint="eastAsia" w:ascii="宋体" w:hAnsi="宋体"/>
                <w:b/>
                <w:sz w:val="24"/>
                <w:szCs w:val="24"/>
              </w:rPr>
              <w:t>竞赛内容</w:t>
            </w:r>
          </w:p>
        </w:tc>
        <w:tc>
          <w:tcPr>
            <w:tcW w:w="833" w:type="dxa"/>
            <w:vAlign w:val="center"/>
          </w:tcPr>
          <w:p>
            <w:pPr>
              <w:snapToGrid w:val="0"/>
              <w:jc w:val="center"/>
              <w:rPr>
                <w:rFonts w:ascii="宋体" w:hAnsi="宋体"/>
                <w:b/>
                <w:sz w:val="24"/>
                <w:szCs w:val="24"/>
              </w:rPr>
            </w:pPr>
            <w:r>
              <w:rPr>
                <w:rFonts w:hint="eastAsia" w:ascii="宋体" w:hAnsi="宋体"/>
                <w:b/>
                <w:sz w:val="24"/>
                <w:szCs w:val="24"/>
              </w:rPr>
              <w:t>配分</w:t>
            </w:r>
          </w:p>
        </w:tc>
        <w:tc>
          <w:tcPr>
            <w:tcW w:w="1840" w:type="dxa"/>
            <w:vAlign w:val="center"/>
          </w:tcPr>
          <w:p>
            <w:pPr>
              <w:snapToGrid w:val="0"/>
              <w:jc w:val="center"/>
              <w:rPr>
                <w:rFonts w:ascii="宋体" w:hAnsi="宋体"/>
                <w:b/>
                <w:sz w:val="24"/>
                <w:szCs w:val="24"/>
              </w:rPr>
            </w:pPr>
            <w:r>
              <w:rPr>
                <w:rFonts w:hint="eastAsia" w:ascii="宋体" w:hAnsi="宋体"/>
                <w:b/>
                <w:sz w:val="24"/>
                <w:szCs w:val="24"/>
              </w:rPr>
              <w:t>评分内容</w:t>
            </w:r>
          </w:p>
        </w:tc>
        <w:tc>
          <w:tcPr>
            <w:tcW w:w="732" w:type="dxa"/>
            <w:vAlign w:val="center"/>
          </w:tcPr>
          <w:p>
            <w:pPr>
              <w:snapToGrid w:val="0"/>
              <w:jc w:val="center"/>
              <w:rPr>
                <w:rFonts w:ascii="宋体" w:hAnsi="宋体"/>
                <w:b/>
                <w:sz w:val="24"/>
                <w:szCs w:val="24"/>
              </w:rPr>
            </w:pPr>
            <w:r>
              <w:rPr>
                <w:rFonts w:hint="eastAsia" w:ascii="宋体" w:hAnsi="宋体"/>
                <w:b/>
                <w:sz w:val="24"/>
                <w:szCs w:val="24"/>
              </w:rPr>
              <w:t>配分</w:t>
            </w:r>
          </w:p>
        </w:tc>
        <w:tc>
          <w:tcPr>
            <w:tcW w:w="4229" w:type="dxa"/>
            <w:vAlign w:val="center"/>
          </w:tcPr>
          <w:p>
            <w:pPr>
              <w:snapToGrid w:val="0"/>
              <w:jc w:val="center"/>
              <w:rPr>
                <w:rFonts w:ascii="宋体" w:hAnsi="宋体"/>
                <w:b/>
                <w:sz w:val="24"/>
                <w:szCs w:val="24"/>
              </w:rPr>
            </w:pPr>
            <w:r>
              <w:rPr>
                <w:rFonts w:hint="eastAsia" w:ascii="宋体" w:hAnsi="宋体"/>
                <w:b/>
                <w:sz w:val="24"/>
                <w:szCs w:val="24"/>
              </w:rPr>
              <w:t>知识、技能点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979" w:type="dxa"/>
            <w:vMerge w:val="restart"/>
            <w:vAlign w:val="center"/>
          </w:tcPr>
          <w:p>
            <w:pPr>
              <w:snapToGrid w:val="0"/>
              <w:jc w:val="center"/>
              <w:rPr>
                <w:rFonts w:ascii="宋体" w:hAnsi="宋体"/>
                <w:sz w:val="24"/>
                <w:szCs w:val="24"/>
              </w:rPr>
            </w:pPr>
            <w:r>
              <w:rPr>
                <w:rFonts w:hint="eastAsia" w:ascii="宋体" w:hAnsi="宋体"/>
                <w:sz w:val="24"/>
                <w:szCs w:val="24"/>
              </w:rPr>
              <w:t>控制系统电路设计</w:t>
            </w:r>
          </w:p>
        </w:tc>
        <w:tc>
          <w:tcPr>
            <w:tcW w:w="833" w:type="dxa"/>
            <w:vMerge w:val="restart"/>
            <w:vAlign w:val="center"/>
          </w:tcPr>
          <w:p>
            <w:pPr>
              <w:snapToGrid w:val="0"/>
              <w:jc w:val="center"/>
              <w:rPr>
                <w:rFonts w:ascii="宋体" w:hAnsi="宋体"/>
                <w:sz w:val="24"/>
                <w:szCs w:val="24"/>
              </w:rPr>
            </w:pPr>
            <w:r>
              <w:rPr>
                <w:rFonts w:hint="eastAsia" w:ascii="宋体" w:hAnsi="宋体"/>
                <w:sz w:val="24"/>
                <w:szCs w:val="24"/>
              </w:rPr>
              <w:t>10分</w:t>
            </w:r>
          </w:p>
        </w:tc>
        <w:tc>
          <w:tcPr>
            <w:tcW w:w="1840" w:type="dxa"/>
            <w:vAlign w:val="center"/>
          </w:tcPr>
          <w:p>
            <w:pPr>
              <w:snapToGrid w:val="0"/>
              <w:jc w:val="center"/>
              <w:rPr>
                <w:rFonts w:ascii="宋体" w:hAnsi="宋体"/>
                <w:sz w:val="24"/>
                <w:szCs w:val="24"/>
              </w:rPr>
            </w:pPr>
            <w:r>
              <w:rPr>
                <w:rFonts w:hint="eastAsia" w:ascii="宋体" w:hAnsi="宋体"/>
                <w:sz w:val="24"/>
                <w:szCs w:val="24"/>
              </w:rPr>
              <w:t>器件的选型</w:t>
            </w:r>
          </w:p>
        </w:tc>
        <w:tc>
          <w:tcPr>
            <w:tcW w:w="732" w:type="dxa"/>
            <w:vAlign w:val="center"/>
          </w:tcPr>
          <w:p>
            <w:pPr>
              <w:snapToGrid w:val="0"/>
              <w:jc w:val="center"/>
              <w:rPr>
                <w:rFonts w:ascii="宋体" w:hAnsi="宋体"/>
                <w:sz w:val="24"/>
                <w:szCs w:val="24"/>
              </w:rPr>
            </w:pPr>
            <w:r>
              <w:rPr>
                <w:rFonts w:hint="eastAsia" w:ascii="宋体" w:hAnsi="宋体"/>
                <w:sz w:val="24"/>
                <w:szCs w:val="24"/>
              </w:rPr>
              <w:t>5分</w:t>
            </w:r>
          </w:p>
        </w:tc>
        <w:tc>
          <w:tcPr>
            <w:tcW w:w="4229" w:type="dxa"/>
            <w:vAlign w:val="center"/>
          </w:tcPr>
          <w:p>
            <w:pPr>
              <w:snapToGrid w:val="0"/>
              <w:rPr>
                <w:rFonts w:ascii="宋体" w:hAnsi="宋体"/>
                <w:sz w:val="24"/>
                <w:szCs w:val="24"/>
              </w:rPr>
            </w:pPr>
            <w:r>
              <w:rPr>
                <w:rFonts w:hint="eastAsia" w:ascii="宋体" w:hAnsi="宋体"/>
                <w:sz w:val="24"/>
                <w:szCs w:val="24"/>
              </w:rPr>
              <w:t>器件选择数量正确合理、参数范围符合任务书竞赛任务要求、可靠；</w:t>
            </w:r>
          </w:p>
          <w:p>
            <w:pPr>
              <w:numPr>
                <w:ilvl w:val="0"/>
                <w:numId w:val="3"/>
              </w:numPr>
              <w:snapToGrid w:val="0"/>
              <w:rPr>
                <w:rFonts w:ascii="宋体" w:hAnsi="宋体"/>
                <w:sz w:val="24"/>
                <w:szCs w:val="24"/>
              </w:rPr>
            </w:pPr>
            <w:r>
              <w:rPr>
                <w:rFonts w:hint="eastAsia" w:ascii="宋体" w:hAnsi="宋体"/>
                <w:sz w:val="24"/>
                <w:szCs w:val="24"/>
              </w:rPr>
              <w:t>低压器件选型计算</w:t>
            </w:r>
          </w:p>
          <w:p>
            <w:pPr>
              <w:numPr>
                <w:ilvl w:val="0"/>
                <w:numId w:val="3"/>
              </w:numPr>
              <w:snapToGrid w:val="0"/>
              <w:rPr>
                <w:rFonts w:ascii="宋体" w:hAnsi="宋体"/>
                <w:sz w:val="24"/>
                <w:szCs w:val="24"/>
              </w:rPr>
            </w:pPr>
            <w:r>
              <w:rPr>
                <w:rFonts w:hint="eastAsia" w:ascii="宋体" w:hAnsi="宋体"/>
                <w:sz w:val="24"/>
                <w:szCs w:val="24"/>
              </w:rPr>
              <w:t>选型器件型号含义</w:t>
            </w:r>
          </w:p>
          <w:p>
            <w:pPr>
              <w:numPr>
                <w:ilvl w:val="0"/>
                <w:numId w:val="3"/>
              </w:numPr>
              <w:snapToGrid w:val="0"/>
              <w:rPr>
                <w:rFonts w:ascii="宋体" w:hAnsi="宋体"/>
                <w:sz w:val="24"/>
                <w:szCs w:val="24"/>
              </w:rPr>
            </w:pPr>
            <w:r>
              <w:rPr>
                <w:rFonts w:hint="eastAsia" w:ascii="宋体" w:hAnsi="宋体"/>
                <w:sz w:val="24"/>
                <w:szCs w:val="24"/>
              </w:rPr>
              <w:t>控制器基本功能、应用</w:t>
            </w:r>
          </w:p>
          <w:p>
            <w:pPr>
              <w:numPr>
                <w:ilvl w:val="0"/>
                <w:numId w:val="3"/>
              </w:numPr>
              <w:snapToGrid w:val="0"/>
              <w:rPr>
                <w:rFonts w:ascii="宋体" w:hAnsi="宋体"/>
                <w:sz w:val="24"/>
                <w:szCs w:val="24"/>
              </w:rPr>
            </w:pPr>
            <w:r>
              <w:rPr>
                <w:rFonts w:hint="eastAsia" w:ascii="宋体" w:hAnsi="宋体"/>
                <w:sz w:val="24"/>
                <w:szCs w:val="24"/>
              </w:rPr>
              <w:t>驱动器基本功能、应用</w:t>
            </w:r>
          </w:p>
          <w:p>
            <w:pPr>
              <w:numPr>
                <w:ilvl w:val="0"/>
                <w:numId w:val="3"/>
              </w:numPr>
              <w:snapToGrid w:val="0"/>
              <w:rPr>
                <w:rFonts w:ascii="宋体" w:hAnsi="宋体"/>
                <w:sz w:val="24"/>
                <w:szCs w:val="24"/>
              </w:rPr>
            </w:pPr>
            <w:r>
              <w:rPr>
                <w:rFonts w:hint="eastAsia" w:ascii="宋体" w:hAnsi="宋体"/>
                <w:sz w:val="24"/>
                <w:szCs w:val="24"/>
              </w:rPr>
              <w:t>电气设计安全原则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电路设计</w:t>
            </w:r>
          </w:p>
        </w:tc>
        <w:tc>
          <w:tcPr>
            <w:tcW w:w="732" w:type="dxa"/>
            <w:vAlign w:val="center"/>
          </w:tcPr>
          <w:p>
            <w:pPr>
              <w:snapToGrid w:val="0"/>
              <w:jc w:val="center"/>
              <w:rPr>
                <w:rFonts w:ascii="宋体" w:hAnsi="宋体"/>
                <w:sz w:val="24"/>
                <w:szCs w:val="24"/>
              </w:rPr>
            </w:pPr>
            <w:r>
              <w:rPr>
                <w:rFonts w:hint="eastAsia" w:ascii="宋体" w:hAnsi="宋体"/>
                <w:sz w:val="24"/>
                <w:szCs w:val="24"/>
              </w:rPr>
              <w:t>2分</w:t>
            </w:r>
          </w:p>
        </w:tc>
        <w:tc>
          <w:tcPr>
            <w:tcW w:w="4229" w:type="dxa"/>
            <w:vAlign w:val="center"/>
          </w:tcPr>
          <w:p>
            <w:pPr>
              <w:snapToGrid w:val="0"/>
              <w:rPr>
                <w:rFonts w:ascii="宋体" w:hAnsi="宋体"/>
                <w:sz w:val="24"/>
                <w:szCs w:val="24"/>
              </w:rPr>
            </w:pPr>
            <w:r>
              <w:rPr>
                <w:rFonts w:hint="eastAsia" w:ascii="宋体" w:hAnsi="宋体"/>
                <w:sz w:val="24"/>
                <w:szCs w:val="24"/>
              </w:rPr>
              <w:t>电路设计功能能实现竞赛任务书各项要求，科学合理，符合实际工程设计要求；</w:t>
            </w:r>
          </w:p>
          <w:p>
            <w:pPr>
              <w:numPr>
                <w:ilvl w:val="0"/>
                <w:numId w:val="4"/>
              </w:numPr>
              <w:snapToGrid w:val="0"/>
              <w:rPr>
                <w:rFonts w:ascii="宋体" w:hAnsi="宋体"/>
                <w:sz w:val="24"/>
                <w:szCs w:val="24"/>
              </w:rPr>
            </w:pPr>
            <w:r>
              <w:rPr>
                <w:rFonts w:hint="eastAsia" w:ascii="宋体" w:hAnsi="宋体"/>
                <w:sz w:val="24"/>
                <w:szCs w:val="24"/>
              </w:rPr>
              <w:t>电气设计步骤</w:t>
            </w:r>
          </w:p>
          <w:p>
            <w:pPr>
              <w:numPr>
                <w:ilvl w:val="0"/>
                <w:numId w:val="4"/>
              </w:numPr>
              <w:snapToGrid w:val="0"/>
              <w:rPr>
                <w:rFonts w:ascii="宋体" w:hAnsi="宋体"/>
                <w:sz w:val="24"/>
                <w:szCs w:val="24"/>
              </w:rPr>
            </w:pPr>
            <w:r>
              <w:rPr>
                <w:rFonts w:hint="eastAsia" w:ascii="宋体" w:hAnsi="宋体"/>
                <w:sz w:val="24"/>
                <w:szCs w:val="24"/>
              </w:rPr>
              <w:t>电气设计规范</w:t>
            </w:r>
          </w:p>
          <w:p>
            <w:pPr>
              <w:numPr>
                <w:ilvl w:val="0"/>
                <w:numId w:val="4"/>
              </w:numPr>
              <w:snapToGrid w:val="0"/>
              <w:rPr>
                <w:rFonts w:ascii="宋体" w:hAnsi="宋体"/>
                <w:sz w:val="24"/>
                <w:szCs w:val="24"/>
              </w:rPr>
            </w:pPr>
            <w:r>
              <w:rPr>
                <w:rFonts w:hint="eastAsia" w:ascii="宋体" w:hAnsi="宋体"/>
                <w:sz w:val="24"/>
                <w:szCs w:val="24"/>
              </w:rPr>
              <w:t>电气功能实现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绘制电气原理图</w:t>
            </w:r>
          </w:p>
        </w:tc>
        <w:tc>
          <w:tcPr>
            <w:tcW w:w="732" w:type="dxa"/>
            <w:vAlign w:val="center"/>
          </w:tcPr>
          <w:p>
            <w:pPr>
              <w:snapToGrid w:val="0"/>
              <w:jc w:val="center"/>
              <w:rPr>
                <w:rFonts w:ascii="宋体" w:hAnsi="宋体"/>
                <w:sz w:val="24"/>
                <w:szCs w:val="24"/>
              </w:rPr>
            </w:pPr>
            <w:r>
              <w:rPr>
                <w:rFonts w:hint="eastAsia" w:ascii="宋体" w:hAnsi="宋体"/>
                <w:sz w:val="24"/>
                <w:szCs w:val="24"/>
              </w:rPr>
              <w:t>3分</w:t>
            </w:r>
          </w:p>
        </w:tc>
        <w:tc>
          <w:tcPr>
            <w:tcW w:w="4229" w:type="dxa"/>
            <w:vAlign w:val="center"/>
          </w:tcPr>
          <w:p>
            <w:pPr>
              <w:snapToGrid w:val="0"/>
              <w:rPr>
                <w:rFonts w:ascii="宋体" w:hAnsi="宋体"/>
                <w:sz w:val="24"/>
                <w:szCs w:val="24"/>
              </w:rPr>
            </w:pPr>
            <w:r>
              <w:rPr>
                <w:rFonts w:hint="eastAsia" w:ascii="宋体" w:hAnsi="宋体"/>
                <w:sz w:val="24"/>
                <w:szCs w:val="24"/>
              </w:rPr>
              <w:t>图形符号规范，电路连接规范，字迹清楚、整洁、美观，图纸正确。</w:t>
            </w:r>
          </w:p>
          <w:p>
            <w:pPr>
              <w:numPr>
                <w:ilvl w:val="0"/>
                <w:numId w:val="5"/>
              </w:numPr>
              <w:snapToGrid w:val="0"/>
              <w:rPr>
                <w:rFonts w:ascii="宋体" w:hAnsi="宋体"/>
                <w:sz w:val="24"/>
                <w:szCs w:val="24"/>
              </w:rPr>
            </w:pPr>
            <w:r>
              <w:rPr>
                <w:rFonts w:hint="eastAsia" w:ascii="宋体" w:hAnsi="宋体"/>
                <w:sz w:val="24"/>
                <w:szCs w:val="24"/>
              </w:rPr>
              <w:t>绘制电气原理图</w:t>
            </w:r>
          </w:p>
          <w:p>
            <w:pPr>
              <w:numPr>
                <w:ilvl w:val="0"/>
                <w:numId w:val="5"/>
              </w:numPr>
              <w:snapToGrid w:val="0"/>
              <w:rPr>
                <w:rFonts w:ascii="宋体" w:hAnsi="宋体"/>
                <w:sz w:val="24"/>
                <w:szCs w:val="24"/>
              </w:rPr>
            </w:pPr>
            <w:r>
              <w:rPr>
                <w:rFonts w:hint="eastAsia" w:ascii="宋体" w:hAnsi="宋体"/>
                <w:sz w:val="24"/>
                <w:szCs w:val="24"/>
              </w:rPr>
              <w:t>元器件符号规范</w:t>
            </w:r>
          </w:p>
          <w:p>
            <w:pPr>
              <w:numPr>
                <w:ilvl w:val="0"/>
                <w:numId w:val="5"/>
              </w:numPr>
              <w:snapToGrid w:val="0"/>
              <w:rPr>
                <w:rFonts w:ascii="宋体" w:hAnsi="宋体"/>
                <w:sz w:val="24"/>
                <w:szCs w:val="24"/>
              </w:rPr>
            </w:pPr>
            <w:r>
              <w:rPr>
                <w:rFonts w:hint="eastAsia" w:ascii="宋体" w:hAnsi="宋体"/>
                <w:sz w:val="24"/>
                <w:szCs w:val="24"/>
              </w:rPr>
              <w:t>驱动器参数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979" w:type="dxa"/>
            <w:vMerge w:val="restart"/>
            <w:vAlign w:val="center"/>
          </w:tcPr>
          <w:p>
            <w:pPr>
              <w:snapToGrid w:val="0"/>
              <w:jc w:val="center"/>
              <w:rPr>
                <w:rFonts w:ascii="宋体" w:hAnsi="宋体"/>
                <w:sz w:val="24"/>
                <w:szCs w:val="24"/>
              </w:rPr>
            </w:pPr>
            <w:r>
              <w:rPr>
                <w:rFonts w:hint="eastAsia" w:ascii="宋体" w:hAnsi="宋体"/>
                <w:sz w:val="24"/>
                <w:szCs w:val="24"/>
              </w:rPr>
              <w:t>控制系统电路布置、连接工艺与调试</w:t>
            </w:r>
          </w:p>
        </w:tc>
        <w:tc>
          <w:tcPr>
            <w:tcW w:w="833" w:type="dxa"/>
            <w:vMerge w:val="restart"/>
            <w:vAlign w:val="center"/>
          </w:tcPr>
          <w:p>
            <w:pPr>
              <w:snapToGrid w:val="0"/>
              <w:jc w:val="center"/>
              <w:rPr>
                <w:rFonts w:ascii="宋体" w:hAnsi="宋体"/>
                <w:sz w:val="24"/>
                <w:szCs w:val="24"/>
              </w:rPr>
            </w:pPr>
            <w:r>
              <w:rPr>
                <w:rFonts w:hint="eastAsia" w:ascii="宋体" w:hAnsi="宋体"/>
                <w:sz w:val="24"/>
                <w:szCs w:val="24"/>
              </w:rPr>
              <w:t>20分</w:t>
            </w:r>
          </w:p>
        </w:tc>
        <w:tc>
          <w:tcPr>
            <w:tcW w:w="1840" w:type="dxa"/>
            <w:vAlign w:val="center"/>
          </w:tcPr>
          <w:p>
            <w:pPr>
              <w:snapToGrid w:val="0"/>
              <w:jc w:val="center"/>
              <w:rPr>
                <w:rFonts w:ascii="宋体" w:hAnsi="宋体"/>
                <w:sz w:val="24"/>
                <w:szCs w:val="24"/>
              </w:rPr>
            </w:pPr>
            <w:r>
              <w:rPr>
                <w:rFonts w:hint="eastAsia" w:ascii="宋体" w:hAnsi="宋体"/>
                <w:sz w:val="24"/>
                <w:szCs w:val="24"/>
              </w:rPr>
              <w:t>元件布置与安装</w:t>
            </w:r>
          </w:p>
        </w:tc>
        <w:tc>
          <w:tcPr>
            <w:tcW w:w="732" w:type="dxa"/>
            <w:vAlign w:val="center"/>
          </w:tcPr>
          <w:p>
            <w:pPr>
              <w:snapToGrid w:val="0"/>
              <w:jc w:val="center"/>
              <w:rPr>
                <w:rFonts w:ascii="宋体" w:hAnsi="宋体"/>
                <w:sz w:val="24"/>
                <w:szCs w:val="24"/>
              </w:rPr>
            </w:pPr>
            <w:r>
              <w:rPr>
                <w:rFonts w:hint="eastAsia" w:ascii="宋体" w:hAnsi="宋体"/>
                <w:sz w:val="24"/>
                <w:szCs w:val="24"/>
              </w:rPr>
              <w:t>2分</w:t>
            </w:r>
          </w:p>
        </w:tc>
        <w:tc>
          <w:tcPr>
            <w:tcW w:w="4229" w:type="dxa"/>
            <w:vAlign w:val="center"/>
          </w:tcPr>
          <w:p>
            <w:pPr>
              <w:snapToGrid w:val="0"/>
              <w:rPr>
                <w:rFonts w:ascii="宋体" w:hAnsi="宋体"/>
                <w:sz w:val="24"/>
                <w:szCs w:val="24"/>
              </w:rPr>
            </w:pPr>
            <w:r>
              <w:rPr>
                <w:rFonts w:hint="eastAsia" w:ascii="宋体" w:hAnsi="宋体"/>
                <w:sz w:val="24"/>
                <w:szCs w:val="24"/>
              </w:rPr>
              <w:t>元件检查、安装位置合理，紧固不松动，工具使用合理；</w:t>
            </w:r>
          </w:p>
          <w:p>
            <w:pPr>
              <w:numPr>
                <w:ilvl w:val="0"/>
                <w:numId w:val="6"/>
              </w:numPr>
              <w:snapToGrid w:val="0"/>
              <w:rPr>
                <w:rFonts w:ascii="宋体" w:hAnsi="宋体"/>
                <w:sz w:val="24"/>
                <w:szCs w:val="24"/>
              </w:rPr>
            </w:pPr>
            <w:r>
              <w:rPr>
                <w:rFonts w:hint="eastAsia" w:ascii="宋体" w:hAnsi="宋体"/>
                <w:sz w:val="24"/>
                <w:szCs w:val="24"/>
              </w:rPr>
              <w:t>电气元件合理布置</w:t>
            </w:r>
          </w:p>
          <w:p>
            <w:pPr>
              <w:numPr>
                <w:ilvl w:val="0"/>
                <w:numId w:val="6"/>
              </w:numPr>
              <w:snapToGrid w:val="0"/>
              <w:rPr>
                <w:rFonts w:ascii="宋体" w:hAnsi="宋体"/>
                <w:sz w:val="24"/>
                <w:szCs w:val="24"/>
              </w:rPr>
            </w:pPr>
            <w:r>
              <w:rPr>
                <w:rFonts w:hint="eastAsia" w:ascii="宋体" w:hAnsi="宋体"/>
                <w:sz w:val="24"/>
                <w:szCs w:val="24"/>
              </w:rPr>
              <w:t>电气元件规范安装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电路连接与工艺</w:t>
            </w:r>
          </w:p>
        </w:tc>
        <w:tc>
          <w:tcPr>
            <w:tcW w:w="732" w:type="dxa"/>
            <w:vAlign w:val="center"/>
          </w:tcPr>
          <w:p>
            <w:pPr>
              <w:snapToGrid w:val="0"/>
              <w:jc w:val="center"/>
              <w:rPr>
                <w:rFonts w:ascii="宋体" w:hAnsi="宋体"/>
                <w:sz w:val="24"/>
                <w:szCs w:val="24"/>
              </w:rPr>
            </w:pPr>
            <w:r>
              <w:rPr>
                <w:rFonts w:hint="eastAsia" w:ascii="宋体" w:hAnsi="宋体"/>
                <w:sz w:val="24"/>
                <w:szCs w:val="24"/>
              </w:rPr>
              <w:t>14分</w:t>
            </w:r>
          </w:p>
        </w:tc>
        <w:tc>
          <w:tcPr>
            <w:tcW w:w="4229" w:type="dxa"/>
            <w:vAlign w:val="center"/>
          </w:tcPr>
          <w:p>
            <w:pPr>
              <w:snapToGrid w:val="0"/>
              <w:rPr>
                <w:rFonts w:ascii="宋体" w:hAnsi="宋体"/>
                <w:sz w:val="24"/>
                <w:szCs w:val="24"/>
              </w:rPr>
            </w:pPr>
            <w:r>
              <w:rPr>
                <w:rFonts w:hint="eastAsia" w:ascii="宋体" w:hAnsi="宋体"/>
                <w:sz w:val="24"/>
                <w:szCs w:val="24"/>
              </w:rPr>
              <w:t>电气线路连接正确，导线、插针、号码管使用正确合理，驱动器、传感器等连接正确，走线合理；</w:t>
            </w:r>
          </w:p>
          <w:p>
            <w:pPr>
              <w:numPr>
                <w:ilvl w:val="0"/>
                <w:numId w:val="7"/>
              </w:numPr>
              <w:snapToGrid w:val="0"/>
              <w:rPr>
                <w:rFonts w:ascii="宋体" w:hAnsi="宋体"/>
                <w:sz w:val="24"/>
                <w:szCs w:val="24"/>
              </w:rPr>
            </w:pPr>
            <w:r>
              <w:rPr>
                <w:rFonts w:hint="eastAsia" w:ascii="宋体" w:hAnsi="宋体"/>
                <w:sz w:val="24"/>
                <w:szCs w:val="24"/>
              </w:rPr>
              <w:t>器件端口功能</w:t>
            </w:r>
          </w:p>
          <w:p>
            <w:pPr>
              <w:numPr>
                <w:ilvl w:val="0"/>
                <w:numId w:val="7"/>
              </w:numPr>
              <w:snapToGrid w:val="0"/>
              <w:rPr>
                <w:rFonts w:ascii="宋体" w:hAnsi="宋体"/>
                <w:sz w:val="24"/>
                <w:szCs w:val="24"/>
              </w:rPr>
            </w:pPr>
            <w:r>
              <w:rPr>
                <w:rFonts w:hint="eastAsia" w:ascii="宋体" w:hAnsi="宋体"/>
                <w:sz w:val="24"/>
                <w:szCs w:val="24"/>
              </w:rPr>
              <w:t>器件连接工艺</w:t>
            </w:r>
          </w:p>
          <w:p>
            <w:pPr>
              <w:numPr>
                <w:ilvl w:val="0"/>
                <w:numId w:val="7"/>
              </w:numPr>
              <w:snapToGrid w:val="0"/>
              <w:rPr>
                <w:rFonts w:ascii="宋体" w:hAnsi="宋体"/>
                <w:sz w:val="24"/>
                <w:szCs w:val="24"/>
              </w:rPr>
            </w:pPr>
            <w:r>
              <w:rPr>
                <w:rFonts w:hint="eastAsia" w:ascii="宋体" w:hAnsi="宋体"/>
                <w:sz w:val="24"/>
                <w:szCs w:val="24"/>
              </w:rPr>
              <w:t>工具操作使用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系统初步调试</w:t>
            </w:r>
          </w:p>
        </w:tc>
        <w:tc>
          <w:tcPr>
            <w:tcW w:w="732" w:type="dxa"/>
            <w:vAlign w:val="center"/>
          </w:tcPr>
          <w:p>
            <w:pPr>
              <w:snapToGrid w:val="0"/>
              <w:jc w:val="center"/>
              <w:rPr>
                <w:rFonts w:ascii="宋体" w:hAnsi="宋体"/>
                <w:sz w:val="24"/>
                <w:szCs w:val="24"/>
              </w:rPr>
            </w:pPr>
            <w:r>
              <w:rPr>
                <w:rFonts w:hint="eastAsia" w:ascii="宋体" w:hAnsi="宋体"/>
                <w:sz w:val="24"/>
                <w:szCs w:val="24"/>
              </w:rPr>
              <w:t>4分</w:t>
            </w:r>
          </w:p>
        </w:tc>
        <w:tc>
          <w:tcPr>
            <w:tcW w:w="4229" w:type="dxa"/>
            <w:vAlign w:val="center"/>
          </w:tcPr>
          <w:p>
            <w:pPr>
              <w:snapToGrid w:val="0"/>
              <w:rPr>
                <w:rFonts w:ascii="宋体" w:hAnsi="宋体"/>
                <w:sz w:val="24"/>
                <w:szCs w:val="24"/>
              </w:rPr>
            </w:pPr>
            <w:r>
              <w:rPr>
                <w:rFonts w:hint="eastAsia" w:ascii="宋体" w:hAnsi="宋体"/>
                <w:sz w:val="24"/>
                <w:szCs w:val="24"/>
              </w:rPr>
              <w:t>上电前安全检查，上电后初步检测元件工作是否正常，检查局部电路功能；</w:t>
            </w:r>
          </w:p>
          <w:p>
            <w:pPr>
              <w:numPr>
                <w:ilvl w:val="0"/>
                <w:numId w:val="8"/>
              </w:numPr>
              <w:snapToGrid w:val="0"/>
              <w:rPr>
                <w:rFonts w:ascii="宋体" w:hAnsi="宋体"/>
                <w:sz w:val="24"/>
                <w:szCs w:val="24"/>
              </w:rPr>
            </w:pPr>
            <w:r>
              <w:rPr>
                <w:rFonts w:hint="eastAsia" w:ascii="宋体" w:hAnsi="宋体"/>
                <w:sz w:val="24"/>
                <w:szCs w:val="24"/>
              </w:rPr>
              <w:t>上电安全操作</w:t>
            </w:r>
          </w:p>
          <w:p>
            <w:pPr>
              <w:numPr>
                <w:ilvl w:val="0"/>
                <w:numId w:val="8"/>
              </w:numPr>
              <w:snapToGrid w:val="0"/>
              <w:rPr>
                <w:rFonts w:ascii="宋体" w:hAnsi="宋体"/>
                <w:sz w:val="24"/>
                <w:szCs w:val="24"/>
              </w:rPr>
            </w:pPr>
            <w:r>
              <w:rPr>
                <w:rFonts w:hint="eastAsia" w:ascii="宋体" w:hAnsi="宋体"/>
                <w:sz w:val="24"/>
                <w:szCs w:val="24"/>
              </w:rPr>
              <w:t>器件功能测试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979" w:type="dxa"/>
            <w:vMerge w:val="restart"/>
            <w:vAlign w:val="center"/>
          </w:tcPr>
          <w:p>
            <w:pPr>
              <w:snapToGrid w:val="0"/>
              <w:jc w:val="center"/>
              <w:rPr>
                <w:rFonts w:ascii="宋体" w:hAnsi="宋体"/>
                <w:sz w:val="24"/>
                <w:szCs w:val="24"/>
              </w:rPr>
            </w:pPr>
            <w:r>
              <w:rPr>
                <w:rFonts w:hint="eastAsia" w:ascii="宋体" w:hAnsi="宋体"/>
                <w:sz w:val="24"/>
                <w:szCs w:val="24"/>
              </w:rPr>
              <w:t>操控单元独立功能完成情况</w:t>
            </w:r>
          </w:p>
        </w:tc>
        <w:tc>
          <w:tcPr>
            <w:tcW w:w="833" w:type="dxa"/>
            <w:vMerge w:val="restart"/>
            <w:vAlign w:val="center"/>
          </w:tcPr>
          <w:p>
            <w:pPr>
              <w:snapToGrid w:val="0"/>
              <w:jc w:val="center"/>
              <w:rPr>
                <w:rFonts w:ascii="宋体" w:hAnsi="宋体"/>
                <w:sz w:val="24"/>
                <w:szCs w:val="24"/>
              </w:rPr>
            </w:pPr>
            <w:r>
              <w:rPr>
                <w:rFonts w:hint="eastAsia" w:ascii="宋体" w:hAnsi="宋体"/>
                <w:sz w:val="24"/>
                <w:szCs w:val="24"/>
              </w:rPr>
              <w:t>30分</w:t>
            </w:r>
          </w:p>
        </w:tc>
        <w:tc>
          <w:tcPr>
            <w:tcW w:w="1840" w:type="dxa"/>
            <w:vAlign w:val="center"/>
          </w:tcPr>
          <w:p>
            <w:pPr>
              <w:snapToGrid w:val="0"/>
              <w:jc w:val="center"/>
              <w:rPr>
                <w:rFonts w:ascii="宋体" w:hAnsi="宋体"/>
                <w:sz w:val="24"/>
                <w:szCs w:val="24"/>
              </w:rPr>
            </w:pPr>
            <w:r>
              <w:rPr>
                <w:rFonts w:hint="eastAsia" w:ascii="宋体" w:hAnsi="宋体"/>
                <w:sz w:val="24"/>
                <w:szCs w:val="24"/>
              </w:rPr>
              <w:t>PLC编程设计与调试</w:t>
            </w:r>
          </w:p>
        </w:tc>
        <w:tc>
          <w:tcPr>
            <w:tcW w:w="732" w:type="dxa"/>
            <w:vAlign w:val="center"/>
          </w:tcPr>
          <w:p>
            <w:pPr>
              <w:snapToGrid w:val="0"/>
              <w:jc w:val="center"/>
              <w:rPr>
                <w:rFonts w:ascii="宋体" w:hAnsi="宋体"/>
                <w:sz w:val="24"/>
                <w:szCs w:val="24"/>
              </w:rPr>
            </w:pPr>
            <w:r>
              <w:rPr>
                <w:rFonts w:hint="eastAsia" w:ascii="宋体" w:hAnsi="宋体"/>
                <w:sz w:val="24"/>
                <w:szCs w:val="24"/>
              </w:rPr>
              <w:t>14分</w:t>
            </w:r>
          </w:p>
        </w:tc>
        <w:tc>
          <w:tcPr>
            <w:tcW w:w="4229" w:type="dxa"/>
            <w:vAlign w:val="center"/>
          </w:tcPr>
          <w:p>
            <w:pPr>
              <w:snapToGrid w:val="0"/>
              <w:rPr>
                <w:rFonts w:ascii="宋体" w:hAnsi="宋体"/>
                <w:sz w:val="24"/>
                <w:szCs w:val="24"/>
              </w:rPr>
            </w:pPr>
            <w:r>
              <w:rPr>
                <w:rFonts w:hint="eastAsia" w:ascii="宋体" w:hAnsi="宋体"/>
                <w:sz w:val="24"/>
                <w:szCs w:val="24"/>
              </w:rPr>
              <w:t>熟练使用PLC软件编程与调试，实现系统设计各部分功能；</w:t>
            </w:r>
          </w:p>
          <w:p>
            <w:pPr>
              <w:numPr>
                <w:ilvl w:val="0"/>
                <w:numId w:val="9"/>
              </w:numPr>
              <w:snapToGrid w:val="0"/>
              <w:rPr>
                <w:rFonts w:ascii="宋体" w:hAnsi="宋体"/>
                <w:sz w:val="24"/>
                <w:szCs w:val="24"/>
              </w:rPr>
            </w:pPr>
            <w:r>
              <w:rPr>
                <w:rFonts w:hint="eastAsia" w:ascii="宋体" w:hAnsi="宋体"/>
                <w:sz w:val="24"/>
                <w:szCs w:val="24"/>
              </w:rPr>
              <w:t>PLC基本功能编程</w:t>
            </w:r>
          </w:p>
          <w:p>
            <w:pPr>
              <w:numPr>
                <w:ilvl w:val="0"/>
                <w:numId w:val="9"/>
              </w:numPr>
              <w:snapToGrid w:val="0"/>
              <w:rPr>
                <w:rFonts w:ascii="宋体" w:hAnsi="宋体"/>
                <w:sz w:val="24"/>
                <w:szCs w:val="24"/>
              </w:rPr>
            </w:pPr>
            <w:r>
              <w:rPr>
                <w:rFonts w:hint="eastAsia" w:ascii="宋体" w:hAnsi="宋体"/>
                <w:sz w:val="24"/>
                <w:szCs w:val="24"/>
              </w:rPr>
              <w:t>PLC运动控制编程</w:t>
            </w:r>
          </w:p>
          <w:p>
            <w:pPr>
              <w:numPr>
                <w:ilvl w:val="0"/>
                <w:numId w:val="9"/>
              </w:numPr>
              <w:snapToGrid w:val="0"/>
              <w:rPr>
                <w:rFonts w:ascii="宋体" w:hAnsi="宋体"/>
                <w:sz w:val="24"/>
                <w:szCs w:val="24"/>
              </w:rPr>
            </w:pPr>
            <w:r>
              <w:rPr>
                <w:rFonts w:hint="eastAsia" w:ascii="宋体" w:hAnsi="宋体"/>
                <w:sz w:val="24"/>
                <w:szCs w:val="24"/>
              </w:rPr>
              <w:t>PLC复杂功能编程</w:t>
            </w:r>
          </w:p>
          <w:p>
            <w:pPr>
              <w:numPr>
                <w:ilvl w:val="0"/>
                <w:numId w:val="9"/>
              </w:numPr>
              <w:snapToGrid w:val="0"/>
              <w:rPr>
                <w:rFonts w:ascii="宋体" w:hAnsi="宋体"/>
                <w:sz w:val="24"/>
                <w:szCs w:val="24"/>
              </w:rPr>
            </w:pPr>
            <w:r>
              <w:rPr>
                <w:rFonts w:hint="eastAsia" w:ascii="宋体" w:hAnsi="宋体"/>
                <w:sz w:val="24"/>
                <w:szCs w:val="24"/>
              </w:rPr>
              <w:t>PLC与HMI连接编程</w:t>
            </w:r>
          </w:p>
          <w:p>
            <w:pPr>
              <w:numPr>
                <w:ilvl w:val="0"/>
                <w:numId w:val="9"/>
              </w:numPr>
              <w:snapToGrid w:val="0"/>
              <w:rPr>
                <w:rFonts w:ascii="宋体" w:hAnsi="宋体"/>
                <w:sz w:val="24"/>
                <w:szCs w:val="24"/>
              </w:rPr>
            </w:pPr>
            <w:r>
              <w:rPr>
                <w:rFonts w:hint="eastAsia" w:ascii="宋体" w:hAnsi="宋体"/>
                <w:sz w:val="24"/>
                <w:szCs w:val="24"/>
              </w:rPr>
              <w:t>PLC调试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触摸屏组态与PLC连接</w:t>
            </w:r>
          </w:p>
        </w:tc>
        <w:tc>
          <w:tcPr>
            <w:tcW w:w="732" w:type="dxa"/>
            <w:vAlign w:val="center"/>
          </w:tcPr>
          <w:p>
            <w:pPr>
              <w:snapToGrid w:val="0"/>
              <w:jc w:val="center"/>
              <w:rPr>
                <w:rFonts w:ascii="宋体" w:hAnsi="宋体"/>
                <w:sz w:val="24"/>
                <w:szCs w:val="24"/>
              </w:rPr>
            </w:pPr>
            <w:r>
              <w:rPr>
                <w:rFonts w:hint="eastAsia" w:ascii="宋体" w:hAnsi="宋体"/>
                <w:sz w:val="24"/>
                <w:szCs w:val="24"/>
              </w:rPr>
              <w:t>8分</w:t>
            </w:r>
          </w:p>
        </w:tc>
        <w:tc>
          <w:tcPr>
            <w:tcW w:w="4229" w:type="dxa"/>
            <w:vAlign w:val="center"/>
          </w:tcPr>
          <w:p>
            <w:pPr>
              <w:snapToGrid w:val="0"/>
              <w:rPr>
                <w:rFonts w:ascii="宋体" w:hAnsi="宋体"/>
                <w:sz w:val="24"/>
                <w:szCs w:val="24"/>
              </w:rPr>
            </w:pPr>
            <w:r>
              <w:rPr>
                <w:rFonts w:hint="eastAsia" w:ascii="宋体" w:hAnsi="宋体"/>
                <w:sz w:val="24"/>
                <w:szCs w:val="24"/>
              </w:rPr>
              <w:t xml:space="preserve">设计窗口界面、主令信号、状态显示、动画等，与PLC连接，能实现监视与控制效果； </w:t>
            </w:r>
          </w:p>
          <w:p>
            <w:pPr>
              <w:numPr>
                <w:ilvl w:val="0"/>
                <w:numId w:val="10"/>
              </w:numPr>
              <w:snapToGrid w:val="0"/>
              <w:rPr>
                <w:rFonts w:ascii="宋体" w:hAnsi="宋体"/>
                <w:sz w:val="24"/>
                <w:szCs w:val="24"/>
              </w:rPr>
            </w:pPr>
            <w:r>
              <w:rPr>
                <w:rFonts w:hint="eastAsia" w:ascii="宋体" w:hAnsi="宋体"/>
                <w:sz w:val="24"/>
                <w:szCs w:val="24"/>
              </w:rPr>
              <w:t>PLC与触摸屏网络连接</w:t>
            </w:r>
          </w:p>
          <w:p>
            <w:pPr>
              <w:numPr>
                <w:ilvl w:val="0"/>
                <w:numId w:val="10"/>
              </w:numPr>
              <w:snapToGrid w:val="0"/>
              <w:rPr>
                <w:rFonts w:ascii="宋体" w:hAnsi="宋体"/>
                <w:sz w:val="24"/>
                <w:szCs w:val="24"/>
              </w:rPr>
            </w:pPr>
            <w:r>
              <w:rPr>
                <w:rFonts w:hint="eastAsia" w:ascii="宋体" w:hAnsi="宋体"/>
                <w:sz w:val="24"/>
                <w:szCs w:val="24"/>
              </w:rPr>
              <w:t>触摸屏页面设计</w:t>
            </w:r>
          </w:p>
          <w:p>
            <w:pPr>
              <w:numPr>
                <w:ilvl w:val="0"/>
                <w:numId w:val="10"/>
              </w:numPr>
              <w:snapToGrid w:val="0"/>
              <w:rPr>
                <w:rFonts w:ascii="宋体" w:hAnsi="宋体"/>
                <w:sz w:val="24"/>
                <w:szCs w:val="24"/>
              </w:rPr>
            </w:pPr>
            <w:r>
              <w:rPr>
                <w:rFonts w:hint="eastAsia" w:ascii="宋体" w:hAnsi="宋体"/>
                <w:sz w:val="24"/>
                <w:szCs w:val="24"/>
              </w:rPr>
              <w:t>触摸屏动画设计</w:t>
            </w:r>
          </w:p>
          <w:p>
            <w:pPr>
              <w:numPr>
                <w:ilvl w:val="0"/>
                <w:numId w:val="10"/>
              </w:numPr>
              <w:snapToGrid w:val="0"/>
              <w:rPr>
                <w:rFonts w:ascii="宋体" w:hAnsi="宋体"/>
                <w:sz w:val="24"/>
                <w:szCs w:val="24"/>
              </w:rPr>
            </w:pPr>
            <w:r>
              <w:rPr>
                <w:rFonts w:hint="eastAsia" w:ascii="宋体" w:hAnsi="宋体"/>
                <w:sz w:val="24"/>
                <w:szCs w:val="24"/>
              </w:rPr>
              <w:t>触摸屏调试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系统实现网络通讯功能</w:t>
            </w:r>
          </w:p>
        </w:tc>
        <w:tc>
          <w:tcPr>
            <w:tcW w:w="732" w:type="dxa"/>
            <w:vAlign w:val="center"/>
          </w:tcPr>
          <w:p>
            <w:pPr>
              <w:snapToGrid w:val="0"/>
              <w:jc w:val="center"/>
              <w:rPr>
                <w:rFonts w:ascii="宋体" w:hAnsi="宋体"/>
                <w:sz w:val="24"/>
                <w:szCs w:val="24"/>
              </w:rPr>
            </w:pPr>
            <w:r>
              <w:rPr>
                <w:rFonts w:hint="eastAsia" w:ascii="宋体" w:hAnsi="宋体"/>
                <w:sz w:val="24"/>
                <w:szCs w:val="24"/>
              </w:rPr>
              <w:t>2分</w:t>
            </w:r>
          </w:p>
        </w:tc>
        <w:tc>
          <w:tcPr>
            <w:tcW w:w="4229" w:type="dxa"/>
            <w:vAlign w:val="center"/>
          </w:tcPr>
          <w:p>
            <w:pPr>
              <w:snapToGrid w:val="0"/>
              <w:rPr>
                <w:rFonts w:ascii="宋体" w:hAnsi="宋体"/>
                <w:sz w:val="24"/>
                <w:szCs w:val="24"/>
              </w:rPr>
            </w:pPr>
            <w:r>
              <w:rPr>
                <w:rFonts w:hint="eastAsia" w:ascii="宋体" w:hAnsi="宋体"/>
                <w:sz w:val="24"/>
                <w:szCs w:val="24"/>
              </w:rPr>
              <w:t>主从站编程设置，实现网络通讯；</w:t>
            </w:r>
          </w:p>
          <w:p>
            <w:pPr>
              <w:numPr>
                <w:ilvl w:val="0"/>
                <w:numId w:val="11"/>
              </w:numPr>
              <w:snapToGrid w:val="0"/>
              <w:rPr>
                <w:rFonts w:ascii="宋体" w:hAnsi="宋体"/>
                <w:sz w:val="24"/>
                <w:szCs w:val="24"/>
              </w:rPr>
            </w:pPr>
            <w:r>
              <w:rPr>
                <w:rFonts w:hint="eastAsia" w:ascii="宋体" w:hAnsi="宋体"/>
                <w:sz w:val="24"/>
                <w:szCs w:val="24"/>
              </w:rPr>
              <w:t>网络硬件连接</w:t>
            </w:r>
          </w:p>
          <w:p>
            <w:pPr>
              <w:numPr>
                <w:ilvl w:val="0"/>
                <w:numId w:val="11"/>
              </w:numPr>
              <w:snapToGrid w:val="0"/>
              <w:rPr>
                <w:rFonts w:ascii="宋体" w:hAnsi="宋体"/>
                <w:sz w:val="24"/>
                <w:szCs w:val="24"/>
              </w:rPr>
            </w:pPr>
            <w:r>
              <w:rPr>
                <w:rFonts w:hint="eastAsia" w:ascii="宋体" w:hAnsi="宋体"/>
                <w:sz w:val="24"/>
                <w:szCs w:val="24"/>
              </w:rPr>
              <w:t>网络信号编制</w:t>
            </w:r>
          </w:p>
          <w:p>
            <w:pPr>
              <w:numPr>
                <w:ilvl w:val="0"/>
                <w:numId w:val="11"/>
              </w:numPr>
              <w:snapToGrid w:val="0"/>
              <w:rPr>
                <w:rFonts w:ascii="宋体" w:hAnsi="宋体"/>
                <w:sz w:val="24"/>
                <w:szCs w:val="24"/>
              </w:rPr>
            </w:pPr>
            <w:r>
              <w:rPr>
                <w:rFonts w:hint="eastAsia" w:ascii="宋体" w:hAnsi="宋体"/>
                <w:sz w:val="24"/>
                <w:szCs w:val="24"/>
              </w:rPr>
              <w:t>主从站网络编程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驱动器参数设置</w:t>
            </w:r>
          </w:p>
        </w:tc>
        <w:tc>
          <w:tcPr>
            <w:tcW w:w="732" w:type="dxa"/>
            <w:vAlign w:val="center"/>
          </w:tcPr>
          <w:p>
            <w:pPr>
              <w:snapToGrid w:val="0"/>
              <w:jc w:val="center"/>
              <w:rPr>
                <w:rFonts w:ascii="宋体" w:hAnsi="宋体"/>
                <w:sz w:val="24"/>
                <w:szCs w:val="24"/>
              </w:rPr>
            </w:pPr>
            <w:r>
              <w:rPr>
                <w:rFonts w:hint="eastAsia" w:ascii="宋体" w:hAnsi="宋体"/>
                <w:sz w:val="24"/>
                <w:szCs w:val="24"/>
              </w:rPr>
              <w:t>2分</w:t>
            </w:r>
          </w:p>
        </w:tc>
        <w:tc>
          <w:tcPr>
            <w:tcW w:w="4229" w:type="dxa"/>
            <w:vAlign w:val="center"/>
          </w:tcPr>
          <w:p>
            <w:pPr>
              <w:snapToGrid w:val="0"/>
              <w:rPr>
                <w:rFonts w:ascii="宋体" w:hAnsi="宋体"/>
                <w:sz w:val="24"/>
                <w:szCs w:val="24"/>
              </w:rPr>
            </w:pPr>
            <w:r>
              <w:rPr>
                <w:rFonts w:hint="eastAsia" w:ascii="宋体" w:hAnsi="宋体"/>
                <w:sz w:val="24"/>
                <w:szCs w:val="24"/>
              </w:rPr>
              <w:t>变频器、或伺服驱动器等参数设置；</w:t>
            </w:r>
          </w:p>
          <w:p>
            <w:pPr>
              <w:numPr>
                <w:ilvl w:val="0"/>
                <w:numId w:val="12"/>
              </w:numPr>
              <w:snapToGrid w:val="0"/>
              <w:rPr>
                <w:rFonts w:ascii="宋体" w:hAnsi="宋体"/>
                <w:sz w:val="24"/>
                <w:szCs w:val="24"/>
              </w:rPr>
            </w:pPr>
            <w:r>
              <w:rPr>
                <w:rFonts w:hint="eastAsia" w:ascii="宋体" w:hAnsi="宋体"/>
                <w:sz w:val="24"/>
                <w:szCs w:val="24"/>
              </w:rPr>
              <w:t>变频器参数功能、设置</w:t>
            </w:r>
          </w:p>
          <w:p>
            <w:pPr>
              <w:numPr>
                <w:ilvl w:val="0"/>
                <w:numId w:val="12"/>
              </w:numPr>
              <w:snapToGrid w:val="0"/>
              <w:rPr>
                <w:rFonts w:ascii="宋体" w:hAnsi="宋体"/>
                <w:sz w:val="24"/>
                <w:szCs w:val="24"/>
              </w:rPr>
            </w:pPr>
            <w:r>
              <w:rPr>
                <w:rFonts w:hint="eastAsia" w:ascii="宋体" w:hAnsi="宋体"/>
                <w:sz w:val="24"/>
                <w:szCs w:val="24"/>
              </w:rPr>
              <w:t>伺服驱动器参数功能、设置</w:t>
            </w:r>
          </w:p>
          <w:p>
            <w:pPr>
              <w:numPr>
                <w:ilvl w:val="0"/>
                <w:numId w:val="12"/>
              </w:numPr>
              <w:snapToGrid w:val="0"/>
              <w:rPr>
                <w:rFonts w:ascii="宋体" w:hAnsi="宋体"/>
                <w:sz w:val="24"/>
                <w:szCs w:val="24"/>
              </w:rPr>
            </w:pPr>
            <w:r>
              <w:rPr>
                <w:rFonts w:hint="eastAsia" w:ascii="宋体" w:hAnsi="宋体"/>
                <w:sz w:val="24"/>
                <w:szCs w:val="24"/>
              </w:rPr>
              <w:t>步进驱动器参数功能、设置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局部操控单元调试运行</w:t>
            </w:r>
          </w:p>
        </w:tc>
        <w:tc>
          <w:tcPr>
            <w:tcW w:w="732" w:type="dxa"/>
            <w:vAlign w:val="center"/>
          </w:tcPr>
          <w:p>
            <w:pPr>
              <w:snapToGrid w:val="0"/>
              <w:jc w:val="center"/>
              <w:rPr>
                <w:rFonts w:ascii="宋体" w:hAnsi="宋体"/>
                <w:sz w:val="24"/>
                <w:szCs w:val="24"/>
              </w:rPr>
            </w:pPr>
            <w:r>
              <w:rPr>
                <w:rFonts w:hint="eastAsia" w:ascii="宋体" w:hAnsi="宋体"/>
                <w:sz w:val="24"/>
                <w:szCs w:val="24"/>
              </w:rPr>
              <w:t>4分</w:t>
            </w:r>
          </w:p>
        </w:tc>
        <w:tc>
          <w:tcPr>
            <w:tcW w:w="4229" w:type="dxa"/>
            <w:vAlign w:val="center"/>
          </w:tcPr>
          <w:p>
            <w:pPr>
              <w:snapToGrid w:val="0"/>
              <w:rPr>
                <w:rFonts w:ascii="宋体" w:hAnsi="宋体"/>
                <w:sz w:val="24"/>
                <w:szCs w:val="24"/>
              </w:rPr>
            </w:pPr>
            <w:r>
              <w:rPr>
                <w:rFonts w:hint="eastAsia" w:ascii="宋体" w:hAnsi="宋体"/>
                <w:sz w:val="24"/>
                <w:szCs w:val="24"/>
              </w:rPr>
              <w:t>实现局部操控单元功能运行、指示灯状态等。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9" w:type="dxa"/>
            <w:vAlign w:val="center"/>
          </w:tcPr>
          <w:p>
            <w:pPr>
              <w:snapToGrid w:val="0"/>
              <w:jc w:val="center"/>
              <w:rPr>
                <w:rFonts w:ascii="宋体" w:hAnsi="宋体"/>
                <w:sz w:val="24"/>
                <w:szCs w:val="24"/>
              </w:rPr>
            </w:pPr>
            <w:r>
              <w:rPr>
                <w:rFonts w:hint="eastAsia" w:ascii="宋体" w:hAnsi="宋体"/>
                <w:sz w:val="24"/>
                <w:szCs w:val="24"/>
              </w:rPr>
              <w:t>控制系统整体功能完成情况</w:t>
            </w:r>
          </w:p>
        </w:tc>
        <w:tc>
          <w:tcPr>
            <w:tcW w:w="833" w:type="dxa"/>
            <w:vAlign w:val="center"/>
          </w:tcPr>
          <w:p>
            <w:pPr>
              <w:snapToGrid w:val="0"/>
              <w:jc w:val="center"/>
              <w:rPr>
                <w:rFonts w:ascii="宋体" w:hAnsi="宋体"/>
                <w:sz w:val="24"/>
                <w:szCs w:val="24"/>
              </w:rPr>
            </w:pPr>
            <w:r>
              <w:rPr>
                <w:rFonts w:hint="eastAsia" w:ascii="宋体" w:hAnsi="宋体"/>
                <w:sz w:val="24"/>
                <w:szCs w:val="24"/>
              </w:rPr>
              <w:t>25分</w:t>
            </w:r>
          </w:p>
        </w:tc>
        <w:tc>
          <w:tcPr>
            <w:tcW w:w="1840" w:type="dxa"/>
            <w:vAlign w:val="center"/>
          </w:tcPr>
          <w:p>
            <w:pPr>
              <w:snapToGrid w:val="0"/>
              <w:jc w:val="center"/>
              <w:rPr>
                <w:rFonts w:ascii="宋体" w:hAnsi="宋体"/>
                <w:sz w:val="24"/>
                <w:szCs w:val="24"/>
              </w:rPr>
            </w:pPr>
            <w:r>
              <w:rPr>
                <w:rFonts w:hint="eastAsia" w:ascii="宋体" w:hAnsi="宋体"/>
                <w:sz w:val="24"/>
                <w:szCs w:val="24"/>
              </w:rPr>
              <w:t>系统整体正常运行工作</w:t>
            </w:r>
          </w:p>
        </w:tc>
        <w:tc>
          <w:tcPr>
            <w:tcW w:w="732" w:type="dxa"/>
            <w:vAlign w:val="center"/>
          </w:tcPr>
          <w:p>
            <w:pPr>
              <w:snapToGrid w:val="0"/>
              <w:jc w:val="center"/>
              <w:rPr>
                <w:rFonts w:ascii="宋体" w:hAnsi="宋体"/>
                <w:sz w:val="24"/>
                <w:szCs w:val="24"/>
              </w:rPr>
            </w:pPr>
            <w:r>
              <w:rPr>
                <w:rFonts w:hint="eastAsia" w:ascii="宋体" w:hAnsi="宋体"/>
                <w:sz w:val="24"/>
                <w:szCs w:val="24"/>
              </w:rPr>
              <w:t>25分</w:t>
            </w:r>
          </w:p>
        </w:tc>
        <w:tc>
          <w:tcPr>
            <w:tcW w:w="4229" w:type="dxa"/>
            <w:vAlign w:val="center"/>
          </w:tcPr>
          <w:p>
            <w:pPr>
              <w:snapToGrid w:val="0"/>
              <w:rPr>
                <w:rFonts w:ascii="宋体" w:hAnsi="宋体"/>
                <w:sz w:val="24"/>
                <w:szCs w:val="24"/>
              </w:rPr>
            </w:pPr>
            <w:r>
              <w:rPr>
                <w:rFonts w:hint="eastAsia" w:ascii="宋体" w:hAnsi="宋体"/>
                <w:sz w:val="24"/>
                <w:szCs w:val="24"/>
              </w:rPr>
              <w:t>系统检查初始状态后，系统正常启动、周期运行、停止，突发急停，非正常工作报警处理。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79" w:type="dxa"/>
            <w:vAlign w:val="center"/>
          </w:tcPr>
          <w:p>
            <w:pPr>
              <w:snapToGrid w:val="0"/>
              <w:jc w:val="center"/>
              <w:rPr>
                <w:rFonts w:ascii="宋体" w:hAnsi="宋体"/>
                <w:sz w:val="24"/>
                <w:szCs w:val="24"/>
              </w:rPr>
            </w:pPr>
            <w:r>
              <w:rPr>
                <w:rFonts w:hint="eastAsia" w:ascii="宋体" w:hAnsi="宋体"/>
                <w:sz w:val="24"/>
                <w:szCs w:val="24"/>
              </w:rPr>
              <w:t>电气控制系统故障检修</w:t>
            </w:r>
          </w:p>
        </w:tc>
        <w:tc>
          <w:tcPr>
            <w:tcW w:w="833" w:type="dxa"/>
            <w:vAlign w:val="center"/>
          </w:tcPr>
          <w:p>
            <w:pPr>
              <w:snapToGrid w:val="0"/>
              <w:jc w:val="center"/>
              <w:rPr>
                <w:rFonts w:ascii="宋体" w:hAnsi="宋体"/>
                <w:sz w:val="24"/>
                <w:szCs w:val="24"/>
              </w:rPr>
            </w:pPr>
            <w:r>
              <w:rPr>
                <w:rFonts w:hint="eastAsia" w:ascii="宋体" w:hAnsi="宋体"/>
                <w:sz w:val="24"/>
                <w:szCs w:val="24"/>
              </w:rPr>
              <w:t>5分</w:t>
            </w:r>
          </w:p>
        </w:tc>
        <w:tc>
          <w:tcPr>
            <w:tcW w:w="1840" w:type="dxa"/>
            <w:vAlign w:val="center"/>
          </w:tcPr>
          <w:p>
            <w:pPr>
              <w:snapToGrid w:val="0"/>
              <w:jc w:val="center"/>
              <w:rPr>
                <w:rFonts w:ascii="宋体" w:hAnsi="宋体"/>
                <w:sz w:val="24"/>
                <w:szCs w:val="24"/>
              </w:rPr>
            </w:pPr>
            <w:r>
              <w:rPr>
                <w:rFonts w:hint="eastAsia" w:ascii="宋体" w:hAnsi="宋体"/>
                <w:sz w:val="24"/>
                <w:szCs w:val="24"/>
              </w:rPr>
              <w:t>1、考核软件设置故障点（3个）来进行排除故障；</w:t>
            </w:r>
          </w:p>
          <w:p>
            <w:pPr>
              <w:snapToGrid w:val="0"/>
              <w:jc w:val="center"/>
              <w:rPr>
                <w:rFonts w:ascii="宋体" w:hAnsi="宋体"/>
                <w:sz w:val="24"/>
                <w:szCs w:val="24"/>
              </w:rPr>
            </w:pPr>
            <w:r>
              <w:rPr>
                <w:rFonts w:hint="eastAsia" w:ascii="宋体" w:hAnsi="宋体"/>
                <w:sz w:val="24"/>
                <w:szCs w:val="24"/>
              </w:rPr>
              <w:t>2、排除故障后操作运行；</w:t>
            </w:r>
          </w:p>
        </w:tc>
        <w:tc>
          <w:tcPr>
            <w:tcW w:w="732" w:type="dxa"/>
            <w:vAlign w:val="center"/>
          </w:tcPr>
          <w:p>
            <w:pPr>
              <w:jc w:val="center"/>
              <w:rPr>
                <w:rFonts w:ascii="宋体" w:hAnsi="宋体"/>
                <w:sz w:val="24"/>
                <w:szCs w:val="24"/>
              </w:rPr>
            </w:pPr>
            <w:r>
              <w:rPr>
                <w:rFonts w:hint="eastAsia" w:ascii="宋体" w:hAnsi="宋体"/>
                <w:sz w:val="24"/>
                <w:szCs w:val="24"/>
              </w:rPr>
              <w:t>5分</w:t>
            </w:r>
          </w:p>
        </w:tc>
        <w:tc>
          <w:tcPr>
            <w:tcW w:w="4229" w:type="dxa"/>
            <w:vAlign w:val="center"/>
          </w:tcPr>
          <w:p>
            <w:pPr>
              <w:rPr>
                <w:rFonts w:ascii="宋体" w:hAnsi="宋体"/>
                <w:sz w:val="24"/>
                <w:szCs w:val="24"/>
              </w:rPr>
            </w:pPr>
            <w:r>
              <w:rPr>
                <w:rFonts w:hint="eastAsia" w:ascii="宋体" w:hAnsi="宋体"/>
                <w:sz w:val="24"/>
                <w:szCs w:val="24"/>
              </w:rPr>
              <w:t>检测工具选用正确，检测方法规范；记录3个故障点的故障现象描述、故障检测和排除过程、故障点描述；排除故障后，系统能按功能正确操作运行。</w:t>
            </w:r>
          </w:p>
          <w:p>
            <w:pPr>
              <w:rPr>
                <w:rFonts w:ascii="宋体" w:hAnsi="宋体"/>
                <w:sz w:val="24"/>
                <w:szCs w:val="24"/>
              </w:rPr>
            </w:pPr>
            <w:r>
              <w:rPr>
                <w:rFonts w:hint="eastAsia" w:ascii="宋体" w:hAnsi="宋体"/>
                <w:sz w:val="24"/>
                <w:szCs w:val="24"/>
              </w:rPr>
              <w:t>① 电气检查故障方法</w:t>
            </w:r>
          </w:p>
          <w:p>
            <w:pPr>
              <w:rPr>
                <w:rFonts w:ascii="宋体" w:hAnsi="宋体"/>
                <w:sz w:val="24"/>
                <w:szCs w:val="24"/>
              </w:rPr>
            </w:pPr>
            <w:r>
              <w:rPr>
                <w:rFonts w:hint="eastAsia" w:ascii="宋体" w:hAnsi="宋体"/>
                <w:sz w:val="24"/>
                <w:szCs w:val="24"/>
              </w:rPr>
              <w:t>② 使用工具检查排除故障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9" w:hRule="atLeast"/>
        </w:trPr>
        <w:tc>
          <w:tcPr>
            <w:tcW w:w="979" w:type="dxa"/>
            <w:vMerge w:val="restart"/>
            <w:vAlign w:val="center"/>
          </w:tcPr>
          <w:p>
            <w:pPr>
              <w:snapToGrid w:val="0"/>
              <w:jc w:val="center"/>
              <w:rPr>
                <w:rFonts w:ascii="宋体" w:hAnsi="宋体"/>
                <w:sz w:val="24"/>
                <w:szCs w:val="24"/>
              </w:rPr>
            </w:pPr>
            <w:r>
              <w:rPr>
                <w:rFonts w:hint="eastAsia" w:ascii="宋体" w:hAnsi="宋体"/>
                <w:sz w:val="24"/>
                <w:szCs w:val="24"/>
              </w:rPr>
              <w:t>职业素养与安全意识</w:t>
            </w:r>
          </w:p>
        </w:tc>
        <w:tc>
          <w:tcPr>
            <w:tcW w:w="833" w:type="dxa"/>
            <w:vMerge w:val="restart"/>
            <w:vAlign w:val="center"/>
          </w:tcPr>
          <w:p>
            <w:pPr>
              <w:snapToGrid w:val="0"/>
              <w:jc w:val="center"/>
              <w:rPr>
                <w:rFonts w:ascii="宋体" w:hAnsi="宋体"/>
                <w:sz w:val="24"/>
                <w:szCs w:val="24"/>
              </w:rPr>
            </w:pPr>
            <w:r>
              <w:rPr>
                <w:rFonts w:hint="eastAsia" w:ascii="宋体" w:hAnsi="宋体"/>
                <w:sz w:val="24"/>
                <w:szCs w:val="24"/>
              </w:rPr>
              <w:t>10分</w:t>
            </w:r>
          </w:p>
        </w:tc>
        <w:tc>
          <w:tcPr>
            <w:tcW w:w="1840" w:type="dxa"/>
            <w:vAlign w:val="center"/>
          </w:tcPr>
          <w:p>
            <w:pPr>
              <w:snapToGrid w:val="0"/>
              <w:jc w:val="center"/>
              <w:rPr>
                <w:rFonts w:ascii="宋体" w:hAnsi="宋体"/>
                <w:sz w:val="24"/>
                <w:szCs w:val="24"/>
              </w:rPr>
            </w:pPr>
            <w:r>
              <w:rPr>
                <w:rFonts w:hint="eastAsia" w:ascii="宋体" w:hAnsi="宋体"/>
                <w:sz w:val="24"/>
                <w:szCs w:val="24"/>
              </w:rPr>
              <w:t>安全</w:t>
            </w:r>
          </w:p>
        </w:tc>
        <w:tc>
          <w:tcPr>
            <w:tcW w:w="732" w:type="dxa"/>
            <w:vAlign w:val="center"/>
          </w:tcPr>
          <w:p>
            <w:pPr>
              <w:snapToGrid w:val="0"/>
              <w:jc w:val="center"/>
              <w:rPr>
                <w:rFonts w:ascii="宋体" w:hAnsi="宋体"/>
                <w:sz w:val="24"/>
                <w:szCs w:val="24"/>
              </w:rPr>
            </w:pPr>
            <w:r>
              <w:rPr>
                <w:rFonts w:hint="eastAsia" w:ascii="宋体" w:hAnsi="宋体"/>
                <w:sz w:val="24"/>
                <w:szCs w:val="24"/>
              </w:rPr>
              <w:t>5分</w:t>
            </w:r>
          </w:p>
        </w:tc>
        <w:tc>
          <w:tcPr>
            <w:tcW w:w="4229" w:type="dxa"/>
            <w:vAlign w:val="center"/>
          </w:tcPr>
          <w:p>
            <w:pPr>
              <w:snapToGrid w:val="0"/>
              <w:rPr>
                <w:rFonts w:ascii="宋体" w:hAnsi="宋体"/>
                <w:sz w:val="24"/>
                <w:szCs w:val="24"/>
              </w:rPr>
            </w:pPr>
            <w:r>
              <w:rPr>
                <w:rFonts w:hint="eastAsia" w:ascii="宋体" w:hAnsi="宋体"/>
                <w:sz w:val="24"/>
                <w:szCs w:val="24"/>
              </w:rPr>
              <w:t>现场操作安全保护符合安全操作规程、穿戴符合职业岗位要求；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规范</w:t>
            </w:r>
          </w:p>
        </w:tc>
        <w:tc>
          <w:tcPr>
            <w:tcW w:w="732" w:type="dxa"/>
            <w:vAlign w:val="center"/>
          </w:tcPr>
          <w:p>
            <w:pPr>
              <w:snapToGrid w:val="0"/>
              <w:jc w:val="center"/>
              <w:rPr>
                <w:rFonts w:ascii="宋体" w:hAnsi="宋体"/>
                <w:sz w:val="24"/>
                <w:szCs w:val="24"/>
              </w:rPr>
            </w:pPr>
            <w:r>
              <w:rPr>
                <w:rFonts w:hint="eastAsia" w:ascii="宋体" w:hAnsi="宋体"/>
                <w:sz w:val="24"/>
                <w:szCs w:val="24"/>
              </w:rPr>
              <w:t>3分</w:t>
            </w:r>
          </w:p>
        </w:tc>
        <w:tc>
          <w:tcPr>
            <w:tcW w:w="4229" w:type="dxa"/>
            <w:vAlign w:val="center"/>
          </w:tcPr>
          <w:p>
            <w:pPr>
              <w:snapToGrid w:val="0"/>
              <w:rPr>
                <w:rFonts w:ascii="宋体" w:hAnsi="宋体"/>
                <w:sz w:val="24"/>
                <w:szCs w:val="24"/>
              </w:rPr>
            </w:pPr>
            <w:r>
              <w:rPr>
                <w:rFonts w:hint="eastAsia" w:ascii="宋体" w:hAnsi="宋体"/>
                <w:sz w:val="24"/>
                <w:szCs w:val="24"/>
              </w:rPr>
              <w:t>工具比赛过程中和赛后未摆放整齐、节约使用耗材；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979" w:type="dxa"/>
            <w:vMerge w:val="continue"/>
            <w:vAlign w:val="center"/>
          </w:tcPr>
          <w:p>
            <w:pPr>
              <w:snapToGrid w:val="0"/>
              <w:jc w:val="center"/>
              <w:rPr>
                <w:rFonts w:ascii="宋体" w:hAnsi="宋体"/>
                <w:sz w:val="24"/>
                <w:szCs w:val="24"/>
              </w:rPr>
            </w:pPr>
          </w:p>
        </w:tc>
        <w:tc>
          <w:tcPr>
            <w:tcW w:w="833" w:type="dxa"/>
            <w:vMerge w:val="continue"/>
          </w:tcPr>
          <w:p>
            <w:pPr>
              <w:snapToGrid w:val="0"/>
              <w:jc w:val="center"/>
              <w:rPr>
                <w:rFonts w:ascii="宋体" w:hAnsi="宋体"/>
                <w:sz w:val="24"/>
                <w:szCs w:val="24"/>
              </w:rPr>
            </w:pPr>
          </w:p>
        </w:tc>
        <w:tc>
          <w:tcPr>
            <w:tcW w:w="1840" w:type="dxa"/>
            <w:vAlign w:val="center"/>
          </w:tcPr>
          <w:p>
            <w:pPr>
              <w:snapToGrid w:val="0"/>
              <w:jc w:val="center"/>
              <w:rPr>
                <w:rFonts w:ascii="宋体" w:hAnsi="宋体"/>
                <w:sz w:val="24"/>
                <w:szCs w:val="24"/>
              </w:rPr>
            </w:pPr>
            <w:r>
              <w:rPr>
                <w:rFonts w:hint="eastAsia" w:ascii="宋体" w:hAnsi="宋体"/>
                <w:sz w:val="24"/>
                <w:szCs w:val="24"/>
              </w:rPr>
              <w:t>纪律</w:t>
            </w:r>
          </w:p>
        </w:tc>
        <w:tc>
          <w:tcPr>
            <w:tcW w:w="732" w:type="dxa"/>
            <w:vAlign w:val="center"/>
          </w:tcPr>
          <w:p>
            <w:pPr>
              <w:snapToGrid w:val="0"/>
              <w:jc w:val="center"/>
              <w:rPr>
                <w:rFonts w:ascii="宋体" w:hAnsi="宋体"/>
                <w:sz w:val="24"/>
                <w:szCs w:val="24"/>
              </w:rPr>
            </w:pPr>
            <w:r>
              <w:rPr>
                <w:rFonts w:hint="eastAsia" w:ascii="宋体" w:hAnsi="宋体"/>
                <w:sz w:val="24"/>
                <w:szCs w:val="24"/>
              </w:rPr>
              <w:t>2分</w:t>
            </w:r>
          </w:p>
        </w:tc>
        <w:tc>
          <w:tcPr>
            <w:tcW w:w="4229" w:type="dxa"/>
            <w:vAlign w:val="center"/>
          </w:tcPr>
          <w:p>
            <w:pPr>
              <w:snapToGrid w:val="0"/>
              <w:rPr>
                <w:rFonts w:ascii="宋体" w:hAnsi="宋体"/>
                <w:sz w:val="24"/>
                <w:szCs w:val="24"/>
              </w:rPr>
            </w:pPr>
            <w:r>
              <w:rPr>
                <w:rFonts w:hint="eastAsia" w:ascii="宋体" w:hAnsi="宋体"/>
                <w:sz w:val="24"/>
                <w:szCs w:val="24"/>
              </w:rPr>
              <w:t>爱惜赛场的设备和器材，保持赛位的整洁。团队有分工有合作，遵守竞赛纪律，尊重裁判员、工作人员等。</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（六）选手名次排列</w:t>
      </w:r>
    </w:p>
    <w:p>
      <w:pPr>
        <w:snapToGrid w:val="0"/>
        <w:spacing w:line="560" w:lineRule="exact"/>
        <w:ind w:firstLine="600" w:firstLineChars="200"/>
        <w:rPr>
          <w:rFonts w:ascii="Arial Narrow" w:hAnsi="Arial Narrow" w:eastAsia="仿宋_GB2312" w:cs="Arial"/>
          <w:sz w:val="30"/>
          <w:szCs w:val="30"/>
        </w:rPr>
      </w:pPr>
      <w:r>
        <w:rPr>
          <w:rFonts w:hint="eastAsia" w:ascii="仿宋_GB2312" w:hAnsi="仿宋_GB2312" w:eastAsia="仿宋_GB2312" w:cs="仿宋_GB2312"/>
          <w:sz w:val="30"/>
          <w:szCs w:val="30"/>
        </w:rPr>
        <w:t>按竞赛成绩从高到低排列参赛选手的名次。竞赛成绩相同，完成工作任务所用时间少的名次在前；竞赛成绩和完成工作任务用时相同，名次并列。</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（一）参赛选手奖励</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本赛项设置团体一、二、三等奖，以赛项实际参赛队总数为基数，一、二、三等奖获奖比例分别为</w:t>
      </w:r>
      <w:r>
        <w:rPr>
          <w:rFonts w:ascii="仿宋_GB2312" w:hAnsi="仿宋_GB2312" w:eastAsia="仿宋_GB2312" w:cs="仿宋_GB2312"/>
          <w:sz w:val="30"/>
          <w:szCs w:val="30"/>
        </w:rPr>
        <w:t>10%</w:t>
      </w:r>
      <w:r>
        <w:rPr>
          <w:rFonts w:hint="eastAsia" w:ascii="仿宋_GB2312" w:hAnsi="仿宋_GB2312" w:eastAsia="仿宋_GB2312" w:cs="仿宋_GB2312"/>
          <w:sz w:val="30"/>
          <w:szCs w:val="30"/>
        </w:rPr>
        <w:t>、</w:t>
      </w:r>
      <w:r>
        <w:rPr>
          <w:rFonts w:ascii="仿宋_GB2312" w:hAnsi="仿宋_GB2312" w:eastAsia="仿宋_GB2312" w:cs="仿宋_GB2312"/>
          <w:sz w:val="30"/>
          <w:szCs w:val="30"/>
        </w:rPr>
        <w:t>20%</w:t>
      </w:r>
      <w:r>
        <w:rPr>
          <w:rFonts w:hint="eastAsia" w:ascii="仿宋_GB2312" w:hAnsi="仿宋_GB2312" w:eastAsia="仿宋_GB2312" w:cs="仿宋_GB2312"/>
          <w:sz w:val="30"/>
          <w:szCs w:val="30"/>
        </w:rPr>
        <w:t>、</w:t>
      </w:r>
      <w:r>
        <w:rPr>
          <w:rFonts w:ascii="仿宋_GB2312" w:hAnsi="仿宋_GB2312" w:eastAsia="仿宋_GB2312" w:cs="仿宋_GB2312"/>
          <w:sz w:val="30"/>
          <w:szCs w:val="30"/>
        </w:rPr>
        <w:t>30%</w:t>
      </w:r>
      <w:r>
        <w:rPr>
          <w:rFonts w:hint="eastAsia" w:ascii="仿宋_GB2312" w:hAnsi="仿宋_GB2312" w:eastAsia="仿宋_GB2312" w:cs="仿宋_GB2312"/>
          <w:sz w:val="30"/>
          <w:szCs w:val="30"/>
        </w:rPr>
        <w:t>（小数点后四舍五入）。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（二）指导教师奖励</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获得一等奖的参赛队的指导教师获“优秀指导教师奖”。</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十二、技术规范</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高职电气自动化技术、电气设备应用与维护、机电一体化技术、低压电器制造及应用、供用电技术、农村电气化技术、电气测控技术、工业网络技术、电气化铁道技术、光机电应用技术、建筑水电技术等相关专业所规定的教学内容中涉及到继电控制技术、PLC及通讯技术、触摸屏组态控制技术、PWM控制技术、交直流调速控制技术、传感器技术、编码器、异步电动机、特种电机、数控装置等方面的知识和技能要求。</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赛项所涉及专业的岗位面向包括电气控制系统安装与调试与维护岗位，所针对的职业工种为电工。</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GB50303—2002《建筑电气工程施工质量验收规范》</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GB50254—1996《电气装置安装工程低压电器施工及验收规范》</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GB/T 6988.1-2008《电气图形符》</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GB/T4728.1-2005《电气简图用图形符号》</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GB/T5465.2-1996《电气设备用图形符号》</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GB/T7159-1987《电气技术中的文字符号制订通则》</w:t>
      </w:r>
    </w:p>
    <w:p>
      <w:pPr>
        <w:snapToGrid w:val="0"/>
        <w:spacing w:line="560" w:lineRule="exact"/>
        <w:ind w:firstLine="420" w:firstLineChars="200"/>
        <w:rPr>
          <w:rFonts w:ascii="仿宋_GB2312" w:hAnsi="仿宋_GB2312" w:eastAsia="仿宋_GB2312" w:cs="仿宋_GB2312"/>
          <w:sz w:val="30"/>
          <w:szCs w:val="30"/>
        </w:rPr>
      </w:pPr>
      <w:r>
        <w:fldChar w:fldCharType="begin"/>
      </w:r>
      <w:r>
        <w:instrText xml:space="preserve"> HYPERLINK "http://www.pv265.com/gjbz/201201/22925.html" </w:instrText>
      </w:r>
      <w:r>
        <w:fldChar w:fldCharType="separate"/>
      </w:r>
      <w:r>
        <w:rPr>
          <w:rFonts w:hint="eastAsia" w:ascii="仿宋_GB2312" w:hAnsi="仿宋_GB2312" w:eastAsia="仿宋_GB2312" w:cs="仿宋_GB2312"/>
          <w:sz w:val="30"/>
          <w:szCs w:val="30"/>
        </w:rPr>
        <w:t xml:space="preserve">GB 21746-2008 </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 xml:space="preserve"> 《教学仪器设备安全要求总则》</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GB21748-2008  《教学仪器设备安全要求 仪器和零部件的基本要求》</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十三、建议使用的比赛器材、技术平台和场地要求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（一）建议使用的竞赛器材、技术平台</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建议使用“现代电气控制系统安装与调试实训考核装置”。现代电气控制系统安装与调试实训考核装置是一款可满足多层次教学的实训考核设备，强化了多种电气控制（拖动）方式，实现了信息层（组态）、控制层（组态）、设备层多层次控制。具有比以往实训教学设备所更加完善的配置和更为完整功能。</w:t>
      </w:r>
    </w:p>
    <w:p>
      <w:pPr>
        <w:ind w:firstLine="420" w:firstLineChars="200"/>
        <w:jc w:val="center"/>
        <w:rPr>
          <w:rFonts w:ascii="仿宋_GB2312" w:hAnsi="仿宋_GB2312" w:eastAsia="仿宋_GB2312" w:cs="仿宋_GB2312"/>
          <w:sz w:val="30"/>
          <w:szCs w:val="30"/>
        </w:rPr>
      </w:pPr>
      <w:r>
        <w:rPr>
          <w:rFonts w:hint="eastAsia" w:eastAsiaTheme="minorEastAsia"/>
        </w:rPr>
        <w:drawing>
          <wp:inline distT="0" distB="0" distL="114300" distR="114300">
            <wp:extent cx="1354455" cy="2825750"/>
            <wp:effectExtent l="0" t="0" r="17145" b="12700"/>
            <wp:docPr id="14" name="图片 14" descr="DSC_8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SC_8277"/>
                    <pic:cNvPicPr>
                      <a:picLocks noChangeAspect="1"/>
                    </pic:cNvPicPr>
                  </pic:nvPicPr>
                  <pic:blipFill>
                    <a:blip r:embed="rId18" cstate="print"/>
                    <a:srcRect l="36869" t="18722" r="41552" b="15272"/>
                    <a:stretch>
                      <a:fillRect/>
                    </a:stretch>
                  </pic:blipFill>
                  <pic:spPr>
                    <a:xfrm>
                      <a:off x="0" y="0"/>
                      <a:ext cx="1354455" cy="2825750"/>
                    </a:xfrm>
                    <a:prstGeom prst="rect">
                      <a:avLst/>
                    </a:prstGeom>
                  </pic:spPr>
                </pic:pic>
              </a:graphicData>
            </a:graphic>
          </wp:inline>
        </w:drawing>
      </w:r>
      <w:r>
        <w:rPr>
          <w:rFonts w:hint="eastAsia" w:eastAsiaTheme="minorEastAsia"/>
        </w:rPr>
        <w:drawing>
          <wp:inline distT="0" distB="0" distL="114300" distR="114300">
            <wp:extent cx="1304925" cy="2713355"/>
            <wp:effectExtent l="0" t="0" r="9525" b="0"/>
            <wp:docPr id="15" name="图片 15" descr="DSC_8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SC_8269"/>
                    <pic:cNvPicPr>
                      <a:picLocks noChangeAspect="1"/>
                    </pic:cNvPicPr>
                  </pic:nvPicPr>
                  <pic:blipFill>
                    <a:blip r:embed="rId19" cstate="print"/>
                    <a:srcRect l="34935" t="15283" r="40249" b="15975"/>
                    <a:stretch>
                      <a:fillRect/>
                    </a:stretch>
                  </pic:blipFill>
                  <pic:spPr>
                    <a:xfrm>
                      <a:off x="0" y="0"/>
                      <a:ext cx="1304925" cy="2713355"/>
                    </a:xfrm>
                    <a:prstGeom prst="rect">
                      <a:avLst/>
                    </a:prstGeom>
                  </pic:spPr>
                </pic:pic>
              </a:graphicData>
            </a:graphic>
          </wp:inline>
        </w:drawing>
      </w:r>
    </w:p>
    <w:p>
      <w:pPr>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正面                反面</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多参量实时手工给定（如速度实时变化给定、温度变化实时给定、距离变化实时给定等），实现了系统控制的实时控制，真实的模拟和反映了工业控制的过程，实训内容广泛、变化多样，是一款典型的职业能力培养设备，通过在该设备上实训，可使学生职业能力得到大幅度提升。</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现代电气控制系统安装与调试实训考核装置是由控制台、受控对象台架组成一个完整系统，具有占地面积小、操作方便、可移动、内部安装有照明设施、操作面板各控制点和通讯接口均引出到后部专用的接线板上，使实训使用方便；其控制元件（如PLC、变频器、接触器等）采用导轨式安装，竞赛实训时可根据需要进行合理的调整安装，布线采用工业线槽板前布线方式，设备的进出线采用塑料软管及接头与受控对象进行连接，受控对象采用外置方式便于观察等特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（二）竞赛使用器材、技术平台的基本配置</w:t>
      </w:r>
    </w:p>
    <w:p>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电气控制系统实训考核装置主要配置表</w:t>
      </w:r>
    </w:p>
    <w:tbl>
      <w:tblPr>
        <w:tblStyle w:val="9"/>
        <w:tblW w:w="8672" w:type="dxa"/>
        <w:jc w:val="center"/>
        <w:tblInd w:w="0" w:type="dxa"/>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41"/>
        <w:gridCol w:w="1527"/>
        <w:gridCol w:w="1417"/>
        <w:gridCol w:w="709"/>
        <w:gridCol w:w="1276"/>
        <w:gridCol w:w="3002"/>
      </w:tblGrid>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 w:val="24"/>
                <w:szCs w:val="24"/>
              </w:rPr>
            </w:pPr>
            <w:r>
              <w:rPr>
                <w:rFonts w:hint="eastAsia" w:ascii="宋体" w:hAnsi="宋体" w:cs="宋体"/>
                <w:b/>
                <w:sz w:val="24"/>
                <w:szCs w:val="24"/>
              </w:rPr>
              <w:t>序号</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b/>
                <w:sz w:val="24"/>
                <w:szCs w:val="24"/>
              </w:rPr>
            </w:pPr>
            <w:r>
              <w:rPr>
                <w:rFonts w:hint="eastAsia" w:ascii="宋体" w:hAnsi="宋体" w:cs="宋体"/>
                <w:b/>
                <w:sz w:val="24"/>
                <w:szCs w:val="24"/>
              </w:rPr>
              <w:t>名称</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b/>
                <w:sz w:val="24"/>
                <w:szCs w:val="24"/>
              </w:rPr>
            </w:pPr>
            <w:r>
              <w:rPr>
                <w:rFonts w:hint="eastAsia" w:ascii="宋体" w:hAnsi="宋体" w:cs="宋体"/>
                <w:b/>
                <w:sz w:val="24"/>
                <w:szCs w:val="24"/>
              </w:rPr>
              <w:t>型号及规格</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 w:val="24"/>
                <w:szCs w:val="24"/>
              </w:rPr>
            </w:pPr>
            <w:r>
              <w:rPr>
                <w:rFonts w:hint="eastAsia" w:ascii="宋体" w:hAnsi="宋体" w:cs="宋体"/>
                <w:b/>
                <w:sz w:val="24"/>
                <w:szCs w:val="24"/>
              </w:rPr>
              <w:t>数量</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 w:val="24"/>
                <w:szCs w:val="24"/>
              </w:rPr>
            </w:pPr>
            <w:r>
              <w:rPr>
                <w:rFonts w:hint="eastAsia" w:ascii="宋体" w:hAnsi="宋体" w:cs="宋体"/>
                <w:b/>
                <w:sz w:val="24"/>
                <w:szCs w:val="24"/>
              </w:rPr>
              <w:t>制造商</w:t>
            </w:r>
          </w:p>
        </w:tc>
        <w:tc>
          <w:tcPr>
            <w:tcW w:w="3002" w:type="dxa"/>
            <w:tcBorders>
              <w:top w:val="single" w:color="auto" w:sz="4" w:space="0"/>
              <w:left w:val="single" w:color="auto" w:sz="4" w:space="0"/>
              <w:bottom w:val="single" w:color="auto" w:sz="4" w:space="0"/>
              <w:right w:val="single" w:color="auto" w:sz="4" w:space="0"/>
            </w:tcBorders>
            <w:vAlign w:val="center"/>
          </w:tcPr>
          <w:p>
            <w:pPr>
              <w:ind w:firstLine="211"/>
              <w:jc w:val="center"/>
              <w:rPr>
                <w:rFonts w:ascii="宋体" w:hAnsi="宋体" w:cs="宋体"/>
                <w:b/>
                <w:sz w:val="24"/>
                <w:szCs w:val="24"/>
              </w:rPr>
            </w:pPr>
            <w:r>
              <w:rPr>
                <w:rFonts w:hint="eastAsia" w:ascii="宋体" w:hAnsi="宋体" w:cs="宋体"/>
                <w:b/>
                <w:sz w:val="24"/>
                <w:szCs w:val="24"/>
              </w:rPr>
              <w:t>备注</w:t>
            </w: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702"/>
              <w:jc w:val="center"/>
              <w:rPr>
                <w:rFonts w:ascii="宋体" w:hAnsi="宋体" w:cs="宋体"/>
                <w:sz w:val="24"/>
                <w:szCs w:val="24"/>
              </w:rPr>
            </w:pPr>
            <w:r>
              <w:rPr>
                <w:rFonts w:hint="eastAsia" w:ascii="宋体" w:hAnsi="宋体" w:cs="宋体"/>
                <w:sz w:val="24"/>
                <w:szCs w:val="24"/>
              </w:rPr>
              <w:t>21</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实训柜</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850mm×800mm×1800mm</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1台</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浙江亚龙</w:t>
            </w: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钢结构柜体,带自锁脚轮,作为电气控制系统的机械和电气设备的安装载体。</w:t>
            </w: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211"/>
              <w:rPr>
                <w:rFonts w:ascii="宋体" w:hAnsi="宋体" w:cs="宋体"/>
                <w:sz w:val="24"/>
                <w:szCs w:val="24"/>
              </w:rPr>
            </w:pPr>
            <w:r>
              <w:rPr>
                <w:rFonts w:hint="eastAsia" w:ascii="宋体" w:hAnsi="宋体" w:cs="宋体"/>
                <w:sz w:val="24"/>
                <w:szCs w:val="24"/>
              </w:rPr>
              <w:t>2</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主令电气及仪表单元</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158GA1-BM1</w:t>
            </w:r>
          </w:p>
          <w:p>
            <w:pPr>
              <w:rPr>
                <w:rFonts w:ascii="宋体" w:hAnsi="宋体" w:cs="宋体"/>
                <w:sz w:val="24"/>
                <w:szCs w:val="24"/>
              </w:rPr>
            </w:pPr>
            <w:r>
              <w:rPr>
                <w:rFonts w:hint="eastAsia" w:ascii="宋体" w:hAnsi="宋体" w:cs="宋体"/>
                <w:sz w:val="24"/>
                <w:szCs w:val="24"/>
              </w:rPr>
              <w:t>158GA1-BM2</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各1套</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浙江亚龙</w:t>
            </w: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包括进线电源控制与保护、主令电气控制元件、指示灯、触摸屏、显示仪表、紧急停止按钮等器件。</w:t>
            </w: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211"/>
              <w:rPr>
                <w:rFonts w:ascii="宋体" w:hAnsi="宋体" w:cs="宋体"/>
                <w:sz w:val="24"/>
                <w:szCs w:val="24"/>
              </w:rPr>
            </w:pPr>
            <w:r>
              <w:rPr>
                <w:rFonts w:hint="eastAsia" w:ascii="宋体" w:hAnsi="宋体" w:cs="宋体"/>
                <w:sz w:val="24"/>
                <w:szCs w:val="24"/>
              </w:rPr>
              <w:t>3</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PLC控制单元挂板</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158GA1-B1</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1套</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浙江亚龙</w:t>
            </w: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包括PLC、模拟量模块、扩展模块，4-20mA标准恒流源、0-10V标准恒压源、数字式显示仪表、台达伺服驱动器、步科步进驱动器等器件。</w:t>
            </w: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211"/>
              <w:rPr>
                <w:rFonts w:ascii="宋体" w:hAnsi="宋体" w:cs="宋体"/>
                <w:sz w:val="24"/>
                <w:szCs w:val="24"/>
              </w:rPr>
            </w:pPr>
            <w:r>
              <w:rPr>
                <w:rFonts w:hint="eastAsia" w:ascii="宋体" w:hAnsi="宋体" w:cs="宋体"/>
                <w:sz w:val="24"/>
                <w:szCs w:val="24"/>
              </w:rPr>
              <w:t>4</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继电控制单元挂板</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158GA1-B2</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1套</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浙江亚龙</w:t>
            </w: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包括断路器、熔断器、接触器、继电器等。同时还安装由伺服、步进电机驱动的（可相互转换）、传感器、微动开关、滚珠丝杠、增量型编码器组成的小车运动装置。</w:t>
            </w: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211"/>
              <w:rPr>
                <w:rFonts w:ascii="宋体" w:hAnsi="宋体" w:cs="宋体"/>
                <w:sz w:val="24"/>
                <w:szCs w:val="24"/>
              </w:rPr>
            </w:pPr>
            <w:r>
              <w:rPr>
                <w:rFonts w:hint="eastAsia" w:ascii="宋体" w:hAnsi="宋体" w:cs="宋体"/>
                <w:sz w:val="24"/>
                <w:szCs w:val="24"/>
              </w:rPr>
              <w:t>5</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典型机床电路智能考核单元挂板</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WK107</w:t>
            </w:r>
          </w:p>
          <w:p>
            <w:pPr>
              <w:rPr>
                <w:rFonts w:ascii="宋体" w:hAnsi="宋体" w:cs="宋体"/>
                <w:sz w:val="24"/>
                <w:szCs w:val="24"/>
              </w:rPr>
            </w:pPr>
            <w:r>
              <w:rPr>
                <w:rFonts w:hint="eastAsia" w:ascii="宋体" w:hAnsi="宋体" w:cs="宋体"/>
                <w:sz w:val="24"/>
                <w:szCs w:val="24"/>
              </w:rPr>
              <w:t>WK108</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1套</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浙江亚龙</w:t>
            </w: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 w:val="24"/>
                <w:szCs w:val="24"/>
              </w:rPr>
            </w:pPr>
            <w:r>
              <w:rPr>
                <w:rFonts w:hint="eastAsia" w:ascii="宋体" w:hAnsi="宋体" w:cs="宋体"/>
                <w:sz w:val="24"/>
                <w:szCs w:val="24"/>
              </w:rPr>
              <w:t>包括X62W铣床电路、T68镗床电路。电脑智能考核。</w:t>
            </w: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211"/>
              <w:rPr>
                <w:rFonts w:ascii="宋体" w:hAnsi="宋体" w:cs="宋体"/>
                <w:sz w:val="24"/>
                <w:szCs w:val="24"/>
              </w:rPr>
            </w:pPr>
            <w:r>
              <w:rPr>
                <w:rFonts w:hint="eastAsia" w:ascii="宋体" w:hAnsi="宋体" w:cs="宋体"/>
                <w:sz w:val="24"/>
                <w:szCs w:val="24"/>
              </w:rPr>
              <w:t>6</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可编程控制器</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PLC（三种配置方案可选一种）</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1套</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西门子、</w:t>
            </w:r>
          </w:p>
          <w:p>
            <w:pPr>
              <w:rPr>
                <w:rFonts w:ascii="宋体" w:hAnsi="宋体" w:cs="宋体"/>
                <w:sz w:val="24"/>
                <w:szCs w:val="24"/>
              </w:rPr>
            </w:pPr>
            <w:r>
              <w:rPr>
                <w:rFonts w:hint="eastAsia" w:ascii="宋体" w:hAnsi="宋体" w:cs="宋体"/>
                <w:sz w:val="24"/>
                <w:szCs w:val="24"/>
              </w:rPr>
              <w:t>三菱</w:t>
            </w:r>
          </w:p>
          <w:p>
            <w:pPr>
              <w:rPr>
                <w:rFonts w:ascii="宋体" w:hAnsi="宋体" w:cs="宋体"/>
                <w:sz w:val="24"/>
                <w:szCs w:val="24"/>
              </w:rPr>
            </w:pPr>
            <w:r>
              <w:rPr>
                <w:rFonts w:hint="eastAsia" w:ascii="宋体" w:hAnsi="宋体" w:cs="宋体"/>
                <w:sz w:val="24"/>
                <w:szCs w:val="24"/>
              </w:rPr>
              <w:t>汇川</w:t>
            </w: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见附表一</w:t>
            </w: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211"/>
              <w:rPr>
                <w:rFonts w:ascii="宋体" w:hAnsi="宋体" w:cs="宋体"/>
                <w:sz w:val="24"/>
                <w:szCs w:val="24"/>
              </w:rPr>
            </w:pPr>
            <w:r>
              <w:rPr>
                <w:rFonts w:hint="eastAsia" w:ascii="宋体" w:hAnsi="宋体" w:cs="宋体"/>
                <w:sz w:val="24"/>
                <w:szCs w:val="24"/>
              </w:rPr>
              <w:t>7</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变频器</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和PLC主机配型</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1套</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西门子、</w:t>
            </w:r>
          </w:p>
          <w:p>
            <w:pPr>
              <w:rPr>
                <w:rFonts w:ascii="宋体" w:hAnsi="宋体" w:cs="宋体"/>
                <w:sz w:val="24"/>
                <w:szCs w:val="24"/>
              </w:rPr>
            </w:pPr>
            <w:r>
              <w:rPr>
                <w:rFonts w:hint="eastAsia" w:ascii="宋体" w:hAnsi="宋体" w:cs="宋体"/>
                <w:sz w:val="24"/>
                <w:szCs w:val="24"/>
              </w:rPr>
              <w:t>三菱</w:t>
            </w:r>
          </w:p>
          <w:p>
            <w:pPr>
              <w:rPr>
                <w:rFonts w:ascii="宋体" w:hAnsi="宋体" w:cs="宋体"/>
                <w:sz w:val="24"/>
                <w:szCs w:val="24"/>
              </w:rPr>
            </w:pPr>
            <w:r>
              <w:rPr>
                <w:rFonts w:hint="eastAsia" w:ascii="宋体" w:hAnsi="宋体" w:cs="宋体"/>
                <w:sz w:val="24"/>
                <w:szCs w:val="24"/>
              </w:rPr>
              <w:t>汇川</w:t>
            </w: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见附表二</w:t>
            </w: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211"/>
              <w:rPr>
                <w:rFonts w:ascii="宋体" w:hAnsi="宋体" w:cs="宋体"/>
                <w:sz w:val="24"/>
                <w:szCs w:val="24"/>
              </w:rPr>
            </w:pPr>
            <w:r>
              <w:rPr>
                <w:rFonts w:hint="eastAsia" w:ascii="宋体" w:hAnsi="宋体" w:cs="宋体"/>
                <w:sz w:val="24"/>
                <w:szCs w:val="24"/>
              </w:rPr>
              <w:t>8</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 w:val="24"/>
                <w:szCs w:val="24"/>
              </w:rPr>
            </w:pPr>
            <w:r>
              <w:rPr>
                <w:rFonts w:hint="eastAsia" w:ascii="宋体" w:hAnsi="宋体" w:cs="宋体"/>
                <w:color w:val="000000"/>
                <w:sz w:val="24"/>
                <w:szCs w:val="24"/>
              </w:rPr>
              <w:t>触摸屏</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24"/>
                <w:szCs w:val="24"/>
              </w:rPr>
            </w:pPr>
            <w:r>
              <w:rPr>
                <w:rFonts w:hint="eastAsia" w:ascii="宋体" w:hAnsi="宋体" w:cs="宋体"/>
                <w:color w:val="000000"/>
                <w:sz w:val="24"/>
                <w:szCs w:val="24"/>
              </w:rPr>
              <w:t>1台</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昆仑通态</w:t>
            </w: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7寸彩屏 TPC7062TI</w:t>
            </w: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211"/>
              <w:rPr>
                <w:rFonts w:ascii="宋体" w:hAnsi="宋体" w:cs="宋体"/>
                <w:sz w:val="24"/>
                <w:szCs w:val="24"/>
              </w:rPr>
            </w:pPr>
            <w:r>
              <w:rPr>
                <w:rFonts w:hint="eastAsia" w:ascii="宋体" w:hAnsi="宋体" w:cs="宋体"/>
                <w:sz w:val="24"/>
                <w:szCs w:val="24"/>
              </w:rPr>
              <w:t>9</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电脑推车</w:t>
            </w:r>
          </w:p>
        </w:tc>
        <w:tc>
          <w:tcPr>
            <w:tcW w:w="141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1张</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亚龙</w:t>
            </w: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p>
        </w:tc>
      </w:tr>
      <w:tr>
        <w:tblPrEx>
          <w:tblBorders>
            <w:top w:val="single" w:color="auto" w:sz="24" w:space="0"/>
            <w:left w:val="none" w:color="auto" w:sz="0" w:space="0"/>
            <w:bottom w:val="single" w:color="auto" w:sz="2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741" w:type="dxa"/>
            <w:tcBorders>
              <w:top w:val="single" w:color="auto" w:sz="4" w:space="0"/>
              <w:left w:val="single" w:color="auto" w:sz="4" w:space="0"/>
              <w:bottom w:val="single" w:color="auto" w:sz="4" w:space="0"/>
              <w:right w:val="single" w:color="auto" w:sz="4" w:space="0"/>
            </w:tcBorders>
            <w:vAlign w:val="center"/>
          </w:tcPr>
          <w:p>
            <w:pPr>
              <w:ind w:firstLine="211"/>
              <w:rPr>
                <w:rFonts w:ascii="宋体" w:hAnsi="宋体" w:cs="宋体"/>
                <w:sz w:val="24"/>
                <w:szCs w:val="24"/>
              </w:rPr>
            </w:pPr>
            <w:r>
              <w:rPr>
                <w:rFonts w:hint="eastAsia" w:ascii="宋体" w:hAnsi="宋体" w:cs="宋体"/>
                <w:sz w:val="24"/>
                <w:szCs w:val="24"/>
              </w:rPr>
              <w:t>10</w:t>
            </w:r>
          </w:p>
        </w:tc>
        <w:tc>
          <w:tcPr>
            <w:tcW w:w="15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工具</w:t>
            </w:r>
          </w:p>
        </w:tc>
        <w:tc>
          <w:tcPr>
            <w:tcW w:w="1417" w:type="dxa"/>
            <w:tcBorders>
              <w:top w:val="single" w:color="auto" w:sz="4" w:space="0"/>
              <w:left w:val="single" w:color="auto" w:sz="4" w:space="0"/>
              <w:bottom w:val="single" w:color="auto" w:sz="4" w:space="0"/>
              <w:right w:val="single" w:color="auto" w:sz="4" w:space="0"/>
            </w:tcBorders>
            <w:vAlign w:val="center"/>
          </w:tcPr>
          <w:p>
            <w:pPr>
              <w:ind w:firstLine="210"/>
              <w:rPr>
                <w:rFonts w:ascii="宋体" w:hAnsi="宋体" w:cs="宋体"/>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hint="eastAsia" w:ascii="宋体" w:hAnsi="宋体" w:cs="宋体"/>
                <w:sz w:val="24"/>
                <w:szCs w:val="24"/>
              </w:rPr>
              <w:t>1套</w:t>
            </w:r>
          </w:p>
        </w:tc>
        <w:tc>
          <w:tcPr>
            <w:tcW w:w="1276" w:type="dxa"/>
            <w:tcBorders>
              <w:top w:val="single" w:color="auto" w:sz="4" w:space="0"/>
              <w:left w:val="single" w:color="auto" w:sz="4" w:space="0"/>
              <w:bottom w:val="single" w:color="auto" w:sz="4" w:space="0"/>
              <w:right w:val="single" w:color="auto" w:sz="4" w:space="0"/>
            </w:tcBorders>
            <w:vAlign w:val="center"/>
          </w:tcPr>
          <w:p>
            <w:pPr>
              <w:ind w:firstLine="210"/>
              <w:jc w:val="center"/>
              <w:rPr>
                <w:rFonts w:ascii="宋体" w:hAnsi="宋体" w:cs="宋体"/>
                <w:sz w:val="24"/>
                <w:szCs w:val="24"/>
              </w:rPr>
            </w:pPr>
          </w:p>
        </w:tc>
        <w:tc>
          <w:tcPr>
            <w:tcW w:w="3002"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szCs w:val="24"/>
              </w:rPr>
            </w:pPr>
            <w:r>
              <w:rPr>
                <w:rFonts w:hint="eastAsia" w:ascii="宋体" w:hAnsi="宋体" w:cs="宋体"/>
                <w:sz w:val="24"/>
                <w:szCs w:val="24"/>
              </w:rPr>
              <w:t>见附表三</w:t>
            </w:r>
          </w:p>
        </w:tc>
      </w:tr>
    </w:tbl>
    <w:p>
      <w:pPr>
        <w:spacing w:line="560" w:lineRule="exact"/>
        <w:rPr>
          <w:rFonts w:ascii="仿宋_GB2312" w:hAnsi="仿宋_GB2312" w:eastAsia="仿宋_GB2312" w:cs="仿宋_GB2312"/>
          <w:bCs/>
          <w:sz w:val="30"/>
          <w:szCs w:val="30"/>
        </w:rPr>
      </w:pPr>
      <w:r>
        <w:rPr>
          <w:rFonts w:hint="eastAsia" w:ascii="仿宋_GB2312" w:hAnsi="仿宋_GB2312" w:eastAsia="仿宋_GB2312" w:cs="仿宋_GB2312"/>
          <w:bCs/>
          <w:sz w:val="30"/>
          <w:szCs w:val="30"/>
        </w:rPr>
        <w:t>附表一：可编程控制器配置</w:t>
      </w:r>
    </w:p>
    <w:tbl>
      <w:tblPr>
        <w:tblStyle w:val="9"/>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71"/>
        <w:gridCol w:w="720"/>
        <w:gridCol w:w="720"/>
        <w:gridCol w:w="3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9108" w:type="dxa"/>
            <w:gridSpan w:val="5"/>
            <w:vAlign w:val="center"/>
          </w:tcPr>
          <w:p>
            <w:pPr>
              <w:autoSpaceDN w:val="0"/>
              <w:jc w:val="center"/>
              <w:textAlignment w:val="center"/>
              <w:rPr>
                <w:rFonts w:ascii="宋体" w:hAnsi="宋体" w:cs="宋体"/>
                <w:b/>
                <w:sz w:val="24"/>
                <w:szCs w:val="24"/>
              </w:rPr>
            </w:pPr>
            <w:r>
              <w:rPr>
                <w:rFonts w:hint="eastAsia" w:ascii="宋体" w:hAnsi="宋体" w:cs="宋体"/>
                <w:b/>
                <w:sz w:val="24"/>
                <w:szCs w:val="24"/>
              </w:rPr>
              <w:t>西门子S7-300与S7-200Smart方案主要部件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b/>
                <w:sz w:val="24"/>
                <w:szCs w:val="24"/>
              </w:rPr>
            </w:pPr>
            <w:r>
              <w:rPr>
                <w:rFonts w:hint="eastAsia" w:ascii="宋体" w:hAnsi="宋体" w:cs="宋体"/>
                <w:b/>
                <w:sz w:val="24"/>
                <w:szCs w:val="24"/>
              </w:rPr>
              <w:t>序号</w:t>
            </w:r>
          </w:p>
        </w:tc>
        <w:tc>
          <w:tcPr>
            <w:tcW w:w="3071" w:type="dxa"/>
            <w:vAlign w:val="center"/>
          </w:tcPr>
          <w:p>
            <w:pPr>
              <w:jc w:val="center"/>
              <w:rPr>
                <w:rFonts w:ascii="宋体" w:hAnsi="宋体" w:cs="宋体"/>
                <w:b/>
                <w:sz w:val="24"/>
                <w:szCs w:val="24"/>
              </w:rPr>
            </w:pPr>
            <w:r>
              <w:rPr>
                <w:rFonts w:hint="eastAsia" w:ascii="宋体" w:hAnsi="宋体" w:cs="宋体"/>
                <w:b/>
                <w:sz w:val="24"/>
                <w:szCs w:val="24"/>
              </w:rPr>
              <w:t>名称</w:t>
            </w:r>
          </w:p>
        </w:tc>
        <w:tc>
          <w:tcPr>
            <w:tcW w:w="720" w:type="dxa"/>
            <w:vAlign w:val="center"/>
          </w:tcPr>
          <w:p>
            <w:pPr>
              <w:jc w:val="center"/>
              <w:rPr>
                <w:rFonts w:ascii="宋体" w:hAnsi="宋体" w:cs="宋体"/>
                <w:b/>
                <w:sz w:val="24"/>
                <w:szCs w:val="24"/>
              </w:rPr>
            </w:pPr>
            <w:r>
              <w:rPr>
                <w:rFonts w:hint="eastAsia" w:ascii="宋体" w:hAnsi="宋体" w:cs="宋体"/>
                <w:b/>
                <w:sz w:val="24"/>
                <w:szCs w:val="24"/>
              </w:rPr>
              <w:t>数量</w:t>
            </w:r>
          </w:p>
        </w:tc>
        <w:tc>
          <w:tcPr>
            <w:tcW w:w="720" w:type="dxa"/>
            <w:vAlign w:val="center"/>
          </w:tcPr>
          <w:p>
            <w:pPr>
              <w:jc w:val="center"/>
              <w:rPr>
                <w:rFonts w:ascii="宋体" w:hAnsi="宋体" w:cs="宋体"/>
                <w:b/>
                <w:sz w:val="24"/>
                <w:szCs w:val="24"/>
              </w:rPr>
            </w:pPr>
            <w:r>
              <w:rPr>
                <w:rFonts w:hint="eastAsia" w:ascii="宋体" w:hAnsi="宋体" w:cs="宋体"/>
                <w:b/>
                <w:sz w:val="24"/>
                <w:szCs w:val="24"/>
              </w:rPr>
              <w:t>单位</w:t>
            </w:r>
          </w:p>
        </w:tc>
        <w:tc>
          <w:tcPr>
            <w:tcW w:w="3780" w:type="dxa"/>
            <w:vAlign w:val="center"/>
          </w:tcPr>
          <w:p>
            <w:pPr>
              <w:jc w:val="center"/>
              <w:rPr>
                <w:rFonts w:ascii="宋体" w:hAnsi="宋体" w:cs="宋体"/>
                <w:b/>
                <w:sz w:val="24"/>
                <w:szCs w:val="24"/>
              </w:rPr>
            </w:pPr>
            <w:r>
              <w:rPr>
                <w:rFonts w:hint="eastAsia" w:ascii="宋体" w:hAnsi="宋体" w:cs="宋体"/>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西门子电源</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bottom"/>
              <w:rPr>
                <w:rFonts w:ascii="宋体" w:hAnsi="宋体" w:cs="宋体"/>
                <w:sz w:val="24"/>
                <w:szCs w:val="24"/>
              </w:rPr>
            </w:pPr>
            <w:r>
              <w:rPr>
                <w:rFonts w:hint="eastAsia" w:ascii="宋体" w:hAnsi="宋体" w:cs="宋体"/>
                <w:sz w:val="24"/>
                <w:szCs w:val="24"/>
              </w:rPr>
              <w:t>PS307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2</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西门子可编程控制器</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bottom"/>
              <w:rPr>
                <w:rFonts w:ascii="宋体" w:hAnsi="宋体" w:cs="宋体"/>
                <w:sz w:val="24"/>
                <w:szCs w:val="24"/>
              </w:rPr>
            </w:pPr>
            <w:r>
              <w:rPr>
                <w:rFonts w:hint="eastAsia" w:ascii="宋体" w:hAnsi="宋体" w:cs="宋体"/>
                <w:sz w:val="24"/>
                <w:szCs w:val="24"/>
              </w:rPr>
              <w:t>16DI/16DO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3</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西门子安装导轨</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textAlignment w:val="bottom"/>
              <w:rPr>
                <w:rFonts w:ascii="宋体" w:hAnsi="宋体" w:cs="宋体"/>
                <w:sz w:val="24"/>
                <w:szCs w:val="24"/>
              </w:rPr>
            </w:pPr>
            <w:r>
              <w:rPr>
                <w:rFonts w:hint="eastAsia" w:ascii="宋体" w:hAnsi="宋体" w:cs="宋体"/>
                <w:sz w:val="24"/>
                <w:szCs w:val="24"/>
              </w:rPr>
              <w:t>160mm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4</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西门子前连接器（螺钉型）</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套</w:t>
            </w:r>
          </w:p>
        </w:tc>
        <w:tc>
          <w:tcPr>
            <w:tcW w:w="3780" w:type="dxa"/>
            <w:vAlign w:val="center"/>
          </w:tcPr>
          <w:p>
            <w:pPr>
              <w:autoSpaceDN w:val="0"/>
              <w:textAlignment w:val="bottom"/>
              <w:rPr>
                <w:rFonts w:ascii="宋体" w:hAnsi="宋体" w:cs="宋体"/>
                <w:sz w:val="24"/>
                <w:szCs w:val="24"/>
              </w:rPr>
            </w:pPr>
            <w:r>
              <w:rPr>
                <w:rFonts w:hint="eastAsia" w:ascii="宋体" w:hAnsi="宋体" w:cs="宋体"/>
                <w:sz w:val="24"/>
                <w:szCs w:val="24"/>
              </w:rPr>
              <w:t>40针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5</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内存卡</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张</w:t>
            </w:r>
          </w:p>
        </w:tc>
        <w:tc>
          <w:tcPr>
            <w:tcW w:w="3780" w:type="dxa"/>
            <w:vAlign w:val="center"/>
          </w:tcPr>
          <w:p>
            <w:pPr>
              <w:autoSpaceDN w:val="0"/>
              <w:textAlignment w:val="bottom"/>
              <w:rPr>
                <w:rFonts w:ascii="宋体" w:hAnsi="宋体" w:cs="宋体"/>
                <w:sz w:val="24"/>
                <w:szCs w:val="24"/>
              </w:rPr>
            </w:pPr>
            <w:r>
              <w:rPr>
                <w:rFonts w:hint="eastAsia" w:ascii="宋体" w:hAnsi="宋体" w:cs="宋体"/>
                <w:sz w:val="24"/>
                <w:szCs w:val="24"/>
              </w:rPr>
              <w:t>MMC128K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6</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CPU模块</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bottom"/>
              <w:rPr>
                <w:rFonts w:ascii="宋体" w:hAnsi="宋体" w:cs="宋体"/>
                <w:sz w:val="24"/>
                <w:szCs w:val="24"/>
              </w:rPr>
            </w:pPr>
            <w:r>
              <w:rPr>
                <w:rFonts w:hint="eastAsia" w:ascii="宋体" w:hAnsi="宋体" w:cs="宋体"/>
                <w:sz w:val="24"/>
                <w:szCs w:val="24"/>
              </w:rPr>
              <w:t>西门子24输入16输出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7</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CPU模块</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只</w:t>
            </w:r>
          </w:p>
        </w:tc>
        <w:tc>
          <w:tcPr>
            <w:tcW w:w="3780" w:type="dxa"/>
            <w:vAlign w:val="center"/>
          </w:tcPr>
          <w:p>
            <w:pPr>
              <w:autoSpaceDN w:val="0"/>
              <w:textAlignment w:val="bottom"/>
              <w:rPr>
                <w:rFonts w:ascii="宋体" w:hAnsi="宋体" w:cs="宋体"/>
                <w:sz w:val="24"/>
                <w:szCs w:val="24"/>
              </w:rPr>
            </w:pPr>
            <w:r>
              <w:rPr>
                <w:rFonts w:hint="eastAsia" w:ascii="宋体" w:hAnsi="宋体" w:cs="宋体"/>
                <w:sz w:val="24"/>
                <w:szCs w:val="24"/>
              </w:rPr>
              <w:t>西门子18输入12输出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8</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西门子模拟量输入输出模块</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套</w:t>
            </w:r>
          </w:p>
        </w:tc>
        <w:tc>
          <w:tcPr>
            <w:tcW w:w="3780" w:type="dxa"/>
            <w:vAlign w:val="center"/>
          </w:tcPr>
          <w:p>
            <w:pPr>
              <w:autoSpaceDN w:val="0"/>
              <w:textAlignment w:val="bottom"/>
              <w:rPr>
                <w:rFonts w:ascii="宋体" w:hAnsi="宋体" w:cs="宋体"/>
                <w:sz w:val="24"/>
                <w:szCs w:val="24"/>
              </w:rPr>
            </w:pPr>
            <w:r>
              <w:rPr>
                <w:rFonts w:hint="eastAsia" w:ascii="宋体" w:hAnsi="宋体" w:cs="宋体"/>
                <w:sz w:val="24"/>
                <w:szCs w:val="24"/>
              </w:rPr>
              <w:t>4输入/2输出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9</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交换机</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1</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套</w:t>
            </w:r>
          </w:p>
        </w:tc>
        <w:tc>
          <w:tcPr>
            <w:tcW w:w="3780" w:type="dxa"/>
            <w:vAlign w:val="center"/>
          </w:tcPr>
          <w:p>
            <w:pPr>
              <w:autoSpaceDN w:val="0"/>
              <w:textAlignment w:val="bottom"/>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textAlignment w:val="bottom"/>
              <w:rPr>
                <w:rFonts w:ascii="宋体" w:hAnsi="宋体" w:cs="宋体"/>
                <w:sz w:val="24"/>
                <w:szCs w:val="24"/>
              </w:rPr>
            </w:pPr>
            <w:r>
              <w:rPr>
                <w:rFonts w:hint="eastAsia" w:ascii="宋体" w:hAnsi="宋体" w:cs="宋体"/>
                <w:sz w:val="24"/>
                <w:szCs w:val="24"/>
              </w:rPr>
              <w:t>10</w:t>
            </w:r>
          </w:p>
        </w:tc>
        <w:tc>
          <w:tcPr>
            <w:tcW w:w="3071" w:type="dxa"/>
            <w:vAlign w:val="center"/>
          </w:tcPr>
          <w:p>
            <w:pPr>
              <w:autoSpaceDN w:val="0"/>
              <w:textAlignment w:val="bottom"/>
              <w:rPr>
                <w:rFonts w:ascii="宋体" w:hAnsi="宋体" w:cs="宋体"/>
                <w:sz w:val="24"/>
                <w:szCs w:val="24"/>
              </w:rPr>
            </w:pPr>
            <w:r>
              <w:rPr>
                <w:rFonts w:hint="eastAsia" w:ascii="宋体" w:hAnsi="宋体" w:cs="宋体"/>
                <w:sz w:val="24"/>
                <w:szCs w:val="24"/>
              </w:rPr>
              <w:t>下载线</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5</w:t>
            </w:r>
          </w:p>
        </w:tc>
        <w:tc>
          <w:tcPr>
            <w:tcW w:w="720" w:type="dxa"/>
            <w:vAlign w:val="center"/>
          </w:tcPr>
          <w:p>
            <w:pPr>
              <w:autoSpaceDN w:val="0"/>
              <w:textAlignment w:val="bottom"/>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textAlignment w:val="bottom"/>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9108" w:type="dxa"/>
            <w:gridSpan w:val="5"/>
            <w:vAlign w:val="center"/>
          </w:tcPr>
          <w:p>
            <w:pPr>
              <w:jc w:val="center"/>
              <w:rPr>
                <w:rFonts w:ascii="宋体" w:hAnsi="宋体" w:cs="宋体"/>
                <w:b/>
                <w:sz w:val="24"/>
                <w:szCs w:val="24"/>
              </w:rPr>
            </w:pPr>
            <w:r>
              <w:rPr>
                <w:rFonts w:hint="eastAsia" w:ascii="宋体" w:hAnsi="宋体" w:cs="宋体"/>
                <w:b/>
                <w:sz w:val="24"/>
                <w:szCs w:val="24"/>
              </w:rPr>
              <w:t>三菱Q系列与FX系列方案主要部件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b/>
                <w:sz w:val="24"/>
                <w:szCs w:val="24"/>
              </w:rPr>
            </w:pPr>
            <w:r>
              <w:rPr>
                <w:rFonts w:hint="eastAsia" w:ascii="宋体" w:hAnsi="宋体" w:cs="宋体"/>
                <w:b/>
                <w:sz w:val="24"/>
                <w:szCs w:val="24"/>
              </w:rPr>
              <w:t>序号</w:t>
            </w:r>
          </w:p>
        </w:tc>
        <w:tc>
          <w:tcPr>
            <w:tcW w:w="3071"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名称</w:t>
            </w:r>
          </w:p>
        </w:tc>
        <w:tc>
          <w:tcPr>
            <w:tcW w:w="720" w:type="dxa"/>
            <w:vAlign w:val="center"/>
          </w:tcPr>
          <w:p>
            <w:pPr>
              <w:jc w:val="center"/>
              <w:rPr>
                <w:rFonts w:ascii="宋体" w:hAnsi="宋体" w:cs="宋体"/>
                <w:b/>
                <w:sz w:val="24"/>
                <w:szCs w:val="24"/>
              </w:rPr>
            </w:pPr>
            <w:r>
              <w:rPr>
                <w:rFonts w:hint="eastAsia" w:ascii="宋体" w:hAnsi="宋体" w:cs="宋体"/>
                <w:b/>
                <w:sz w:val="24"/>
                <w:szCs w:val="24"/>
              </w:rPr>
              <w:t>数量</w:t>
            </w:r>
          </w:p>
        </w:tc>
        <w:tc>
          <w:tcPr>
            <w:tcW w:w="720" w:type="dxa"/>
            <w:vAlign w:val="center"/>
          </w:tcPr>
          <w:p>
            <w:pPr>
              <w:jc w:val="center"/>
              <w:rPr>
                <w:rFonts w:ascii="宋体" w:hAnsi="宋体" w:cs="宋体"/>
                <w:b/>
                <w:sz w:val="24"/>
                <w:szCs w:val="24"/>
              </w:rPr>
            </w:pPr>
            <w:r>
              <w:rPr>
                <w:rFonts w:hint="eastAsia" w:ascii="宋体" w:hAnsi="宋体" w:cs="宋体"/>
                <w:b/>
                <w:sz w:val="24"/>
                <w:szCs w:val="24"/>
              </w:rPr>
              <w:t>单位</w:t>
            </w:r>
          </w:p>
        </w:tc>
        <w:tc>
          <w:tcPr>
            <w:tcW w:w="3780" w:type="dxa"/>
            <w:vAlign w:val="center"/>
          </w:tcPr>
          <w:p>
            <w:pPr>
              <w:autoSpaceDN w:val="0"/>
              <w:jc w:val="center"/>
              <w:textAlignment w:val="center"/>
              <w:rPr>
                <w:rFonts w:ascii="宋体" w:hAnsi="宋体" w:cs="宋体"/>
                <w:b/>
                <w:sz w:val="24"/>
                <w:szCs w:val="24"/>
              </w:rPr>
            </w:pPr>
            <w:r>
              <w:rPr>
                <w:rFonts w:hint="eastAsia" w:ascii="宋体" w:hAnsi="宋体" w:cs="宋体"/>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1</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三菱Q系列PLC</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2</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三菱电源单元基板</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5位基板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3</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电源模块</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输入100-200AC、输出DC5V、6A三菱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4</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数字量输入模块</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DC16输入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5</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数字量输出模块</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AC16输出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6</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三菱cclink通信模块</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jc w:val="center"/>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7</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三菱cclink通信模块</w:t>
            </w:r>
          </w:p>
        </w:tc>
        <w:tc>
          <w:tcPr>
            <w:tcW w:w="720" w:type="dxa"/>
            <w:vAlign w:val="center"/>
          </w:tcPr>
          <w:p>
            <w:pPr>
              <w:jc w:val="center"/>
              <w:rPr>
                <w:rFonts w:ascii="宋体" w:hAnsi="宋体" w:cs="宋体"/>
                <w:sz w:val="24"/>
                <w:szCs w:val="24"/>
              </w:rPr>
            </w:pPr>
            <w:r>
              <w:rPr>
                <w:rFonts w:hint="eastAsia" w:ascii="宋体" w:hAnsi="宋体" w:cs="宋体"/>
                <w:sz w:val="24"/>
                <w:szCs w:val="24"/>
              </w:rPr>
              <w:t>2</w:t>
            </w:r>
          </w:p>
        </w:tc>
        <w:tc>
          <w:tcPr>
            <w:tcW w:w="720" w:type="dxa"/>
            <w:vAlign w:val="center"/>
          </w:tcPr>
          <w:p>
            <w:pPr>
              <w:jc w:val="center"/>
              <w:rPr>
                <w:rFonts w:ascii="宋体" w:hAnsi="宋体" w:cs="宋体"/>
                <w:sz w:val="24"/>
                <w:szCs w:val="24"/>
              </w:rPr>
            </w:pPr>
            <w:r>
              <w:rPr>
                <w:rFonts w:hint="eastAsia" w:ascii="宋体" w:hAnsi="宋体" w:cs="宋体"/>
                <w:sz w:val="24"/>
                <w:szCs w:val="24"/>
              </w:rPr>
              <w:t>个</w:t>
            </w:r>
          </w:p>
        </w:tc>
        <w:tc>
          <w:tcPr>
            <w:tcW w:w="3780" w:type="dxa"/>
            <w:vAlign w:val="center"/>
          </w:tcPr>
          <w:p>
            <w:pPr>
              <w:autoSpaceDN w:val="0"/>
              <w:jc w:val="center"/>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8</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FX系列下载线</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jc w:val="center"/>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9</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三菱Q通讯线</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jc w:val="center"/>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10</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三菱Q下载线</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jc w:val="center"/>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11</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三菱可编程控制器</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个</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FX3U-32MR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12</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三菱模块</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个</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模拟量模块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sz w:val="24"/>
                <w:szCs w:val="24"/>
              </w:rPr>
            </w:pPr>
            <w:r>
              <w:rPr>
                <w:rFonts w:hint="eastAsia" w:ascii="宋体" w:hAnsi="宋体" w:cs="宋体"/>
                <w:sz w:val="24"/>
                <w:szCs w:val="24"/>
              </w:rPr>
              <w:t>13</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三菱可编程控制器</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个</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FX3U-32MT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9108" w:type="dxa"/>
            <w:gridSpan w:val="5"/>
            <w:vAlign w:val="center"/>
          </w:tcPr>
          <w:p>
            <w:pPr>
              <w:autoSpaceDN w:val="0"/>
              <w:jc w:val="center"/>
              <w:textAlignment w:val="center"/>
              <w:rPr>
                <w:rFonts w:ascii="宋体" w:hAnsi="宋体" w:cs="宋体"/>
                <w:sz w:val="24"/>
                <w:szCs w:val="24"/>
              </w:rPr>
            </w:pPr>
            <w:r>
              <w:rPr>
                <w:rFonts w:hint="eastAsia" w:ascii="宋体" w:hAnsi="宋体" w:cs="宋体"/>
                <w:b/>
                <w:sz w:val="24"/>
                <w:szCs w:val="24"/>
              </w:rPr>
              <w:t>西门子S7-1500 +S7-1200方案 以太网系统主要部件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b/>
                <w:sz w:val="24"/>
                <w:szCs w:val="24"/>
              </w:rPr>
            </w:pPr>
            <w:r>
              <w:rPr>
                <w:rFonts w:hint="eastAsia" w:ascii="宋体" w:hAnsi="宋体" w:cs="宋体"/>
                <w:b/>
                <w:sz w:val="24"/>
                <w:szCs w:val="24"/>
              </w:rPr>
              <w:t>序号</w:t>
            </w:r>
          </w:p>
        </w:tc>
        <w:tc>
          <w:tcPr>
            <w:tcW w:w="3071" w:type="dxa"/>
            <w:vAlign w:val="center"/>
          </w:tcPr>
          <w:p>
            <w:pPr>
              <w:jc w:val="center"/>
              <w:rPr>
                <w:rFonts w:ascii="宋体" w:hAnsi="宋体" w:cs="宋体"/>
                <w:b/>
                <w:sz w:val="24"/>
                <w:szCs w:val="24"/>
              </w:rPr>
            </w:pPr>
            <w:r>
              <w:rPr>
                <w:rFonts w:hint="eastAsia" w:ascii="宋体" w:hAnsi="宋体" w:cs="宋体"/>
                <w:b/>
                <w:sz w:val="24"/>
                <w:szCs w:val="24"/>
              </w:rPr>
              <w:t>名称</w:t>
            </w:r>
          </w:p>
        </w:tc>
        <w:tc>
          <w:tcPr>
            <w:tcW w:w="720" w:type="dxa"/>
            <w:vAlign w:val="center"/>
          </w:tcPr>
          <w:p>
            <w:pPr>
              <w:jc w:val="center"/>
              <w:rPr>
                <w:rFonts w:ascii="宋体" w:hAnsi="宋体" w:cs="宋体"/>
                <w:b/>
                <w:sz w:val="24"/>
                <w:szCs w:val="24"/>
              </w:rPr>
            </w:pPr>
            <w:r>
              <w:rPr>
                <w:rFonts w:hint="eastAsia" w:ascii="宋体" w:hAnsi="宋体" w:cs="宋体"/>
                <w:b/>
                <w:sz w:val="24"/>
                <w:szCs w:val="24"/>
              </w:rPr>
              <w:t>数量</w:t>
            </w:r>
          </w:p>
        </w:tc>
        <w:tc>
          <w:tcPr>
            <w:tcW w:w="720" w:type="dxa"/>
            <w:vAlign w:val="center"/>
          </w:tcPr>
          <w:p>
            <w:pPr>
              <w:jc w:val="center"/>
              <w:rPr>
                <w:rFonts w:ascii="宋体" w:hAnsi="宋体" w:cs="宋体"/>
                <w:b/>
                <w:sz w:val="24"/>
                <w:szCs w:val="24"/>
              </w:rPr>
            </w:pPr>
            <w:r>
              <w:rPr>
                <w:rFonts w:hint="eastAsia" w:ascii="宋体" w:hAnsi="宋体" w:cs="宋体"/>
                <w:b/>
                <w:sz w:val="24"/>
                <w:szCs w:val="24"/>
              </w:rPr>
              <w:t>单位</w:t>
            </w:r>
          </w:p>
        </w:tc>
        <w:tc>
          <w:tcPr>
            <w:tcW w:w="3780" w:type="dxa"/>
            <w:vAlign w:val="center"/>
          </w:tcPr>
          <w:p>
            <w:pPr>
              <w:jc w:val="center"/>
              <w:rPr>
                <w:rFonts w:ascii="宋体" w:hAnsi="宋体" w:cs="宋体"/>
                <w:b/>
                <w:sz w:val="24"/>
                <w:szCs w:val="24"/>
              </w:rPr>
            </w:pPr>
            <w:r>
              <w:rPr>
                <w:rFonts w:hint="eastAsia" w:ascii="宋体" w:hAnsi="宋体" w:cs="宋体"/>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S7-1500安装导轨</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使用一半（需加工）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2</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CPU 1511-1 PN</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只</w:t>
            </w:r>
          </w:p>
        </w:tc>
        <w:tc>
          <w:tcPr>
            <w:tcW w:w="3780" w:type="dxa"/>
            <w:vAlign w:val="center"/>
          </w:tcPr>
          <w:p>
            <w:pPr>
              <w:autoSpaceDN w:val="0"/>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3</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存储卡</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张</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4M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4</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数字量输入，DI 16x24VDC HF</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5</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前连接器，直插式工艺</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3</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40 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6</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数字量输出</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2</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DQ 8x230VAC/2A 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7</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负载电源 PM 70W</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120/230 V AC，24 V DC，3 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8</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数字 I/O</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2</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16 DI，24V DC / 16 DO，继电器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9</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模拟量输出</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 xml:space="preserve"> 2 AO；14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10</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西门子1200PLC</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CPU 1212C（8 DI 24V DC；6 DO 继电器；2 AI），PS 230V AC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11</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西门子1200PLC</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CPU 1212C（8 DI 24V DC；6 DO 24V DC；2 AI），PS 24V DC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13</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网线</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5</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14</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交换机</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套</w:t>
            </w:r>
          </w:p>
        </w:tc>
        <w:tc>
          <w:tcPr>
            <w:tcW w:w="3780" w:type="dxa"/>
            <w:vAlign w:val="center"/>
          </w:tcPr>
          <w:p>
            <w:pPr>
              <w:autoSpaceDN w:val="0"/>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9108" w:type="dxa"/>
            <w:gridSpan w:val="5"/>
            <w:vAlign w:val="center"/>
          </w:tcPr>
          <w:p>
            <w:pPr>
              <w:autoSpaceDN w:val="0"/>
              <w:jc w:val="center"/>
              <w:textAlignment w:val="center"/>
              <w:rPr>
                <w:rFonts w:ascii="宋体" w:hAnsi="宋体" w:cs="宋体"/>
                <w:color w:val="000000"/>
                <w:sz w:val="24"/>
                <w:szCs w:val="24"/>
              </w:rPr>
            </w:pPr>
            <w:r>
              <w:rPr>
                <w:rFonts w:hint="eastAsia" w:ascii="宋体" w:hAnsi="宋体" w:cs="宋体"/>
                <w:b/>
                <w:color w:val="000000"/>
                <w:sz w:val="24"/>
                <w:szCs w:val="24"/>
              </w:rPr>
              <w:t>158GA1汇川AM600系列与H2U系列方案主要部件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b/>
                <w:color w:val="000000"/>
                <w:sz w:val="24"/>
                <w:szCs w:val="24"/>
              </w:rPr>
            </w:pPr>
            <w:r>
              <w:rPr>
                <w:rFonts w:hint="eastAsia" w:ascii="宋体" w:hAnsi="宋体" w:cs="宋体"/>
                <w:b/>
                <w:color w:val="000000"/>
                <w:sz w:val="24"/>
                <w:szCs w:val="24"/>
              </w:rPr>
              <w:t>序号</w:t>
            </w:r>
          </w:p>
        </w:tc>
        <w:tc>
          <w:tcPr>
            <w:tcW w:w="3071" w:type="dxa"/>
            <w:vAlign w:val="center"/>
          </w:tcPr>
          <w:p>
            <w:pPr>
              <w:autoSpaceDN w:val="0"/>
              <w:jc w:val="center"/>
              <w:textAlignment w:val="bottom"/>
              <w:rPr>
                <w:rFonts w:ascii="宋体" w:hAnsi="宋体" w:cs="宋体"/>
                <w:b/>
                <w:color w:val="000000"/>
                <w:sz w:val="24"/>
                <w:szCs w:val="24"/>
              </w:rPr>
            </w:pPr>
            <w:r>
              <w:rPr>
                <w:rFonts w:hint="eastAsia" w:ascii="宋体" w:hAnsi="宋体" w:cs="宋体"/>
                <w:b/>
                <w:color w:val="000000"/>
                <w:sz w:val="24"/>
                <w:szCs w:val="24"/>
              </w:rPr>
              <w:t>名称</w:t>
            </w:r>
          </w:p>
        </w:tc>
        <w:tc>
          <w:tcPr>
            <w:tcW w:w="720" w:type="dxa"/>
            <w:vAlign w:val="center"/>
          </w:tcPr>
          <w:p>
            <w:pPr>
              <w:jc w:val="center"/>
              <w:rPr>
                <w:rFonts w:ascii="宋体" w:hAnsi="宋体" w:cs="宋体"/>
                <w:b/>
                <w:color w:val="000000"/>
                <w:sz w:val="24"/>
                <w:szCs w:val="24"/>
              </w:rPr>
            </w:pPr>
            <w:r>
              <w:rPr>
                <w:rFonts w:hint="eastAsia" w:ascii="宋体" w:hAnsi="宋体" w:cs="宋体"/>
                <w:b/>
                <w:color w:val="000000"/>
                <w:sz w:val="24"/>
                <w:szCs w:val="24"/>
              </w:rPr>
              <w:t>数量</w:t>
            </w:r>
          </w:p>
        </w:tc>
        <w:tc>
          <w:tcPr>
            <w:tcW w:w="720" w:type="dxa"/>
            <w:vAlign w:val="center"/>
          </w:tcPr>
          <w:p>
            <w:pPr>
              <w:jc w:val="center"/>
              <w:rPr>
                <w:rFonts w:ascii="宋体" w:hAnsi="宋体" w:cs="宋体"/>
                <w:b/>
                <w:color w:val="000000"/>
                <w:sz w:val="24"/>
                <w:szCs w:val="24"/>
              </w:rPr>
            </w:pPr>
            <w:r>
              <w:rPr>
                <w:rFonts w:hint="eastAsia" w:ascii="宋体" w:hAnsi="宋体" w:cs="宋体"/>
                <w:b/>
                <w:color w:val="000000"/>
                <w:sz w:val="24"/>
                <w:szCs w:val="24"/>
              </w:rPr>
              <w:t>单位</w:t>
            </w:r>
          </w:p>
        </w:tc>
        <w:tc>
          <w:tcPr>
            <w:tcW w:w="3780" w:type="dxa"/>
            <w:vAlign w:val="center"/>
          </w:tcPr>
          <w:p>
            <w:pPr>
              <w:autoSpaceDN w:val="0"/>
              <w:jc w:val="center"/>
              <w:textAlignment w:val="center"/>
              <w:rPr>
                <w:rFonts w:ascii="宋体" w:hAnsi="宋体" w:cs="宋体"/>
                <w:b/>
                <w:color w:val="000000"/>
                <w:sz w:val="24"/>
                <w:szCs w:val="24"/>
              </w:rPr>
            </w:pPr>
            <w:r>
              <w:rPr>
                <w:rFonts w:hint="eastAsia" w:ascii="宋体" w:hAnsi="宋体" w:cs="宋体"/>
                <w:b/>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color w:val="000000"/>
                <w:sz w:val="24"/>
                <w:szCs w:val="24"/>
              </w:rPr>
            </w:pPr>
            <w:r>
              <w:rPr>
                <w:rFonts w:hint="eastAsia" w:ascii="宋体" w:hAnsi="宋体" w:cs="宋体"/>
                <w:color w:val="000000"/>
                <w:sz w:val="24"/>
                <w:szCs w:val="24"/>
              </w:rPr>
              <w:t>1</w:t>
            </w:r>
          </w:p>
        </w:tc>
        <w:tc>
          <w:tcPr>
            <w:tcW w:w="3071"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汇川AM600系列PLC主模块</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1</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块</w:t>
            </w:r>
          </w:p>
        </w:tc>
        <w:tc>
          <w:tcPr>
            <w:tcW w:w="3780"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AM600-CPU1608MTP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color w:val="000000"/>
                <w:sz w:val="24"/>
                <w:szCs w:val="24"/>
              </w:rPr>
            </w:pPr>
            <w:r>
              <w:rPr>
                <w:rFonts w:hint="eastAsia" w:ascii="宋体" w:hAnsi="宋体" w:cs="宋体"/>
                <w:color w:val="000000"/>
                <w:sz w:val="24"/>
                <w:szCs w:val="24"/>
              </w:rPr>
              <w:t>2</w:t>
            </w:r>
          </w:p>
        </w:tc>
        <w:tc>
          <w:tcPr>
            <w:tcW w:w="3071"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汇川AM600系列PLC电源模块</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1</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块</w:t>
            </w:r>
          </w:p>
        </w:tc>
        <w:tc>
          <w:tcPr>
            <w:tcW w:w="3780"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AM600-PS2，输入100~220Vac，输出24Vdc，2A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color w:val="000000"/>
                <w:sz w:val="24"/>
                <w:szCs w:val="24"/>
              </w:rPr>
            </w:pPr>
            <w:r>
              <w:rPr>
                <w:rFonts w:hint="eastAsia" w:ascii="宋体" w:hAnsi="宋体" w:cs="宋体"/>
                <w:color w:val="000000"/>
                <w:sz w:val="24"/>
                <w:szCs w:val="24"/>
              </w:rPr>
              <w:t>3</w:t>
            </w:r>
          </w:p>
        </w:tc>
        <w:tc>
          <w:tcPr>
            <w:tcW w:w="3071"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数字量输入模块</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1</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块</w:t>
            </w:r>
          </w:p>
        </w:tc>
        <w:tc>
          <w:tcPr>
            <w:tcW w:w="3780"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AM600-1600END,DC16输入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color w:val="000000"/>
                <w:sz w:val="24"/>
                <w:szCs w:val="24"/>
              </w:rPr>
            </w:pPr>
            <w:r>
              <w:rPr>
                <w:rFonts w:hint="eastAsia" w:ascii="宋体" w:hAnsi="宋体" w:cs="宋体"/>
                <w:color w:val="000000"/>
                <w:sz w:val="24"/>
                <w:szCs w:val="24"/>
              </w:rPr>
              <w:t>4</w:t>
            </w:r>
          </w:p>
        </w:tc>
        <w:tc>
          <w:tcPr>
            <w:tcW w:w="3071"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数字量输出模块</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1</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块</w:t>
            </w:r>
          </w:p>
        </w:tc>
        <w:tc>
          <w:tcPr>
            <w:tcW w:w="3780"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AM600-0016ERN,AC16输出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sz w:val="24"/>
                <w:szCs w:val="24"/>
              </w:rPr>
            </w:pPr>
            <w:r>
              <w:rPr>
                <w:rFonts w:hint="eastAsia" w:ascii="宋体" w:hAnsi="宋体" w:cs="宋体"/>
                <w:sz w:val="24"/>
                <w:szCs w:val="24"/>
              </w:rPr>
              <w:t>5</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模拟量输入模块</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AM600-4AD,4通道输入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sz w:val="24"/>
                <w:szCs w:val="24"/>
              </w:rPr>
            </w:pPr>
            <w:r>
              <w:rPr>
                <w:rFonts w:hint="eastAsia" w:ascii="宋体" w:hAnsi="宋体" w:cs="宋体"/>
                <w:sz w:val="24"/>
                <w:szCs w:val="24"/>
              </w:rPr>
              <w:t>6</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模拟量输出模块</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块</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AM600-4DA,4通道输出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sz w:val="24"/>
                <w:szCs w:val="24"/>
              </w:rPr>
            </w:pPr>
            <w:r>
              <w:rPr>
                <w:rFonts w:hint="eastAsia" w:ascii="宋体" w:hAnsi="宋体" w:cs="宋体"/>
                <w:sz w:val="24"/>
                <w:szCs w:val="24"/>
              </w:rPr>
              <w:t>7</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汇川EtherCAT远程模块</w:t>
            </w:r>
          </w:p>
        </w:tc>
        <w:tc>
          <w:tcPr>
            <w:tcW w:w="720" w:type="dxa"/>
            <w:vAlign w:val="center"/>
          </w:tcPr>
          <w:p>
            <w:pPr>
              <w:jc w:val="center"/>
              <w:rPr>
                <w:rFonts w:ascii="宋体" w:hAnsi="宋体" w:cs="宋体"/>
                <w:sz w:val="24"/>
                <w:szCs w:val="24"/>
              </w:rPr>
            </w:pPr>
            <w:r>
              <w:rPr>
                <w:rFonts w:hint="eastAsia" w:ascii="宋体" w:hAnsi="宋体" w:cs="宋体"/>
                <w:sz w:val="24"/>
                <w:szCs w:val="24"/>
              </w:rPr>
              <w:t>2</w:t>
            </w:r>
          </w:p>
        </w:tc>
        <w:tc>
          <w:tcPr>
            <w:tcW w:w="720" w:type="dxa"/>
            <w:vAlign w:val="center"/>
          </w:tcPr>
          <w:p>
            <w:pPr>
              <w:jc w:val="center"/>
              <w:rPr>
                <w:rFonts w:ascii="宋体" w:hAnsi="宋体" w:cs="宋体"/>
                <w:sz w:val="24"/>
                <w:szCs w:val="24"/>
              </w:rPr>
            </w:pPr>
            <w:r>
              <w:rPr>
                <w:rFonts w:hint="eastAsia" w:ascii="宋体" w:hAnsi="宋体" w:cs="宋体"/>
                <w:sz w:val="24"/>
                <w:szCs w:val="24"/>
              </w:rPr>
              <w:t>个</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AM600-RTU-ECT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sz w:val="24"/>
                <w:szCs w:val="24"/>
              </w:rPr>
            </w:pPr>
            <w:r>
              <w:rPr>
                <w:rFonts w:hint="eastAsia" w:ascii="宋体" w:hAnsi="宋体" w:cs="宋体"/>
                <w:sz w:val="24"/>
                <w:szCs w:val="24"/>
              </w:rPr>
              <w:t>8</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AM600系列LAN通讯网线</w:t>
            </w:r>
          </w:p>
        </w:tc>
        <w:tc>
          <w:tcPr>
            <w:tcW w:w="720" w:type="dxa"/>
            <w:vAlign w:val="center"/>
          </w:tcPr>
          <w:p>
            <w:pPr>
              <w:jc w:val="center"/>
              <w:rPr>
                <w:rFonts w:ascii="宋体" w:hAnsi="宋体" w:cs="宋体"/>
                <w:sz w:val="24"/>
                <w:szCs w:val="24"/>
              </w:rPr>
            </w:pPr>
            <w:r>
              <w:rPr>
                <w:rFonts w:hint="eastAsia" w:ascii="宋体" w:hAnsi="宋体" w:cs="宋体"/>
                <w:sz w:val="24"/>
                <w:szCs w:val="24"/>
              </w:rPr>
              <w:t>3</w:t>
            </w:r>
          </w:p>
        </w:tc>
        <w:tc>
          <w:tcPr>
            <w:tcW w:w="720" w:type="dxa"/>
            <w:vAlign w:val="center"/>
          </w:tcPr>
          <w:p>
            <w:pPr>
              <w:jc w:val="center"/>
              <w:rPr>
                <w:rFonts w:ascii="宋体" w:hAnsi="宋体" w:cs="宋体"/>
                <w:sz w:val="24"/>
                <w:szCs w:val="24"/>
              </w:rPr>
            </w:pPr>
            <w:r>
              <w:rPr>
                <w:rFonts w:hint="eastAsia" w:ascii="宋体" w:hAnsi="宋体" w:cs="宋体"/>
                <w:sz w:val="24"/>
                <w:szCs w:val="24"/>
              </w:rPr>
              <w:t>条</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2根0.4米，1根2.5米，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color w:val="000000"/>
                <w:sz w:val="24"/>
                <w:szCs w:val="24"/>
              </w:rPr>
            </w:pPr>
            <w:r>
              <w:rPr>
                <w:rFonts w:hint="eastAsia" w:ascii="宋体" w:hAnsi="宋体" w:cs="宋体"/>
                <w:color w:val="000000"/>
                <w:sz w:val="24"/>
                <w:szCs w:val="24"/>
              </w:rPr>
              <w:t>9</w:t>
            </w:r>
          </w:p>
        </w:tc>
        <w:tc>
          <w:tcPr>
            <w:tcW w:w="3071"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H2U系列USB下载线</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1</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条</w:t>
            </w:r>
          </w:p>
        </w:tc>
        <w:tc>
          <w:tcPr>
            <w:tcW w:w="3780"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通用MiniUSB插头电缆，1.5米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color w:val="000000"/>
                <w:sz w:val="24"/>
                <w:szCs w:val="24"/>
              </w:rPr>
            </w:pPr>
            <w:r>
              <w:rPr>
                <w:rFonts w:hint="eastAsia" w:ascii="宋体" w:hAnsi="宋体" w:cs="宋体"/>
                <w:color w:val="000000"/>
                <w:sz w:val="24"/>
                <w:szCs w:val="24"/>
              </w:rPr>
              <w:t>10</w:t>
            </w:r>
          </w:p>
        </w:tc>
        <w:tc>
          <w:tcPr>
            <w:tcW w:w="3071"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汇川H2U系列可编程控制器</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1</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个</w:t>
            </w:r>
          </w:p>
        </w:tc>
        <w:tc>
          <w:tcPr>
            <w:tcW w:w="3780"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H2U-1616MR-XP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color w:val="000000"/>
                <w:sz w:val="24"/>
                <w:szCs w:val="24"/>
              </w:rPr>
            </w:pPr>
            <w:r>
              <w:rPr>
                <w:rFonts w:hint="eastAsia" w:ascii="宋体" w:hAnsi="宋体" w:cs="宋体"/>
                <w:color w:val="000000"/>
                <w:sz w:val="24"/>
                <w:szCs w:val="24"/>
              </w:rPr>
              <w:t>11</w:t>
            </w:r>
          </w:p>
        </w:tc>
        <w:tc>
          <w:tcPr>
            <w:tcW w:w="3071"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汇川H2U系列扩展模块</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1</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个</w:t>
            </w:r>
          </w:p>
        </w:tc>
        <w:tc>
          <w:tcPr>
            <w:tcW w:w="3780"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H2U-6AM,4输入、2输出模拟量模块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Align w:val="center"/>
          </w:tcPr>
          <w:p>
            <w:pPr>
              <w:jc w:val="center"/>
              <w:rPr>
                <w:rFonts w:ascii="宋体" w:hAnsi="宋体" w:cs="宋体"/>
                <w:color w:val="000000"/>
                <w:sz w:val="24"/>
                <w:szCs w:val="24"/>
              </w:rPr>
            </w:pPr>
            <w:r>
              <w:rPr>
                <w:rFonts w:hint="eastAsia" w:ascii="宋体" w:hAnsi="宋体" w:cs="宋体"/>
                <w:color w:val="000000"/>
                <w:sz w:val="24"/>
                <w:szCs w:val="24"/>
              </w:rPr>
              <w:t>12</w:t>
            </w:r>
          </w:p>
        </w:tc>
        <w:tc>
          <w:tcPr>
            <w:tcW w:w="3071"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汇川H2U系列可编程控制器</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1</w:t>
            </w:r>
          </w:p>
        </w:tc>
        <w:tc>
          <w:tcPr>
            <w:tcW w:w="720" w:type="dxa"/>
            <w:vAlign w:val="center"/>
          </w:tcPr>
          <w:p>
            <w:pPr>
              <w:jc w:val="center"/>
              <w:rPr>
                <w:rFonts w:ascii="宋体" w:hAnsi="宋体" w:cs="宋体"/>
                <w:color w:val="000000"/>
                <w:sz w:val="24"/>
                <w:szCs w:val="24"/>
              </w:rPr>
            </w:pPr>
            <w:r>
              <w:rPr>
                <w:rFonts w:hint="eastAsia" w:ascii="宋体" w:hAnsi="宋体" w:cs="宋体"/>
                <w:color w:val="000000"/>
                <w:sz w:val="24"/>
                <w:szCs w:val="24"/>
              </w:rPr>
              <w:t>个</w:t>
            </w:r>
          </w:p>
        </w:tc>
        <w:tc>
          <w:tcPr>
            <w:tcW w:w="3780" w:type="dxa"/>
            <w:vAlign w:val="center"/>
          </w:tcPr>
          <w:p>
            <w:pPr>
              <w:autoSpaceDN w:val="0"/>
              <w:textAlignment w:val="center"/>
              <w:rPr>
                <w:rFonts w:ascii="宋体" w:hAnsi="宋体" w:cs="宋体"/>
                <w:color w:val="000000"/>
                <w:sz w:val="24"/>
                <w:szCs w:val="24"/>
              </w:rPr>
            </w:pPr>
            <w:r>
              <w:rPr>
                <w:rFonts w:hint="eastAsia" w:ascii="宋体" w:hAnsi="宋体" w:cs="宋体"/>
                <w:color w:val="000000"/>
                <w:sz w:val="24"/>
                <w:szCs w:val="24"/>
              </w:rPr>
              <w:t>H2U-1616MT-XP</w:t>
            </w:r>
          </w:p>
        </w:tc>
      </w:tr>
    </w:tbl>
    <w:p>
      <w:pPr>
        <w:spacing w:line="560" w:lineRule="exact"/>
        <w:rPr>
          <w:rFonts w:ascii="仿宋_GB2312" w:hAnsi="仿宋_GB2312" w:eastAsia="仿宋_GB2312" w:cs="仿宋_GB2312"/>
          <w:bCs/>
          <w:sz w:val="30"/>
          <w:szCs w:val="30"/>
        </w:rPr>
      </w:pPr>
      <w:r>
        <w:rPr>
          <w:rFonts w:hint="eastAsia" w:ascii="仿宋_GB2312" w:hAnsi="仿宋_GB2312" w:eastAsia="仿宋_GB2312" w:cs="仿宋_GB2312"/>
          <w:bCs/>
          <w:sz w:val="30"/>
          <w:szCs w:val="30"/>
        </w:rPr>
        <w:t>附表二：变频器配置</w:t>
      </w:r>
    </w:p>
    <w:tbl>
      <w:tblPr>
        <w:tblStyle w:val="9"/>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71"/>
        <w:gridCol w:w="720"/>
        <w:gridCol w:w="720"/>
        <w:gridCol w:w="3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序号</w:t>
            </w:r>
          </w:p>
        </w:tc>
        <w:tc>
          <w:tcPr>
            <w:tcW w:w="3071"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名称</w:t>
            </w:r>
          </w:p>
        </w:tc>
        <w:tc>
          <w:tcPr>
            <w:tcW w:w="720"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数量</w:t>
            </w:r>
          </w:p>
        </w:tc>
        <w:tc>
          <w:tcPr>
            <w:tcW w:w="720"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单位</w:t>
            </w:r>
          </w:p>
        </w:tc>
        <w:tc>
          <w:tcPr>
            <w:tcW w:w="3780"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1</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西门子变频器</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只</w:t>
            </w:r>
          </w:p>
        </w:tc>
        <w:tc>
          <w:tcPr>
            <w:tcW w:w="3780" w:type="dxa"/>
            <w:vAlign w:val="center"/>
          </w:tcPr>
          <w:p>
            <w:pPr>
              <w:autoSpaceDN w:val="0"/>
              <w:textAlignment w:val="center"/>
              <w:rPr>
                <w:rFonts w:ascii="宋体" w:hAnsi="宋体" w:cs="宋体"/>
                <w:sz w:val="24"/>
                <w:szCs w:val="24"/>
              </w:rPr>
            </w:pPr>
            <w:r>
              <w:rPr>
                <w:rFonts w:hint="eastAsia" w:ascii="宋体" w:hAnsi="宋体" w:cs="宋体"/>
                <w:sz w:val="24"/>
                <w:szCs w:val="24"/>
              </w:rPr>
              <w:t>带BOP操作面板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jc w:val="center"/>
              <w:rPr>
                <w:rFonts w:ascii="宋体" w:hAnsi="宋体" w:cs="宋体"/>
                <w:sz w:val="24"/>
                <w:szCs w:val="24"/>
              </w:rPr>
            </w:pPr>
            <w:r>
              <w:rPr>
                <w:rFonts w:hint="eastAsia" w:ascii="宋体" w:hAnsi="宋体" w:cs="宋体"/>
                <w:sz w:val="24"/>
                <w:szCs w:val="24"/>
              </w:rPr>
              <w:t>2</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三菱变频器</w:t>
            </w:r>
          </w:p>
        </w:tc>
        <w:tc>
          <w:tcPr>
            <w:tcW w:w="720" w:type="dxa"/>
            <w:vAlign w:val="center"/>
          </w:tcPr>
          <w:p>
            <w:pPr>
              <w:jc w:val="center"/>
              <w:rPr>
                <w:rFonts w:ascii="宋体" w:hAnsi="宋体" w:cs="宋体"/>
                <w:sz w:val="24"/>
                <w:szCs w:val="24"/>
              </w:rPr>
            </w:pPr>
            <w:r>
              <w:rPr>
                <w:rFonts w:hint="eastAsia" w:ascii="宋体" w:hAnsi="宋体" w:cs="宋体"/>
                <w:sz w:val="24"/>
                <w:szCs w:val="24"/>
              </w:rPr>
              <w:t>1</w:t>
            </w:r>
          </w:p>
        </w:tc>
        <w:tc>
          <w:tcPr>
            <w:tcW w:w="720" w:type="dxa"/>
            <w:vAlign w:val="center"/>
          </w:tcPr>
          <w:p>
            <w:pPr>
              <w:jc w:val="center"/>
              <w:rPr>
                <w:rFonts w:ascii="宋体" w:hAnsi="宋体" w:cs="宋体"/>
                <w:sz w:val="24"/>
                <w:szCs w:val="24"/>
              </w:rPr>
            </w:pPr>
            <w:r>
              <w:rPr>
                <w:rFonts w:hint="eastAsia" w:ascii="宋体" w:hAnsi="宋体" w:cs="宋体"/>
                <w:sz w:val="24"/>
                <w:szCs w:val="24"/>
              </w:rPr>
              <w:t>台</w:t>
            </w:r>
          </w:p>
        </w:tc>
        <w:tc>
          <w:tcPr>
            <w:tcW w:w="3780" w:type="dxa"/>
            <w:vAlign w:val="center"/>
          </w:tcPr>
          <w:p>
            <w:pPr>
              <w:autoSpaceDN w:val="0"/>
              <w:jc w:val="center"/>
              <w:textAlignment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3</w:t>
            </w:r>
          </w:p>
        </w:tc>
        <w:tc>
          <w:tcPr>
            <w:tcW w:w="3071" w:type="dxa"/>
            <w:vAlign w:val="center"/>
          </w:tcPr>
          <w:p>
            <w:pPr>
              <w:autoSpaceDN w:val="0"/>
              <w:textAlignment w:val="center"/>
              <w:rPr>
                <w:rFonts w:ascii="宋体" w:hAnsi="宋体" w:cs="宋体"/>
                <w:sz w:val="24"/>
                <w:szCs w:val="24"/>
              </w:rPr>
            </w:pPr>
            <w:r>
              <w:rPr>
                <w:rFonts w:hint="eastAsia" w:ascii="宋体" w:hAnsi="宋体" w:cs="宋体"/>
                <w:sz w:val="24"/>
                <w:szCs w:val="24"/>
              </w:rPr>
              <w:t>汇川变频器</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1</w:t>
            </w:r>
          </w:p>
        </w:tc>
        <w:tc>
          <w:tcPr>
            <w:tcW w:w="720" w:type="dxa"/>
            <w:vAlign w:val="center"/>
          </w:tcPr>
          <w:p>
            <w:pPr>
              <w:autoSpaceDN w:val="0"/>
              <w:jc w:val="center"/>
              <w:textAlignment w:val="center"/>
              <w:rPr>
                <w:rFonts w:ascii="宋体" w:hAnsi="宋体" w:cs="宋体"/>
                <w:sz w:val="24"/>
                <w:szCs w:val="24"/>
              </w:rPr>
            </w:pPr>
            <w:r>
              <w:rPr>
                <w:rFonts w:hint="eastAsia" w:ascii="宋体" w:hAnsi="宋体" w:cs="宋体"/>
                <w:sz w:val="24"/>
                <w:szCs w:val="24"/>
              </w:rPr>
              <w:t>台</w:t>
            </w:r>
          </w:p>
        </w:tc>
        <w:tc>
          <w:tcPr>
            <w:tcW w:w="3780" w:type="dxa"/>
            <w:vAlign w:val="center"/>
          </w:tcPr>
          <w:p>
            <w:pPr>
              <w:autoSpaceDN w:val="0"/>
              <w:textAlignment w:val="center"/>
              <w:rPr>
                <w:rFonts w:ascii="宋体" w:hAnsi="宋体" w:cs="宋体"/>
                <w:sz w:val="24"/>
                <w:szCs w:val="24"/>
              </w:rPr>
            </w:pPr>
          </w:p>
        </w:tc>
      </w:tr>
    </w:tbl>
    <w:p>
      <w:pPr>
        <w:spacing w:line="560" w:lineRule="exact"/>
        <w:rPr>
          <w:rFonts w:ascii="仿宋_GB2312" w:hAnsi="仿宋_GB2312" w:eastAsia="仿宋_GB2312" w:cs="仿宋_GB2312"/>
          <w:bCs/>
          <w:sz w:val="30"/>
          <w:szCs w:val="30"/>
        </w:rPr>
      </w:pPr>
      <w:r>
        <w:rPr>
          <w:rFonts w:hint="eastAsia" w:ascii="仿宋_GB2312" w:hAnsi="仿宋_GB2312" w:eastAsia="仿宋_GB2312" w:cs="仿宋_GB2312"/>
          <w:bCs/>
          <w:sz w:val="30"/>
          <w:szCs w:val="30"/>
        </w:rPr>
        <w:t>附表三：竞赛项目选手工具</w:t>
      </w:r>
    </w:p>
    <w:tbl>
      <w:tblPr>
        <w:tblStyle w:val="9"/>
        <w:tblW w:w="9252"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80"/>
        <w:gridCol w:w="485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序号</w:t>
            </w:r>
          </w:p>
        </w:tc>
        <w:tc>
          <w:tcPr>
            <w:tcW w:w="1980"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用途</w:t>
            </w:r>
          </w:p>
        </w:tc>
        <w:tc>
          <w:tcPr>
            <w:tcW w:w="4851"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名称</w:t>
            </w:r>
          </w:p>
        </w:tc>
        <w:tc>
          <w:tcPr>
            <w:tcW w:w="1701" w:type="dxa"/>
            <w:vAlign w:val="center"/>
          </w:tcPr>
          <w:p>
            <w:pPr>
              <w:autoSpaceDN w:val="0"/>
              <w:jc w:val="center"/>
              <w:textAlignment w:val="bottom"/>
              <w:rPr>
                <w:rFonts w:ascii="宋体" w:hAnsi="宋体" w:cs="宋体"/>
                <w:b/>
                <w:sz w:val="24"/>
                <w:szCs w:val="24"/>
              </w:rPr>
            </w:pPr>
            <w:r>
              <w:rPr>
                <w:rFonts w:hint="eastAsia" w:ascii="宋体" w:hAnsi="宋体" w:cs="宋体"/>
                <w:b/>
                <w:sz w:val="24"/>
                <w:szCs w:val="24"/>
              </w:rPr>
              <w:t>数量/单位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Align w:val="center"/>
          </w:tcPr>
          <w:p>
            <w:pPr>
              <w:snapToGrid w:val="0"/>
              <w:rPr>
                <w:rFonts w:ascii="宋体" w:hAnsi="宋体" w:cs="宋体"/>
                <w:sz w:val="24"/>
                <w:szCs w:val="24"/>
              </w:rPr>
            </w:pPr>
            <w:r>
              <w:rPr>
                <w:rFonts w:hint="eastAsia" w:ascii="宋体" w:hAnsi="宋体" w:cs="宋体"/>
                <w:sz w:val="24"/>
                <w:szCs w:val="24"/>
              </w:rPr>
              <w:t>1</w:t>
            </w:r>
          </w:p>
        </w:tc>
        <w:tc>
          <w:tcPr>
            <w:tcW w:w="1980" w:type="dxa"/>
            <w:vAlign w:val="center"/>
          </w:tcPr>
          <w:p>
            <w:pPr>
              <w:snapToGrid w:val="0"/>
              <w:rPr>
                <w:rFonts w:ascii="宋体" w:hAnsi="宋体" w:cs="宋体"/>
                <w:sz w:val="24"/>
                <w:szCs w:val="24"/>
              </w:rPr>
            </w:pPr>
            <w:r>
              <w:rPr>
                <w:rFonts w:hint="eastAsia" w:ascii="宋体" w:hAnsi="宋体" w:cs="宋体"/>
                <w:sz w:val="24"/>
                <w:szCs w:val="24"/>
              </w:rPr>
              <w:t>连接电路的工具</w:t>
            </w:r>
          </w:p>
        </w:tc>
        <w:tc>
          <w:tcPr>
            <w:tcW w:w="4851" w:type="dxa"/>
            <w:vAlign w:val="center"/>
          </w:tcPr>
          <w:p>
            <w:pPr>
              <w:snapToGrid w:val="0"/>
              <w:rPr>
                <w:rFonts w:ascii="宋体" w:hAnsi="宋体" w:cs="宋体"/>
                <w:sz w:val="24"/>
                <w:szCs w:val="24"/>
              </w:rPr>
            </w:pPr>
            <w:r>
              <w:rPr>
                <w:rFonts w:hint="eastAsia" w:ascii="宋体" w:hAnsi="宋体" w:cs="宋体"/>
                <w:sz w:val="24"/>
                <w:szCs w:val="24"/>
              </w:rPr>
              <w:t>梅花、十字螺丝刀（不允许用电动螺丝刀）、剥线钳、电工钳、尖咀钳、斜口钳、压线钳、记号笔等</w:t>
            </w:r>
          </w:p>
        </w:tc>
        <w:tc>
          <w:tcPr>
            <w:tcW w:w="1701" w:type="dxa"/>
            <w:vAlign w:val="center"/>
          </w:tcPr>
          <w:p>
            <w:pPr>
              <w:snapToGrid w:val="0"/>
              <w:jc w:val="center"/>
              <w:rPr>
                <w:rFonts w:ascii="宋体" w:hAnsi="宋体" w:cs="宋体"/>
                <w:sz w:val="24"/>
                <w:szCs w:val="24"/>
              </w:rPr>
            </w:pPr>
            <w:r>
              <w:rPr>
                <w:rFonts w:hint="eastAsia" w:ascii="宋体" w:hAnsi="宋体" w:cs="宋体"/>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Align w:val="center"/>
          </w:tcPr>
          <w:p>
            <w:pPr>
              <w:snapToGrid w:val="0"/>
              <w:rPr>
                <w:rFonts w:ascii="宋体" w:hAnsi="宋体" w:cs="宋体"/>
                <w:sz w:val="24"/>
                <w:szCs w:val="24"/>
              </w:rPr>
            </w:pPr>
            <w:r>
              <w:rPr>
                <w:rFonts w:hint="eastAsia" w:ascii="宋体" w:hAnsi="宋体" w:cs="宋体"/>
                <w:sz w:val="24"/>
                <w:szCs w:val="24"/>
              </w:rPr>
              <w:t>2</w:t>
            </w:r>
          </w:p>
        </w:tc>
        <w:tc>
          <w:tcPr>
            <w:tcW w:w="1980" w:type="dxa"/>
            <w:vAlign w:val="center"/>
          </w:tcPr>
          <w:p>
            <w:pPr>
              <w:snapToGrid w:val="0"/>
              <w:rPr>
                <w:rFonts w:ascii="宋体" w:hAnsi="宋体" w:cs="宋体"/>
                <w:sz w:val="24"/>
                <w:szCs w:val="24"/>
              </w:rPr>
            </w:pPr>
            <w:r>
              <w:rPr>
                <w:rFonts w:hint="eastAsia" w:ascii="宋体" w:hAnsi="宋体" w:cs="宋体"/>
                <w:sz w:val="24"/>
                <w:szCs w:val="24"/>
              </w:rPr>
              <w:t>检查工具</w:t>
            </w:r>
          </w:p>
        </w:tc>
        <w:tc>
          <w:tcPr>
            <w:tcW w:w="4851" w:type="dxa"/>
            <w:vAlign w:val="center"/>
          </w:tcPr>
          <w:p>
            <w:pPr>
              <w:snapToGrid w:val="0"/>
              <w:rPr>
                <w:rFonts w:ascii="宋体" w:hAnsi="宋体" w:cs="宋体"/>
                <w:sz w:val="24"/>
                <w:szCs w:val="24"/>
              </w:rPr>
            </w:pPr>
            <w:r>
              <w:rPr>
                <w:rFonts w:hint="eastAsia" w:ascii="宋体" w:hAnsi="宋体" w:cs="宋体"/>
                <w:sz w:val="24"/>
                <w:szCs w:val="24"/>
              </w:rPr>
              <w:t>万用表、计算器、钢板尺、游标卡尺、绝缘摇表、试电笔</w:t>
            </w:r>
          </w:p>
        </w:tc>
        <w:tc>
          <w:tcPr>
            <w:tcW w:w="1701" w:type="dxa"/>
            <w:vAlign w:val="center"/>
          </w:tcPr>
          <w:p>
            <w:pPr>
              <w:snapToGrid w:val="0"/>
              <w:jc w:val="center"/>
              <w:rPr>
                <w:rFonts w:ascii="宋体" w:hAnsi="宋体" w:cs="宋体"/>
                <w:sz w:val="24"/>
                <w:szCs w:val="24"/>
              </w:rPr>
            </w:pPr>
            <w:r>
              <w:rPr>
                <w:rFonts w:hint="eastAsia" w:ascii="宋体" w:hAnsi="宋体" w:cs="宋体"/>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Align w:val="center"/>
          </w:tcPr>
          <w:p>
            <w:pPr>
              <w:snapToGrid w:val="0"/>
              <w:rPr>
                <w:rFonts w:ascii="宋体" w:hAnsi="宋体" w:cs="宋体"/>
                <w:sz w:val="24"/>
                <w:szCs w:val="24"/>
              </w:rPr>
            </w:pPr>
            <w:r>
              <w:rPr>
                <w:rFonts w:hint="eastAsia" w:ascii="宋体" w:hAnsi="宋体" w:cs="宋体"/>
                <w:sz w:val="24"/>
                <w:szCs w:val="24"/>
              </w:rPr>
              <w:t>3</w:t>
            </w:r>
          </w:p>
        </w:tc>
        <w:tc>
          <w:tcPr>
            <w:tcW w:w="1980" w:type="dxa"/>
            <w:vAlign w:val="center"/>
          </w:tcPr>
          <w:p>
            <w:pPr>
              <w:snapToGrid w:val="0"/>
              <w:rPr>
                <w:rFonts w:ascii="宋体" w:hAnsi="宋体" w:cs="宋体"/>
                <w:sz w:val="24"/>
                <w:szCs w:val="24"/>
              </w:rPr>
            </w:pPr>
            <w:r>
              <w:rPr>
                <w:rFonts w:hint="eastAsia" w:ascii="宋体" w:hAnsi="宋体" w:cs="宋体"/>
                <w:sz w:val="24"/>
                <w:szCs w:val="24"/>
              </w:rPr>
              <w:t>书写工具</w:t>
            </w:r>
          </w:p>
        </w:tc>
        <w:tc>
          <w:tcPr>
            <w:tcW w:w="4851" w:type="dxa"/>
            <w:vAlign w:val="center"/>
          </w:tcPr>
          <w:p>
            <w:pPr>
              <w:snapToGrid w:val="0"/>
              <w:rPr>
                <w:rFonts w:ascii="宋体" w:hAnsi="宋体" w:cs="宋体"/>
                <w:sz w:val="24"/>
                <w:szCs w:val="24"/>
              </w:rPr>
            </w:pPr>
            <w:r>
              <w:rPr>
                <w:rFonts w:hint="eastAsia" w:ascii="宋体" w:hAnsi="宋体" w:cs="宋体"/>
                <w:sz w:val="24"/>
                <w:szCs w:val="24"/>
              </w:rPr>
              <w:t>圆珠笔或签字笔、HB和B型铅笔、三角尺等</w:t>
            </w:r>
          </w:p>
        </w:tc>
        <w:tc>
          <w:tcPr>
            <w:tcW w:w="1701" w:type="dxa"/>
            <w:vAlign w:val="center"/>
          </w:tcPr>
          <w:p>
            <w:pPr>
              <w:snapToGrid w:val="0"/>
              <w:jc w:val="center"/>
              <w:rPr>
                <w:rFonts w:ascii="宋体" w:hAnsi="宋体" w:cs="宋体"/>
                <w:sz w:val="24"/>
                <w:szCs w:val="24"/>
              </w:rPr>
            </w:pPr>
            <w:r>
              <w:rPr>
                <w:rFonts w:hint="eastAsia" w:ascii="宋体" w:hAnsi="宋体" w:cs="宋体"/>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Merge w:val="restart"/>
            <w:vAlign w:val="center"/>
          </w:tcPr>
          <w:p>
            <w:pPr>
              <w:snapToGrid w:val="0"/>
              <w:rPr>
                <w:rFonts w:ascii="宋体" w:hAnsi="宋体" w:cs="宋体"/>
                <w:sz w:val="24"/>
                <w:szCs w:val="24"/>
              </w:rPr>
            </w:pPr>
            <w:r>
              <w:rPr>
                <w:rFonts w:hint="eastAsia" w:ascii="宋体" w:hAnsi="宋体" w:cs="宋体"/>
                <w:sz w:val="24"/>
                <w:szCs w:val="24"/>
              </w:rPr>
              <w:t>4</w:t>
            </w:r>
          </w:p>
        </w:tc>
        <w:tc>
          <w:tcPr>
            <w:tcW w:w="1980" w:type="dxa"/>
            <w:vMerge w:val="restart"/>
            <w:vAlign w:val="center"/>
          </w:tcPr>
          <w:p>
            <w:pPr>
              <w:snapToGrid w:val="0"/>
              <w:rPr>
                <w:rFonts w:ascii="宋体" w:hAnsi="宋体" w:cs="宋体"/>
                <w:sz w:val="24"/>
                <w:szCs w:val="24"/>
              </w:rPr>
            </w:pPr>
            <w:r>
              <w:rPr>
                <w:rFonts w:hint="eastAsia" w:ascii="宋体" w:hAnsi="宋体" w:cs="宋体"/>
                <w:sz w:val="24"/>
                <w:szCs w:val="24"/>
              </w:rPr>
              <w:t>安全用具</w:t>
            </w:r>
          </w:p>
        </w:tc>
        <w:tc>
          <w:tcPr>
            <w:tcW w:w="4851" w:type="dxa"/>
            <w:vAlign w:val="center"/>
          </w:tcPr>
          <w:p>
            <w:pPr>
              <w:snapToGrid w:val="0"/>
              <w:rPr>
                <w:rFonts w:ascii="宋体" w:hAnsi="宋体" w:cs="宋体"/>
                <w:sz w:val="24"/>
                <w:szCs w:val="24"/>
              </w:rPr>
            </w:pPr>
            <w:r>
              <w:rPr>
                <w:rFonts w:hint="eastAsia" w:ascii="宋体" w:hAnsi="宋体" w:cs="宋体"/>
                <w:sz w:val="24"/>
                <w:szCs w:val="24"/>
              </w:rPr>
              <w:t>绝缘鞋</w:t>
            </w:r>
          </w:p>
        </w:tc>
        <w:tc>
          <w:tcPr>
            <w:tcW w:w="1701" w:type="dxa"/>
            <w:vAlign w:val="center"/>
          </w:tcPr>
          <w:p>
            <w:pPr>
              <w:snapToGri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Merge w:val="continue"/>
            <w:vAlign w:val="center"/>
          </w:tcPr>
          <w:p>
            <w:pPr>
              <w:snapToGrid w:val="0"/>
              <w:rPr>
                <w:rFonts w:ascii="宋体" w:hAnsi="宋体" w:cs="宋体"/>
                <w:sz w:val="24"/>
                <w:szCs w:val="24"/>
              </w:rPr>
            </w:pPr>
          </w:p>
        </w:tc>
        <w:tc>
          <w:tcPr>
            <w:tcW w:w="1980" w:type="dxa"/>
            <w:vMerge w:val="continue"/>
            <w:vAlign w:val="center"/>
          </w:tcPr>
          <w:p>
            <w:pPr>
              <w:snapToGrid w:val="0"/>
              <w:rPr>
                <w:rFonts w:ascii="宋体" w:hAnsi="宋体" w:cs="宋体"/>
                <w:sz w:val="24"/>
                <w:szCs w:val="24"/>
              </w:rPr>
            </w:pPr>
          </w:p>
        </w:tc>
        <w:tc>
          <w:tcPr>
            <w:tcW w:w="4851" w:type="dxa"/>
            <w:vAlign w:val="center"/>
          </w:tcPr>
          <w:p>
            <w:pPr>
              <w:snapToGrid w:val="0"/>
              <w:rPr>
                <w:rFonts w:ascii="宋体" w:hAnsi="宋体" w:cs="宋体"/>
                <w:sz w:val="24"/>
                <w:szCs w:val="24"/>
              </w:rPr>
            </w:pPr>
            <w:r>
              <w:rPr>
                <w:rFonts w:hint="eastAsia" w:ascii="宋体" w:hAnsi="宋体" w:cs="宋体"/>
                <w:sz w:val="24"/>
                <w:szCs w:val="24"/>
              </w:rPr>
              <w:t>工装</w:t>
            </w:r>
          </w:p>
        </w:tc>
        <w:tc>
          <w:tcPr>
            <w:tcW w:w="1701" w:type="dxa"/>
            <w:vAlign w:val="center"/>
          </w:tcPr>
          <w:p>
            <w:pPr>
              <w:snapToGrid w:val="0"/>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Merge w:val="continue"/>
            <w:vAlign w:val="center"/>
          </w:tcPr>
          <w:p>
            <w:pPr>
              <w:snapToGrid w:val="0"/>
              <w:rPr>
                <w:rFonts w:ascii="宋体" w:hAnsi="宋体" w:cs="宋体"/>
                <w:sz w:val="24"/>
                <w:szCs w:val="24"/>
              </w:rPr>
            </w:pPr>
          </w:p>
        </w:tc>
        <w:tc>
          <w:tcPr>
            <w:tcW w:w="1980" w:type="dxa"/>
            <w:vMerge w:val="continue"/>
            <w:vAlign w:val="center"/>
          </w:tcPr>
          <w:p>
            <w:pPr>
              <w:snapToGrid w:val="0"/>
              <w:rPr>
                <w:rFonts w:ascii="宋体" w:hAnsi="宋体" w:cs="宋体"/>
                <w:sz w:val="24"/>
                <w:szCs w:val="24"/>
              </w:rPr>
            </w:pPr>
          </w:p>
        </w:tc>
        <w:tc>
          <w:tcPr>
            <w:tcW w:w="4851" w:type="dxa"/>
            <w:vAlign w:val="center"/>
          </w:tcPr>
          <w:p>
            <w:pPr>
              <w:snapToGrid w:val="0"/>
              <w:rPr>
                <w:rFonts w:ascii="宋体" w:hAnsi="宋体" w:cs="宋体"/>
                <w:sz w:val="24"/>
                <w:szCs w:val="24"/>
              </w:rPr>
            </w:pPr>
            <w:r>
              <w:rPr>
                <w:rFonts w:hint="eastAsia" w:ascii="宋体" w:hAnsi="宋体" w:cs="宋体"/>
                <w:sz w:val="24"/>
                <w:szCs w:val="24"/>
              </w:rPr>
              <w:t>安全帽</w:t>
            </w:r>
          </w:p>
        </w:tc>
        <w:tc>
          <w:tcPr>
            <w:tcW w:w="1701" w:type="dxa"/>
            <w:vAlign w:val="center"/>
          </w:tcPr>
          <w:p>
            <w:pPr>
              <w:snapToGrid w:val="0"/>
              <w:rPr>
                <w:rFonts w:ascii="宋体" w:hAnsi="宋体" w:cs="宋体"/>
                <w:sz w:val="24"/>
                <w:szCs w:val="24"/>
              </w:rPr>
            </w:pPr>
          </w:p>
        </w:tc>
      </w:tr>
    </w:tbl>
    <w:p>
      <w:pPr>
        <w:spacing w:line="560" w:lineRule="exact"/>
        <w:ind w:firstLine="600" w:firstLineChars="200"/>
        <w:rPr>
          <w:rFonts w:ascii="仿宋_GB2312" w:eastAsia="仿宋_GB2312"/>
          <w:sz w:val="30"/>
          <w:szCs w:val="30"/>
        </w:rPr>
      </w:pPr>
      <w:r>
        <w:rPr>
          <w:rFonts w:hint="eastAsia" w:ascii="仿宋_GB2312" w:eastAsia="仿宋_GB2312"/>
          <w:sz w:val="30"/>
          <w:szCs w:val="30"/>
        </w:rPr>
        <w:t>配套器材：</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w:t>
      </w:r>
      <w:r>
        <w:rPr>
          <w:rFonts w:ascii="仿宋_GB2312" w:eastAsia="仿宋_GB2312"/>
          <w:sz w:val="30"/>
          <w:szCs w:val="30"/>
        </w:rPr>
        <w:t>1</w:t>
      </w:r>
      <w:r>
        <w:rPr>
          <w:rFonts w:hint="eastAsia" w:ascii="仿宋_GB2312" w:eastAsia="仿宋_GB2312"/>
          <w:sz w:val="30"/>
          <w:szCs w:val="30"/>
        </w:rPr>
        <w:t>）连接配用电线路、控制线路需要的导线等；</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w:t>
      </w:r>
      <w:r>
        <w:rPr>
          <w:rFonts w:ascii="仿宋_GB2312" w:eastAsia="仿宋_GB2312"/>
          <w:sz w:val="30"/>
          <w:szCs w:val="30"/>
        </w:rPr>
        <w:t>2</w:t>
      </w:r>
      <w:r>
        <w:rPr>
          <w:rFonts w:hint="eastAsia" w:ascii="仿宋_GB2312" w:eastAsia="仿宋_GB2312"/>
          <w:sz w:val="30"/>
          <w:szCs w:val="30"/>
        </w:rPr>
        <w:t>）控制用三相交流异步电动机、步进电机等；</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w:t>
      </w:r>
      <w:r>
        <w:rPr>
          <w:rFonts w:ascii="仿宋_GB2312" w:eastAsia="仿宋_GB2312"/>
          <w:sz w:val="30"/>
          <w:szCs w:val="30"/>
        </w:rPr>
        <w:t>3</w:t>
      </w:r>
      <w:r>
        <w:rPr>
          <w:rFonts w:hint="eastAsia" w:ascii="仿宋_GB2312" w:eastAsia="仿宋_GB2312"/>
          <w:sz w:val="30"/>
          <w:szCs w:val="30"/>
        </w:rPr>
        <w:t>）安装电器元件和器件需要的紧固零件等；</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w:t>
      </w:r>
      <w:r>
        <w:rPr>
          <w:rFonts w:ascii="仿宋_GB2312" w:eastAsia="仿宋_GB2312"/>
          <w:sz w:val="30"/>
          <w:szCs w:val="30"/>
        </w:rPr>
        <w:t>4</w:t>
      </w:r>
      <w:r>
        <w:rPr>
          <w:rFonts w:hint="eastAsia" w:ascii="仿宋_GB2312" w:eastAsia="仿宋_GB2312"/>
          <w:sz w:val="30"/>
          <w:szCs w:val="30"/>
        </w:rPr>
        <w:t>）用于导线连接端子编号的异型管、导线尼龙扎带等。</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电气控制技术实训考核装置的技术参数</w:t>
      </w:r>
    </w:p>
    <w:p>
      <w:pPr>
        <w:spacing w:line="560" w:lineRule="exact"/>
        <w:ind w:left="192" w:firstLine="300" w:firstLineChars="100"/>
        <w:jc w:val="left"/>
        <w:rPr>
          <w:rFonts w:ascii="仿宋_GB2312" w:eastAsia="仿宋_GB2312"/>
          <w:sz w:val="30"/>
          <w:szCs w:val="30"/>
        </w:rPr>
      </w:pPr>
      <w:r>
        <w:rPr>
          <w:rFonts w:hint="eastAsia" w:ascii="仿宋_GB2312" w:eastAsia="仿宋_GB2312"/>
          <w:sz w:val="30"/>
          <w:szCs w:val="30"/>
        </w:rPr>
        <w:t>（1）工作电源：三相五线制 AC 380 V±10%  50 Hz；</w:t>
      </w:r>
    </w:p>
    <w:p>
      <w:pPr>
        <w:spacing w:line="560" w:lineRule="exact"/>
        <w:ind w:left="192" w:firstLine="300" w:firstLineChars="100"/>
        <w:jc w:val="left"/>
        <w:rPr>
          <w:rFonts w:ascii="仿宋_GB2312" w:eastAsia="仿宋_GB2312"/>
          <w:sz w:val="30"/>
          <w:szCs w:val="30"/>
        </w:rPr>
      </w:pPr>
      <w:r>
        <w:rPr>
          <w:rFonts w:hint="eastAsia" w:ascii="仿宋_GB2312" w:eastAsia="仿宋_GB2312"/>
          <w:sz w:val="30"/>
          <w:szCs w:val="30"/>
        </w:rPr>
        <w:t>（2）设备外形尺寸：长×宽×高＝850mm×800mm×1800mm；</w:t>
      </w:r>
    </w:p>
    <w:p>
      <w:pPr>
        <w:spacing w:line="560" w:lineRule="exact"/>
        <w:ind w:left="192" w:firstLine="300" w:firstLineChars="100"/>
        <w:jc w:val="left"/>
        <w:rPr>
          <w:rFonts w:ascii="仿宋_GB2312" w:eastAsia="仿宋_GB2312"/>
          <w:sz w:val="30"/>
          <w:szCs w:val="30"/>
        </w:rPr>
      </w:pPr>
      <w:r>
        <w:rPr>
          <w:rFonts w:hint="eastAsia" w:ascii="仿宋_GB2312" w:eastAsia="仿宋_GB2312"/>
          <w:sz w:val="30"/>
          <w:szCs w:val="30"/>
        </w:rPr>
        <w:t>（3）电脑桌外形尺寸：长×宽×高＝600mm×530mm×1000mm；</w:t>
      </w:r>
    </w:p>
    <w:p>
      <w:pPr>
        <w:spacing w:line="560" w:lineRule="exact"/>
        <w:ind w:left="192" w:firstLine="300" w:firstLineChars="100"/>
        <w:jc w:val="left"/>
        <w:rPr>
          <w:rFonts w:ascii="仿宋_GB2312" w:eastAsia="仿宋_GB2312"/>
          <w:sz w:val="30"/>
          <w:szCs w:val="30"/>
        </w:rPr>
      </w:pPr>
      <w:r>
        <w:rPr>
          <w:rFonts w:hint="eastAsia" w:ascii="仿宋_GB2312" w:eastAsia="仿宋_GB2312"/>
          <w:sz w:val="30"/>
          <w:szCs w:val="30"/>
        </w:rPr>
        <w:t>（4）台架材料：柜式钢结构；</w:t>
      </w:r>
    </w:p>
    <w:p>
      <w:pPr>
        <w:spacing w:line="560" w:lineRule="exact"/>
        <w:ind w:left="192" w:firstLine="300" w:firstLineChars="100"/>
        <w:jc w:val="left"/>
        <w:rPr>
          <w:rFonts w:ascii="仿宋_GB2312" w:eastAsia="仿宋_GB2312"/>
          <w:sz w:val="30"/>
          <w:szCs w:val="30"/>
        </w:rPr>
      </w:pPr>
      <w:r>
        <w:rPr>
          <w:rFonts w:hint="eastAsia" w:ascii="仿宋_GB2312" w:eastAsia="仿宋_GB2312"/>
          <w:sz w:val="30"/>
          <w:szCs w:val="30"/>
        </w:rPr>
        <w:t>（5）整机最大输入功率：≤1 KVA；</w:t>
      </w:r>
    </w:p>
    <w:p>
      <w:pPr>
        <w:spacing w:line="560" w:lineRule="exact"/>
        <w:ind w:left="192" w:firstLine="300" w:firstLineChars="100"/>
        <w:jc w:val="left"/>
        <w:rPr>
          <w:rFonts w:ascii="仿宋_GB2312" w:eastAsia="仿宋_GB2312"/>
          <w:sz w:val="30"/>
          <w:szCs w:val="30"/>
        </w:rPr>
      </w:pPr>
      <w:r>
        <w:rPr>
          <w:rFonts w:hint="eastAsia" w:ascii="仿宋_GB2312" w:eastAsia="仿宋_GB2312"/>
          <w:sz w:val="30"/>
          <w:szCs w:val="30"/>
        </w:rPr>
        <w:t>（6）安全保护措施：具有接地保护、漏电过载过流保护功能，具有误操作保护功能；安全性符合相关的国标标准，所有材质均符合环保标准。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（三）竞赛场地的基本要求</w:t>
      </w:r>
    </w:p>
    <w:p>
      <w:pPr>
        <w:spacing w:line="560" w:lineRule="exact"/>
        <w:ind w:firstLine="588" w:firstLineChars="196"/>
        <w:rPr>
          <w:rFonts w:ascii="仿宋_GB2312" w:eastAsia="仿宋_GB2312"/>
          <w:sz w:val="30"/>
          <w:szCs w:val="30"/>
        </w:rPr>
      </w:pPr>
      <w:r>
        <w:rPr>
          <w:rFonts w:hint="eastAsia" w:ascii="仿宋_GB2312" w:eastAsia="仿宋_GB2312"/>
          <w:sz w:val="30"/>
          <w:szCs w:val="30"/>
        </w:rPr>
        <w:t>每个工作组使用场地为3米×5米（约15平方米）,工作场地及安全（参观）通道、裁判工作场地等则需要1200-1300平方米。分成2个场地面积需在此基础上增加约100平方米以上（即为：场地1+场地2，不少于1300-1400平方米）。分2场比赛，则场地则需700平方米。</w:t>
      </w:r>
    </w:p>
    <w:p>
      <w:pPr>
        <w:spacing w:line="560" w:lineRule="exact"/>
        <w:ind w:firstLine="588" w:firstLineChars="196"/>
        <w:rPr>
          <w:rFonts w:ascii="仿宋_GB2312" w:eastAsia="仿宋_GB2312"/>
          <w:sz w:val="30"/>
          <w:szCs w:val="30"/>
        </w:rPr>
      </w:pPr>
      <w:r>
        <w:rPr>
          <w:rFonts w:hint="eastAsia" w:ascii="仿宋_GB2312" w:eastAsia="仿宋_GB2312"/>
          <w:sz w:val="30"/>
          <w:szCs w:val="30"/>
        </w:rPr>
        <w:t>场地地面平整，能防风遮雨，地面与顶棚净高不少于3.2米。采光或人工照明良好。</w:t>
      </w:r>
    </w:p>
    <w:p>
      <w:pPr>
        <w:spacing w:line="560" w:lineRule="exact"/>
        <w:ind w:firstLine="588" w:firstLineChars="196"/>
        <w:rPr>
          <w:rFonts w:ascii="仿宋_GB2312" w:eastAsia="仿宋_GB2312"/>
          <w:sz w:val="30"/>
          <w:szCs w:val="30"/>
        </w:rPr>
      </w:pPr>
      <w:r>
        <w:rPr>
          <w:rFonts w:hint="eastAsia" w:ascii="仿宋_GB2312" w:eastAsia="仿宋_GB2312"/>
          <w:sz w:val="30"/>
          <w:szCs w:val="30"/>
        </w:rPr>
        <w:t>场地应通风良好，具有完好的防暑降温设施（空调或风扇）。场地环境噪声较小。</w:t>
      </w:r>
    </w:p>
    <w:p>
      <w:pPr>
        <w:spacing w:line="560" w:lineRule="exact"/>
        <w:ind w:firstLine="588" w:firstLineChars="196"/>
        <w:rPr>
          <w:rFonts w:ascii="仿宋_GB2312" w:eastAsia="仿宋_GB2312"/>
          <w:sz w:val="30"/>
          <w:szCs w:val="30"/>
        </w:rPr>
      </w:pPr>
      <w:r>
        <w:rPr>
          <w:rFonts w:hint="eastAsia" w:ascii="仿宋_GB2312" w:eastAsia="仿宋_GB2312"/>
          <w:sz w:val="30"/>
          <w:szCs w:val="30"/>
        </w:rPr>
        <w:t>现场提供三相五线只电源，不少于75KVA的供电容量。不需要提供压缩空气。</w:t>
      </w:r>
    </w:p>
    <w:p>
      <w:pPr>
        <w:spacing w:line="560" w:lineRule="exact"/>
        <w:ind w:firstLine="588" w:firstLineChars="196"/>
        <w:rPr>
          <w:rFonts w:ascii="仿宋_GB2312" w:eastAsia="仿宋_GB2312"/>
          <w:sz w:val="30"/>
          <w:szCs w:val="30"/>
        </w:rPr>
      </w:pPr>
      <w:r>
        <w:rPr>
          <w:rFonts w:hint="eastAsia" w:ascii="仿宋_GB2312" w:eastAsia="仿宋_GB2312"/>
          <w:sz w:val="30"/>
          <w:szCs w:val="30"/>
        </w:rPr>
        <w:t>赛场附近30米内，有洁净的男女卫生间。</w:t>
      </w:r>
    </w:p>
    <w:p>
      <w:pPr>
        <w:spacing w:line="560" w:lineRule="exact"/>
        <w:ind w:firstLine="588" w:firstLineChars="196"/>
        <w:rPr>
          <w:rFonts w:ascii="仿宋_GB2312" w:eastAsia="仿宋_GB2312"/>
          <w:sz w:val="30"/>
          <w:szCs w:val="30"/>
        </w:rPr>
      </w:pPr>
      <w:r>
        <w:rPr>
          <w:rFonts w:hint="eastAsia" w:ascii="仿宋_GB2312" w:eastAsia="仿宋_GB2312"/>
          <w:sz w:val="30"/>
          <w:szCs w:val="30"/>
        </w:rPr>
        <w:t>场地附近有能提供指导教师休息场所。</w:t>
      </w:r>
    </w:p>
    <w:p>
      <w:pPr>
        <w:snapToGrid w:val="0"/>
        <w:spacing w:line="560" w:lineRule="exact"/>
        <w:ind w:firstLine="600" w:firstLineChars="200"/>
        <w:rPr>
          <w:rFonts w:ascii="仿宋_GB2312" w:eastAsia="仿宋_GB2312"/>
          <w:sz w:val="30"/>
          <w:szCs w:val="30"/>
        </w:rPr>
      </w:pPr>
      <w:r>
        <w:rPr>
          <w:rFonts w:hint="eastAsia" w:ascii="仿宋_GB2312" w:eastAsia="仿宋_GB2312"/>
          <w:sz w:val="30"/>
          <w:szCs w:val="30"/>
        </w:rPr>
        <w:t>场地内部消防设施齐全，应有不少于2处的人员疏散大门。场地旁边应有能进入医疗、消防等急救车辆通道。</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十四、安全保障</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参照《全国职业院校技能大赛安全管理规定》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（一）赛项安全管理要求</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比赛内容涉及的器材、设备符合国家有关安全规定。赛项专家组充分考虑比赛内容和所用器材、耗材可能存在的危险因素，通过完善设计规避风险，采取有效防范措施保证选手备赛和比赛安全。危险提示和防范措施应在赛项技术文件中加以说明。</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2．赛项技术文件包含国家（或行业）有关职业岗位安全的规范、条例和资格证书要求等内容。</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赛项执委会须在赛前对本赛项全体裁判员、工作人员进行安全培训。源于实际生产过程的赛项，须根据《中华人民共和国劳动法》等法律法规，建立完善的安全事故防范制度，并在赛前对选手进行培训，避免发生人身伤害事故。</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4．赛项执委会须制定专门方案保证比赛命题、赛题保管、发放、回收和评判过程的安全。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（二）比赛环境安全管理要求</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赛项执委会须在赛前组织专人对比赛现场、住宿场所和交通保障进行考察，并对安全工作提出明确要求。赛场的布置，赛场内的器材、设备，应符合国家有关安全规定。如有必要，也可进行赛场仿真模拟测试，以发现可能出现的问题。承办院校赛前须按照赛项执委会要求排除安全隐患。</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2．赛场周围要设立警戒线，防止无关人员进入，发生意外事件。比赛现场内参照相关职业岗位的要求为选手提供必要的劳动保护。在具有危险性的操作环节，裁判员要严防选手出现错误操作。</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3．承办院校提供保障应急预案实施的条件。对于比赛内容涉及高空作业、坠物、用电量大、易发生火灾等情况的赛项，必须明确制度和预案，并配备急救人员与设施。</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4．赛项执委会须会同承办院校制定开放赛场和体验区的人员疏导方案。赛场环境中存在人员密集、车流人流交错的区域，除了设置齐全的指示标志外，须增加引导人员，并开辟备用通道。</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5．大赛期间，赛项承办院校须在赛场管理的关键岗位，增加力量，建立安全管理日志。</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6．在参赛选手进入赛位，赛项裁判工作人员进入工作场所时，赛项承办院校有责任提醒、督促参赛选手、赛项裁判工作人员严禁携带通讯、照相摄录设备，禁止携带未经许可的记录用具。如确有需要，由赛场统一配置，统一管理。赛项可根据需要配置安检设备，对进入赛场重要区域的人员进行安检，可在赛场相关区域安放无线屏蔽设备。</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（三）生活条件</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比赛期间，原则上由赛事承办院校统一安排参赛选手和指导教师食宿。承办院校须尊重少数民族参赛人员的宗教信仰及文化习俗，根据国家相关的民族、宗教政策，安排好少数民族参赛选手和教师的饮食起居。</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2．比赛期间安排的住宿地应具有宾馆、住宿经营许可资质。以学校宿舍作为住宿地的，大赛期间的住宿、卫生、饮食安全等由赛项执委会和提供宿舍的学校共同负责。</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3．大赛期间有组织的参观和观摩活动的交通安全由赛区组委会负责。赛项执委会和承办院校须保证比赛期间选手、指导教师和裁判员、工作人员的交通安全。</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4．各赛项的安全管理，除必要的安全隔离措施外，应严格遵守国家相关法律法规，保护个人隐私和人身自由。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（四）参赛队职责</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1．各省、自治区、直辖市和计划单列市在组织参赛队时，须安排为参赛选手购买大赛期间的人身意外伤害保险。</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2．各省、自治区、直辖市和计划单列市参赛队组成后，须制定相关管理制度，并对所有参赛选手、指导教师进行安全教育。</w:t>
      </w:r>
    </w:p>
    <w:p>
      <w:pPr>
        <w:snapToGrid w:val="0"/>
        <w:spacing w:line="560" w:lineRule="exact"/>
        <w:ind w:firstLine="600" w:firstLineChars="200"/>
        <w:rPr>
          <w:rFonts w:hint="eastAsia" w:ascii="仿宋_GB2312" w:hAnsi="仿宋" w:eastAsia="仿宋_GB2312"/>
          <w:sz w:val="30"/>
          <w:szCs w:val="30"/>
        </w:rPr>
      </w:pPr>
      <w:r>
        <w:rPr>
          <w:rFonts w:hint="eastAsia" w:ascii="仿宋_GB2312" w:hAnsi="仿宋" w:eastAsia="仿宋_GB2312"/>
          <w:sz w:val="30"/>
          <w:szCs w:val="30"/>
        </w:rPr>
        <w:t>3．各参赛队伍须加强参与比赛人员的安全管理，并与赛场安全管理对接。</w:t>
      </w:r>
    </w:p>
    <w:p>
      <w:pPr>
        <w:snapToGrid w:val="0"/>
        <w:spacing w:line="560" w:lineRule="exact"/>
        <w:ind w:firstLine="600" w:firstLineChars="200"/>
        <w:rPr>
          <w:rFonts w:ascii="Arial Narrow" w:hAnsi="Arial Narrow" w:eastAsia="仿宋_GB2312" w:cs="Arial"/>
          <w:sz w:val="30"/>
          <w:szCs w:val="30"/>
        </w:rPr>
      </w:pPr>
      <w:bookmarkStart w:id="0" w:name="_Toc358879469"/>
      <w:bookmarkStart w:id="1" w:name="_Toc327001673"/>
      <w:r>
        <w:rPr>
          <w:rFonts w:hint="eastAsia" w:ascii="Arial Narrow" w:hAnsi="Arial Narrow" w:eastAsia="仿宋_GB2312" w:cs="Arial"/>
          <w:sz w:val="30"/>
          <w:szCs w:val="30"/>
        </w:rPr>
        <w:t>（五）赛项电气安全事故应急预案</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为预防和制止突发事件的发生和扩展，成立赛场突发事件应急处置指挥领导小组。指挥领导小组下设三个工作组，即通讯联络组、防护救护组、安全保障组。</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 xml:space="preserve"> 1.领导小组职责</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（1）加强领导，强化工作职责，完善各项应急预案和各项措施的落实；</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（2）组织、指挥、协调各部门参与相应应急行动，下达应急任务；</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（3）突发事件发生后，积极做好相应措施，制止事态蔓延；</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（4）认真搞好各项物资保障，配备好比赛场馆内的消防设施器材；</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（5）配备救护车辆和医护人员，值班电话；</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（6）限制电流量，不准超负荷用电，赛场用电设备线路必须符合安全用电和消防安全要求，赛场内白天有电工值班，夜间拉闸断电，值班电话；</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（7）普及安全教育，宣传落实突发事件应急方案，措施实施；</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（8）突发事件发生后，立即通知安保组，做好相应的措施，维护好事故现场秩序，制止事故蔓延。</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2.通讯联络组职责</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（1）及时传达学校领导的部署和要求；</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（2）负责突发事件处理中使用车辆的调配，以及与相关部门的联系；</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 负责对校内、校外的联络和突发事件处理情况的报告工作。</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3.防护救护组职责</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（1）负责对现场伤员采取妥善紧急救护措施；</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（2）负责联系120急救事宜和救护医院；</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（3）负责安排、护送伤员至救护医院和治疗等相关事宜。</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4.安全保障组职责</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（1）维护赛场内、外秩序稳定；</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（2）引导护送事发赛场相关人员迅速撤离或转移到安全地带；</w:t>
      </w:r>
    </w:p>
    <w:p>
      <w:pPr>
        <w:adjustRightInd w:val="0"/>
        <w:spacing w:line="560" w:lineRule="exact"/>
        <w:ind w:firstLine="600" w:firstLineChars="200"/>
        <w:rPr>
          <w:rFonts w:ascii="仿宋_GB2312" w:hAnsi="仿宋" w:eastAsia="仿宋_GB2312"/>
          <w:sz w:val="30"/>
          <w:szCs w:val="30"/>
        </w:rPr>
      </w:pPr>
      <w:bookmarkStart w:id="2" w:name="_Toc514835957"/>
      <w:r>
        <w:rPr>
          <w:rFonts w:hint="eastAsia" w:ascii="仿宋_GB2312" w:hAnsi="仿宋" w:eastAsia="仿宋_GB2312"/>
          <w:sz w:val="30"/>
          <w:szCs w:val="30"/>
        </w:rPr>
        <w:t>5.处置程序</w:t>
      </w:r>
      <w:bookmarkEnd w:id="2"/>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（1）发现安全隐患或突发事件时，现场人员应立即向安全保障组报告，安全保障组接报后要迅速到达事发现场，配合公安、消防部门人员，组织保卫、保安、志愿者等搞好抢救工作。</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2.视突发事件的具体情况，分别向上级主管部门和相关部门报告，并立即启动赛项突发事件处理预案。</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3.安全出口执勤人员，接到指令后立即疏导参赛人员有序撤离事发现场。</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若发生意外伤害事件或突发急症病人时，防护救护组全体人员立即赶赴现场,采取紧急救治措施，积极施救；若病人病情复杂、危重，受医疗水平及现场条件所限无法救治，即刻联系市急救中心，由120急救中心人员采取相应措施施救。</w:t>
      </w:r>
    </w:p>
    <w:p>
      <w:pPr>
        <w:adjustRightInd w:val="0"/>
        <w:spacing w:line="560" w:lineRule="exact"/>
        <w:ind w:firstLine="600" w:firstLineChars="200"/>
        <w:rPr>
          <w:rFonts w:ascii="仿宋_GB2312" w:hAnsi="仿宋" w:eastAsia="仿宋_GB2312"/>
          <w:sz w:val="30"/>
          <w:szCs w:val="30"/>
        </w:rPr>
      </w:pPr>
      <w:bookmarkStart w:id="3" w:name="_Toc22355"/>
      <w:r>
        <w:rPr>
          <w:rFonts w:hint="eastAsia" w:ascii="仿宋_GB2312" w:hAnsi="仿宋" w:eastAsia="仿宋_GB2312"/>
          <w:sz w:val="30"/>
          <w:szCs w:val="30"/>
        </w:rPr>
        <w:t>6.设备设施电气安全</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w:t>
      </w:r>
      <w:r>
        <w:rPr>
          <w:rFonts w:ascii="仿宋_GB2312" w:hAnsi="仿宋" w:eastAsia="仿宋_GB2312"/>
          <w:sz w:val="30"/>
          <w:szCs w:val="30"/>
        </w:rPr>
        <w:t>根据竞赛组委会专家组提出的要求或设计，研发、试制用于技能竞赛的设备样品，经组委会组织专家评审后进一步改进。专家鉴定合格后，投入生产。经质量检测部门检验合格后，在规定的时间内，将所需要的竞赛设备送达组委会指定的地点或需要的学校。</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（2）比赛设备和设施安装严格按照专家组要求的安全施工标准施工，电源布线、电气安装按规范施工。</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（3）每台竞赛设备和计算机使用独立的电源，保障电源安全。</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（4）每台计算机配备一个UBS电源，同时选手在进行计算机编程时要及时存盘，避免突然停电造成数据丢失。</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（5）每台竞赛设备必须经过专家组验收合格方能进入竞赛工位。</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（6）每个工位统一摆放竞赛所需的耗材、工具及其他所需的材料，数量及规格严格按照专家组指定的清单提供。</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（7）每个工位大小、间距、工位号、过道等严格按照专家组提供的标准施工。</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（8）竞赛场地提供备用设备，性能同竞赛设备一致，数量按专家组要求提供。</w:t>
      </w:r>
    </w:p>
    <w:bookmarkEnd w:id="3"/>
    <w:p>
      <w:pPr>
        <w:adjustRightInd w:val="0"/>
        <w:spacing w:line="560" w:lineRule="exact"/>
        <w:ind w:firstLine="600" w:firstLineChars="200"/>
        <w:rPr>
          <w:rFonts w:ascii="仿宋_GB2312" w:hAnsi="仿宋" w:eastAsia="仿宋_GB2312"/>
          <w:sz w:val="30"/>
          <w:szCs w:val="30"/>
        </w:rPr>
      </w:pPr>
      <w:bookmarkStart w:id="4" w:name="_Toc512413175"/>
      <w:bookmarkStart w:id="5" w:name="_Toc449884001"/>
      <w:bookmarkStart w:id="6" w:name="_Toc12467"/>
      <w:r>
        <w:rPr>
          <w:rFonts w:hint="eastAsia" w:ascii="仿宋_GB2312" w:hAnsi="仿宋" w:eastAsia="仿宋_GB2312"/>
          <w:sz w:val="30"/>
          <w:szCs w:val="30"/>
        </w:rPr>
        <w:t>7.医疗服务</w:t>
      </w:r>
      <w:bookmarkEnd w:id="4"/>
      <w:bookmarkEnd w:id="5"/>
      <w:bookmarkEnd w:id="6"/>
      <w:r>
        <w:rPr>
          <w:rFonts w:hint="eastAsia" w:ascii="仿宋_GB2312" w:hAnsi="仿宋" w:eastAsia="仿宋_GB2312"/>
          <w:sz w:val="30"/>
          <w:szCs w:val="30"/>
        </w:rPr>
        <w:t>要求</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（1）每处大赛场馆均有一名专职医师现场值班。</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（2）携带必备药品，如出现一般疾病，值班医师现场及时处置。</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（3）如出现休克、心脏病发作等重症疾病，医生在现场第一时间紧急救护的同时，立即联系救护车送往医院救治。</w:t>
      </w:r>
    </w:p>
    <w:p>
      <w:pPr>
        <w:adjustRightIn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 xml:space="preserve">     (4)发生人员意外伤害时应急流程</w:t>
      </w:r>
    </w:p>
    <w:p>
      <w:pPr>
        <w:adjustRightInd w:val="0"/>
        <w:spacing w:line="560" w:lineRule="exact"/>
        <w:ind w:firstLine="600" w:firstLineChars="200"/>
        <w:rPr>
          <w:rFonts w:ascii="仿宋" w:hAnsi="仿宋" w:eastAsia="仿宋" w:cs="仿宋"/>
          <w:bCs/>
          <w:sz w:val="28"/>
          <w:szCs w:val="28"/>
        </w:rPr>
      </w:pPr>
      <w:r>
        <w:rPr>
          <w:rFonts w:hint="eastAsia" w:ascii="仿宋_GB2312" w:hAnsi="仿宋" w:eastAsia="仿宋_GB2312"/>
          <w:sz w:val="30"/>
          <w:szCs w:val="30"/>
        </w:rPr>
        <w:t>若发生意外伤害事件或突发急症病人时，防护救护组全体人员立即赶赴现场,采取紧急救治措施，积极施救；若病人病情复杂、危重，受医疗水平及现场条件所限无法救治，即刻联系市急救中心，由120急救中心人员采取相应措施施救。</w:t>
      </w:r>
      <w:bookmarkEnd w:id="0"/>
      <w:bookmarkEnd w:id="1"/>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十五、经费概算</w:t>
      </w:r>
    </w:p>
    <w:p>
      <w:pPr>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按照《全国职业院校技能大赛赛项经费管理规定》</w:t>
      </w:r>
    </w:p>
    <w:p>
      <w:pPr>
        <w:spacing w:line="560" w:lineRule="exact"/>
        <w:ind w:firstLine="600" w:firstLineChars="200"/>
        <w:rPr>
          <w:rFonts w:ascii="仿宋_GB2312" w:hAnsi="仿宋" w:eastAsia="仿宋_GB2312"/>
          <w:sz w:val="30"/>
          <w:szCs w:val="30"/>
        </w:rPr>
      </w:pPr>
      <w:r>
        <w:rPr>
          <w:rFonts w:ascii="仿宋_GB2312" w:hAnsi="仿宋" w:eastAsia="仿宋_GB2312"/>
          <w:sz w:val="30"/>
          <w:szCs w:val="30"/>
        </w:rPr>
        <w:t>根据竞赛需求，在赛事筹备准备、赛项技术完善、专家裁判、场地布置、体</w:t>
      </w:r>
      <w:r>
        <w:rPr>
          <w:rFonts w:hint="eastAsia" w:ascii="仿宋_GB2312" w:hAnsi="仿宋" w:eastAsia="仿宋_GB2312"/>
          <w:sz w:val="30"/>
          <w:szCs w:val="30"/>
        </w:rPr>
        <w:t>验</w:t>
      </w:r>
      <w:r>
        <w:rPr>
          <w:rFonts w:ascii="仿宋_GB2312" w:hAnsi="仿宋" w:eastAsia="仿宋_GB2312"/>
          <w:sz w:val="30"/>
          <w:szCs w:val="30"/>
        </w:rPr>
        <w:t>中心设计与实施、开闭幕式、大赛宣传等预计费用为</w:t>
      </w:r>
      <w:r>
        <w:rPr>
          <w:rFonts w:hint="eastAsia" w:ascii="仿宋_GB2312" w:hAnsi="仿宋" w:eastAsia="仿宋_GB2312"/>
          <w:sz w:val="30"/>
          <w:szCs w:val="30"/>
        </w:rPr>
        <w:t>60</w:t>
      </w:r>
      <w:r>
        <w:rPr>
          <w:rFonts w:ascii="仿宋_GB2312" w:hAnsi="仿宋" w:eastAsia="仿宋_GB2312"/>
          <w:sz w:val="30"/>
          <w:szCs w:val="30"/>
        </w:rPr>
        <w:t>万元。在经费及设备、技术等方面提供保障：</w:t>
      </w:r>
    </w:p>
    <w:p>
      <w:pPr>
        <w:spacing w:line="560" w:lineRule="exact"/>
        <w:ind w:firstLine="600" w:firstLineChars="200"/>
        <w:rPr>
          <w:rFonts w:ascii="仿宋_GB2312" w:hAnsi="仿宋" w:eastAsia="仿宋_GB2312"/>
          <w:sz w:val="30"/>
          <w:szCs w:val="30"/>
        </w:rPr>
      </w:pPr>
      <w:r>
        <w:rPr>
          <w:rFonts w:ascii="仿宋_GB2312" w:hAnsi="仿宋" w:eastAsia="仿宋_GB2312"/>
          <w:sz w:val="30"/>
          <w:szCs w:val="30"/>
        </w:rPr>
        <w:t>（</w:t>
      </w:r>
      <w:r>
        <w:rPr>
          <w:rFonts w:hint="eastAsia" w:ascii="仿宋_GB2312" w:hAnsi="仿宋" w:eastAsia="仿宋_GB2312"/>
          <w:sz w:val="30"/>
          <w:szCs w:val="30"/>
        </w:rPr>
        <w:t>一</w:t>
      </w:r>
      <w:r>
        <w:rPr>
          <w:rFonts w:ascii="仿宋_GB2312" w:hAnsi="仿宋" w:eastAsia="仿宋_GB2312"/>
          <w:sz w:val="30"/>
          <w:szCs w:val="30"/>
        </w:rPr>
        <w:t>）竞赛设置的竞赛项目，竞赛规模的大小、竞赛经费预算等，与竞赛组委会商定赞助经费。</w:t>
      </w:r>
    </w:p>
    <w:p>
      <w:pPr>
        <w:spacing w:line="560" w:lineRule="exact"/>
        <w:ind w:firstLine="600" w:firstLineChars="200"/>
        <w:rPr>
          <w:rFonts w:ascii="仿宋_GB2312" w:hAnsi="仿宋" w:eastAsia="仿宋_GB2312"/>
          <w:sz w:val="30"/>
          <w:szCs w:val="30"/>
        </w:rPr>
      </w:pPr>
      <w:r>
        <w:rPr>
          <w:rFonts w:ascii="仿宋_GB2312" w:hAnsi="仿宋" w:eastAsia="仿宋_GB2312"/>
          <w:sz w:val="30"/>
          <w:szCs w:val="30"/>
        </w:rPr>
        <w:t>（</w:t>
      </w:r>
      <w:r>
        <w:rPr>
          <w:rFonts w:hint="eastAsia" w:ascii="仿宋_GB2312" w:hAnsi="仿宋" w:eastAsia="仿宋_GB2312"/>
          <w:sz w:val="30"/>
          <w:szCs w:val="30"/>
        </w:rPr>
        <w:t>二</w:t>
      </w:r>
      <w:r>
        <w:rPr>
          <w:rFonts w:ascii="仿宋_GB2312" w:hAnsi="仿宋" w:eastAsia="仿宋_GB2312"/>
          <w:sz w:val="30"/>
          <w:szCs w:val="30"/>
        </w:rPr>
        <w:t>）提供竞赛设备；根据竞赛组委会专家组提出的要求或设计，研发、试制用于技能竞赛的设备样品，经组委会组织专家评审后进一步改进。专家鉴定合格后，投入生产。经质量检测部门检验合格后，在规定的时间内，将所需要的竞赛设备送达组委会指定的地点或需要的学校。</w:t>
      </w:r>
    </w:p>
    <w:p>
      <w:pPr>
        <w:spacing w:line="560" w:lineRule="exact"/>
        <w:ind w:firstLine="600" w:firstLineChars="200"/>
        <w:rPr>
          <w:rFonts w:ascii="仿宋_GB2312" w:hAnsi="仿宋" w:eastAsia="仿宋_GB2312"/>
          <w:sz w:val="30"/>
          <w:szCs w:val="30"/>
        </w:rPr>
      </w:pPr>
      <w:r>
        <w:rPr>
          <w:rFonts w:ascii="仿宋_GB2312" w:hAnsi="仿宋" w:eastAsia="仿宋_GB2312"/>
          <w:sz w:val="30"/>
          <w:szCs w:val="30"/>
        </w:rPr>
        <w:t>（</w:t>
      </w:r>
      <w:r>
        <w:rPr>
          <w:rFonts w:hint="eastAsia" w:ascii="仿宋_GB2312" w:hAnsi="仿宋" w:eastAsia="仿宋_GB2312"/>
          <w:sz w:val="30"/>
          <w:szCs w:val="30"/>
        </w:rPr>
        <w:t>三</w:t>
      </w:r>
      <w:r>
        <w:rPr>
          <w:rFonts w:ascii="仿宋_GB2312" w:hAnsi="仿宋" w:eastAsia="仿宋_GB2312"/>
          <w:sz w:val="30"/>
          <w:szCs w:val="30"/>
        </w:rPr>
        <w:t>）提供技术支持；竞赛设备生产后到竞赛开赛的期间内，根据组委会的安排，对竞赛设备的使用进行培训。免费为赛场中竞赛设备进行安装与调试，免费为竞赛过程中设备的使用和维护提供技术支持。</w:t>
      </w:r>
    </w:p>
    <w:p>
      <w:pPr>
        <w:spacing w:line="560" w:lineRule="exact"/>
        <w:ind w:firstLine="600" w:firstLineChars="200"/>
        <w:rPr>
          <w:rFonts w:ascii="仿宋_GB2312" w:hAnsi="仿宋" w:eastAsia="仿宋_GB2312"/>
          <w:sz w:val="30"/>
          <w:szCs w:val="30"/>
        </w:rPr>
      </w:pPr>
      <w:r>
        <w:rPr>
          <w:rFonts w:ascii="仿宋_GB2312" w:hAnsi="仿宋" w:eastAsia="仿宋_GB2312"/>
          <w:sz w:val="30"/>
          <w:szCs w:val="30"/>
        </w:rPr>
        <w:t>（</w:t>
      </w:r>
      <w:r>
        <w:rPr>
          <w:rFonts w:hint="eastAsia" w:ascii="仿宋_GB2312" w:hAnsi="仿宋" w:eastAsia="仿宋_GB2312"/>
          <w:sz w:val="30"/>
          <w:szCs w:val="30"/>
        </w:rPr>
        <w:t>四</w:t>
      </w:r>
      <w:r>
        <w:rPr>
          <w:rFonts w:ascii="仿宋_GB2312" w:hAnsi="仿宋" w:eastAsia="仿宋_GB2312"/>
          <w:sz w:val="30"/>
          <w:szCs w:val="30"/>
        </w:rPr>
        <w:t>）为本项目专家论证、设备试制、策划与组织的研讨等提供支持。</w:t>
      </w:r>
    </w:p>
    <w:p>
      <w:pPr>
        <w:snapToGrid w:val="0"/>
        <w:spacing w:line="560" w:lineRule="exact"/>
        <w:ind w:firstLine="600" w:firstLineChars="200"/>
        <w:rPr>
          <w:rFonts w:ascii="仿宋_GB2312" w:hAnsi="仿宋" w:eastAsia="仿宋_GB2312"/>
          <w:sz w:val="30"/>
          <w:szCs w:val="30"/>
        </w:rPr>
      </w:pPr>
      <w:r>
        <w:rPr>
          <w:rFonts w:ascii="仿宋_GB2312" w:hAnsi="仿宋" w:eastAsia="仿宋_GB2312"/>
          <w:sz w:val="30"/>
          <w:szCs w:val="30"/>
        </w:rPr>
        <w:t>（</w:t>
      </w:r>
      <w:r>
        <w:rPr>
          <w:rFonts w:hint="eastAsia" w:ascii="仿宋_GB2312" w:hAnsi="仿宋" w:eastAsia="仿宋_GB2312"/>
          <w:sz w:val="30"/>
          <w:szCs w:val="30"/>
        </w:rPr>
        <w:t>五</w:t>
      </w:r>
      <w:r>
        <w:rPr>
          <w:rFonts w:ascii="仿宋_GB2312" w:hAnsi="仿宋" w:eastAsia="仿宋_GB2312"/>
          <w:sz w:val="30"/>
          <w:szCs w:val="30"/>
        </w:rPr>
        <w:t>）其他需要协助的工作事项。</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经费预算项目清单</w:t>
      </w:r>
    </w:p>
    <w:tbl>
      <w:tblPr>
        <w:tblStyle w:val="9"/>
        <w:tblpPr w:leftFromText="180" w:rightFromText="180" w:vertAnchor="text" w:tblpXSpec="center" w:tblpY="1"/>
        <w:tblOverlap w:val="never"/>
        <w:tblW w:w="8827"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06"/>
        <w:gridCol w:w="2693"/>
        <w:gridCol w:w="1059"/>
        <w:gridCol w:w="6"/>
        <w:gridCol w:w="396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385" w:hRule="atLeast"/>
        </w:trPr>
        <w:tc>
          <w:tcPr>
            <w:tcW w:w="1106" w:type="dxa"/>
            <w:tcMar>
              <w:top w:w="15" w:type="dxa"/>
              <w:left w:w="69" w:type="dxa"/>
              <w:bottom w:w="0" w:type="dxa"/>
              <w:right w:w="69" w:type="dxa"/>
            </w:tcMar>
            <w:vAlign w:val="center"/>
          </w:tcPr>
          <w:p>
            <w:pPr>
              <w:jc w:val="center"/>
              <w:rPr>
                <w:rFonts w:ascii="宋体" w:hAnsi="宋体"/>
                <w:b/>
                <w:sz w:val="24"/>
                <w:szCs w:val="24"/>
              </w:rPr>
            </w:pPr>
            <w:r>
              <w:rPr>
                <w:rFonts w:hint="eastAsia" w:ascii="宋体" w:hAnsi="宋体"/>
                <w:b/>
                <w:sz w:val="24"/>
                <w:szCs w:val="24"/>
              </w:rPr>
              <w:t>费用类别</w:t>
            </w:r>
          </w:p>
        </w:tc>
        <w:tc>
          <w:tcPr>
            <w:tcW w:w="2693" w:type="dxa"/>
            <w:tcMar>
              <w:top w:w="15" w:type="dxa"/>
              <w:left w:w="69" w:type="dxa"/>
              <w:bottom w:w="0" w:type="dxa"/>
              <w:right w:w="69" w:type="dxa"/>
            </w:tcMar>
            <w:vAlign w:val="center"/>
          </w:tcPr>
          <w:p>
            <w:pPr>
              <w:jc w:val="center"/>
              <w:rPr>
                <w:rFonts w:ascii="宋体" w:hAnsi="宋体"/>
                <w:b/>
                <w:sz w:val="24"/>
                <w:szCs w:val="24"/>
              </w:rPr>
            </w:pPr>
            <w:r>
              <w:rPr>
                <w:rFonts w:hint="eastAsia" w:ascii="宋体" w:hAnsi="宋体"/>
                <w:b/>
                <w:sz w:val="24"/>
                <w:szCs w:val="24"/>
              </w:rPr>
              <w:t>项目</w:t>
            </w:r>
          </w:p>
        </w:tc>
        <w:tc>
          <w:tcPr>
            <w:tcW w:w="1059" w:type="dxa"/>
            <w:tcMar>
              <w:top w:w="15" w:type="dxa"/>
              <w:left w:w="69" w:type="dxa"/>
              <w:bottom w:w="0" w:type="dxa"/>
              <w:right w:w="69" w:type="dxa"/>
            </w:tcMar>
            <w:vAlign w:val="center"/>
          </w:tcPr>
          <w:p>
            <w:pPr>
              <w:jc w:val="center"/>
              <w:rPr>
                <w:rFonts w:ascii="宋体" w:hAnsi="宋体"/>
                <w:b/>
                <w:sz w:val="24"/>
                <w:szCs w:val="24"/>
              </w:rPr>
            </w:pPr>
            <w:r>
              <w:rPr>
                <w:rFonts w:hint="eastAsia" w:ascii="宋体" w:hAnsi="宋体"/>
                <w:b/>
                <w:sz w:val="24"/>
                <w:szCs w:val="24"/>
              </w:rPr>
              <w:t>金额</w:t>
            </w:r>
          </w:p>
          <w:p>
            <w:pPr>
              <w:jc w:val="center"/>
              <w:rPr>
                <w:rFonts w:ascii="宋体" w:hAnsi="宋体"/>
                <w:b/>
                <w:sz w:val="24"/>
                <w:szCs w:val="24"/>
              </w:rPr>
            </w:pPr>
            <w:r>
              <w:rPr>
                <w:rFonts w:hint="eastAsia" w:ascii="宋体" w:hAnsi="宋体"/>
                <w:b/>
                <w:sz w:val="24"/>
                <w:szCs w:val="24"/>
              </w:rPr>
              <w:t>（万元）</w:t>
            </w:r>
          </w:p>
        </w:tc>
        <w:tc>
          <w:tcPr>
            <w:tcW w:w="3969" w:type="dxa"/>
            <w:gridSpan w:val="2"/>
            <w:tcMar>
              <w:top w:w="15" w:type="dxa"/>
              <w:left w:w="69" w:type="dxa"/>
              <w:bottom w:w="0" w:type="dxa"/>
              <w:right w:w="69" w:type="dxa"/>
            </w:tcMar>
            <w:vAlign w:val="center"/>
          </w:tcPr>
          <w:p>
            <w:pPr>
              <w:jc w:val="center"/>
              <w:rPr>
                <w:rFonts w:ascii="宋体" w:hAnsi="宋体"/>
                <w:b/>
                <w:sz w:val="24"/>
                <w:szCs w:val="24"/>
              </w:rPr>
            </w:pPr>
            <w:r>
              <w:rPr>
                <w:rFonts w:hint="eastAsia" w:ascii="宋体" w:hAnsi="宋体"/>
                <w:b/>
                <w:sz w:val="24"/>
                <w:szCs w:val="24"/>
              </w:rPr>
              <w:t>备注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4" w:hRule="atLeast"/>
        </w:trPr>
        <w:tc>
          <w:tcPr>
            <w:tcW w:w="1106" w:type="dxa"/>
            <w:vMerge w:val="restart"/>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赛项研讨论证、赛题开发及培训预算</w:t>
            </w: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竞赛方案研讨论证会议组织</w:t>
            </w:r>
          </w:p>
        </w:tc>
        <w:tc>
          <w:tcPr>
            <w:tcW w:w="1059" w:type="dxa"/>
            <w:tcMar>
              <w:top w:w="15" w:type="dxa"/>
              <w:left w:w="69" w:type="dxa"/>
              <w:bottom w:w="0" w:type="dxa"/>
              <w:right w:w="69" w:type="dxa"/>
            </w:tcMar>
            <w:vAlign w:val="center"/>
          </w:tcPr>
          <w:p>
            <w:pPr>
              <w:jc w:val="center"/>
              <w:rPr>
                <w:rFonts w:ascii="宋体" w:hAnsi="宋体"/>
                <w:sz w:val="24"/>
                <w:szCs w:val="24"/>
              </w:rPr>
            </w:pPr>
            <w:r>
              <w:rPr>
                <w:rFonts w:ascii="宋体" w:hAnsi="宋体"/>
                <w:sz w:val="24"/>
                <w:szCs w:val="24"/>
              </w:rPr>
              <w:t>5</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研讨会专家的用餐、论证费等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4" w:hRule="atLeast"/>
        </w:trPr>
        <w:tc>
          <w:tcPr>
            <w:tcW w:w="1106" w:type="dxa"/>
            <w:vMerge w:val="continue"/>
            <w:vAlign w:val="center"/>
          </w:tcPr>
          <w:p>
            <w:pPr>
              <w:rPr>
                <w:rFonts w:ascii="宋体" w:hAnsi="宋体"/>
                <w:sz w:val="24"/>
                <w:szCs w:val="24"/>
              </w:rPr>
            </w:pP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竞赛试题开发</w:t>
            </w:r>
          </w:p>
        </w:tc>
        <w:tc>
          <w:tcPr>
            <w:tcW w:w="1059" w:type="dxa"/>
            <w:tcMar>
              <w:top w:w="15" w:type="dxa"/>
              <w:left w:w="69" w:type="dxa"/>
              <w:bottom w:w="0" w:type="dxa"/>
              <w:right w:w="69" w:type="dxa"/>
            </w:tcMar>
            <w:vAlign w:val="center"/>
          </w:tcPr>
          <w:p>
            <w:pPr>
              <w:jc w:val="center"/>
              <w:rPr>
                <w:rFonts w:ascii="宋体" w:hAnsi="宋体"/>
                <w:sz w:val="24"/>
                <w:szCs w:val="24"/>
              </w:rPr>
            </w:pPr>
            <w:r>
              <w:rPr>
                <w:rFonts w:hint="eastAsia" w:ascii="宋体" w:hAnsi="宋体"/>
                <w:sz w:val="24"/>
                <w:szCs w:val="24"/>
              </w:rPr>
              <w:t>5</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专家封闭开发住宿、用餐等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4" w:hRule="atLeast"/>
        </w:trPr>
        <w:tc>
          <w:tcPr>
            <w:tcW w:w="1106" w:type="dxa"/>
            <w:vMerge w:val="continue"/>
            <w:vAlign w:val="center"/>
          </w:tcPr>
          <w:p>
            <w:pPr>
              <w:rPr>
                <w:rFonts w:ascii="宋体" w:hAnsi="宋体"/>
                <w:sz w:val="24"/>
                <w:szCs w:val="24"/>
              </w:rPr>
            </w:pP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印刷费</w:t>
            </w:r>
          </w:p>
        </w:tc>
        <w:tc>
          <w:tcPr>
            <w:tcW w:w="1059" w:type="dxa"/>
            <w:tcMar>
              <w:top w:w="15" w:type="dxa"/>
              <w:left w:w="69" w:type="dxa"/>
              <w:bottom w:w="0" w:type="dxa"/>
              <w:right w:w="69" w:type="dxa"/>
            </w:tcMar>
            <w:vAlign w:val="center"/>
          </w:tcPr>
          <w:p>
            <w:pPr>
              <w:jc w:val="center"/>
              <w:rPr>
                <w:rFonts w:ascii="宋体" w:hAnsi="宋体"/>
                <w:sz w:val="24"/>
                <w:szCs w:val="24"/>
              </w:rPr>
            </w:pPr>
            <w:r>
              <w:rPr>
                <w:rFonts w:ascii="宋体" w:hAnsi="宋体"/>
                <w:sz w:val="24"/>
                <w:szCs w:val="24"/>
              </w:rPr>
              <w:t>2</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大赛通知、赛程、竞赛文档、赛题等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11" w:hRule="atLeast"/>
        </w:trPr>
        <w:tc>
          <w:tcPr>
            <w:tcW w:w="1106" w:type="dxa"/>
            <w:vMerge w:val="continue"/>
            <w:vAlign w:val="center"/>
          </w:tcPr>
          <w:p>
            <w:pPr>
              <w:rPr>
                <w:rFonts w:ascii="宋体" w:hAnsi="宋体"/>
                <w:sz w:val="24"/>
                <w:szCs w:val="24"/>
              </w:rPr>
            </w:pP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专家</w:t>
            </w:r>
          </w:p>
        </w:tc>
        <w:tc>
          <w:tcPr>
            <w:tcW w:w="1059" w:type="dxa"/>
            <w:tcMar>
              <w:top w:w="15" w:type="dxa"/>
              <w:left w:w="69" w:type="dxa"/>
              <w:bottom w:w="0" w:type="dxa"/>
              <w:right w:w="69" w:type="dxa"/>
            </w:tcMar>
            <w:vAlign w:val="center"/>
          </w:tcPr>
          <w:p>
            <w:pPr>
              <w:jc w:val="center"/>
              <w:rPr>
                <w:rFonts w:ascii="宋体" w:hAnsi="宋体"/>
                <w:sz w:val="24"/>
                <w:szCs w:val="24"/>
              </w:rPr>
            </w:pPr>
            <w:r>
              <w:rPr>
                <w:rFonts w:hint="eastAsia" w:ascii="宋体" w:hAnsi="宋体"/>
                <w:sz w:val="24"/>
                <w:szCs w:val="24"/>
              </w:rPr>
              <w:t>18</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包括命题、评审、裁判等环节的专家费用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49" w:hRule="atLeast"/>
        </w:trPr>
        <w:tc>
          <w:tcPr>
            <w:tcW w:w="1106" w:type="dxa"/>
            <w:vMerge w:val="restart"/>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赛项组织预算</w:t>
            </w: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场地布置</w:t>
            </w:r>
          </w:p>
        </w:tc>
        <w:tc>
          <w:tcPr>
            <w:tcW w:w="1059" w:type="dxa"/>
            <w:tcMar>
              <w:top w:w="15" w:type="dxa"/>
              <w:left w:w="69" w:type="dxa"/>
              <w:bottom w:w="0" w:type="dxa"/>
              <w:right w:w="69" w:type="dxa"/>
            </w:tcMar>
            <w:vAlign w:val="center"/>
          </w:tcPr>
          <w:p>
            <w:pPr>
              <w:jc w:val="center"/>
              <w:rPr>
                <w:rFonts w:ascii="宋体" w:hAnsi="宋体"/>
                <w:sz w:val="24"/>
                <w:szCs w:val="24"/>
              </w:rPr>
            </w:pPr>
            <w:r>
              <w:rPr>
                <w:rFonts w:ascii="宋体" w:hAnsi="宋体"/>
                <w:sz w:val="24"/>
                <w:szCs w:val="24"/>
              </w:rPr>
              <w:t>8</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根据比赛要求布置场地、布线等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93" w:hRule="atLeast"/>
        </w:trPr>
        <w:tc>
          <w:tcPr>
            <w:tcW w:w="1106" w:type="dxa"/>
            <w:vMerge w:val="continue"/>
            <w:vAlign w:val="center"/>
          </w:tcPr>
          <w:p>
            <w:pPr>
              <w:rPr>
                <w:rFonts w:ascii="宋体" w:hAnsi="宋体"/>
                <w:sz w:val="24"/>
                <w:szCs w:val="24"/>
              </w:rPr>
            </w:pP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现场技术支持</w:t>
            </w:r>
          </w:p>
        </w:tc>
        <w:tc>
          <w:tcPr>
            <w:tcW w:w="1059" w:type="dxa"/>
            <w:tcMar>
              <w:top w:w="15" w:type="dxa"/>
              <w:left w:w="69" w:type="dxa"/>
              <w:bottom w:w="0" w:type="dxa"/>
              <w:right w:w="69" w:type="dxa"/>
            </w:tcMar>
            <w:vAlign w:val="center"/>
          </w:tcPr>
          <w:p>
            <w:pPr>
              <w:jc w:val="center"/>
              <w:rPr>
                <w:rFonts w:ascii="宋体" w:hAnsi="宋体"/>
                <w:sz w:val="24"/>
                <w:szCs w:val="24"/>
              </w:rPr>
            </w:pPr>
            <w:r>
              <w:rPr>
                <w:rFonts w:hint="eastAsia" w:ascii="宋体" w:hAnsi="宋体"/>
                <w:sz w:val="24"/>
                <w:szCs w:val="24"/>
              </w:rPr>
              <w:t>2</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竞赛现场支持</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711" w:hRule="atLeast"/>
        </w:trPr>
        <w:tc>
          <w:tcPr>
            <w:tcW w:w="1106" w:type="dxa"/>
            <w:vMerge w:val="continue"/>
            <w:vAlign w:val="center"/>
          </w:tcPr>
          <w:p>
            <w:pPr>
              <w:rPr>
                <w:rFonts w:ascii="宋体" w:hAnsi="宋体"/>
                <w:sz w:val="24"/>
                <w:szCs w:val="24"/>
              </w:rPr>
            </w:pP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赛项宣传费用</w:t>
            </w:r>
          </w:p>
        </w:tc>
        <w:tc>
          <w:tcPr>
            <w:tcW w:w="1059" w:type="dxa"/>
            <w:tcMar>
              <w:top w:w="15" w:type="dxa"/>
              <w:left w:w="69" w:type="dxa"/>
              <w:bottom w:w="0" w:type="dxa"/>
              <w:right w:w="69" w:type="dxa"/>
            </w:tcMar>
            <w:vAlign w:val="center"/>
          </w:tcPr>
          <w:p>
            <w:pPr>
              <w:jc w:val="center"/>
              <w:rPr>
                <w:rFonts w:ascii="宋体" w:hAnsi="宋体"/>
                <w:sz w:val="24"/>
                <w:szCs w:val="24"/>
              </w:rPr>
            </w:pPr>
            <w:r>
              <w:rPr>
                <w:rFonts w:ascii="宋体" w:hAnsi="宋体"/>
                <w:sz w:val="24"/>
                <w:szCs w:val="24"/>
              </w:rPr>
              <w:t>5</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赛场环境设计与制作、宣传材料制作，平面媒体、网站宣传维护等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711" w:hRule="atLeast"/>
        </w:trPr>
        <w:tc>
          <w:tcPr>
            <w:tcW w:w="1106" w:type="dxa"/>
            <w:vMerge w:val="continue"/>
            <w:vAlign w:val="center"/>
          </w:tcPr>
          <w:p>
            <w:pPr>
              <w:rPr>
                <w:rFonts w:ascii="宋体" w:hAnsi="宋体"/>
                <w:sz w:val="24"/>
                <w:szCs w:val="24"/>
              </w:rPr>
            </w:pP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服装费</w:t>
            </w:r>
          </w:p>
        </w:tc>
        <w:tc>
          <w:tcPr>
            <w:tcW w:w="1059" w:type="dxa"/>
            <w:tcMar>
              <w:top w:w="15" w:type="dxa"/>
              <w:left w:w="69" w:type="dxa"/>
              <w:bottom w:w="0" w:type="dxa"/>
              <w:right w:w="69" w:type="dxa"/>
            </w:tcMar>
            <w:vAlign w:val="center"/>
          </w:tcPr>
          <w:p>
            <w:pPr>
              <w:jc w:val="center"/>
              <w:rPr>
                <w:rFonts w:ascii="宋体" w:hAnsi="宋体"/>
                <w:sz w:val="24"/>
                <w:szCs w:val="24"/>
              </w:rPr>
            </w:pPr>
            <w:r>
              <w:rPr>
                <w:rFonts w:ascii="宋体" w:hAnsi="宋体"/>
                <w:sz w:val="24"/>
                <w:szCs w:val="24"/>
              </w:rPr>
              <w:t>4</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选手、指导老师、裁判、监考、工作人员、志愿服装费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474" w:hRule="atLeast"/>
        </w:trPr>
        <w:tc>
          <w:tcPr>
            <w:tcW w:w="1106" w:type="dxa"/>
            <w:vMerge w:val="continue"/>
            <w:vAlign w:val="center"/>
          </w:tcPr>
          <w:p>
            <w:pPr>
              <w:rPr>
                <w:rFonts w:ascii="宋体" w:hAnsi="宋体"/>
                <w:sz w:val="24"/>
                <w:szCs w:val="24"/>
              </w:rPr>
            </w:pP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获奖奖励</w:t>
            </w:r>
          </w:p>
        </w:tc>
        <w:tc>
          <w:tcPr>
            <w:tcW w:w="1059" w:type="dxa"/>
            <w:tcMar>
              <w:top w:w="15" w:type="dxa"/>
              <w:left w:w="69" w:type="dxa"/>
              <w:bottom w:w="0" w:type="dxa"/>
              <w:right w:w="69" w:type="dxa"/>
            </w:tcMar>
            <w:vAlign w:val="center"/>
          </w:tcPr>
          <w:p>
            <w:pPr>
              <w:jc w:val="center"/>
              <w:rPr>
                <w:rFonts w:ascii="宋体" w:hAnsi="宋体"/>
                <w:sz w:val="24"/>
                <w:szCs w:val="24"/>
              </w:rPr>
            </w:pPr>
            <w:r>
              <w:rPr>
                <w:rFonts w:ascii="宋体" w:hAnsi="宋体"/>
                <w:sz w:val="24"/>
                <w:szCs w:val="24"/>
              </w:rPr>
              <w:t>4</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获奖人员奖励、奖品和纪念品等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711" w:hRule="atLeast"/>
        </w:trPr>
        <w:tc>
          <w:tcPr>
            <w:tcW w:w="1106" w:type="dxa"/>
            <w:vMerge w:val="continue"/>
            <w:vAlign w:val="center"/>
          </w:tcPr>
          <w:p>
            <w:pPr>
              <w:rPr>
                <w:rFonts w:ascii="宋体" w:hAnsi="宋体"/>
                <w:sz w:val="24"/>
                <w:szCs w:val="24"/>
              </w:rPr>
            </w:pP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餐费、交通费</w:t>
            </w:r>
          </w:p>
        </w:tc>
        <w:tc>
          <w:tcPr>
            <w:tcW w:w="1059" w:type="dxa"/>
            <w:tcMar>
              <w:top w:w="15" w:type="dxa"/>
              <w:left w:w="69" w:type="dxa"/>
              <w:bottom w:w="0" w:type="dxa"/>
              <w:right w:w="69" w:type="dxa"/>
            </w:tcMar>
            <w:vAlign w:val="center"/>
          </w:tcPr>
          <w:p>
            <w:pPr>
              <w:jc w:val="center"/>
              <w:rPr>
                <w:rFonts w:ascii="宋体" w:hAnsi="宋体"/>
                <w:sz w:val="24"/>
                <w:szCs w:val="24"/>
              </w:rPr>
            </w:pPr>
            <w:r>
              <w:rPr>
                <w:rFonts w:ascii="宋体" w:hAnsi="宋体"/>
                <w:sz w:val="24"/>
                <w:szCs w:val="24"/>
              </w:rPr>
              <w:t>6</w:t>
            </w:r>
          </w:p>
        </w:tc>
        <w:tc>
          <w:tcPr>
            <w:tcW w:w="396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领导、专家、选手在津食、交通费用、工作人员餐费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93" w:hRule="atLeast"/>
        </w:trPr>
        <w:tc>
          <w:tcPr>
            <w:tcW w:w="1106" w:type="dxa"/>
            <w:vMerge w:val="continue"/>
            <w:vAlign w:val="center"/>
          </w:tcPr>
          <w:p>
            <w:pPr>
              <w:rPr>
                <w:rFonts w:ascii="宋体" w:hAnsi="宋体"/>
                <w:sz w:val="24"/>
                <w:szCs w:val="24"/>
              </w:rPr>
            </w:pPr>
          </w:p>
        </w:tc>
        <w:tc>
          <w:tcPr>
            <w:tcW w:w="2693" w:type="dxa"/>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预留资金</w:t>
            </w:r>
          </w:p>
        </w:tc>
        <w:tc>
          <w:tcPr>
            <w:tcW w:w="1059" w:type="dxa"/>
            <w:tcBorders>
              <w:right w:val="single" w:color="auto" w:sz="4" w:space="0"/>
            </w:tcBorders>
            <w:tcMar>
              <w:top w:w="15" w:type="dxa"/>
              <w:left w:w="69" w:type="dxa"/>
              <w:bottom w:w="0" w:type="dxa"/>
              <w:right w:w="69" w:type="dxa"/>
            </w:tcMar>
            <w:vAlign w:val="center"/>
          </w:tcPr>
          <w:p>
            <w:pPr>
              <w:jc w:val="center"/>
              <w:rPr>
                <w:rFonts w:ascii="宋体" w:hAnsi="宋体"/>
                <w:sz w:val="24"/>
                <w:szCs w:val="24"/>
              </w:rPr>
            </w:pPr>
            <w:r>
              <w:rPr>
                <w:rFonts w:hint="eastAsia" w:ascii="宋体" w:hAnsi="宋体"/>
                <w:sz w:val="24"/>
                <w:szCs w:val="24"/>
              </w:rPr>
              <w:t>1</w:t>
            </w:r>
          </w:p>
        </w:tc>
        <w:tc>
          <w:tcPr>
            <w:tcW w:w="3969" w:type="dxa"/>
            <w:gridSpan w:val="2"/>
            <w:tcBorders>
              <w:left w:val="single" w:color="auto" w:sz="4" w:space="0"/>
            </w:tcBorders>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处理赛事突发事件</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93" w:hRule="atLeast"/>
        </w:trPr>
        <w:tc>
          <w:tcPr>
            <w:tcW w:w="3799" w:type="dxa"/>
            <w:gridSpan w:val="2"/>
            <w:tcMar>
              <w:top w:w="15" w:type="dxa"/>
              <w:left w:w="69" w:type="dxa"/>
              <w:bottom w:w="0" w:type="dxa"/>
              <w:right w:w="69" w:type="dxa"/>
            </w:tcMar>
            <w:vAlign w:val="center"/>
          </w:tcPr>
          <w:p>
            <w:pPr>
              <w:rPr>
                <w:rFonts w:ascii="宋体" w:hAnsi="宋体"/>
                <w:sz w:val="24"/>
                <w:szCs w:val="24"/>
              </w:rPr>
            </w:pPr>
            <w:r>
              <w:rPr>
                <w:rFonts w:hint="eastAsia" w:ascii="宋体" w:hAnsi="宋体"/>
                <w:sz w:val="24"/>
                <w:szCs w:val="24"/>
              </w:rPr>
              <w:t>总计</w:t>
            </w:r>
          </w:p>
        </w:tc>
        <w:tc>
          <w:tcPr>
            <w:tcW w:w="1065" w:type="dxa"/>
            <w:gridSpan w:val="2"/>
            <w:tcBorders>
              <w:right w:val="single" w:color="auto" w:sz="4" w:space="0"/>
            </w:tcBorders>
            <w:tcMar>
              <w:top w:w="15" w:type="dxa"/>
              <w:left w:w="69" w:type="dxa"/>
              <w:bottom w:w="0" w:type="dxa"/>
              <w:right w:w="69" w:type="dxa"/>
            </w:tcMar>
            <w:vAlign w:val="center"/>
          </w:tcPr>
          <w:p>
            <w:pPr>
              <w:jc w:val="center"/>
              <w:rPr>
                <w:rFonts w:ascii="宋体" w:hAnsi="宋体"/>
                <w:sz w:val="24"/>
                <w:szCs w:val="24"/>
              </w:rPr>
            </w:pPr>
            <w:r>
              <w:rPr>
                <w:rFonts w:ascii="宋体" w:hAnsi="宋体"/>
                <w:sz w:val="24"/>
                <w:szCs w:val="24"/>
              </w:rPr>
              <w:t>6</w:t>
            </w:r>
            <w:r>
              <w:rPr>
                <w:rFonts w:hint="eastAsia" w:ascii="宋体" w:hAnsi="宋体"/>
                <w:sz w:val="24"/>
                <w:szCs w:val="24"/>
              </w:rPr>
              <w:t>0</w:t>
            </w:r>
          </w:p>
        </w:tc>
        <w:tc>
          <w:tcPr>
            <w:tcW w:w="3963" w:type="dxa"/>
            <w:tcBorders>
              <w:left w:val="single" w:color="auto" w:sz="4" w:space="0"/>
            </w:tcBorders>
            <w:vAlign w:val="center"/>
          </w:tcPr>
          <w:p>
            <w:pPr>
              <w:rPr>
                <w:rFonts w:ascii="宋体" w:hAnsi="宋体"/>
                <w:sz w:val="24"/>
                <w:szCs w:val="24"/>
              </w:rPr>
            </w:pPr>
          </w:p>
        </w:tc>
      </w:tr>
    </w:tbl>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参照《全国职业院校技能大赛组织机构与职能分工》《全国职业院校技能大赛赛项设备与设施管理办法》《全国职业院校技能大赛赛项监督与仲裁管理办法》等，明确主要组织单位、协办单位的任务分工，各单位工作职责，制定可操作性强的赛项竞赛组织与管理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（一）赛项组织机构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w:t>
      </w:r>
      <w:r>
        <w:rPr>
          <w:rFonts w:ascii="Arial Narrow" w:hAnsi="Arial Narrow" w:eastAsia="仿宋_GB2312" w:cs="Arial"/>
          <w:sz w:val="30"/>
          <w:szCs w:val="30"/>
        </w:rPr>
        <w:t>《全国职业院校技能大赛组织机构与职能分工》</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1.赛项执行委员会</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2.赛项专家组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3.赛项承办院校</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（二）赛项设备与设施管理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w:t>
      </w:r>
      <w:r>
        <w:rPr>
          <w:rFonts w:ascii="Arial Narrow" w:hAnsi="Arial Narrow" w:eastAsia="仿宋_GB2312" w:cs="Arial"/>
          <w:sz w:val="30"/>
          <w:szCs w:val="30"/>
        </w:rPr>
        <w:t>《全国职业院校技能大赛赛项设备与设施管理办法》</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 赛场布置</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1</w:t>
      </w:r>
      <w:r>
        <w:rPr>
          <w:rFonts w:ascii="Arial Narrow" w:hAnsi="Arial Narrow" w:eastAsia="仿宋_GB2312" w:cs="Arial"/>
          <w:sz w:val="30"/>
          <w:szCs w:val="30"/>
        </w:rPr>
        <w:t>）赛场应进行周密设计，绘制满足赛事管理、引导、指示要求的平面图。竞赛举行期间，应在竞赛场所、人员密集的地方张贴。</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2</w:t>
      </w:r>
      <w:r>
        <w:rPr>
          <w:rFonts w:ascii="Arial Narrow" w:hAnsi="Arial Narrow" w:eastAsia="仿宋_GB2312" w:cs="Arial"/>
          <w:sz w:val="30"/>
          <w:szCs w:val="30"/>
        </w:rPr>
        <w:t>）赛场平面图上应标明安全出口、消防通道、警戒区、紧急事件发生时的疏散通道。</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3</w:t>
      </w:r>
      <w:r>
        <w:rPr>
          <w:rFonts w:ascii="Arial Narrow" w:hAnsi="Arial Narrow" w:eastAsia="仿宋_GB2312" w:cs="Arial"/>
          <w:sz w:val="30"/>
          <w:szCs w:val="30"/>
        </w:rPr>
        <w:t>）赛场的标注、标识应进行统一设计，按规定使用大赛的标注、标识。赛场各功能区域、赛位等应具有清晰的标注与标识。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4</w:t>
      </w:r>
      <w:r>
        <w:rPr>
          <w:rFonts w:ascii="Arial Narrow" w:hAnsi="Arial Narrow" w:eastAsia="仿宋_GB2312" w:cs="Arial"/>
          <w:sz w:val="30"/>
          <w:szCs w:val="30"/>
        </w:rPr>
        <w:t>）赛位上应张贴各种设备的安全文明生产操作规程。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赛场管理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ascii="Arial Narrow" w:hAnsi="Arial Narrow" w:eastAsia="仿宋_GB2312" w:cs="Arial"/>
          <w:sz w:val="30"/>
          <w:szCs w:val="30"/>
        </w:rPr>
        <w:t>在确保竞赛选手不受干扰的前提下，全面开放赛场，吸引社会各界人士到场观赛，提升技能大赛的关注度和影响力。赛场选手竞赛的核心区域，应指定参观路线、规定停留时间，安排专职人员进行管控与疏导。</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2</w:t>
      </w:r>
      <w:r>
        <w:rPr>
          <w:rFonts w:ascii="Arial Narrow" w:hAnsi="Arial Narrow" w:eastAsia="仿宋_GB2312" w:cs="Arial"/>
          <w:sz w:val="30"/>
          <w:szCs w:val="30"/>
        </w:rPr>
        <w:t>）卫生间、医疗、维修服务、生活补给站和垃圾分类回收点都在警戒线范围内，以确保大赛在相对安全的环境内进行，杜绝发生选手与外界交换信息、串通作弊的情形。</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3</w:t>
      </w:r>
      <w:r>
        <w:rPr>
          <w:rFonts w:ascii="Arial Narrow" w:hAnsi="Arial Narrow" w:eastAsia="仿宋_GB2312" w:cs="Arial"/>
          <w:sz w:val="30"/>
          <w:szCs w:val="30"/>
        </w:rPr>
        <w:t>）设置安全通道和警戒线，确保进入赛场的大赛参观、采访、视察的人员限定在安全区域内活动，以保证大赛安全有序进行。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 赛项保障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1</w:t>
      </w:r>
      <w:r>
        <w:rPr>
          <w:rFonts w:ascii="Arial Narrow" w:hAnsi="Arial Narrow" w:eastAsia="仿宋_GB2312" w:cs="Arial"/>
          <w:sz w:val="30"/>
          <w:szCs w:val="30"/>
        </w:rPr>
        <w:t>）建立完善的赛项保障组织管理机制，做到各竞赛单元均有专人负责指挥和协调，确保大赛有序进行。</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2</w:t>
      </w:r>
      <w:r>
        <w:rPr>
          <w:rFonts w:ascii="Arial Narrow" w:hAnsi="Arial Narrow" w:eastAsia="仿宋_GB2312" w:cs="Arial"/>
          <w:sz w:val="30"/>
          <w:szCs w:val="30"/>
        </w:rPr>
        <w:t>）设置生活保障组，为竞赛选手与裁判提供相应的生活服务和后勤保障。</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3</w:t>
      </w:r>
      <w:r>
        <w:rPr>
          <w:rFonts w:ascii="Arial Narrow" w:hAnsi="Arial Narrow" w:eastAsia="仿宋_GB2312" w:cs="Arial"/>
          <w:sz w:val="30"/>
          <w:szCs w:val="30"/>
        </w:rPr>
        <w:t>）设置技术保障组，为竞赛设备、软件与竞赛设施提供保养、维修等服务，保障设备的完好性和正常使用，保障设备配件与操作工具的及时供应。</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4</w:t>
      </w:r>
      <w:r>
        <w:rPr>
          <w:rFonts w:ascii="Arial Narrow" w:hAnsi="Arial Narrow" w:eastAsia="仿宋_GB2312" w:cs="Arial"/>
          <w:sz w:val="30"/>
          <w:szCs w:val="30"/>
        </w:rPr>
        <w:t>）设置医疗保障服务站，提供可能发生的急救、伤口处理等应急服务。</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5</w:t>
      </w:r>
      <w:r>
        <w:rPr>
          <w:rFonts w:ascii="Arial Narrow" w:hAnsi="Arial Narrow" w:eastAsia="仿宋_GB2312" w:cs="Arial"/>
          <w:sz w:val="30"/>
          <w:szCs w:val="30"/>
        </w:rPr>
        <w:t>）设置外围安保组，对赛场核心区域的外围进行警戒与引导服务。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4.监督与执行</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1</w:t>
      </w:r>
      <w:r>
        <w:rPr>
          <w:rFonts w:ascii="Arial Narrow" w:hAnsi="Arial Narrow" w:eastAsia="仿宋_GB2312" w:cs="Arial"/>
          <w:sz w:val="30"/>
          <w:szCs w:val="30"/>
        </w:rPr>
        <w:t>）各赛项应制定详细的赛场建设方案和建设进度表，并遵照执行。</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2</w:t>
      </w:r>
      <w:r>
        <w:rPr>
          <w:rFonts w:ascii="Arial Narrow" w:hAnsi="Arial Narrow" w:eastAsia="仿宋_GB2312" w:cs="Arial"/>
          <w:sz w:val="30"/>
          <w:szCs w:val="30"/>
        </w:rPr>
        <w:t>）赛项专家组应根据已制定的建设方案和进度进行检查，确保在比赛前建设完成。</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3</w:t>
      </w:r>
      <w:r>
        <w:rPr>
          <w:rFonts w:ascii="Arial Narrow" w:hAnsi="Arial Narrow" w:eastAsia="仿宋_GB2312" w:cs="Arial"/>
          <w:sz w:val="30"/>
          <w:szCs w:val="30"/>
        </w:rPr>
        <w:t>）在正式比赛前一周，赛项专家组会同承办方对赛场建设结果进行验收与查漏。</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4</w:t>
      </w:r>
      <w:r>
        <w:rPr>
          <w:rFonts w:ascii="Arial Narrow" w:hAnsi="Arial Narrow" w:eastAsia="仿宋_GB2312" w:cs="Arial"/>
          <w:sz w:val="30"/>
          <w:szCs w:val="30"/>
        </w:rPr>
        <w:t>）赛场设备、设施、环境应进行赛前测试和试运行，确保赛项设备设施完好完善。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5</w:t>
      </w:r>
      <w:r>
        <w:rPr>
          <w:rFonts w:ascii="Arial Narrow" w:hAnsi="Arial Narrow" w:eastAsia="仿宋_GB2312" w:cs="Arial"/>
          <w:sz w:val="30"/>
          <w:szCs w:val="30"/>
        </w:rPr>
        <w:t>）赛场验收：正式比赛前，专家组会同承办方应根据建设方案对赛场进行验收。并在验收报告上签字确认。经验收后的赛场应禁止无关人员出入。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（三）安全措施</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1</w:t>
      </w:r>
      <w:r>
        <w:rPr>
          <w:rFonts w:ascii="Arial Narrow" w:hAnsi="Arial Narrow" w:eastAsia="仿宋_GB2312" w:cs="Arial"/>
          <w:sz w:val="30"/>
          <w:szCs w:val="30"/>
        </w:rPr>
        <w:t>）各赛项应根据赛项具体特点做好安全事故应急预案。</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2</w:t>
      </w:r>
      <w:r>
        <w:rPr>
          <w:rFonts w:ascii="Arial Narrow" w:hAnsi="Arial Narrow" w:eastAsia="仿宋_GB2312" w:cs="Arial"/>
          <w:sz w:val="30"/>
          <w:szCs w:val="30"/>
        </w:rPr>
        <w:t>）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3</w:t>
      </w:r>
      <w:r>
        <w:rPr>
          <w:rFonts w:ascii="Arial Narrow" w:hAnsi="Arial Narrow" w:eastAsia="仿宋_GB2312" w:cs="Arial"/>
          <w:sz w:val="30"/>
          <w:szCs w:val="30"/>
        </w:rPr>
        <w:t>）竞赛过程中如若发生安全事故，应立即报告现场总指挥，同时启动事故处理应急预案，各类人员按照分工各尽其责，立即展开现场抢救和组织人员疏散，最大限度地减少人员伤害及财产损失。</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4</w:t>
      </w:r>
      <w:r>
        <w:rPr>
          <w:rFonts w:ascii="Arial Narrow" w:hAnsi="Arial Narrow" w:eastAsia="仿宋_GB2312" w:cs="Arial"/>
          <w:sz w:val="30"/>
          <w:szCs w:val="30"/>
        </w:rPr>
        <w:t>）竞赛结束时，要及时进行安全检查，重点做好防火、防盗以及电气、设备的安全检查，防止因疏忽而发生事故。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（四）监督与仲裁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w:t>
      </w:r>
      <w:r>
        <w:rPr>
          <w:rFonts w:ascii="Arial Narrow" w:hAnsi="Arial Narrow" w:eastAsia="仿宋_GB2312" w:cs="Arial"/>
          <w:sz w:val="30"/>
          <w:szCs w:val="30"/>
        </w:rPr>
        <w:t>《2018年全国职业院校技能大赛赛项监督与仲裁管理办法》</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 赛项监督</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w:t>
      </w:r>
      <w:r>
        <w:rPr>
          <w:rFonts w:ascii="Arial Narrow" w:hAnsi="Arial Narrow" w:eastAsia="仿宋_GB2312" w:cs="Arial"/>
          <w:sz w:val="30"/>
          <w:szCs w:val="30"/>
        </w:rPr>
        <w:t>监督组</w:t>
      </w:r>
      <w:r>
        <w:rPr>
          <w:rFonts w:hint="eastAsia" w:ascii="Arial Narrow" w:hAnsi="Arial Narrow" w:eastAsia="仿宋_GB2312" w:cs="Arial"/>
          <w:sz w:val="30"/>
          <w:szCs w:val="30"/>
        </w:rPr>
        <w:t>由大赛执委会指派，在</w:t>
      </w:r>
      <w:r>
        <w:rPr>
          <w:rFonts w:ascii="Arial Narrow" w:hAnsi="Arial Narrow" w:eastAsia="仿宋_GB2312" w:cs="Arial"/>
          <w:sz w:val="30"/>
          <w:szCs w:val="30"/>
        </w:rPr>
        <w:t>大赛执委会领导下，负责对</w:t>
      </w:r>
      <w:r>
        <w:rPr>
          <w:rFonts w:hint="eastAsia" w:ascii="Arial Narrow" w:hAnsi="Arial Narrow" w:eastAsia="仿宋_GB2312" w:cs="Arial"/>
          <w:sz w:val="30"/>
          <w:szCs w:val="30"/>
        </w:rPr>
        <w:t>工业机器人设备安装与调试</w:t>
      </w:r>
      <w:r>
        <w:rPr>
          <w:rFonts w:ascii="Arial Narrow" w:hAnsi="Arial Narrow" w:eastAsia="仿宋_GB2312" w:cs="Arial"/>
          <w:sz w:val="30"/>
          <w:szCs w:val="30"/>
        </w:rPr>
        <w:t>竞赛筹备与组织工作实施全程现场监督。监督组实行组长负责制。</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w:t>
      </w:r>
      <w:r>
        <w:rPr>
          <w:rFonts w:ascii="Arial Narrow" w:hAnsi="Arial Narrow" w:eastAsia="仿宋_GB2312" w:cs="Arial"/>
          <w:sz w:val="30"/>
          <w:szCs w:val="30"/>
        </w:rPr>
        <w:t>监督组的监督内容包括赛项竞赛场地和设施的部署、选手抽签、裁判培训、竞赛组织、成绩评判及汇总、成绩发布、申诉仲裁、成绩复核等。</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w:t>
      </w:r>
      <w:r>
        <w:rPr>
          <w:rFonts w:ascii="Arial Narrow" w:hAnsi="Arial Narrow" w:eastAsia="仿宋_GB2312" w:cs="Arial"/>
          <w:sz w:val="30"/>
          <w:szCs w:val="30"/>
        </w:rPr>
        <w:t>监督组对竞赛过程中明显违规现象，应及时向竞赛组织方提出改正建议，同时采取必要技术手段，留取监督的过程资料。赛事结束后，向全国大赛执委会提报监督工作报告。</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w:t>
      </w:r>
      <w:r>
        <w:rPr>
          <w:rFonts w:hint="eastAsia" w:ascii="Arial Narrow" w:hAnsi="Arial Narrow" w:eastAsia="仿宋_GB2312" w:cs="Arial"/>
          <w:sz w:val="30"/>
          <w:szCs w:val="30"/>
        </w:rPr>
        <w:t>）</w:t>
      </w:r>
      <w:r>
        <w:rPr>
          <w:rFonts w:ascii="Arial Narrow" w:hAnsi="Arial Narrow" w:eastAsia="仿宋_GB2312" w:cs="Arial"/>
          <w:sz w:val="30"/>
          <w:szCs w:val="30"/>
        </w:rPr>
        <w:t>监督组不参与具体的赛事组织活动。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申诉与仲裁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1）根据</w:t>
      </w:r>
      <w:r>
        <w:rPr>
          <w:rFonts w:ascii="Arial Narrow" w:hAnsi="Arial Narrow" w:eastAsia="仿宋_GB2312" w:cs="Arial"/>
          <w:sz w:val="30"/>
          <w:szCs w:val="30"/>
        </w:rPr>
        <w:t>《全国职业院校技能大赛赛项监督与仲裁管理办法》</w:t>
      </w:r>
      <w:r>
        <w:rPr>
          <w:rFonts w:hint="eastAsia" w:ascii="Arial Narrow" w:hAnsi="Arial Narrow" w:eastAsia="仿宋_GB2312" w:cs="Arial"/>
          <w:sz w:val="30"/>
          <w:szCs w:val="30"/>
        </w:rPr>
        <w:t>仲裁人员的条件和组成程序，成立工业机器人设备安装与调试赛项仲裁工作组。仲裁工作组在赛项执委会领导下开展工作，并对赛项执委会负责。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ascii="Arial Narrow" w:hAnsi="Arial Narrow" w:eastAsia="仿宋_GB2312" w:cs="Arial"/>
          <w:sz w:val="30"/>
          <w:szCs w:val="30"/>
        </w:rPr>
        <w:t>仲裁人员的职责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1</w:t>
      </w:r>
      <w:r>
        <w:rPr>
          <w:rFonts w:hint="eastAsia" w:ascii="Arial Narrow" w:hAnsi="Arial Narrow" w:eastAsia="仿宋_GB2312" w:cs="Arial"/>
          <w:sz w:val="30"/>
          <w:szCs w:val="30"/>
        </w:rPr>
        <w:t>）</w:t>
      </w:r>
      <w:r>
        <w:rPr>
          <w:rFonts w:ascii="Arial Narrow" w:hAnsi="Arial Narrow" w:eastAsia="仿宋_GB2312" w:cs="Arial"/>
          <w:sz w:val="30"/>
          <w:szCs w:val="30"/>
        </w:rPr>
        <w:t>熟悉赛项的竞赛规程和规则。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2</w:t>
      </w:r>
      <w:r>
        <w:rPr>
          <w:rFonts w:hint="eastAsia" w:ascii="Arial Narrow" w:hAnsi="Arial Narrow" w:eastAsia="仿宋_GB2312" w:cs="Arial"/>
          <w:sz w:val="30"/>
          <w:szCs w:val="30"/>
        </w:rPr>
        <w:t>）</w:t>
      </w:r>
      <w:r>
        <w:rPr>
          <w:rFonts w:ascii="Arial Narrow" w:hAnsi="Arial Narrow" w:eastAsia="仿宋_GB2312" w:cs="Arial"/>
          <w:sz w:val="30"/>
          <w:szCs w:val="30"/>
        </w:rPr>
        <w:t>掌握本赛项的竞赛进展情况。</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3</w:t>
      </w:r>
      <w:r>
        <w:rPr>
          <w:rFonts w:hint="eastAsia" w:ascii="Arial Narrow" w:hAnsi="Arial Narrow" w:eastAsia="仿宋_GB2312" w:cs="Arial"/>
          <w:sz w:val="30"/>
          <w:szCs w:val="30"/>
        </w:rPr>
        <w:t>）</w:t>
      </w:r>
      <w:r>
        <w:rPr>
          <w:rFonts w:ascii="Arial Narrow" w:hAnsi="Arial Narrow" w:eastAsia="仿宋_GB2312" w:cs="Arial"/>
          <w:sz w:val="30"/>
          <w:szCs w:val="30"/>
        </w:rPr>
        <w:t>受理各参赛队的书面申诉。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4</w:t>
      </w:r>
      <w:r>
        <w:rPr>
          <w:rFonts w:hint="eastAsia" w:ascii="Arial Narrow" w:hAnsi="Arial Narrow" w:eastAsia="仿宋_GB2312" w:cs="Arial"/>
          <w:sz w:val="30"/>
          <w:szCs w:val="30"/>
        </w:rPr>
        <w:t>）</w:t>
      </w:r>
      <w:r>
        <w:rPr>
          <w:rFonts w:ascii="Arial Narrow" w:hAnsi="Arial Narrow" w:eastAsia="仿宋_GB2312" w:cs="Arial"/>
          <w:sz w:val="30"/>
          <w:szCs w:val="30"/>
        </w:rPr>
        <w:t>对受理的申诉进行深入调查，做出客观、公正的集体仲裁。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ascii="Arial Narrow" w:hAnsi="Arial Narrow" w:eastAsia="仿宋_GB2312" w:cs="Arial"/>
          <w:sz w:val="30"/>
          <w:szCs w:val="30"/>
        </w:rPr>
        <w:t>申诉与仲裁的程序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1</w:t>
      </w:r>
      <w:r>
        <w:rPr>
          <w:rFonts w:hint="eastAsia" w:ascii="Arial Narrow" w:hAnsi="Arial Narrow" w:eastAsia="仿宋_GB2312" w:cs="Arial"/>
          <w:sz w:val="30"/>
          <w:szCs w:val="30"/>
        </w:rPr>
        <w:t>）</w:t>
      </w:r>
      <w:r>
        <w:rPr>
          <w:rFonts w:ascii="Arial Narrow" w:hAnsi="Arial Narrow" w:eastAsia="仿宋_GB2312" w:cs="Arial"/>
          <w:sz w:val="30"/>
          <w:szCs w:val="30"/>
        </w:rPr>
        <w:t>各参赛队对不符合赛项规程规定的仪器、设备、工装、材料、物件、计算机软硬件、竞赛使用工具、用品</w:t>
      </w:r>
      <w:r>
        <w:rPr>
          <w:rFonts w:hint="eastAsia" w:ascii="Arial Narrow" w:hAnsi="Arial Narrow" w:eastAsia="仿宋_GB2312" w:cs="Arial"/>
          <w:sz w:val="30"/>
          <w:szCs w:val="30"/>
        </w:rPr>
        <w:t>；</w:t>
      </w:r>
      <w:r>
        <w:rPr>
          <w:rFonts w:ascii="Arial Narrow" w:hAnsi="Arial Narrow" w:eastAsia="仿宋_GB2312" w:cs="Arial"/>
          <w:sz w:val="30"/>
          <w:szCs w:val="30"/>
        </w:rPr>
        <w:t>竞赛执裁、赛场管理、竞赛成绩，以及工作人员的不规范行为等，可向赛项仲裁</w:t>
      </w:r>
      <w:r>
        <w:rPr>
          <w:rFonts w:hint="eastAsia" w:ascii="Arial Narrow" w:hAnsi="Arial Narrow" w:eastAsia="仿宋_GB2312" w:cs="Arial"/>
          <w:sz w:val="30"/>
          <w:szCs w:val="30"/>
        </w:rPr>
        <w:t>工作</w:t>
      </w:r>
      <w:r>
        <w:rPr>
          <w:rFonts w:ascii="Arial Narrow" w:hAnsi="Arial Narrow" w:eastAsia="仿宋_GB2312" w:cs="Arial"/>
          <w:sz w:val="30"/>
          <w:szCs w:val="30"/>
        </w:rPr>
        <w:t xml:space="preserve">组提出申诉。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2</w:t>
      </w:r>
      <w:r>
        <w:rPr>
          <w:rFonts w:hint="eastAsia" w:ascii="Arial Narrow" w:hAnsi="Arial Narrow" w:eastAsia="仿宋_GB2312" w:cs="Arial"/>
          <w:sz w:val="30"/>
          <w:szCs w:val="30"/>
        </w:rPr>
        <w:t>）</w:t>
      </w:r>
      <w:r>
        <w:rPr>
          <w:rFonts w:ascii="Arial Narrow" w:hAnsi="Arial Narrow" w:eastAsia="仿宋_GB2312" w:cs="Arial"/>
          <w:sz w:val="30"/>
          <w:szCs w:val="30"/>
        </w:rPr>
        <w:t>申诉主体为参赛队领队。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3</w:t>
      </w:r>
      <w:r>
        <w:rPr>
          <w:rFonts w:hint="eastAsia" w:ascii="Arial Narrow" w:hAnsi="Arial Narrow" w:eastAsia="仿宋_GB2312" w:cs="Arial"/>
          <w:sz w:val="30"/>
          <w:szCs w:val="30"/>
        </w:rPr>
        <w:t>）</w:t>
      </w:r>
      <w:r>
        <w:rPr>
          <w:rFonts w:ascii="Arial Narrow" w:hAnsi="Arial Narrow" w:eastAsia="仿宋_GB2312" w:cs="Arial"/>
          <w:sz w:val="30"/>
          <w:szCs w:val="30"/>
        </w:rPr>
        <w:t>申诉启动时，参赛队以该队领队亲笔签字同意的书面报告的形式递交赛项仲裁</w:t>
      </w:r>
      <w:r>
        <w:rPr>
          <w:rFonts w:hint="eastAsia" w:ascii="Arial Narrow" w:hAnsi="Arial Narrow" w:eastAsia="仿宋_GB2312" w:cs="Arial"/>
          <w:sz w:val="30"/>
          <w:szCs w:val="30"/>
        </w:rPr>
        <w:t>工作</w:t>
      </w:r>
      <w:r>
        <w:rPr>
          <w:rFonts w:ascii="Arial Narrow" w:hAnsi="Arial Narrow" w:eastAsia="仿宋_GB2312" w:cs="Arial"/>
          <w:sz w:val="30"/>
          <w:szCs w:val="30"/>
        </w:rPr>
        <w:t xml:space="preserve">组。报告应对申诉事件的现象、发生时间、涉及人员、申诉依据等进行充分、实事求是的叙述。非书面申诉不予受理。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4</w:t>
      </w:r>
      <w:r>
        <w:rPr>
          <w:rFonts w:hint="eastAsia" w:ascii="Arial Narrow" w:hAnsi="Arial Narrow" w:eastAsia="仿宋_GB2312" w:cs="Arial"/>
          <w:sz w:val="30"/>
          <w:szCs w:val="30"/>
        </w:rPr>
        <w:t>）</w:t>
      </w:r>
      <w:r>
        <w:rPr>
          <w:rFonts w:ascii="Arial Narrow" w:hAnsi="Arial Narrow" w:eastAsia="仿宋_GB2312" w:cs="Arial"/>
          <w:sz w:val="30"/>
          <w:szCs w:val="30"/>
        </w:rPr>
        <w:t>提出申诉应在赛项比赛结束后2小时内提出。超过</w:t>
      </w:r>
      <w:r>
        <w:rPr>
          <w:rFonts w:hint="eastAsia" w:ascii="Arial Narrow" w:hAnsi="Arial Narrow" w:eastAsia="仿宋_GB2312" w:cs="Arial"/>
          <w:sz w:val="30"/>
          <w:szCs w:val="30"/>
        </w:rPr>
        <w:t>2小时</w:t>
      </w:r>
      <w:r>
        <w:rPr>
          <w:rFonts w:ascii="Arial Narrow" w:hAnsi="Arial Narrow" w:eastAsia="仿宋_GB2312" w:cs="Arial"/>
          <w:sz w:val="30"/>
          <w:szCs w:val="30"/>
        </w:rPr>
        <w:t>不予受理。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5</w:t>
      </w:r>
      <w:r>
        <w:rPr>
          <w:rFonts w:hint="eastAsia" w:ascii="Arial Narrow" w:hAnsi="Arial Narrow" w:eastAsia="仿宋_GB2312" w:cs="Arial"/>
          <w:sz w:val="30"/>
          <w:szCs w:val="30"/>
        </w:rPr>
        <w:t>）</w:t>
      </w:r>
      <w:r>
        <w:rPr>
          <w:rFonts w:ascii="Arial Narrow" w:hAnsi="Arial Narrow" w:eastAsia="仿宋_GB2312" w:cs="Arial"/>
          <w:sz w:val="30"/>
          <w:szCs w:val="30"/>
        </w:rPr>
        <w:t>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6</w:t>
      </w:r>
      <w:r>
        <w:rPr>
          <w:rFonts w:hint="eastAsia" w:ascii="Arial Narrow" w:hAnsi="Arial Narrow" w:eastAsia="仿宋_GB2312" w:cs="Arial"/>
          <w:sz w:val="30"/>
          <w:szCs w:val="30"/>
        </w:rPr>
        <w:t>）</w:t>
      </w:r>
      <w:r>
        <w:rPr>
          <w:rFonts w:ascii="Arial Narrow" w:hAnsi="Arial Narrow" w:eastAsia="仿宋_GB2312" w:cs="Arial"/>
          <w:sz w:val="30"/>
          <w:szCs w:val="30"/>
        </w:rPr>
        <w:t>申诉方不得以任何理由拒绝接收仲裁结果；不得以任何理由采取过激行为扰乱赛场秩序；仲裁结果由申诉人签收，不能代收；如在约定时间和地点申诉人离开，视为自行放弃申诉。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7</w:t>
      </w:r>
      <w:r>
        <w:rPr>
          <w:rFonts w:hint="eastAsia" w:ascii="Arial Narrow" w:hAnsi="Arial Narrow" w:eastAsia="仿宋_GB2312" w:cs="Arial"/>
          <w:sz w:val="30"/>
          <w:szCs w:val="30"/>
        </w:rPr>
        <w:t>）</w:t>
      </w:r>
      <w:r>
        <w:rPr>
          <w:rFonts w:ascii="Arial Narrow" w:hAnsi="Arial Narrow" w:eastAsia="仿宋_GB2312" w:cs="Arial"/>
          <w:sz w:val="30"/>
          <w:szCs w:val="30"/>
        </w:rPr>
        <w:t>申诉方可随时提出放弃申诉。</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（一）赛项资源转化的内容</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包括本赛项竞赛全过程的各类资源。本赛项所有转化资源做到均符合《2018年全国职业院校技能大赛赛项资源转化工作办法》中规定的各项技术标准，做到赛项资源转化成果应符合行业标准、契合课程标准、突出技能特色、展现竞赛优势，形成满足职业教育教学需求、体现先进教学模式、反映职业教育先进水平的共享性职业教育教学资源。本赛项资源转化成果包含基本资源和拓展资源，充分体现本赛项技能考核特点。</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1.基本资源</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（1）向大赛执委会提供专家点评视频、优秀选手/指导教师访谈视频。</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（2）向大赛执委会提供竞赛过程的全套音视频素材。</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2.拓展资源</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（1）针对赛项竞赛平台，组织行业专家、教师、企业工程师共同开发制作20～30个微课程和相关微视频，供参赛校教学使用。</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（2）搭建赛项教育云平台，主要包括资源共享、资源下载、技术交流、在线学习、题库建设等单元；</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（3）参与竞赛设备的二次开发设计，开发设计基于工作过程的教学情境；</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（4）结合竞赛设备编写适合于高职教学的一体化教材。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（二）教学资源转换步骤及要求</w:t>
      </w:r>
    </w:p>
    <w:tbl>
      <w:tblPr>
        <w:tblStyle w:val="9"/>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30"/>
        <w:gridCol w:w="2798"/>
        <w:gridCol w:w="1463"/>
        <w:gridCol w:w="21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trPr>
        <w:tc>
          <w:tcPr>
            <w:tcW w:w="2130" w:type="dxa"/>
            <w:vAlign w:val="center"/>
          </w:tcPr>
          <w:p>
            <w:pPr>
              <w:snapToGrid w:val="0"/>
              <w:jc w:val="center"/>
              <w:rPr>
                <w:rFonts w:ascii="宋体" w:hAnsi="宋体" w:cs="宋体"/>
                <w:sz w:val="24"/>
                <w:szCs w:val="24"/>
              </w:rPr>
            </w:pPr>
            <w:r>
              <w:rPr>
                <w:rFonts w:hint="eastAsia" w:ascii="宋体" w:hAnsi="宋体" w:cs="宋体"/>
                <w:sz w:val="24"/>
                <w:szCs w:val="24"/>
              </w:rPr>
              <w:t>资源内容</w:t>
            </w:r>
          </w:p>
        </w:tc>
        <w:tc>
          <w:tcPr>
            <w:tcW w:w="2798" w:type="dxa"/>
            <w:vAlign w:val="center"/>
          </w:tcPr>
          <w:p>
            <w:pPr>
              <w:snapToGrid w:val="0"/>
              <w:jc w:val="center"/>
              <w:rPr>
                <w:rFonts w:ascii="宋体" w:hAnsi="宋体" w:cs="宋体"/>
                <w:sz w:val="24"/>
                <w:szCs w:val="24"/>
              </w:rPr>
            </w:pPr>
            <w:r>
              <w:rPr>
                <w:rFonts w:hint="eastAsia" w:ascii="宋体" w:hAnsi="宋体" w:cs="宋体"/>
                <w:sz w:val="24"/>
                <w:szCs w:val="24"/>
              </w:rPr>
              <w:t>要求</w:t>
            </w:r>
          </w:p>
        </w:tc>
        <w:tc>
          <w:tcPr>
            <w:tcW w:w="1463" w:type="dxa"/>
            <w:vAlign w:val="center"/>
          </w:tcPr>
          <w:p>
            <w:pPr>
              <w:snapToGrid w:val="0"/>
              <w:jc w:val="center"/>
              <w:rPr>
                <w:rFonts w:ascii="宋体" w:hAnsi="宋体" w:cs="宋体"/>
                <w:sz w:val="24"/>
                <w:szCs w:val="24"/>
              </w:rPr>
            </w:pPr>
            <w:r>
              <w:rPr>
                <w:rFonts w:hint="eastAsia" w:ascii="宋体" w:hAnsi="宋体" w:cs="宋体"/>
                <w:sz w:val="24"/>
                <w:szCs w:val="24"/>
              </w:rPr>
              <w:t>完成时间</w:t>
            </w:r>
          </w:p>
        </w:tc>
        <w:tc>
          <w:tcPr>
            <w:tcW w:w="2131" w:type="dxa"/>
            <w:vAlign w:val="center"/>
          </w:tcPr>
          <w:p>
            <w:pPr>
              <w:snapToGrid w:val="0"/>
              <w:jc w:val="center"/>
              <w:rPr>
                <w:rFonts w:ascii="宋体" w:hAnsi="宋体" w:cs="宋体"/>
                <w:sz w:val="24"/>
                <w:szCs w:val="24"/>
              </w:rPr>
            </w:pPr>
            <w:r>
              <w:rPr>
                <w:rFonts w:hint="eastAsia" w:ascii="宋体" w:hAnsi="宋体" w:cs="宋体"/>
                <w:sz w:val="24"/>
                <w:szCs w:val="24"/>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tcPr>
          <w:p>
            <w:pPr>
              <w:snapToGrid w:val="0"/>
              <w:spacing w:line="560" w:lineRule="exact"/>
              <w:jc w:val="left"/>
              <w:rPr>
                <w:rFonts w:ascii="宋体" w:hAnsi="宋体" w:cs="宋体"/>
                <w:sz w:val="24"/>
                <w:szCs w:val="24"/>
              </w:rPr>
            </w:pPr>
            <w:r>
              <w:rPr>
                <w:rFonts w:hint="eastAsia" w:ascii="宋体" w:hAnsi="宋体" w:cs="宋体"/>
                <w:sz w:val="24"/>
                <w:szCs w:val="24"/>
              </w:rPr>
              <w:t>风采展示（基本资源）</w:t>
            </w:r>
          </w:p>
        </w:tc>
        <w:tc>
          <w:tcPr>
            <w:tcW w:w="2798" w:type="dxa"/>
          </w:tcPr>
          <w:p>
            <w:pPr>
              <w:snapToGrid w:val="0"/>
              <w:spacing w:line="560" w:lineRule="exact"/>
              <w:jc w:val="left"/>
              <w:rPr>
                <w:rFonts w:ascii="宋体" w:hAnsi="宋体" w:cs="宋体"/>
                <w:sz w:val="24"/>
                <w:szCs w:val="24"/>
              </w:rPr>
            </w:pPr>
            <w:r>
              <w:rPr>
                <w:rFonts w:hint="eastAsia" w:ascii="宋体" w:hAnsi="宋体" w:cs="宋体"/>
                <w:sz w:val="24"/>
                <w:szCs w:val="24"/>
                <w:shd w:val="clear" w:color="auto" w:fill="FFFFFF"/>
              </w:rPr>
              <w:t>画面精美、伴音动听、播放流畅，时间长度15分钟左右的赛项宣传片及获奖代表优秀选手、指导教师风采展示片；竞赛过程音视频记录。</w:t>
            </w:r>
          </w:p>
        </w:tc>
        <w:tc>
          <w:tcPr>
            <w:tcW w:w="1463" w:type="dxa"/>
          </w:tcPr>
          <w:p>
            <w:pPr>
              <w:snapToGrid w:val="0"/>
              <w:spacing w:line="560" w:lineRule="exact"/>
              <w:jc w:val="left"/>
              <w:rPr>
                <w:rFonts w:ascii="宋体" w:hAnsi="宋体" w:cs="宋体"/>
                <w:sz w:val="24"/>
                <w:szCs w:val="24"/>
              </w:rPr>
            </w:pPr>
            <w:r>
              <w:rPr>
                <w:rFonts w:hint="eastAsia" w:ascii="宋体" w:hAnsi="宋体" w:cs="宋体"/>
                <w:sz w:val="24"/>
                <w:szCs w:val="24"/>
                <w:shd w:val="clear" w:color="auto" w:fill="FFFFFF"/>
              </w:rPr>
              <w:t>赛项闭赛后5日内</w:t>
            </w:r>
          </w:p>
        </w:tc>
        <w:tc>
          <w:tcPr>
            <w:tcW w:w="2131" w:type="dxa"/>
          </w:tcPr>
          <w:p>
            <w:pPr>
              <w:snapToGrid w:val="0"/>
              <w:spacing w:line="560" w:lineRule="exact"/>
              <w:jc w:val="left"/>
              <w:rPr>
                <w:rFonts w:ascii="宋体" w:hAnsi="宋体" w:cs="宋体"/>
                <w:sz w:val="24"/>
                <w:szCs w:val="24"/>
              </w:rPr>
            </w:pPr>
            <w:r>
              <w:rPr>
                <w:rFonts w:hint="eastAsia" w:ascii="宋体" w:hAnsi="宋体" w:cs="宋体"/>
                <w:sz w:val="24"/>
                <w:szCs w:val="24"/>
                <w:shd w:val="clear" w:color="auto" w:fill="FFFFFF"/>
              </w:rPr>
              <w:t>承办院校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tcPr>
          <w:p>
            <w:pPr>
              <w:snapToGrid w:val="0"/>
              <w:spacing w:line="560" w:lineRule="exact"/>
              <w:jc w:val="left"/>
              <w:rPr>
                <w:rFonts w:ascii="宋体" w:hAnsi="宋体" w:cs="宋体"/>
                <w:sz w:val="24"/>
                <w:szCs w:val="24"/>
              </w:rPr>
            </w:pPr>
            <w:r>
              <w:rPr>
                <w:rFonts w:hint="eastAsia" w:ascii="宋体" w:hAnsi="宋体" w:cs="宋体"/>
                <w:sz w:val="24"/>
                <w:szCs w:val="24"/>
              </w:rPr>
              <w:t>点评材料（基本资源）</w:t>
            </w:r>
          </w:p>
        </w:tc>
        <w:tc>
          <w:tcPr>
            <w:tcW w:w="2798"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评委、裁判、专家点评</w:t>
            </w:r>
          </w:p>
        </w:tc>
        <w:tc>
          <w:tcPr>
            <w:tcW w:w="1463"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赛项闭赛后5日内</w:t>
            </w:r>
          </w:p>
        </w:tc>
        <w:tc>
          <w:tcPr>
            <w:tcW w:w="2131"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tcPr>
          <w:p>
            <w:pPr>
              <w:snapToGrid w:val="0"/>
              <w:spacing w:line="560" w:lineRule="exact"/>
              <w:jc w:val="left"/>
              <w:rPr>
                <w:rFonts w:ascii="宋体" w:hAnsi="宋体" w:cs="宋体"/>
                <w:sz w:val="24"/>
                <w:szCs w:val="24"/>
              </w:rPr>
            </w:pPr>
            <w:r>
              <w:rPr>
                <w:rFonts w:hint="eastAsia" w:ascii="宋体" w:hAnsi="宋体" w:cs="宋体"/>
                <w:sz w:val="24"/>
                <w:szCs w:val="24"/>
                <w:shd w:val="clear" w:color="auto" w:fill="FFFFFF"/>
              </w:rPr>
              <w:t>竞赛试题库及技术分</w:t>
            </w:r>
            <w:r>
              <w:rPr>
                <w:rFonts w:hint="eastAsia" w:ascii="宋体" w:hAnsi="宋体" w:cs="宋体"/>
                <w:sz w:val="24"/>
                <w:szCs w:val="24"/>
              </w:rPr>
              <w:t>（基本资源）</w:t>
            </w:r>
          </w:p>
        </w:tc>
        <w:tc>
          <w:tcPr>
            <w:tcW w:w="2798"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10套试题、竞赛技能考核评分案例及技术分析报告</w:t>
            </w:r>
          </w:p>
        </w:tc>
        <w:tc>
          <w:tcPr>
            <w:tcW w:w="1463"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赛项闭赛后30日内</w:t>
            </w:r>
          </w:p>
        </w:tc>
        <w:tc>
          <w:tcPr>
            <w:tcW w:w="2131"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教学资源包（</w:t>
            </w:r>
            <w:r>
              <w:rPr>
                <w:rFonts w:hint="eastAsia" w:ascii="宋体" w:hAnsi="宋体" w:cs="宋体"/>
                <w:sz w:val="24"/>
                <w:szCs w:val="24"/>
              </w:rPr>
              <w:t>拓展资源（</w:t>
            </w:r>
          </w:p>
        </w:tc>
        <w:tc>
          <w:tcPr>
            <w:tcW w:w="2798"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rPr>
              <w:t>组织行业专家、教师、企业工程师共同开发制作20～30个微课程和相关微视频，供参赛校教学使用</w:t>
            </w:r>
          </w:p>
        </w:tc>
        <w:tc>
          <w:tcPr>
            <w:tcW w:w="1463"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赛项闭赛后100日内</w:t>
            </w:r>
          </w:p>
        </w:tc>
        <w:tc>
          <w:tcPr>
            <w:tcW w:w="2131"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rPr>
              <w:t>教育云平台（拓展资源）</w:t>
            </w:r>
          </w:p>
        </w:tc>
        <w:tc>
          <w:tcPr>
            <w:tcW w:w="2798" w:type="dxa"/>
          </w:tcPr>
          <w:p>
            <w:pPr>
              <w:snapToGrid w:val="0"/>
              <w:spacing w:line="560" w:lineRule="exact"/>
              <w:jc w:val="left"/>
              <w:rPr>
                <w:rFonts w:ascii="宋体" w:hAnsi="宋体" w:cs="宋体"/>
                <w:sz w:val="24"/>
                <w:szCs w:val="24"/>
              </w:rPr>
            </w:pPr>
            <w:r>
              <w:rPr>
                <w:rFonts w:hint="eastAsia" w:ascii="宋体" w:hAnsi="宋体" w:cs="宋体"/>
                <w:sz w:val="24"/>
                <w:szCs w:val="24"/>
              </w:rPr>
              <w:t>资源共享、资源下载、技术交流、在线学习、题库建设</w:t>
            </w:r>
          </w:p>
        </w:tc>
        <w:tc>
          <w:tcPr>
            <w:tcW w:w="1463"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赛项闭赛后100日内</w:t>
            </w:r>
          </w:p>
        </w:tc>
        <w:tc>
          <w:tcPr>
            <w:tcW w:w="2131"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tcPr>
          <w:p>
            <w:pPr>
              <w:snapToGrid w:val="0"/>
              <w:spacing w:line="560" w:lineRule="exact"/>
              <w:jc w:val="left"/>
              <w:rPr>
                <w:rFonts w:ascii="宋体" w:hAnsi="宋体" w:cs="宋体"/>
                <w:sz w:val="24"/>
                <w:szCs w:val="24"/>
              </w:rPr>
            </w:pPr>
            <w:r>
              <w:rPr>
                <w:rFonts w:hint="eastAsia" w:ascii="宋体" w:hAnsi="宋体" w:cs="宋体"/>
                <w:sz w:val="24"/>
                <w:szCs w:val="24"/>
              </w:rPr>
              <w:t>设备的二次开发设计</w:t>
            </w:r>
          </w:p>
        </w:tc>
        <w:tc>
          <w:tcPr>
            <w:tcW w:w="2798" w:type="dxa"/>
          </w:tcPr>
          <w:p>
            <w:pPr>
              <w:snapToGrid w:val="0"/>
              <w:spacing w:line="560" w:lineRule="exact"/>
              <w:jc w:val="left"/>
              <w:rPr>
                <w:rFonts w:ascii="宋体" w:hAnsi="宋体" w:cs="宋体"/>
                <w:sz w:val="24"/>
                <w:szCs w:val="24"/>
              </w:rPr>
            </w:pPr>
            <w:r>
              <w:rPr>
                <w:rFonts w:hint="eastAsia" w:ascii="宋体" w:hAnsi="宋体" w:cs="宋体"/>
                <w:sz w:val="24"/>
                <w:szCs w:val="24"/>
              </w:rPr>
              <w:t>开发设计基于工作过程的教学情境，开发新的模块，用于新一届竞赛未知单元</w:t>
            </w:r>
          </w:p>
        </w:tc>
        <w:tc>
          <w:tcPr>
            <w:tcW w:w="1463"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赛项闭赛后100日内</w:t>
            </w:r>
          </w:p>
        </w:tc>
        <w:tc>
          <w:tcPr>
            <w:tcW w:w="2131"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tcPr>
          <w:p>
            <w:pPr>
              <w:snapToGrid w:val="0"/>
              <w:spacing w:line="560" w:lineRule="exact"/>
              <w:jc w:val="left"/>
              <w:rPr>
                <w:rFonts w:ascii="宋体" w:hAnsi="宋体" w:cs="宋体"/>
                <w:sz w:val="24"/>
                <w:szCs w:val="24"/>
              </w:rPr>
            </w:pPr>
            <w:r>
              <w:rPr>
                <w:rFonts w:hint="eastAsia" w:ascii="宋体" w:hAnsi="宋体" w:cs="宋体"/>
                <w:sz w:val="24"/>
                <w:szCs w:val="24"/>
              </w:rPr>
              <w:t>一体化教材</w:t>
            </w:r>
          </w:p>
        </w:tc>
        <w:tc>
          <w:tcPr>
            <w:tcW w:w="2798" w:type="dxa"/>
          </w:tcPr>
          <w:p>
            <w:pPr>
              <w:snapToGrid w:val="0"/>
              <w:spacing w:line="560" w:lineRule="exact"/>
              <w:jc w:val="left"/>
              <w:rPr>
                <w:rFonts w:ascii="宋体" w:hAnsi="宋体" w:cs="宋体"/>
                <w:sz w:val="24"/>
                <w:szCs w:val="24"/>
              </w:rPr>
            </w:pPr>
            <w:r>
              <w:rPr>
                <w:rFonts w:hint="eastAsia" w:ascii="宋体" w:hAnsi="宋体" w:cs="宋体"/>
                <w:sz w:val="24"/>
                <w:szCs w:val="24"/>
              </w:rPr>
              <w:t>根据竞赛内容和设备平台，开发适合于高职教学的一体化教材</w:t>
            </w:r>
          </w:p>
        </w:tc>
        <w:tc>
          <w:tcPr>
            <w:tcW w:w="1463"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赛项闭赛后100日内</w:t>
            </w:r>
          </w:p>
        </w:tc>
        <w:tc>
          <w:tcPr>
            <w:tcW w:w="2131" w:type="dxa"/>
          </w:tcPr>
          <w:p>
            <w:pPr>
              <w:snapToGrid w:val="0"/>
              <w:spacing w:line="560" w:lineRule="exact"/>
              <w:jc w:val="left"/>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bl>
    <w:p>
      <w:pPr>
        <w:ind w:firstLine="420"/>
        <w:rPr>
          <w:sz w:val="24"/>
          <w:szCs w:val="24"/>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（三）资源的使用与管理</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赛项资源转化成果由大赛执委会统一实施，成熟的资源转化成果发布于全国大赛网络信息发布平台，供职业院校师生借鉴学习。</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十八、筹备工作进度时间表</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2018年11月，组织行业、企业专家和院校代表完成竞赛规程的完善修订工作，交由教育部发布；</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2018年12月-2019年3月，组建赛项技术工作团队，开展赛项准备和筹备工作；完成竞赛需要的设备与配套工具、耗材等准备工作；</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2019年3月下旬，组建竞赛裁判团队，报全国职业院校技能大赛组委会审核；竞赛设备等到达竞赛场地，并完成安装调试；</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2019年4月，召开国赛说明会，公布样题，专家组到竞赛地点现场出题库及制定评分标准；</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2019年 5月，竞赛项目实施；</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2019年9-10月，竞赛项目总结；</w:t>
      </w:r>
    </w:p>
    <w:p>
      <w:pPr>
        <w:snapToGrid w:val="0"/>
        <w:spacing w:line="560" w:lineRule="exact"/>
        <w:ind w:firstLine="600" w:firstLineChars="200"/>
        <w:rPr>
          <w:rFonts w:ascii="Arial Narrow" w:hAnsi="Arial Narrow" w:eastAsia="仿宋_GB2312" w:cs="Arial"/>
          <w:sz w:val="30"/>
          <w:szCs w:val="30"/>
        </w:rPr>
      </w:pPr>
      <w:r>
        <w:rPr>
          <w:rFonts w:hint="eastAsia" w:ascii="仿宋_GB2312" w:hAnsi="仿宋" w:eastAsia="仿宋_GB2312"/>
          <w:sz w:val="30"/>
          <w:szCs w:val="30"/>
        </w:rPr>
        <w:t>2019年12月，围绕本竞赛项目的相关教学成果研讨会及展示等活动。</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ascii="仿宋_GB2312" w:hAnsi="仿宋" w:eastAsia="仿宋_GB2312"/>
          <w:sz w:val="30"/>
          <w:szCs w:val="30"/>
        </w:rPr>
      </w:pPr>
      <w:r>
        <w:rPr>
          <w:rFonts w:hint="eastAsia" w:ascii="Arial Narrow" w:hAnsi="Arial Narrow" w:eastAsia="仿宋_GB2312" w:cs="Arial"/>
          <w:sz w:val="30"/>
          <w:szCs w:val="30"/>
        </w:rPr>
        <w:t>按</w:t>
      </w:r>
      <w:r>
        <w:rPr>
          <w:rFonts w:ascii="Arial Narrow" w:hAnsi="Arial Narrow" w:eastAsia="仿宋_GB2312" w:cs="Arial"/>
          <w:sz w:val="30"/>
          <w:szCs w:val="30"/>
        </w:rPr>
        <w:t>照《全国职业院校技能大赛专家和裁判工作管理办法》的有关要求，</w:t>
      </w:r>
      <w:r>
        <w:rPr>
          <w:rFonts w:hint="eastAsia" w:ascii="仿宋_GB2312" w:hAnsi="仿宋" w:eastAsia="仿宋_GB2312"/>
          <w:sz w:val="30"/>
          <w:szCs w:val="30"/>
        </w:rPr>
        <w:t>裁判员组成建议如下：</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（一）竞赛的裁判工作由裁判长、裁判仲裁委员会和裁判员组成。</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（二）裁判员应是电气自动化相关专业的专业工作人员，从事本专业工作 5 年以上，具有优秀的职业道德，能够客观公正地开展裁判工作，具有副高以上职称。</w:t>
      </w:r>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（三）裁判人员组成建议：以全国 50～60 支参赛队为测算基础，建议裁判团队由20人组成。</w:t>
      </w:r>
    </w:p>
    <w:p>
      <w:pPr>
        <w:snapToGrid w:val="0"/>
        <w:spacing w:line="560" w:lineRule="exact"/>
        <w:ind w:firstLine="600" w:firstLineChars="200"/>
        <w:rPr>
          <w:rFonts w:ascii="Arial Narrow" w:hAnsi="Arial Narrow" w:eastAsia="仿宋_GB2312" w:cs="Arial"/>
          <w:sz w:val="30"/>
          <w:szCs w:val="30"/>
        </w:rPr>
      </w:pPr>
      <w:r>
        <w:rPr>
          <w:rFonts w:hint="eastAsia" w:ascii="仿宋_GB2312" w:hAnsi="仿宋" w:eastAsia="仿宋_GB2312"/>
          <w:sz w:val="30"/>
          <w:szCs w:val="30"/>
        </w:rPr>
        <w:t>（四）裁判长由大赛组委会在本竞赛裁判员中指定。</w:t>
      </w:r>
    </w:p>
    <w:tbl>
      <w:tblPr>
        <w:tblStyle w:val="9"/>
        <w:tblpPr w:leftFromText="180" w:rightFromText="180" w:vertAnchor="text" w:horzAnchor="margin" w:tblpY="167"/>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序号</w:t>
            </w:r>
          </w:p>
        </w:tc>
        <w:tc>
          <w:tcPr>
            <w:tcW w:w="1725"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专业技术方向</w:t>
            </w:r>
          </w:p>
        </w:tc>
        <w:tc>
          <w:tcPr>
            <w:tcW w:w="1665"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知识能力要求</w:t>
            </w:r>
          </w:p>
        </w:tc>
        <w:tc>
          <w:tcPr>
            <w:tcW w:w="1485"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hint="eastAsia" w:ascii="宋体" w:hAnsi="宋体" w:cs="Arial"/>
                <w:b/>
                <w:color w:val="000000"/>
                <w:sz w:val="24"/>
                <w:szCs w:val="24"/>
              </w:rPr>
              <w:t>执裁、教学、工作经历</w:t>
            </w:r>
          </w:p>
        </w:tc>
        <w:tc>
          <w:tcPr>
            <w:tcW w:w="2048"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专业技术职称</w:t>
            </w:r>
          </w:p>
          <w:p>
            <w:pPr>
              <w:adjustRightInd w:val="0"/>
              <w:snapToGrid w:val="0"/>
              <w:jc w:val="center"/>
              <w:rPr>
                <w:rFonts w:ascii="宋体" w:hAnsi="宋体" w:cs="Arial"/>
                <w:b/>
                <w:color w:val="000000"/>
                <w:sz w:val="24"/>
                <w:szCs w:val="24"/>
              </w:rPr>
            </w:pPr>
            <w:r>
              <w:rPr>
                <w:rFonts w:ascii="宋体" w:hAnsi="宋体" w:cs="Arial"/>
                <w:b/>
                <w:color w:val="000000"/>
                <w:sz w:val="24"/>
                <w:szCs w:val="24"/>
              </w:rPr>
              <w:t>（职业资格等级）</w:t>
            </w:r>
          </w:p>
        </w:tc>
        <w:tc>
          <w:tcPr>
            <w:tcW w:w="779"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Pr>
          <w:p>
            <w:pPr>
              <w:rPr>
                <w:rFonts w:ascii="宋体" w:hAnsi="宋体"/>
                <w:sz w:val="24"/>
                <w:szCs w:val="24"/>
              </w:rPr>
            </w:pPr>
            <w:r>
              <w:rPr>
                <w:rFonts w:hint="eastAsia" w:ascii="宋体" w:hAnsi="宋体"/>
                <w:sz w:val="24"/>
                <w:szCs w:val="24"/>
              </w:rPr>
              <w:t>1</w:t>
            </w:r>
          </w:p>
        </w:tc>
        <w:tc>
          <w:tcPr>
            <w:tcW w:w="1725" w:type="dxa"/>
          </w:tcPr>
          <w:p>
            <w:pPr>
              <w:rPr>
                <w:rFonts w:ascii="宋体" w:hAnsi="宋体"/>
                <w:sz w:val="24"/>
                <w:szCs w:val="24"/>
              </w:rPr>
            </w:pPr>
            <w:r>
              <w:rPr>
                <w:rFonts w:hint="eastAsia" w:ascii="宋体" w:hAnsi="宋体"/>
                <w:sz w:val="24"/>
                <w:szCs w:val="24"/>
              </w:rPr>
              <w:t>电机拖动控制</w:t>
            </w:r>
          </w:p>
        </w:tc>
        <w:tc>
          <w:tcPr>
            <w:tcW w:w="1665" w:type="dxa"/>
          </w:tcPr>
          <w:p>
            <w:pPr>
              <w:rPr>
                <w:rFonts w:ascii="宋体" w:hAnsi="宋体"/>
                <w:sz w:val="24"/>
                <w:szCs w:val="24"/>
              </w:rPr>
            </w:pPr>
            <w:r>
              <w:rPr>
                <w:rFonts w:hint="eastAsia" w:ascii="宋体" w:hAnsi="宋体"/>
                <w:sz w:val="24"/>
                <w:szCs w:val="24"/>
              </w:rPr>
              <w:t>电机、电机控制、机床排故、运动调速等相关知识能力</w:t>
            </w:r>
          </w:p>
        </w:tc>
        <w:tc>
          <w:tcPr>
            <w:tcW w:w="1485" w:type="dxa"/>
            <w:vAlign w:val="center"/>
          </w:tcPr>
          <w:p>
            <w:pPr>
              <w:adjustRightInd w:val="0"/>
              <w:snapToGrid w:val="0"/>
              <w:jc w:val="center"/>
              <w:rPr>
                <w:rFonts w:ascii="宋体" w:hAnsi="宋体"/>
                <w:sz w:val="24"/>
                <w:szCs w:val="24"/>
              </w:rPr>
            </w:pPr>
          </w:p>
        </w:tc>
        <w:tc>
          <w:tcPr>
            <w:tcW w:w="2048" w:type="dxa"/>
          </w:tcPr>
          <w:p>
            <w:pPr>
              <w:adjustRightInd w:val="0"/>
              <w:snapToGrid w:val="0"/>
              <w:jc w:val="center"/>
              <w:rPr>
                <w:rFonts w:ascii="宋体" w:hAnsi="宋体" w:cs="Arial"/>
                <w:bCs/>
                <w:sz w:val="24"/>
                <w:szCs w:val="24"/>
              </w:rPr>
            </w:pPr>
            <w:r>
              <w:rPr>
                <w:rFonts w:hint="eastAsia" w:ascii="宋体" w:hAnsi="宋体" w:cs="Arial"/>
                <w:bCs/>
                <w:sz w:val="24"/>
                <w:szCs w:val="24"/>
              </w:rPr>
              <w:t>副教授以上职称</w:t>
            </w:r>
          </w:p>
          <w:p>
            <w:pPr>
              <w:adjustRightInd w:val="0"/>
              <w:snapToGrid w:val="0"/>
              <w:jc w:val="center"/>
              <w:rPr>
                <w:rFonts w:ascii="宋体" w:hAnsi="宋体"/>
                <w:sz w:val="24"/>
                <w:szCs w:val="24"/>
              </w:rPr>
            </w:pPr>
            <w:r>
              <w:rPr>
                <w:rFonts w:hint="eastAsia" w:ascii="宋体" w:hAnsi="宋体" w:cs="Arial"/>
                <w:bCs/>
                <w:sz w:val="24"/>
                <w:szCs w:val="24"/>
              </w:rPr>
              <w:t>(工程师或技师)</w:t>
            </w:r>
          </w:p>
        </w:tc>
        <w:tc>
          <w:tcPr>
            <w:tcW w:w="779" w:type="dxa"/>
          </w:tcPr>
          <w:p>
            <w:pPr>
              <w:adjustRightInd w:val="0"/>
              <w:snapToGrid w:val="0"/>
              <w:jc w:val="center"/>
              <w:rPr>
                <w:rFonts w:ascii="宋体" w:hAnsi="宋体"/>
                <w:sz w:val="24"/>
                <w:szCs w:val="24"/>
              </w:rPr>
            </w:pPr>
            <w:r>
              <w:rPr>
                <w:rFonts w:hint="eastAsia" w:ascii="宋体" w:hAnsi="宋体"/>
                <w:sz w:val="24"/>
                <w:szCs w:val="24"/>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Pr>
          <w:p>
            <w:pPr>
              <w:rPr>
                <w:rFonts w:ascii="宋体" w:hAnsi="宋体"/>
                <w:sz w:val="24"/>
                <w:szCs w:val="24"/>
              </w:rPr>
            </w:pPr>
            <w:r>
              <w:rPr>
                <w:rFonts w:hint="eastAsia" w:ascii="宋体" w:hAnsi="宋体"/>
                <w:sz w:val="24"/>
                <w:szCs w:val="24"/>
              </w:rPr>
              <w:t>2</w:t>
            </w:r>
          </w:p>
        </w:tc>
        <w:tc>
          <w:tcPr>
            <w:tcW w:w="1725" w:type="dxa"/>
          </w:tcPr>
          <w:p>
            <w:pPr>
              <w:rPr>
                <w:rFonts w:ascii="宋体" w:hAnsi="宋体"/>
                <w:sz w:val="24"/>
                <w:szCs w:val="24"/>
              </w:rPr>
            </w:pPr>
            <w:r>
              <w:rPr>
                <w:rFonts w:hint="eastAsia" w:ascii="宋体" w:hAnsi="宋体"/>
                <w:sz w:val="24"/>
                <w:szCs w:val="24"/>
              </w:rPr>
              <w:t>工控软件设计</w:t>
            </w:r>
          </w:p>
        </w:tc>
        <w:tc>
          <w:tcPr>
            <w:tcW w:w="1665" w:type="dxa"/>
          </w:tcPr>
          <w:p>
            <w:pPr>
              <w:rPr>
                <w:rFonts w:ascii="宋体" w:hAnsi="宋体"/>
                <w:sz w:val="24"/>
                <w:szCs w:val="24"/>
              </w:rPr>
            </w:pPr>
            <w:r>
              <w:rPr>
                <w:rFonts w:hint="eastAsia" w:ascii="宋体" w:hAnsi="宋体"/>
                <w:sz w:val="24"/>
                <w:szCs w:val="24"/>
              </w:rPr>
              <w:t>西门子PLC、三菱PLC、MCGS等工控软件设计能力</w:t>
            </w:r>
          </w:p>
        </w:tc>
        <w:tc>
          <w:tcPr>
            <w:tcW w:w="1485" w:type="dxa"/>
            <w:vAlign w:val="center"/>
          </w:tcPr>
          <w:p>
            <w:pPr>
              <w:adjustRightInd w:val="0"/>
              <w:snapToGrid w:val="0"/>
              <w:jc w:val="center"/>
              <w:rPr>
                <w:rFonts w:ascii="宋体" w:hAnsi="宋体"/>
                <w:sz w:val="24"/>
                <w:szCs w:val="24"/>
              </w:rPr>
            </w:pPr>
          </w:p>
        </w:tc>
        <w:tc>
          <w:tcPr>
            <w:tcW w:w="2048" w:type="dxa"/>
          </w:tcPr>
          <w:p>
            <w:pPr>
              <w:adjustRightInd w:val="0"/>
              <w:snapToGrid w:val="0"/>
              <w:jc w:val="center"/>
              <w:rPr>
                <w:rFonts w:ascii="宋体" w:hAnsi="宋体"/>
                <w:sz w:val="24"/>
                <w:szCs w:val="24"/>
              </w:rPr>
            </w:pPr>
            <w:r>
              <w:rPr>
                <w:rFonts w:hint="eastAsia" w:ascii="宋体" w:hAnsi="宋体"/>
                <w:sz w:val="24"/>
                <w:szCs w:val="24"/>
              </w:rPr>
              <w:t>副教授以上职称</w:t>
            </w:r>
          </w:p>
          <w:p>
            <w:pPr>
              <w:adjustRightInd w:val="0"/>
              <w:snapToGrid w:val="0"/>
              <w:jc w:val="center"/>
              <w:rPr>
                <w:rFonts w:ascii="宋体" w:hAnsi="宋体"/>
                <w:sz w:val="24"/>
                <w:szCs w:val="24"/>
              </w:rPr>
            </w:pPr>
            <w:r>
              <w:rPr>
                <w:rFonts w:hint="eastAsia" w:ascii="宋体" w:hAnsi="宋体"/>
                <w:sz w:val="24"/>
                <w:szCs w:val="24"/>
              </w:rPr>
              <w:t>(工程师或技师)</w:t>
            </w:r>
          </w:p>
        </w:tc>
        <w:tc>
          <w:tcPr>
            <w:tcW w:w="779" w:type="dxa"/>
          </w:tcPr>
          <w:p>
            <w:pPr>
              <w:adjustRightInd w:val="0"/>
              <w:snapToGrid w:val="0"/>
              <w:jc w:val="center"/>
              <w:rPr>
                <w:rFonts w:ascii="宋体" w:hAnsi="宋体"/>
                <w:sz w:val="24"/>
                <w:szCs w:val="24"/>
              </w:rPr>
            </w:pPr>
            <w:r>
              <w:rPr>
                <w:rFonts w:hint="eastAsia" w:ascii="宋体" w:hAnsi="宋体"/>
                <w:sz w:val="24"/>
                <w:szCs w:val="24"/>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Pr>
          <w:p>
            <w:pPr>
              <w:rPr>
                <w:rFonts w:ascii="宋体" w:hAnsi="宋体"/>
                <w:sz w:val="24"/>
                <w:szCs w:val="24"/>
              </w:rPr>
            </w:pPr>
            <w:r>
              <w:rPr>
                <w:rFonts w:hint="eastAsia" w:ascii="宋体" w:hAnsi="宋体"/>
                <w:sz w:val="24"/>
                <w:szCs w:val="24"/>
              </w:rPr>
              <w:t>3</w:t>
            </w:r>
          </w:p>
        </w:tc>
        <w:tc>
          <w:tcPr>
            <w:tcW w:w="1725" w:type="dxa"/>
          </w:tcPr>
          <w:p>
            <w:pPr>
              <w:rPr>
                <w:rFonts w:ascii="宋体" w:hAnsi="宋体"/>
                <w:sz w:val="24"/>
                <w:szCs w:val="24"/>
              </w:rPr>
            </w:pPr>
            <w:r>
              <w:rPr>
                <w:rFonts w:hint="eastAsia" w:ascii="宋体" w:hAnsi="宋体"/>
                <w:sz w:val="24"/>
                <w:szCs w:val="24"/>
              </w:rPr>
              <w:t>系统设计</w:t>
            </w:r>
          </w:p>
        </w:tc>
        <w:tc>
          <w:tcPr>
            <w:tcW w:w="1665" w:type="dxa"/>
          </w:tcPr>
          <w:p>
            <w:pPr>
              <w:rPr>
                <w:rFonts w:ascii="宋体" w:hAnsi="宋体"/>
                <w:sz w:val="24"/>
                <w:szCs w:val="24"/>
              </w:rPr>
            </w:pPr>
            <w:r>
              <w:rPr>
                <w:rFonts w:hint="eastAsia" w:ascii="宋体" w:hAnsi="宋体"/>
                <w:sz w:val="24"/>
                <w:szCs w:val="24"/>
              </w:rPr>
              <w:t>电气应用系统设计等相关知识能力</w:t>
            </w:r>
          </w:p>
        </w:tc>
        <w:tc>
          <w:tcPr>
            <w:tcW w:w="1485" w:type="dxa"/>
            <w:vAlign w:val="center"/>
          </w:tcPr>
          <w:p>
            <w:pPr>
              <w:adjustRightInd w:val="0"/>
              <w:snapToGrid w:val="0"/>
              <w:jc w:val="center"/>
              <w:rPr>
                <w:rFonts w:ascii="宋体" w:hAnsi="宋体"/>
                <w:sz w:val="24"/>
                <w:szCs w:val="24"/>
              </w:rPr>
            </w:pPr>
          </w:p>
        </w:tc>
        <w:tc>
          <w:tcPr>
            <w:tcW w:w="2048" w:type="dxa"/>
          </w:tcPr>
          <w:p>
            <w:pPr>
              <w:adjustRightInd w:val="0"/>
              <w:snapToGrid w:val="0"/>
              <w:jc w:val="center"/>
              <w:rPr>
                <w:rFonts w:ascii="宋体" w:hAnsi="宋体"/>
                <w:sz w:val="24"/>
                <w:szCs w:val="24"/>
              </w:rPr>
            </w:pPr>
            <w:r>
              <w:rPr>
                <w:rFonts w:hint="eastAsia" w:ascii="宋体" w:hAnsi="宋体"/>
                <w:sz w:val="24"/>
                <w:szCs w:val="24"/>
              </w:rPr>
              <w:t>副教授以上职称</w:t>
            </w:r>
          </w:p>
          <w:p>
            <w:pPr>
              <w:adjustRightInd w:val="0"/>
              <w:snapToGrid w:val="0"/>
              <w:jc w:val="center"/>
              <w:rPr>
                <w:rFonts w:ascii="宋体" w:hAnsi="宋体"/>
                <w:sz w:val="24"/>
                <w:szCs w:val="24"/>
              </w:rPr>
            </w:pPr>
            <w:r>
              <w:rPr>
                <w:rFonts w:hint="eastAsia" w:ascii="宋体" w:hAnsi="宋体"/>
                <w:sz w:val="24"/>
                <w:szCs w:val="24"/>
              </w:rPr>
              <w:t>(工程师或技师)</w:t>
            </w:r>
          </w:p>
        </w:tc>
        <w:tc>
          <w:tcPr>
            <w:tcW w:w="779" w:type="dxa"/>
          </w:tcPr>
          <w:p>
            <w:pPr>
              <w:adjustRightInd w:val="0"/>
              <w:snapToGrid w:val="0"/>
              <w:jc w:val="center"/>
              <w:rPr>
                <w:rFonts w:ascii="宋体" w:hAnsi="宋体"/>
                <w:sz w:val="24"/>
                <w:szCs w:val="24"/>
              </w:rPr>
            </w:pPr>
            <w:r>
              <w:rPr>
                <w:rFonts w:hint="eastAsia" w:ascii="宋体" w:hAnsi="宋体"/>
                <w:sz w:val="24"/>
                <w:szCs w:val="24"/>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bottom w:val="single" w:color="auto" w:sz="8" w:space="0"/>
            </w:tcBorders>
            <w:vAlign w:val="center"/>
          </w:tcPr>
          <w:p>
            <w:pPr>
              <w:adjustRightInd w:val="0"/>
              <w:snapToGrid w:val="0"/>
              <w:jc w:val="center"/>
              <w:rPr>
                <w:rFonts w:ascii="宋体" w:hAnsi="宋体"/>
                <w:sz w:val="24"/>
                <w:szCs w:val="24"/>
              </w:rPr>
            </w:pPr>
            <w:r>
              <w:rPr>
                <w:rFonts w:ascii="宋体" w:hAnsi="宋体" w:cs="Arial"/>
                <w:b/>
                <w:color w:val="000000"/>
                <w:sz w:val="24"/>
                <w:szCs w:val="24"/>
              </w:rPr>
              <w:t>裁判总人数</w:t>
            </w:r>
          </w:p>
        </w:tc>
        <w:tc>
          <w:tcPr>
            <w:tcW w:w="7702" w:type="dxa"/>
            <w:gridSpan w:val="5"/>
            <w:tcBorders>
              <w:bottom w:val="single" w:color="auto" w:sz="8" w:space="0"/>
            </w:tcBorders>
          </w:tcPr>
          <w:p>
            <w:pPr>
              <w:adjustRightInd w:val="0"/>
              <w:snapToGrid w:val="0"/>
              <w:jc w:val="center"/>
              <w:rPr>
                <w:rFonts w:ascii="宋体" w:hAnsi="宋体"/>
                <w:sz w:val="24"/>
                <w:szCs w:val="24"/>
              </w:rPr>
            </w:pPr>
            <w:r>
              <w:rPr>
                <w:rFonts w:hint="eastAsia" w:ascii="宋体" w:hAnsi="宋体"/>
                <w:sz w:val="24"/>
                <w:szCs w:val="24"/>
              </w:rPr>
              <w:t>20人</w:t>
            </w:r>
          </w:p>
        </w:tc>
      </w:tr>
    </w:tbl>
    <w:p>
      <w:pPr>
        <w:snapToGrid w:val="0"/>
        <w:spacing w:line="560" w:lineRule="exact"/>
        <w:ind w:firstLine="602" w:firstLineChars="200"/>
        <w:rPr>
          <w:rFonts w:ascii="黑体" w:hAnsi="黑体" w:eastAsia="黑体" w:cs="黑体"/>
          <w:b/>
          <w:sz w:val="30"/>
          <w:szCs w:val="30"/>
        </w:rPr>
      </w:pPr>
    </w:p>
    <w:p>
      <w:pPr>
        <w:snapToGrid w:val="0"/>
        <w:spacing w:line="560" w:lineRule="exact"/>
        <w:ind w:firstLine="600" w:firstLineChars="200"/>
        <w:outlineLvl w:val="0"/>
        <w:rPr>
          <w:rFonts w:hint="eastAsia" w:ascii="黑体" w:hAnsi="黑体" w:eastAsia="黑体" w:cs="黑体"/>
          <w:bCs/>
          <w:sz w:val="30"/>
          <w:szCs w:val="30"/>
        </w:rPr>
      </w:pPr>
    </w:p>
    <w:p>
      <w:pPr>
        <w:snapToGrid w:val="0"/>
        <w:spacing w:line="560" w:lineRule="exact"/>
        <w:ind w:firstLine="600" w:firstLineChars="200"/>
        <w:outlineLvl w:val="0"/>
        <w:rPr>
          <w:rFonts w:hint="eastAsia" w:ascii="黑体" w:hAnsi="黑体" w:eastAsia="黑体" w:cs="黑体"/>
          <w:bCs/>
          <w:sz w:val="30"/>
          <w:szCs w:val="30"/>
        </w:rPr>
      </w:pPr>
    </w:p>
    <w:p>
      <w:pPr>
        <w:snapToGrid w:val="0"/>
        <w:spacing w:line="560" w:lineRule="exact"/>
        <w:ind w:firstLine="600" w:firstLineChars="200"/>
        <w:outlineLvl w:val="0"/>
        <w:rPr>
          <w:rFonts w:hint="eastAsia" w:ascii="黑体" w:hAnsi="黑体" w:eastAsia="黑体" w:cs="黑体"/>
          <w:bCs/>
          <w:sz w:val="30"/>
          <w:szCs w:val="30"/>
        </w:rPr>
      </w:pPr>
    </w:p>
    <w:p>
      <w:pPr>
        <w:snapToGrid w:val="0"/>
        <w:spacing w:line="560" w:lineRule="exact"/>
        <w:ind w:firstLine="600" w:firstLineChars="200"/>
        <w:outlineLvl w:val="0"/>
        <w:rPr>
          <w:rFonts w:hint="eastAsia" w:ascii="黑体" w:hAnsi="黑体" w:eastAsia="黑体" w:cs="黑体"/>
          <w:bCs/>
          <w:sz w:val="30"/>
          <w:szCs w:val="30"/>
        </w:rPr>
      </w:pPr>
    </w:p>
    <w:p>
      <w:pPr>
        <w:snapToGrid w:val="0"/>
        <w:spacing w:line="560" w:lineRule="exact"/>
        <w:ind w:firstLine="600" w:firstLineChars="200"/>
        <w:outlineLvl w:val="0"/>
        <w:rPr>
          <w:rFonts w:hint="eastAsia" w:ascii="黑体" w:hAnsi="黑体" w:eastAsia="黑体" w:cs="黑体"/>
          <w:bCs/>
          <w:sz w:val="30"/>
          <w:szCs w:val="30"/>
        </w:rPr>
      </w:pPr>
    </w:p>
    <w:p>
      <w:pPr>
        <w:snapToGrid w:val="0"/>
        <w:spacing w:line="560" w:lineRule="exact"/>
        <w:ind w:firstLine="600" w:firstLineChars="200"/>
        <w:outlineLvl w:val="0"/>
        <w:rPr>
          <w:rFonts w:hint="eastAsia" w:ascii="黑体" w:hAnsi="黑体" w:eastAsia="黑体" w:cs="黑体"/>
          <w:bCs/>
          <w:sz w:val="30"/>
          <w:szCs w:val="30"/>
        </w:rPr>
      </w:pPr>
    </w:p>
    <w:p>
      <w:pPr>
        <w:snapToGrid w:val="0"/>
        <w:spacing w:line="560" w:lineRule="exact"/>
        <w:ind w:firstLine="600" w:firstLineChars="200"/>
        <w:outlineLvl w:val="0"/>
        <w:rPr>
          <w:rFonts w:hint="eastAsia" w:ascii="黑体" w:hAnsi="黑体" w:eastAsia="黑体" w:cs="黑体"/>
          <w:bCs/>
          <w:sz w:val="30"/>
          <w:szCs w:val="30"/>
        </w:rPr>
      </w:pPr>
    </w:p>
    <w:p>
      <w:pPr>
        <w:snapToGrid w:val="0"/>
        <w:spacing w:line="560" w:lineRule="exact"/>
        <w:ind w:firstLine="600" w:firstLineChars="200"/>
        <w:outlineLvl w:val="0"/>
        <w:rPr>
          <w:rFonts w:hint="eastAsia" w:ascii="黑体" w:hAnsi="黑体" w:eastAsia="黑体" w:cs="黑体"/>
          <w:bCs/>
          <w:sz w:val="30"/>
          <w:szCs w:val="30"/>
        </w:rPr>
      </w:pPr>
    </w:p>
    <w:p>
      <w:pPr>
        <w:snapToGrid w:val="0"/>
        <w:spacing w:line="560" w:lineRule="exact"/>
        <w:ind w:firstLine="600" w:firstLineChars="200"/>
        <w:outlineLvl w:val="0"/>
        <w:rPr>
          <w:rFonts w:hint="eastAsia" w:ascii="黑体" w:hAnsi="黑体" w:eastAsia="黑体" w:cs="黑体"/>
          <w:bCs/>
          <w:sz w:val="30"/>
          <w:szCs w:val="30"/>
        </w:rPr>
      </w:pP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rPr>
          <w:rFonts w:ascii="黑体" w:hAnsi="黑体" w:eastAsia="黑体" w:cs="黑体"/>
          <w:bCs/>
          <w:sz w:val="30"/>
          <w:szCs w:val="30"/>
        </w:rPr>
      </w:pP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二十一、其他</w:t>
      </w:r>
    </w:p>
    <w:p>
      <w:pPr>
        <w:widowControl/>
        <w:jc w:val="left"/>
        <w:rPr>
          <w:rFonts w:ascii="仿宋_GB2312" w:hAnsi="Arial Narrow" w:eastAsia="仿宋_GB2312"/>
          <w:sz w:val="30"/>
          <w:szCs w:val="30"/>
        </w:rPr>
      </w:pPr>
      <w:bookmarkStart w:id="7" w:name="_GoBack"/>
      <w:bookmarkEnd w:id="7"/>
      <w:r>
        <w:rPr>
          <w:rFonts w:ascii="仿宋_GB2312" w:hAnsi="Arial Narrow" w:eastAsia="仿宋_GB2312"/>
          <w:sz w:val="30"/>
          <w:szCs w:val="30"/>
        </w:rPr>
        <w:br w:type="page"/>
      </w:r>
    </w:p>
    <w:p>
      <w:r>
        <w:rPr>
          <w:rFonts w:hint="eastAsia"/>
        </w:rPr>
        <w:t>附件一</w:t>
      </w:r>
    </w:p>
    <w:p>
      <w:pPr>
        <w:jc w:val="center"/>
      </w:pPr>
    </w:p>
    <w:p>
      <w:pPr>
        <w:jc w:val="center"/>
      </w:pPr>
    </w:p>
    <w:p>
      <w:pPr>
        <w:jc w:val="center"/>
      </w:pPr>
    </w:p>
    <w:p>
      <w:pPr>
        <w:jc w:val="center"/>
        <w:rPr>
          <w:rFonts w:ascii="黑体" w:eastAsia="黑体"/>
          <w:sz w:val="36"/>
          <w:szCs w:val="36"/>
        </w:rPr>
      </w:pPr>
    </w:p>
    <w:p>
      <w:pPr>
        <w:adjustRightInd w:val="0"/>
        <w:snapToGrid w:val="0"/>
        <w:spacing w:line="360" w:lineRule="auto"/>
        <w:jc w:val="center"/>
        <w:rPr>
          <w:rFonts w:ascii="黑体" w:eastAsia="黑体"/>
          <w:sz w:val="44"/>
          <w:szCs w:val="44"/>
        </w:rPr>
      </w:pPr>
      <w:r>
        <w:rPr>
          <w:rFonts w:hint="eastAsia" w:ascii="黑体" w:eastAsia="黑体"/>
          <w:sz w:val="44"/>
          <w:szCs w:val="44"/>
        </w:rPr>
        <w:t>现代电气控制系统安装与调试</w:t>
      </w:r>
    </w:p>
    <w:p>
      <w:pPr>
        <w:adjustRightInd w:val="0"/>
        <w:snapToGrid w:val="0"/>
        <w:spacing w:line="360" w:lineRule="auto"/>
        <w:jc w:val="center"/>
        <w:rPr>
          <w:rFonts w:ascii="黑体" w:eastAsia="黑体"/>
          <w:sz w:val="36"/>
          <w:szCs w:val="36"/>
        </w:rPr>
      </w:pPr>
    </w:p>
    <w:p>
      <w:pPr>
        <w:adjustRightInd w:val="0"/>
        <w:snapToGrid w:val="0"/>
        <w:spacing w:line="360" w:lineRule="auto"/>
        <w:jc w:val="center"/>
        <w:rPr>
          <w:rFonts w:ascii="黑体" w:eastAsia="黑体"/>
          <w:sz w:val="36"/>
          <w:szCs w:val="36"/>
        </w:rPr>
      </w:pPr>
      <w:r>
        <w:rPr>
          <w:rFonts w:hint="eastAsia" w:ascii="黑体" w:eastAsia="黑体"/>
          <w:sz w:val="36"/>
          <w:szCs w:val="36"/>
        </w:rPr>
        <w:t>（总时间：240分钟）</w:t>
      </w:r>
    </w:p>
    <w:p>
      <w:pPr>
        <w:adjustRightInd w:val="0"/>
        <w:snapToGrid w:val="0"/>
        <w:spacing w:line="360" w:lineRule="auto"/>
        <w:jc w:val="center"/>
        <w:rPr>
          <w:rFonts w:ascii="黑体" w:eastAsia="黑体"/>
          <w:sz w:val="36"/>
          <w:szCs w:val="36"/>
        </w:rPr>
      </w:pPr>
    </w:p>
    <w:p>
      <w:pPr>
        <w:spacing w:line="480" w:lineRule="auto"/>
        <w:jc w:val="center"/>
        <w:rPr>
          <w:rFonts w:ascii="黑体" w:eastAsia="黑体"/>
          <w:b/>
          <w:sz w:val="72"/>
          <w:szCs w:val="72"/>
        </w:rPr>
      </w:pPr>
      <w:r>
        <w:rPr>
          <w:rFonts w:hint="eastAsia" w:ascii="黑体" w:eastAsia="黑体"/>
          <w:b/>
          <w:sz w:val="72"/>
          <w:szCs w:val="72"/>
        </w:rPr>
        <w:t>工</w:t>
      </w:r>
    </w:p>
    <w:p>
      <w:pPr>
        <w:spacing w:line="480" w:lineRule="auto"/>
        <w:jc w:val="center"/>
        <w:rPr>
          <w:rFonts w:ascii="黑体" w:eastAsia="黑体"/>
          <w:b/>
          <w:sz w:val="72"/>
          <w:szCs w:val="72"/>
        </w:rPr>
      </w:pPr>
      <w:r>
        <w:rPr>
          <w:rFonts w:hint="eastAsia" w:ascii="黑体" w:eastAsia="黑体"/>
          <w:b/>
          <w:sz w:val="72"/>
          <w:szCs w:val="72"/>
        </w:rPr>
        <w:t>作</w:t>
      </w:r>
    </w:p>
    <w:p>
      <w:pPr>
        <w:spacing w:line="480" w:lineRule="auto"/>
        <w:jc w:val="center"/>
        <w:rPr>
          <w:rFonts w:ascii="黑体" w:eastAsia="黑体"/>
          <w:b/>
          <w:sz w:val="72"/>
          <w:szCs w:val="72"/>
        </w:rPr>
      </w:pPr>
      <w:r>
        <w:rPr>
          <w:rFonts w:hint="eastAsia" w:ascii="黑体" w:eastAsia="黑体"/>
          <w:b/>
          <w:sz w:val="72"/>
          <w:szCs w:val="72"/>
        </w:rPr>
        <w:t>任</w:t>
      </w:r>
    </w:p>
    <w:p>
      <w:pPr>
        <w:spacing w:line="480" w:lineRule="auto"/>
        <w:jc w:val="center"/>
        <w:rPr>
          <w:rFonts w:ascii="黑体" w:eastAsia="黑体"/>
          <w:b/>
          <w:sz w:val="72"/>
          <w:szCs w:val="72"/>
        </w:rPr>
      </w:pPr>
      <w:r>
        <w:rPr>
          <w:rFonts w:hint="eastAsia" w:ascii="黑体" w:eastAsia="黑体"/>
          <w:b/>
          <w:sz w:val="72"/>
          <w:szCs w:val="72"/>
        </w:rPr>
        <w:t>务</w:t>
      </w:r>
    </w:p>
    <w:p>
      <w:pPr>
        <w:spacing w:line="480" w:lineRule="auto"/>
        <w:jc w:val="center"/>
        <w:rPr>
          <w:rFonts w:ascii="黑体" w:eastAsia="黑体"/>
          <w:w w:val="80"/>
          <w:sz w:val="72"/>
          <w:szCs w:val="72"/>
        </w:rPr>
      </w:pPr>
      <w:r>
        <w:rPr>
          <w:rFonts w:hint="eastAsia" w:ascii="黑体" w:eastAsia="黑体"/>
          <w:b/>
          <w:sz w:val="72"/>
          <w:szCs w:val="72"/>
        </w:rPr>
        <w:t>书</w:t>
      </w:r>
    </w:p>
    <w:p>
      <w:pPr>
        <w:spacing w:line="480" w:lineRule="auto"/>
        <w:jc w:val="center"/>
        <w:rPr>
          <w:rFonts w:ascii="黑体" w:eastAsia="黑体"/>
          <w:b/>
          <w:sz w:val="72"/>
          <w:szCs w:val="72"/>
        </w:rPr>
      </w:pPr>
      <w:r>
        <w:rPr>
          <w:rFonts w:hint="eastAsia" w:ascii="黑体" w:eastAsia="黑体"/>
          <w:b/>
          <w:sz w:val="72"/>
          <w:szCs w:val="72"/>
        </w:rPr>
        <w:t>（样题）</w:t>
      </w:r>
    </w:p>
    <w:p>
      <w:pPr>
        <w:jc w:val="left"/>
        <w:rPr>
          <w:rFonts w:ascii="黑体" w:hAnsi="宋体" w:eastAsia="黑体"/>
          <w:sz w:val="32"/>
          <w:szCs w:val="32"/>
        </w:rPr>
      </w:pPr>
    </w:p>
    <w:p>
      <w:pPr>
        <w:ind w:firstLine="1920" w:firstLineChars="600"/>
        <w:rPr>
          <w:rFonts w:ascii="黑体" w:eastAsia="黑体"/>
          <w:sz w:val="36"/>
          <w:szCs w:val="36"/>
        </w:rPr>
      </w:pPr>
      <w:r>
        <w:rPr>
          <w:rFonts w:hint="eastAsia" w:ascii="黑体" w:hAnsi="宋体" w:eastAsia="黑体"/>
          <w:sz w:val="32"/>
          <w:szCs w:val="32"/>
        </w:rPr>
        <w:t>场次号工位号</w:t>
      </w:r>
    </w:p>
    <w:p>
      <w:pPr>
        <w:jc w:val="center"/>
        <w:rPr>
          <w:rFonts w:ascii="黑体" w:eastAsia="黑体"/>
          <w:sz w:val="36"/>
          <w:szCs w:val="36"/>
        </w:rPr>
      </w:pPr>
    </w:p>
    <w:p>
      <w:pPr>
        <w:jc w:val="center"/>
        <w:rPr>
          <w:rFonts w:ascii="黑体" w:eastAsia="黑体"/>
          <w:sz w:val="36"/>
          <w:szCs w:val="36"/>
        </w:rPr>
      </w:pPr>
    </w:p>
    <w:p>
      <w:pPr>
        <w:jc w:val="center"/>
        <w:rPr>
          <w:rFonts w:ascii="黑体" w:eastAsia="黑体"/>
          <w:sz w:val="36"/>
          <w:szCs w:val="36"/>
        </w:rPr>
      </w:pPr>
    </w:p>
    <w:p>
      <w:pPr>
        <w:widowControl/>
        <w:jc w:val="left"/>
        <w:rPr>
          <w:rFonts w:ascii="黑体" w:eastAsia="黑体"/>
          <w:b/>
          <w:sz w:val="44"/>
          <w:szCs w:val="44"/>
        </w:rPr>
      </w:pPr>
      <w:r>
        <w:rPr>
          <w:rFonts w:ascii="黑体" w:eastAsia="黑体"/>
          <w:b/>
          <w:sz w:val="44"/>
          <w:szCs w:val="44"/>
        </w:rPr>
        <w:br w:type="page"/>
      </w:r>
    </w:p>
    <w:p>
      <w:pPr>
        <w:tabs>
          <w:tab w:val="left" w:pos="900"/>
        </w:tabs>
        <w:rPr>
          <w:rFonts w:ascii="黑体" w:eastAsia="黑体"/>
          <w:b/>
          <w:sz w:val="44"/>
          <w:szCs w:val="44"/>
        </w:rPr>
      </w:pPr>
      <w:r>
        <w:rPr>
          <w:rFonts w:hint="eastAsia" w:ascii="黑体" w:eastAsia="黑体"/>
          <w:b/>
          <w:sz w:val="44"/>
          <w:szCs w:val="44"/>
        </w:rPr>
        <w:t>注意事项</w:t>
      </w:r>
    </w:p>
    <w:p>
      <w:pPr>
        <w:tabs>
          <w:tab w:val="left" w:pos="900"/>
        </w:tabs>
        <w:ind w:firstLine="630" w:firstLineChars="225"/>
        <w:rPr>
          <w:rFonts w:ascii="宋体" w:hAnsi="宋体"/>
          <w:bCs/>
          <w:sz w:val="28"/>
          <w:szCs w:val="30"/>
        </w:rPr>
      </w:pPr>
      <w:r>
        <w:rPr>
          <w:rFonts w:hint="eastAsia" w:ascii="宋体" w:hAnsi="宋体"/>
          <w:bCs/>
          <w:sz w:val="28"/>
          <w:szCs w:val="30"/>
        </w:rPr>
        <w:t>一、本任务书共16页，另附维修工作票及排故机床图纸2页、I/O分配表2页、以及A3版空白图纸2页。如出现缺页、字迹不清等问题，请及时向裁判示意，进行任务书的更换。</w:t>
      </w:r>
    </w:p>
    <w:p>
      <w:pPr>
        <w:tabs>
          <w:tab w:val="left" w:pos="900"/>
        </w:tabs>
        <w:ind w:firstLine="630" w:firstLineChars="225"/>
        <w:rPr>
          <w:rFonts w:ascii="宋体" w:hAnsi="宋体"/>
          <w:bCs/>
          <w:sz w:val="28"/>
          <w:szCs w:val="30"/>
        </w:rPr>
      </w:pPr>
      <w:r>
        <w:rPr>
          <w:rFonts w:hint="eastAsia" w:ascii="宋体" w:hAnsi="宋体"/>
          <w:bCs/>
          <w:sz w:val="28"/>
          <w:szCs w:val="30"/>
        </w:rPr>
        <w:t>二、在完成工作任务的全过程中，严格遵守电气安装和电气维修的安全操作规程。电气安装中，低压电器安装按《电气装置安装工程低压电器施工及验收规范（GB50254-96）》验收。</w:t>
      </w:r>
    </w:p>
    <w:p>
      <w:pPr>
        <w:tabs>
          <w:tab w:val="left" w:pos="900"/>
        </w:tabs>
        <w:ind w:firstLine="548" w:firstLineChars="196"/>
        <w:rPr>
          <w:rFonts w:ascii="宋体" w:hAnsi="宋体"/>
          <w:bCs/>
          <w:sz w:val="28"/>
          <w:szCs w:val="30"/>
        </w:rPr>
      </w:pPr>
      <w:r>
        <w:rPr>
          <w:rFonts w:hint="eastAsia" w:ascii="宋体" w:hAnsi="宋体"/>
          <w:bCs/>
          <w:sz w:val="28"/>
          <w:szCs w:val="30"/>
        </w:rPr>
        <w:t>三、不得擅自更改设备已有器件位置和线路，若现场设备安装调试有疑问，须经设计人员（赛场裁判）同意后方可修改。</w:t>
      </w:r>
    </w:p>
    <w:p>
      <w:pPr>
        <w:tabs>
          <w:tab w:val="left" w:pos="900"/>
        </w:tabs>
        <w:ind w:firstLine="548" w:firstLineChars="196"/>
        <w:rPr>
          <w:rFonts w:ascii="宋体" w:hAnsi="宋体"/>
          <w:bCs/>
          <w:sz w:val="28"/>
          <w:szCs w:val="30"/>
        </w:rPr>
      </w:pPr>
      <w:r>
        <w:rPr>
          <w:rFonts w:hint="eastAsia" w:ascii="宋体" w:hAnsi="宋体"/>
          <w:bCs/>
          <w:sz w:val="28"/>
          <w:szCs w:val="30"/>
        </w:rPr>
        <w:t>四、竞赛过程中，参赛选手认定竞赛设备的器件有故障，可提出更换，器件经现场裁判测定完好属参赛选手误判时，每次扣参赛队1分；若因人为操作损坏器件，酌情扣5-10分；后果严重者（如导致PLC、变频器、伺服等烧坏），本次竞赛成绩计0分。</w:t>
      </w:r>
    </w:p>
    <w:p>
      <w:pPr>
        <w:ind w:firstLine="554" w:firstLineChars="198"/>
        <w:rPr>
          <w:rFonts w:ascii="宋体" w:hAnsi="宋体"/>
          <w:bCs/>
          <w:sz w:val="28"/>
          <w:szCs w:val="30"/>
        </w:rPr>
      </w:pPr>
      <w:r>
        <w:rPr>
          <w:rFonts w:hint="eastAsia" w:ascii="宋体" w:hAnsi="宋体"/>
          <w:bCs/>
          <w:sz w:val="28"/>
          <w:szCs w:val="30"/>
        </w:rPr>
        <w:t>五、所编PLC、触摸屏等程序必须保存到计算机的“D: \场次号-工位号”文件夹下，场次号和工位号以现场抽签为准。</w:t>
      </w:r>
    </w:p>
    <w:p>
      <w:pPr>
        <w:ind w:firstLine="554" w:firstLineChars="198"/>
        <w:rPr>
          <w:rFonts w:ascii="宋体" w:hAnsi="宋体"/>
          <w:bCs/>
          <w:sz w:val="28"/>
          <w:szCs w:val="30"/>
        </w:rPr>
      </w:pPr>
      <w:r>
        <w:rPr>
          <w:rFonts w:hint="eastAsia" w:ascii="宋体" w:hAnsi="宋体"/>
          <w:bCs/>
          <w:sz w:val="28"/>
          <w:szCs w:val="30"/>
        </w:rPr>
        <w:t>六、参赛选手在完成工作任务的过程中，不得在任何地方标注学校名称、选手姓名等信息。</w:t>
      </w:r>
    </w:p>
    <w:p>
      <w:pPr>
        <w:ind w:firstLine="554" w:firstLineChars="198"/>
        <w:rPr>
          <w:rFonts w:ascii="宋体" w:hAnsi="宋体"/>
          <w:bCs/>
          <w:sz w:val="28"/>
          <w:szCs w:val="30"/>
        </w:rPr>
      </w:pPr>
      <w:r>
        <w:rPr>
          <w:rFonts w:hint="eastAsia" w:ascii="宋体" w:hAnsi="宋体"/>
          <w:bCs/>
          <w:sz w:val="28"/>
          <w:szCs w:val="30"/>
        </w:rPr>
        <w:t>七、比赛结束后，参赛选手需要将任务书以及现场发放的图纸、资料、草稿纸等材料一并上交，不得带离赛场。</w:t>
      </w:r>
    </w:p>
    <w:p>
      <w:pPr>
        <w:rPr>
          <w:rFonts w:ascii="黑体" w:eastAsia="黑体"/>
          <w:b/>
          <w:sz w:val="44"/>
          <w:szCs w:val="44"/>
        </w:rPr>
      </w:pPr>
      <w:r>
        <w:rPr>
          <w:rFonts w:ascii="宋体" w:hAnsi="宋体"/>
          <w:bCs/>
          <w:sz w:val="28"/>
          <w:szCs w:val="30"/>
        </w:rPr>
        <w:br w:type="page"/>
      </w:r>
      <w:r>
        <w:rPr>
          <w:rFonts w:hint="eastAsia" w:ascii="黑体" w:eastAsia="黑体"/>
          <w:b/>
          <w:sz w:val="44"/>
          <w:szCs w:val="44"/>
        </w:rPr>
        <w:t>请按要求在4个小时内完成以下工作任务：</w:t>
      </w:r>
    </w:p>
    <w:p>
      <w:pPr>
        <w:tabs>
          <w:tab w:val="left" w:pos="900"/>
          <w:tab w:val="left" w:pos="1080"/>
        </w:tabs>
        <w:ind w:firstLine="364" w:firstLineChars="130"/>
        <w:rPr>
          <w:rFonts w:ascii="宋体" w:hAnsi="宋体"/>
          <w:bCs/>
          <w:sz w:val="28"/>
          <w:szCs w:val="30"/>
        </w:rPr>
      </w:pPr>
      <w:r>
        <w:rPr>
          <w:rFonts w:hint="eastAsia" w:ascii="宋体" w:hAnsi="宋体"/>
          <w:bCs/>
          <w:sz w:val="28"/>
          <w:szCs w:val="30"/>
        </w:rPr>
        <w:t>一、按“自动涂装系统控制说明书”，设计电气控制原理图，并按图完成器件选型、器件安装、电路连接（含主电路）和相关元件参数设置。</w:t>
      </w:r>
    </w:p>
    <w:p>
      <w:pPr>
        <w:tabs>
          <w:tab w:val="left" w:pos="900"/>
          <w:tab w:val="left" w:pos="1080"/>
        </w:tabs>
        <w:ind w:firstLine="364" w:firstLineChars="130"/>
        <w:rPr>
          <w:rFonts w:ascii="宋体" w:hAnsi="宋体"/>
          <w:bCs/>
          <w:sz w:val="28"/>
          <w:szCs w:val="30"/>
        </w:rPr>
      </w:pPr>
      <w:r>
        <w:rPr>
          <w:rFonts w:hint="eastAsia" w:ascii="宋体" w:hAnsi="宋体"/>
          <w:bCs/>
          <w:sz w:val="28"/>
          <w:szCs w:val="30"/>
        </w:rPr>
        <w:t>二、按“自动涂装系统控制说明书”，编写PLC程序及触摸屏程序，完成后下载至设备PLC及触摸屏，并调试该电气控制系统达到控制要求。</w:t>
      </w:r>
    </w:p>
    <w:p>
      <w:pPr>
        <w:tabs>
          <w:tab w:val="left" w:pos="900"/>
          <w:tab w:val="left" w:pos="1080"/>
        </w:tabs>
        <w:ind w:firstLine="364" w:firstLineChars="130"/>
        <w:rPr>
          <w:rFonts w:ascii="宋体" w:hAnsi="宋体"/>
          <w:bCs/>
          <w:sz w:val="28"/>
          <w:szCs w:val="30"/>
          <w:highlight w:val="yellow"/>
        </w:rPr>
      </w:pPr>
      <w:r>
        <w:rPr>
          <w:rFonts w:hint="eastAsia" w:ascii="宋体" w:hAnsi="宋体"/>
          <w:bCs/>
          <w:sz w:val="28"/>
          <w:szCs w:val="30"/>
        </w:rPr>
        <w:t>三、根据赛场设备上所提供的故障考核装置，参考X62W铣床电气原理图，排除机床电气控制电路板上所设置的故障，使该电路能正常工作，同时完成维修工作票。</w:t>
      </w:r>
    </w:p>
    <w:p>
      <w:pPr>
        <w:tabs>
          <w:tab w:val="left" w:pos="900"/>
          <w:tab w:val="left" w:pos="1080"/>
        </w:tabs>
        <w:ind w:firstLine="364" w:firstLineChars="130"/>
        <w:rPr>
          <w:rFonts w:ascii="宋体" w:hAnsi="宋体"/>
          <w:bCs/>
          <w:sz w:val="28"/>
          <w:szCs w:val="30"/>
        </w:rPr>
      </w:pPr>
      <w:r>
        <w:rPr>
          <w:rFonts w:hint="eastAsia"/>
          <w:bCs/>
          <w:sz w:val="28"/>
          <w:szCs w:val="30"/>
        </w:rPr>
        <w:t>本次工作任务请在YL-158GA1型现代电气控制系统安装与调试实训考核装置上完成，该装置的结构介绍及使用方法请参考用户说明书。操作过程中，须遵守安全操作规程和职业素养要求的相关规定。</w:t>
      </w:r>
    </w:p>
    <w:p>
      <w:pPr>
        <w:ind w:firstLine="554" w:firstLineChars="198"/>
        <w:rPr>
          <w:rFonts w:ascii="宋体" w:hAnsi="宋体"/>
          <w:bCs/>
          <w:sz w:val="28"/>
          <w:szCs w:val="30"/>
        </w:rPr>
      </w:pPr>
    </w:p>
    <w:p>
      <w:pPr>
        <w:spacing w:line="360" w:lineRule="auto"/>
        <w:jc w:val="center"/>
        <w:rPr>
          <w:rFonts w:ascii="宋体" w:hAnsi="宋体"/>
          <w:b/>
          <w:sz w:val="32"/>
          <w:szCs w:val="32"/>
        </w:rPr>
      </w:pPr>
      <w:r>
        <w:rPr>
          <w:rFonts w:ascii="宋体" w:hAnsi="宋体"/>
          <w:b/>
          <w:sz w:val="32"/>
          <w:szCs w:val="32"/>
        </w:rPr>
        <w:br w:type="page"/>
      </w:r>
      <w:r>
        <w:rPr>
          <w:rFonts w:hint="eastAsia" w:ascii="宋体" w:hAnsi="宋体"/>
          <w:b/>
          <w:sz w:val="32"/>
          <w:szCs w:val="32"/>
        </w:rPr>
        <w:t>自动涂装系统控制说明书</w:t>
      </w:r>
    </w:p>
    <w:p>
      <w:pPr>
        <w:tabs>
          <w:tab w:val="left" w:pos="1080"/>
        </w:tabs>
        <w:spacing w:line="560" w:lineRule="exact"/>
        <w:ind w:firstLine="562" w:firstLineChars="200"/>
        <w:rPr>
          <w:rFonts w:ascii="宋体" w:hAnsi="宋体"/>
          <w:b/>
          <w:sz w:val="32"/>
          <w:szCs w:val="32"/>
        </w:rPr>
      </w:pPr>
      <w:r>
        <w:rPr>
          <w:rFonts w:hint="eastAsia" w:ascii="宋体" w:hAnsi="宋体"/>
          <w:b/>
          <w:sz w:val="28"/>
          <w:szCs w:val="28"/>
        </w:rPr>
        <w:t>一、自动涂装系统运行说明</w:t>
      </w:r>
    </w:p>
    <w:p>
      <w:pPr>
        <w:tabs>
          <w:tab w:val="left" w:pos="1080"/>
        </w:tabs>
        <w:spacing w:line="560" w:lineRule="exact"/>
        <w:ind w:firstLine="560" w:firstLineChars="200"/>
        <w:rPr>
          <w:rFonts w:ascii="宋体" w:hAnsi="宋体" w:cs="宋体"/>
          <w:bCs/>
          <w:sz w:val="28"/>
          <w:szCs w:val="28"/>
        </w:rPr>
      </w:pPr>
      <w:r>
        <w:rPr>
          <w:rFonts w:hint="eastAsia" w:ascii="宋体" w:hAnsi="宋体" w:cs="宋体"/>
          <w:bCs/>
          <w:sz w:val="28"/>
          <w:szCs w:val="28"/>
        </w:rPr>
        <w:t>在工件涂装过程中，有很多环节如涂料混合、涂料传输、工件涂装等环节，大多存在易燃易爆、有毒有腐蚀性的介质，对人体健康有不同程度的危害，不适合由人工现场实时操作。本系统设计借助PLC来控制涂料混合、传输及定点涂装等工序,对提高企业生产和管理自动化水平有很大的帮助,同时又提高了生产效率、使用寿命和质量,减少了企业产品质量的波动。</w:t>
      </w:r>
    </w:p>
    <w:p>
      <w:pPr>
        <w:tabs>
          <w:tab w:val="left" w:pos="1080"/>
        </w:tabs>
        <w:spacing w:line="560" w:lineRule="exact"/>
        <w:ind w:firstLine="560" w:firstLineChars="200"/>
        <w:rPr>
          <w:rFonts w:ascii="宋体" w:hAnsi="宋体" w:cs="宋体"/>
          <w:bCs/>
          <w:sz w:val="28"/>
          <w:szCs w:val="28"/>
        </w:rPr>
      </w:pPr>
      <w:r>
        <w:rPr>
          <w:rFonts w:hint="eastAsia" w:ascii="宋体" w:hAnsi="宋体" w:cs="宋体"/>
          <w:bCs/>
          <w:sz w:val="28"/>
          <w:szCs w:val="28"/>
        </w:rPr>
        <w:t>自动涂装系统的结构及组成如图1所示，包括A阀、B阀、搅拌机、供料阀、储存罐、喷涂进料泵、喷涂高度控制电机、转盘电机、排风扇、排料阀。</w:t>
      </w:r>
    </w:p>
    <w:p>
      <w:pPr>
        <w:tabs>
          <w:tab w:val="left" w:pos="1080"/>
        </w:tabs>
        <w:ind w:firstLine="420" w:firstLineChars="200"/>
        <w:jc w:val="center"/>
        <w:rPr>
          <w:rFonts w:ascii="宋体" w:hAnsi="宋体" w:cs="宋体"/>
        </w:rPr>
      </w:pPr>
      <w:r>
        <w:drawing>
          <wp:inline distT="0" distB="0" distL="0" distR="0">
            <wp:extent cx="5276850" cy="3162300"/>
            <wp:effectExtent l="19050" t="0" r="0" b="0"/>
            <wp:docPr id="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pic:cNvPicPr>
                      <a:picLocks noChangeAspect="1" noChangeArrowheads="1"/>
                    </pic:cNvPicPr>
                  </pic:nvPicPr>
                  <pic:blipFill>
                    <a:blip r:embed="rId20" cstate="print"/>
                    <a:srcRect/>
                    <a:stretch>
                      <a:fillRect/>
                    </a:stretch>
                  </pic:blipFill>
                  <pic:spPr>
                    <a:xfrm>
                      <a:off x="0" y="0"/>
                      <a:ext cx="5276850" cy="3162300"/>
                    </a:xfrm>
                    <a:prstGeom prst="rect">
                      <a:avLst/>
                    </a:prstGeom>
                    <a:noFill/>
                    <a:ln w="9525">
                      <a:noFill/>
                      <a:miter lim="800000"/>
                      <a:headEnd/>
                      <a:tailEnd/>
                    </a:ln>
                  </pic:spPr>
                </pic:pic>
              </a:graphicData>
            </a:graphic>
          </wp:inline>
        </w:drawing>
      </w:r>
    </w:p>
    <w:p>
      <w:pPr>
        <w:autoSpaceDE w:val="0"/>
        <w:autoSpaceDN w:val="0"/>
        <w:adjustRightInd w:val="0"/>
        <w:jc w:val="center"/>
        <w:rPr>
          <w:rFonts w:ascii="宋体" w:hAnsi="宋体" w:cs="宋体"/>
          <w:sz w:val="24"/>
        </w:rPr>
      </w:pPr>
      <w:r>
        <w:rPr>
          <w:rFonts w:hint="eastAsia" w:ascii="宋体" w:hAnsi="宋体" w:cs="宋体"/>
          <w:sz w:val="24"/>
        </w:rPr>
        <w:t>图1 自动涂装系统</w:t>
      </w:r>
    </w:p>
    <w:p>
      <w:pPr>
        <w:tabs>
          <w:tab w:val="left" w:pos="1080"/>
        </w:tabs>
        <w:spacing w:line="560" w:lineRule="exact"/>
        <w:ind w:firstLine="560" w:firstLineChars="200"/>
        <w:rPr>
          <w:rFonts w:ascii="宋体" w:hAnsi="宋体" w:cs="宋体"/>
          <w:bCs/>
          <w:sz w:val="28"/>
          <w:szCs w:val="28"/>
        </w:rPr>
      </w:pPr>
      <w:r>
        <w:rPr>
          <w:rFonts w:hint="eastAsia" w:ascii="宋体" w:hAnsi="宋体" w:cs="宋体"/>
          <w:bCs/>
          <w:sz w:val="28"/>
          <w:szCs w:val="28"/>
        </w:rPr>
        <w:t>由图可知，自动涂装系统整体由三部分组成，分别为进料、混料工段，储料工段，涂装工段三部分组成。系统自动运行过程如下：首先按照被加工工件要求对供料阀A与供料阀B控制，并在混料罐中进行搅拌，搅拌完成后，根据储料罐液位情况控制供料阀状态以及涂装工段运行情况，涂装工段需顺序完成先后两部分动作，具体动作如下：①：喷涂高度控制电机运行至SQ2处，并且转盘电机处于起始喷涂位置，启动喷涂进料泵开始对工件涂装，同时转盘电机从起始位置转至结束位置（参数HMI设定），该步动作结束。②：喷涂高度控制电机运行至SQ3处，并转盘电机带动转台运行至180°后，开始喷涂作业，喷涂高度控制电机从SQ3运行SQ1处，同时转盘电机旋转360°后，涂装工段动作结束。结束后涂装高度电机与转盘电机自动恢复初始位置。</w:t>
      </w:r>
    </w:p>
    <w:p>
      <w:pPr>
        <w:tabs>
          <w:tab w:val="left" w:pos="1080"/>
        </w:tabs>
        <w:spacing w:line="560" w:lineRule="exact"/>
        <w:ind w:firstLine="560" w:firstLineChars="200"/>
        <w:rPr>
          <w:rFonts w:ascii="宋体" w:hAnsi="宋体" w:cs="宋体"/>
          <w:bCs/>
          <w:sz w:val="28"/>
          <w:szCs w:val="28"/>
        </w:rPr>
      </w:pPr>
      <w:r>
        <w:rPr>
          <w:rFonts w:hint="eastAsia" w:ascii="宋体" w:hAnsi="宋体" w:cs="宋体"/>
          <w:bCs/>
          <w:sz w:val="28"/>
          <w:szCs w:val="28"/>
        </w:rPr>
        <w:t>在涂装工段运行期间排风扇保持低速或高速运行，排料阀同时打开。</w:t>
      </w:r>
    </w:p>
    <w:p>
      <w:pPr>
        <w:tabs>
          <w:tab w:val="left" w:pos="1080"/>
        </w:tabs>
        <w:spacing w:line="560" w:lineRule="exact"/>
        <w:ind w:firstLine="562" w:firstLineChars="200"/>
        <w:rPr>
          <w:rFonts w:ascii="宋体" w:hAnsi="宋体" w:cs="宋体"/>
          <w:sz w:val="28"/>
          <w:szCs w:val="28"/>
        </w:rPr>
      </w:pPr>
      <w:r>
        <w:rPr>
          <w:rFonts w:hint="eastAsia" w:ascii="宋体" w:hAnsi="宋体" w:cs="宋体"/>
          <w:b/>
          <w:sz w:val="28"/>
          <w:szCs w:val="28"/>
        </w:rPr>
        <w:t>自动涂装系统</w:t>
      </w:r>
      <w:r>
        <w:rPr>
          <w:rFonts w:hint="eastAsia" w:ascii="宋体" w:hAnsi="宋体" w:cs="宋体"/>
          <w:bCs/>
          <w:sz w:val="28"/>
          <w:szCs w:val="28"/>
        </w:rPr>
        <w:t>由以下电气控制回路组成：混料搅拌机由搅拌电机M1驱动【M1为三相异步电机，只进行单向正转运行，需考虑过载保护，热继电器电流整定为0.25A】。喷涂泵由电机M2驱动【M2为三相异步电动机，由变频器进行无级调速</w:t>
      </w:r>
      <w:r>
        <w:rPr>
          <w:rFonts w:hint="eastAsia" w:ascii="宋体" w:hAnsi="宋体" w:cs="宋体"/>
          <w:sz w:val="28"/>
          <w:szCs w:val="28"/>
        </w:rPr>
        <w:t>控制；变频器输出频率与工件直径对应关系如下:工件直径D&lt;60cm时，变频器输出f=50Hz；工件尺寸直径60cm≤D≤120cm时，变频器输出频率f=50-(D-60)/2；电机加速时间0.5秒,减速时间1.5秒</w:t>
      </w:r>
      <w:r>
        <w:rPr>
          <w:rFonts w:hint="eastAsia" w:ascii="宋体" w:hAnsi="宋体" w:cs="宋体"/>
          <w:bCs/>
          <w:sz w:val="28"/>
          <w:szCs w:val="28"/>
        </w:rPr>
        <w:t>】。喷头位置由喷涂高度电机M3控制【M3为伺服电机，带动丝杠运行；</w:t>
      </w:r>
      <w:r>
        <w:rPr>
          <w:rFonts w:hint="eastAsia" w:cs="仿宋"/>
          <w:sz w:val="28"/>
          <w:szCs w:val="28"/>
        </w:rPr>
        <w:t>已知丝杠的螺距为4mm，</w:t>
      </w:r>
      <w:r>
        <w:rPr>
          <w:rFonts w:hint="eastAsia" w:ascii="宋体" w:hAnsi="宋体" w:cs="宋体"/>
          <w:sz w:val="28"/>
          <w:szCs w:val="28"/>
        </w:rPr>
        <w:t>伺服电机旋转一周需要1000个脉冲,</w:t>
      </w:r>
      <w:r>
        <w:rPr>
          <w:rFonts w:hint="eastAsia" w:cs="仿宋"/>
          <w:sz w:val="28"/>
          <w:szCs w:val="28"/>
        </w:rPr>
        <w:t>并使用旋转编码器对喷头位置进行检测，喷头由滑块来模拟</w:t>
      </w:r>
      <w:r>
        <w:rPr>
          <w:rFonts w:hint="eastAsia" w:ascii="宋体" w:hAnsi="宋体" w:cs="宋体"/>
          <w:sz w:val="28"/>
          <w:szCs w:val="28"/>
        </w:rPr>
        <w:t>】</w:t>
      </w:r>
      <w:r>
        <w:rPr>
          <w:rFonts w:hint="eastAsia" w:ascii="宋体" w:hAnsi="宋体" w:cs="宋体"/>
          <w:bCs/>
          <w:sz w:val="28"/>
          <w:szCs w:val="28"/>
        </w:rPr>
        <w:t>。工件旋转台由转盘电机M4驱动【M4为步进电机，带动工作旋转台运行，其中</w:t>
      </w:r>
      <w:r>
        <w:rPr>
          <w:rFonts w:hint="eastAsia" w:ascii="宋体" w:hAnsi="宋体" w:cs="宋体"/>
          <w:sz w:val="28"/>
          <w:szCs w:val="28"/>
        </w:rPr>
        <w:t>减速比为36:1</w:t>
      </w:r>
      <w:r>
        <w:rPr>
          <w:rFonts w:hint="eastAsia" w:cs="仿宋"/>
          <w:sz w:val="28"/>
          <w:szCs w:val="28"/>
        </w:rPr>
        <w:t>，</w:t>
      </w:r>
      <w:r>
        <w:rPr>
          <w:rFonts w:hint="eastAsia" w:ascii="宋体" w:hAnsi="宋体" w:cs="宋体"/>
          <w:bCs/>
          <w:sz w:val="28"/>
          <w:szCs w:val="28"/>
        </w:rPr>
        <w:t>步进电机旋转一周需要2000个脉冲】</w:t>
      </w:r>
      <w:r>
        <w:rPr>
          <w:rFonts w:hint="eastAsia" w:ascii="宋体" w:hAnsi="宋体" w:cs="宋体"/>
          <w:sz w:val="28"/>
          <w:szCs w:val="28"/>
        </w:rPr>
        <w:t>。工件涂装仓排风扇由排风电机M5驱动【M5为双速电机】。</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电动机旋转以</w:t>
      </w:r>
      <w:r>
        <w:rPr>
          <w:rFonts w:hint="eastAsia" w:ascii="宋体" w:hAnsi="宋体" w:cs="宋体"/>
          <w:b/>
          <w:sz w:val="28"/>
          <w:szCs w:val="28"/>
        </w:rPr>
        <w:t>“</w:t>
      </w:r>
      <w:r>
        <w:rPr>
          <w:rFonts w:hint="eastAsia" w:ascii="宋体" w:hAnsi="宋体" w:cs="宋体"/>
          <w:bCs/>
          <w:sz w:val="28"/>
          <w:szCs w:val="28"/>
        </w:rPr>
        <w:t>顺时针旋转为正向、逆时针旋转为反向”</w:t>
      </w:r>
      <w:r>
        <w:rPr>
          <w:rFonts w:hint="eastAsia" w:ascii="宋体" w:hAnsi="宋体" w:cs="宋体"/>
          <w:sz w:val="28"/>
          <w:szCs w:val="28"/>
        </w:rPr>
        <w:t>为准。</w:t>
      </w:r>
    </w:p>
    <w:p>
      <w:pPr>
        <w:tabs>
          <w:tab w:val="left" w:pos="1080"/>
        </w:tabs>
        <w:spacing w:line="560" w:lineRule="exact"/>
        <w:ind w:firstLine="560" w:firstLineChars="200"/>
        <w:rPr>
          <w:rFonts w:ascii="宋体" w:hAnsi="宋体" w:cs="宋体"/>
          <w:sz w:val="28"/>
          <w:szCs w:val="28"/>
        </w:rPr>
      </w:pPr>
      <w:r>
        <w:rPr>
          <w:rFonts w:hint="eastAsia" w:ascii="宋体" w:hAnsi="宋体" w:cs="宋体"/>
          <w:bCs/>
          <w:sz w:val="28"/>
          <w:szCs w:val="28"/>
        </w:rPr>
        <w:t>储存罐有效储液高度为0-1米，使用投入式液位传感器进行液位高度测量（液位由控制柜正面的模拟量0-10V模拟，0</w:t>
      </w:r>
      <w:r>
        <w:rPr>
          <w:rFonts w:ascii="Arial" w:hAnsi="Arial" w:cs="Arial"/>
          <w:bCs/>
          <w:sz w:val="28"/>
          <w:szCs w:val="28"/>
        </w:rPr>
        <w:t>~</w:t>
      </w:r>
      <w:r>
        <w:rPr>
          <w:rFonts w:hint="eastAsia" w:ascii="宋体" w:hAnsi="宋体" w:cs="宋体"/>
          <w:bCs/>
          <w:sz w:val="28"/>
          <w:szCs w:val="28"/>
        </w:rPr>
        <w:t>10V对应0~1米）；喷头高度控制电机由三个位置预置点（SQ1</w:t>
      </w:r>
      <w:r>
        <w:rPr>
          <w:rFonts w:ascii="Arial" w:hAnsi="Arial" w:cs="Arial"/>
          <w:bCs/>
          <w:sz w:val="28"/>
          <w:szCs w:val="28"/>
        </w:rPr>
        <w:t>~</w:t>
      </w:r>
      <w:r>
        <w:rPr>
          <w:rFonts w:hint="eastAsia" w:ascii="宋体" w:hAnsi="宋体" w:cs="宋体"/>
          <w:bCs/>
          <w:sz w:val="28"/>
          <w:szCs w:val="28"/>
        </w:rPr>
        <w:t>SQ3）控制喷涂位置；混料罐A、B料进料累计重量由重量传感器确定(传感器量程为0-30Kg，</w:t>
      </w:r>
      <w:r>
        <w:rPr>
          <w:rFonts w:hint="eastAsia" w:ascii="宋体" w:hAnsi="宋体" w:cs="宋体"/>
          <w:b/>
          <w:bCs/>
          <w:sz w:val="28"/>
          <w:szCs w:val="28"/>
        </w:rPr>
        <w:t>以控制柜背面的模拟量0-10V模拟)</w:t>
      </w:r>
      <w:r>
        <w:rPr>
          <w:rFonts w:hint="eastAsia" w:ascii="宋体" w:hAnsi="宋体" w:cs="宋体"/>
          <w:bCs/>
          <w:sz w:val="28"/>
          <w:szCs w:val="28"/>
        </w:rPr>
        <w:t>。</w:t>
      </w:r>
      <w:r>
        <w:rPr>
          <w:rFonts w:hint="eastAsia" w:ascii="宋体" w:hAnsi="宋体" w:cs="宋体"/>
          <w:b/>
          <w:bCs/>
          <w:sz w:val="28"/>
          <w:szCs w:val="28"/>
        </w:rPr>
        <w:t>进料阀A、进料阀B、供料阀和排料阀用I/O点模拟，地址自行定义。</w:t>
      </w:r>
    </w:p>
    <w:p>
      <w:pPr>
        <w:tabs>
          <w:tab w:val="left" w:pos="1080"/>
        </w:tabs>
        <w:spacing w:line="560" w:lineRule="exact"/>
        <w:ind w:firstLine="551" w:firstLineChars="196"/>
        <w:rPr>
          <w:rFonts w:ascii="宋体" w:hAnsi="宋体" w:cs="宋体"/>
          <w:b/>
          <w:sz w:val="28"/>
          <w:szCs w:val="28"/>
        </w:rPr>
      </w:pPr>
      <w:r>
        <w:rPr>
          <w:rFonts w:hint="eastAsia" w:ascii="宋体" w:hAnsi="宋体" w:cs="宋体"/>
          <w:b/>
          <w:sz w:val="28"/>
          <w:szCs w:val="28"/>
        </w:rPr>
        <w:t>二、控制系统安装方案要求</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1、本系统使用三台PLC，网络指定QCPU/S7-300/S7-1500为主站，2台FX3U/S7-200Smart/S7-1200为从站，分别以CC_Link或工业以太网的形式组网。</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2、MCGS触摸屏应连接到系统中主站PLC上（三菱系统中触摸屏连接到QPLC的RS232端口；西门子系统中触摸屏连接到S7-300/S7-1500的以太网端口，不允许连接到交换机）。</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3、电机控制、I/O、HMI与PLC组合分配方案（其余自行定义）：</w:t>
      </w:r>
    </w:p>
    <w:tbl>
      <w:tblPr>
        <w:tblStyle w:val="9"/>
        <w:tblW w:w="886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860"/>
        <w:gridCol w:w="2559"/>
        <w:gridCol w:w="2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28" w:type="dxa"/>
            <w:tcBorders>
              <w:tl2br w:val="single" w:color="auto" w:sz="4" w:space="0"/>
            </w:tcBorders>
          </w:tcPr>
          <w:p>
            <w:pPr>
              <w:tabs>
                <w:tab w:val="left" w:pos="1080"/>
              </w:tabs>
              <w:spacing w:line="560" w:lineRule="exact"/>
              <w:jc w:val="right"/>
              <w:rPr>
                <w:rFonts w:ascii="宋体" w:hAnsi="宋体" w:cs="宋体"/>
                <w:sz w:val="24"/>
              </w:rPr>
            </w:pPr>
            <w:r>
              <w:rPr>
                <w:rFonts w:hint="eastAsia" w:ascii="宋体" w:hAnsi="宋体" w:cs="宋体"/>
                <w:sz w:val="24"/>
              </w:rPr>
              <w:t>方案</w:t>
            </w:r>
          </w:p>
          <w:p>
            <w:pPr>
              <w:rPr>
                <w:rFonts w:ascii="宋体" w:hAnsi="宋体" w:cs="宋体"/>
                <w:sz w:val="24"/>
                <w:highlight w:val="yellow"/>
              </w:rPr>
            </w:pPr>
            <w:r>
              <w:rPr>
                <w:rFonts w:hint="eastAsia" w:ascii="宋体" w:hAnsi="宋体" w:cs="宋体"/>
                <w:sz w:val="24"/>
              </w:rPr>
              <w:t>电机</w:t>
            </w:r>
          </w:p>
        </w:tc>
        <w:tc>
          <w:tcPr>
            <w:tcW w:w="1860" w:type="dxa"/>
          </w:tcPr>
          <w:p>
            <w:pPr>
              <w:tabs>
                <w:tab w:val="left" w:pos="1080"/>
              </w:tabs>
              <w:spacing w:line="560" w:lineRule="exact"/>
              <w:jc w:val="center"/>
              <w:rPr>
                <w:rFonts w:ascii="宋体" w:hAnsi="宋体" w:cs="宋体"/>
                <w:sz w:val="24"/>
              </w:rPr>
            </w:pPr>
            <w:r>
              <w:rPr>
                <w:rFonts w:hint="eastAsia" w:ascii="宋体" w:hAnsi="宋体" w:cs="宋体"/>
                <w:sz w:val="24"/>
              </w:rPr>
              <w:t>三菱Q系列+FX3U系列方案</w:t>
            </w:r>
          </w:p>
        </w:tc>
        <w:tc>
          <w:tcPr>
            <w:tcW w:w="2559" w:type="dxa"/>
          </w:tcPr>
          <w:p>
            <w:pPr>
              <w:tabs>
                <w:tab w:val="left" w:pos="1080"/>
              </w:tabs>
              <w:spacing w:line="560" w:lineRule="exact"/>
              <w:jc w:val="center"/>
              <w:rPr>
                <w:rFonts w:ascii="宋体" w:hAnsi="宋体" w:cs="宋体"/>
                <w:sz w:val="24"/>
              </w:rPr>
            </w:pPr>
            <w:r>
              <w:rPr>
                <w:rFonts w:hint="eastAsia" w:ascii="宋体" w:hAnsi="宋体" w:cs="宋体"/>
                <w:sz w:val="24"/>
              </w:rPr>
              <w:t>西门子S7-300 +S7-200Smart方案</w:t>
            </w:r>
          </w:p>
        </w:tc>
        <w:tc>
          <w:tcPr>
            <w:tcW w:w="2618" w:type="dxa"/>
          </w:tcPr>
          <w:p>
            <w:pPr>
              <w:tabs>
                <w:tab w:val="left" w:pos="1080"/>
              </w:tabs>
              <w:spacing w:line="560" w:lineRule="exact"/>
              <w:jc w:val="center"/>
              <w:rPr>
                <w:rFonts w:ascii="宋体" w:hAnsi="宋体" w:cs="宋体"/>
                <w:sz w:val="24"/>
              </w:rPr>
            </w:pPr>
            <w:r>
              <w:rPr>
                <w:rFonts w:hint="eastAsia" w:ascii="宋体" w:hAnsi="宋体" w:cs="宋体"/>
                <w:sz w:val="24"/>
              </w:rPr>
              <w:t>西门子S7-1500 +S7-1200方案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28" w:type="dxa"/>
          </w:tcPr>
          <w:p>
            <w:pPr>
              <w:tabs>
                <w:tab w:val="left" w:pos="1080"/>
              </w:tabs>
              <w:spacing w:line="560" w:lineRule="exact"/>
              <w:jc w:val="center"/>
              <w:rPr>
                <w:rFonts w:ascii="宋体" w:hAnsi="宋体" w:cs="宋体"/>
                <w:sz w:val="24"/>
              </w:rPr>
            </w:pPr>
            <w:r>
              <w:rPr>
                <w:rFonts w:hint="eastAsia" w:ascii="宋体" w:hAnsi="宋体" w:cs="宋体"/>
                <w:sz w:val="24"/>
              </w:rPr>
              <w:t>HMI</w:t>
            </w:r>
          </w:p>
          <w:p>
            <w:pPr>
              <w:tabs>
                <w:tab w:val="left" w:pos="1080"/>
              </w:tabs>
              <w:spacing w:line="480" w:lineRule="exact"/>
              <w:jc w:val="center"/>
              <w:rPr>
                <w:rFonts w:ascii="宋体" w:hAnsi="宋体" w:cs="宋体"/>
                <w:sz w:val="24"/>
              </w:rPr>
            </w:pPr>
            <w:r>
              <w:rPr>
                <w:rFonts w:hint="eastAsia" w:ascii="宋体" w:hAnsi="宋体" w:cs="宋体"/>
                <w:sz w:val="24"/>
              </w:rPr>
              <w:t>SB1～SB5</w:t>
            </w:r>
          </w:p>
        </w:tc>
        <w:tc>
          <w:tcPr>
            <w:tcW w:w="1860" w:type="dxa"/>
            <w:vAlign w:val="center"/>
          </w:tcPr>
          <w:p>
            <w:pPr>
              <w:tabs>
                <w:tab w:val="left" w:pos="1080"/>
              </w:tabs>
              <w:spacing w:line="560" w:lineRule="exact"/>
              <w:jc w:val="center"/>
              <w:rPr>
                <w:rFonts w:ascii="宋体" w:hAnsi="宋体" w:cs="宋体"/>
                <w:sz w:val="24"/>
              </w:rPr>
            </w:pPr>
            <w:r>
              <w:rPr>
                <w:rFonts w:hint="eastAsia" w:ascii="宋体" w:hAnsi="宋体" w:cs="宋体"/>
                <w:sz w:val="24"/>
              </w:rPr>
              <w:t>Q00UCPU</w:t>
            </w:r>
          </w:p>
        </w:tc>
        <w:tc>
          <w:tcPr>
            <w:tcW w:w="2559" w:type="dxa"/>
            <w:vAlign w:val="center"/>
          </w:tcPr>
          <w:p>
            <w:pPr>
              <w:tabs>
                <w:tab w:val="left" w:pos="1080"/>
              </w:tabs>
              <w:spacing w:line="560" w:lineRule="exact"/>
              <w:jc w:val="center"/>
              <w:rPr>
                <w:rFonts w:ascii="宋体" w:hAnsi="宋体" w:cs="宋体"/>
                <w:sz w:val="24"/>
              </w:rPr>
            </w:pPr>
            <w:r>
              <w:rPr>
                <w:rFonts w:hint="eastAsia" w:ascii="宋体" w:hAnsi="宋体" w:cs="宋体"/>
                <w:sz w:val="24"/>
              </w:rPr>
              <w:t>CPU314C-2PN/DP</w:t>
            </w:r>
          </w:p>
        </w:tc>
        <w:tc>
          <w:tcPr>
            <w:tcW w:w="2618" w:type="dxa"/>
            <w:vAlign w:val="center"/>
          </w:tcPr>
          <w:p>
            <w:pPr>
              <w:tabs>
                <w:tab w:val="left" w:pos="1080"/>
              </w:tabs>
              <w:spacing w:line="560" w:lineRule="exact"/>
              <w:jc w:val="center"/>
              <w:rPr>
                <w:rFonts w:ascii="宋体" w:hAnsi="宋体" w:cs="宋体"/>
                <w:sz w:val="24"/>
              </w:rPr>
            </w:pPr>
            <w:r>
              <w:rPr>
                <w:rFonts w:hint="eastAsia" w:ascii="宋体" w:hAnsi="宋体" w:cs="宋体"/>
                <w:sz w:val="24"/>
              </w:rPr>
              <w:t>CPU 1511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28" w:type="dxa"/>
          </w:tcPr>
          <w:p>
            <w:pPr>
              <w:tabs>
                <w:tab w:val="left" w:pos="1080"/>
              </w:tabs>
              <w:spacing w:line="480" w:lineRule="exact"/>
              <w:jc w:val="center"/>
              <w:rPr>
                <w:rFonts w:ascii="宋体" w:hAnsi="宋体" w:cs="宋体"/>
                <w:sz w:val="24"/>
              </w:rPr>
            </w:pPr>
            <w:r>
              <w:rPr>
                <w:rFonts w:hint="eastAsia" w:ascii="宋体" w:hAnsi="宋体" w:cs="宋体"/>
                <w:sz w:val="24"/>
              </w:rPr>
              <w:t>M1、M5</w:t>
            </w:r>
          </w:p>
          <w:p>
            <w:pPr>
              <w:tabs>
                <w:tab w:val="left" w:pos="1080"/>
              </w:tabs>
              <w:spacing w:line="480" w:lineRule="exact"/>
              <w:jc w:val="center"/>
              <w:rPr>
                <w:rFonts w:ascii="宋体" w:hAnsi="宋体" w:cs="宋体"/>
                <w:sz w:val="24"/>
              </w:rPr>
            </w:pPr>
            <w:r>
              <w:rPr>
                <w:rFonts w:hint="eastAsia" w:ascii="宋体" w:hAnsi="宋体" w:cs="宋体"/>
                <w:sz w:val="24"/>
              </w:rPr>
              <w:t>HL1、HL2</w:t>
            </w:r>
          </w:p>
        </w:tc>
        <w:tc>
          <w:tcPr>
            <w:tcW w:w="1860" w:type="dxa"/>
            <w:vAlign w:val="center"/>
          </w:tcPr>
          <w:p>
            <w:pPr>
              <w:tabs>
                <w:tab w:val="left" w:pos="1080"/>
              </w:tabs>
              <w:spacing w:line="480" w:lineRule="exact"/>
              <w:jc w:val="center"/>
              <w:rPr>
                <w:rFonts w:ascii="宋体" w:hAnsi="宋体" w:cs="宋体"/>
                <w:sz w:val="24"/>
              </w:rPr>
            </w:pPr>
            <w:r>
              <w:rPr>
                <w:rFonts w:hint="eastAsia" w:ascii="宋体" w:hAnsi="宋体" w:cs="宋体"/>
                <w:sz w:val="24"/>
              </w:rPr>
              <w:t>FX3U-32MR</w:t>
            </w:r>
          </w:p>
        </w:tc>
        <w:tc>
          <w:tcPr>
            <w:tcW w:w="2559" w:type="dxa"/>
            <w:vAlign w:val="center"/>
          </w:tcPr>
          <w:p>
            <w:pPr>
              <w:tabs>
                <w:tab w:val="left" w:pos="1080"/>
              </w:tabs>
              <w:spacing w:line="480" w:lineRule="exact"/>
              <w:jc w:val="center"/>
              <w:rPr>
                <w:rFonts w:ascii="宋体" w:hAnsi="宋体" w:cs="宋体"/>
                <w:sz w:val="24"/>
              </w:rPr>
            </w:pPr>
            <w:r>
              <w:rPr>
                <w:rFonts w:hint="eastAsia" w:ascii="宋体" w:hAnsi="宋体" w:cs="宋体"/>
                <w:sz w:val="24"/>
              </w:rPr>
              <w:t>S7-200Smart</w:t>
            </w:r>
          </w:p>
          <w:p>
            <w:pPr>
              <w:tabs>
                <w:tab w:val="left" w:pos="1080"/>
              </w:tabs>
              <w:spacing w:line="480" w:lineRule="exact"/>
              <w:jc w:val="center"/>
              <w:rPr>
                <w:rFonts w:ascii="宋体" w:hAnsi="宋体" w:cs="宋体"/>
                <w:sz w:val="24"/>
              </w:rPr>
            </w:pPr>
            <w:r>
              <w:rPr>
                <w:rFonts w:hint="eastAsia" w:ascii="宋体" w:hAnsi="宋体" w:cs="宋体"/>
                <w:sz w:val="24"/>
              </w:rPr>
              <w:t>6ES7288-1SR40-0AA0</w:t>
            </w:r>
          </w:p>
        </w:tc>
        <w:tc>
          <w:tcPr>
            <w:tcW w:w="2618" w:type="dxa"/>
            <w:vAlign w:val="center"/>
          </w:tcPr>
          <w:p>
            <w:pPr>
              <w:tabs>
                <w:tab w:val="left" w:pos="1080"/>
              </w:tabs>
              <w:spacing w:line="480" w:lineRule="exact"/>
              <w:jc w:val="center"/>
              <w:rPr>
                <w:rFonts w:ascii="宋体" w:hAnsi="宋体" w:cs="宋体"/>
                <w:sz w:val="24"/>
              </w:rPr>
            </w:pPr>
            <w:r>
              <w:rPr>
                <w:rFonts w:hint="eastAsia" w:ascii="宋体" w:hAnsi="宋体" w:cs="宋体"/>
                <w:sz w:val="24"/>
              </w:rPr>
              <w:t>CPU 1212C</w:t>
            </w:r>
          </w:p>
          <w:p>
            <w:pPr>
              <w:tabs>
                <w:tab w:val="left" w:pos="1080"/>
              </w:tabs>
              <w:spacing w:line="480" w:lineRule="exact"/>
              <w:jc w:val="center"/>
              <w:rPr>
                <w:rFonts w:ascii="宋体" w:hAnsi="宋体" w:cs="宋体"/>
                <w:sz w:val="24"/>
              </w:rPr>
            </w:pPr>
            <w:r>
              <w:rPr>
                <w:rFonts w:hint="eastAsia" w:ascii="宋体" w:hAnsi="宋体" w:cs="宋体"/>
                <w:sz w:val="24"/>
              </w:rPr>
              <w:t>6ES7212-1BE40-0XB0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28" w:type="dxa"/>
          </w:tcPr>
          <w:p>
            <w:pPr>
              <w:tabs>
                <w:tab w:val="left" w:pos="1080"/>
              </w:tabs>
              <w:spacing w:line="480" w:lineRule="exact"/>
              <w:jc w:val="center"/>
              <w:rPr>
                <w:rFonts w:ascii="宋体" w:hAnsi="宋体" w:cs="宋体"/>
                <w:sz w:val="24"/>
              </w:rPr>
            </w:pPr>
            <w:r>
              <w:rPr>
                <w:rFonts w:hint="eastAsia" w:ascii="宋体" w:hAnsi="宋体" w:cs="宋体"/>
                <w:sz w:val="24"/>
              </w:rPr>
              <w:t>M2、M3、M4、</w:t>
            </w:r>
          </w:p>
          <w:p>
            <w:pPr>
              <w:tabs>
                <w:tab w:val="left" w:pos="1080"/>
              </w:tabs>
              <w:spacing w:line="480" w:lineRule="exact"/>
              <w:jc w:val="center"/>
              <w:rPr>
                <w:rFonts w:ascii="宋体" w:hAnsi="宋体" w:cs="宋体"/>
                <w:sz w:val="24"/>
              </w:rPr>
            </w:pPr>
            <w:r>
              <w:rPr>
                <w:rFonts w:hint="eastAsia" w:ascii="宋体" w:hAnsi="宋体" w:cs="宋体"/>
                <w:sz w:val="24"/>
              </w:rPr>
              <w:t>编码器</w:t>
            </w:r>
          </w:p>
          <w:p>
            <w:pPr>
              <w:tabs>
                <w:tab w:val="left" w:pos="1080"/>
              </w:tabs>
              <w:spacing w:line="480" w:lineRule="exact"/>
              <w:jc w:val="center"/>
              <w:rPr>
                <w:rFonts w:ascii="宋体" w:hAnsi="宋体" w:cs="宋体"/>
                <w:sz w:val="24"/>
              </w:rPr>
            </w:pPr>
            <w:r>
              <w:rPr>
                <w:rFonts w:hint="eastAsia" w:ascii="宋体" w:hAnsi="宋体" w:cs="宋体"/>
                <w:sz w:val="24"/>
              </w:rPr>
              <w:t>SQ1～SQ5</w:t>
            </w:r>
          </w:p>
        </w:tc>
        <w:tc>
          <w:tcPr>
            <w:tcW w:w="1860" w:type="dxa"/>
            <w:vAlign w:val="center"/>
          </w:tcPr>
          <w:p>
            <w:pPr>
              <w:tabs>
                <w:tab w:val="left" w:pos="1080"/>
              </w:tabs>
              <w:spacing w:line="480" w:lineRule="exact"/>
              <w:jc w:val="center"/>
              <w:rPr>
                <w:rFonts w:ascii="宋体" w:hAnsi="宋体" w:cs="宋体"/>
                <w:sz w:val="24"/>
              </w:rPr>
            </w:pPr>
            <w:r>
              <w:rPr>
                <w:rFonts w:hint="eastAsia" w:ascii="宋体" w:hAnsi="宋体" w:cs="宋体"/>
                <w:sz w:val="24"/>
              </w:rPr>
              <w:t>FX3U-32MT</w:t>
            </w:r>
          </w:p>
        </w:tc>
        <w:tc>
          <w:tcPr>
            <w:tcW w:w="2559" w:type="dxa"/>
            <w:vAlign w:val="center"/>
          </w:tcPr>
          <w:p>
            <w:pPr>
              <w:tabs>
                <w:tab w:val="left" w:pos="1080"/>
              </w:tabs>
              <w:spacing w:line="480" w:lineRule="exact"/>
              <w:jc w:val="center"/>
              <w:rPr>
                <w:rFonts w:ascii="宋体" w:hAnsi="宋体" w:cs="宋体"/>
                <w:sz w:val="24"/>
              </w:rPr>
            </w:pPr>
            <w:r>
              <w:rPr>
                <w:rFonts w:hint="eastAsia" w:ascii="宋体" w:hAnsi="宋体" w:cs="宋体"/>
                <w:sz w:val="24"/>
              </w:rPr>
              <w:t>S7-200Smart</w:t>
            </w:r>
          </w:p>
          <w:p>
            <w:pPr>
              <w:tabs>
                <w:tab w:val="left" w:pos="1080"/>
              </w:tabs>
              <w:spacing w:line="480" w:lineRule="exact"/>
              <w:rPr>
                <w:rFonts w:ascii="宋体" w:hAnsi="宋体" w:cs="宋体"/>
                <w:sz w:val="24"/>
              </w:rPr>
            </w:pPr>
            <w:r>
              <w:rPr>
                <w:rFonts w:hint="eastAsia" w:ascii="宋体" w:hAnsi="宋体" w:cs="宋体"/>
                <w:sz w:val="24"/>
              </w:rPr>
              <w:t>6ES7288-1ST30-0AA0</w:t>
            </w:r>
          </w:p>
        </w:tc>
        <w:tc>
          <w:tcPr>
            <w:tcW w:w="2618" w:type="dxa"/>
            <w:vAlign w:val="center"/>
          </w:tcPr>
          <w:p>
            <w:pPr>
              <w:tabs>
                <w:tab w:val="left" w:pos="1080"/>
              </w:tabs>
              <w:spacing w:line="480" w:lineRule="exact"/>
              <w:jc w:val="center"/>
              <w:rPr>
                <w:rFonts w:ascii="宋体" w:hAnsi="宋体" w:cs="宋体"/>
                <w:sz w:val="24"/>
              </w:rPr>
            </w:pPr>
            <w:r>
              <w:rPr>
                <w:rFonts w:hint="eastAsia" w:ascii="宋体" w:hAnsi="宋体" w:cs="宋体"/>
                <w:sz w:val="24"/>
              </w:rPr>
              <w:t>CPU 1212C</w:t>
            </w:r>
          </w:p>
          <w:p>
            <w:pPr>
              <w:tabs>
                <w:tab w:val="left" w:pos="1080"/>
              </w:tabs>
              <w:spacing w:line="480" w:lineRule="exact"/>
              <w:jc w:val="center"/>
              <w:rPr>
                <w:rFonts w:ascii="宋体" w:hAnsi="宋体" w:cs="宋体"/>
                <w:sz w:val="24"/>
              </w:rPr>
            </w:pPr>
            <w:r>
              <w:rPr>
                <w:rFonts w:hint="eastAsia" w:ascii="宋体" w:hAnsi="宋体" w:cs="宋体"/>
                <w:sz w:val="24"/>
              </w:rPr>
              <w:t>6ES7212-1AE40-0XB0</w:t>
            </w:r>
          </w:p>
        </w:tc>
      </w:tr>
    </w:tbl>
    <w:p>
      <w:pPr>
        <w:tabs>
          <w:tab w:val="left" w:pos="1080"/>
        </w:tabs>
        <w:spacing w:line="560" w:lineRule="exact"/>
        <w:ind w:firstLine="560" w:firstLineChars="200"/>
        <w:rPr>
          <w:rFonts w:ascii="宋体" w:hAnsi="宋体" w:cs="宋体"/>
          <w:sz w:val="28"/>
          <w:szCs w:val="28"/>
          <w:lang w:val="es-ES"/>
        </w:rPr>
      </w:pPr>
      <w:r>
        <w:rPr>
          <w:rFonts w:hint="eastAsia" w:ascii="宋体" w:hAnsi="宋体" w:cs="宋体"/>
          <w:sz w:val="28"/>
          <w:szCs w:val="28"/>
        </w:rPr>
        <w:t>电压模拟量输入以及急停按钮SA1可以自行定义接入的PLC。</w:t>
      </w:r>
      <w:r>
        <w:rPr>
          <w:rFonts w:hint="eastAsia" w:ascii="宋体" w:hAnsi="宋体" w:cs="宋体"/>
          <w:b/>
          <w:sz w:val="28"/>
          <w:szCs w:val="28"/>
        </w:rPr>
        <w:t>除题目特别要求外，其他所有按钮及指示灯应使用控制柜正面元件。</w:t>
      </w:r>
    </w:p>
    <w:p>
      <w:pPr>
        <w:autoSpaceDE w:val="0"/>
        <w:autoSpaceDN w:val="0"/>
        <w:adjustRightInd w:val="0"/>
        <w:ind w:firstLine="560" w:firstLineChars="200"/>
        <w:jc w:val="left"/>
        <w:rPr>
          <w:rFonts w:ascii="宋体" w:hAnsi="宋体" w:cs="宋体"/>
          <w:sz w:val="28"/>
          <w:szCs w:val="28"/>
        </w:rPr>
      </w:pPr>
      <w:r>
        <w:rPr>
          <w:rFonts w:hint="eastAsia" w:ascii="宋体" w:hAnsi="宋体" w:cs="宋体"/>
          <w:sz w:val="28"/>
          <w:szCs w:val="28"/>
          <w:lang w:val="es-ES"/>
        </w:rPr>
        <w:t>4、</w:t>
      </w:r>
      <w:r>
        <w:rPr>
          <w:rFonts w:hint="eastAsia" w:ascii="宋体" w:hAnsi="宋体" w:cs="宋体"/>
          <w:sz w:val="28"/>
          <w:szCs w:val="28"/>
        </w:rPr>
        <w:t>根据本说明书控制要求，设计电气控制原理图，根据所设计的电路图连接电路，不允许借用机床考核单元电气回路。参照所给定的图纸格式把系统电气原理图以及各个PLC的I/O接线图绘制在标准图纸上，在“设计”栏中填入选手工位号，在“制图”栏中填入PLC品牌型号。</w:t>
      </w:r>
    </w:p>
    <w:p>
      <w:pPr>
        <w:autoSpaceDE w:val="0"/>
        <w:autoSpaceDN w:val="0"/>
        <w:adjustRightInd w:val="0"/>
        <w:ind w:firstLine="560" w:firstLineChars="200"/>
        <w:jc w:val="left"/>
        <w:rPr>
          <w:rFonts w:ascii="宋体" w:hAnsi="宋体" w:cs="宋体"/>
          <w:sz w:val="28"/>
          <w:szCs w:val="28"/>
        </w:rPr>
      </w:pPr>
      <w:r>
        <w:rPr>
          <w:rFonts w:hint="eastAsia" w:ascii="宋体" w:hAnsi="宋体" w:cs="宋体"/>
          <w:sz w:val="28"/>
          <w:szCs w:val="28"/>
          <w:lang w:val="es-ES"/>
        </w:rPr>
        <w:t>5、</w:t>
      </w:r>
      <w:r>
        <w:rPr>
          <w:rFonts w:hint="eastAsia" w:ascii="宋体" w:hAnsi="宋体" w:cs="宋体"/>
          <w:sz w:val="28"/>
          <w:szCs w:val="28"/>
        </w:rPr>
        <w:t>三台PLC和变频器安装位置要求如图2所示,不允许自行定义位置，不得擅自更改设备已有器件位置和线路，其余器件位置自行定义。</w:t>
      </w:r>
    </w:p>
    <w:p>
      <w:pPr>
        <w:autoSpaceDE w:val="0"/>
        <w:autoSpaceDN w:val="0"/>
        <w:adjustRightInd w:val="0"/>
        <w:ind w:firstLine="1540" w:firstLineChars="550"/>
        <w:rPr>
          <w:rFonts w:ascii="宋体" w:hAnsi="宋体" w:cs="宋体"/>
          <w:sz w:val="28"/>
          <w:szCs w:val="28"/>
        </w:rPr>
      </w:pPr>
      <w:r>
        <w:rPr>
          <w:rFonts w:ascii="宋体" w:hAnsi="宋体" w:cs="宋体"/>
          <w:sz w:val="28"/>
          <w:szCs w:val="28"/>
        </w:rPr>
        <w:pict>
          <v:shape id="AutoShape 9" o:spid="_x0000_s1071" o:spt="61" type="#_x0000_t61" style="position:absolute;left:0pt;margin-left:261.15pt;margin-top:129.85pt;height:40.7pt;width:147pt;z-index:251668480;mso-width-relative:page;mso-height-relative:page;" coordsize="21600,21600" adj="-7817,15099">
            <v:path/>
            <v:fill color2="#BBD5F0" focussize="0,0"/>
            <v:stroke weight="1.25pt" joinstyle="miter"/>
            <v:imagedata o:title=""/>
            <o:lock v:ext="edit"/>
            <v:textbox>
              <w:txbxContent>
                <w:p>
                  <w:pPr>
                    <w:rPr>
                      <w:color w:val="FF0000"/>
                      <w:sz w:val="24"/>
                    </w:rPr>
                  </w:pPr>
                  <w:r>
                    <w:rPr>
                      <w:rFonts w:hint="eastAsia"/>
                      <w:sz w:val="24"/>
                    </w:rPr>
                    <w:t>变频器：三菱</w:t>
                  </w:r>
                  <w:r>
                    <w:rPr>
                      <w:sz w:val="24"/>
                    </w:rPr>
                    <w:t>FR-E740</w:t>
                  </w:r>
                  <w:r>
                    <w:rPr>
                      <w:rFonts w:hint="eastAsia"/>
                      <w:sz w:val="24"/>
                    </w:rPr>
                    <w:t>/西门子MM420（G120C）</w:t>
                  </w:r>
                </w:p>
              </w:txbxContent>
            </v:textbox>
          </v:shape>
        </w:pict>
      </w:r>
      <w:r>
        <w:rPr>
          <w:rFonts w:ascii="宋体" w:hAnsi="宋体" w:cs="宋体"/>
          <w:sz w:val="28"/>
          <w:szCs w:val="28"/>
        </w:rPr>
        <w:pict>
          <v:shape id="AutoShape 8" o:spid="_x0000_s1070" o:spt="61" type="#_x0000_t61" style="position:absolute;left:0pt;margin-left:261.15pt;margin-top:28.55pt;height:89.3pt;width:147pt;z-index:251667456;mso-width-relative:page;mso-height-relative:page;" coordsize="21600,21600" adj="-7450,7486">
            <v:path/>
            <v:fill color2="#BBD5F0" focussize="0,0"/>
            <v:stroke weight="1.25pt" joinstyle="miter"/>
            <v:imagedata o:title=""/>
            <o:lock v:ext="edit"/>
            <v:textbox>
              <w:txbxContent>
                <w:p>
                  <w:pPr>
                    <w:tabs>
                      <w:tab w:val="left" w:pos="1080"/>
                    </w:tabs>
                    <w:jc w:val="center"/>
                  </w:pPr>
                  <w:r>
                    <w:rPr>
                      <w:rFonts w:hint="eastAsia"/>
                    </w:rPr>
                    <w:t>从站：三菱</w:t>
                  </w:r>
                  <w:r>
                    <w:rPr>
                      <w:rFonts w:hint="eastAsia" w:ascii="宋体" w:hAnsi="宋体" w:cs="仿宋"/>
                      <w:sz w:val="24"/>
                    </w:rPr>
                    <w:t>FX3U-32MT/</w:t>
                  </w:r>
                  <w:r>
                    <w:rPr>
                      <w:rFonts w:hint="eastAsia" w:ascii="宋体" w:hAnsi="宋体" w:cs="仿宋"/>
                      <w:color w:val="000000"/>
                      <w:sz w:val="24"/>
                    </w:rPr>
                    <w:t>西门子S7-200Smart（6ES7288-1ST30-0AA0）/ 西门子CPU1212C（6ES7212-1AE40-0XB0）</w:t>
                  </w:r>
                </w:p>
              </w:txbxContent>
            </v:textbox>
          </v:shape>
        </w:pict>
      </w:r>
      <w:r>
        <w:rPr>
          <w:rFonts w:hint="eastAsia" w:ascii="宋体" w:hAnsi="宋体" w:cs="宋体"/>
          <w:sz w:val="28"/>
          <w:szCs w:val="28"/>
        </w:rPr>
        <w:drawing>
          <wp:inline distT="0" distB="0" distL="0" distR="0">
            <wp:extent cx="2266950" cy="2590800"/>
            <wp:effectExtent l="19050" t="0" r="0" b="0"/>
            <wp:docPr id="27" name="Picture 1" descr="IMG_20150520_10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descr="IMG_20150520_101927"/>
                    <pic:cNvPicPr>
                      <a:picLocks noChangeAspect="1" noChangeArrowheads="1"/>
                    </pic:cNvPicPr>
                  </pic:nvPicPr>
                  <pic:blipFill>
                    <a:blip r:embed="rId21" cstate="print"/>
                    <a:srcRect t="6386" b="8228"/>
                    <a:stretch>
                      <a:fillRect/>
                    </a:stretch>
                  </pic:blipFill>
                  <pic:spPr>
                    <a:xfrm>
                      <a:off x="0" y="0"/>
                      <a:ext cx="2266950" cy="2590800"/>
                    </a:xfrm>
                    <a:prstGeom prst="rect">
                      <a:avLst/>
                    </a:prstGeom>
                    <a:noFill/>
                    <a:ln w="9525">
                      <a:noFill/>
                      <a:miter lim="800000"/>
                      <a:headEnd/>
                      <a:tailEnd/>
                    </a:ln>
                  </pic:spPr>
                </pic:pic>
              </a:graphicData>
            </a:graphic>
          </wp:inline>
        </w:drawing>
      </w:r>
    </w:p>
    <w:p>
      <w:pPr>
        <w:autoSpaceDE w:val="0"/>
        <w:autoSpaceDN w:val="0"/>
        <w:adjustRightInd w:val="0"/>
        <w:jc w:val="center"/>
        <w:rPr>
          <w:rFonts w:ascii="宋体" w:hAnsi="宋体" w:cs="宋体"/>
          <w:sz w:val="24"/>
        </w:rPr>
      </w:pPr>
      <w:r>
        <w:rPr>
          <w:rFonts w:hint="eastAsia" w:ascii="宋体" w:hAnsi="宋体" w:cs="宋体"/>
          <w:sz w:val="24"/>
        </w:rPr>
        <w:t>（a）正面</w:t>
      </w:r>
    </w:p>
    <w:p>
      <w:pPr>
        <w:autoSpaceDE w:val="0"/>
        <w:autoSpaceDN w:val="0"/>
        <w:adjustRightInd w:val="0"/>
        <w:ind w:firstLine="1540" w:firstLineChars="550"/>
        <w:rPr>
          <w:rFonts w:ascii="宋体" w:hAnsi="宋体" w:cs="宋体"/>
          <w:sz w:val="28"/>
          <w:szCs w:val="28"/>
        </w:rPr>
      </w:pPr>
      <w:r>
        <w:rPr>
          <w:rFonts w:ascii="宋体" w:hAnsi="宋体" w:cs="宋体"/>
          <w:sz w:val="28"/>
          <w:szCs w:val="28"/>
        </w:rPr>
        <w:pict>
          <v:shape id="AutoShape 11" o:spid="_x0000_s1073" o:spt="61" type="#_x0000_t61" style="position:absolute;left:0pt;margin-left:261.15pt;margin-top:114.35pt;height:62.4pt;width:147pt;z-index:251670528;mso-width-relative:page;mso-height-relative:page;" coordsize="21600,21600" adj="-8589,14469">
            <v:path/>
            <v:fill color2="#BBD5F0" focussize="0,0"/>
            <v:stroke weight="1.25pt" joinstyle="miter"/>
            <v:imagedata o:title=""/>
            <o:lock v:ext="edit"/>
            <v:textbox>
              <w:txbxContent>
                <w:p>
                  <w:r>
                    <w:rPr>
                      <w:rFonts w:hint="eastAsia" w:ascii="宋体" w:hAnsi="宋体" w:cs="仿宋"/>
                      <w:color w:val="000000"/>
                      <w:sz w:val="24"/>
                    </w:rPr>
                    <w:t>主站：三菱Q00UCPU/西门子S7-300/西门子S7-1500</w:t>
                  </w:r>
                </w:p>
              </w:txbxContent>
            </v:textbox>
          </v:shape>
        </w:pict>
      </w:r>
      <w:r>
        <w:rPr>
          <w:rFonts w:ascii="宋体" w:hAnsi="宋体" w:cs="宋体"/>
          <w:sz w:val="28"/>
          <w:szCs w:val="28"/>
        </w:rPr>
        <w:pict>
          <v:shape id="AutoShape 10" o:spid="_x0000_s1072" o:spt="61" type="#_x0000_t61" style="position:absolute;left:0pt;margin-left:261.15pt;margin-top:4.5pt;height:87.75pt;width:147pt;z-index:251669504;mso-width-relative:page;mso-height-relative:page;" coordsize="21600,21600" adj="-7611,15077">
            <v:path/>
            <v:fill color2="#BBD5F0" focussize="0,0"/>
            <v:stroke weight="1.25pt" joinstyle="miter"/>
            <v:imagedata o:title=""/>
            <o:lock v:ext="edit"/>
            <v:textbox>
              <w:txbxContent>
                <w:p>
                  <w:pPr>
                    <w:tabs>
                      <w:tab w:val="left" w:pos="1080"/>
                    </w:tabs>
                    <w:jc w:val="center"/>
                  </w:pPr>
                  <w:r>
                    <w:rPr>
                      <w:rFonts w:hint="eastAsia"/>
                    </w:rPr>
                    <w:t>从</w:t>
                  </w:r>
                  <w:r>
                    <w:rPr>
                      <w:rFonts w:hint="eastAsia" w:ascii="宋体" w:hAnsi="宋体" w:cs="仿宋"/>
                      <w:sz w:val="24"/>
                    </w:rPr>
                    <w:t>站：三菱FX3U-32MR</w:t>
                  </w:r>
                  <w:r>
                    <w:rPr>
                      <w:rFonts w:hint="eastAsia" w:ascii="宋体" w:hAnsi="宋体" w:cs="仿宋"/>
                      <w:color w:val="000000"/>
                      <w:sz w:val="24"/>
                    </w:rPr>
                    <w:t>/西门子S7-200Smart（6ES7288-1SR40-0AA0）/西门子CPU1212C（6ES7212-1BE40-0XB0）</w:t>
                  </w:r>
                </w:p>
              </w:txbxContent>
            </v:textbox>
          </v:shape>
        </w:pict>
      </w:r>
      <w:r>
        <w:rPr>
          <w:rFonts w:hint="eastAsia" w:ascii="宋体" w:hAnsi="宋体" w:cs="宋体"/>
          <w:sz w:val="28"/>
          <w:szCs w:val="28"/>
        </w:rPr>
        <w:drawing>
          <wp:inline distT="0" distB="0" distL="0" distR="0">
            <wp:extent cx="2266950" cy="2628900"/>
            <wp:effectExtent l="19050" t="0" r="0" b="0"/>
            <wp:docPr id="26" name="Picture 2" descr="IMG_20150520_10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 descr="IMG_20150520_101951"/>
                    <pic:cNvPicPr>
                      <a:picLocks noChangeAspect="1" noChangeArrowheads="1"/>
                    </pic:cNvPicPr>
                  </pic:nvPicPr>
                  <pic:blipFill>
                    <a:blip r:embed="rId22" cstate="print"/>
                    <a:srcRect t="3641" b="9531"/>
                    <a:stretch>
                      <a:fillRect/>
                    </a:stretch>
                  </pic:blipFill>
                  <pic:spPr>
                    <a:xfrm>
                      <a:off x="0" y="0"/>
                      <a:ext cx="2266950" cy="2628900"/>
                    </a:xfrm>
                    <a:prstGeom prst="rect">
                      <a:avLst/>
                    </a:prstGeom>
                    <a:noFill/>
                    <a:ln w="9525">
                      <a:noFill/>
                      <a:miter lim="800000"/>
                      <a:headEnd/>
                      <a:tailEnd/>
                    </a:ln>
                  </pic:spPr>
                </pic:pic>
              </a:graphicData>
            </a:graphic>
          </wp:inline>
        </w:drawing>
      </w:r>
    </w:p>
    <w:p>
      <w:pPr>
        <w:autoSpaceDE w:val="0"/>
        <w:autoSpaceDN w:val="0"/>
        <w:adjustRightInd w:val="0"/>
        <w:jc w:val="center"/>
        <w:rPr>
          <w:rFonts w:ascii="宋体" w:hAnsi="宋体" w:cs="宋体"/>
          <w:sz w:val="24"/>
        </w:rPr>
      </w:pPr>
      <w:r>
        <w:rPr>
          <w:rFonts w:hint="eastAsia" w:ascii="宋体" w:hAnsi="宋体" w:cs="宋体"/>
          <w:sz w:val="24"/>
        </w:rPr>
        <w:t>（b）背面</w:t>
      </w:r>
    </w:p>
    <w:p>
      <w:pPr>
        <w:autoSpaceDE w:val="0"/>
        <w:autoSpaceDN w:val="0"/>
        <w:adjustRightInd w:val="0"/>
        <w:jc w:val="center"/>
        <w:rPr>
          <w:rFonts w:ascii="宋体" w:hAnsi="宋体" w:cs="宋体"/>
          <w:sz w:val="24"/>
          <w:lang w:val="es-ES"/>
        </w:rPr>
      </w:pPr>
      <w:r>
        <w:rPr>
          <w:rFonts w:hint="eastAsia" w:ascii="宋体" w:hAnsi="宋体" w:cs="宋体"/>
          <w:sz w:val="24"/>
        </w:rPr>
        <w:t>图2  PLC和变频器安装位置示意图</w:t>
      </w:r>
    </w:p>
    <w:p>
      <w:pPr>
        <w:spacing w:line="560" w:lineRule="exact"/>
        <w:ind w:firstLine="562" w:firstLineChars="200"/>
        <w:rPr>
          <w:rFonts w:ascii="宋体" w:hAnsi="宋体" w:cs="宋体"/>
          <w:b/>
          <w:sz w:val="28"/>
          <w:szCs w:val="28"/>
        </w:rPr>
      </w:pPr>
      <w:r>
        <w:rPr>
          <w:rFonts w:hint="eastAsia" w:ascii="宋体" w:hAnsi="宋体" w:cs="宋体"/>
          <w:b/>
          <w:sz w:val="28"/>
          <w:szCs w:val="28"/>
        </w:rPr>
        <w:t>三、系统控制要求</w:t>
      </w:r>
    </w:p>
    <w:p>
      <w:pPr>
        <w:spacing w:line="560" w:lineRule="exact"/>
        <w:ind w:firstLine="560" w:firstLineChars="200"/>
        <w:rPr>
          <w:rFonts w:ascii="宋体" w:hAnsi="宋体" w:cs="宋体"/>
          <w:sz w:val="28"/>
          <w:szCs w:val="28"/>
        </w:rPr>
      </w:pPr>
      <w:r>
        <w:rPr>
          <w:rFonts w:hint="eastAsia" w:ascii="宋体" w:hAnsi="宋体" w:cs="宋体"/>
          <w:sz w:val="28"/>
          <w:szCs w:val="28"/>
        </w:rPr>
        <w:t>自动涂装控制系统具备三种工作模式，模式一：通信测试模式；模式二：设备调试模式；模式三：自动运行模式。设备上电后触摸屏首先显示用户登录界面；当输入用户名Admin及正确密码“2018”后，触摸屏即进入模式选择界面，此时可以选择进入任意一种模式；当输入用户名User及正确密码（密码为工位号）后，触摸屏只能进入自动运行模式。当输入密码错误时，弹出密码错误提示对话框。</w:t>
      </w:r>
    </w:p>
    <w:p>
      <w:pPr>
        <w:tabs>
          <w:tab w:val="left" w:pos="1080"/>
        </w:tabs>
        <w:jc w:val="left"/>
        <w:rPr>
          <w:rFonts w:ascii="宋体" w:hAnsi="宋体" w:cs="宋体"/>
        </w:rPr>
      </w:pPr>
      <w:r>
        <w:rPr>
          <w:rFonts w:ascii="宋体" w:hAnsi="宋体" w:cs="宋体"/>
        </w:rPr>
        <w:drawing>
          <wp:inline distT="0" distB="0" distL="0" distR="0">
            <wp:extent cx="2743200" cy="2095500"/>
            <wp:effectExtent l="19050" t="0" r="0" b="0"/>
            <wp:docPr id="25" name="图片 6" descr="716803868289588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descr="716803868289588522"/>
                    <pic:cNvPicPr>
                      <a:picLocks noChangeAspect="1" noChangeArrowheads="1"/>
                    </pic:cNvPicPr>
                  </pic:nvPicPr>
                  <pic:blipFill>
                    <a:blip r:embed="rId23" cstate="print"/>
                    <a:srcRect/>
                    <a:stretch>
                      <a:fillRect/>
                    </a:stretch>
                  </pic:blipFill>
                  <pic:spPr>
                    <a:xfrm>
                      <a:off x="0" y="0"/>
                      <a:ext cx="2743200" cy="2095500"/>
                    </a:xfrm>
                    <a:prstGeom prst="rect">
                      <a:avLst/>
                    </a:prstGeom>
                    <a:noFill/>
                    <a:ln w="9525">
                      <a:noFill/>
                      <a:miter lim="800000"/>
                      <a:headEnd/>
                      <a:tailEnd/>
                    </a:ln>
                  </pic:spPr>
                </pic:pic>
              </a:graphicData>
            </a:graphic>
          </wp:inline>
        </w:drawing>
      </w:r>
      <w:r>
        <w:rPr>
          <w:rFonts w:ascii="宋体" w:hAnsi="宋体" w:cs="宋体"/>
        </w:rPr>
        <w:drawing>
          <wp:inline distT="0" distB="0" distL="0" distR="0">
            <wp:extent cx="2743200" cy="2095500"/>
            <wp:effectExtent l="19050" t="0" r="0" b="0"/>
            <wp:docPr id="24" name="图片 7" descr="837238537802476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descr="837238537802476406"/>
                    <pic:cNvPicPr>
                      <a:picLocks noChangeAspect="1" noChangeArrowheads="1"/>
                    </pic:cNvPicPr>
                  </pic:nvPicPr>
                  <pic:blipFill>
                    <a:blip r:embed="rId24" cstate="print"/>
                    <a:srcRect/>
                    <a:stretch>
                      <a:fillRect/>
                    </a:stretch>
                  </pic:blipFill>
                  <pic:spPr>
                    <a:xfrm>
                      <a:off x="0" y="0"/>
                      <a:ext cx="2743200" cy="2095500"/>
                    </a:xfrm>
                    <a:prstGeom prst="rect">
                      <a:avLst/>
                    </a:prstGeom>
                    <a:noFill/>
                    <a:ln w="9525">
                      <a:noFill/>
                      <a:miter lim="800000"/>
                      <a:headEnd/>
                      <a:tailEnd/>
                    </a:ln>
                  </pic:spPr>
                </pic:pic>
              </a:graphicData>
            </a:graphic>
          </wp:inline>
        </w:drawing>
      </w:r>
    </w:p>
    <w:p>
      <w:pPr>
        <w:tabs>
          <w:tab w:val="left" w:pos="1080"/>
        </w:tabs>
        <w:jc w:val="center"/>
        <w:rPr>
          <w:rFonts w:ascii="宋体" w:hAnsi="宋体" w:cs="宋体"/>
          <w:sz w:val="24"/>
        </w:rPr>
      </w:pPr>
      <w:r>
        <w:rPr>
          <w:rFonts w:hint="eastAsia" w:ascii="宋体" w:hAnsi="宋体" w:cs="宋体"/>
          <w:sz w:val="24"/>
        </w:rPr>
        <w:t>图3 用户登录界面</w:t>
      </w:r>
    </w:p>
    <w:p>
      <w:pPr>
        <w:tabs>
          <w:tab w:val="left" w:pos="1080"/>
        </w:tabs>
        <w:jc w:val="center"/>
        <w:rPr>
          <w:rFonts w:ascii="宋体" w:hAnsi="宋体" w:cs="宋体"/>
        </w:rPr>
      </w:pPr>
      <w:r>
        <w:rPr>
          <w:rFonts w:ascii="宋体" w:hAnsi="宋体" w:cs="宋体"/>
        </w:rPr>
        <w:drawing>
          <wp:inline distT="0" distB="0" distL="0" distR="0">
            <wp:extent cx="4705350" cy="2819400"/>
            <wp:effectExtent l="19050" t="0" r="0" b="0"/>
            <wp:docPr id="18" name="图片 8" descr="54410341044528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descr="544103410445284080"/>
                    <pic:cNvPicPr>
                      <a:picLocks noChangeAspect="1" noChangeArrowheads="1"/>
                    </pic:cNvPicPr>
                  </pic:nvPicPr>
                  <pic:blipFill>
                    <a:blip r:embed="rId25" cstate="print"/>
                    <a:srcRect/>
                    <a:stretch>
                      <a:fillRect/>
                    </a:stretch>
                  </pic:blipFill>
                  <pic:spPr>
                    <a:xfrm>
                      <a:off x="0" y="0"/>
                      <a:ext cx="4705350" cy="2819400"/>
                    </a:xfrm>
                    <a:prstGeom prst="rect">
                      <a:avLst/>
                    </a:prstGeom>
                    <a:noFill/>
                    <a:ln w="9525">
                      <a:noFill/>
                      <a:miter lim="800000"/>
                      <a:headEnd/>
                      <a:tailEnd/>
                    </a:ln>
                  </pic:spPr>
                </pic:pic>
              </a:graphicData>
            </a:graphic>
          </wp:inline>
        </w:drawing>
      </w:r>
    </w:p>
    <w:p>
      <w:pPr>
        <w:tabs>
          <w:tab w:val="left" w:pos="1080"/>
        </w:tabs>
        <w:jc w:val="center"/>
        <w:rPr>
          <w:rFonts w:ascii="宋体" w:hAnsi="宋体" w:cs="宋体"/>
          <w:sz w:val="24"/>
        </w:rPr>
      </w:pPr>
      <w:r>
        <w:rPr>
          <w:rFonts w:hint="eastAsia" w:ascii="宋体" w:hAnsi="宋体" w:cs="宋体"/>
          <w:sz w:val="24"/>
        </w:rPr>
        <w:t>图4 模式选择界面</w:t>
      </w:r>
    </w:p>
    <w:p>
      <w:pPr>
        <w:tabs>
          <w:tab w:val="left" w:pos="1080"/>
        </w:tabs>
        <w:spacing w:line="560" w:lineRule="exact"/>
        <w:ind w:firstLine="643" w:firstLineChars="200"/>
        <w:rPr>
          <w:rFonts w:ascii="宋体" w:hAnsi="宋体" w:cs="宋体"/>
          <w:b/>
          <w:sz w:val="32"/>
          <w:szCs w:val="32"/>
        </w:rPr>
      </w:pPr>
      <w:r>
        <w:rPr>
          <w:rFonts w:hint="eastAsia" w:ascii="宋体" w:hAnsi="宋体" w:cs="宋体"/>
          <w:b/>
          <w:sz w:val="32"/>
          <w:szCs w:val="32"/>
        </w:rPr>
        <w:t>1、通信测试模式</w:t>
      </w:r>
    </w:p>
    <w:p>
      <w:pPr>
        <w:tabs>
          <w:tab w:val="left" w:pos="1080"/>
        </w:tabs>
        <w:jc w:val="center"/>
      </w:pPr>
      <w:r>
        <w:drawing>
          <wp:inline distT="0" distB="0" distL="0" distR="0">
            <wp:extent cx="4552950" cy="2743200"/>
            <wp:effectExtent l="19050" t="0" r="0" b="0"/>
            <wp:docPr id="17" name="图片 9" descr="537779949871809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537779949871809476"/>
                    <pic:cNvPicPr>
                      <a:picLocks noChangeAspect="1" noChangeArrowheads="1"/>
                    </pic:cNvPicPr>
                  </pic:nvPicPr>
                  <pic:blipFill>
                    <a:blip r:embed="rId26" cstate="print"/>
                    <a:srcRect/>
                    <a:stretch>
                      <a:fillRect/>
                    </a:stretch>
                  </pic:blipFill>
                  <pic:spPr>
                    <a:xfrm>
                      <a:off x="0" y="0"/>
                      <a:ext cx="4552950" cy="2743200"/>
                    </a:xfrm>
                    <a:prstGeom prst="rect">
                      <a:avLst/>
                    </a:prstGeom>
                    <a:noFill/>
                    <a:ln w="9525">
                      <a:noFill/>
                      <a:miter lim="800000"/>
                      <a:headEnd/>
                      <a:tailEnd/>
                    </a:ln>
                  </pic:spPr>
                </pic:pic>
              </a:graphicData>
            </a:graphic>
          </wp:inline>
        </w:drawing>
      </w:r>
    </w:p>
    <w:p>
      <w:pPr>
        <w:tabs>
          <w:tab w:val="left" w:pos="1080"/>
        </w:tabs>
        <w:jc w:val="center"/>
        <w:rPr>
          <w:rFonts w:ascii="宋体" w:hAnsi="宋体" w:cs="宋体"/>
          <w:sz w:val="24"/>
        </w:rPr>
      </w:pPr>
      <w:r>
        <w:rPr>
          <w:rFonts w:hint="eastAsia" w:ascii="宋体" w:hAnsi="宋体" w:cs="宋体"/>
          <w:sz w:val="24"/>
        </w:rPr>
        <w:t>图5  通信测试模式界面参考图</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此模式为检测触摸屏与三台PLC之间通信情况，如图5所示，当三台PLC上电后处于运行状态时，若系统网络连接正常，则触摸屏中对应的通信指示灯点亮。</w:t>
      </w:r>
      <w:r>
        <w:rPr>
          <w:rFonts w:hint="eastAsia" w:ascii="宋体" w:hAnsi="宋体" w:cs="宋体"/>
          <w:b/>
          <w:sz w:val="28"/>
          <w:szCs w:val="28"/>
        </w:rPr>
        <w:t>此外，每一台PLC需要分配一个输出点，作为通信测试灯。</w:t>
      </w:r>
      <w:r>
        <w:rPr>
          <w:rFonts w:hint="eastAsia" w:ascii="宋体" w:hAnsi="宋体" w:cs="宋体"/>
          <w:sz w:val="28"/>
          <w:szCs w:val="28"/>
        </w:rPr>
        <w:t>分两种情况测试：</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1）三台PLC之间通信测试：按下SB1按钮（主站），从站一PLC输出点的通信测试灯亮；再按下SB1按钮，从站一PLC输出点的通信测试灯保持点亮，从站二PLC输出点的通信测试灯亮；再按下SB1按钮，从站一、二PLC输出点的通信测试灯灭，第一种通信测试完成。</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（2） 触摸屏与三台PLC之间通信测试：在触摸屏测试框输入（10），主站PLC输出点的通信测试灯亮；输入（20），主站、从站一PLC输出点的通信测试灯亮；输入（30），主站、从站一、从站二PLC输出点的通信测试灯亮；输入其他值，所有通信测试灯熄灭。</w:t>
      </w:r>
    </w:p>
    <w:p>
      <w:pPr>
        <w:tabs>
          <w:tab w:val="left" w:pos="1080"/>
        </w:tabs>
        <w:spacing w:line="560" w:lineRule="exact"/>
        <w:ind w:firstLine="643" w:firstLineChars="200"/>
        <w:rPr>
          <w:rFonts w:ascii="宋体" w:hAnsi="宋体" w:cs="宋体"/>
          <w:b/>
          <w:sz w:val="32"/>
          <w:szCs w:val="32"/>
        </w:rPr>
      </w:pPr>
      <w:r>
        <w:rPr>
          <w:rFonts w:hint="eastAsia" w:ascii="宋体" w:hAnsi="宋体" w:cs="宋体"/>
          <w:b/>
          <w:sz w:val="32"/>
          <w:szCs w:val="32"/>
        </w:rPr>
        <w:t>2、设备调试模式</w:t>
      </w:r>
    </w:p>
    <w:p>
      <w:pPr>
        <w:tabs>
          <w:tab w:val="left" w:pos="1080"/>
        </w:tabs>
        <w:spacing w:line="560" w:lineRule="exact"/>
        <w:ind w:firstLine="560" w:firstLineChars="200"/>
        <w:rPr>
          <w:rFonts w:ascii="宋体" w:hAnsi="宋体" w:cs="宋体"/>
          <w:sz w:val="28"/>
          <w:szCs w:val="28"/>
          <w:highlight w:val="yellow"/>
        </w:rPr>
      </w:pPr>
      <w:r>
        <w:rPr>
          <w:rFonts w:hint="eastAsia" w:ascii="宋体" w:hAnsi="宋体" w:cs="宋体"/>
          <w:sz w:val="28"/>
          <w:szCs w:val="28"/>
        </w:rPr>
        <w:t>触摸屏进入设备调试画面后，指示灯HL1以0.5Hz频率闪烁，等待选择电机调试。触摸屏调试界面可以参考图6进行制作：通过按下“调试选择按钮”，可依次选择需要调试的电机M1～M5，触摸屏中对应电机指示灯亮，指示灯HL1按照新的要求进行闪烁（见每个电机的调试过程说明）。按下调试启动按钮SB2，被选中的电机进入调试运行。每个电机调试完成后，触摸屏上对应的指示灯熄灭。（M1～M5电机未调试完，触摸屏中的“自动模式”按钮处于红色状态，即无法进入自动模式）</w:t>
      </w:r>
    </w:p>
    <w:p>
      <w:pPr>
        <w:jc w:val="center"/>
        <w:rPr>
          <w:rFonts w:ascii="宋体" w:hAnsi="宋体" w:cs="宋体"/>
          <w:sz w:val="28"/>
          <w:szCs w:val="28"/>
        </w:rPr>
      </w:pPr>
      <w:r>
        <w:rPr>
          <w:rFonts w:hint="eastAsia" w:ascii="宋体" w:hAnsi="宋体" w:cs="宋体"/>
          <w:sz w:val="28"/>
          <w:szCs w:val="28"/>
        </w:rPr>
        <w:drawing>
          <wp:inline distT="0" distB="0" distL="0" distR="0">
            <wp:extent cx="5276850" cy="3143250"/>
            <wp:effectExtent l="19050" t="0" r="0" b="0"/>
            <wp:docPr id="16" name="图片 13" descr="QQ截图2017112610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QQ截图20171126101747"/>
                    <pic:cNvPicPr>
                      <a:picLocks noChangeAspect="1" noChangeArrowheads="1"/>
                    </pic:cNvPicPr>
                  </pic:nvPicPr>
                  <pic:blipFill>
                    <a:blip r:embed="rId27" cstate="print"/>
                    <a:srcRect/>
                    <a:stretch>
                      <a:fillRect/>
                    </a:stretch>
                  </pic:blipFill>
                  <pic:spPr>
                    <a:xfrm>
                      <a:off x="0" y="0"/>
                      <a:ext cx="5276850" cy="3143250"/>
                    </a:xfrm>
                    <a:prstGeom prst="rect">
                      <a:avLst/>
                    </a:prstGeom>
                    <a:noFill/>
                    <a:ln w="9525">
                      <a:noFill/>
                      <a:miter lim="800000"/>
                      <a:headEnd/>
                      <a:tailEnd/>
                    </a:ln>
                  </pic:spPr>
                </pic:pic>
              </a:graphicData>
            </a:graphic>
          </wp:inline>
        </w:drawing>
      </w:r>
    </w:p>
    <w:p>
      <w:pPr>
        <w:jc w:val="center"/>
        <w:rPr>
          <w:rFonts w:ascii="宋体" w:hAnsi="宋体" w:cs="宋体"/>
          <w:sz w:val="24"/>
        </w:rPr>
      </w:pPr>
      <w:r>
        <w:rPr>
          <w:rFonts w:hint="eastAsia" w:ascii="宋体" w:hAnsi="宋体" w:cs="宋体"/>
          <w:sz w:val="24"/>
        </w:rPr>
        <w:t>图6  调试模式参考画面</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（1）搅拌电机M1调试过程</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触摸屏中选择电机M1调试时，指示灯HL1以</w:t>
      </w:r>
      <w:r>
        <w:rPr>
          <w:rFonts w:hint="eastAsia" w:ascii="宋体" w:hAnsi="宋体" w:cs="宋体"/>
          <w:b/>
          <w:sz w:val="28"/>
          <w:szCs w:val="28"/>
        </w:rPr>
        <w:t>闪烁1s（</w:t>
      </w:r>
      <w:r>
        <w:rPr>
          <w:rFonts w:hint="eastAsia" w:ascii="宋体" w:hAnsi="宋体" w:cs="宋体"/>
          <w:sz w:val="28"/>
          <w:szCs w:val="28"/>
        </w:rPr>
        <w:t>频率为1Hz</w:t>
      </w:r>
      <w:r>
        <w:rPr>
          <w:rFonts w:hint="eastAsia" w:ascii="宋体" w:hAnsi="宋体" w:cs="宋体"/>
          <w:b/>
          <w:sz w:val="28"/>
          <w:szCs w:val="28"/>
        </w:rPr>
        <w:t>）-灭1s</w:t>
      </w:r>
      <w:r>
        <w:rPr>
          <w:rFonts w:hint="eastAsia" w:ascii="宋体" w:hAnsi="宋体" w:cs="宋体"/>
          <w:sz w:val="28"/>
          <w:szCs w:val="28"/>
        </w:rPr>
        <w:t>的周期运行。然后按下调试启动按钮SB2后，电机M1启动运行，并按照“转4秒-停2秒”的规律运行3个周期后停止；电机M1调试结束。</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（2）喷涂泵电机（变频电机）M2调试过程</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触摸屏中选择电机M2调试时，指示灯HL1以</w:t>
      </w:r>
      <w:r>
        <w:rPr>
          <w:rFonts w:hint="eastAsia" w:ascii="宋体" w:hAnsi="宋体" w:cs="宋体"/>
          <w:b/>
          <w:sz w:val="28"/>
          <w:szCs w:val="28"/>
        </w:rPr>
        <w:t>闪烁2s（</w:t>
      </w:r>
      <w:r>
        <w:rPr>
          <w:rFonts w:hint="eastAsia" w:ascii="宋体" w:hAnsi="宋体" w:cs="宋体"/>
          <w:sz w:val="28"/>
          <w:szCs w:val="28"/>
        </w:rPr>
        <w:t>频率为1Hz</w:t>
      </w:r>
      <w:r>
        <w:rPr>
          <w:rFonts w:hint="eastAsia" w:ascii="宋体" w:hAnsi="宋体" w:cs="宋体"/>
          <w:b/>
          <w:sz w:val="28"/>
          <w:szCs w:val="28"/>
        </w:rPr>
        <w:t>）-灭1s</w:t>
      </w:r>
      <w:r>
        <w:rPr>
          <w:rFonts w:hint="eastAsia" w:ascii="宋体" w:hAnsi="宋体" w:cs="宋体"/>
          <w:sz w:val="28"/>
          <w:szCs w:val="28"/>
        </w:rPr>
        <w:t>的周期运行。然后由触摸屏输入工件直径(工件直径数值应在40cm-120cm)，再按下调试启动按钮SB2，电机M2正向运行8秒，变频器输出频率按照工件直径与频率对应关系确定（工件直径D&lt;60cm时，变频器输出f=50Hz；工件尺寸直径60cm≤D≤120cm时，变频器输出f=50-(D-60)/2），运行过程中按下调试停止按钮SB3，电机M2停止运行；再按下调试启动按钮SB2时，电机M2继续之前的状态运行直至电机运行时间到达。</w:t>
      </w:r>
    </w:p>
    <w:p>
      <w:pPr>
        <w:tabs>
          <w:tab w:val="left" w:pos="1080"/>
        </w:tabs>
        <w:spacing w:line="560" w:lineRule="exact"/>
        <w:ind w:firstLine="562" w:firstLineChars="200"/>
        <w:rPr>
          <w:rFonts w:ascii="宋体" w:hAnsi="宋体" w:cs="宋体"/>
          <w:b/>
          <w:bCs/>
          <w:sz w:val="28"/>
          <w:szCs w:val="28"/>
        </w:rPr>
      </w:pPr>
      <w:r>
        <w:rPr>
          <w:rFonts w:hint="eastAsia" w:ascii="宋体" w:hAnsi="宋体" w:cs="宋体"/>
          <w:b/>
          <w:bCs/>
          <w:sz w:val="28"/>
          <w:szCs w:val="28"/>
        </w:rPr>
        <w:t>喷涂泵电机运行频率应在触摸屏相应位置显示(保留一位小数)。</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（3）喷涂高度电机M3(伺服电机)调试过程</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触摸屏中选择电机M3调试时，指示灯HL1以</w:t>
      </w:r>
      <w:r>
        <w:rPr>
          <w:rFonts w:hint="eastAsia" w:ascii="宋体" w:hAnsi="宋体" w:cs="宋体"/>
          <w:b/>
          <w:sz w:val="28"/>
          <w:szCs w:val="28"/>
        </w:rPr>
        <w:t>闪烁3s（</w:t>
      </w:r>
      <w:r>
        <w:rPr>
          <w:rFonts w:hint="eastAsia" w:ascii="宋体" w:hAnsi="宋体" w:cs="宋体"/>
          <w:sz w:val="28"/>
          <w:szCs w:val="28"/>
        </w:rPr>
        <w:t>频率为1Hz</w:t>
      </w:r>
      <w:r>
        <w:rPr>
          <w:rFonts w:hint="eastAsia" w:ascii="宋体" w:hAnsi="宋体" w:cs="宋体"/>
          <w:b/>
          <w:sz w:val="28"/>
          <w:szCs w:val="28"/>
        </w:rPr>
        <w:t>）-灭1s</w:t>
      </w:r>
      <w:r>
        <w:rPr>
          <w:rFonts w:hint="eastAsia" w:ascii="宋体" w:hAnsi="宋体" w:cs="宋体"/>
          <w:sz w:val="28"/>
          <w:szCs w:val="28"/>
        </w:rPr>
        <w:t>的周期运行。首先将喷头位置手动调至SQ2与SQ3之间，然后在触摸屏上设置喷头的运行速度（设定范围为4.0-12.0mm/s，精确到小数点后一位），按下调试启动按钮SB2，电机M3自动回到初始位置SQ1，到达后由SQ1位置开始运行，运行过程如下：在SQ1位置等待2秒开始向SQ2运行，在SQ2位置停止2秒后运行至SQ3,在SQ3位置停止2秒后，返回SQ1，返回速度为设定运行速度的1.5倍；在动作过程任意时间按下停止按钮SB3，电机M3在当前位置停止运行；再按下启动按钮SB2后电机M3继续当前动作直至M3电机调试过程结束。</w:t>
      </w:r>
    </w:p>
    <w:p>
      <w:pPr>
        <w:tabs>
          <w:tab w:val="left" w:pos="1080"/>
        </w:tabs>
        <w:spacing w:line="560" w:lineRule="exact"/>
        <w:ind w:firstLine="562" w:firstLineChars="200"/>
        <w:rPr>
          <w:rFonts w:ascii="宋体" w:hAnsi="宋体" w:cs="宋体"/>
          <w:b/>
          <w:bCs/>
          <w:sz w:val="28"/>
          <w:szCs w:val="28"/>
        </w:rPr>
      </w:pPr>
      <w:r>
        <w:rPr>
          <w:rFonts w:hint="eastAsia" w:ascii="宋体" w:hAnsi="宋体" w:cs="宋体"/>
          <w:b/>
          <w:bCs/>
          <w:sz w:val="28"/>
          <w:szCs w:val="28"/>
        </w:rPr>
        <w:t>伺服电机运行速度应在触摸屏中显示（单位：mm/s）。</w:t>
      </w:r>
    </w:p>
    <w:p>
      <w:pPr>
        <w:tabs>
          <w:tab w:val="left" w:pos="1080"/>
        </w:tabs>
        <w:spacing w:line="560" w:lineRule="exact"/>
        <w:ind w:firstLine="560" w:firstLineChars="200"/>
        <w:rPr>
          <w:rFonts w:ascii="宋体" w:hAnsi="宋体" w:cs="宋体"/>
          <w:sz w:val="28"/>
          <w:szCs w:val="28"/>
        </w:rPr>
      </w:pPr>
      <w:r>
        <w:rPr>
          <w:rFonts w:ascii="宋体" w:hAnsi="宋体" w:cs="宋体"/>
          <w:sz w:val="28"/>
        </w:rPr>
        <w:pict>
          <v:group id="组合 8" o:spid="_x0000_s1074" o:spt="203" style="position:absolute;left:0pt;margin-left:29.25pt;margin-top:0.2pt;height:199.9pt;width:382.65pt;z-index:251671552;mso-width-relative:page;mso-height-relative:page;" coordorigin="4628,125104" coordsize="7216,4748203">
            <o:lock v:ext="edit"/>
            <v:shape id="图片 6" o:spid="_x0000_s1075" o:spt="75" type="#_x0000_t75" style="position:absolute;left:4628;top:125104;height:4749;width:7216;" filled="f" o:preferrelative="t" stroked="f" coordsize="21600,21600">
              <v:path/>
              <v:fill on="f" focussize="0,0"/>
              <v:stroke on="f" joinstyle="miter"/>
              <v:imagedata r:id="rId28" o:title=""/>
              <o:lock v:ext="edit" aspectratio="t"/>
            </v:shape>
            <v:shape id="文本框 7" o:spid="_x0000_s1076" o:spt="202" type="#_x0000_t202" style="position:absolute;left:6491;top:129340;height:367;width:911;" coordsize="21600,21600">
              <v:path/>
              <v:fill color2="#BBD5F0" focussize="0,0"/>
              <v:stroke joinstyle="miter"/>
              <v:imagedata o:title=""/>
              <o:lock v:ext="edit"/>
              <v:textbox inset="0mm,0mm,0mm,0mm">
                <w:txbxContent>
                  <w:p>
                    <w:pPr>
                      <w:rPr>
                        <w:szCs w:val="21"/>
                      </w:rPr>
                    </w:pPr>
                    <w:r>
                      <w:rPr>
                        <w:rFonts w:hint="eastAsia"/>
                        <w:szCs w:val="21"/>
                      </w:rPr>
                      <w:t>喷头位置</w:t>
                    </w:r>
                  </w:p>
                </w:txbxContent>
              </v:textbox>
            </v:shape>
          </v:group>
        </w:pict>
      </w:r>
    </w:p>
    <w:p>
      <w:pPr>
        <w:tabs>
          <w:tab w:val="left" w:pos="1080"/>
        </w:tabs>
        <w:spacing w:line="560" w:lineRule="exact"/>
        <w:ind w:firstLine="560" w:firstLineChars="200"/>
        <w:rPr>
          <w:rFonts w:ascii="宋体" w:hAnsi="宋体" w:cs="宋体"/>
          <w:sz w:val="28"/>
          <w:szCs w:val="28"/>
        </w:rPr>
      </w:pPr>
    </w:p>
    <w:p>
      <w:pPr>
        <w:tabs>
          <w:tab w:val="left" w:pos="1080"/>
        </w:tabs>
        <w:spacing w:line="560" w:lineRule="exact"/>
        <w:ind w:firstLine="560" w:firstLineChars="200"/>
        <w:rPr>
          <w:rFonts w:ascii="宋体" w:hAnsi="宋体" w:cs="宋体"/>
          <w:sz w:val="28"/>
          <w:szCs w:val="28"/>
        </w:rPr>
      </w:pPr>
    </w:p>
    <w:p>
      <w:pPr>
        <w:tabs>
          <w:tab w:val="left" w:pos="1080"/>
        </w:tabs>
        <w:spacing w:line="560" w:lineRule="exact"/>
        <w:ind w:firstLine="560" w:firstLineChars="200"/>
        <w:rPr>
          <w:rFonts w:ascii="宋体" w:hAnsi="宋体" w:cs="宋体"/>
          <w:sz w:val="28"/>
          <w:szCs w:val="28"/>
        </w:rPr>
      </w:pPr>
    </w:p>
    <w:p>
      <w:pPr>
        <w:tabs>
          <w:tab w:val="left" w:pos="1080"/>
        </w:tabs>
        <w:spacing w:line="560" w:lineRule="exact"/>
        <w:ind w:firstLine="560" w:firstLineChars="200"/>
        <w:rPr>
          <w:rFonts w:ascii="宋体" w:hAnsi="宋体" w:cs="宋体"/>
          <w:sz w:val="28"/>
          <w:szCs w:val="28"/>
        </w:rPr>
      </w:pPr>
    </w:p>
    <w:p>
      <w:pPr>
        <w:tabs>
          <w:tab w:val="left" w:pos="1080"/>
        </w:tabs>
        <w:spacing w:line="560" w:lineRule="exact"/>
        <w:ind w:firstLine="560" w:firstLineChars="200"/>
        <w:rPr>
          <w:rFonts w:ascii="宋体" w:hAnsi="宋体" w:cs="宋体"/>
          <w:sz w:val="28"/>
          <w:szCs w:val="28"/>
        </w:rPr>
      </w:pPr>
    </w:p>
    <w:p>
      <w:pPr>
        <w:tabs>
          <w:tab w:val="left" w:pos="1080"/>
        </w:tabs>
        <w:spacing w:line="560" w:lineRule="exact"/>
        <w:ind w:firstLine="560" w:firstLineChars="200"/>
        <w:rPr>
          <w:rFonts w:ascii="宋体" w:hAnsi="宋体" w:cs="宋体"/>
          <w:sz w:val="28"/>
          <w:szCs w:val="28"/>
        </w:rPr>
      </w:pPr>
    </w:p>
    <w:p>
      <w:pPr>
        <w:tabs>
          <w:tab w:val="left" w:pos="1080"/>
        </w:tabs>
        <w:spacing w:line="560" w:lineRule="exact"/>
        <w:ind w:firstLine="560" w:firstLineChars="200"/>
        <w:rPr>
          <w:rFonts w:ascii="宋体" w:hAnsi="宋体" w:cs="宋体"/>
          <w:sz w:val="28"/>
          <w:szCs w:val="28"/>
        </w:rPr>
      </w:pPr>
    </w:p>
    <w:p>
      <w:pPr>
        <w:jc w:val="center"/>
        <w:rPr>
          <w:rFonts w:ascii="宋体" w:hAnsi="宋体" w:cs="宋体"/>
          <w:sz w:val="24"/>
        </w:rPr>
      </w:pPr>
      <w:r>
        <w:rPr>
          <w:rFonts w:hint="eastAsia" w:ascii="宋体" w:hAnsi="宋体" w:cs="宋体"/>
          <w:sz w:val="24"/>
        </w:rPr>
        <w:t>图7  喷涂高度电机M3结构示意图</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（4）转盘电机M4(步进电机)调试过程</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触摸屏中选择电机M4调试时，指示灯HL1以</w:t>
      </w:r>
      <w:r>
        <w:rPr>
          <w:rFonts w:hint="eastAsia" w:ascii="宋体" w:hAnsi="宋体" w:cs="宋体"/>
          <w:b/>
          <w:sz w:val="28"/>
          <w:szCs w:val="28"/>
        </w:rPr>
        <w:t>闪烁4s（</w:t>
      </w:r>
      <w:r>
        <w:rPr>
          <w:rFonts w:hint="eastAsia" w:ascii="宋体" w:hAnsi="宋体" w:cs="宋体"/>
          <w:sz w:val="28"/>
          <w:szCs w:val="28"/>
        </w:rPr>
        <w:t>频率为1Hz</w:t>
      </w:r>
      <w:r>
        <w:rPr>
          <w:rFonts w:hint="eastAsia" w:ascii="宋体" w:hAnsi="宋体" w:cs="宋体"/>
          <w:b/>
          <w:sz w:val="28"/>
          <w:szCs w:val="28"/>
        </w:rPr>
        <w:t>）-灭1s</w:t>
      </w:r>
      <w:r>
        <w:rPr>
          <w:rFonts w:hint="eastAsia" w:ascii="宋体" w:hAnsi="宋体" w:cs="宋体"/>
          <w:sz w:val="28"/>
          <w:szCs w:val="28"/>
        </w:rPr>
        <w:t>的周期运行。首先在触摸屏上设置转台的旋转速度（设定范围为6.0~12.0度/s，精确到小数点后一位），按下调试启动按钮SB2，转台正向运行30度，停止2秒；再正向运行60度，停止2秒；然后反向运行90度回到起始位置</w:t>
      </w:r>
      <w:r>
        <w:rPr>
          <w:rFonts w:hint="eastAsia" w:cs="仿宋"/>
          <w:sz w:val="28"/>
          <w:szCs w:val="28"/>
        </w:rPr>
        <w:t>，</w:t>
      </w:r>
      <w:r>
        <w:rPr>
          <w:rFonts w:hint="eastAsia" w:ascii="宋体" w:hAnsi="宋体" w:cs="宋体"/>
          <w:sz w:val="28"/>
          <w:szCs w:val="28"/>
        </w:rPr>
        <w:t>电机M4调试结束，此过程中</w:t>
      </w:r>
      <w:r>
        <w:rPr>
          <w:rFonts w:hint="eastAsia" w:cs="仿宋"/>
          <w:sz w:val="28"/>
          <w:szCs w:val="28"/>
        </w:rPr>
        <w:t>转盘电机M4按照设定的速度沿要求方向旋转相应角度（需要考虑减速比36:1）</w:t>
      </w:r>
      <w:r>
        <w:rPr>
          <w:rFonts w:hint="eastAsia" w:ascii="宋体" w:hAnsi="宋体" w:cs="宋体"/>
          <w:sz w:val="28"/>
          <w:szCs w:val="28"/>
        </w:rPr>
        <w:t>。</w:t>
      </w:r>
    </w:p>
    <w:p>
      <w:pPr>
        <w:tabs>
          <w:tab w:val="left" w:pos="1080"/>
        </w:tabs>
        <w:spacing w:line="560" w:lineRule="exact"/>
        <w:ind w:firstLine="562" w:firstLineChars="200"/>
        <w:rPr>
          <w:rFonts w:ascii="宋体" w:hAnsi="宋体" w:cs="宋体"/>
          <w:sz w:val="28"/>
          <w:szCs w:val="28"/>
        </w:rPr>
      </w:pPr>
      <w:r>
        <w:rPr>
          <w:rFonts w:hint="eastAsia" w:ascii="宋体" w:hAnsi="宋体" w:cs="宋体"/>
          <w:b/>
          <w:bCs/>
          <w:sz w:val="28"/>
          <w:szCs w:val="28"/>
        </w:rPr>
        <w:t>转台实时位置应在触摸屏中显示（单位：度）。</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（5）排风扇电机（双速电机）M5调试过程</w:t>
      </w:r>
    </w:p>
    <w:p>
      <w:pPr>
        <w:tabs>
          <w:tab w:val="left" w:pos="1080"/>
        </w:tabs>
        <w:spacing w:line="560" w:lineRule="exact"/>
        <w:ind w:firstLine="560" w:firstLineChars="200"/>
        <w:rPr>
          <w:rFonts w:ascii="宋体" w:hAnsi="宋体" w:cs="宋体"/>
          <w:sz w:val="28"/>
        </w:rPr>
      </w:pPr>
      <w:r>
        <w:rPr>
          <w:rFonts w:hint="eastAsia" w:ascii="宋体" w:hAnsi="宋体" w:cs="宋体"/>
          <w:sz w:val="28"/>
          <w:szCs w:val="28"/>
        </w:rPr>
        <w:t>触摸屏中选择电机M5调试时，指示灯HL1以</w:t>
      </w:r>
      <w:r>
        <w:rPr>
          <w:rFonts w:hint="eastAsia" w:ascii="宋体" w:hAnsi="宋体" w:cs="宋体"/>
          <w:b/>
          <w:sz w:val="28"/>
          <w:szCs w:val="28"/>
        </w:rPr>
        <w:t>闪烁5s（</w:t>
      </w:r>
      <w:r>
        <w:rPr>
          <w:rFonts w:hint="eastAsia" w:ascii="宋体" w:hAnsi="宋体" w:cs="宋体"/>
          <w:sz w:val="28"/>
          <w:szCs w:val="28"/>
        </w:rPr>
        <w:t>频率为1Hz</w:t>
      </w:r>
      <w:r>
        <w:rPr>
          <w:rFonts w:hint="eastAsia" w:ascii="宋体" w:hAnsi="宋体" w:cs="宋体"/>
          <w:b/>
          <w:sz w:val="28"/>
          <w:szCs w:val="28"/>
        </w:rPr>
        <w:t>）-灭1s</w:t>
      </w:r>
      <w:r>
        <w:rPr>
          <w:rFonts w:hint="eastAsia" w:ascii="宋体" w:hAnsi="宋体" w:cs="宋体"/>
          <w:sz w:val="28"/>
          <w:szCs w:val="28"/>
        </w:rPr>
        <w:t>的周期运行。按下启动按钮SB2，M5电机以低速运行3秒后转换到高速运行，高速状态运行5秒后停止，电机M5调试结束。</w:t>
      </w:r>
    </w:p>
    <w:p>
      <w:pPr>
        <w:tabs>
          <w:tab w:val="left" w:pos="1080"/>
        </w:tabs>
        <w:spacing w:line="560" w:lineRule="exact"/>
        <w:ind w:firstLine="560" w:firstLineChars="200"/>
        <w:rPr>
          <w:rFonts w:ascii="宋体" w:hAnsi="宋体" w:cs="宋体"/>
          <w:b/>
          <w:sz w:val="28"/>
          <w:szCs w:val="28"/>
        </w:rPr>
      </w:pPr>
      <w:r>
        <w:rPr>
          <w:rFonts w:hint="eastAsia" w:ascii="宋体" w:hAnsi="宋体" w:cs="宋体"/>
          <w:sz w:val="28"/>
          <w:szCs w:val="28"/>
        </w:rPr>
        <w:t>所有电机（M1～M5）调试完成后（此时触摸屏中“自动模式”按钮由红变绿），然后按下“自动模式”按钮，将进入自动涂装模式。在未进入自动涂装模式前，单台电机可以反复调试。</w:t>
      </w:r>
    </w:p>
    <w:p>
      <w:pPr>
        <w:tabs>
          <w:tab w:val="left" w:pos="1080"/>
        </w:tabs>
        <w:spacing w:line="560" w:lineRule="exact"/>
        <w:ind w:firstLine="643" w:firstLineChars="200"/>
        <w:rPr>
          <w:rFonts w:ascii="宋体" w:hAnsi="宋体" w:cs="宋体"/>
          <w:b/>
          <w:sz w:val="32"/>
          <w:szCs w:val="32"/>
        </w:rPr>
      </w:pPr>
      <w:r>
        <w:rPr>
          <w:rFonts w:hint="eastAsia" w:ascii="宋体" w:hAnsi="宋体" w:cs="宋体"/>
          <w:b/>
          <w:sz w:val="32"/>
          <w:szCs w:val="32"/>
        </w:rPr>
        <w:t>3、自动涂装模式</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进入自动涂装模式后，触摸屏进入自动涂装运行模式画面，可参考图8进行设计。画面要求：</w:t>
      </w:r>
    </w:p>
    <w:p>
      <w:pPr>
        <w:numPr>
          <w:ilvl w:val="0"/>
          <w:numId w:val="13"/>
        </w:num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触摸屏画面有</w:t>
      </w:r>
      <w:r>
        <w:rPr>
          <w:rFonts w:hint="eastAsia" w:ascii="宋体" w:hAnsi="宋体" w:cs="宋体"/>
          <w:b/>
          <w:bCs/>
          <w:sz w:val="28"/>
          <w:szCs w:val="28"/>
        </w:rPr>
        <w:t>主界面</w:t>
      </w:r>
      <w:r>
        <w:rPr>
          <w:rFonts w:hint="eastAsia" w:ascii="宋体" w:hAnsi="宋体" w:cs="宋体"/>
          <w:sz w:val="28"/>
          <w:szCs w:val="28"/>
        </w:rPr>
        <w:t>和</w:t>
      </w:r>
      <w:r>
        <w:rPr>
          <w:rFonts w:hint="eastAsia" w:ascii="宋体" w:hAnsi="宋体" w:cs="宋体"/>
          <w:b/>
          <w:bCs/>
          <w:sz w:val="28"/>
          <w:szCs w:val="28"/>
        </w:rPr>
        <w:t>复位</w:t>
      </w:r>
      <w:r>
        <w:rPr>
          <w:rFonts w:hint="eastAsia" w:ascii="宋体" w:hAnsi="宋体" w:cs="宋体"/>
          <w:sz w:val="28"/>
          <w:szCs w:val="28"/>
        </w:rPr>
        <w:t>按钮；</w:t>
      </w:r>
    </w:p>
    <w:p>
      <w:pPr>
        <w:numPr>
          <w:ilvl w:val="0"/>
          <w:numId w:val="13"/>
        </w:numPr>
        <w:tabs>
          <w:tab w:val="left" w:pos="1080"/>
        </w:tabs>
        <w:spacing w:line="560" w:lineRule="exact"/>
        <w:ind w:firstLine="562" w:firstLineChars="200"/>
        <w:rPr>
          <w:rFonts w:ascii="宋体" w:hAnsi="宋体" w:cs="宋体"/>
          <w:sz w:val="28"/>
          <w:szCs w:val="28"/>
        </w:rPr>
      </w:pPr>
      <w:r>
        <w:rPr>
          <w:rFonts w:hint="eastAsia" w:ascii="宋体" w:hAnsi="宋体" w:cs="宋体"/>
          <w:b/>
          <w:bCs/>
          <w:sz w:val="28"/>
          <w:szCs w:val="28"/>
        </w:rPr>
        <w:t>工件设置区</w:t>
      </w:r>
      <w:r>
        <w:rPr>
          <w:rFonts w:hint="eastAsia" w:ascii="宋体" w:hAnsi="宋体" w:cs="宋体"/>
          <w:sz w:val="28"/>
          <w:szCs w:val="28"/>
        </w:rPr>
        <w:t>，选择工件类型，设置工件直径以及喷涂带区域起始位置以及结束位置；</w:t>
      </w:r>
    </w:p>
    <w:p>
      <w:pPr>
        <w:numPr>
          <w:ilvl w:val="0"/>
          <w:numId w:val="13"/>
        </w:numPr>
        <w:tabs>
          <w:tab w:val="left" w:pos="1080"/>
        </w:tabs>
        <w:spacing w:line="560" w:lineRule="exact"/>
        <w:ind w:firstLine="562" w:firstLineChars="200"/>
        <w:rPr>
          <w:rFonts w:ascii="宋体" w:hAnsi="宋体" w:cs="宋体"/>
          <w:sz w:val="28"/>
          <w:szCs w:val="28"/>
        </w:rPr>
      </w:pPr>
      <w:r>
        <w:rPr>
          <w:rFonts w:hint="eastAsia" w:ascii="宋体" w:hAnsi="宋体" w:cs="宋体"/>
          <w:b/>
          <w:bCs/>
          <w:sz w:val="28"/>
          <w:szCs w:val="28"/>
        </w:rPr>
        <w:t>参数显示区</w:t>
      </w:r>
      <w:r>
        <w:rPr>
          <w:rFonts w:hint="eastAsia" w:ascii="宋体" w:hAnsi="宋体" w:cs="宋体"/>
          <w:sz w:val="28"/>
          <w:szCs w:val="28"/>
        </w:rPr>
        <w:t>，显示混料罐混合涂料实时重量；转盘的实时位置；喷涂泵电机运行频率；喷涂高度电机速度；</w:t>
      </w:r>
    </w:p>
    <w:p>
      <w:pPr>
        <w:numPr>
          <w:ilvl w:val="0"/>
          <w:numId w:val="13"/>
        </w:numPr>
        <w:tabs>
          <w:tab w:val="left" w:pos="1080"/>
        </w:tabs>
        <w:spacing w:line="560" w:lineRule="exact"/>
        <w:ind w:firstLine="562" w:firstLineChars="200"/>
        <w:rPr>
          <w:rFonts w:ascii="宋体" w:hAnsi="宋体" w:cs="宋体"/>
          <w:sz w:val="28"/>
          <w:szCs w:val="28"/>
        </w:rPr>
      </w:pPr>
      <w:r>
        <w:rPr>
          <w:rFonts w:hint="eastAsia" w:ascii="宋体" w:hAnsi="宋体" w:cs="宋体"/>
          <w:b/>
          <w:bCs/>
          <w:sz w:val="28"/>
          <w:szCs w:val="28"/>
        </w:rPr>
        <w:t>喷头位置显示区，</w:t>
      </w:r>
      <w:r>
        <w:rPr>
          <w:rFonts w:hint="eastAsia" w:ascii="宋体" w:hAnsi="宋体" w:cs="宋体"/>
          <w:sz w:val="28"/>
          <w:szCs w:val="28"/>
        </w:rPr>
        <w:t>实时显示喷头的位置情况；</w:t>
      </w:r>
    </w:p>
    <w:p>
      <w:pPr>
        <w:numPr>
          <w:ilvl w:val="0"/>
          <w:numId w:val="13"/>
        </w:numPr>
        <w:tabs>
          <w:tab w:val="left" w:pos="1080"/>
        </w:tabs>
        <w:spacing w:line="560" w:lineRule="exact"/>
        <w:ind w:firstLine="562" w:firstLineChars="200"/>
        <w:rPr>
          <w:rFonts w:ascii="宋体" w:hAnsi="宋体" w:cs="宋体"/>
          <w:sz w:val="28"/>
          <w:szCs w:val="28"/>
        </w:rPr>
      </w:pPr>
      <w:r>
        <w:rPr>
          <w:rFonts w:hint="eastAsia" w:ascii="宋体" w:hAnsi="宋体" w:cs="宋体"/>
          <w:b/>
          <w:bCs/>
          <w:sz w:val="28"/>
          <w:szCs w:val="28"/>
        </w:rPr>
        <w:t>储存罐显示区</w:t>
      </w:r>
      <w:r>
        <w:rPr>
          <w:rFonts w:hint="eastAsia" w:ascii="宋体" w:hAnsi="宋体" w:cs="宋体"/>
          <w:sz w:val="28"/>
          <w:szCs w:val="28"/>
        </w:rPr>
        <w:t>，实时显示储存罐中液位状态变化情况；</w:t>
      </w:r>
    </w:p>
    <w:p>
      <w:pPr>
        <w:numPr>
          <w:ilvl w:val="0"/>
          <w:numId w:val="13"/>
        </w:numPr>
        <w:tabs>
          <w:tab w:val="left" w:pos="1080"/>
        </w:tabs>
        <w:spacing w:line="560" w:lineRule="exact"/>
        <w:ind w:firstLine="562" w:firstLineChars="200"/>
        <w:rPr>
          <w:rFonts w:ascii="宋体" w:hAnsi="宋体" w:cs="宋体"/>
          <w:sz w:val="28"/>
          <w:szCs w:val="28"/>
        </w:rPr>
      </w:pPr>
      <w:r>
        <w:rPr>
          <w:rFonts w:hint="eastAsia" w:ascii="宋体" w:hAnsi="宋体" w:cs="宋体"/>
          <w:b/>
          <w:bCs/>
          <w:sz w:val="28"/>
          <w:szCs w:val="28"/>
        </w:rPr>
        <w:t>状态显示区</w:t>
      </w:r>
      <w:r>
        <w:rPr>
          <w:rFonts w:hint="eastAsia" w:ascii="宋体" w:hAnsi="宋体" w:cs="宋体"/>
          <w:sz w:val="28"/>
          <w:szCs w:val="28"/>
        </w:rPr>
        <w:t>，显示阀门和各个电机的动作运行状态。</w:t>
      </w:r>
    </w:p>
    <w:p>
      <w:pPr>
        <w:jc w:val="center"/>
        <w:rPr>
          <w:rFonts w:ascii="宋体" w:hAnsi="宋体" w:cs="宋体"/>
        </w:rPr>
      </w:pPr>
      <w:r>
        <w:drawing>
          <wp:inline distT="0" distB="0" distL="0" distR="0">
            <wp:extent cx="5276850" cy="3162300"/>
            <wp:effectExtent l="19050" t="0" r="0" b="0"/>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noChangeArrowheads="1"/>
                    </pic:cNvPicPr>
                  </pic:nvPicPr>
                  <pic:blipFill>
                    <a:blip r:embed="rId29" cstate="print"/>
                    <a:srcRect/>
                    <a:stretch>
                      <a:fillRect/>
                    </a:stretch>
                  </pic:blipFill>
                  <pic:spPr>
                    <a:xfrm>
                      <a:off x="0" y="0"/>
                      <a:ext cx="5276850" cy="3162300"/>
                    </a:xfrm>
                    <a:prstGeom prst="rect">
                      <a:avLst/>
                    </a:prstGeom>
                    <a:noFill/>
                    <a:ln w="9525">
                      <a:noFill/>
                      <a:miter lim="800000"/>
                      <a:headEnd/>
                      <a:tailEnd/>
                    </a:ln>
                  </pic:spPr>
                </pic:pic>
              </a:graphicData>
            </a:graphic>
          </wp:inline>
        </w:drawing>
      </w:r>
    </w:p>
    <w:p>
      <w:pPr>
        <w:jc w:val="center"/>
        <w:rPr>
          <w:rFonts w:ascii="宋体" w:hAnsi="宋体" w:cs="宋体"/>
          <w:sz w:val="24"/>
        </w:rPr>
      </w:pPr>
      <w:r>
        <w:rPr>
          <w:rFonts w:hint="eastAsia" w:ascii="宋体" w:hAnsi="宋体" w:cs="宋体"/>
          <w:sz w:val="24"/>
        </w:rPr>
        <w:t>图8  自动涂装模式参考画面</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自动涂装工艺流程与控制要求:</w:t>
      </w:r>
    </w:p>
    <w:p>
      <w:pPr>
        <w:numPr>
          <w:ilvl w:val="0"/>
          <w:numId w:val="14"/>
        </w:num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系统初始化状态：</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进入自动涂装模式后，按下复位按钮，喷头高度电机M3自动回到初始位置SQ1，触摸屏转盘实时角度数值清零，储存罐中液位为零，混料罐中涂料重量为零，各电动机处于停止状态，完成以上动作后HL2以0.5Hz的频率闪烁表示系统已满足自动运行的初始条件。</w:t>
      </w:r>
    </w:p>
    <w:p>
      <w:pPr>
        <w:numPr>
          <w:ilvl w:val="0"/>
          <w:numId w:val="14"/>
        </w:num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运行操作：</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HL2以0.5Hz的频率闪烁的状态下进行工件选择(从下拉菜单中选择甲类或乙类工件，工件选择菜单初始状态为空白状态)，输入工件直径(工件直径数值应在40cm-120cm之间)和喷涂带区域起始位置（起始位置应在0°-45°之间，结束位置应在90°-360°之间）。按下开始按钮SB4，系统开始自动运行，自动运行过程中运行指示灯HL2长亮。</w:t>
      </w:r>
    </w:p>
    <w:p>
      <w:pPr>
        <w:numPr>
          <w:ilvl w:val="0"/>
          <w:numId w:val="14"/>
        </w:num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进料及混料流程：</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当混料罐中混合涂料剩余重量小于0.2Kg时，供料阀关闭，进料阀A和进料阀B依次打开，AB两种涂料开始依次进入混料罐：涂料进料量以混料罐底部安装的重量传感器感应结果进行控制。甲类工件所需涂料中B涂料重量为A涂料重量的1.5倍；乙类工件所需涂料中B涂料重量为A涂料的0.5倍。涂料A进料开始后，当重量传感器感应重量达到10Kg时进料阀A关闭，涂料A停止进料；同时进料阀B打开，涂料B开始进料，当重量传感器感应罐内涂料总重量重量达到要求(根据配方重量关系)时进料阀B关闭，涂料B停止进料。然后搅拌电机M1开始运转，搅拌时间根据所选工件类型决定（选择甲类工件时搅拌10s，选择乙类工件时搅拌6s，）。搅拌完成后，M1停止运行。当进料阀A开启之后，直至混料电机动作完成的过程中，供料阀保持关闭状态。</w:t>
      </w:r>
    </w:p>
    <w:p>
      <w:pPr>
        <w:tabs>
          <w:tab w:val="left" w:pos="1080"/>
        </w:tabs>
        <w:spacing w:line="560" w:lineRule="exact"/>
        <w:ind w:firstLine="562" w:firstLineChars="200"/>
        <w:rPr>
          <w:rFonts w:ascii="宋体" w:hAnsi="宋体" w:cs="宋体"/>
          <w:b/>
          <w:bCs/>
          <w:sz w:val="28"/>
          <w:szCs w:val="28"/>
        </w:rPr>
      </w:pPr>
      <w:r>
        <w:rPr>
          <w:rFonts w:hint="eastAsia" w:ascii="宋体" w:hAnsi="宋体" w:cs="宋体"/>
          <w:b/>
          <w:bCs/>
          <w:sz w:val="28"/>
          <w:szCs w:val="28"/>
        </w:rPr>
        <w:t>此过程中混料罐涂料重量、进料阀A、进料阀B、供料阀、排料阀以及搅拌电机动作状态应在触摸屏中实时显示。</w:t>
      </w:r>
    </w:p>
    <w:p>
      <w:pPr>
        <w:numPr>
          <w:ilvl w:val="0"/>
          <w:numId w:val="14"/>
        </w:num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供料及储料流程：</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当储料罐中所储存的混合涂料液位低于高液位（0.8米），且混料罐中混料电机完成混料操作的状态下，供料阀打开，涂料由混料罐进入储料罐；当混合涂料液位高于高液位时，供料阀关闭，混合涂料停止进入储料罐；当储料罐中混合涂料的液位高于低液位（0.2米）时，自动喷涂流程开始运行，当低于低液位时，自动涂装流程停止运行，待混合涂料液位高于低液位后，各电机自动恢复停止前的状态继续运行。</w:t>
      </w:r>
    </w:p>
    <w:p>
      <w:pPr>
        <w:tabs>
          <w:tab w:val="left" w:pos="1080"/>
        </w:tabs>
        <w:spacing w:line="560" w:lineRule="exact"/>
        <w:ind w:firstLine="562" w:firstLineChars="200"/>
        <w:rPr>
          <w:rFonts w:ascii="宋体" w:hAnsi="宋体" w:cs="宋体"/>
          <w:sz w:val="28"/>
          <w:szCs w:val="28"/>
        </w:rPr>
      </w:pPr>
      <w:r>
        <w:rPr>
          <w:rFonts w:hint="eastAsia" w:ascii="宋体" w:hAnsi="宋体" w:cs="宋体"/>
          <w:b/>
          <w:bCs/>
          <w:sz w:val="28"/>
          <w:szCs w:val="28"/>
        </w:rPr>
        <w:t>此过程中储料罐液位、进料阀、喷涂泵电机、喷涂高度控制电机以及转盘电机运行状态应在触摸屏中实时显示。</w:t>
      </w:r>
    </w:p>
    <w:p>
      <w:pPr>
        <w:numPr>
          <w:ilvl w:val="0"/>
          <w:numId w:val="14"/>
        </w:num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自动喷涂流程：</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涂装过程为：</w:t>
      </w:r>
      <w:r>
        <w:rPr>
          <w:rFonts w:hint="eastAsia" w:ascii="宋体" w:hAnsi="宋体" w:cs="宋体"/>
          <w:b/>
          <w:sz w:val="28"/>
          <w:szCs w:val="28"/>
        </w:rPr>
        <w:t>a、带状涂装，</w:t>
      </w:r>
      <w:r>
        <w:rPr>
          <w:rFonts w:hint="eastAsia" w:ascii="宋体" w:hAnsi="宋体" w:cs="宋体"/>
          <w:sz w:val="28"/>
          <w:szCs w:val="28"/>
        </w:rPr>
        <w:t>涂装高度为SQ2所确定的位置，带状涂装起始位置及涂装区域(工件固定在旋转台，转台带动工件旋转)由HMI输入(起始位置及结束位置均由所输入的角度值确定，起始位置范围为0°</w:t>
      </w:r>
      <w:r>
        <w:rPr>
          <w:rFonts w:hint="eastAsia" w:ascii="Arial" w:hAnsi="Arial" w:cs="Arial"/>
          <w:bCs/>
          <w:sz w:val="28"/>
          <w:szCs w:val="28"/>
        </w:rPr>
        <w:t>~</w:t>
      </w:r>
      <w:r>
        <w:rPr>
          <w:rFonts w:hint="eastAsia" w:ascii="宋体" w:hAnsi="宋体" w:cs="宋体"/>
          <w:sz w:val="28"/>
          <w:szCs w:val="28"/>
        </w:rPr>
        <w:t>45°；结束位置为90°</w:t>
      </w:r>
      <w:r>
        <w:rPr>
          <w:rFonts w:hint="eastAsia" w:ascii="Arial" w:hAnsi="Arial" w:cs="Arial"/>
          <w:bCs/>
          <w:sz w:val="28"/>
          <w:szCs w:val="28"/>
        </w:rPr>
        <w:t>~</w:t>
      </w:r>
      <w:r>
        <w:rPr>
          <w:rFonts w:hint="eastAsia" w:ascii="宋体" w:hAnsi="宋体" w:cs="宋体"/>
          <w:sz w:val="28"/>
          <w:szCs w:val="28"/>
        </w:rPr>
        <w:t>360°，输入值精确到个位)。首先，喷涂高度控制电机M3带动喷头由初始位置SQ1移动到SQ2，电机运行速度为10mm/s；然后转盘电机M4旋转至喷涂起始位置(由HMI输入数值决定，旋转速度为10度/s)；喷涂泵电机M2开始运行，同时转盘电机M4继续旋转至喷涂结束位置(由HMI输入数值决定)后停止,转台旋转速度为10度/s；到达结束位置后，喷涂泵电机M2停止运行；完成带状涂装任务后，高度控制电机M3带动喷头自动运行至SQ3位置，转盘电机M4自动运行至180°位置。</w:t>
      </w:r>
    </w:p>
    <w:p>
      <w:pPr>
        <w:tabs>
          <w:tab w:val="left" w:pos="1080"/>
        </w:tabs>
        <w:spacing w:line="560" w:lineRule="exact"/>
        <w:ind w:firstLine="562" w:firstLineChars="200"/>
        <w:rPr>
          <w:rFonts w:ascii="宋体" w:hAnsi="宋体" w:cs="宋体"/>
          <w:sz w:val="28"/>
          <w:szCs w:val="28"/>
        </w:rPr>
      </w:pPr>
      <w:r>
        <w:rPr>
          <w:rFonts w:hint="eastAsia" w:ascii="宋体" w:hAnsi="宋体" w:cs="宋体"/>
          <w:b/>
          <w:sz w:val="28"/>
          <w:szCs w:val="28"/>
        </w:rPr>
        <w:t>b、螺旋状涂装，</w:t>
      </w:r>
      <w:r>
        <w:rPr>
          <w:rFonts w:hint="eastAsia" w:ascii="宋体" w:hAnsi="宋体" w:cs="宋体"/>
          <w:sz w:val="28"/>
          <w:szCs w:val="28"/>
        </w:rPr>
        <w:t>高度控制电机M3运行至SQ3位置，转盘电机M4运行到180°位置等待5秒后，高度控制电机M3与转盘电机M4同时开始运行，喷涂泵电机M2也开始持续运行，高度控制电机M3由SQ3运行至SQ1，转盘电机M4正向旋转360度，运行周期为20秒，高度控制电机M3与转盘电机M4应同步运行完成（高度控制电机M3与转盘电机M4同时开始运行，且同时到达结束位置），同时M2停止运行；至此，螺旋状涂装过程结束。完成螺旋状涂装任务后，喷头保持在SQ1位置，转台自动运行至0°位置。</w:t>
      </w:r>
    </w:p>
    <w:p>
      <w:pPr>
        <w:tabs>
          <w:tab w:val="left" w:pos="1080"/>
        </w:tabs>
        <w:spacing w:line="560" w:lineRule="exact"/>
        <w:rPr>
          <w:rFonts w:ascii="宋体" w:hAnsi="宋体" w:cs="宋体"/>
          <w:sz w:val="28"/>
          <w:szCs w:val="28"/>
        </w:rPr>
      </w:pPr>
      <w:r>
        <w:rPr>
          <w:rFonts w:hint="eastAsia" w:ascii="宋体" w:hAnsi="宋体" w:cs="宋体"/>
          <w:b/>
          <w:bCs/>
          <w:sz w:val="28"/>
          <w:szCs w:val="28"/>
        </w:rPr>
        <w:t>此过程中喷头高度位置、转台实时位置、喷涂泵电机运行频率、喷涂高度电机速度、喷涂泵电机、喷涂高度电机及转盘电机应在触摸屏中实时显示。</w:t>
      </w:r>
    </w:p>
    <w:p>
      <w:pPr>
        <w:tabs>
          <w:tab w:val="left" w:pos="1080"/>
        </w:tabs>
        <w:spacing w:line="560" w:lineRule="exact"/>
        <w:ind w:firstLine="560"/>
        <w:rPr>
          <w:rFonts w:ascii="宋体" w:hAnsi="宋体" w:cs="宋体"/>
          <w:sz w:val="28"/>
          <w:szCs w:val="28"/>
        </w:rPr>
      </w:pPr>
      <w:r>
        <w:rPr>
          <w:rFonts w:hint="eastAsia" w:ascii="宋体" w:hAnsi="宋体" w:cs="宋体"/>
          <w:sz w:val="28"/>
          <w:szCs w:val="28"/>
        </w:rPr>
        <w:t>（6）排风及排料流程：</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为避免排风气流对涂装质量产生影响，在喷涂泵电机M2工作时，排风电机M5处于低速运行状态；喷涂泵电机M2停止工作时排风电机M5切换至高速运行状态，全部涂装过程完成后排风扇电机M5继续保持高速运行10s后停止。</w:t>
      </w:r>
    </w:p>
    <w:p>
      <w:p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同时为防止涂装室因积液过多造成工件质量下降，排水阀在自动运行状态下动作，动作要求如下：当自动喷涂过程开始时排水阀启动，全部涂装过程完成后继续保持开启状态10s后关闭。</w:t>
      </w:r>
    </w:p>
    <w:p>
      <w:pPr>
        <w:tabs>
          <w:tab w:val="left" w:pos="1080"/>
        </w:tabs>
        <w:spacing w:line="560" w:lineRule="exact"/>
        <w:ind w:firstLine="560"/>
        <w:rPr>
          <w:rFonts w:ascii="宋体" w:hAnsi="宋体" w:cs="宋体"/>
          <w:sz w:val="28"/>
          <w:szCs w:val="28"/>
        </w:rPr>
      </w:pPr>
      <w:r>
        <w:rPr>
          <w:rFonts w:hint="eastAsia" w:ascii="宋体" w:hAnsi="宋体" w:cs="宋体"/>
          <w:b/>
          <w:bCs/>
          <w:sz w:val="28"/>
          <w:szCs w:val="28"/>
        </w:rPr>
        <w:t>此过程中排风电机以及排水阀状态应在触摸屏中实时显示。</w:t>
      </w:r>
    </w:p>
    <w:p>
      <w:pPr>
        <w:tabs>
          <w:tab w:val="left" w:pos="1080"/>
        </w:tabs>
        <w:spacing w:line="560" w:lineRule="exact"/>
        <w:ind w:firstLine="560"/>
        <w:rPr>
          <w:rFonts w:ascii="宋体" w:hAnsi="宋体" w:cs="宋体"/>
          <w:sz w:val="28"/>
          <w:szCs w:val="28"/>
        </w:rPr>
      </w:pPr>
      <w:r>
        <w:rPr>
          <w:rFonts w:hint="eastAsia" w:ascii="宋体" w:hAnsi="宋体" w:cs="宋体"/>
          <w:sz w:val="28"/>
          <w:szCs w:val="28"/>
        </w:rPr>
        <w:t>（7）停止操作</w:t>
      </w:r>
    </w:p>
    <w:p>
      <w:pPr>
        <w:numPr>
          <w:ilvl w:val="0"/>
          <w:numId w:val="15"/>
        </w:num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系统自动运行过程中，按下停止按钮SB5，系统完成当前涂装动作后停止运行，HL2以0.5Hz的频率闪烁。当停止后再次启动运行时，HL2长亮，系统保持上次运行的记录。</w:t>
      </w:r>
    </w:p>
    <w:p>
      <w:pPr>
        <w:numPr>
          <w:ilvl w:val="0"/>
          <w:numId w:val="15"/>
        </w:numPr>
        <w:tabs>
          <w:tab w:val="left" w:pos="1080"/>
        </w:tabs>
        <w:spacing w:line="560" w:lineRule="exact"/>
        <w:ind w:firstLine="560" w:firstLineChars="200"/>
        <w:rPr>
          <w:rFonts w:ascii="宋体" w:hAnsi="宋体" w:cs="宋体"/>
          <w:sz w:val="28"/>
          <w:szCs w:val="28"/>
        </w:rPr>
      </w:pPr>
      <w:r>
        <w:rPr>
          <w:rFonts w:hint="eastAsia" w:ascii="宋体" w:hAnsi="宋体" w:cs="宋体"/>
          <w:sz w:val="28"/>
          <w:szCs w:val="28"/>
        </w:rPr>
        <w:t xml:space="preserve">系统自动运行过程中，发生紧急事件旋转急停按钮时(SA1断开)，系统立即停止，HL2以2Hz的频率闪烁；急停恢复后(SA1闭合)，按下触摸屏中的复位按钮，触摸屏工件设置区域所有设定参数清零，所有阀门以及电机恢复到初始状态；将所有参数重新设定后系统从初始状态重新开始运行。 </w:t>
      </w:r>
    </w:p>
    <w:p>
      <w:pPr>
        <w:spacing w:line="560" w:lineRule="exact"/>
        <w:ind w:left="181" w:leftChars="86" w:firstLine="422" w:firstLineChars="150"/>
        <w:rPr>
          <w:rFonts w:ascii="宋体" w:hAnsi="宋体" w:cs="宋体"/>
          <w:b/>
          <w:sz w:val="28"/>
          <w:szCs w:val="28"/>
        </w:rPr>
      </w:pPr>
      <w:r>
        <w:rPr>
          <w:rFonts w:hint="eastAsia" w:ascii="宋体" w:hAnsi="宋体" w:cs="宋体"/>
          <w:b/>
          <w:sz w:val="28"/>
          <w:szCs w:val="28"/>
        </w:rPr>
        <w:t>4、非正常情况处理</w:t>
      </w:r>
    </w:p>
    <w:p>
      <w:pPr>
        <w:ind w:firstLine="560" w:firstLineChars="200"/>
        <w:rPr>
          <w:rFonts w:ascii="宋体" w:hAnsi="宋体" w:cs="宋体"/>
          <w:sz w:val="28"/>
          <w:szCs w:val="28"/>
        </w:rPr>
      </w:pPr>
      <w:r>
        <w:rPr>
          <w:rFonts w:hint="eastAsia" w:ascii="宋体" w:hAnsi="宋体" w:cs="宋体"/>
          <w:sz w:val="28"/>
          <w:szCs w:val="28"/>
        </w:rPr>
        <w:t>当电机M3出现越程（</w:t>
      </w:r>
      <w:r>
        <w:rPr>
          <w:rFonts w:hint="eastAsia" w:ascii="宋体" w:hAnsi="宋体" w:cs="宋体"/>
          <w:sz w:val="28"/>
        </w:rPr>
        <w:t>左、右超行程位置开关分别为两侧微动开关SQ4、SQ5</w:t>
      </w:r>
      <w:r>
        <w:rPr>
          <w:rFonts w:hint="eastAsia" w:ascii="宋体" w:hAnsi="宋体" w:cs="宋体"/>
          <w:sz w:val="28"/>
          <w:szCs w:val="28"/>
        </w:rPr>
        <w:t>），伺服系统自动锁住，并在触摸屏自动弹出报警画面“报警画面，设备越程”，点击触摸屏上任意位置解除报警后，系统重新恢复到初次登录后状态，点复位按钮后所有设置参数置零且全部电机恢复到初始状态，需重新在HMI上设置参数后再次运行。</w:t>
      </w:r>
    </w:p>
    <w:p>
      <w:pPr>
        <w:ind w:firstLine="560" w:firstLineChars="200"/>
        <w:rPr>
          <w:rFonts w:ascii="宋体" w:hAnsi="宋体" w:cs="宋体"/>
          <w:sz w:val="28"/>
          <w:szCs w:val="28"/>
        </w:rPr>
      </w:pPr>
    </w:p>
    <w:p>
      <w:pPr>
        <w:jc w:val="center"/>
        <w:rPr>
          <w:rFonts w:ascii="黑体" w:eastAsia="黑体"/>
          <w:b/>
          <w:sz w:val="44"/>
          <w:szCs w:val="44"/>
        </w:rPr>
      </w:pPr>
      <w:r>
        <w:rPr>
          <w:rFonts w:ascii="黑体" w:eastAsia="黑体"/>
          <w:b/>
          <w:sz w:val="44"/>
          <w:szCs w:val="44"/>
        </w:rPr>
        <w:br w:type="page"/>
      </w:r>
      <w:r>
        <w:rPr>
          <w:rFonts w:hint="eastAsia" w:ascii="黑体" w:eastAsia="黑体"/>
          <w:b/>
          <w:sz w:val="44"/>
          <w:szCs w:val="44"/>
        </w:rPr>
        <w:t>维修工作票</w:t>
      </w:r>
    </w:p>
    <w:p>
      <w:pPr>
        <w:rPr>
          <w:rFonts w:ascii="黑体" w:eastAsia="黑体"/>
          <w:b/>
          <w:sz w:val="24"/>
        </w:rPr>
      </w:pPr>
      <w:r>
        <w:rPr>
          <w:rFonts w:hint="eastAsia" w:ascii="黑体" w:eastAsia="黑体"/>
          <w:b/>
          <w:sz w:val="24"/>
        </w:rPr>
        <w:t>工作票编号</w:t>
      </w:r>
      <w:r>
        <w:rPr>
          <w:rFonts w:ascii="黑体" w:eastAsia="黑体"/>
          <w:b/>
          <w:sz w:val="24"/>
        </w:rPr>
        <w:t xml:space="preserve"> N0</w:t>
      </w:r>
      <w:r>
        <w:rPr>
          <w:rFonts w:hint="eastAsia" w:ascii="黑体" w:eastAsia="黑体"/>
          <w:b/>
          <w:sz w:val="24"/>
        </w:rPr>
        <w:t>：</w:t>
      </w:r>
    </w:p>
    <w:p>
      <w:pPr>
        <w:rPr>
          <w:rFonts w:ascii="黑体" w:eastAsia="黑体"/>
          <w:b/>
          <w:sz w:val="24"/>
        </w:rPr>
      </w:pPr>
      <w:r>
        <w:rPr>
          <w:rFonts w:hint="eastAsia" w:ascii="黑体" w:eastAsia="黑体"/>
          <w:b/>
          <w:sz w:val="24"/>
        </w:rPr>
        <w:t>发单日期：</w:t>
      </w:r>
      <w:r>
        <w:rPr>
          <w:rFonts w:ascii="黑体" w:eastAsia="黑体"/>
          <w:b/>
          <w:sz w:val="24"/>
        </w:rPr>
        <w:t xml:space="preserve">20   </w:t>
      </w:r>
      <w:r>
        <w:rPr>
          <w:rFonts w:hint="eastAsia" w:ascii="黑体" w:eastAsia="黑体"/>
          <w:b/>
          <w:sz w:val="24"/>
        </w:rPr>
        <w:t>年月日</w:t>
      </w:r>
    </w:p>
    <w:tbl>
      <w:tblPr>
        <w:tblStyle w:val="9"/>
        <w:tblW w:w="98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423"/>
        <w:gridCol w:w="1577"/>
        <w:gridCol w:w="3000"/>
        <w:gridCol w:w="3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2251" w:type="dxa"/>
            <w:gridSpan w:val="2"/>
          </w:tcPr>
          <w:p>
            <w:pPr>
              <w:jc w:val="center"/>
              <w:rPr>
                <w:rFonts w:ascii="宋体"/>
                <w:b/>
                <w:sz w:val="28"/>
                <w:szCs w:val="28"/>
              </w:rPr>
            </w:pPr>
            <w:r>
              <w:rPr>
                <w:rFonts w:hint="eastAsia" w:ascii="宋体" w:hAnsi="宋体"/>
                <w:b/>
                <w:sz w:val="28"/>
                <w:szCs w:val="28"/>
              </w:rPr>
              <w:t>工位号</w:t>
            </w:r>
          </w:p>
        </w:tc>
        <w:tc>
          <w:tcPr>
            <w:tcW w:w="7577" w:type="dxa"/>
            <w:gridSpan w:val="3"/>
          </w:tcPr>
          <w:p>
            <w:pPr>
              <w:rPr>
                <w:rFonts w:asci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2251" w:type="dxa"/>
            <w:gridSpan w:val="2"/>
          </w:tcPr>
          <w:p>
            <w:pPr>
              <w:jc w:val="center"/>
              <w:rPr>
                <w:rFonts w:ascii="宋体"/>
                <w:b/>
                <w:sz w:val="28"/>
                <w:szCs w:val="28"/>
              </w:rPr>
            </w:pPr>
            <w:r>
              <w:rPr>
                <w:rFonts w:hint="eastAsia" w:ascii="宋体" w:hAnsi="宋体"/>
                <w:b/>
                <w:sz w:val="28"/>
                <w:szCs w:val="28"/>
              </w:rPr>
              <w:t>工作任务</w:t>
            </w:r>
          </w:p>
        </w:tc>
        <w:tc>
          <w:tcPr>
            <w:tcW w:w="7577" w:type="dxa"/>
            <w:gridSpan w:val="3"/>
            <w:vAlign w:val="center"/>
          </w:tcPr>
          <w:p>
            <w:pPr>
              <w:rPr>
                <w:rFonts w:ascii="宋体"/>
                <w:szCs w:val="21"/>
              </w:rPr>
            </w:pPr>
            <w:r>
              <w:rPr>
                <w:rFonts w:ascii="宋体" w:hAnsi="宋体"/>
                <w:szCs w:val="21"/>
              </w:rPr>
              <w:t>X62W</w:t>
            </w:r>
            <w:r>
              <w:rPr>
                <w:rFonts w:hint="eastAsia" w:ascii="宋体" w:hAnsi="宋体"/>
                <w:szCs w:val="21"/>
              </w:rPr>
              <w:t>铣床电气线路故障检测与排除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2251" w:type="dxa"/>
            <w:gridSpan w:val="2"/>
          </w:tcPr>
          <w:p>
            <w:pPr>
              <w:jc w:val="center"/>
              <w:rPr>
                <w:rFonts w:ascii="宋体"/>
                <w:b/>
                <w:sz w:val="28"/>
                <w:szCs w:val="28"/>
              </w:rPr>
            </w:pPr>
            <w:r>
              <w:rPr>
                <w:rFonts w:hint="eastAsia" w:ascii="宋体" w:hAnsi="宋体"/>
                <w:b/>
                <w:sz w:val="28"/>
                <w:szCs w:val="28"/>
              </w:rPr>
              <w:t>工作时间</w:t>
            </w:r>
          </w:p>
        </w:tc>
        <w:tc>
          <w:tcPr>
            <w:tcW w:w="7577" w:type="dxa"/>
            <w:gridSpan w:val="3"/>
            <w:vAlign w:val="center"/>
          </w:tcPr>
          <w:p>
            <w:pPr>
              <w:rPr>
                <w:rFonts w:ascii="宋体"/>
                <w:szCs w:val="21"/>
              </w:rPr>
            </w:pPr>
            <w:r>
              <w:rPr>
                <w:rFonts w:hint="eastAsia" w:ascii="宋体" w:hAnsi="宋体"/>
                <w:szCs w:val="21"/>
              </w:rPr>
              <w:t>自年月日时分至年月日时分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2251" w:type="dxa"/>
            <w:gridSpan w:val="2"/>
          </w:tcPr>
          <w:p>
            <w:pPr>
              <w:jc w:val="center"/>
              <w:rPr>
                <w:rFonts w:ascii="宋体"/>
                <w:b/>
                <w:sz w:val="28"/>
                <w:szCs w:val="28"/>
              </w:rPr>
            </w:pPr>
            <w:r>
              <w:rPr>
                <w:rFonts w:hint="eastAsia" w:ascii="宋体" w:hAnsi="宋体"/>
                <w:b/>
                <w:sz w:val="28"/>
                <w:szCs w:val="28"/>
              </w:rPr>
              <w:t>工作条件</w:t>
            </w:r>
          </w:p>
        </w:tc>
        <w:tc>
          <w:tcPr>
            <w:tcW w:w="7577" w:type="dxa"/>
            <w:gridSpan w:val="3"/>
            <w:vAlign w:val="center"/>
          </w:tcPr>
          <w:p>
            <w:pPr>
              <w:rPr>
                <w:rFonts w:ascii="宋体"/>
                <w:szCs w:val="21"/>
              </w:rPr>
            </w:pPr>
            <w:r>
              <w:rPr>
                <w:rFonts w:hint="eastAsia" w:ascii="宋体" w:hAnsi="宋体"/>
                <w:szCs w:val="21"/>
              </w:rPr>
              <w:t>登陆学号：（即两位数的工位号，如：</w:t>
            </w:r>
            <w:r>
              <w:rPr>
                <w:rFonts w:ascii="宋体" w:hAnsi="宋体"/>
                <w:szCs w:val="21"/>
              </w:rPr>
              <w:t>01</w:t>
            </w:r>
            <w:r>
              <w:rPr>
                <w:rFonts w:hint="eastAsia" w:ascii="宋体" w:hAnsi="宋体"/>
                <w:szCs w:val="21"/>
              </w:rPr>
              <w:t>、</w:t>
            </w:r>
            <w:r>
              <w:rPr>
                <w:rFonts w:ascii="宋体" w:hAnsi="宋体"/>
                <w:szCs w:val="21"/>
              </w:rPr>
              <w:t>10</w:t>
            </w:r>
            <w:r>
              <w:rPr>
                <w:rFonts w:hint="eastAsia" w:ascii="宋体" w:hAnsi="宋体"/>
                <w:szCs w:val="21"/>
              </w:rPr>
              <w:t>、</w:t>
            </w:r>
            <w:r>
              <w:rPr>
                <w:rFonts w:ascii="宋体" w:hAnsi="宋体"/>
                <w:szCs w:val="21"/>
              </w:rPr>
              <w:t>20</w:t>
            </w:r>
            <w:r>
              <w:rPr>
                <w:rFonts w:hint="eastAsia" w:ascii="宋体" w:hAnsi="宋体"/>
                <w:szCs w:val="21"/>
              </w:rPr>
              <w:t>等）</w:t>
            </w:r>
          </w:p>
          <w:p>
            <w:pPr>
              <w:rPr>
                <w:rFonts w:ascii="宋体"/>
                <w:szCs w:val="21"/>
              </w:rPr>
            </w:pPr>
            <w:r>
              <w:rPr>
                <w:rFonts w:hint="eastAsia" w:ascii="宋体" w:hAnsi="宋体"/>
                <w:szCs w:val="21"/>
              </w:rPr>
              <w:t>登陆密码：无</w:t>
            </w:r>
          </w:p>
          <w:p>
            <w:pPr>
              <w:rPr>
                <w:rFonts w:ascii="宋体"/>
                <w:szCs w:val="21"/>
              </w:rPr>
            </w:pPr>
            <w:r>
              <w:rPr>
                <w:rFonts w:hint="eastAsia" w:ascii="宋体" w:hAnsi="宋体"/>
                <w:szCs w:val="21"/>
              </w:rPr>
              <w:t>观察故障现象和排除故障后试机</w:t>
            </w:r>
            <w:r>
              <w:rPr>
                <w:rFonts w:hint="eastAsia" w:ascii="宋体" w:hAnsi="宋体"/>
                <w:b/>
                <w:bCs/>
                <w:szCs w:val="21"/>
              </w:rPr>
              <w:t>通电</w:t>
            </w:r>
            <w:r>
              <w:rPr>
                <w:rFonts w:hint="eastAsia" w:ascii="宋体" w:hAnsi="宋体"/>
                <w:szCs w:val="21"/>
              </w:rPr>
              <w:t>；检测及排故过程</w:t>
            </w:r>
            <w:r>
              <w:rPr>
                <w:rFonts w:hint="eastAsia" w:ascii="宋体" w:hAnsi="宋体"/>
                <w:b/>
                <w:bCs/>
                <w:szCs w:val="21"/>
              </w:rPr>
              <w:t>停电</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2251" w:type="dxa"/>
            <w:gridSpan w:val="2"/>
          </w:tcPr>
          <w:p>
            <w:pPr>
              <w:rPr>
                <w:rFonts w:ascii="宋体"/>
                <w:sz w:val="28"/>
                <w:szCs w:val="28"/>
              </w:rPr>
            </w:pPr>
            <w:r>
              <w:rPr>
                <w:rFonts w:hint="eastAsia" w:ascii="宋体" w:hAnsi="宋体"/>
                <w:b/>
                <w:sz w:val="28"/>
                <w:szCs w:val="28"/>
              </w:rPr>
              <w:t>工作许可人签名</w:t>
            </w:r>
          </w:p>
        </w:tc>
        <w:tc>
          <w:tcPr>
            <w:tcW w:w="7577" w:type="dxa"/>
            <w:gridSpan w:val="3"/>
          </w:tcPr>
          <w:p>
            <w:pPr>
              <w:rPr>
                <w:rFonts w:asci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3" w:hRule="atLeast"/>
        </w:trPr>
        <w:tc>
          <w:tcPr>
            <w:tcW w:w="828" w:type="dxa"/>
            <w:vAlign w:val="center"/>
          </w:tcPr>
          <w:p>
            <w:pPr>
              <w:spacing w:line="440" w:lineRule="exact"/>
              <w:jc w:val="center"/>
              <w:rPr>
                <w:rFonts w:ascii="宋体"/>
                <w:b/>
                <w:sz w:val="28"/>
                <w:szCs w:val="28"/>
              </w:rPr>
            </w:pPr>
            <w:r>
              <w:rPr>
                <w:rFonts w:hint="eastAsia" w:ascii="宋体" w:hAnsi="宋体"/>
                <w:b/>
                <w:sz w:val="28"/>
                <w:szCs w:val="28"/>
              </w:rPr>
              <w:t>维</w:t>
            </w:r>
          </w:p>
          <w:p>
            <w:pPr>
              <w:spacing w:line="440" w:lineRule="exact"/>
              <w:jc w:val="center"/>
              <w:rPr>
                <w:rFonts w:ascii="宋体"/>
                <w:b/>
                <w:sz w:val="28"/>
                <w:szCs w:val="28"/>
              </w:rPr>
            </w:pPr>
            <w:r>
              <w:rPr>
                <w:rFonts w:hint="eastAsia" w:ascii="宋体" w:hAnsi="宋体"/>
                <w:b/>
                <w:sz w:val="28"/>
                <w:szCs w:val="28"/>
              </w:rPr>
              <w:t>修</w:t>
            </w:r>
          </w:p>
          <w:p>
            <w:pPr>
              <w:spacing w:line="440" w:lineRule="exact"/>
              <w:jc w:val="center"/>
              <w:rPr>
                <w:rFonts w:ascii="宋体"/>
                <w:b/>
                <w:sz w:val="28"/>
                <w:szCs w:val="28"/>
              </w:rPr>
            </w:pPr>
            <w:r>
              <w:rPr>
                <w:rFonts w:hint="eastAsia" w:ascii="宋体" w:hAnsi="宋体"/>
                <w:b/>
                <w:sz w:val="28"/>
                <w:szCs w:val="28"/>
              </w:rPr>
              <w:t>要</w:t>
            </w:r>
          </w:p>
          <w:p>
            <w:pPr>
              <w:spacing w:line="440" w:lineRule="exact"/>
              <w:jc w:val="center"/>
              <w:rPr>
                <w:rFonts w:ascii="宋体"/>
                <w:sz w:val="32"/>
                <w:szCs w:val="32"/>
              </w:rPr>
            </w:pPr>
            <w:r>
              <w:rPr>
                <w:rFonts w:hint="eastAsia" w:ascii="宋体" w:hAnsi="宋体"/>
                <w:b/>
                <w:sz w:val="28"/>
                <w:szCs w:val="28"/>
              </w:rPr>
              <w:t>求</w:t>
            </w:r>
          </w:p>
        </w:tc>
        <w:tc>
          <w:tcPr>
            <w:tcW w:w="9000" w:type="dxa"/>
            <w:gridSpan w:val="4"/>
          </w:tcPr>
          <w:p>
            <w:pPr>
              <w:spacing w:line="400" w:lineRule="exact"/>
              <w:ind w:left="420"/>
              <w:rPr>
                <w:rFonts w:ascii="宋体"/>
                <w:szCs w:val="21"/>
              </w:rPr>
            </w:pPr>
            <w:r>
              <w:rPr>
                <w:rFonts w:ascii="宋体" w:hAnsi="宋体"/>
                <w:szCs w:val="21"/>
              </w:rPr>
              <w:t>1</w:t>
            </w:r>
            <w:r>
              <w:rPr>
                <w:rFonts w:hint="eastAsia" w:ascii="宋体" w:hAnsi="宋体"/>
                <w:szCs w:val="21"/>
              </w:rPr>
              <w:t>．在工作许可人签名后方可进行检修；</w:t>
            </w:r>
          </w:p>
          <w:p>
            <w:pPr>
              <w:spacing w:line="400" w:lineRule="exact"/>
              <w:ind w:left="420"/>
              <w:rPr>
                <w:rFonts w:ascii="宋体"/>
                <w:szCs w:val="21"/>
              </w:rPr>
            </w:pPr>
            <w:r>
              <w:rPr>
                <w:rFonts w:ascii="宋体" w:hAnsi="宋体"/>
                <w:szCs w:val="21"/>
              </w:rPr>
              <w:t>2</w:t>
            </w:r>
            <w:r>
              <w:rPr>
                <w:rFonts w:hint="eastAsia" w:ascii="宋体" w:hAnsi="宋体"/>
                <w:szCs w:val="21"/>
              </w:rPr>
              <w:t>．对电气线路进行检测，确定线路的故障点并排除调试填写下列表格；</w:t>
            </w:r>
          </w:p>
          <w:p>
            <w:pPr>
              <w:spacing w:line="400" w:lineRule="exact"/>
              <w:ind w:left="420"/>
              <w:rPr>
                <w:rFonts w:ascii="宋体"/>
                <w:szCs w:val="21"/>
              </w:rPr>
            </w:pPr>
            <w:r>
              <w:rPr>
                <w:rFonts w:ascii="宋体" w:hAnsi="宋体"/>
                <w:szCs w:val="21"/>
              </w:rPr>
              <w:t>3</w:t>
            </w:r>
            <w:r>
              <w:rPr>
                <w:rFonts w:hint="eastAsia" w:ascii="宋体" w:hAnsi="宋体"/>
                <w:szCs w:val="21"/>
              </w:rPr>
              <w:t>．严格遵守电工操作安全规程；</w:t>
            </w:r>
          </w:p>
          <w:p>
            <w:pPr>
              <w:spacing w:line="400" w:lineRule="exact"/>
              <w:ind w:left="420"/>
              <w:rPr>
                <w:rFonts w:ascii="宋体"/>
                <w:szCs w:val="21"/>
              </w:rPr>
            </w:pPr>
            <w:r>
              <w:rPr>
                <w:rFonts w:ascii="宋体" w:hAnsi="宋体"/>
                <w:szCs w:val="21"/>
              </w:rPr>
              <w:t>4</w:t>
            </w:r>
            <w:r>
              <w:rPr>
                <w:rFonts w:hint="eastAsia" w:ascii="宋体" w:hAnsi="宋体"/>
                <w:szCs w:val="21"/>
              </w:rPr>
              <w:t>．不得擅自改变原线路接线，不得更改电路和元件位置；</w:t>
            </w:r>
          </w:p>
          <w:p>
            <w:pPr>
              <w:spacing w:line="400" w:lineRule="exact"/>
              <w:ind w:left="420"/>
              <w:rPr>
                <w:rFonts w:ascii="宋体"/>
                <w:sz w:val="28"/>
                <w:szCs w:val="28"/>
              </w:rPr>
            </w:pPr>
            <w:r>
              <w:rPr>
                <w:rFonts w:ascii="宋体" w:hAnsi="宋体"/>
                <w:szCs w:val="21"/>
              </w:rPr>
              <w:t>5</w:t>
            </w:r>
            <w:r>
              <w:rPr>
                <w:rFonts w:hint="eastAsia" w:ascii="宋体" w:hAnsi="宋体"/>
                <w:szCs w:val="21"/>
              </w:rPr>
              <w:t>．完成检修后能恢复该铣床各项功能。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1" w:hRule="atLeast"/>
        </w:trPr>
        <w:tc>
          <w:tcPr>
            <w:tcW w:w="828" w:type="dxa"/>
            <w:vAlign w:val="center"/>
          </w:tcPr>
          <w:p>
            <w:pPr>
              <w:jc w:val="center"/>
              <w:rPr>
                <w:rFonts w:ascii="宋体"/>
                <w:b/>
                <w:sz w:val="28"/>
                <w:szCs w:val="28"/>
              </w:rPr>
            </w:pPr>
            <w:r>
              <w:rPr>
                <w:rFonts w:hint="eastAsia" w:ascii="宋体" w:hAnsi="宋体"/>
                <w:b/>
                <w:sz w:val="28"/>
                <w:szCs w:val="28"/>
              </w:rPr>
              <w:t>故障现象描述</w:t>
            </w:r>
          </w:p>
        </w:tc>
        <w:tc>
          <w:tcPr>
            <w:tcW w:w="3000" w:type="dxa"/>
            <w:gridSpan w:val="2"/>
          </w:tcPr>
          <w:p>
            <w:pPr>
              <w:tabs>
                <w:tab w:val="left" w:pos="4"/>
                <w:tab w:val="left" w:pos="544"/>
              </w:tabs>
              <w:rPr>
                <w:rFonts w:ascii="宋体"/>
                <w:sz w:val="28"/>
                <w:szCs w:val="28"/>
              </w:rPr>
            </w:pPr>
          </w:p>
        </w:tc>
        <w:tc>
          <w:tcPr>
            <w:tcW w:w="3000" w:type="dxa"/>
          </w:tcPr>
          <w:p>
            <w:pPr>
              <w:tabs>
                <w:tab w:val="left" w:pos="4"/>
                <w:tab w:val="left" w:pos="544"/>
              </w:tabs>
              <w:rPr>
                <w:rFonts w:ascii="宋体"/>
                <w:sz w:val="28"/>
                <w:szCs w:val="28"/>
              </w:rPr>
            </w:pPr>
          </w:p>
        </w:tc>
        <w:tc>
          <w:tcPr>
            <w:tcW w:w="3000" w:type="dxa"/>
          </w:tcPr>
          <w:p>
            <w:pPr>
              <w:tabs>
                <w:tab w:val="left" w:pos="4"/>
                <w:tab w:val="left" w:pos="544"/>
              </w:tabs>
              <w:rPr>
                <w:rFonts w:asci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0" w:hRule="atLeast"/>
        </w:trPr>
        <w:tc>
          <w:tcPr>
            <w:tcW w:w="828" w:type="dxa"/>
            <w:vAlign w:val="center"/>
          </w:tcPr>
          <w:p>
            <w:pPr>
              <w:spacing w:line="480" w:lineRule="exact"/>
              <w:jc w:val="center"/>
              <w:rPr>
                <w:rFonts w:ascii="宋体"/>
                <w:b/>
                <w:sz w:val="28"/>
                <w:szCs w:val="28"/>
              </w:rPr>
            </w:pPr>
            <w:r>
              <w:rPr>
                <w:rFonts w:hint="eastAsia" w:ascii="宋体" w:hAnsi="宋体"/>
                <w:b/>
                <w:sz w:val="28"/>
                <w:szCs w:val="28"/>
              </w:rPr>
              <w:t>故障检测和排除过程</w:t>
            </w:r>
          </w:p>
        </w:tc>
        <w:tc>
          <w:tcPr>
            <w:tcW w:w="3000" w:type="dxa"/>
            <w:gridSpan w:val="2"/>
          </w:tcPr>
          <w:p>
            <w:pPr>
              <w:tabs>
                <w:tab w:val="left" w:pos="4"/>
                <w:tab w:val="left" w:pos="544"/>
              </w:tabs>
              <w:rPr>
                <w:rFonts w:ascii="宋体"/>
                <w:sz w:val="28"/>
                <w:szCs w:val="28"/>
              </w:rPr>
            </w:pPr>
          </w:p>
        </w:tc>
        <w:tc>
          <w:tcPr>
            <w:tcW w:w="3000" w:type="dxa"/>
          </w:tcPr>
          <w:p>
            <w:pPr>
              <w:tabs>
                <w:tab w:val="left" w:pos="4"/>
                <w:tab w:val="left" w:pos="544"/>
              </w:tabs>
              <w:rPr>
                <w:rFonts w:ascii="宋体"/>
                <w:sz w:val="28"/>
                <w:szCs w:val="28"/>
              </w:rPr>
            </w:pPr>
          </w:p>
        </w:tc>
        <w:tc>
          <w:tcPr>
            <w:tcW w:w="3000" w:type="dxa"/>
          </w:tcPr>
          <w:p>
            <w:pPr>
              <w:tabs>
                <w:tab w:val="left" w:pos="4"/>
                <w:tab w:val="left" w:pos="544"/>
              </w:tabs>
              <w:rPr>
                <w:rFonts w:asci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2" w:hRule="atLeast"/>
        </w:trPr>
        <w:tc>
          <w:tcPr>
            <w:tcW w:w="828" w:type="dxa"/>
            <w:vAlign w:val="center"/>
          </w:tcPr>
          <w:p>
            <w:pPr>
              <w:spacing w:line="480" w:lineRule="exact"/>
              <w:jc w:val="center"/>
              <w:rPr>
                <w:rFonts w:ascii="宋体"/>
                <w:b/>
                <w:sz w:val="28"/>
                <w:szCs w:val="28"/>
              </w:rPr>
            </w:pPr>
            <w:r>
              <w:rPr>
                <w:rFonts w:hint="eastAsia" w:ascii="宋体" w:hAnsi="宋体"/>
                <w:b/>
                <w:sz w:val="28"/>
                <w:szCs w:val="28"/>
              </w:rPr>
              <w:t>故障点描述</w:t>
            </w:r>
          </w:p>
        </w:tc>
        <w:tc>
          <w:tcPr>
            <w:tcW w:w="3000" w:type="dxa"/>
            <w:gridSpan w:val="2"/>
          </w:tcPr>
          <w:p>
            <w:pPr>
              <w:tabs>
                <w:tab w:val="left" w:pos="4"/>
                <w:tab w:val="left" w:pos="544"/>
              </w:tabs>
              <w:rPr>
                <w:rFonts w:ascii="宋体"/>
                <w:sz w:val="28"/>
                <w:szCs w:val="28"/>
              </w:rPr>
            </w:pPr>
          </w:p>
        </w:tc>
        <w:tc>
          <w:tcPr>
            <w:tcW w:w="3000" w:type="dxa"/>
          </w:tcPr>
          <w:p>
            <w:pPr>
              <w:tabs>
                <w:tab w:val="left" w:pos="4"/>
                <w:tab w:val="left" w:pos="544"/>
              </w:tabs>
              <w:rPr>
                <w:rFonts w:ascii="宋体"/>
                <w:sz w:val="28"/>
                <w:szCs w:val="28"/>
              </w:rPr>
            </w:pPr>
          </w:p>
        </w:tc>
        <w:tc>
          <w:tcPr>
            <w:tcW w:w="3000" w:type="dxa"/>
          </w:tcPr>
          <w:p>
            <w:pPr>
              <w:tabs>
                <w:tab w:val="left" w:pos="4"/>
                <w:tab w:val="left" w:pos="544"/>
              </w:tabs>
              <w:rPr>
                <w:rFonts w:ascii="宋体"/>
                <w:sz w:val="28"/>
                <w:szCs w:val="28"/>
              </w:rPr>
            </w:pPr>
          </w:p>
        </w:tc>
      </w:tr>
    </w:tbl>
    <w:p>
      <w:pPr>
        <w:rPr>
          <w:rFonts w:ascii="黑体" w:eastAsia="黑体"/>
          <w:b/>
          <w:sz w:val="28"/>
          <w:szCs w:val="44"/>
        </w:rPr>
      </w:pPr>
      <w:r>
        <w:rPr>
          <w:rFonts w:hint="eastAsia" w:ascii="黑体" w:eastAsia="黑体"/>
          <w:b/>
          <w:sz w:val="28"/>
          <w:szCs w:val="44"/>
        </w:rPr>
        <w:t>注：选手在“工位号”栏签工位号，裁判在“工作许可人签名”栏签名。</w:t>
      </w:r>
    </w:p>
    <w:p>
      <w:pPr>
        <w:rPr>
          <w:rFonts w:ascii="黑体" w:eastAsia="黑体"/>
          <w:b/>
          <w:sz w:val="28"/>
          <w:szCs w:val="44"/>
        </w:rPr>
      </w:pPr>
    </w:p>
    <w:p>
      <w:pPr>
        <w:jc w:val="center"/>
        <w:rPr>
          <w:rFonts w:ascii="黑体" w:eastAsia="黑体"/>
          <w:b/>
          <w:sz w:val="28"/>
          <w:szCs w:val="44"/>
        </w:rPr>
      </w:pPr>
      <w:r>
        <w:rPr>
          <w:rFonts w:ascii="黑体" w:eastAsia="黑体"/>
          <w:b/>
          <w:sz w:val="28"/>
          <w:szCs w:val="44"/>
        </w:rPr>
        <w:drawing>
          <wp:anchor distT="0" distB="0" distL="114300" distR="114300" simplePos="0" relativeHeight="251672576" behindDoc="0" locked="0" layoutInCell="1" allowOverlap="1">
            <wp:simplePos x="0" y="0"/>
            <wp:positionH relativeFrom="column">
              <wp:posOffset>-1092835</wp:posOffset>
            </wp:positionH>
            <wp:positionV relativeFrom="paragraph">
              <wp:posOffset>1616710</wp:posOffset>
            </wp:positionV>
            <wp:extent cx="8325485" cy="5614670"/>
            <wp:effectExtent l="0" t="1314450" r="0" b="130048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0" cstate="print"/>
                    <a:srcRect/>
                    <a:stretch>
                      <a:fillRect/>
                    </a:stretch>
                  </pic:blipFill>
                  <pic:spPr>
                    <a:xfrm rot="-5400000">
                      <a:off x="0" y="0"/>
                      <a:ext cx="8325485" cy="5614670"/>
                    </a:xfrm>
                    <a:prstGeom prst="rect">
                      <a:avLst/>
                    </a:prstGeom>
                    <a:noFill/>
                    <a:ln w="9525">
                      <a:noFill/>
                      <a:miter lim="800000"/>
                      <a:headEnd/>
                      <a:tailEnd/>
                    </a:ln>
                  </pic:spPr>
                </pic:pic>
              </a:graphicData>
            </a:graphic>
          </wp:anchor>
        </w:drawing>
      </w:r>
    </w:p>
    <w:p>
      <w:pPr>
        <w:widowControl/>
        <w:jc w:val="center"/>
        <w:rPr>
          <w:b/>
          <w:sz w:val="36"/>
        </w:rPr>
      </w:pPr>
      <w:r>
        <w:rPr>
          <w:rFonts w:hint="eastAsia"/>
          <w:b/>
          <w:sz w:val="36"/>
        </w:rPr>
        <w:t>PLC  I/O分配表</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360" w:lineRule="auto"/>
              <w:jc w:val="center"/>
              <w:rPr>
                <w:b/>
                <w:sz w:val="24"/>
              </w:rPr>
            </w:pPr>
            <w:r>
              <w:rPr>
                <w:rFonts w:hint="eastAsia"/>
                <w:b/>
                <w:sz w:val="24"/>
              </w:rPr>
              <w:t>PLC型号</w:t>
            </w:r>
          </w:p>
        </w:tc>
        <w:tc>
          <w:tcPr>
            <w:tcW w:w="2130" w:type="dxa"/>
            <w:shd w:val="clear" w:color="auto" w:fill="auto"/>
          </w:tcPr>
          <w:p>
            <w:pPr>
              <w:spacing w:line="360" w:lineRule="auto"/>
              <w:jc w:val="center"/>
              <w:rPr>
                <w:b/>
                <w:sz w:val="24"/>
              </w:rPr>
            </w:pPr>
            <w:r>
              <w:rPr>
                <w:rFonts w:hint="eastAsia"/>
                <w:b/>
                <w:sz w:val="24"/>
              </w:rPr>
              <w:t>电气元件符号</w:t>
            </w:r>
          </w:p>
        </w:tc>
        <w:tc>
          <w:tcPr>
            <w:tcW w:w="2131" w:type="dxa"/>
            <w:shd w:val="clear" w:color="auto" w:fill="auto"/>
          </w:tcPr>
          <w:p>
            <w:pPr>
              <w:spacing w:line="360" w:lineRule="auto"/>
              <w:jc w:val="center"/>
              <w:rPr>
                <w:b/>
                <w:sz w:val="24"/>
              </w:rPr>
            </w:pPr>
            <w:r>
              <w:rPr>
                <w:rFonts w:hint="eastAsia"/>
                <w:b/>
                <w:sz w:val="24"/>
              </w:rPr>
              <w:t>IO地址</w:t>
            </w:r>
          </w:p>
        </w:tc>
        <w:tc>
          <w:tcPr>
            <w:tcW w:w="2131" w:type="dxa"/>
            <w:shd w:val="clear" w:color="auto" w:fill="auto"/>
          </w:tcPr>
          <w:p>
            <w:pPr>
              <w:spacing w:line="360" w:lineRule="auto"/>
              <w:jc w:val="center"/>
              <w:rPr>
                <w:b/>
                <w:sz w:val="24"/>
              </w:rPr>
            </w:pPr>
            <w:r>
              <w:rPr>
                <w:rFonts w:hint="eastAsia"/>
                <w:b/>
                <w:sz w:val="24"/>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bl>
    <w:p>
      <w:pPr>
        <w:widowControl/>
        <w:jc w:val="left"/>
        <w:rPr>
          <w:sz w:val="28"/>
        </w:rPr>
      </w:pPr>
    </w:p>
    <w:p>
      <w:pPr>
        <w:widowControl/>
        <w:jc w:val="left"/>
      </w:pPr>
      <w:r>
        <w:rPr>
          <w:rFonts w:hint="eastAsia"/>
          <w:sz w:val="28"/>
        </w:rPr>
        <w:t>场次号：                         工位号：</w:t>
      </w:r>
    </w:p>
    <w:p>
      <w:pPr>
        <w:widowControl/>
        <w:jc w:val="left"/>
      </w:pPr>
    </w:p>
    <w:p>
      <w:pPr>
        <w:ind w:firstLine="560" w:firstLineChars="200"/>
        <w:rPr>
          <w:rFonts w:ascii="宋体" w:hAnsi="宋体" w:cs="宋体"/>
          <w:sz w:val="28"/>
          <w:szCs w:val="28"/>
        </w:rPr>
      </w:pPr>
    </w:p>
    <w:p>
      <w:pPr>
        <w:widowControl/>
        <w:jc w:val="center"/>
        <w:rPr>
          <w:b/>
          <w:sz w:val="36"/>
        </w:rPr>
      </w:pPr>
      <w:r>
        <w:rPr>
          <w:rFonts w:hint="eastAsia"/>
          <w:b/>
          <w:sz w:val="36"/>
        </w:rPr>
        <w:t>PLC  I/O分配表</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360" w:lineRule="auto"/>
              <w:jc w:val="center"/>
              <w:rPr>
                <w:b/>
                <w:sz w:val="24"/>
              </w:rPr>
            </w:pPr>
            <w:r>
              <w:rPr>
                <w:rFonts w:hint="eastAsia"/>
                <w:b/>
                <w:sz w:val="24"/>
              </w:rPr>
              <w:t>PLC型号</w:t>
            </w:r>
          </w:p>
        </w:tc>
        <w:tc>
          <w:tcPr>
            <w:tcW w:w="2130" w:type="dxa"/>
            <w:shd w:val="clear" w:color="auto" w:fill="auto"/>
          </w:tcPr>
          <w:p>
            <w:pPr>
              <w:spacing w:line="360" w:lineRule="auto"/>
              <w:jc w:val="center"/>
              <w:rPr>
                <w:b/>
                <w:sz w:val="24"/>
              </w:rPr>
            </w:pPr>
            <w:r>
              <w:rPr>
                <w:rFonts w:hint="eastAsia"/>
                <w:b/>
                <w:sz w:val="24"/>
              </w:rPr>
              <w:t>电气元件符号</w:t>
            </w:r>
          </w:p>
        </w:tc>
        <w:tc>
          <w:tcPr>
            <w:tcW w:w="2131" w:type="dxa"/>
            <w:shd w:val="clear" w:color="auto" w:fill="auto"/>
          </w:tcPr>
          <w:p>
            <w:pPr>
              <w:spacing w:line="360" w:lineRule="auto"/>
              <w:jc w:val="center"/>
              <w:rPr>
                <w:b/>
                <w:sz w:val="24"/>
              </w:rPr>
            </w:pPr>
            <w:r>
              <w:rPr>
                <w:rFonts w:hint="eastAsia"/>
                <w:b/>
                <w:sz w:val="24"/>
              </w:rPr>
              <w:t>IO地址</w:t>
            </w:r>
          </w:p>
        </w:tc>
        <w:tc>
          <w:tcPr>
            <w:tcW w:w="2131" w:type="dxa"/>
            <w:shd w:val="clear" w:color="auto" w:fill="auto"/>
          </w:tcPr>
          <w:p>
            <w:pPr>
              <w:spacing w:line="360" w:lineRule="auto"/>
              <w:jc w:val="center"/>
              <w:rPr>
                <w:b/>
                <w:sz w:val="24"/>
              </w:rPr>
            </w:pPr>
            <w:r>
              <w:rPr>
                <w:rFonts w:hint="eastAsia"/>
                <w:b/>
                <w:sz w:val="24"/>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0" w:type="dxa"/>
            <w:shd w:val="clear" w:color="auto" w:fill="auto"/>
          </w:tcPr>
          <w:p>
            <w:pPr>
              <w:spacing w:line="640" w:lineRule="exact"/>
            </w:pPr>
          </w:p>
        </w:tc>
        <w:tc>
          <w:tcPr>
            <w:tcW w:w="2130" w:type="dxa"/>
            <w:shd w:val="clear" w:color="auto" w:fill="auto"/>
          </w:tcPr>
          <w:p>
            <w:pPr>
              <w:spacing w:line="640" w:lineRule="exact"/>
            </w:pPr>
          </w:p>
        </w:tc>
        <w:tc>
          <w:tcPr>
            <w:tcW w:w="2131" w:type="dxa"/>
            <w:shd w:val="clear" w:color="auto" w:fill="auto"/>
          </w:tcPr>
          <w:p>
            <w:pPr>
              <w:spacing w:line="640" w:lineRule="exact"/>
            </w:pPr>
          </w:p>
        </w:tc>
        <w:tc>
          <w:tcPr>
            <w:tcW w:w="2131" w:type="dxa"/>
            <w:shd w:val="clear" w:color="auto" w:fill="auto"/>
          </w:tcPr>
          <w:p>
            <w:pPr>
              <w:spacing w:line="640" w:lineRule="exact"/>
            </w:pPr>
          </w:p>
        </w:tc>
      </w:tr>
    </w:tbl>
    <w:p>
      <w:pPr>
        <w:widowControl/>
        <w:jc w:val="left"/>
        <w:rPr>
          <w:sz w:val="28"/>
        </w:rPr>
      </w:pPr>
    </w:p>
    <w:p>
      <w:pPr>
        <w:widowControl/>
        <w:jc w:val="left"/>
        <w:sectPr>
          <w:footerReference r:id="rId3" w:type="default"/>
          <w:pgSz w:w="11907" w:h="16839"/>
          <w:pgMar w:top="1418" w:right="1134" w:bottom="1134" w:left="1701" w:header="851" w:footer="992" w:gutter="0"/>
          <w:cols w:space="720" w:num="1"/>
          <w:docGrid w:type="lines" w:linePitch="312" w:charSpace="0"/>
        </w:sectPr>
      </w:pPr>
      <w:r>
        <w:rPr>
          <w:rFonts w:hint="eastAsia"/>
          <w:sz w:val="28"/>
        </w:rPr>
        <w:t>场次号：                         工位号：</w:t>
      </w:r>
    </w:p>
    <w:tbl>
      <w:tblPr>
        <w:tblStyle w:val="9"/>
        <w:tblW w:w="20615" w:type="dxa"/>
        <w:jc w:val="center"/>
        <w:tblInd w:w="-42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27"/>
        <w:gridCol w:w="994"/>
        <w:gridCol w:w="940"/>
        <w:gridCol w:w="1765"/>
        <w:gridCol w:w="994"/>
        <w:gridCol w:w="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7" w:hRule="atLeast"/>
          <w:jc w:val="center"/>
        </w:trPr>
        <w:tc>
          <w:tcPr>
            <w:tcW w:w="14927" w:type="dxa"/>
            <w:vMerge w:val="restart"/>
            <w:tcBorders>
              <w:top w:val="single" w:color="auto" w:sz="12" w:space="0"/>
              <w:left w:val="single" w:color="auto" w:sz="12" w:space="0"/>
              <w:right w:val="nil"/>
            </w:tcBorders>
          </w:tcPr>
          <w:p>
            <w:pPr>
              <w:tabs>
                <w:tab w:val="left" w:pos="900"/>
              </w:tabs>
              <w:jc w:val="center"/>
            </w:pPr>
          </w:p>
        </w:tc>
        <w:tc>
          <w:tcPr>
            <w:tcW w:w="5688" w:type="dxa"/>
            <w:gridSpan w:val="5"/>
            <w:tcBorders>
              <w:top w:val="single" w:color="auto" w:sz="12" w:space="0"/>
              <w:left w:val="nil"/>
              <w:right w:val="single" w:color="auto" w:sz="12" w:space="0"/>
            </w:tcBorders>
          </w:tcPr>
          <w:p>
            <w:pPr>
              <w:tabs>
                <w:tab w:val="left" w:pos="900"/>
              </w:tabs>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jc w:val="center"/>
        </w:trPr>
        <w:tc>
          <w:tcPr>
            <w:tcW w:w="14927" w:type="dxa"/>
            <w:vMerge w:val="continue"/>
            <w:tcBorders>
              <w:left w:val="single" w:color="auto" w:sz="12" w:space="0"/>
            </w:tcBorders>
          </w:tcPr>
          <w:p>
            <w:pPr>
              <w:tabs>
                <w:tab w:val="left" w:pos="900"/>
              </w:tabs>
              <w:jc w:val="center"/>
            </w:pPr>
          </w:p>
        </w:tc>
        <w:tc>
          <w:tcPr>
            <w:tcW w:w="3699" w:type="dxa"/>
            <w:gridSpan w:val="3"/>
            <w:vMerge w:val="restart"/>
          </w:tcPr>
          <w:p>
            <w:pPr>
              <w:tabs>
                <w:tab w:val="left" w:pos="900"/>
              </w:tabs>
              <w:jc w:val="center"/>
            </w:pPr>
          </w:p>
        </w:tc>
        <w:tc>
          <w:tcPr>
            <w:tcW w:w="994" w:type="dxa"/>
          </w:tcPr>
          <w:p>
            <w:pPr>
              <w:tabs>
                <w:tab w:val="left" w:pos="900"/>
              </w:tabs>
              <w:jc w:val="center"/>
            </w:pPr>
            <w:r>
              <w:rPr>
                <w:rFonts w:hint="eastAsia"/>
              </w:rPr>
              <w:t>图号</w:t>
            </w:r>
          </w:p>
        </w:tc>
        <w:tc>
          <w:tcPr>
            <w:tcW w:w="995" w:type="dxa"/>
            <w:tcBorders>
              <w:right w:val="single" w:color="auto" w:sz="12" w:space="0"/>
            </w:tcBorders>
          </w:tcPr>
          <w:p>
            <w:pPr>
              <w:tabs>
                <w:tab w:val="left" w:pos="900"/>
              </w:tabs>
              <w:jc w:val="center"/>
            </w:pPr>
            <w:r>
              <w:rPr>
                <w:rFonts w:hint="eastAsia"/>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jc w:val="center"/>
        </w:trPr>
        <w:tc>
          <w:tcPr>
            <w:tcW w:w="14927" w:type="dxa"/>
            <w:vMerge w:val="continue"/>
            <w:tcBorders>
              <w:left w:val="single" w:color="auto" w:sz="12" w:space="0"/>
            </w:tcBorders>
          </w:tcPr>
          <w:p>
            <w:pPr>
              <w:tabs>
                <w:tab w:val="left" w:pos="900"/>
              </w:tabs>
              <w:jc w:val="center"/>
            </w:pPr>
          </w:p>
        </w:tc>
        <w:tc>
          <w:tcPr>
            <w:tcW w:w="3699" w:type="dxa"/>
            <w:gridSpan w:val="3"/>
            <w:vMerge w:val="continue"/>
          </w:tcPr>
          <w:p>
            <w:pPr>
              <w:tabs>
                <w:tab w:val="left" w:pos="900"/>
              </w:tabs>
              <w:jc w:val="center"/>
            </w:pPr>
          </w:p>
        </w:tc>
        <w:tc>
          <w:tcPr>
            <w:tcW w:w="994" w:type="dxa"/>
          </w:tcPr>
          <w:p>
            <w:pPr>
              <w:tabs>
                <w:tab w:val="left" w:pos="900"/>
              </w:tabs>
              <w:jc w:val="center"/>
            </w:pPr>
          </w:p>
        </w:tc>
        <w:tc>
          <w:tcPr>
            <w:tcW w:w="995" w:type="dxa"/>
            <w:tcBorders>
              <w:right w:val="single" w:color="auto" w:sz="12" w:space="0"/>
            </w:tcBorders>
          </w:tcPr>
          <w:p>
            <w:pPr>
              <w:tabs>
                <w:tab w:val="left" w:pos="900"/>
              </w:tabs>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jc w:val="center"/>
        </w:trPr>
        <w:tc>
          <w:tcPr>
            <w:tcW w:w="14927" w:type="dxa"/>
            <w:vMerge w:val="continue"/>
            <w:tcBorders>
              <w:left w:val="single" w:color="auto" w:sz="12" w:space="0"/>
            </w:tcBorders>
          </w:tcPr>
          <w:p>
            <w:pPr>
              <w:tabs>
                <w:tab w:val="left" w:pos="900"/>
              </w:tabs>
              <w:jc w:val="center"/>
            </w:pPr>
          </w:p>
        </w:tc>
        <w:tc>
          <w:tcPr>
            <w:tcW w:w="994" w:type="dxa"/>
          </w:tcPr>
          <w:p>
            <w:pPr>
              <w:tabs>
                <w:tab w:val="left" w:pos="900"/>
              </w:tabs>
              <w:jc w:val="center"/>
            </w:pPr>
            <w:r>
              <w:rPr>
                <w:rFonts w:hint="eastAsia"/>
              </w:rPr>
              <w:t>设计</w:t>
            </w:r>
          </w:p>
        </w:tc>
        <w:tc>
          <w:tcPr>
            <w:tcW w:w="940" w:type="dxa"/>
          </w:tcPr>
          <w:p>
            <w:pPr>
              <w:tabs>
                <w:tab w:val="left" w:pos="900"/>
              </w:tabs>
              <w:jc w:val="center"/>
            </w:pPr>
          </w:p>
        </w:tc>
        <w:tc>
          <w:tcPr>
            <w:tcW w:w="3754" w:type="dxa"/>
            <w:gridSpan w:val="3"/>
            <w:vMerge w:val="restart"/>
            <w:tcBorders>
              <w:right w:val="single" w:color="auto" w:sz="12" w:space="0"/>
            </w:tcBorders>
            <w:vAlign w:val="center"/>
          </w:tcPr>
          <w:p>
            <w:pPr>
              <w:tabs>
                <w:tab w:val="left" w:pos="900"/>
              </w:tabs>
              <w:jc w:val="center"/>
            </w:pPr>
            <w:r>
              <w:rPr>
                <w:rFonts w:hint="eastAsia"/>
              </w:rPr>
              <w:t>现代电气控制系统安装与调试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jc w:val="center"/>
        </w:trPr>
        <w:tc>
          <w:tcPr>
            <w:tcW w:w="14927" w:type="dxa"/>
            <w:vMerge w:val="continue"/>
            <w:tcBorders>
              <w:left w:val="single" w:color="auto" w:sz="12" w:space="0"/>
              <w:bottom w:val="single" w:color="auto" w:sz="12" w:space="0"/>
            </w:tcBorders>
          </w:tcPr>
          <w:p>
            <w:pPr>
              <w:tabs>
                <w:tab w:val="left" w:pos="900"/>
              </w:tabs>
              <w:jc w:val="center"/>
            </w:pPr>
          </w:p>
        </w:tc>
        <w:tc>
          <w:tcPr>
            <w:tcW w:w="994" w:type="dxa"/>
            <w:tcBorders>
              <w:bottom w:val="single" w:color="auto" w:sz="12" w:space="0"/>
            </w:tcBorders>
          </w:tcPr>
          <w:p>
            <w:pPr>
              <w:tabs>
                <w:tab w:val="left" w:pos="900"/>
              </w:tabs>
              <w:jc w:val="center"/>
            </w:pPr>
            <w:r>
              <w:rPr>
                <w:rFonts w:hint="eastAsia"/>
              </w:rPr>
              <w:t>制图</w:t>
            </w:r>
          </w:p>
        </w:tc>
        <w:tc>
          <w:tcPr>
            <w:tcW w:w="940" w:type="dxa"/>
            <w:tcBorders>
              <w:bottom w:val="single" w:color="auto" w:sz="12" w:space="0"/>
            </w:tcBorders>
          </w:tcPr>
          <w:p>
            <w:pPr>
              <w:tabs>
                <w:tab w:val="left" w:pos="900"/>
              </w:tabs>
              <w:jc w:val="center"/>
            </w:pPr>
          </w:p>
        </w:tc>
        <w:tc>
          <w:tcPr>
            <w:tcW w:w="3754" w:type="dxa"/>
            <w:gridSpan w:val="3"/>
            <w:vMerge w:val="continue"/>
            <w:tcBorders>
              <w:bottom w:val="single" w:color="auto" w:sz="12" w:space="0"/>
              <w:right w:val="single" w:color="auto" w:sz="12" w:space="0"/>
            </w:tcBorders>
          </w:tcPr>
          <w:p>
            <w:pPr>
              <w:tabs>
                <w:tab w:val="left" w:pos="900"/>
              </w:tabs>
              <w:jc w:val="center"/>
            </w:pPr>
          </w:p>
        </w:tc>
      </w:tr>
    </w:tbl>
    <w:p>
      <w:pPr>
        <w:tabs>
          <w:tab w:val="left" w:pos="900"/>
        </w:tabs>
        <w:jc w:val="center"/>
      </w:pPr>
    </w:p>
    <w:tbl>
      <w:tblPr>
        <w:tblStyle w:val="9"/>
        <w:tblW w:w="20615" w:type="dxa"/>
        <w:jc w:val="center"/>
        <w:tblInd w:w="-42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27"/>
        <w:gridCol w:w="994"/>
        <w:gridCol w:w="940"/>
        <w:gridCol w:w="1765"/>
        <w:gridCol w:w="994"/>
        <w:gridCol w:w="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7" w:hRule="atLeast"/>
          <w:jc w:val="center"/>
        </w:trPr>
        <w:tc>
          <w:tcPr>
            <w:tcW w:w="14927" w:type="dxa"/>
            <w:vMerge w:val="restart"/>
            <w:tcBorders>
              <w:top w:val="single" w:color="auto" w:sz="12" w:space="0"/>
              <w:left w:val="single" w:color="auto" w:sz="12" w:space="0"/>
              <w:right w:val="nil"/>
            </w:tcBorders>
          </w:tcPr>
          <w:p>
            <w:pPr>
              <w:tabs>
                <w:tab w:val="left" w:pos="900"/>
              </w:tabs>
              <w:jc w:val="center"/>
            </w:pPr>
          </w:p>
        </w:tc>
        <w:tc>
          <w:tcPr>
            <w:tcW w:w="5688" w:type="dxa"/>
            <w:gridSpan w:val="5"/>
            <w:tcBorders>
              <w:top w:val="single" w:color="auto" w:sz="12" w:space="0"/>
              <w:left w:val="nil"/>
              <w:right w:val="single" w:color="auto" w:sz="12" w:space="0"/>
            </w:tcBorders>
          </w:tcPr>
          <w:p>
            <w:pPr>
              <w:tabs>
                <w:tab w:val="left" w:pos="900"/>
              </w:tabs>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jc w:val="center"/>
        </w:trPr>
        <w:tc>
          <w:tcPr>
            <w:tcW w:w="14927" w:type="dxa"/>
            <w:vMerge w:val="continue"/>
            <w:tcBorders>
              <w:left w:val="single" w:color="auto" w:sz="12" w:space="0"/>
            </w:tcBorders>
          </w:tcPr>
          <w:p>
            <w:pPr>
              <w:tabs>
                <w:tab w:val="left" w:pos="900"/>
              </w:tabs>
              <w:jc w:val="center"/>
            </w:pPr>
          </w:p>
        </w:tc>
        <w:tc>
          <w:tcPr>
            <w:tcW w:w="3699" w:type="dxa"/>
            <w:gridSpan w:val="3"/>
            <w:vMerge w:val="restart"/>
          </w:tcPr>
          <w:p>
            <w:pPr>
              <w:tabs>
                <w:tab w:val="left" w:pos="900"/>
              </w:tabs>
              <w:jc w:val="center"/>
            </w:pPr>
          </w:p>
        </w:tc>
        <w:tc>
          <w:tcPr>
            <w:tcW w:w="994" w:type="dxa"/>
          </w:tcPr>
          <w:p>
            <w:pPr>
              <w:tabs>
                <w:tab w:val="left" w:pos="900"/>
              </w:tabs>
              <w:jc w:val="center"/>
            </w:pPr>
            <w:r>
              <w:rPr>
                <w:rFonts w:hint="eastAsia"/>
              </w:rPr>
              <w:t>图号</w:t>
            </w:r>
          </w:p>
        </w:tc>
        <w:tc>
          <w:tcPr>
            <w:tcW w:w="995" w:type="dxa"/>
            <w:tcBorders>
              <w:right w:val="single" w:color="auto" w:sz="12" w:space="0"/>
            </w:tcBorders>
          </w:tcPr>
          <w:p>
            <w:pPr>
              <w:tabs>
                <w:tab w:val="left" w:pos="900"/>
              </w:tabs>
              <w:jc w:val="center"/>
            </w:pPr>
            <w:r>
              <w:rPr>
                <w:rFonts w:hint="eastAsia"/>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jc w:val="center"/>
        </w:trPr>
        <w:tc>
          <w:tcPr>
            <w:tcW w:w="14927" w:type="dxa"/>
            <w:vMerge w:val="continue"/>
            <w:tcBorders>
              <w:left w:val="single" w:color="auto" w:sz="12" w:space="0"/>
            </w:tcBorders>
          </w:tcPr>
          <w:p>
            <w:pPr>
              <w:tabs>
                <w:tab w:val="left" w:pos="900"/>
              </w:tabs>
              <w:jc w:val="center"/>
            </w:pPr>
          </w:p>
        </w:tc>
        <w:tc>
          <w:tcPr>
            <w:tcW w:w="3699" w:type="dxa"/>
            <w:gridSpan w:val="3"/>
            <w:vMerge w:val="continue"/>
          </w:tcPr>
          <w:p>
            <w:pPr>
              <w:tabs>
                <w:tab w:val="left" w:pos="900"/>
              </w:tabs>
              <w:jc w:val="center"/>
            </w:pPr>
          </w:p>
        </w:tc>
        <w:tc>
          <w:tcPr>
            <w:tcW w:w="994" w:type="dxa"/>
          </w:tcPr>
          <w:p>
            <w:pPr>
              <w:tabs>
                <w:tab w:val="left" w:pos="900"/>
              </w:tabs>
              <w:jc w:val="center"/>
            </w:pPr>
          </w:p>
        </w:tc>
        <w:tc>
          <w:tcPr>
            <w:tcW w:w="995" w:type="dxa"/>
            <w:tcBorders>
              <w:right w:val="single" w:color="auto" w:sz="12" w:space="0"/>
            </w:tcBorders>
          </w:tcPr>
          <w:p>
            <w:pPr>
              <w:tabs>
                <w:tab w:val="left" w:pos="900"/>
              </w:tabs>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jc w:val="center"/>
        </w:trPr>
        <w:tc>
          <w:tcPr>
            <w:tcW w:w="14927" w:type="dxa"/>
            <w:vMerge w:val="continue"/>
            <w:tcBorders>
              <w:left w:val="single" w:color="auto" w:sz="12" w:space="0"/>
            </w:tcBorders>
          </w:tcPr>
          <w:p>
            <w:pPr>
              <w:tabs>
                <w:tab w:val="left" w:pos="900"/>
              </w:tabs>
              <w:jc w:val="center"/>
            </w:pPr>
          </w:p>
        </w:tc>
        <w:tc>
          <w:tcPr>
            <w:tcW w:w="994" w:type="dxa"/>
          </w:tcPr>
          <w:p>
            <w:pPr>
              <w:tabs>
                <w:tab w:val="left" w:pos="900"/>
              </w:tabs>
              <w:jc w:val="center"/>
            </w:pPr>
            <w:r>
              <w:rPr>
                <w:rFonts w:hint="eastAsia"/>
              </w:rPr>
              <w:t>设计</w:t>
            </w:r>
          </w:p>
        </w:tc>
        <w:tc>
          <w:tcPr>
            <w:tcW w:w="940" w:type="dxa"/>
          </w:tcPr>
          <w:p>
            <w:pPr>
              <w:tabs>
                <w:tab w:val="left" w:pos="900"/>
              </w:tabs>
              <w:jc w:val="center"/>
            </w:pPr>
          </w:p>
        </w:tc>
        <w:tc>
          <w:tcPr>
            <w:tcW w:w="3754" w:type="dxa"/>
            <w:gridSpan w:val="3"/>
            <w:vMerge w:val="restart"/>
            <w:tcBorders>
              <w:right w:val="single" w:color="auto" w:sz="12" w:space="0"/>
            </w:tcBorders>
            <w:vAlign w:val="center"/>
          </w:tcPr>
          <w:p>
            <w:pPr>
              <w:tabs>
                <w:tab w:val="left" w:pos="900"/>
              </w:tabs>
              <w:jc w:val="center"/>
            </w:pPr>
            <w:r>
              <w:rPr>
                <w:rFonts w:hint="eastAsia"/>
              </w:rPr>
              <w:t>现代电气控制系统安装与调试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jc w:val="center"/>
        </w:trPr>
        <w:tc>
          <w:tcPr>
            <w:tcW w:w="14927" w:type="dxa"/>
            <w:vMerge w:val="continue"/>
            <w:tcBorders>
              <w:left w:val="single" w:color="auto" w:sz="12" w:space="0"/>
              <w:bottom w:val="single" w:color="auto" w:sz="12" w:space="0"/>
            </w:tcBorders>
          </w:tcPr>
          <w:p>
            <w:pPr>
              <w:tabs>
                <w:tab w:val="left" w:pos="900"/>
              </w:tabs>
              <w:jc w:val="center"/>
            </w:pPr>
          </w:p>
        </w:tc>
        <w:tc>
          <w:tcPr>
            <w:tcW w:w="994" w:type="dxa"/>
            <w:tcBorders>
              <w:bottom w:val="single" w:color="auto" w:sz="12" w:space="0"/>
            </w:tcBorders>
          </w:tcPr>
          <w:p>
            <w:pPr>
              <w:tabs>
                <w:tab w:val="left" w:pos="900"/>
              </w:tabs>
              <w:jc w:val="center"/>
            </w:pPr>
            <w:r>
              <w:rPr>
                <w:rFonts w:hint="eastAsia"/>
              </w:rPr>
              <w:t>制图</w:t>
            </w:r>
          </w:p>
        </w:tc>
        <w:tc>
          <w:tcPr>
            <w:tcW w:w="940" w:type="dxa"/>
            <w:tcBorders>
              <w:bottom w:val="single" w:color="auto" w:sz="12" w:space="0"/>
            </w:tcBorders>
          </w:tcPr>
          <w:p>
            <w:pPr>
              <w:tabs>
                <w:tab w:val="left" w:pos="900"/>
              </w:tabs>
              <w:jc w:val="center"/>
            </w:pPr>
          </w:p>
        </w:tc>
        <w:tc>
          <w:tcPr>
            <w:tcW w:w="3754" w:type="dxa"/>
            <w:gridSpan w:val="3"/>
            <w:vMerge w:val="continue"/>
            <w:tcBorders>
              <w:bottom w:val="single" w:color="auto" w:sz="12" w:space="0"/>
              <w:right w:val="single" w:color="auto" w:sz="12" w:space="0"/>
            </w:tcBorders>
          </w:tcPr>
          <w:p>
            <w:pPr>
              <w:tabs>
                <w:tab w:val="left" w:pos="900"/>
              </w:tabs>
              <w:jc w:val="center"/>
            </w:pPr>
          </w:p>
        </w:tc>
      </w:tr>
    </w:tbl>
    <w:p>
      <w:pPr>
        <w:tabs>
          <w:tab w:val="left" w:pos="900"/>
        </w:tabs>
        <w:jc w:val="center"/>
      </w:pPr>
    </w:p>
    <w:sectPr>
      <w:headerReference r:id="rId4" w:type="default"/>
      <w:footerReference r:id="rId5" w:type="default"/>
      <w:pgSz w:w="23814"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PROKST+FZFSJW--GB1-0">
    <w:altName w:val="宋体"/>
    <w:panose1 w:val="00000000000000000000"/>
    <w:charset w:val="86"/>
    <w:family w:val="roma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rect id="_x0000_s23555" o:spid="_x0000_s23555" o:spt="1"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30</w:t>
                </w:r>
                <w:r>
                  <w:rPr>
                    <w:rFonts w:hint="eastAsia"/>
                    <w:sz w:val="18"/>
                  </w:rP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rect id="文本框6" o:spid="_x0000_s23553" o:spt="1"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63</w:t>
                </w:r>
                <w:r>
                  <w:rPr>
                    <w:rFonts w:hint="eastAsia"/>
                    <w:sz w:val="18"/>
                  </w:rP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152719"/>
    <w:multiLevelType w:val="singleLevel"/>
    <w:tmpl w:val="A3152719"/>
    <w:lvl w:ilvl="0" w:tentative="0">
      <w:start w:val="2"/>
      <w:numFmt w:val="chineseCounting"/>
      <w:suff w:val="nothing"/>
      <w:lvlText w:val="（%1）"/>
      <w:lvlJc w:val="left"/>
      <w:rPr>
        <w:rFonts w:hint="eastAsia"/>
      </w:rPr>
    </w:lvl>
  </w:abstractNum>
  <w:abstractNum w:abstractNumId="1">
    <w:nsid w:val="00FF642B"/>
    <w:multiLevelType w:val="multilevel"/>
    <w:tmpl w:val="00FF642B"/>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3877B95"/>
    <w:multiLevelType w:val="singleLevel"/>
    <w:tmpl w:val="03877B95"/>
    <w:lvl w:ilvl="0" w:tentative="0">
      <w:start w:val="3"/>
      <w:numFmt w:val="chineseCounting"/>
      <w:suff w:val="nothing"/>
      <w:lvlText w:val="（%1）"/>
      <w:lvlJc w:val="left"/>
      <w:rPr>
        <w:rFonts w:hint="eastAsia"/>
      </w:rPr>
    </w:lvl>
  </w:abstractNum>
  <w:abstractNum w:abstractNumId="3">
    <w:nsid w:val="0B2D7692"/>
    <w:multiLevelType w:val="multilevel"/>
    <w:tmpl w:val="0B2D7692"/>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DFD4383"/>
    <w:multiLevelType w:val="multilevel"/>
    <w:tmpl w:val="0DFD4383"/>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75312E"/>
    <w:multiLevelType w:val="multilevel"/>
    <w:tmpl w:val="2175312E"/>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BA478D1"/>
    <w:multiLevelType w:val="multilevel"/>
    <w:tmpl w:val="2BA478D1"/>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3F03FDA"/>
    <w:multiLevelType w:val="multilevel"/>
    <w:tmpl w:val="33F03FDA"/>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C2510AC"/>
    <w:multiLevelType w:val="multilevel"/>
    <w:tmpl w:val="3C2510AC"/>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80821A7"/>
    <w:multiLevelType w:val="multilevel"/>
    <w:tmpl w:val="480821A7"/>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C9D78AF"/>
    <w:multiLevelType w:val="multilevel"/>
    <w:tmpl w:val="4C9D78AF"/>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8950EE0"/>
    <w:multiLevelType w:val="multilevel"/>
    <w:tmpl w:val="58950EE0"/>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9E7FD89"/>
    <w:multiLevelType w:val="singleLevel"/>
    <w:tmpl w:val="59E7FD89"/>
    <w:lvl w:ilvl="0" w:tentative="0">
      <w:start w:val="1"/>
      <w:numFmt w:val="decimal"/>
      <w:suff w:val="nothing"/>
      <w:lvlText w:val="（%1）"/>
      <w:lvlJc w:val="left"/>
    </w:lvl>
  </w:abstractNum>
  <w:abstractNum w:abstractNumId="13">
    <w:nsid w:val="59E81797"/>
    <w:multiLevelType w:val="singleLevel"/>
    <w:tmpl w:val="59E81797"/>
    <w:lvl w:ilvl="0" w:tentative="0">
      <w:start w:val="1"/>
      <w:numFmt w:val="decimalEnclosedCircleChinese"/>
      <w:suff w:val="nothing"/>
      <w:lvlText w:val="%1　"/>
      <w:lvlJc w:val="left"/>
      <w:pPr>
        <w:ind w:left="0" w:firstLine="400"/>
      </w:pPr>
      <w:rPr>
        <w:rFonts w:hint="eastAsia"/>
      </w:rPr>
    </w:lvl>
  </w:abstractNum>
  <w:abstractNum w:abstractNumId="14">
    <w:nsid w:val="5A11398D"/>
    <w:multiLevelType w:val="singleLevel"/>
    <w:tmpl w:val="5A11398D"/>
    <w:lvl w:ilvl="0" w:tentative="0">
      <w:start w:val="1"/>
      <w:numFmt w:val="decimalEnclosedCircleChinese"/>
      <w:suff w:val="nothing"/>
      <w:lvlText w:val="%1 "/>
      <w:lvlJc w:val="left"/>
    </w:lvl>
  </w:abstractNum>
  <w:num w:numId="1">
    <w:abstractNumId w:val="0"/>
  </w:num>
  <w:num w:numId="2">
    <w:abstractNumId w:val="2"/>
  </w:num>
  <w:num w:numId="3">
    <w:abstractNumId w:val="4"/>
  </w:num>
  <w:num w:numId="4">
    <w:abstractNumId w:val="1"/>
  </w:num>
  <w:num w:numId="5">
    <w:abstractNumId w:val="9"/>
  </w:num>
  <w:num w:numId="6">
    <w:abstractNumId w:val="6"/>
  </w:num>
  <w:num w:numId="7">
    <w:abstractNumId w:val="3"/>
  </w:num>
  <w:num w:numId="8">
    <w:abstractNumId w:val="5"/>
  </w:num>
  <w:num w:numId="9">
    <w:abstractNumId w:val="7"/>
  </w:num>
  <w:num w:numId="10">
    <w:abstractNumId w:val="11"/>
  </w:num>
  <w:num w:numId="11">
    <w:abstractNumId w:val="8"/>
  </w:num>
  <w:num w:numId="12">
    <w:abstractNumId w:val="10"/>
  </w:num>
  <w:num w:numId="13">
    <w:abstractNumId w:val="14"/>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2C77"/>
    <w:rsid w:val="00005045"/>
    <w:rsid w:val="00005113"/>
    <w:rsid w:val="000076B9"/>
    <w:rsid w:val="00007A59"/>
    <w:rsid w:val="00010282"/>
    <w:rsid w:val="00010C07"/>
    <w:rsid w:val="000113DB"/>
    <w:rsid w:val="0001190E"/>
    <w:rsid w:val="00016795"/>
    <w:rsid w:val="00023080"/>
    <w:rsid w:val="00024665"/>
    <w:rsid w:val="00027829"/>
    <w:rsid w:val="00030DC5"/>
    <w:rsid w:val="00031B29"/>
    <w:rsid w:val="00034FD0"/>
    <w:rsid w:val="00035389"/>
    <w:rsid w:val="00042278"/>
    <w:rsid w:val="00042467"/>
    <w:rsid w:val="00046FEF"/>
    <w:rsid w:val="00047BC1"/>
    <w:rsid w:val="00052BE5"/>
    <w:rsid w:val="00053825"/>
    <w:rsid w:val="00053C44"/>
    <w:rsid w:val="00053E0F"/>
    <w:rsid w:val="0005404E"/>
    <w:rsid w:val="00055587"/>
    <w:rsid w:val="000613FA"/>
    <w:rsid w:val="00061929"/>
    <w:rsid w:val="000656D1"/>
    <w:rsid w:val="000663CF"/>
    <w:rsid w:val="000677A5"/>
    <w:rsid w:val="00070C98"/>
    <w:rsid w:val="00071013"/>
    <w:rsid w:val="00071A7C"/>
    <w:rsid w:val="00071B4F"/>
    <w:rsid w:val="00072229"/>
    <w:rsid w:val="00072D0F"/>
    <w:rsid w:val="000737A1"/>
    <w:rsid w:val="00075776"/>
    <w:rsid w:val="00075A66"/>
    <w:rsid w:val="0007611B"/>
    <w:rsid w:val="00081881"/>
    <w:rsid w:val="00084ABB"/>
    <w:rsid w:val="00085007"/>
    <w:rsid w:val="00085CB3"/>
    <w:rsid w:val="00087AD5"/>
    <w:rsid w:val="000917D3"/>
    <w:rsid w:val="0009467C"/>
    <w:rsid w:val="00094937"/>
    <w:rsid w:val="00096936"/>
    <w:rsid w:val="000979F8"/>
    <w:rsid w:val="00097D1A"/>
    <w:rsid w:val="000A4BC9"/>
    <w:rsid w:val="000A77CD"/>
    <w:rsid w:val="000B0C8A"/>
    <w:rsid w:val="000B2BA7"/>
    <w:rsid w:val="000B50A0"/>
    <w:rsid w:val="000D0097"/>
    <w:rsid w:val="000D0B57"/>
    <w:rsid w:val="000D1907"/>
    <w:rsid w:val="000D1EAF"/>
    <w:rsid w:val="000D6123"/>
    <w:rsid w:val="000D729F"/>
    <w:rsid w:val="000D762A"/>
    <w:rsid w:val="000D7726"/>
    <w:rsid w:val="000E0734"/>
    <w:rsid w:val="000E2127"/>
    <w:rsid w:val="000E24E1"/>
    <w:rsid w:val="000E53F7"/>
    <w:rsid w:val="000F2671"/>
    <w:rsid w:val="000F38CC"/>
    <w:rsid w:val="000F56C1"/>
    <w:rsid w:val="00103C70"/>
    <w:rsid w:val="001044FB"/>
    <w:rsid w:val="0010484C"/>
    <w:rsid w:val="001106B6"/>
    <w:rsid w:val="0011098E"/>
    <w:rsid w:val="0011139E"/>
    <w:rsid w:val="00112AD6"/>
    <w:rsid w:val="00113270"/>
    <w:rsid w:val="001178E2"/>
    <w:rsid w:val="001219D4"/>
    <w:rsid w:val="00122D2B"/>
    <w:rsid w:val="0012396F"/>
    <w:rsid w:val="001248D2"/>
    <w:rsid w:val="00124FE5"/>
    <w:rsid w:val="00125E97"/>
    <w:rsid w:val="00127458"/>
    <w:rsid w:val="00130A25"/>
    <w:rsid w:val="001343EB"/>
    <w:rsid w:val="00140175"/>
    <w:rsid w:val="00140647"/>
    <w:rsid w:val="00142499"/>
    <w:rsid w:val="00142C4F"/>
    <w:rsid w:val="001437DC"/>
    <w:rsid w:val="00143EC9"/>
    <w:rsid w:val="00144A80"/>
    <w:rsid w:val="001508F6"/>
    <w:rsid w:val="00152588"/>
    <w:rsid w:val="001525B0"/>
    <w:rsid w:val="00153839"/>
    <w:rsid w:val="00153B58"/>
    <w:rsid w:val="001562E7"/>
    <w:rsid w:val="00157010"/>
    <w:rsid w:val="001570EB"/>
    <w:rsid w:val="00157A0F"/>
    <w:rsid w:val="00162696"/>
    <w:rsid w:val="00162D04"/>
    <w:rsid w:val="00164528"/>
    <w:rsid w:val="00166560"/>
    <w:rsid w:val="00170834"/>
    <w:rsid w:val="00170909"/>
    <w:rsid w:val="00171AD9"/>
    <w:rsid w:val="00172999"/>
    <w:rsid w:val="00172A27"/>
    <w:rsid w:val="001745DC"/>
    <w:rsid w:val="00176E20"/>
    <w:rsid w:val="0017729A"/>
    <w:rsid w:val="0018119B"/>
    <w:rsid w:val="00181D14"/>
    <w:rsid w:val="00187314"/>
    <w:rsid w:val="00196C76"/>
    <w:rsid w:val="0019778C"/>
    <w:rsid w:val="001A0BB4"/>
    <w:rsid w:val="001A3BD9"/>
    <w:rsid w:val="001A43EA"/>
    <w:rsid w:val="001A6C49"/>
    <w:rsid w:val="001B0106"/>
    <w:rsid w:val="001B4882"/>
    <w:rsid w:val="001B4BC2"/>
    <w:rsid w:val="001C4142"/>
    <w:rsid w:val="001D472D"/>
    <w:rsid w:val="001E01A0"/>
    <w:rsid w:val="001E1391"/>
    <w:rsid w:val="001E6AF0"/>
    <w:rsid w:val="001E6F92"/>
    <w:rsid w:val="001E7077"/>
    <w:rsid w:val="001F0327"/>
    <w:rsid w:val="001F0782"/>
    <w:rsid w:val="001F188F"/>
    <w:rsid w:val="001F24D2"/>
    <w:rsid w:val="001F51A4"/>
    <w:rsid w:val="001F528A"/>
    <w:rsid w:val="002007E2"/>
    <w:rsid w:val="00202CBD"/>
    <w:rsid w:val="00205075"/>
    <w:rsid w:val="00207B8F"/>
    <w:rsid w:val="0021010B"/>
    <w:rsid w:val="00210735"/>
    <w:rsid w:val="002107FA"/>
    <w:rsid w:val="0021126A"/>
    <w:rsid w:val="00212B07"/>
    <w:rsid w:val="00212BE8"/>
    <w:rsid w:val="00226CAF"/>
    <w:rsid w:val="00227B7D"/>
    <w:rsid w:val="0023125D"/>
    <w:rsid w:val="00231397"/>
    <w:rsid w:val="0023666A"/>
    <w:rsid w:val="00236917"/>
    <w:rsid w:val="002404CF"/>
    <w:rsid w:val="00240EF9"/>
    <w:rsid w:val="00241876"/>
    <w:rsid w:val="00244BF1"/>
    <w:rsid w:val="00246BFB"/>
    <w:rsid w:val="002511B2"/>
    <w:rsid w:val="00251A2E"/>
    <w:rsid w:val="00252A2F"/>
    <w:rsid w:val="002548C5"/>
    <w:rsid w:val="00255801"/>
    <w:rsid w:val="00255A6F"/>
    <w:rsid w:val="00256A4F"/>
    <w:rsid w:val="00256C37"/>
    <w:rsid w:val="00261E49"/>
    <w:rsid w:val="00270232"/>
    <w:rsid w:val="00277EEF"/>
    <w:rsid w:val="00282BBC"/>
    <w:rsid w:val="00284BA1"/>
    <w:rsid w:val="00287ABB"/>
    <w:rsid w:val="00287B4A"/>
    <w:rsid w:val="00287E0F"/>
    <w:rsid w:val="00294BAD"/>
    <w:rsid w:val="002A0B67"/>
    <w:rsid w:val="002A3D40"/>
    <w:rsid w:val="002A5EEC"/>
    <w:rsid w:val="002A69BB"/>
    <w:rsid w:val="002A7825"/>
    <w:rsid w:val="002B4BC0"/>
    <w:rsid w:val="002B6193"/>
    <w:rsid w:val="002B73D8"/>
    <w:rsid w:val="002B7527"/>
    <w:rsid w:val="002C21B4"/>
    <w:rsid w:val="002C2B0B"/>
    <w:rsid w:val="002C64B4"/>
    <w:rsid w:val="002C6E94"/>
    <w:rsid w:val="002D0B10"/>
    <w:rsid w:val="002D42D2"/>
    <w:rsid w:val="002D51EA"/>
    <w:rsid w:val="002D539F"/>
    <w:rsid w:val="002D694C"/>
    <w:rsid w:val="002E2646"/>
    <w:rsid w:val="002E5FB0"/>
    <w:rsid w:val="002E6388"/>
    <w:rsid w:val="002E64C1"/>
    <w:rsid w:val="002E78BD"/>
    <w:rsid w:val="002F064C"/>
    <w:rsid w:val="002F2205"/>
    <w:rsid w:val="002F259A"/>
    <w:rsid w:val="002F3118"/>
    <w:rsid w:val="002F466C"/>
    <w:rsid w:val="002F6A1E"/>
    <w:rsid w:val="00302D57"/>
    <w:rsid w:val="00306886"/>
    <w:rsid w:val="00307A56"/>
    <w:rsid w:val="0031422D"/>
    <w:rsid w:val="00315606"/>
    <w:rsid w:val="003164F9"/>
    <w:rsid w:val="0032175F"/>
    <w:rsid w:val="00321BC1"/>
    <w:rsid w:val="003225D3"/>
    <w:rsid w:val="00330FCF"/>
    <w:rsid w:val="00331DFB"/>
    <w:rsid w:val="0033266F"/>
    <w:rsid w:val="00340C6F"/>
    <w:rsid w:val="00341C9E"/>
    <w:rsid w:val="00342749"/>
    <w:rsid w:val="00343437"/>
    <w:rsid w:val="003449A0"/>
    <w:rsid w:val="0034537B"/>
    <w:rsid w:val="00346DE6"/>
    <w:rsid w:val="00347F16"/>
    <w:rsid w:val="00352A23"/>
    <w:rsid w:val="00354AAB"/>
    <w:rsid w:val="00356DF6"/>
    <w:rsid w:val="00356F08"/>
    <w:rsid w:val="00360CC3"/>
    <w:rsid w:val="00363AD4"/>
    <w:rsid w:val="00364360"/>
    <w:rsid w:val="003644F1"/>
    <w:rsid w:val="003647EA"/>
    <w:rsid w:val="00365918"/>
    <w:rsid w:val="003715B1"/>
    <w:rsid w:val="00371F54"/>
    <w:rsid w:val="00371FB3"/>
    <w:rsid w:val="00376CAB"/>
    <w:rsid w:val="00380941"/>
    <w:rsid w:val="00380A20"/>
    <w:rsid w:val="00380DB5"/>
    <w:rsid w:val="00380F5B"/>
    <w:rsid w:val="003816B2"/>
    <w:rsid w:val="00384B41"/>
    <w:rsid w:val="00385072"/>
    <w:rsid w:val="00392DDE"/>
    <w:rsid w:val="003939D6"/>
    <w:rsid w:val="00394E12"/>
    <w:rsid w:val="00395A7B"/>
    <w:rsid w:val="00395DB0"/>
    <w:rsid w:val="003A3C9B"/>
    <w:rsid w:val="003A70AF"/>
    <w:rsid w:val="003B1379"/>
    <w:rsid w:val="003B2242"/>
    <w:rsid w:val="003B4F4A"/>
    <w:rsid w:val="003C5531"/>
    <w:rsid w:val="003D08AD"/>
    <w:rsid w:val="003D18D5"/>
    <w:rsid w:val="003D3924"/>
    <w:rsid w:val="003D64B5"/>
    <w:rsid w:val="003D6D07"/>
    <w:rsid w:val="003D74AC"/>
    <w:rsid w:val="003E062E"/>
    <w:rsid w:val="003E1AD5"/>
    <w:rsid w:val="003E1E16"/>
    <w:rsid w:val="003E3119"/>
    <w:rsid w:val="003E3E16"/>
    <w:rsid w:val="003E4728"/>
    <w:rsid w:val="003E705F"/>
    <w:rsid w:val="003F11C5"/>
    <w:rsid w:val="003F11D5"/>
    <w:rsid w:val="003F527A"/>
    <w:rsid w:val="003F5318"/>
    <w:rsid w:val="003F597C"/>
    <w:rsid w:val="003F6C86"/>
    <w:rsid w:val="004000A5"/>
    <w:rsid w:val="0040564F"/>
    <w:rsid w:val="004071FD"/>
    <w:rsid w:val="00407FBF"/>
    <w:rsid w:val="00411A5D"/>
    <w:rsid w:val="0041466D"/>
    <w:rsid w:val="00417066"/>
    <w:rsid w:val="00417EE0"/>
    <w:rsid w:val="004219EB"/>
    <w:rsid w:val="00422A7F"/>
    <w:rsid w:val="00424B81"/>
    <w:rsid w:val="00427686"/>
    <w:rsid w:val="004308A8"/>
    <w:rsid w:val="0043187A"/>
    <w:rsid w:val="00432792"/>
    <w:rsid w:val="00433017"/>
    <w:rsid w:val="00433B21"/>
    <w:rsid w:val="00434224"/>
    <w:rsid w:val="00445630"/>
    <w:rsid w:val="00451C89"/>
    <w:rsid w:val="00453BA0"/>
    <w:rsid w:val="004559D1"/>
    <w:rsid w:val="004578C1"/>
    <w:rsid w:val="00464BB2"/>
    <w:rsid w:val="00465914"/>
    <w:rsid w:val="00465970"/>
    <w:rsid w:val="0046624B"/>
    <w:rsid w:val="0047189B"/>
    <w:rsid w:val="004721C4"/>
    <w:rsid w:val="00473705"/>
    <w:rsid w:val="00473A88"/>
    <w:rsid w:val="004740E5"/>
    <w:rsid w:val="00474BEE"/>
    <w:rsid w:val="0047763B"/>
    <w:rsid w:val="00482D71"/>
    <w:rsid w:val="00483DA6"/>
    <w:rsid w:val="004847C1"/>
    <w:rsid w:val="004849C8"/>
    <w:rsid w:val="00484EBD"/>
    <w:rsid w:val="00485F22"/>
    <w:rsid w:val="00486A2E"/>
    <w:rsid w:val="00487595"/>
    <w:rsid w:val="00490EBE"/>
    <w:rsid w:val="0049614B"/>
    <w:rsid w:val="004968BE"/>
    <w:rsid w:val="00496B03"/>
    <w:rsid w:val="004A44A4"/>
    <w:rsid w:val="004A4BC8"/>
    <w:rsid w:val="004A5CCB"/>
    <w:rsid w:val="004A7121"/>
    <w:rsid w:val="004B4627"/>
    <w:rsid w:val="004B4FDE"/>
    <w:rsid w:val="004B6DE9"/>
    <w:rsid w:val="004C19CF"/>
    <w:rsid w:val="004C26D4"/>
    <w:rsid w:val="004C2B5B"/>
    <w:rsid w:val="004C4114"/>
    <w:rsid w:val="004D0339"/>
    <w:rsid w:val="004D057A"/>
    <w:rsid w:val="004D2009"/>
    <w:rsid w:val="004D2652"/>
    <w:rsid w:val="004D7B44"/>
    <w:rsid w:val="004E1959"/>
    <w:rsid w:val="004E2F4B"/>
    <w:rsid w:val="004E3C98"/>
    <w:rsid w:val="004F0471"/>
    <w:rsid w:val="004F17DA"/>
    <w:rsid w:val="004F1D02"/>
    <w:rsid w:val="004F38DB"/>
    <w:rsid w:val="004F45AE"/>
    <w:rsid w:val="004F46A1"/>
    <w:rsid w:val="004F4B37"/>
    <w:rsid w:val="00500367"/>
    <w:rsid w:val="00503527"/>
    <w:rsid w:val="005036CA"/>
    <w:rsid w:val="00503DA3"/>
    <w:rsid w:val="00504804"/>
    <w:rsid w:val="005051A8"/>
    <w:rsid w:val="00505784"/>
    <w:rsid w:val="0050590D"/>
    <w:rsid w:val="00507838"/>
    <w:rsid w:val="005114FB"/>
    <w:rsid w:val="0051442F"/>
    <w:rsid w:val="005145CF"/>
    <w:rsid w:val="00516365"/>
    <w:rsid w:val="005170EB"/>
    <w:rsid w:val="00517349"/>
    <w:rsid w:val="00523E23"/>
    <w:rsid w:val="00524085"/>
    <w:rsid w:val="00524FD5"/>
    <w:rsid w:val="00535F4E"/>
    <w:rsid w:val="0053679B"/>
    <w:rsid w:val="005369CC"/>
    <w:rsid w:val="0053726C"/>
    <w:rsid w:val="00540D93"/>
    <w:rsid w:val="005431C9"/>
    <w:rsid w:val="00543F4B"/>
    <w:rsid w:val="0054440E"/>
    <w:rsid w:val="005471B8"/>
    <w:rsid w:val="005502D0"/>
    <w:rsid w:val="005542F3"/>
    <w:rsid w:val="00554DCD"/>
    <w:rsid w:val="0055508D"/>
    <w:rsid w:val="00560D98"/>
    <w:rsid w:val="00567389"/>
    <w:rsid w:val="00574E6F"/>
    <w:rsid w:val="00575E91"/>
    <w:rsid w:val="00576A48"/>
    <w:rsid w:val="00577119"/>
    <w:rsid w:val="005807B1"/>
    <w:rsid w:val="005817DA"/>
    <w:rsid w:val="0058356E"/>
    <w:rsid w:val="00583DDC"/>
    <w:rsid w:val="00584B3F"/>
    <w:rsid w:val="00590925"/>
    <w:rsid w:val="00591B9C"/>
    <w:rsid w:val="00591ED4"/>
    <w:rsid w:val="00595802"/>
    <w:rsid w:val="00595A68"/>
    <w:rsid w:val="00596D1D"/>
    <w:rsid w:val="005A0D4D"/>
    <w:rsid w:val="005A1164"/>
    <w:rsid w:val="005A1840"/>
    <w:rsid w:val="005A2EBD"/>
    <w:rsid w:val="005A440A"/>
    <w:rsid w:val="005A4696"/>
    <w:rsid w:val="005A679A"/>
    <w:rsid w:val="005A6DD0"/>
    <w:rsid w:val="005B27E8"/>
    <w:rsid w:val="005B3091"/>
    <w:rsid w:val="005B59FF"/>
    <w:rsid w:val="005B5B64"/>
    <w:rsid w:val="005C1855"/>
    <w:rsid w:val="005C60C7"/>
    <w:rsid w:val="005D6B86"/>
    <w:rsid w:val="005E1816"/>
    <w:rsid w:val="005E6605"/>
    <w:rsid w:val="005F056B"/>
    <w:rsid w:val="005F1AD5"/>
    <w:rsid w:val="005F27B3"/>
    <w:rsid w:val="005F3922"/>
    <w:rsid w:val="005F5074"/>
    <w:rsid w:val="005F707D"/>
    <w:rsid w:val="005F7348"/>
    <w:rsid w:val="006025A5"/>
    <w:rsid w:val="0060474F"/>
    <w:rsid w:val="00606AB7"/>
    <w:rsid w:val="00607857"/>
    <w:rsid w:val="00610550"/>
    <w:rsid w:val="00611673"/>
    <w:rsid w:val="006120E4"/>
    <w:rsid w:val="00612726"/>
    <w:rsid w:val="00615CE3"/>
    <w:rsid w:val="00616012"/>
    <w:rsid w:val="006173A8"/>
    <w:rsid w:val="00620A08"/>
    <w:rsid w:val="006354CA"/>
    <w:rsid w:val="0063598C"/>
    <w:rsid w:val="00635E3B"/>
    <w:rsid w:val="00636CB5"/>
    <w:rsid w:val="00640AD8"/>
    <w:rsid w:val="006410B1"/>
    <w:rsid w:val="00642C5F"/>
    <w:rsid w:val="006460E7"/>
    <w:rsid w:val="00650683"/>
    <w:rsid w:val="00651D46"/>
    <w:rsid w:val="00653021"/>
    <w:rsid w:val="00653517"/>
    <w:rsid w:val="00656F1E"/>
    <w:rsid w:val="006602AF"/>
    <w:rsid w:val="0066253B"/>
    <w:rsid w:val="0066377E"/>
    <w:rsid w:val="00664421"/>
    <w:rsid w:val="00664D70"/>
    <w:rsid w:val="0066555C"/>
    <w:rsid w:val="006670E0"/>
    <w:rsid w:val="00674735"/>
    <w:rsid w:val="00675214"/>
    <w:rsid w:val="00675BAE"/>
    <w:rsid w:val="006761DE"/>
    <w:rsid w:val="006815DC"/>
    <w:rsid w:val="006818BC"/>
    <w:rsid w:val="00681DA4"/>
    <w:rsid w:val="0068280F"/>
    <w:rsid w:val="00685391"/>
    <w:rsid w:val="00686026"/>
    <w:rsid w:val="006872D4"/>
    <w:rsid w:val="00687378"/>
    <w:rsid w:val="0069305E"/>
    <w:rsid w:val="006A1E6A"/>
    <w:rsid w:val="006A1F55"/>
    <w:rsid w:val="006A49B7"/>
    <w:rsid w:val="006B0792"/>
    <w:rsid w:val="006B1807"/>
    <w:rsid w:val="006B540C"/>
    <w:rsid w:val="006B5C07"/>
    <w:rsid w:val="006B631C"/>
    <w:rsid w:val="006C0A0A"/>
    <w:rsid w:val="006C0F16"/>
    <w:rsid w:val="006C21BB"/>
    <w:rsid w:val="006C2736"/>
    <w:rsid w:val="006C4197"/>
    <w:rsid w:val="006C564D"/>
    <w:rsid w:val="006C7260"/>
    <w:rsid w:val="006C79E6"/>
    <w:rsid w:val="006D2E13"/>
    <w:rsid w:val="006D33E6"/>
    <w:rsid w:val="006D352C"/>
    <w:rsid w:val="006D4478"/>
    <w:rsid w:val="006D4874"/>
    <w:rsid w:val="006E0E2C"/>
    <w:rsid w:val="006E3545"/>
    <w:rsid w:val="006E3839"/>
    <w:rsid w:val="006E3C11"/>
    <w:rsid w:val="006E4741"/>
    <w:rsid w:val="006E7B6E"/>
    <w:rsid w:val="006E7C7E"/>
    <w:rsid w:val="006F25D3"/>
    <w:rsid w:val="006F2AA2"/>
    <w:rsid w:val="00701BDE"/>
    <w:rsid w:val="007023F3"/>
    <w:rsid w:val="00702B6D"/>
    <w:rsid w:val="007037C6"/>
    <w:rsid w:val="007040BA"/>
    <w:rsid w:val="0070442B"/>
    <w:rsid w:val="0070486E"/>
    <w:rsid w:val="007117C5"/>
    <w:rsid w:val="00715678"/>
    <w:rsid w:val="00720544"/>
    <w:rsid w:val="00721B7D"/>
    <w:rsid w:val="007304A9"/>
    <w:rsid w:val="007306A8"/>
    <w:rsid w:val="00735AA9"/>
    <w:rsid w:val="00735E6D"/>
    <w:rsid w:val="00742FAB"/>
    <w:rsid w:val="007458A4"/>
    <w:rsid w:val="0075363D"/>
    <w:rsid w:val="0075420C"/>
    <w:rsid w:val="00760FE3"/>
    <w:rsid w:val="00763287"/>
    <w:rsid w:val="007657C9"/>
    <w:rsid w:val="00766B87"/>
    <w:rsid w:val="00767D80"/>
    <w:rsid w:val="007767A9"/>
    <w:rsid w:val="00782B0E"/>
    <w:rsid w:val="00782E64"/>
    <w:rsid w:val="00785338"/>
    <w:rsid w:val="0078562D"/>
    <w:rsid w:val="00786982"/>
    <w:rsid w:val="00787E5D"/>
    <w:rsid w:val="00791931"/>
    <w:rsid w:val="0079198E"/>
    <w:rsid w:val="00791F2D"/>
    <w:rsid w:val="007928EE"/>
    <w:rsid w:val="00793A2D"/>
    <w:rsid w:val="00794D72"/>
    <w:rsid w:val="00795F1B"/>
    <w:rsid w:val="0079687A"/>
    <w:rsid w:val="007A1F24"/>
    <w:rsid w:val="007A2BDF"/>
    <w:rsid w:val="007A3BEE"/>
    <w:rsid w:val="007A4935"/>
    <w:rsid w:val="007A70E1"/>
    <w:rsid w:val="007B03C9"/>
    <w:rsid w:val="007B29FB"/>
    <w:rsid w:val="007B51F9"/>
    <w:rsid w:val="007B712E"/>
    <w:rsid w:val="007B73B4"/>
    <w:rsid w:val="007B7709"/>
    <w:rsid w:val="007C281F"/>
    <w:rsid w:val="007C5B66"/>
    <w:rsid w:val="007C6143"/>
    <w:rsid w:val="007C638D"/>
    <w:rsid w:val="007D05DB"/>
    <w:rsid w:val="007D07BF"/>
    <w:rsid w:val="007D283A"/>
    <w:rsid w:val="007D3ADF"/>
    <w:rsid w:val="007D734C"/>
    <w:rsid w:val="007E08D6"/>
    <w:rsid w:val="007E1984"/>
    <w:rsid w:val="007E68FB"/>
    <w:rsid w:val="007E7289"/>
    <w:rsid w:val="007F1B33"/>
    <w:rsid w:val="007F3038"/>
    <w:rsid w:val="007F37EA"/>
    <w:rsid w:val="007F6367"/>
    <w:rsid w:val="007F7A71"/>
    <w:rsid w:val="00800D54"/>
    <w:rsid w:val="0080606F"/>
    <w:rsid w:val="008067B6"/>
    <w:rsid w:val="008068C7"/>
    <w:rsid w:val="00806930"/>
    <w:rsid w:val="00807D32"/>
    <w:rsid w:val="00810F86"/>
    <w:rsid w:val="00811491"/>
    <w:rsid w:val="00813A87"/>
    <w:rsid w:val="00820350"/>
    <w:rsid w:val="008205F5"/>
    <w:rsid w:val="00822AAB"/>
    <w:rsid w:val="008238C9"/>
    <w:rsid w:val="00823914"/>
    <w:rsid w:val="0083452C"/>
    <w:rsid w:val="008350DC"/>
    <w:rsid w:val="00835217"/>
    <w:rsid w:val="0083532C"/>
    <w:rsid w:val="0083786A"/>
    <w:rsid w:val="00840E9C"/>
    <w:rsid w:val="00842EC4"/>
    <w:rsid w:val="00850630"/>
    <w:rsid w:val="00850842"/>
    <w:rsid w:val="008541D0"/>
    <w:rsid w:val="008556C3"/>
    <w:rsid w:val="008579C6"/>
    <w:rsid w:val="008621EB"/>
    <w:rsid w:val="00863CDB"/>
    <w:rsid w:val="00863EF3"/>
    <w:rsid w:val="008645A7"/>
    <w:rsid w:val="0086475D"/>
    <w:rsid w:val="008667AF"/>
    <w:rsid w:val="00866BEC"/>
    <w:rsid w:val="00870CA8"/>
    <w:rsid w:val="00874082"/>
    <w:rsid w:val="0087620E"/>
    <w:rsid w:val="00880006"/>
    <w:rsid w:val="008812C5"/>
    <w:rsid w:val="00883332"/>
    <w:rsid w:val="0088472F"/>
    <w:rsid w:val="008850FE"/>
    <w:rsid w:val="00886288"/>
    <w:rsid w:val="00890097"/>
    <w:rsid w:val="008906FD"/>
    <w:rsid w:val="00891D3D"/>
    <w:rsid w:val="008966F4"/>
    <w:rsid w:val="008A00C7"/>
    <w:rsid w:val="008A207B"/>
    <w:rsid w:val="008A60CE"/>
    <w:rsid w:val="008A7B4C"/>
    <w:rsid w:val="008B6653"/>
    <w:rsid w:val="008C3AC6"/>
    <w:rsid w:val="008C3E5B"/>
    <w:rsid w:val="008C492B"/>
    <w:rsid w:val="008C570A"/>
    <w:rsid w:val="008D1D70"/>
    <w:rsid w:val="008D23B3"/>
    <w:rsid w:val="008D4655"/>
    <w:rsid w:val="008D67C6"/>
    <w:rsid w:val="008D7BD8"/>
    <w:rsid w:val="008E0128"/>
    <w:rsid w:val="008E03F9"/>
    <w:rsid w:val="008E0521"/>
    <w:rsid w:val="008E229F"/>
    <w:rsid w:val="008E31C5"/>
    <w:rsid w:val="008E3523"/>
    <w:rsid w:val="008E5606"/>
    <w:rsid w:val="008E582D"/>
    <w:rsid w:val="008E7C29"/>
    <w:rsid w:val="008F30EC"/>
    <w:rsid w:val="008F575E"/>
    <w:rsid w:val="008F5809"/>
    <w:rsid w:val="008F6A3E"/>
    <w:rsid w:val="008F7CF7"/>
    <w:rsid w:val="00903948"/>
    <w:rsid w:val="0090605E"/>
    <w:rsid w:val="00910135"/>
    <w:rsid w:val="009105CE"/>
    <w:rsid w:val="00911006"/>
    <w:rsid w:val="00912CBC"/>
    <w:rsid w:val="00914584"/>
    <w:rsid w:val="00917089"/>
    <w:rsid w:val="009171FC"/>
    <w:rsid w:val="00917D1F"/>
    <w:rsid w:val="00926248"/>
    <w:rsid w:val="00926C5C"/>
    <w:rsid w:val="00933FB4"/>
    <w:rsid w:val="009355CD"/>
    <w:rsid w:val="00935B25"/>
    <w:rsid w:val="009369F6"/>
    <w:rsid w:val="00940221"/>
    <w:rsid w:val="00941C86"/>
    <w:rsid w:val="00942205"/>
    <w:rsid w:val="00942C59"/>
    <w:rsid w:val="009440F8"/>
    <w:rsid w:val="009446A9"/>
    <w:rsid w:val="009519C9"/>
    <w:rsid w:val="00951E45"/>
    <w:rsid w:val="00952555"/>
    <w:rsid w:val="0095479E"/>
    <w:rsid w:val="00955136"/>
    <w:rsid w:val="00955292"/>
    <w:rsid w:val="00955D78"/>
    <w:rsid w:val="00961D77"/>
    <w:rsid w:val="009633B9"/>
    <w:rsid w:val="0096343D"/>
    <w:rsid w:val="009636B7"/>
    <w:rsid w:val="0096521B"/>
    <w:rsid w:val="009656E6"/>
    <w:rsid w:val="00967165"/>
    <w:rsid w:val="00970FFC"/>
    <w:rsid w:val="00974A60"/>
    <w:rsid w:val="00975E52"/>
    <w:rsid w:val="00976A78"/>
    <w:rsid w:val="009775EB"/>
    <w:rsid w:val="00980A03"/>
    <w:rsid w:val="009912C7"/>
    <w:rsid w:val="0099174B"/>
    <w:rsid w:val="00994438"/>
    <w:rsid w:val="0099489E"/>
    <w:rsid w:val="00994B1B"/>
    <w:rsid w:val="009A5C75"/>
    <w:rsid w:val="009B00D1"/>
    <w:rsid w:val="009B29DC"/>
    <w:rsid w:val="009B3F5F"/>
    <w:rsid w:val="009B6541"/>
    <w:rsid w:val="009C2623"/>
    <w:rsid w:val="009C4346"/>
    <w:rsid w:val="009C4959"/>
    <w:rsid w:val="009C6F10"/>
    <w:rsid w:val="009C7F9C"/>
    <w:rsid w:val="009D2B35"/>
    <w:rsid w:val="009D3622"/>
    <w:rsid w:val="009D4B92"/>
    <w:rsid w:val="009D5E70"/>
    <w:rsid w:val="009D706E"/>
    <w:rsid w:val="009E0A37"/>
    <w:rsid w:val="009E11C4"/>
    <w:rsid w:val="009E6210"/>
    <w:rsid w:val="009E65C1"/>
    <w:rsid w:val="009E7657"/>
    <w:rsid w:val="009E7A8B"/>
    <w:rsid w:val="009F031D"/>
    <w:rsid w:val="009F3AC6"/>
    <w:rsid w:val="009F52BD"/>
    <w:rsid w:val="009F71B5"/>
    <w:rsid w:val="00A02B4D"/>
    <w:rsid w:val="00A03E46"/>
    <w:rsid w:val="00A04331"/>
    <w:rsid w:val="00A04493"/>
    <w:rsid w:val="00A04DC4"/>
    <w:rsid w:val="00A075E0"/>
    <w:rsid w:val="00A07E22"/>
    <w:rsid w:val="00A10160"/>
    <w:rsid w:val="00A11A09"/>
    <w:rsid w:val="00A11AF0"/>
    <w:rsid w:val="00A179B4"/>
    <w:rsid w:val="00A217CE"/>
    <w:rsid w:val="00A219A4"/>
    <w:rsid w:val="00A2283B"/>
    <w:rsid w:val="00A23EF1"/>
    <w:rsid w:val="00A245D2"/>
    <w:rsid w:val="00A30956"/>
    <w:rsid w:val="00A33D71"/>
    <w:rsid w:val="00A34E7F"/>
    <w:rsid w:val="00A360C9"/>
    <w:rsid w:val="00A4180D"/>
    <w:rsid w:val="00A41D6A"/>
    <w:rsid w:val="00A425EC"/>
    <w:rsid w:val="00A43DD9"/>
    <w:rsid w:val="00A46ED7"/>
    <w:rsid w:val="00A50A12"/>
    <w:rsid w:val="00A50CC5"/>
    <w:rsid w:val="00A50D4C"/>
    <w:rsid w:val="00A51251"/>
    <w:rsid w:val="00A51E36"/>
    <w:rsid w:val="00A52956"/>
    <w:rsid w:val="00A645DF"/>
    <w:rsid w:val="00A660AD"/>
    <w:rsid w:val="00A67401"/>
    <w:rsid w:val="00A675E2"/>
    <w:rsid w:val="00A70318"/>
    <w:rsid w:val="00A70662"/>
    <w:rsid w:val="00A72002"/>
    <w:rsid w:val="00A74354"/>
    <w:rsid w:val="00A748C0"/>
    <w:rsid w:val="00A7785A"/>
    <w:rsid w:val="00A77C08"/>
    <w:rsid w:val="00A8051F"/>
    <w:rsid w:val="00A80C6E"/>
    <w:rsid w:val="00A81447"/>
    <w:rsid w:val="00A81EF4"/>
    <w:rsid w:val="00A91448"/>
    <w:rsid w:val="00A914F2"/>
    <w:rsid w:val="00A916AC"/>
    <w:rsid w:val="00A91C18"/>
    <w:rsid w:val="00A94EEB"/>
    <w:rsid w:val="00A966B6"/>
    <w:rsid w:val="00A97276"/>
    <w:rsid w:val="00AA055F"/>
    <w:rsid w:val="00AA2DA1"/>
    <w:rsid w:val="00AA68D7"/>
    <w:rsid w:val="00AA6E74"/>
    <w:rsid w:val="00AA71B9"/>
    <w:rsid w:val="00AB350A"/>
    <w:rsid w:val="00AC4058"/>
    <w:rsid w:val="00AC4DE7"/>
    <w:rsid w:val="00AC5097"/>
    <w:rsid w:val="00AC7CAD"/>
    <w:rsid w:val="00AD3215"/>
    <w:rsid w:val="00AE0571"/>
    <w:rsid w:val="00AE1B7C"/>
    <w:rsid w:val="00AE6F4B"/>
    <w:rsid w:val="00AF0710"/>
    <w:rsid w:val="00AF3304"/>
    <w:rsid w:val="00AF3B98"/>
    <w:rsid w:val="00B07D24"/>
    <w:rsid w:val="00B109B7"/>
    <w:rsid w:val="00B10DD9"/>
    <w:rsid w:val="00B16CA5"/>
    <w:rsid w:val="00B20B02"/>
    <w:rsid w:val="00B216C3"/>
    <w:rsid w:val="00B22953"/>
    <w:rsid w:val="00B23937"/>
    <w:rsid w:val="00B2598C"/>
    <w:rsid w:val="00B25C4E"/>
    <w:rsid w:val="00B26F86"/>
    <w:rsid w:val="00B30285"/>
    <w:rsid w:val="00B31CC8"/>
    <w:rsid w:val="00B34CA8"/>
    <w:rsid w:val="00B364FE"/>
    <w:rsid w:val="00B419DA"/>
    <w:rsid w:val="00B42319"/>
    <w:rsid w:val="00B4393F"/>
    <w:rsid w:val="00B4407D"/>
    <w:rsid w:val="00B52CF3"/>
    <w:rsid w:val="00B55C4B"/>
    <w:rsid w:val="00B5723B"/>
    <w:rsid w:val="00B619EA"/>
    <w:rsid w:val="00B64CBA"/>
    <w:rsid w:val="00B65A13"/>
    <w:rsid w:val="00B65CF4"/>
    <w:rsid w:val="00B67D99"/>
    <w:rsid w:val="00B70970"/>
    <w:rsid w:val="00B76AFB"/>
    <w:rsid w:val="00B8230C"/>
    <w:rsid w:val="00B8289F"/>
    <w:rsid w:val="00B83504"/>
    <w:rsid w:val="00B836DB"/>
    <w:rsid w:val="00B84219"/>
    <w:rsid w:val="00B87736"/>
    <w:rsid w:val="00B91404"/>
    <w:rsid w:val="00B9278D"/>
    <w:rsid w:val="00B92B19"/>
    <w:rsid w:val="00B93AD2"/>
    <w:rsid w:val="00B93B62"/>
    <w:rsid w:val="00B95967"/>
    <w:rsid w:val="00BA1293"/>
    <w:rsid w:val="00BA2B45"/>
    <w:rsid w:val="00BA50AC"/>
    <w:rsid w:val="00BA5E8A"/>
    <w:rsid w:val="00BB183B"/>
    <w:rsid w:val="00BB27AC"/>
    <w:rsid w:val="00BB4F58"/>
    <w:rsid w:val="00BB6670"/>
    <w:rsid w:val="00BB74F3"/>
    <w:rsid w:val="00BC190D"/>
    <w:rsid w:val="00BC27B1"/>
    <w:rsid w:val="00BC331F"/>
    <w:rsid w:val="00BC4501"/>
    <w:rsid w:val="00BC6377"/>
    <w:rsid w:val="00BC6467"/>
    <w:rsid w:val="00BC7E7A"/>
    <w:rsid w:val="00BD0195"/>
    <w:rsid w:val="00BD0DFA"/>
    <w:rsid w:val="00BD2DF0"/>
    <w:rsid w:val="00BD62C9"/>
    <w:rsid w:val="00BD66AC"/>
    <w:rsid w:val="00BE03BD"/>
    <w:rsid w:val="00BE12CF"/>
    <w:rsid w:val="00BE1B1C"/>
    <w:rsid w:val="00BE2A82"/>
    <w:rsid w:val="00BE610A"/>
    <w:rsid w:val="00BF2EE5"/>
    <w:rsid w:val="00BF3BEE"/>
    <w:rsid w:val="00BF73B4"/>
    <w:rsid w:val="00C04743"/>
    <w:rsid w:val="00C0474E"/>
    <w:rsid w:val="00C071C6"/>
    <w:rsid w:val="00C1091F"/>
    <w:rsid w:val="00C112D0"/>
    <w:rsid w:val="00C11AB8"/>
    <w:rsid w:val="00C136AA"/>
    <w:rsid w:val="00C2075D"/>
    <w:rsid w:val="00C20F41"/>
    <w:rsid w:val="00C22A8F"/>
    <w:rsid w:val="00C23540"/>
    <w:rsid w:val="00C248EC"/>
    <w:rsid w:val="00C24B8D"/>
    <w:rsid w:val="00C25F15"/>
    <w:rsid w:val="00C274C6"/>
    <w:rsid w:val="00C30955"/>
    <w:rsid w:val="00C327B9"/>
    <w:rsid w:val="00C364F2"/>
    <w:rsid w:val="00C3744E"/>
    <w:rsid w:val="00C408B4"/>
    <w:rsid w:val="00C42176"/>
    <w:rsid w:val="00C46809"/>
    <w:rsid w:val="00C479A4"/>
    <w:rsid w:val="00C52D48"/>
    <w:rsid w:val="00C54D18"/>
    <w:rsid w:val="00C5545B"/>
    <w:rsid w:val="00C5672A"/>
    <w:rsid w:val="00C618C5"/>
    <w:rsid w:val="00C63737"/>
    <w:rsid w:val="00C65530"/>
    <w:rsid w:val="00C65C57"/>
    <w:rsid w:val="00C66077"/>
    <w:rsid w:val="00C67C8A"/>
    <w:rsid w:val="00C70F40"/>
    <w:rsid w:val="00C71B6E"/>
    <w:rsid w:val="00C72A7D"/>
    <w:rsid w:val="00C741BF"/>
    <w:rsid w:val="00C80A85"/>
    <w:rsid w:val="00C81DA7"/>
    <w:rsid w:val="00C83034"/>
    <w:rsid w:val="00C8457E"/>
    <w:rsid w:val="00C85C9D"/>
    <w:rsid w:val="00C86BE1"/>
    <w:rsid w:val="00C90B58"/>
    <w:rsid w:val="00C91853"/>
    <w:rsid w:val="00C9472C"/>
    <w:rsid w:val="00C9567D"/>
    <w:rsid w:val="00C97716"/>
    <w:rsid w:val="00CA5E01"/>
    <w:rsid w:val="00CA61DC"/>
    <w:rsid w:val="00CA6A13"/>
    <w:rsid w:val="00CA6A5F"/>
    <w:rsid w:val="00CA6BEB"/>
    <w:rsid w:val="00CB0A51"/>
    <w:rsid w:val="00CB0ED9"/>
    <w:rsid w:val="00CB5EC6"/>
    <w:rsid w:val="00CC0377"/>
    <w:rsid w:val="00CC1B64"/>
    <w:rsid w:val="00CC23FF"/>
    <w:rsid w:val="00CC5D1C"/>
    <w:rsid w:val="00CD20E9"/>
    <w:rsid w:val="00CD2E38"/>
    <w:rsid w:val="00CD4CC6"/>
    <w:rsid w:val="00CD4D19"/>
    <w:rsid w:val="00CD6B4D"/>
    <w:rsid w:val="00CE49F5"/>
    <w:rsid w:val="00CE4BA8"/>
    <w:rsid w:val="00CE4F9C"/>
    <w:rsid w:val="00CE540E"/>
    <w:rsid w:val="00CF2D81"/>
    <w:rsid w:val="00CF6014"/>
    <w:rsid w:val="00CF6EB9"/>
    <w:rsid w:val="00D015EC"/>
    <w:rsid w:val="00D055F3"/>
    <w:rsid w:val="00D0578C"/>
    <w:rsid w:val="00D07191"/>
    <w:rsid w:val="00D12BE2"/>
    <w:rsid w:val="00D12FDF"/>
    <w:rsid w:val="00D17CAA"/>
    <w:rsid w:val="00D22F76"/>
    <w:rsid w:val="00D25304"/>
    <w:rsid w:val="00D262D9"/>
    <w:rsid w:val="00D27719"/>
    <w:rsid w:val="00D279A4"/>
    <w:rsid w:val="00D30463"/>
    <w:rsid w:val="00D32CD8"/>
    <w:rsid w:val="00D32FE4"/>
    <w:rsid w:val="00D33B70"/>
    <w:rsid w:val="00D35EE4"/>
    <w:rsid w:val="00D36D95"/>
    <w:rsid w:val="00D40428"/>
    <w:rsid w:val="00D432D6"/>
    <w:rsid w:val="00D45FC1"/>
    <w:rsid w:val="00D46D2A"/>
    <w:rsid w:val="00D474F9"/>
    <w:rsid w:val="00D47952"/>
    <w:rsid w:val="00D52458"/>
    <w:rsid w:val="00D55550"/>
    <w:rsid w:val="00D57CB2"/>
    <w:rsid w:val="00D629FD"/>
    <w:rsid w:val="00D67202"/>
    <w:rsid w:val="00D70719"/>
    <w:rsid w:val="00D70A4D"/>
    <w:rsid w:val="00D732E7"/>
    <w:rsid w:val="00D8165C"/>
    <w:rsid w:val="00D83DC0"/>
    <w:rsid w:val="00D85982"/>
    <w:rsid w:val="00D86B9B"/>
    <w:rsid w:val="00D94E01"/>
    <w:rsid w:val="00D96271"/>
    <w:rsid w:val="00D966DF"/>
    <w:rsid w:val="00D974CB"/>
    <w:rsid w:val="00DA109A"/>
    <w:rsid w:val="00DA191F"/>
    <w:rsid w:val="00DA388D"/>
    <w:rsid w:val="00DA619C"/>
    <w:rsid w:val="00DA70AD"/>
    <w:rsid w:val="00DA7A1B"/>
    <w:rsid w:val="00DB00B3"/>
    <w:rsid w:val="00DB0516"/>
    <w:rsid w:val="00DB4391"/>
    <w:rsid w:val="00DB57F9"/>
    <w:rsid w:val="00DC0A9A"/>
    <w:rsid w:val="00DC1A98"/>
    <w:rsid w:val="00DC2F09"/>
    <w:rsid w:val="00DC32C2"/>
    <w:rsid w:val="00DC4148"/>
    <w:rsid w:val="00DC4663"/>
    <w:rsid w:val="00DC4ECD"/>
    <w:rsid w:val="00DC731C"/>
    <w:rsid w:val="00DD0044"/>
    <w:rsid w:val="00DE0684"/>
    <w:rsid w:val="00DE1B58"/>
    <w:rsid w:val="00DE4930"/>
    <w:rsid w:val="00DE539D"/>
    <w:rsid w:val="00DE7A5E"/>
    <w:rsid w:val="00DF0FCA"/>
    <w:rsid w:val="00DF65D0"/>
    <w:rsid w:val="00DF7B47"/>
    <w:rsid w:val="00E01EFA"/>
    <w:rsid w:val="00E032E4"/>
    <w:rsid w:val="00E04535"/>
    <w:rsid w:val="00E10881"/>
    <w:rsid w:val="00E11D26"/>
    <w:rsid w:val="00E12886"/>
    <w:rsid w:val="00E13F4A"/>
    <w:rsid w:val="00E14E14"/>
    <w:rsid w:val="00E15B56"/>
    <w:rsid w:val="00E17817"/>
    <w:rsid w:val="00E20C0D"/>
    <w:rsid w:val="00E20DA4"/>
    <w:rsid w:val="00E243C6"/>
    <w:rsid w:val="00E24FC2"/>
    <w:rsid w:val="00E25E72"/>
    <w:rsid w:val="00E30E23"/>
    <w:rsid w:val="00E345E1"/>
    <w:rsid w:val="00E34CD2"/>
    <w:rsid w:val="00E359D9"/>
    <w:rsid w:val="00E35FDC"/>
    <w:rsid w:val="00E37AAA"/>
    <w:rsid w:val="00E37F1A"/>
    <w:rsid w:val="00E4457E"/>
    <w:rsid w:val="00E4739B"/>
    <w:rsid w:val="00E51391"/>
    <w:rsid w:val="00E52CA9"/>
    <w:rsid w:val="00E56FF0"/>
    <w:rsid w:val="00E574BA"/>
    <w:rsid w:val="00E60327"/>
    <w:rsid w:val="00E6061A"/>
    <w:rsid w:val="00E611A8"/>
    <w:rsid w:val="00E62569"/>
    <w:rsid w:val="00E654BD"/>
    <w:rsid w:val="00E66E76"/>
    <w:rsid w:val="00E74E4B"/>
    <w:rsid w:val="00E75F35"/>
    <w:rsid w:val="00E801B8"/>
    <w:rsid w:val="00E84634"/>
    <w:rsid w:val="00E84E3A"/>
    <w:rsid w:val="00E87161"/>
    <w:rsid w:val="00E92052"/>
    <w:rsid w:val="00E92DA7"/>
    <w:rsid w:val="00E9433B"/>
    <w:rsid w:val="00E950A8"/>
    <w:rsid w:val="00EA0339"/>
    <w:rsid w:val="00EA047C"/>
    <w:rsid w:val="00EA0FE6"/>
    <w:rsid w:val="00EA128C"/>
    <w:rsid w:val="00EA3CBF"/>
    <w:rsid w:val="00EA4AD4"/>
    <w:rsid w:val="00EA4BFE"/>
    <w:rsid w:val="00EB06A5"/>
    <w:rsid w:val="00EB277C"/>
    <w:rsid w:val="00EB7535"/>
    <w:rsid w:val="00EB78F9"/>
    <w:rsid w:val="00EC0751"/>
    <w:rsid w:val="00EC07B2"/>
    <w:rsid w:val="00EC0801"/>
    <w:rsid w:val="00EC1302"/>
    <w:rsid w:val="00EC2D9E"/>
    <w:rsid w:val="00EC50C8"/>
    <w:rsid w:val="00EC5F2A"/>
    <w:rsid w:val="00EC7AB1"/>
    <w:rsid w:val="00ED1062"/>
    <w:rsid w:val="00ED3548"/>
    <w:rsid w:val="00ED4C1D"/>
    <w:rsid w:val="00ED6F9D"/>
    <w:rsid w:val="00EE059F"/>
    <w:rsid w:val="00EE0B83"/>
    <w:rsid w:val="00EE13EE"/>
    <w:rsid w:val="00EE5F63"/>
    <w:rsid w:val="00EF10CC"/>
    <w:rsid w:val="00EF2893"/>
    <w:rsid w:val="00EF5CD0"/>
    <w:rsid w:val="00EF5CE8"/>
    <w:rsid w:val="00EF7B08"/>
    <w:rsid w:val="00F0199D"/>
    <w:rsid w:val="00F01E6C"/>
    <w:rsid w:val="00F026D8"/>
    <w:rsid w:val="00F03124"/>
    <w:rsid w:val="00F03CC9"/>
    <w:rsid w:val="00F06F73"/>
    <w:rsid w:val="00F148EC"/>
    <w:rsid w:val="00F14BF3"/>
    <w:rsid w:val="00F20647"/>
    <w:rsid w:val="00F21363"/>
    <w:rsid w:val="00F228C6"/>
    <w:rsid w:val="00F23A9D"/>
    <w:rsid w:val="00F25C18"/>
    <w:rsid w:val="00F26520"/>
    <w:rsid w:val="00F26552"/>
    <w:rsid w:val="00F26BD1"/>
    <w:rsid w:val="00F3008B"/>
    <w:rsid w:val="00F301FD"/>
    <w:rsid w:val="00F33243"/>
    <w:rsid w:val="00F34A0F"/>
    <w:rsid w:val="00F34DDB"/>
    <w:rsid w:val="00F37B9B"/>
    <w:rsid w:val="00F404DD"/>
    <w:rsid w:val="00F40CD5"/>
    <w:rsid w:val="00F4186A"/>
    <w:rsid w:val="00F42714"/>
    <w:rsid w:val="00F42795"/>
    <w:rsid w:val="00F45C3A"/>
    <w:rsid w:val="00F54F62"/>
    <w:rsid w:val="00F56B8F"/>
    <w:rsid w:val="00F60972"/>
    <w:rsid w:val="00F60EE4"/>
    <w:rsid w:val="00F61A5A"/>
    <w:rsid w:val="00F6205C"/>
    <w:rsid w:val="00F7321D"/>
    <w:rsid w:val="00F73346"/>
    <w:rsid w:val="00F73399"/>
    <w:rsid w:val="00F75571"/>
    <w:rsid w:val="00F76046"/>
    <w:rsid w:val="00F76FA8"/>
    <w:rsid w:val="00F803DE"/>
    <w:rsid w:val="00F81EC4"/>
    <w:rsid w:val="00F85281"/>
    <w:rsid w:val="00F90576"/>
    <w:rsid w:val="00F90957"/>
    <w:rsid w:val="00F9322C"/>
    <w:rsid w:val="00F97842"/>
    <w:rsid w:val="00FA5B24"/>
    <w:rsid w:val="00FA65B4"/>
    <w:rsid w:val="00FB3564"/>
    <w:rsid w:val="00FB41EA"/>
    <w:rsid w:val="00FB657A"/>
    <w:rsid w:val="00FB6B81"/>
    <w:rsid w:val="00FB6C12"/>
    <w:rsid w:val="00FB77D2"/>
    <w:rsid w:val="00FC2C5A"/>
    <w:rsid w:val="00FC2F80"/>
    <w:rsid w:val="00FC3284"/>
    <w:rsid w:val="00FD0827"/>
    <w:rsid w:val="00FD1AE0"/>
    <w:rsid w:val="00FD4E57"/>
    <w:rsid w:val="00FD5875"/>
    <w:rsid w:val="00FE2264"/>
    <w:rsid w:val="00FE2266"/>
    <w:rsid w:val="00FE2869"/>
    <w:rsid w:val="00FE3A45"/>
    <w:rsid w:val="00FE4D01"/>
    <w:rsid w:val="00FE51F8"/>
    <w:rsid w:val="00FE5817"/>
    <w:rsid w:val="00FE780B"/>
    <w:rsid w:val="00FF1293"/>
    <w:rsid w:val="00FF13D6"/>
    <w:rsid w:val="00FF3AA5"/>
    <w:rsid w:val="00FF4CA9"/>
    <w:rsid w:val="07A30505"/>
    <w:rsid w:val="119E6771"/>
    <w:rsid w:val="196715EB"/>
    <w:rsid w:val="32A00C2C"/>
    <w:rsid w:val="393D3281"/>
    <w:rsid w:val="62BD1289"/>
    <w:rsid w:val="746C22DA"/>
    <w:rsid w:val="756459AF"/>
    <w:rsid w:val="787727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Document Map"/>
    <w:basedOn w:val="1"/>
    <w:link w:val="15"/>
    <w:semiHidden/>
    <w:unhideWhenUsed/>
    <w:qFormat/>
    <w:uiPriority w:val="99"/>
    <w:rPr>
      <w:rFonts w:ascii="宋体"/>
      <w:sz w:val="18"/>
      <w:szCs w:val="18"/>
    </w:rPr>
  </w:style>
  <w:style w:type="paragraph" w:styleId="3">
    <w:name w:val="annotation text"/>
    <w:basedOn w:val="1"/>
    <w:link w:val="16"/>
    <w:unhideWhenUsed/>
    <w:qFormat/>
    <w:uiPriority w:val="99"/>
    <w:pPr>
      <w:jc w:val="left"/>
    </w:pPr>
    <w:rPr>
      <w:rFonts w:ascii="Times New Roman" w:hAnsi="Times New Roman"/>
      <w:szCs w:val="24"/>
    </w:r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0"/>
    <w:pPr>
      <w:tabs>
        <w:tab w:val="center" w:pos="4153"/>
        <w:tab w:val="right" w:pos="8306"/>
      </w:tabs>
      <w:snapToGrid w:val="0"/>
      <w:jc w:val="left"/>
    </w:pPr>
    <w:rPr>
      <w:sz w:val="18"/>
      <w:szCs w:val="18"/>
    </w:rPr>
  </w:style>
  <w:style w:type="paragraph" w:styleId="6">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10">
    <w:name w:val="页眉 Char"/>
    <w:basedOn w:val="7"/>
    <w:link w:val="6"/>
    <w:semiHidden/>
    <w:qFormat/>
    <w:uiPriority w:val="99"/>
    <w:rPr>
      <w:rFonts w:ascii="Calibri" w:hAnsi="Calibri" w:eastAsia="宋体" w:cs="Times New Roman"/>
      <w:sz w:val="18"/>
      <w:szCs w:val="18"/>
    </w:rPr>
  </w:style>
  <w:style w:type="character" w:customStyle="1" w:styleId="11">
    <w:name w:val="页脚 Char"/>
    <w:basedOn w:val="7"/>
    <w:link w:val="5"/>
    <w:semiHidden/>
    <w:qFormat/>
    <w:uiPriority w:val="99"/>
    <w:rPr>
      <w:rFonts w:ascii="Calibri" w:hAnsi="Calibri" w:eastAsia="宋体" w:cs="Times New Roman"/>
      <w:sz w:val="18"/>
      <w:szCs w:val="18"/>
    </w:rPr>
  </w:style>
  <w:style w:type="paragraph" w:customStyle="1" w:styleId="12">
    <w:name w:val="Default"/>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13">
    <w:name w:val="Pa12"/>
    <w:basedOn w:val="1"/>
    <w:next w:val="1"/>
    <w:unhideWhenUsed/>
    <w:qFormat/>
    <w:uiPriority w:val="99"/>
    <w:pPr>
      <w:autoSpaceDE w:val="0"/>
      <w:autoSpaceDN w:val="0"/>
      <w:adjustRightInd w:val="0"/>
      <w:spacing w:line="211" w:lineRule="atLeast"/>
      <w:jc w:val="left"/>
    </w:pPr>
    <w:rPr>
      <w:rFonts w:ascii="PROKST+FZFSJW--GB1-0" w:hAnsi="PROKST+FZFSJW--GB1-0" w:eastAsia="PROKST+FZFSJW--GB1-0"/>
      <w:color w:val="000000"/>
      <w:kern w:val="0"/>
      <w:sz w:val="24"/>
      <w:szCs w:val="20"/>
    </w:rPr>
  </w:style>
  <w:style w:type="character" w:customStyle="1" w:styleId="14">
    <w:name w:val="批注框文本 Char"/>
    <w:basedOn w:val="7"/>
    <w:link w:val="4"/>
    <w:semiHidden/>
    <w:uiPriority w:val="99"/>
    <w:rPr>
      <w:rFonts w:ascii="Calibri" w:hAnsi="Calibri"/>
      <w:kern w:val="2"/>
      <w:sz w:val="18"/>
      <w:szCs w:val="18"/>
    </w:rPr>
  </w:style>
  <w:style w:type="character" w:customStyle="1" w:styleId="15">
    <w:name w:val="文档结构图 Char"/>
    <w:basedOn w:val="7"/>
    <w:link w:val="2"/>
    <w:semiHidden/>
    <w:qFormat/>
    <w:uiPriority w:val="99"/>
    <w:rPr>
      <w:rFonts w:ascii="宋体" w:hAnsi="Calibri"/>
      <w:kern w:val="2"/>
      <w:sz w:val="18"/>
      <w:szCs w:val="18"/>
    </w:rPr>
  </w:style>
  <w:style w:type="character" w:customStyle="1" w:styleId="16">
    <w:name w:val="批注文字 Char"/>
    <w:basedOn w:val="7"/>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6" Type="http://schemas.openxmlformats.org/officeDocument/2006/relationships/fontTable" Target="fontTable.xml"/><Relationship Id="rId35" Type="http://schemas.openxmlformats.org/officeDocument/2006/relationships/customXml" Target="../customXml/item4.xml"/><Relationship Id="rId34" Type="http://schemas.openxmlformats.org/officeDocument/2006/relationships/customXml" Target="../customXml/item3.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4.emf"/><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emf"/><Relationship Id="rId11" Type="http://schemas.openxmlformats.org/officeDocument/2006/relationships/image" Target="media/image5.emf"/><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3555"/>
    <customShpInfo spid="_x0000_s2355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43"/>
    <customShpInfo spid="_x0000_s1071"/>
    <customShpInfo spid="_x0000_s1070"/>
    <customShpInfo spid="_x0000_s1073"/>
    <customShpInfo spid="_x0000_s1072"/>
    <customShpInfo spid="_x0000_s1075"/>
    <customShpInfo spid="_x0000_s1076"/>
    <customShpInfo spid="_x0000_s1074"/>
  </customShpExts>
</s:customData>
</file>

<file path=customXml/item2.xml><?xml version="1.0" encoding="utf-8"?>
<relations xmlns="http://www.yonyou.com/relation"/>
</file>

<file path=customXml/item3.xml><?xml version="1.0" encoding="utf-8"?>
<b:Sources xmlns:b="http://schemas.openxmlformats.org/officeDocument/2006/bibliography" xmlns="http://schemas.openxmlformats.org/officeDocument/2006/bibliography" SelectedStyle="" StyleName=""/>
</file>

<file path=customXml/item4.xml><?xml version="1.0" encoding="utf-8"?>
<dataSourceCollection xmlns="http://www.yonyou.com/datasourc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BE8C04-9D35-4A83-A182-ED7AE716AD20}">
  <ds:schemaRefs/>
</ds:datastoreItem>
</file>

<file path=customXml/itemProps3.xml><?xml version="1.0" encoding="utf-8"?>
<ds:datastoreItem xmlns:ds="http://schemas.openxmlformats.org/officeDocument/2006/customXml" ds:itemID="{BE30BD80-1271-4AF4-B55D-4D05DCDE5501}">
  <ds:schemaRefs/>
</ds:datastoreItem>
</file>

<file path=customXml/itemProps4.xml><?xml version="1.0" encoding="utf-8"?>
<ds:datastoreItem xmlns:ds="http://schemas.openxmlformats.org/officeDocument/2006/customXml" ds:itemID="{5801B3FB-AEC7-4E9B-88BE-588AA89B325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63</Pages>
  <Words>4695</Words>
  <Characters>26763</Characters>
  <Lines>223</Lines>
  <Paragraphs>62</Paragraphs>
  <TotalTime>4</TotalTime>
  <ScaleCrop>false</ScaleCrop>
  <LinksUpToDate>false</LinksUpToDate>
  <CharactersWithSpaces>31396</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2018-10-17T07:31:00Z</dcterms:created>
  <dc:creator>刘中仁</dc:creator>
  <cp:lastModifiedBy>徐园园</cp:lastModifiedBy>
  <dcterms:modified xsi:type="dcterms:W3CDTF">2018-10-23T06:21:14Z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