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计算机检测维修与数据恢复。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jc w:val="center"/>
      </w:pPr>
      <w:r>
        <w:drawing>
          <wp:inline distT="0" distB="0" distL="0" distR="0">
            <wp:extent cx="4319905" cy="323977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20000" cy="3240000"/>
                    </a:xfrm>
                    <a:prstGeom prst="rect">
                      <a:avLst/>
                    </a:prstGeom>
                    <a:noFill/>
                    <a:ln>
                      <a:noFill/>
                    </a:ln>
                  </pic:spPr>
                </pic:pic>
              </a:graphicData>
            </a:graphic>
          </wp:inline>
        </w:drawing>
      </w:r>
    </w:p>
    <w:p>
      <w:pPr>
        <w:jc w:val="center"/>
      </w:pPr>
      <w:r>
        <w:rPr>
          <w:rFonts w:ascii="黑体" w:hAnsi="黑体" w:eastAsia="黑体"/>
        </w:rPr>
        <w:drawing>
          <wp:inline distT="0" distB="0" distL="0" distR="0">
            <wp:extent cx="4324350" cy="3238500"/>
            <wp:effectExtent l="19050" t="1905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24350" cy="3238500"/>
                    </a:xfrm>
                    <a:prstGeom prst="rect">
                      <a:avLst/>
                    </a:prstGeom>
                    <a:noFill/>
                    <a:ln w="6350" cmpd="sng">
                      <a:solidFill>
                        <a:srgbClr val="000000"/>
                      </a:solidFill>
                      <a:miter lim="800000"/>
                      <a:headEnd/>
                      <a:tailEnd/>
                    </a:ln>
                    <a:effectLst/>
                  </pic:spPr>
                </pic:pic>
              </a:graphicData>
            </a:graphic>
          </wp:inline>
        </w:drawing>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1200" w:firstLineChars="400"/>
        <w:rPr>
          <w:rFonts w:ascii="Arial Narrow" w:hAnsi="Arial Narrow" w:eastAsia="仿宋_GB2312" w:cs="Arial"/>
          <w:sz w:val="30"/>
          <w:szCs w:val="30"/>
        </w:rPr>
      </w:pPr>
      <w:r>
        <w:rPr>
          <w:rFonts w:hint="eastAsia" w:ascii="仿宋" w:hAnsi="仿宋" w:eastAsia="仿宋" w:cs="Arial"/>
          <w:sz w:val="30"/>
          <w:szCs w:val="30"/>
        </w:rPr>
        <w:t>电子信息产业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9"/>
        <w:tblpPr w:leftFromText="180" w:rightFromText="180" w:vertAnchor="text" w:horzAnchor="page" w:tblpXSpec="center" w:tblpY="237"/>
        <w:tblOverlap w:val="never"/>
        <w:tblW w:w="84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73"/>
        <w:gridCol w:w="245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组别</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专业类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专业代码</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091100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计算机与数码产品维修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090900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客户信息服务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090100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091200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091300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电子技术应用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091700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通信系统工程安装与维护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信息技术类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091600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通信运营服务</w:t>
            </w:r>
          </w:p>
        </w:tc>
      </w:tr>
    </w:tbl>
    <w:p>
      <w:pPr>
        <w:pStyle w:val="14"/>
        <w:numPr>
          <w:ilvl w:val="0"/>
          <w:numId w:val="1"/>
        </w:numPr>
        <w:spacing w:before="0" w:after="0" w:line="560" w:lineRule="exact"/>
        <w:ind w:firstLine="602" w:firstLineChars="200"/>
        <w:jc w:val="left"/>
        <w:rPr>
          <w:rFonts w:hint="eastAsia" w:ascii="黑体" w:hAnsi="黑体" w:eastAsia="黑体"/>
          <w:sz w:val="30"/>
          <w:szCs w:val="30"/>
        </w:rPr>
      </w:pPr>
      <w:r>
        <w:rPr>
          <w:rFonts w:hint="eastAsia" w:ascii="黑体" w:hAnsi="黑体" w:eastAsia="黑体"/>
          <w:sz w:val="30"/>
          <w:szCs w:val="30"/>
        </w:rPr>
        <w:t>赛项申报专家组</w:t>
      </w:r>
    </w:p>
    <w:p>
      <w:pPr>
        <w:pStyle w:val="14"/>
        <w:numPr>
          <w:numId w:val="0"/>
        </w:numPr>
        <w:spacing w:before="0" w:after="0" w:line="560" w:lineRule="exact"/>
        <w:ind w:firstLine="602" w:firstLineChars="200"/>
        <w:jc w:val="left"/>
        <w:rPr>
          <w:rFonts w:ascii="黑体" w:hAnsi="黑体" w:eastAsia="黑体"/>
          <w:sz w:val="30"/>
          <w:szCs w:val="30"/>
        </w:rPr>
      </w:pPr>
      <w:bookmarkStart w:id="17" w:name="_GoBack"/>
      <w:bookmarkEnd w:id="17"/>
      <w:r>
        <w:rPr>
          <w:rFonts w:hint="eastAsia" w:ascii="黑体" w:hAnsi="黑体" w:eastAsia="黑体"/>
          <w:sz w:val="30"/>
          <w:szCs w:val="30"/>
        </w:rPr>
        <w:t>三、赛项目的</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本赛项</w:t>
      </w:r>
      <w:r>
        <w:rPr>
          <w:rFonts w:hint="eastAsia" w:ascii="仿宋" w:hAnsi="仿宋" w:eastAsia="仿宋" w:cs="Arial"/>
          <w:bCs/>
          <w:sz w:val="30"/>
          <w:szCs w:val="30"/>
        </w:rPr>
        <w:t>以我国电子信息产业发展的人才需求为依托</w:t>
      </w:r>
      <w:r>
        <w:rPr>
          <w:rFonts w:hint="eastAsia" w:ascii="仿宋" w:hAnsi="仿宋" w:eastAsia="仿宋" w:cs="Arial"/>
          <w:sz w:val="30"/>
          <w:szCs w:val="30"/>
        </w:rPr>
        <w:t>，</w:t>
      </w:r>
      <w:r>
        <w:rPr>
          <w:rFonts w:hint="eastAsia" w:ascii="仿宋" w:hAnsi="仿宋" w:eastAsia="仿宋" w:cs="Arial"/>
          <w:bCs/>
          <w:sz w:val="30"/>
          <w:szCs w:val="30"/>
        </w:rPr>
        <w:t>以计算机组装维修及数据恢复技术为载体，</w:t>
      </w:r>
      <w:r>
        <w:rPr>
          <w:rFonts w:hint="eastAsia" w:ascii="仿宋" w:hAnsi="仿宋" w:eastAsia="仿宋" w:cs="Arial"/>
          <w:sz w:val="30"/>
          <w:szCs w:val="30"/>
        </w:rPr>
        <w:t>旨在检验选手在模拟真实的工作场景下对计算机进行故障检测维修及数据恢复方面的能力，全面展现中职教育的发展水平以及</w:t>
      </w:r>
      <w:r>
        <w:rPr>
          <w:rFonts w:hint="eastAsia" w:ascii="Arial Narrow" w:hAnsi="Arial Narrow" w:eastAsia="仿宋_GB2312" w:cs="Arial"/>
          <w:sz w:val="30"/>
          <w:szCs w:val="30"/>
        </w:rPr>
        <w:t>职教改革成果和师生良好精神面貌</w:t>
      </w:r>
      <w:r>
        <w:rPr>
          <w:rFonts w:hint="eastAsia" w:ascii="仿宋" w:hAnsi="仿宋" w:eastAsia="仿宋" w:cs="Arial"/>
          <w:sz w:val="30"/>
          <w:szCs w:val="30"/>
        </w:rPr>
        <w:t>，提高信息技术类应用型专门人才的培养质量。</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本赛项将电子信息产业岗位人才能力需求和计算机检测维修与数据恢复前沿技术融入比赛内容，以进一步深化校企合作，引导中职信息技术类专业开展计算机检测维修与数据恢复的课程建设和教学改革，促进应用型专门人才和高素质劳动者培养模式的改革与发展，促进产教融合，增强中职信息技术类专业学生就业的竞争力，提高就业质量，促进学生就业。</w:t>
      </w:r>
    </w:p>
    <w:p>
      <w:pPr>
        <w:pStyle w:val="14"/>
        <w:spacing w:before="0" w:after="0" w:line="560" w:lineRule="exact"/>
        <w:ind w:firstLine="602" w:firstLineChars="200"/>
        <w:jc w:val="left"/>
        <w:rPr>
          <w:rFonts w:ascii="Arial Narrow" w:hAnsi="Arial Narrow" w:eastAsia="仿宋_GB2312" w:cs="Arial"/>
          <w:sz w:val="30"/>
          <w:szCs w:val="30"/>
        </w:rPr>
      </w:pPr>
      <w:r>
        <w:rPr>
          <w:rFonts w:hint="eastAsia" w:ascii="黑体" w:hAnsi="黑体" w:eastAsia="黑体"/>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（一）赛项坚持公开、公平、公正</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严格遵守《全国职业院校技能大赛制度》，落实制度中的相关要求。确保在赛前尽早公布比赛范围、赛项设备技术规范、赛项样题（或赛题）、赛项规程，以便参赛队能尽早熟悉比赛内容，并进行全方位准备。赛中将采用开放式的场地环境，在赛场外围设置专用的参观通路，确保竞赛的观摩性达到公平、公正、公开的竞赛要求。赛后成绩评判采用系统自动评分、客观结果性评分和少量主观性评分，结合人工复核的机制，避免人为因素影响比赛成绩排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（二）赛项设计符合国家“十三五”规划纲要</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在我国“十三五”规划纲要中已经明确指出，要坚持走中国特色新型工业化道路，适应市场需求变化，根据科技进步新趋势，发挥我国产业在全球经济中的优势，并要求加快发展智能制造关键技术装备，强化智能制造标准、工业电子设备、核心支撑软件等基础，提高电子信息产业研发水平，增强基础电子自主发展能力。因此，赛项内容将充分考虑我国当前电子信息产业发展趋势、行业发展特点及企业用人需求，并结合当前学校专业情况进行全方位设计，引导学校进行教学改革，在促进发达地区学校专业建设的同时，也拉动落后地区学校的专业发展，全面、共同提高人才培养水平，服务并推进我国电子信息产业健康发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（三）赛项设计适合产业发展需求</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近年来，云计算、大数据、物联网、移动互联网、人工智能等新一代信息技术快速演进，硬件、软件、服务等核心技术体系加速重构，正在引发电子信息产业新一轮变革。智能电子信息产品成为各界关注的焦点，并成为生活必需品，形成的电子信息生态体系进一步完善，对经济社会发展的支撑引领作用全面凸显。</w:t>
      </w:r>
    </w:p>
    <w:p>
      <w:pPr>
        <w:snapToGrid w:val="0"/>
        <w:spacing w:line="560" w:lineRule="exact"/>
        <w:rPr>
          <w:rFonts w:ascii="仿宋" w:hAnsi="仿宋" w:eastAsia="仿宋" w:cs="Arial"/>
          <w:sz w:val="30"/>
          <w:szCs w:val="30"/>
        </w:rPr>
      </w:pPr>
      <w:r>
        <w:rPr>
          <w:rFonts w:hint="eastAsia" w:ascii="仿宋" w:hAnsi="仿宋" w:eastAsia="仿宋" w:cs="Arial"/>
          <w:sz w:val="30"/>
          <w:szCs w:val="30"/>
        </w:rPr>
        <w:t>电子信息产业的发展给人类的生活带来了许多方便，人们对智能电子产品的需求越来越大，可以预见，随着区域经济发展和产品竞争的不断加剧，在未来数十年电子信息产业还将保持高速发展。以下是中国工业和信息化部公布的自2012年到2016年关于我国电子信息产业销售额的统计。</w:t>
      </w:r>
    </w:p>
    <w:p>
      <w:pPr>
        <w:numPr>
          <w:ilvl w:val="0"/>
          <w:numId w:val="2"/>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2012年，我国电子信息产业销售收入总规模突破10万亿元大关，达到11.0万亿元，增幅超过15%；</w:t>
      </w:r>
    </w:p>
    <w:p>
      <w:pPr>
        <w:numPr>
          <w:ilvl w:val="0"/>
          <w:numId w:val="2"/>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2013年，我国电子信息产业销售收入总规模达到12.4万亿元，同比增长12.7%；</w:t>
      </w:r>
    </w:p>
    <w:p>
      <w:pPr>
        <w:numPr>
          <w:ilvl w:val="0"/>
          <w:numId w:val="2"/>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2014年，我国电子信息产业销售收入总规模达到14万亿元，同比增长13%；</w:t>
      </w:r>
    </w:p>
    <w:p>
      <w:pPr>
        <w:numPr>
          <w:ilvl w:val="0"/>
          <w:numId w:val="2"/>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2015年，我国电子信息产业销售收入总规模达到15.4万亿元，同比增长10.4%；</w:t>
      </w:r>
    </w:p>
    <w:p>
      <w:pPr>
        <w:numPr>
          <w:ilvl w:val="0"/>
          <w:numId w:val="2"/>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2016年，我国电子信息产业销售收入总规模达到17万亿元，同比增长10.3%；</w:t>
      </w:r>
      <w:r>
        <w:rPr>
          <w:rFonts w:ascii="仿宋" w:hAnsi="仿宋" w:eastAsia="仿宋" w:cs="Arial"/>
          <w:sz w:val="30"/>
          <w:szCs w:val="30"/>
        </w:rPr>
        <w:t xml:space="preserve"> </w:t>
      </w:r>
    </w:p>
    <w:p>
      <w:pPr>
        <w:numPr>
          <w:ilvl w:val="0"/>
          <w:numId w:val="2"/>
        </w:numPr>
        <w:snapToGrid w:val="0"/>
        <w:spacing w:line="560" w:lineRule="exact"/>
        <w:ind w:left="0" w:firstLine="600" w:firstLineChars="200"/>
        <w:rPr>
          <w:rFonts w:ascii="仿宋" w:hAnsi="仿宋" w:eastAsia="仿宋" w:cs="Arial"/>
          <w:sz w:val="30"/>
          <w:szCs w:val="30"/>
        </w:rPr>
      </w:pPr>
      <w:r>
        <w:rPr>
          <w:rFonts w:hint="eastAsia" w:ascii="仿宋" w:hAnsi="仿宋" w:eastAsia="仿宋" w:cs="Arial"/>
          <w:sz w:val="30"/>
          <w:szCs w:val="30"/>
        </w:rPr>
        <w:t>预计到2020年,我国电子信息产业销售收入总规模将超过20万亿。</w:t>
      </w:r>
    </w:p>
    <w:p>
      <w:pPr>
        <w:jc w:val="center"/>
        <w:rPr>
          <w:rFonts w:ascii="仿宋" w:hAnsi="仿宋" w:eastAsia="仿宋"/>
        </w:rPr>
      </w:pPr>
      <w: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总的来说，电子信息产业近几年无论是在全球还是在我国都得到了高速发展，未来还将保持良好的发展势态。虽然我国的电子信息产业与发达国家相比还有很大的差距，在产业结构上还存在许多不足与缺陷，但大体上我们国家的电子信息产业的发展还是呈上升趋势的，其发展空间也必然更加广阔，发展前景是十分明朗并乐观的。</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w:t>
      </w:r>
      <w:r>
        <w:rPr>
          <w:rFonts w:hint="eastAsia" w:ascii="Arial Narrow" w:hAnsi="Arial Narrow" w:eastAsia="仿宋_GB2312" w:cs="Arial"/>
          <w:sz w:val="30"/>
          <w:szCs w:val="30"/>
        </w:rPr>
        <w:t>四</w:t>
      </w:r>
      <w:r>
        <w:rPr>
          <w:rFonts w:ascii="Arial Narrow" w:hAnsi="Arial Narrow" w:eastAsia="仿宋_GB2312" w:cs="Arial"/>
          <w:sz w:val="30"/>
          <w:szCs w:val="30"/>
        </w:rPr>
        <w:t>）赛项关联岗位人才需求大</w:t>
      </w:r>
      <w:r>
        <w:rPr>
          <w:rFonts w:hint="eastAsia" w:ascii="Arial Narrow" w:hAnsi="Arial Narrow" w:eastAsia="仿宋_GB2312" w:cs="Arial"/>
          <w:sz w:val="30"/>
          <w:szCs w:val="30"/>
        </w:rPr>
        <w:t xml:space="preserve"> </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随着电子制造与互联网络产业的发展，计算机与数码产品已经进入到了我们生活的方方面面，成为人们日常生活的一部分，相关产品的维修服务机构已经延伸到全国的</w:t>
      </w:r>
      <w:r>
        <w:rPr>
          <w:rFonts w:ascii="仿宋" w:hAnsi="仿宋" w:eastAsia="仿宋" w:cs="Arial"/>
          <w:sz w:val="30"/>
          <w:szCs w:val="30"/>
        </w:rPr>
        <w:t>2200</w:t>
      </w:r>
      <w:r>
        <w:rPr>
          <w:rFonts w:hint="eastAsia" w:ascii="仿宋" w:hAnsi="仿宋" w:eastAsia="仿宋" w:cs="Arial"/>
          <w:sz w:val="30"/>
          <w:szCs w:val="30"/>
        </w:rPr>
        <w:t>多个市县的近</w:t>
      </w:r>
      <w:r>
        <w:rPr>
          <w:rFonts w:ascii="仿宋" w:hAnsi="仿宋" w:eastAsia="仿宋" w:cs="Arial"/>
          <w:sz w:val="30"/>
          <w:szCs w:val="30"/>
        </w:rPr>
        <w:t>4</w:t>
      </w:r>
      <w:r>
        <w:rPr>
          <w:rFonts w:hint="eastAsia" w:ascii="仿宋" w:hAnsi="仿宋" w:eastAsia="仿宋" w:cs="Arial"/>
          <w:sz w:val="30"/>
          <w:szCs w:val="30"/>
        </w:rPr>
        <w:t>万个乡镇。以富士康、联想、苹果、三星、华为、尼康等知名企业为代表开设的庞大客服中心、维修工厂对本专业人才的需求也在逐年增加。</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本赛项设计以电子产品检测维修与数据恢复的实际岗位技能需求出发，搭建真实的岗位检测维修环境，依照现实的工作流程及维修工艺，选用维修工具及测试仪表。赛题中维修对象的故障设计完全来源于实际工作中典型的维修案例。涉及的内容和知识点包括：电工电子技术基础、计算机电路板故障检测与维修、智能电子产品检测与维修、硬盘故障检测与维修、数据恢复基础、计算机组装与测试、操作系统与应用软件的安装与调试、计算机应用等多个方面的知识体系。体现目前中职学校相关专业核心知识点与核心技能点、涵盖丰富的专业知识与专业技能。</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w:t>
      </w:r>
      <w:r>
        <w:rPr>
          <w:rFonts w:hint="eastAsia" w:ascii="Arial Narrow" w:hAnsi="Arial Narrow" w:eastAsia="仿宋_GB2312" w:cs="Arial"/>
          <w:sz w:val="30"/>
          <w:szCs w:val="30"/>
        </w:rPr>
        <w:t>五</w:t>
      </w:r>
      <w:r>
        <w:rPr>
          <w:rFonts w:ascii="Arial Narrow" w:hAnsi="Arial Narrow" w:eastAsia="仿宋_GB2312" w:cs="Arial"/>
          <w:sz w:val="30"/>
          <w:szCs w:val="30"/>
        </w:rPr>
        <w:t>）</w:t>
      </w:r>
      <w:r>
        <w:rPr>
          <w:rFonts w:hint="eastAsia" w:ascii="Arial Narrow" w:hAnsi="Arial Narrow" w:eastAsia="仿宋_GB2312" w:cs="Arial"/>
          <w:sz w:val="30"/>
          <w:szCs w:val="30"/>
        </w:rPr>
        <w:t>赛项</w:t>
      </w:r>
      <w:r>
        <w:rPr>
          <w:rFonts w:ascii="Arial Narrow" w:hAnsi="Arial Narrow" w:eastAsia="仿宋_GB2312" w:cs="Arial"/>
          <w:sz w:val="30"/>
          <w:szCs w:val="30"/>
        </w:rPr>
        <w:t>内容</w:t>
      </w:r>
      <w:r>
        <w:rPr>
          <w:rFonts w:hint="eastAsia" w:ascii="Arial Narrow" w:hAnsi="Arial Narrow" w:eastAsia="仿宋_GB2312" w:cs="Arial"/>
          <w:sz w:val="30"/>
          <w:szCs w:val="30"/>
        </w:rPr>
        <w:t>覆盖</w:t>
      </w:r>
      <w:r>
        <w:rPr>
          <w:rFonts w:ascii="Arial Narrow" w:hAnsi="Arial Narrow" w:eastAsia="仿宋_GB2312" w:cs="Arial"/>
          <w:sz w:val="30"/>
          <w:szCs w:val="30"/>
        </w:rPr>
        <w:t>职业岗位</w:t>
      </w:r>
      <w:r>
        <w:rPr>
          <w:rFonts w:hint="eastAsia" w:ascii="Arial Narrow" w:hAnsi="Arial Narrow" w:eastAsia="仿宋_GB2312" w:cs="Arial"/>
          <w:sz w:val="30"/>
          <w:szCs w:val="30"/>
        </w:rPr>
        <w:t>广</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赛项关联的职业岗位包括：计算机(微机)维修工、电脑主板维修工、笔记本电脑维修工、手机维修工、平板维修工、办公设备维修工、数据恢复工程师、数码相机维修工等多个职业岗位。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（六）赛项设计符合中职学历要求</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根据国内三家知名招聘网站的信息，计算机检测维修与数据恢复岗位对学历要求统计如下</w:t>
      </w:r>
    </w:p>
    <w:p>
      <w:pPr>
        <w:jc w:val="center"/>
        <w:rPr>
          <w:rFonts w:ascii="黑体" w:hAnsi="黑体" w:eastAsia="黑体"/>
        </w:rPr>
      </w:pPr>
      <w:r>
        <w:rPr>
          <w:rFonts w:hint="eastAsia" w:ascii="黑体" w:hAnsi="黑体" w:eastAsia="黑体"/>
        </w:rPr>
        <w:drawing>
          <wp:inline distT="0" distB="0" distL="0" distR="0">
            <wp:extent cx="2209800" cy="1799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0400" cy="1800000"/>
                    </a:xfrm>
                    <a:prstGeom prst="rect">
                      <a:avLst/>
                    </a:prstGeom>
                    <a:noFill/>
                    <a:ln>
                      <a:noFill/>
                    </a:ln>
                  </pic:spPr>
                </pic:pic>
              </a:graphicData>
            </a:graphic>
          </wp:inline>
        </w:drawing>
      </w:r>
      <w:r>
        <w:rPr>
          <w:rFonts w:hint="eastAsia" w:ascii="黑体" w:hAnsi="黑体" w:eastAsia="黑体"/>
        </w:rPr>
        <w:t xml:space="preserve"> </w:t>
      </w:r>
      <w:r>
        <w:rPr>
          <w:rFonts w:ascii="黑体" w:hAnsi="黑体" w:eastAsia="黑体"/>
        </w:rPr>
        <w:drawing>
          <wp:inline distT="0" distB="0" distL="0" distR="0">
            <wp:extent cx="2199005" cy="1799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99600" cy="1800000"/>
                    </a:xfrm>
                    <a:prstGeom prst="rect">
                      <a:avLst/>
                    </a:prstGeom>
                    <a:noFill/>
                    <a:ln>
                      <a:noFill/>
                    </a:ln>
                  </pic:spPr>
                </pic:pic>
              </a:graphicData>
            </a:graphic>
          </wp:inline>
        </w:drawing>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根据以上数据统计并加以分析，可以看出计算机检测维修岗位群和数据恢复岗位群对中专学历的要求占比分别为58%和44%，因此本赛项设计符合就业岗位对中职学生学历的要求。。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（七）竞赛平台成熟</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竞赛选用的智能检测软件、中心管理系统、自动评分系统及维修对象已经在2015年、2016年、2017年和2018年全国职业技能大赛中使用了4年，且已在全国多所职业学校建立了实训室。同样，赛项所选用维修工具、仪器、仪表、智能检测设备及数据恢复平台等硬件设施，也已在上述历年全国职业技能大赛各省、市、自治区选拔赛及全国大赛中得到了检验，技术成熟，性能稳定。</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五、赛项方案的特色与创新点</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赛项方案将以今年由国务院公布的《中国制造2025》为指导方针，对接电子信息产业。不仅着力考核集成电路维修水平，提升参赛选手对于芯片的应用适配能力，而且着力考核数据恢复技术水平，提升参赛选手对于存储、数据、信息安全方面的适配能力。通过两方面的综合考核，检验参赛选手在新一代信息技术产业中的岗位适应能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比赛过程将模拟计算机检测维修与数据恢复相关工作岗位的整个工作流程：包括计算机部件的故障检测、故障定位、故障维修、电子元器件拆焊和更换，存储设备数据恢复，以及计算机组装与系统安装等多个步骤，涵盖了多个计算机检测维修与数据恢复的岗位技能，可多角度、全方位的展现参赛选手的综合技术水平和职业素养，综合性的体现职业学校的教学成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3、比赛内容载体创新，将采用集成度更高，维修工艺要求更高的多层复合电路板，考察选手的复杂电路分析能力及焊接水平。</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4、方案设计扩展性强，能够满足行业未来5到10年的岗位新要求，灵活添加新技术考核模块。</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5、竞赛任务中维修对象的故障设置全部来源于典型的维修实例。</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6、竞赛过程及任务之间相对独立而又相互关联，以便于全面客观的评价参赛选手的技术水平和职业能力。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7、本赛项的竞赛结果评判成绩由三部分组成，机评分、客观结果性评分和主观结果性评分，从职业技能与职业素养两个方面综合考核选手。同时通过采用成绩人工复核的机制，大大减少了人为因素对竞赛成果的影响，保证了赛项的公平公正。同时将开放赛场观摩，最大程度的公开比赛过程，不仅保证比赛的公开性，同时也提高全国职业院校技能大赛的影响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8、赛题选用的智能检测设备、中心管理系统、数据恢复平台已经具备向中职学校的实训室平滑迁移的可行性。</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9、赛项专家组将会同协办企业，根据往年赛项成绩分析结果，对赛项知识资源和设备资源进行进一步完善和丰富，重点开发相对薄弱环节的课程资源，为全国中职学校的“计算机与数码产品维修”专业建设提供全方位、模块化的解决方案。</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六、竞赛内容简介（须附英文对照简介）</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计算机检测维修与数据恢复赛项主要面向中职信息技术类专业、计算机与数码产品维修专业，旨在提升学生在计算机检测维修与数据恢复方面的综合职业能力。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本次大赛主要以计算机组装维修与数据恢复技术为载体，内容涉及计算机电路板的故障检测与维修、计算机硬盘故障检测与维修、存储介质的数据恢复、计算机组装与测试、操作系统与应用软件的安装等几个部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赛项将主要考核选手以下方面的能力和素养：常用电子元器件的识别和检测能力；电脑主板各功能电路的分析与检测能力；常用电子仪器仪表及设备的调试与应用能力；电子元器件的拆/焊工艺，硬盘故障检测与维修能力，硬盘分区信息与数据的恢复能力，计算机组装与测试能力，操作系统与应用软件的安装优化能力，现场5S管理能力等。</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The competition of the computer detection repair and data recovery is mainly oriented to the information technology major, computer and digital product maintenance major of the secondary vocational, aiming at improving the students' comprehensive professional ability in the field of computer detection and maintenance and data recovery.</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The competition mainly takes computer assembly maintenance and data recovery technology as the carrier, which involves the fault detection and maintenance of computer circuit board, computer hard disk fault detection and maintenance, storage medium data recovery, computer assembly and testing, operating system and application software installation and other parts.</w:t>
      </w:r>
    </w:p>
    <w:p>
      <w:pPr>
        <w:snapToGrid w:val="0"/>
        <w:spacing w:line="560" w:lineRule="exact"/>
        <w:ind w:firstLine="600" w:firstLineChars="200"/>
        <w:rPr>
          <w:rFonts w:ascii="仿宋" w:hAnsi="仿宋" w:eastAsia="仿宋" w:cs="Arial"/>
          <w:sz w:val="30"/>
          <w:szCs w:val="30"/>
        </w:rPr>
      </w:pPr>
      <w:r>
        <w:rPr>
          <w:rFonts w:ascii="仿宋" w:hAnsi="仿宋" w:eastAsia="仿宋" w:cs="Arial"/>
          <w:sz w:val="30"/>
          <w:szCs w:val="30"/>
        </w:rPr>
        <w:t>The competition will mainly examine the ability and accomplishment of the players in the following aspects: the recognition and detection ability of the common electronic components; the analysis and detection ability of the functional circuits of the computer motherboard; the debugging and application ability of common electronic instruments and devices; the disassembly / welding process of electronic components, the ability to detect and maintain the hard disk failure,</w:t>
      </w:r>
    </w:p>
    <w:p>
      <w:pPr>
        <w:snapToGrid w:val="0"/>
        <w:spacing w:line="560" w:lineRule="exact"/>
        <w:ind w:firstLine="600" w:firstLineChars="200"/>
        <w:rPr>
          <w:rFonts w:ascii="Arial Narrow" w:hAnsi="Arial Narrow" w:eastAsia="仿宋_GB2312" w:cs="Arial"/>
          <w:sz w:val="30"/>
          <w:szCs w:val="30"/>
        </w:rPr>
      </w:pPr>
      <w:r>
        <w:rPr>
          <w:rFonts w:ascii="仿宋" w:hAnsi="仿宋" w:eastAsia="仿宋" w:cs="Arial"/>
          <w:sz w:val="30"/>
          <w:szCs w:val="30"/>
        </w:rPr>
        <w:t>hard disk partition information and data recovery capabilities, computer assembly and testing capabilities, operating system and application software installation and optimization capabilities, site 5S management capabilities, etc.</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七、竞赛方式（含组队要求、是否邀请境外代表队参赛）</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1、本赛项为团体赛，比赛时间为180分钟，不计选手个人成绩，按参赛队的总成绩进行排名。</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2、每支参赛队由2名同校选手组成，其中队长1名。不得跨校组队。同一学校报名参赛队不超过1支。每支参赛队可配指导教师2名，指导教师须为本校专兼职教师。</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3、参赛选手须为2019年度在籍中等职业学校学生；五年制高职一至三年级（含三年级）学生可参加比赛。参赛选手不限性别，年龄须不超过21周岁，即1998年5月1日后出生。</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比赛分预赛和决赛。预赛由各省、自治区、直辖市，各计划单列市以及新疆建设兵团等有关部门自行组织，并推荐代表队参加决赛。预赛阶段比赛形式和内容由各省、自治区、直辖市，各计划单列市以及新疆建设兵团自主确定。决赛由各省、自治区、直辖市、计划单列市组织报名参加。</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竞赛将考核参赛选手计算机检测维修与数据恢复整个工作过程各类职业技术及素养。竞赛开始90分钟前，选手到赛场指定地点接受检录，先抽取参赛编号，然后再次抽取赛位号，进入指定赛位，但不可进行任何操作。参赛编号和赛位号由加密裁判封存保管于指定场所。</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在裁判长发布“赛前30分钟准备”的指令后，选手方可拆封赛位上的赛题及物料箱，并依照竞赛物料清单核对竞赛板卡、硬盘及相应配件是否符合需求，同时检查仪器设备及工具的功能是否正常。并对出现的异常及时申请更换。</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7、在裁判长发布“竞赛开始”的指令后，选手可自行决定工作程序，使用现场配套的设备及工具，开始竞赛操作，完成规定的工作任务。</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8、在裁判长发布“竞赛结束”的指令后，选手必须停止一切竞赛操作，并按照现场工作人员的安排有序离开比赛现场。</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9、竞赛期间本赛项不允许指导教师进入赛场进行现场指导。</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10、本赛项正在与国际参赛队接洽，同时欢迎国内外选手到场观赛。</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八、竞赛时间安排与流程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（一）时间安排</w:t>
      </w:r>
    </w:p>
    <w:tbl>
      <w:tblPr>
        <w:tblStyle w:val="19"/>
        <w:tblW w:w="7949" w:type="dxa"/>
        <w:jc w:val="center"/>
        <w:tblInd w:w="0" w:type="dxa"/>
        <w:tblLayout w:type="fixed"/>
        <w:tblCellMar>
          <w:top w:w="0" w:type="dxa"/>
          <w:left w:w="108" w:type="dxa"/>
          <w:bottom w:w="0" w:type="dxa"/>
          <w:right w:w="108" w:type="dxa"/>
        </w:tblCellMar>
      </w:tblPr>
      <w:tblGrid>
        <w:gridCol w:w="1277"/>
        <w:gridCol w:w="4916"/>
        <w:gridCol w:w="1756"/>
      </w:tblGrid>
      <w:tr>
        <w:tblPrEx>
          <w:tblLayout w:type="fixed"/>
          <w:tblCellMar>
            <w:top w:w="0" w:type="dxa"/>
            <w:left w:w="108" w:type="dxa"/>
            <w:bottom w:w="0" w:type="dxa"/>
            <w:right w:w="108" w:type="dxa"/>
          </w:tblCellMar>
        </w:tblPrEx>
        <w:trPr>
          <w:trHeight w:val="27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b/>
                <w:bCs/>
              </w:rPr>
            </w:pPr>
            <w:r>
              <w:rPr>
                <w:rFonts w:hint="eastAsia" w:cs="仿宋" w:asciiTheme="minorEastAsia" w:hAnsiTheme="minorEastAsia"/>
                <w:b/>
                <w:bCs/>
                <w:sz w:val="24"/>
                <w:szCs w:val="24"/>
              </w:rPr>
              <w:t>日期</w:t>
            </w:r>
          </w:p>
        </w:tc>
        <w:tc>
          <w:tcPr>
            <w:tcW w:w="4916"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b/>
                <w:bCs/>
              </w:rPr>
            </w:pPr>
            <w:r>
              <w:rPr>
                <w:rFonts w:hint="eastAsia" w:cs="仿宋" w:asciiTheme="minorEastAsia" w:hAnsiTheme="minorEastAsia"/>
                <w:b/>
                <w:bCs/>
                <w:sz w:val="24"/>
                <w:szCs w:val="24"/>
              </w:rPr>
              <w:t>事项安排</w:t>
            </w:r>
          </w:p>
        </w:tc>
        <w:tc>
          <w:tcPr>
            <w:tcW w:w="1756" w:type="dxa"/>
            <w:tcBorders>
              <w:top w:val="single" w:color="auto" w:sz="4" w:space="0"/>
              <w:left w:val="nil"/>
              <w:bottom w:val="single" w:color="auto" w:sz="4" w:space="0"/>
              <w:right w:val="single" w:color="auto" w:sz="4" w:space="0"/>
            </w:tcBorders>
          </w:tcPr>
          <w:p>
            <w:pPr>
              <w:jc w:val="center"/>
              <w:rPr>
                <w:rFonts w:cs="仿宋" w:asciiTheme="minorEastAsia" w:hAnsiTheme="minorEastAsia"/>
                <w:b/>
                <w:bCs/>
              </w:rPr>
            </w:pPr>
            <w:r>
              <w:rPr>
                <w:rFonts w:hint="eastAsia" w:cs="仿宋" w:asciiTheme="minorEastAsia" w:hAnsiTheme="minorEastAsia"/>
                <w:b/>
                <w:bCs/>
                <w:sz w:val="24"/>
                <w:szCs w:val="24"/>
              </w:rPr>
              <w:t>时间</w:t>
            </w:r>
          </w:p>
        </w:tc>
      </w:tr>
      <w:tr>
        <w:tblPrEx>
          <w:tblLayout w:type="fixed"/>
          <w:tblCellMar>
            <w:top w:w="0" w:type="dxa"/>
            <w:left w:w="108" w:type="dxa"/>
            <w:bottom w:w="0" w:type="dxa"/>
            <w:right w:w="108" w:type="dxa"/>
          </w:tblCellMar>
        </w:tblPrEx>
        <w:trPr>
          <w:trHeight w:val="413" w:hRule="atLeast"/>
          <w:jc w:val="center"/>
        </w:trPr>
        <w:tc>
          <w:tcPr>
            <w:tcW w:w="1277" w:type="dxa"/>
            <w:vMerge w:val="restart"/>
            <w:tcBorders>
              <w:top w:val="single" w:color="auto" w:sz="4" w:space="0"/>
              <w:left w:val="single" w:color="auto" w:sz="4" w:space="0"/>
              <w:right w:val="single" w:color="auto" w:sz="4" w:space="0"/>
            </w:tcBorders>
            <w:vAlign w:val="center"/>
          </w:tcPr>
          <w:p>
            <w:pPr>
              <w:jc w:val="center"/>
              <w:rPr>
                <w:rFonts w:cs="仿宋" w:asciiTheme="minorEastAsia" w:hAnsiTheme="minorEastAsia"/>
                <w:bCs/>
              </w:rPr>
            </w:pPr>
            <w:r>
              <w:rPr>
                <w:rFonts w:hint="eastAsia" w:cs="仿宋" w:asciiTheme="minorEastAsia" w:hAnsiTheme="minorEastAsia"/>
                <w:bCs/>
                <w:sz w:val="24"/>
                <w:szCs w:val="24"/>
              </w:rPr>
              <w:t>第一天</w:t>
            </w:r>
          </w:p>
        </w:tc>
        <w:tc>
          <w:tcPr>
            <w:tcW w:w="4916" w:type="dxa"/>
            <w:tcBorders>
              <w:top w:val="single" w:color="auto" w:sz="4" w:space="0"/>
              <w:left w:val="nil"/>
              <w:bottom w:val="single" w:color="auto" w:sz="4" w:space="0"/>
              <w:right w:val="single" w:color="auto" w:sz="4" w:space="0"/>
            </w:tcBorders>
            <w:vAlign w:val="center"/>
          </w:tcPr>
          <w:p>
            <w:pPr>
              <w:rPr>
                <w:rFonts w:cs="仿宋" w:asciiTheme="minorEastAsia" w:hAnsiTheme="minorEastAsia"/>
                <w:bCs/>
              </w:rPr>
            </w:pPr>
            <w:r>
              <w:rPr>
                <w:rFonts w:hint="eastAsia" w:cs="仿宋" w:asciiTheme="minorEastAsia" w:hAnsiTheme="minorEastAsia"/>
                <w:bCs/>
                <w:sz w:val="24"/>
                <w:szCs w:val="24"/>
              </w:rPr>
              <w:t>参赛队报到注册</w:t>
            </w:r>
          </w:p>
        </w:tc>
        <w:tc>
          <w:tcPr>
            <w:tcW w:w="1756" w:type="dxa"/>
            <w:tcBorders>
              <w:top w:val="single" w:color="auto" w:sz="4" w:space="0"/>
              <w:left w:val="nil"/>
              <w:bottom w:val="single" w:color="auto" w:sz="4" w:space="0"/>
              <w:right w:val="single" w:color="auto" w:sz="4" w:space="0"/>
            </w:tcBorders>
          </w:tcPr>
          <w:p>
            <w:pPr>
              <w:rPr>
                <w:rFonts w:cs="仿宋" w:asciiTheme="minorEastAsia" w:hAnsiTheme="minorEastAsia"/>
                <w:bCs/>
              </w:rPr>
            </w:pPr>
            <w:r>
              <w:rPr>
                <w:rFonts w:hint="eastAsia" w:cs="仿宋" w:asciiTheme="minorEastAsia" w:hAnsiTheme="minorEastAsia"/>
                <w:bCs/>
                <w:sz w:val="24"/>
                <w:szCs w:val="24"/>
              </w:rPr>
              <w:t>——</w:t>
            </w:r>
          </w:p>
        </w:tc>
      </w:tr>
      <w:tr>
        <w:tblPrEx>
          <w:tblLayout w:type="fixed"/>
          <w:tblCellMar>
            <w:top w:w="0" w:type="dxa"/>
            <w:left w:w="108" w:type="dxa"/>
            <w:bottom w:w="0" w:type="dxa"/>
            <w:right w:w="108" w:type="dxa"/>
          </w:tblCellMar>
        </w:tblPrEx>
        <w:trPr>
          <w:trHeight w:val="270"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bCs/>
              </w:rPr>
            </w:pPr>
          </w:p>
        </w:tc>
        <w:tc>
          <w:tcPr>
            <w:tcW w:w="4916" w:type="dxa"/>
            <w:tcBorders>
              <w:top w:val="single" w:color="auto" w:sz="4" w:space="0"/>
              <w:left w:val="nil"/>
              <w:bottom w:val="single" w:color="auto" w:sz="4" w:space="0"/>
              <w:right w:val="single" w:color="auto" w:sz="4" w:space="0"/>
            </w:tcBorders>
            <w:vAlign w:val="center"/>
          </w:tcPr>
          <w:p>
            <w:pPr>
              <w:rPr>
                <w:rFonts w:cs="仿宋" w:asciiTheme="minorEastAsia" w:hAnsiTheme="minorEastAsia"/>
                <w:bCs/>
              </w:rPr>
            </w:pPr>
            <w:r>
              <w:rPr>
                <w:rFonts w:hint="eastAsia" w:cs="仿宋" w:asciiTheme="minorEastAsia" w:hAnsiTheme="minorEastAsia"/>
                <w:bCs/>
                <w:sz w:val="24"/>
                <w:szCs w:val="24"/>
              </w:rPr>
              <w:t>领队会（分组抽签）</w:t>
            </w:r>
          </w:p>
        </w:tc>
        <w:tc>
          <w:tcPr>
            <w:tcW w:w="1756" w:type="dxa"/>
            <w:tcBorders>
              <w:top w:val="single" w:color="auto" w:sz="4" w:space="0"/>
              <w:left w:val="nil"/>
              <w:bottom w:val="single" w:color="auto" w:sz="4" w:space="0"/>
              <w:right w:val="single" w:color="auto" w:sz="4" w:space="0"/>
            </w:tcBorders>
          </w:tcPr>
          <w:p>
            <w:pPr>
              <w:rPr>
                <w:rFonts w:cs="仿宋" w:asciiTheme="minorEastAsia" w:hAnsiTheme="minorEastAsia"/>
                <w:bCs/>
              </w:rPr>
            </w:pPr>
            <w:r>
              <w:rPr>
                <w:rFonts w:hint="eastAsia" w:cs="仿宋" w:asciiTheme="minorEastAsia" w:hAnsiTheme="minorEastAsia"/>
                <w:bCs/>
                <w:sz w:val="24"/>
                <w:szCs w:val="24"/>
              </w:rPr>
              <w:t>15:00-15:30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bottom w:val="single" w:color="auto" w:sz="4" w:space="0"/>
              <w:right w:val="single" w:color="auto" w:sz="4" w:space="0"/>
            </w:tcBorders>
            <w:vAlign w:val="center"/>
          </w:tcPr>
          <w:p>
            <w:pPr>
              <w:jc w:val="center"/>
              <w:rPr>
                <w:rFonts w:cs="仿宋" w:asciiTheme="minorEastAsia" w:hAnsiTheme="minorEastAsia"/>
              </w:rPr>
            </w:pP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熟悉赛场</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15:30-16:30</w:t>
            </w:r>
          </w:p>
        </w:tc>
      </w:tr>
      <w:tr>
        <w:tblPrEx>
          <w:tblLayout w:type="fixed"/>
          <w:tblCellMar>
            <w:top w:w="0" w:type="dxa"/>
            <w:left w:w="108" w:type="dxa"/>
            <w:bottom w:w="0" w:type="dxa"/>
            <w:right w:w="108" w:type="dxa"/>
          </w:tblCellMar>
        </w:tblPrEx>
        <w:trPr>
          <w:trHeight w:val="285" w:hRule="atLeast"/>
          <w:jc w:val="center"/>
        </w:trPr>
        <w:tc>
          <w:tcPr>
            <w:tcW w:w="1277" w:type="dxa"/>
            <w:vMerge w:val="restart"/>
            <w:tcBorders>
              <w:top w:val="nil"/>
              <w:left w:val="single" w:color="auto" w:sz="4" w:space="0"/>
              <w:right w:val="single" w:color="auto" w:sz="4" w:space="0"/>
            </w:tcBorders>
            <w:vAlign w:val="center"/>
          </w:tcPr>
          <w:p>
            <w:pPr>
              <w:jc w:val="center"/>
              <w:rPr>
                <w:rFonts w:cs="仿宋" w:asciiTheme="minorEastAsia" w:hAnsiTheme="minorEastAsia"/>
              </w:rPr>
            </w:pPr>
            <w:r>
              <w:rPr>
                <w:rFonts w:hint="eastAsia" w:cs="仿宋" w:asciiTheme="minorEastAsia" w:hAnsiTheme="minorEastAsia"/>
                <w:sz w:val="24"/>
                <w:szCs w:val="24"/>
              </w:rPr>
              <w:t>第二天</w:t>
            </w: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选手到场</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7:30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rPr>
            </w:pP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 xml:space="preserve">检录、两次加密及入场  </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7:30-8:30</w:t>
            </w:r>
          </w:p>
        </w:tc>
      </w:tr>
      <w:tr>
        <w:tblPrEx>
          <w:tblLayout w:type="fixed"/>
          <w:tblCellMar>
            <w:top w:w="0" w:type="dxa"/>
            <w:left w:w="108" w:type="dxa"/>
            <w:bottom w:w="0" w:type="dxa"/>
            <w:right w:w="108" w:type="dxa"/>
          </w:tblCellMar>
        </w:tblPrEx>
        <w:trPr>
          <w:trHeight w:val="293"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rPr>
            </w:pP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赛前30钟准备</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8:30-9:00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rPr>
            </w:pP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比赛时间</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9:00-12:00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rPr>
            </w:pP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参赛代表队离场</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 xml:space="preserve">12:30 </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rPr>
            </w:pPr>
          </w:p>
        </w:tc>
        <w:tc>
          <w:tcPr>
            <w:tcW w:w="4916" w:type="dxa"/>
            <w:tcBorders>
              <w:top w:val="nil"/>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赛项申诉与仲裁</w:t>
            </w:r>
          </w:p>
        </w:tc>
        <w:tc>
          <w:tcPr>
            <w:tcW w:w="1756" w:type="dxa"/>
            <w:tcBorders>
              <w:top w:val="nil"/>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12:30-14:30</w:t>
            </w:r>
          </w:p>
        </w:tc>
      </w:tr>
      <w:tr>
        <w:tblPrEx>
          <w:tblLayout w:type="fixed"/>
          <w:tblCellMar>
            <w:top w:w="0" w:type="dxa"/>
            <w:left w:w="108" w:type="dxa"/>
            <w:bottom w:w="0" w:type="dxa"/>
            <w:right w:w="108" w:type="dxa"/>
          </w:tblCellMar>
        </w:tblPrEx>
        <w:trPr>
          <w:trHeight w:val="285" w:hRule="atLeast"/>
          <w:jc w:val="center"/>
        </w:trPr>
        <w:tc>
          <w:tcPr>
            <w:tcW w:w="1277" w:type="dxa"/>
            <w:vMerge w:val="continue"/>
            <w:tcBorders>
              <w:left w:val="single" w:color="auto" w:sz="4" w:space="0"/>
              <w:right w:val="single" w:color="auto" w:sz="4" w:space="0"/>
            </w:tcBorders>
            <w:vAlign w:val="center"/>
          </w:tcPr>
          <w:p>
            <w:pPr>
              <w:jc w:val="center"/>
              <w:rPr>
                <w:rFonts w:cs="仿宋" w:asciiTheme="minorEastAsia" w:hAnsiTheme="minorEastAsia"/>
              </w:rPr>
            </w:pPr>
          </w:p>
        </w:tc>
        <w:tc>
          <w:tcPr>
            <w:tcW w:w="4916" w:type="dxa"/>
            <w:tcBorders>
              <w:top w:val="single" w:color="auto" w:sz="4" w:space="0"/>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裁判评分  成绩复核确认  录入上报</w:t>
            </w:r>
          </w:p>
        </w:tc>
        <w:tc>
          <w:tcPr>
            <w:tcW w:w="1756" w:type="dxa"/>
            <w:tcBorders>
              <w:top w:val="single" w:color="auto" w:sz="4" w:space="0"/>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12:30-17:30</w:t>
            </w:r>
          </w:p>
        </w:tc>
      </w:tr>
      <w:tr>
        <w:tblPrEx>
          <w:tblLayout w:type="fixed"/>
          <w:tblCellMar>
            <w:top w:w="0" w:type="dxa"/>
            <w:left w:w="108" w:type="dxa"/>
            <w:bottom w:w="0" w:type="dxa"/>
            <w:right w:w="108" w:type="dxa"/>
          </w:tblCellMar>
        </w:tblPrEx>
        <w:trPr>
          <w:trHeight w:val="28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rPr>
            </w:pPr>
            <w:r>
              <w:rPr>
                <w:rFonts w:hint="eastAsia" w:cs="仿宋" w:asciiTheme="minorEastAsia" w:hAnsiTheme="minorEastAsia"/>
                <w:sz w:val="24"/>
                <w:szCs w:val="24"/>
              </w:rPr>
              <w:t>第三天</w:t>
            </w:r>
          </w:p>
        </w:tc>
        <w:tc>
          <w:tcPr>
            <w:tcW w:w="4916" w:type="dxa"/>
            <w:tcBorders>
              <w:top w:val="single" w:color="auto" w:sz="4" w:space="0"/>
              <w:left w:val="nil"/>
              <w:bottom w:val="single" w:color="auto" w:sz="4" w:space="0"/>
              <w:right w:val="single" w:color="auto" w:sz="4" w:space="0"/>
            </w:tcBorders>
            <w:vAlign w:val="center"/>
          </w:tcPr>
          <w:p>
            <w:pPr>
              <w:rPr>
                <w:rFonts w:cs="仿宋" w:asciiTheme="minorEastAsia" w:hAnsiTheme="minorEastAsia"/>
              </w:rPr>
            </w:pPr>
            <w:r>
              <w:rPr>
                <w:rFonts w:hint="eastAsia" w:cs="仿宋" w:asciiTheme="minorEastAsia" w:hAnsiTheme="minorEastAsia"/>
                <w:sz w:val="24"/>
                <w:szCs w:val="24"/>
              </w:rPr>
              <w:t>闭幕式 成绩公布</w:t>
            </w:r>
          </w:p>
        </w:tc>
        <w:tc>
          <w:tcPr>
            <w:tcW w:w="1756" w:type="dxa"/>
            <w:tcBorders>
              <w:top w:val="single" w:color="auto" w:sz="4" w:space="0"/>
              <w:left w:val="nil"/>
              <w:bottom w:val="single" w:color="auto" w:sz="4" w:space="0"/>
              <w:right w:val="single" w:color="auto" w:sz="4" w:space="0"/>
            </w:tcBorders>
          </w:tcPr>
          <w:p>
            <w:pPr>
              <w:rPr>
                <w:rFonts w:cs="仿宋" w:asciiTheme="minorEastAsia" w:hAnsiTheme="minorEastAsia"/>
              </w:rPr>
            </w:pPr>
            <w:r>
              <w:rPr>
                <w:rFonts w:hint="eastAsia" w:cs="仿宋" w:asciiTheme="minorEastAsia" w:hAnsiTheme="minorEastAsia"/>
                <w:sz w:val="24"/>
                <w:szCs w:val="24"/>
              </w:rPr>
              <w:t>——</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w:t>
      </w:r>
      <w:r>
        <w:rPr>
          <w:rFonts w:ascii="Arial Narrow" w:hAnsi="Arial Narrow" w:eastAsia="仿宋_GB2312" w:cs="Arial"/>
          <w:sz w:val="30"/>
          <w:szCs w:val="30"/>
        </w:rPr>
        <w:t>）</w:t>
      </w:r>
      <w:r>
        <w:rPr>
          <w:rFonts w:hint="eastAsia" w:ascii="Arial Narrow" w:hAnsi="Arial Narrow" w:eastAsia="仿宋_GB2312" w:cs="Arial"/>
          <w:sz w:val="30"/>
          <w:szCs w:val="30"/>
        </w:rPr>
        <w:t>竞赛流程图</w:t>
      </w:r>
    </w:p>
    <w:p>
      <w:pPr>
        <w:jc w:val="center"/>
        <w:rPr>
          <w:rFonts w:ascii="黑体" w:hAnsi="黑体" w:eastAsia="黑体"/>
        </w:rPr>
      </w:pPr>
      <w:r>
        <w:rPr>
          <w:rFonts w:ascii="黑体" w:hAnsi="黑体" w:eastAsia="黑体"/>
        </w:rPr>
        <w:drawing>
          <wp:inline distT="0" distB="0" distL="0" distR="0">
            <wp:extent cx="4686300" cy="5226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86300" cy="5226050"/>
                    </a:xfrm>
                    <a:prstGeom prst="rect">
                      <a:avLst/>
                    </a:prstGeom>
                    <a:noFill/>
                    <a:ln>
                      <a:noFill/>
                    </a:ln>
                  </pic:spPr>
                </pic:pic>
              </a:graphicData>
            </a:graphic>
          </wp:inline>
        </w:drawing>
      </w:r>
    </w:p>
    <w:p>
      <w:pPr>
        <w:snapToGrid w:val="0"/>
        <w:spacing w:line="560" w:lineRule="exact"/>
        <w:ind w:firstLine="420" w:firstLineChars="200"/>
        <w:rPr>
          <w:rFonts w:ascii="Arial Narrow" w:hAnsi="Arial Narrow" w:eastAsia="仿宋_GB2312" w:cs="Arial"/>
          <w:sz w:val="30"/>
          <w:szCs w:val="30"/>
        </w:rPr>
      </w:pPr>
      <w:r>
        <w:rPr>
          <w:rFonts w:ascii="黑体" w:hAnsi="黑体" w:eastAsia="黑体"/>
        </w:rPr>
        <w:br w:type="page"/>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九、竞赛试题（样卷）</w:t>
      </w:r>
    </w:p>
    <w:p>
      <w:pPr>
        <w:snapToGrid w:val="0"/>
        <w:spacing w:line="560" w:lineRule="exact"/>
        <w:ind w:firstLine="600" w:firstLineChars="200"/>
        <w:rPr>
          <w:rFonts w:ascii="仿宋_GB2312" w:hAnsi="Arial Narrow" w:eastAsia="仿宋_GB2312"/>
          <w:sz w:val="30"/>
          <w:szCs w:val="30"/>
        </w:rPr>
      </w:pPr>
      <w:r>
        <w:rPr>
          <w:rFonts w:hint="eastAsia" w:ascii="Arial Narrow" w:hAnsi="Arial Narrow" w:eastAsia="仿宋_GB2312" w:cs="Arial"/>
          <w:sz w:val="30"/>
          <w:szCs w:val="30"/>
        </w:rPr>
        <w:t>本赛项已建立</w:t>
      </w:r>
      <w:r>
        <w:rPr>
          <w:rFonts w:hint="eastAsia" w:ascii="仿宋_GB2312" w:hAnsi="Arial Narrow" w:eastAsia="仿宋_GB2312"/>
          <w:sz w:val="30"/>
          <w:szCs w:val="30"/>
        </w:rPr>
        <w:t>赛题库，并有 13套竞赛赛卷，在此附上竞赛试题样卷。</w:t>
      </w:r>
    </w:p>
    <w:p>
      <w:pPr>
        <w:spacing w:line="360" w:lineRule="auto"/>
        <w:jc w:val="center"/>
        <w:rPr>
          <w:rFonts w:ascii="仿宋" w:hAnsi="仿宋" w:eastAsia="仿宋"/>
          <w:b/>
          <w:sz w:val="32"/>
          <w:szCs w:val="32"/>
        </w:rPr>
      </w:pPr>
      <w:bookmarkStart w:id="0" w:name="_Toc216084363"/>
    </w:p>
    <w:p>
      <w:pPr>
        <w:spacing w:line="360" w:lineRule="auto"/>
        <w:jc w:val="center"/>
        <w:rPr>
          <w:rFonts w:ascii="仿宋" w:hAnsi="仿宋" w:eastAsia="仿宋"/>
          <w:b/>
          <w:sz w:val="32"/>
          <w:szCs w:val="32"/>
        </w:rPr>
      </w:pPr>
      <w:bookmarkStart w:id="1" w:name="_Hlk514957832"/>
      <w:r>
        <w:rPr>
          <w:rFonts w:ascii="仿宋" w:hAnsi="仿宋" w:eastAsia="仿宋"/>
          <w:b/>
          <w:sz w:val="32"/>
          <w:szCs w:val="32"/>
        </w:rPr>
        <w:t>XXX</w:t>
      </w:r>
      <w:r>
        <w:rPr>
          <w:rFonts w:hint="eastAsia" w:ascii="仿宋" w:hAnsi="仿宋" w:eastAsia="仿宋"/>
          <w:b/>
          <w:sz w:val="32"/>
          <w:szCs w:val="32"/>
        </w:rPr>
        <w:t>年全国职业院校技能大赛中职组</w:t>
      </w:r>
    </w:p>
    <w:p>
      <w:pPr>
        <w:spacing w:line="360" w:lineRule="auto"/>
        <w:jc w:val="center"/>
        <w:rPr>
          <w:rFonts w:ascii="仿宋" w:hAnsi="仿宋" w:eastAsia="仿宋"/>
          <w:b/>
          <w:sz w:val="32"/>
          <w:szCs w:val="32"/>
        </w:rPr>
      </w:pPr>
      <w:bookmarkStart w:id="2" w:name="_Toc326763368"/>
      <w:r>
        <w:rPr>
          <w:rFonts w:hint="eastAsia" w:ascii="仿宋" w:hAnsi="仿宋" w:eastAsia="仿宋"/>
          <w:b/>
          <w:sz w:val="32"/>
          <w:szCs w:val="32"/>
        </w:rPr>
        <w:t>“计算机检测维修与数据恢复”项目竞赛</w:t>
      </w:r>
      <w:bookmarkEnd w:id="0"/>
      <w:bookmarkEnd w:id="2"/>
      <w:r>
        <w:rPr>
          <w:rFonts w:hint="eastAsia" w:ascii="仿宋" w:hAnsi="仿宋" w:eastAsia="仿宋"/>
          <w:b/>
          <w:sz w:val="32"/>
          <w:szCs w:val="32"/>
        </w:rPr>
        <w:t>赛卷</w:t>
      </w:r>
    </w:p>
    <w:p>
      <w:pPr>
        <w:spacing w:line="360" w:lineRule="auto"/>
        <w:jc w:val="center"/>
        <w:rPr>
          <w:rFonts w:ascii="仿宋" w:hAnsi="仿宋" w:eastAsia="仿宋"/>
          <w:b/>
          <w:sz w:val="32"/>
          <w:szCs w:val="32"/>
        </w:rPr>
      </w:pPr>
      <w:r>
        <w:rPr>
          <w:rFonts w:hint="eastAsia" w:ascii="仿宋" w:hAnsi="仿宋" w:eastAsia="仿宋"/>
          <w:b/>
          <w:sz w:val="32"/>
          <w:szCs w:val="32"/>
        </w:rPr>
        <w:t>样卷</w:t>
      </w: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r>
        <w:rPr>
          <w:rFonts w:hint="eastAsia" w:ascii="仿宋" w:hAnsi="仿宋" w:eastAsia="仿宋"/>
          <w:b/>
          <w:sz w:val="36"/>
          <w:szCs w:val="36"/>
        </w:rPr>
        <w:t>赛位号：</w:t>
      </w:r>
      <w:r>
        <w:rPr>
          <w:rFonts w:hint="eastAsia" w:ascii="仿宋" w:hAnsi="仿宋" w:eastAsia="仿宋"/>
          <w:b/>
          <w:sz w:val="36"/>
          <w:szCs w:val="36"/>
          <w:u w:val="single"/>
        </w:rPr>
        <w:t xml:space="preserve"> </w:t>
      </w:r>
      <w:r>
        <w:rPr>
          <w:rFonts w:ascii="仿宋" w:hAnsi="仿宋" w:eastAsia="仿宋"/>
          <w:b/>
          <w:sz w:val="36"/>
          <w:szCs w:val="36"/>
          <w:u w:val="single"/>
        </w:rPr>
        <w:t xml:space="preserve">    </w:t>
      </w: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pPr>
    </w:p>
    <w:p>
      <w:pPr>
        <w:widowControl/>
        <w:spacing w:line="360" w:lineRule="auto"/>
        <w:jc w:val="center"/>
        <w:rPr>
          <w:rFonts w:ascii="仿宋" w:hAnsi="仿宋" w:eastAsia="仿宋"/>
          <w:b/>
          <w:sz w:val="36"/>
          <w:szCs w:val="36"/>
        </w:rPr>
      </w:pPr>
    </w:p>
    <w:p>
      <w:pPr>
        <w:widowControl/>
        <w:spacing w:line="360" w:lineRule="auto"/>
        <w:jc w:val="center"/>
        <w:rPr>
          <w:rFonts w:ascii="仿宋" w:hAnsi="仿宋" w:eastAsia="仿宋"/>
          <w:b/>
          <w:kern w:val="0"/>
          <w:sz w:val="30"/>
          <w:szCs w:val="30"/>
        </w:rPr>
      </w:pPr>
      <w:r>
        <w:rPr>
          <w:rFonts w:hint="eastAsia" w:ascii="仿宋" w:hAnsi="仿宋" w:eastAsia="仿宋"/>
          <w:b/>
          <w:sz w:val="36"/>
          <w:szCs w:val="36"/>
        </w:rPr>
        <w:t xml:space="preserve"> </w:t>
      </w:r>
      <w:r>
        <w:rPr>
          <w:rFonts w:ascii="仿宋" w:hAnsi="仿宋" w:eastAsia="仿宋"/>
          <w:b/>
          <w:kern w:val="0"/>
          <w:sz w:val="30"/>
          <w:szCs w:val="30"/>
        </w:rPr>
        <w:t>XXX</w:t>
      </w:r>
      <w:r>
        <w:rPr>
          <w:rFonts w:hint="eastAsia" w:ascii="仿宋" w:hAnsi="仿宋" w:eastAsia="仿宋"/>
          <w:b/>
          <w:kern w:val="0"/>
          <w:sz w:val="30"/>
          <w:szCs w:val="30"/>
        </w:rPr>
        <w:t>年全国职业院校技能大赛（中职组）</w:t>
      </w:r>
    </w:p>
    <w:p>
      <w:pPr>
        <w:widowControl/>
        <w:spacing w:line="360" w:lineRule="auto"/>
        <w:jc w:val="center"/>
        <w:rPr>
          <w:rFonts w:ascii="仿宋" w:hAnsi="仿宋" w:eastAsia="仿宋"/>
          <w:b/>
          <w:kern w:val="0"/>
          <w:sz w:val="30"/>
          <w:szCs w:val="30"/>
        </w:rPr>
      </w:pPr>
      <w:r>
        <w:rPr>
          <w:rFonts w:hint="eastAsia" w:ascii="仿宋" w:hAnsi="仿宋" w:eastAsia="仿宋"/>
          <w:b/>
          <w:kern w:val="0"/>
          <w:sz w:val="30"/>
          <w:szCs w:val="30"/>
        </w:rPr>
        <w:t>“计算机检测维修与数据恢复”赛项执委会制</w:t>
      </w:r>
    </w:p>
    <w:p>
      <w:pPr>
        <w:spacing w:line="360" w:lineRule="auto"/>
        <w:jc w:val="center"/>
        <w:rPr>
          <w:rFonts w:ascii="仿宋" w:hAnsi="仿宋" w:eastAsia="仿宋"/>
          <w:b/>
          <w:sz w:val="24"/>
        </w:rPr>
      </w:pPr>
    </w:p>
    <w:p>
      <w:pPr>
        <w:jc w:val="center"/>
        <w:rPr>
          <w:rFonts w:ascii="仿宋" w:hAnsi="仿宋" w:eastAsia="仿宋"/>
          <w:b/>
          <w:sz w:val="30"/>
          <w:szCs w:val="30"/>
        </w:rPr>
      </w:pPr>
    </w:p>
    <w:bookmarkEnd w:id="1"/>
    <w:p>
      <w:pPr>
        <w:spacing w:line="360" w:lineRule="auto"/>
        <w:jc w:val="center"/>
        <w:rPr>
          <w:rFonts w:ascii="仿宋" w:hAnsi="仿宋" w:eastAsia="仿宋"/>
          <w:b/>
          <w:sz w:val="28"/>
          <w:szCs w:val="28"/>
        </w:rPr>
      </w:pPr>
    </w:p>
    <w:p>
      <w:pPr>
        <w:spacing w:before="312" w:beforeLines="100" w:after="312" w:afterLines="100" w:line="360" w:lineRule="auto"/>
        <w:rPr>
          <w:rFonts w:ascii="仿宋_GB2312" w:eastAsia="仿宋_GB2312"/>
          <w:b/>
          <w:sz w:val="28"/>
          <w:szCs w:val="28"/>
        </w:rPr>
      </w:pPr>
      <w:bookmarkStart w:id="3" w:name="_Toc514958118"/>
      <w:r>
        <w:rPr>
          <w:rFonts w:hint="eastAsia" w:ascii="仿宋_GB2312" w:eastAsia="仿宋_GB2312"/>
          <w:b/>
          <w:sz w:val="28"/>
          <w:szCs w:val="28"/>
        </w:rPr>
        <w:t>一、赛程说明</w:t>
      </w:r>
      <w:bookmarkEnd w:id="3"/>
    </w:p>
    <w:tbl>
      <w:tblPr>
        <w:tblStyle w:val="19"/>
        <w:tblW w:w="88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6"/>
        <w:gridCol w:w="2796"/>
        <w:gridCol w:w="4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shd w:val="clear" w:color="auto" w:fill="D9D9D9"/>
          </w:tcPr>
          <w:p>
            <w:pPr>
              <w:jc w:val="center"/>
              <w:rPr>
                <w:rFonts w:ascii="仿宋_GB2312" w:hAnsi="仿宋" w:eastAsia="仿宋_GB2312"/>
                <w:b/>
                <w:sz w:val="24"/>
                <w:szCs w:val="24"/>
              </w:rPr>
            </w:pPr>
            <w:r>
              <w:rPr>
                <w:rFonts w:hint="eastAsia" w:ascii="仿宋_GB2312" w:hAnsi="仿宋" w:eastAsia="仿宋_GB2312"/>
                <w:b/>
                <w:sz w:val="24"/>
                <w:szCs w:val="24"/>
              </w:rPr>
              <w:t>时间</w:t>
            </w:r>
          </w:p>
        </w:tc>
        <w:tc>
          <w:tcPr>
            <w:tcW w:w="2796" w:type="dxa"/>
            <w:shd w:val="clear" w:color="auto" w:fill="D9D9D9"/>
          </w:tcPr>
          <w:p>
            <w:pPr>
              <w:jc w:val="center"/>
              <w:rPr>
                <w:rFonts w:ascii="仿宋_GB2312" w:hAnsi="仿宋" w:eastAsia="仿宋_GB2312"/>
                <w:b/>
                <w:sz w:val="24"/>
                <w:szCs w:val="24"/>
              </w:rPr>
            </w:pPr>
            <w:r>
              <w:rPr>
                <w:rFonts w:hint="eastAsia" w:ascii="仿宋_GB2312" w:hAnsi="仿宋" w:eastAsia="仿宋_GB2312"/>
                <w:b/>
                <w:sz w:val="24"/>
                <w:szCs w:val="24"/>
              </w:rPr>
              <w:t>赛程</w:t>
            </w:r>
          </w:p>
        </w:tc>
        <w:tc>
          <w:tcPr>
            <w:tcW w:w="4371" w:type="dxa"/>
            <w:shd w:val="clear" w:color="auto" w:fill="D9D9D9"/>
          </w:tcPr>
          <w:p>
            <w:pPr>
              <w:jc w:val="center"/>
              <w:rPr>
                <w:rFonts w:ascii="仿宋_GB2312" w:hAnsi="仿宋" w:eastAsia="仿宋_GB2312"/>
                <w:b/>
                <w:sz w:val="24"/>
                <w:szCs w:val="24"/>
              </w:rPr>
            </w:pPr>
            <w:r>
              <w:rPr>
                <w:rFonts w:hint="eastAsia" w:ascii="仿宋_GB2312" w:hAnsi="仿宋" w:eastAsia="仿宋_GB2312"/>
                <w:b/>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_GB2312" w:hAnsi="仿宋" w:eastAsia="仿宋_GB2312"/>
                <w:sz w:val="24"/>
                <w:szCs w:val="24"/>
              </w:rPr>
            </w:pPr>
            <w:r>
              <w:rPr>
                <w:rFonts w:hint="eastAsia" w:ascii="仿宋_GB2312" w:hAnsi="仿宋" w:eastAsia="仿宋_GB2312"/>
                <w:sz w:val="24"/>
                <w:szCs w:val="24"/>
              </w:rPr>
              <w:t>8:30-9:00</w:t>
            </w:r>
          </w:p>
        </w:tc>
        <w:tc>
          <w:tcPr>
            <w:tcW w:w="2796" w:type="dxa"/>
            <w:vAlign w:val="center"/>
          </w:tcPr>
          <w:p>
            <w:pPr>
              <w:jc w:val="center"/>
              <w:rPr>
                <w:rFonts w:ascii="仿宋_GB2312" w:hAnsi="仿宋" w:eastAsia="仿宋_GB2312"/>
                <w:sz w:val="24"/>
                <w:szCs w:val="24"/>
              </w:rPr>
            </w:pPr>
            <w:r>
              <w:rPr>
                <w:rFonts w:hint="eastAsia" w:ascii="仿宋_GB2312" w:hAnsi="仿宋" w:eastAsia="仿宋_GB2312" w:cs="仿宋"/>
                <w:sz w:val="24"/>
                <w:szCs w:val="24"/>
              </w:rPr>
              <w:t>完成赛前30分钟准备</w:t>
            </w:r>
          </w:p>
        </w:tc>
        <w:tc>
          <w:tcPr>
            <w:tcW w:w="4371" w:type="dxa"/>
            <w:vAlign w:val="center"/>
          </w:tcPr>
          <w:p>
            <w:pPr>
              <w:jc w:val="left"/>
              <w:rPr>
                <w:rFonts w:ascii="仿宋_GB2312" w:hAnsi="仿宋" w:eastAsia="仿宋_GB2312"/>
                <w:sz w:val="24"/>
                <w:szCs w:val="24"/>
              </w:rPr>
            </w:pPr>
            <w:r>
              <w:rPr>
                <w:rFonts w:hint="eastAsia" w:ascii="仿宋_GB2312" w:hAnsi="仿宋" w:eastAsia="仿宋_GB2312"/>
                <w:sz w:val="24"/>
                <w:szCs w:val="24"/>
              </w:rPr>
              <w:t>竞赛开始前，完成《</w:t>
            </w:r>
            <w:r>
              <w:rPr>
                <w:rFonts w:hint="eastAsia" w:ascii="仿宋_GB2312" w:hAnsi="仿宋" w:eastAsia="仿宋_GB2312"/>
                <w:kern w:val="0"/>
                <w:sz w:val="24"/>
                <w:szCs w:val="24"/>
              </w:rPr>
              <w:t>竞赛器材确认表》的签字确认，并由现场裁判收回。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_GB2312" w:hAnsi="仿宋" w:eastAsia="仿宋_GB2312"/>
                <w:sz w:val="24"/>
                <w:szCs w:val="24"/>
              </w:rPr>
            </w:pPr>
            <w:r>
              <w:rPr>
                <w:rFonts w:hint="eastAsia" w:ascii="仿宋_GB2312" w:hAnsi="仿宋" w:eastAsia="仿宋_GB2312"/>
                <w:sz w:val="24"/>
                <w:szCs w:val="24"/>
              </w:rPr>
              <w:t>9:00-12:00</w:t>
            </w:r>
          </w:p>
        </w:tc>
        <w:tc>
          <w:tcPr>
            <w:tcW w:w="2796" w:type="dxa"/>
            <w:vAlign w:val="center"/>
          </w:tcPr>
          <w:p>
            <w:pPr>
              <w:jc w:val="center"/>
              <w:rPr>
                <w:rFonts w:ascii="仿宋_GB2312" w:hAnsi="仿宋" w:eastAsia="仿宋_GB2312"/>
                <w:sz w:val="24"/>
                <w:szCs w:val="24"/>
              </w:rPr>
            </w:pPr>
            <w:r>
              <w:rPr>
                <w:rFonts w:hint="eastAsia" w:ascii="仿宋_GB2312" w:hAnsi="仿宋" w:eastAsia="仿宋_GB2312"/>
                <w:sz w:val="24"/>
                <w:szCs w:val="24"/>
              </w:rPr>
              <w:t>完成竞赛任务</w:t>
            </w:r>
          </w:p>
        </w:tc>
        <w:tc>
          <w:tcPr>
            <w:tcW w:w="4371" w:type="dxa"/>
            <w:vAlign w:val="center"/>
          </w:tcPr>
          <w:p>
            <w:pPr>
              <w:jc w:val="left"/>
              <w:rPr>
                <w:rFonts w:ascii="仿宋_GB2312" w:hAnsi="仿宋" w:eastAsia="仿宋_GB2312"/>
                <w:sz w:val="24"/>
                <w:szCs w:val="24"/>
              </w:rPr>
            </w:pPr>
            <w:r>
              <w:rPr>
                <w:rFonts w:hint="eastAsia" w:ascii="仿宋_GB2312" w:hAnsi="仿宋" w:eastAsia="仿宋_GB2312"/>
                <w:sz w:val="24"/>
                <w:szCs w:val="24"/>
              </w:rPr>
              <w:t>竞赛开始后，按照竞赛任务书中的说明及要求完成相关任务。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_GB2312" w:hAnsi="仿宋" w:eastAsia="仿宋_GB2312"/>
                <w:sz w:val="24"/>
                <w:szCs w:val="24"/>
              </w:rPr>
            </w:pPr>
            <w:r>
              <w:rPr>
                <w:rFonts w:hint="eastAsia" w:ascii="仿宋_GB2312" w:hAnsi="仿宋" w:eastAsia="仿宋_GB2312"/>
                <w:sz w:val="24"/>
                <w:szCs w:val="24"/>
              </w:rPr>
              <w:t>12:00-13:00</w:t>
            </w:r>
          </w:p>
        </w:tc>
        <w:tc>
          <w:tcPr>
            <w:tcW w:w="2796" w:type="dxa"/>
            <w:vAlign w:val="center"/>
          </w:tcPr>
          <w:p>
            <w:pPr>
              <w:jc w:val="center"/>
              <w:rPr>
                <w:rFonts w:ascii="仿宋_GB2312" w:hAnsi="仿宋" w:eastAsia="仿宋_GB2312"/>
                <w:sz w:val="24"/>
                <w:szCs w:val="24"/>
              </w:rPr>
            </w:pPr>
            <w:r>
              <w:rPr>
                <w:rFonts w:hint="eastAsia" w:ascii="仿宋_GB2312" w:hAnsi="仿宋" w:eastAsia="仿宋_GB2312"/>
                <w:sz w:val="24"/>
                <w:szCs w:val="24"/>
              </w:rPr>
              <w:t>完成竞赛提交结果确认</w:t>
            </w:r>
          </w:p>
        </w:tc>
        <w:tc>
          <w:tcPr>
            <w:tcW w:w="4371" w:type="dxa"/>
            <w:vAlign w:val="center"/>
          </w:tcPr>
          <w:p>
            <w:pPr>
              <w:jc w:val="left"/>
              <w:rPr>
                <w:rFonts w:ascii="仿宋_GB2312" w:hAnsi="仿宋" w:eastAsia="仿宋_GB2312"/>
                <w:sz w:val="24"/>
                <w:szCs w:val="24"/>
              </w:rPr>
            </w:pPr>
            <w:r>
              <w:rPr>
                <w:rFonts w:hint="eastAsia" w:ascii="仿宋_GB2312" w:hAnsi="仿宋" w:eastAsia="仿宋_GB2312"/>
                <w:sz w:val="24"/>
                <w:szCs w:val="24"/>
              </w:rPr>
              <w:t xml:space="preserve">竞赛结束后，根据现场裁判指示进行板卡维修结果提交以及《计算机检测维修与数据恢复项目竞赛报告单》提交。 </w:t>
            </w:r>
          </w:p>
        </w:tc>
      </w:tr>
    </w:tbl>
    <w:p>
      <w:pPr>
        <w:spacing w:before="312" w:beforeLines="100" w:after="312" w:afterLines="100" w:line="360" w:lineRule="auto"/>
        <w:rPr>
          <w:rFonts w:ascii="仿宋_GB2312" w:eastAsia="仿宋_GB2312"/>
          <w:b/>
          <w:sz w:val="28"/>
          <w:szCs w:val="28"/>
        </w:rPr>
      </w:pPr>
      <w:bookmarkStart w:id="4" w:name="_Toc514958119"/>
      <w:r>
        <w:rPr>
          <w:rFonts w:hint="eastAsia" w:ascii="仿宋_GB2312" w:eastAsia="仿宋_GB2312"/>
          <w:b/>
          <w:sz w:val="28"/>
          <w:szCs w:val="28"/>
        </w:rPr>
        <w:t>二、竞赛技术平台及资料说明</w:t>
      </w:r>
      <w:bookmarkEnd w:id="4"/>
    </w:p>
    <w:p>
      <w:pPr>
        <w:spacing w:line="360" w:lineRule="auto"/>
        <w:ind w:firstLine="470" w:firstLineChars="196"/>
        <w:rPr>
          <w:rFonts w:ascii="仿宋" w:hAnsi="仿宋" w:eastAsia="仿宋"/>
          <w:sz w:val="24"/>
          <w:szCs w:val="24"/>
        </w:rPr>
      </w:pPr>
      <w:r>
        <w:rPr>
          <w:rFonts w:hint="eastAsia" w:ascii="仿宋" w:hAnsi="仿宋" w:eastAsia="仿宋"/>
          <w:sz w:val="24"/>
          <w:szCs w:val="24"/>
        </w:rPr>
        <w:t>“计算机检测维修与数据恢复”项目竞赛技术平台及资料说明见附件1。</w:t>
      </w:r>
    </w:p>
    <w:p>
      <w:pPr>
        <w:spacing w:before="312" w:beforeLines="100" w:after="312" w:afterLines="100" w:line="360" w:lineRule="auto"/>
        <w:rPr>
          <w:rFonts w:ascii="仿宋_GB2312" w:eastAsia="仿宋_GB2312"/>
          <w:b/>
          <w:sz w:val="28"/>
          <w:szCs w:val="28"/>
        </w:rPr>
      </w:pPr>
      <w:bookmarkStart w:id="5" w:name="_Toc514958120"/>
      <w:r>
        <w:rPr>
          <w:rFonts w:hint="eastAsia" w:ascii="仿宋_GB2312" w:eastAsia="仿宋_GB2312"/>
          <w:b/>
          <w:sz w:val="28"/>
          <w:szCs w:val="28"/>
        </w:rPr>
        <w:t>三、竞赛时间、内容及总成绩</w:t>
      </w:r>
      <w:bookmarkEnd w:id="5"/>
    </w:p>
    <w:p>
      <w:pPr>
        <w:spacing w:before="312" w:beforeLines="100" w:after="312" w:afterLines="100" w:line="360" w:lineRule="auto"/>
        <w:rPr>
          <w:rFonts w:ascii="仿宋_GB2312" w:eastAsia="仿宋_GB2312"/>
          <w:b/>
          <w:sz w:val="24"/>
          <w:szCs w:val="24"/>
        </w:rPr>
      </w:pPr>
      <w:bookmarkStart w:id="6" w:name="_Toc514958121"/>
      <w:r>
        <w:rPr>
          <w:rFonts w:hint="eastAsia" w:ascii="仿宋_GB2312" w:eastAsia="仿宋_GB2312"/>
          <w:b/>
          <w:sz w:val="24"/>
          <w:szCs w:val="24"/>
        </w:rPr>
        <w:t>（一）竞赛时间</w:t>
      </w:r>
      <w:bookmarkEnd w:id="6"/>
    </w:p>
    <w:p>
      <w:pPr>
        <w:spacing w:line="360" w:lineRule="auto"/>
        <w:ind w:firstLine="480" w:firstLineChars="200"/>
      </w:pPr>
      <w:r>
        <w:rPr>
          <w:rFonts w:hint="eastAsia" w:ascii="仿宋_GB2312" w:hAnsi="仿宋" w:eastAsia="仿宋_GB2312"/>
          <w:sz w:val="24"/>
          <w:szCs w:val="24"/>
        </w:rPr>
        <w:t>竞赛时间共为3小时，参赛队选手自行安排任务进度，</w:t>
      </w:r>
      <w:r>
        <w:rPr>
          <w:rFonts w:hint="eastAsia" w:ascii="仿宋_GB2312" w:hAnsi="仿宋" w:eastAsia="仿宋_GB2312" w:cs="仿宋"/>
          <w:sz w:val="24"/>
          <w:szCs w:val="24"/>
        </w:rPr>
        <w:t>休息、饮水、如厕等不设专门用时，统一含在竞赛时间内</w:t>
      </w:r>
      <w:r>
        <w:rPr>
          <w:rFonts w:hint="eastAsia" w:ascii="仿宋" w:hAnsi="仿宋" w:eastAsia="仿宋" w:cs="仿宋"/>
          <w:sz w:val="24"/>
          <w:szCs w:val="24"/>
        </w:rPr>
        <w:t>。</w:t>
      </w:r>
    </w:p>
    <w:p>
      <w:pPr>
        <w:spacing w:before="312" w:beforeLines="100" w:after="312" w:afterLines="100" w:line="360" w:lineRule="auto"/>
        <w:rPr>
          <w:rFonts w:ascii="仿宋_GB2312" w:eastAsia="仿宋_GB2312"/>
          <w:b/>
          <w:sz w:val="24"/>
          <w:szCs w:val="24"/>
        </w:rPr>
      </w:pPr>
      <w:bookmarkStart w:id="7" w:name="_Toc514958122"/>
      <w:r>
        <w:rPr>
          <w:rFonts w:hint="eastAsia" w:ascii="仿宋_GB2312" w:eastAsia="仿宋_GB2312"/>
          <w:b/>
          <w:sz w:val="24"/>
          <w:szCs w:val="24"/>
        </w:rPr>
        <w:t>（二）竞赛内容概述</w:t>
      </w:r>
      <w:bookmarkEnd w:id="7"/>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依据竞赛任务要求分别完成计算机主板及功能板检测与维修和存储设备检测维修及数据恢复,然后将一台空机箱，搭配其它计算机配件，组装一台完整的计算机，并利用维修好的U盘，为其安装操作系统及应用软件，使其成为一台完整的、可正常启动并运行的计算机系统，最后填写《计算机检测维修与数据恢复项目竞赛报告单》。竞赛共设置如下四项任务：</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任务一：计算机主板及功能板检测与维修（25%）</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任务二：存储设备检测维修及数据恢复（40%）</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任务三：计算机组装与检测（20%）</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任务四：填写竞赛报告单（10%）</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竞赛过程中参赛队选手职业素养表现（5%）</w:t>
      </w:r>
    </w:p>
    <w:p>
      <w:pPr>
        <w:spacing w:before="312" w:beforeLines="100" w:after="312" w:afterLines="100" w:line="360" w:lineRule="auto"/>
        <w:rPr>
          <w:rFonts w:ascii="仿宋_GB2312" w:eastAsia="仿宋_GB2312"/>
          <w:b/>
          <w:sz w:val="24"/>
          <w:szCs w:val="24"/>
        </w:rPr>
      </w:pPr>
      <w:bookmarkStart w:id="8" w:name="_Toc514958123"/>
      <w:r>
        <w:rPr>
          <w:rFonts w:hint="eastAsia" w:ascii="仿宋_GB2312" w:eastAsia="仿宋_GB2312"/>
          <w:b/>
          <w:sz w:val="24"/>
          <w:szCs w:val="24"/>
        </w:rPr>
        <w:t>（三）竞赛总成绩</w:t>
      </w:r>
      <w:bookmarkEnd w:id="8"/>
    </w:p>
    <w:p>
      <w:pPr>
        <w:spacing w:line="360" w:lineRule="auto"/>
        <w:ind w:firstLine="470" w:firstLineChars="196"/>
        <w:rPr>
          <w:rFonts w:ascii="仿宋" w:hAnsi="仿宋" w:eastAsia="仿宋"/>
          <w:sz w:val="24"/>
          <w:szCs w:val="24"/>
        </w:rPr>
      </w:pPr>
      <w:r>
        <w:rPr>
          <w:rFonts w:hint="eastAsia" w:ascii="仿宋" w:hAnsi="仿宋" w:eastAsia="仿宋"/>
          <w:sz w:val="24"/>
          <w:szCs w:val="24"/>
        </w:rPr>
        <w:t>“计算机检测维修与数据恢复”项目竞赛总成绩为100分。</w:t>
      </w:r>
    </w:p>
    <w:p>
      <w:pPr>
        <w:spacing w:before="312" w:beforeLines="100" w:after="312" w:afterLines="100" w:line="360" w:lineRule="auto"/>
        <w:rPr>
          <w:rFonts w:ascii="仿宋_GB2312" w:eastAsia="仿宋_GB2312"/>
          <w:b/>
          <w:sz w:val="28"/>
          <w:szCs w:val="28"/>
        </w:rPr>
      </w:pPr>
      <w:bookmarkStart w:id="9" w:name="_Toc514958124"/>
      <w:r>
        <w:rPr>
          <w:rFonts w:hint="eastAsia" w:ascii="仿宋_GB2312" w:eastAsia="仿宋_GB2312"/>
          <w:b/>
          <w:sz w:val="28"/>
          <w:szCs w:val="28"/>
        </w:rPr>
        <w:t>四、任务说明</w:t>
      </w:r>
      <w:bookmarkEnd w:id="9"/>
      <w:r>
        <w:rPr>
          <w:rFonts w:hint="eastAsia" w:ascii="仿宋_GB2312" w:eastAsia="仿宋_GB2312"/>
          <w:b/>
          <w:sz w:val="28"/>
          <w:szCs w:val="28"/>
        </w:rPr>
        <w:t xml:space="preserve">    </w:t>
      </w:r>
    </w:p>
    <w:p>
      <w:pPr>
        <w:spacing w:before="312" w:beforeLines="100" w:after="312" w:afterLines="100" w:line="360" w:lineRule="auto"/>
        <w:rPr>
          <w:rFonts w:ascii="仿宋_GB2312" w:eastAsia="仿宋_GB2312"/>
          <w:b/>
          <w:sz w:val="24"/>
          <w:szCs w:val="24"/>
        </w:rPr>
      </w:pPr>
      <w:bookmarkStart w:id="10" w:name="_Toc514958125"/>
      <w:r>
        <w:rPr>
          <w:rFonts w:hint="eastAsia" w:ascii="仿宋_GB2312" w:eastAsia="仿宋_GB2312"/>
          <w:b/>
          <w:sz w:val="24"/>
          <w:szCs w:val="24"/>
        </w:rPr>
        <w:t>（一）任务一：计算机主板及功能板检测与维修</w:t>
      </w:r>
      <w:bookmarkEnd w:id="10"/>
    </w:p>
    <w:p>
      <w:pPr>
        <w:spacing w:line="360" w:lineRule="auto"/>
        <w:ind w:firstLine="470" w:firstLineChars="196"/>
        <w:rPr>
          <w:rFonts w:ascii="仿宋" w:hAnsi="仿宋" w:eastAsia="仿宋"/>
          <w:sz w:val="24"/>
          <w:szCs w:val="24"/>
        </w:rPr>
      </w:pPr>
      <w:r>
        <w:rPr>
          <w:rFonts w:hint="eastAsia" w:ascii="仿宋" w:hAnsi="仿宋" w:eastAsia="仿宋"/>
          <w:sz w:val="24"/>
          <w:szCs w:val="24"/>
        </w:rPr>
        <w:t>1 任务描述</w:t>
      </w:r>
    </w:p>
    <w:p>
      <w:pPr>
        <w:spacing w:line="360" w:lineRule="auto"/>
        <w:ind w:firstLine="470" w:firstLineChars="196"/>
        <w:rPr>
          <w:rFonts w:ascii="仿宋" w:hAnsi="仿宋" w:eastAsia="仿宋"/>
          <w:sz w:val="24"/>
          <w:szCs w:val="24"/>
        </w:rPr>
      </w:pPr>
      <w:r>
        <w:rPr>
          <w:rFonts w:hint="eastAsia" w:ascii="仿宋" w:hAnsi="仿宋" w:eastAsia="仿宋"/>
          <w:sz w:val="24"/>
          <w:szCs w:val="24"/>
        </w:rPr>
        <w:t>在竞赛时间内，依据大赛执委会提供的技术文件（包括电路板原理图、元器件资料等），完成指定计算机主板和功能性电路板的故障检测并进行维修。大赛提供含有故障的6块电路板，每块电路板均有若干不同的故障点，具体要求如下：</w:t>
      </w:r>
    </w:p>
    <w:tbl>
      <w:tblPr>
        <w:tblStyle w:val="19"/>
        <w:tblW w:w="92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0"/>
        <w:gridCol w:w="1601"/>
        <w:gridCol w:w="6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shd w:val="clear" w:color="auto" w:fill="D9D9D9"/>
            <w:vAlign w:val="center"/>
          </w:tcPr>
          <w:p>
            <w:pPr>
              <w:jc w:val="center"/>
              <w:rPr>
                <w:rFonts w:ascii="仿宋" w:hAnsi="仿宋" w:eastAsia="仿宋"/>
                <w:b/>
                <w:sz w:val="24"/>
                <w:szCs w:val="24"/>
              </w:rPr>
            </w:pPr>
            <w:r>
              <w:rPr>
                <w:rFonts w:hint="eastAsia" w:ascii="仿宋" w:hAnsi="仿宋" w:eastAsia="仿宋"/>
                <w:b/>
                <w:sz w:val="24"/>
                <w:szCs w:val="24"/>
              </w:rPr>
              <w:t>板卡</w:t>
            </w:r>
          </w:p>
        </w:tc>
        <w:tc>
          <w:tcPr>
            <w:tcW w:w="1601" w:type="dxa"/>
            <w:tcBorders>
              <w:right w:val="single" w:color="auto" w:sz="4" w:space="0"/>
            </w:tcBorders>
            <w:shd w:val="clear" w:color="auto" w:fill="D9D9D9"/>
            <w:vAlign w:val="center"/>
          </w:tcPr>
          <w:p>
            <w:pPr>
              <w:jc w:val="center"/>
              <w:rPr>
                <w:rFonts w:ascii="仿宋" w:hAnsi="仿宋" w:eastAsia="仿宋"/>
                <w:b/>
                <w:sz w:val="24"/>
                <w:szCs w:val="24"/>
              </w:rPr>
            </w:pPr>
            <w:r>
              <w:rPr>
                <w:rFonts w:hint="eastAsia" w:ascii="仿宋" w:hAnsi="仿宋" w:eastAsia="仿宋"/>
                <w:b/>
                <w:sz w:val="24"/>
                <w:szCs w:val="24"/>
              </w:rPr>
              <w:t>电路板编号</w:t>
            </w:r>
          </w:p>
        </w:tc>
        <w:tc>
          <w:tcPr>
            <w:tcW w:w="6266" w:type="dxa"/>
            <w:shd w:val="clear" w:color="auto" w:fill="D9D9D9"/>
            <w:vAlign w:val="center"/>
          </w:tcPr>
          <w:p>
            <w:pPr>
              <w:jc w:val="center"/>
              <w:rPr>
                <w:rFonts w:ascii="仿宋" w:hAnsi="仿宋" w:eastAsia="仿宋"/>
                <w:b/>
                <w:sz w:val="24"/>
                <w:szCs w:val="24"/>
              </w:rPr>
            </w:pPr>
            <w:r>
              <w:rPr>
                <w:rFonts w:hint="eastAsia" w:ascii="仿宋" w:hAnsi="仿宋" w:eastAsia="仿宋"/>
                <w:b/>
                <w:sz w:val="24"/>
                <w:szCs w:val="24"/>
              </w:rPr>
              <w:t>任务要求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板卡一</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电路板1</w:t>
            </w:r>
          </w:p>
        </w:tc>
        <w:tc>
          <w:tcPr>
            <w:tcW w:w="6266" w:type="dxa"/>
            <w:vAlign w:val="center"/>
          </w:tcPr>
          <w:p>
            <w:pPr>
              <w:spacing w:line="360" w:lineRule="auto"/>
              <w:rPr>
                <w:rFonts w:ascii="仿宋" w:hAnsi="仿宋" w:eastAsia="仿宋"/>
                <w:sz w:val="24"/>
                <w:szCs w:val="24"/>
              </w:rPr>
            </w:pPr>
            <w:r>
              <w:rPr>
                <w:rFonts w:hint="eastAsia" w:ascii="仿宋" w:hAnsi="仿宋" w:eastAsia="仿宋"/>
                <w:sz w:val="24"/>
                <w:szCs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板卡二</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电路板2</w:t>
            </w:r>
          </w:p>
        </w:tc>
        <w:tc>
          <w:tcPr>
            <w:tcW w:w="6266" w:type="dxa"/>
            <w:vAlign w:val="center"/>
          </w:tcPr>
          <w:p>
            <w:pPr>
              <w:spacing w:line="360" w:lineRule="auto"/>
              <w:rPr>
                <w:rFonts w:ascii="仿宋" w:hAnsi="仿宋" w:eastAsia="仿宋"/>
                <w:sz w:val="24"/>
                <w:szCs w:val="24"/>
              </w:rPr>
            </w:pPr>
            <w:r>
              <w:rPr>
                <w:rFonts w:hint="eastAsia" w:ascii="仿宋" w:hAnsi="仿宋" w:eastAsia="仿宋"/>
                <w:sz w:val="24"/>
                <w:szCs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板卡三</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电路板3</w:t>
            </w:r>
          </w:p>
        </w:tc>
        <w:tc>
          <w:tcPr>
            <w:tcW w:w="6266" w:type="dxa"/>
            <w:vAlign w:val="center"/>
          </w:tcPr>
          <w:p>
            <w:pPr>
              <w:spacing w:line="360" w:lineRule="auto"/>
              <w:rPr>
                <w:rFonts w:ascii="仿宋" w:hAnsi="仿宋" w:eastAsia="仿宋"/>
                <w:sz w:val="24"/>
                <w:szCs w:val="24"/>
              </w:rPr>
            </w:pPr>
            <w:r>
              <w:rPr>
                <w:rFonts w:hint="eastAsia" w:ascii="仿宋" w:hAnsi="仿宋" w:eastAsia="仿宋"/>
                <w:sz w:val="24"/>
                <w:szCs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板卡四</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电路板5</w:t>
            </w:r>
          </w:p>
        </w:tc>
        <w:tc>
          <w:tcPr>
            <w:tcW w:w="6266" w:type="dxa"/>
            <w:vAlign w:val="center"/>
          </w:tcPr>
          <w:p>
            <w:pPr>
              <w:spacing w:line="360" w:lineRule="auto"/>
              <w:rPr>
                <w:rFonts w:ascii="仿宋" w:hAnsi="仿宋" w:eastAsia="仿宋"/>
                <w:sz w:val="24"/>
                <w:szCs w:val="24"/>
              </w:rPr>
            </w:pPr>
            <w:r>
              <w:rPr>
                <w:rFonts w:hint="eastAsia" w:ascii="仿宋" w:hAnsi="仿宋" w:eastAsia="仿宋"/>
                <w:sz w:val="24"/>
                <w:szCs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板卡五</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电路板7</w:t>
            </w:r>
          </w:p>
        </w:tc>
        <w:tc>
          <w:tcPr>
            <w:tcW w:w="6266" w:type="dxa"/>
            <w:vAlign w:val="center"/>
          </w:tcPr>
          <w:p>
            <w:pPr>
              <w:spacing w:line="360" w:lineRule="auto"/>
              <w:rPr>
                <w:rFonts w:ascii="仿宋" w:hAnsi="仿宋" w:eastAsia="仿宋"/>
                <w:sz w:val="24"/>
                <w:szCs w:val="24"/>
              </w:rPr>
            </w:pPr>
            <w:r>
              <w:rPr>
                <w:rFonts w:hint="eastAsia" w:ascii="仿宋" w:hAnsi="仿宋" w:eastAsia="仿宋"/>
                <w:sz w:val="24"/>
                <w:szCs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60"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板卡六</w:t>
            </w:r>
          </w:p>
        </w:tc>
        <w:tc>
          <w:tcPr>
            <w:tcW w:w="1601" w:type="dxa"/>
            <w:tcBorders>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电路板8</w:t>
            </w:r>
          </w:p>
        </w:tc>
        <w:tc>
          <w:tcPr>
            <w:tcW w:w="6266" w:type="dxa"/>
            <w:vAlign w:val="center"/>
          </w:tcPr>
          <w:p>
            <w:pPr>
              <w:spacing w:line="360" w:lineRule="auto"/>
              <w:rPr>
                <w:rFonts w:ascii="仿宋" w:hAnsi="仿宋" w:eastAsia="仿宋"/>
                <w:sz w:val="24"/>
                <w:szCs w:val="24"/>
              </w:rPr>
            </w:pPr>
            <w:r>
              <w:rPr>
                <w:rFonts w:hint="eastAsia" w:ascii="仿宋" w:hAnsi="仿宋" w:eastAsia="仿宋"/>
                <w:sz w:val="24"/>
                <w:szCs w:val="24"/>
              </w:rPr>
              <w:t>检测、维修该电路板，并填写《计算机检测维修与数据恢复项目竞赛报告单》（电子版）</w:t>
            </w:r>
          </w:p>
        </w:tc>
      </w:tr>
    </w:tbl>
    <w:p>
      <w:pPr>
        <w:spacing w:line="360" w:lineRule="auto"/>
        <w:ind w:firstLine="470" w:firstLineChars="196"/>
        <w:rPr>
          <w:rFonts w:ascii="仿宋" w:hAnsi="仿宋" w:eastAsia="仿宋"/>
          <w:sz w:val="24"/>
          <w:szCs w:val="24"/>
        </w:rPr>
      </w:pPr>
      <w:r>
        <w:rPr>
          <w:rFonts w:hint="eastAsia" w:ascii="仿宋" w:hAnsi="仿宋" w:eastAsia="仿宋"/>
          <w:sz w:val="24"/>
          <w:szCs w:val="24"/>
        </w:rPr>
        <w:t>2 任务要求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（1）使用万用表、示波器、直流稳压电源等工具进行故障检测；</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（2）选用相应的电子元器件进行故障维修，并在竞赛结束后听从现场裁判指令，通过智能检测平台提交电路板的维修结果；</w:t>
      </w:r>
    </w:p>
    <w:p>
      <w:pPr>
        <w:spacing w:line="360" w:lineRule="auto"/>
        <w:ind w:firstLine="470" w:firstLineChars="196"/>
        <w:rPr>
          <w:rFonts w:ascii="仿宋" w:hAnsi="仿宋" w:eastAsia="仿宋"/>
          <w:sz w:val="24"/>
          <w:szCs w:val="24"/>
        </w:rPr>
      </w:pPr>
      <w:r>
        <w:rPr>
          <w:rFonts w:hint="eastAsia" w:ascii="仿宋" w:hAnsi="仿宋" w:eastAsia="仿宋"/>
          <w:sz w:val="24"/>
          <w:szCs w:val="24"/>
        </w:rPr>
        <w:t>（3）维修过程中使用的元器件全部在提供的元件包中，每个可能的故障元器件均提供了2个备件，竞赛过程中不得再申领元器件。</w:t>
      </w:r>
    </w:p>
    <w:p>
      <w:pPr>
        <w:spacing w:line="360" w:lineRule="auto"/>
        <w:ind w:firstLine="472" w:firstLineChars="196"/>
        <w:rPr>
          <w:rFonts w:ascii="仿宋" w:hAnsi="仿宋" w:eastAsia="仿宋"/>
          <w:sz w:val="24"/>
          <w:szCs w:val="24"/>
        </w:rPr>
      </w:pPr>
      <w:r>
        <w:rPr>
          <w:rFonts w:hint="eastAsia" w:ascii="仿宋" w:hAnsi="仿宋" w:eastAsia="仿宋"/>
          <w:b/>
          <w:sz w:val="24"/>
          <w:szCs w:val="24"/>
        </w:rPr>
        <w:t>注意：竞赛结束后，根据现场裁判的指示进行电路板卡维修结果上传，在竞赛过程中严禁上传。</w:t>
      </w:r>
    </w:p>
    <w:p>
      <w:pPr>
        <w:spacing w:before="312" w:beforeLines="100" w:after="312" w:afterLines="100" w:line="360" w:lineRule="auto"/>
        <w:rPr>
          <w:rFonts w:ascii="仿宋_GB2312" w:eastAsia="仿宋_GB2312"/>
          <w:b/>
          <w:sz w:val="24"/>
          <w:szCs w:val="24"/>
        </w:rPr>
      </w:pPr>
      <w:bookmarkStart w:id="11" w:name="_Toc514958126"/>
      <w:r>
        <w:rPr>
          <w:rFonts w:hint="eastAsia" w:ascii="仿宋_GB2312" w:eastAsia="仿宋_GB2312"/>
          <w:b/>
          <w:sz w:val="24"/>
          <w:szCs w:val="24"/>
        </w:rPr>
        <w:t>（二）任务二：存储设备维修及数据恢复</w:t>
      </w:r>
      <w:bookmarkEnd w:id="11"/>
    </w:p>
    <w:p>
      <w:pPr>
        <w:spacing w:line="360" w:lineRule="auto"/>
        <w:ind w:firstLine="470" w:firstLineChars="196"/>
        <w:rPr>
          <w:rFonts w:ascii="仿宋" w:hAnsi="仿宋" w:eastAsia="仿宋"/>
          <w:sz w:val="24"/>
          <w:szCs w:val="24"/>
        </w:rPr>
      </w:pPr>
      <w:r>
        <w:rPr>
          <w:rFonts w:hint="eastAsia" w:ascii="仿宋" w:hAnsi="仿宋" w:eastAsia="仿宋"/>
          <w:sz w:val="24"/>
          <w:szCs w:val="24"/>
        </w:rPr>
        <w:t>1 任务描述</w:t>
      </w:r>
    </w:p>
    <w:p>
      <w:pPr>
        <w:spacing w:line="360" w:lineRule="auto"/>
        <w:ind w:firstLine="470" w:firstLineChars="196"/>
        <w:rPr>
          <w:rFonts w:ascii="仿宋" w:hAnsi="仿宋" w:eastAsia="仿宋"/>
          <w:sz w:val="24"/>
          <w:szCs w:val="24"/>
        </w:rPr>
      </w:pPr>
      <w:r>
        <w:rPr>
          <w:rFonts w:hint="eastAsia" w:ascii="仿宋" w:hAnsi="仿宋" w:eastAsia="仿宋"/>
          <w:sz w:val="24"/>
          <w:szCs w:val="24"/>
        </w:rPr>
        <w:t xml:space="preserve">参赛队使用大赛执委会提供的数据恢复平台、配套工具软件及技术文件（数据恢复平台使用说明书），依据赛题中的故障描述及要求，对现场提供的存储进行检测维修，并将指定文件资料恢复出来。大赛执委会提供含有故障的5个存储，故障描述及任务要求如下： </w:t>
      </w:r>
    </w:p>
    <w:tbl>
      <w:tblPr>
        <w:tblStyle w:val="19"/>
        <w:tblW w:w="9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67"/>
        <w:gridCol w:w="3709"/>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bookmarkStart w:id="12" w:name="_Hlk512193015"/>
            <w:r>
              <w:rPr>
                <w:rFonts w:hint="eastAsia" w:ascii="仿宋_GB2312" w:hAnsi="仿宋" w:eastAsia="仿宋_GB2312"/>
                <w:b/>
                <w:color w:val="000000"/>
                <w:kern w:val="0"/>
                <w:sz w:val="24"/>
                <w:szCs w:val="24"/>
              </w:rPr>
              <w:t>存储编号</w:t>
            </w:r>
          </w:p>
        </w:tc>
        <w:tc>
          <w:tcPr>
            <w:tcW w:w="146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存储类型</w:t>
            </w:r>
          </w:p>
        </w:tc>
        <w:tc>
          <w:tcPr>
            <w:tcW w:w="370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故障描述</w:t>
            </w:r>
          </w:p>
        </w:tc>
        <w:tc>
          <w:tcPr>
            <w:tcW w:w="34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_GB2312" w:hAnsi="仿宋" w:eastAsia="仿宋_GB2312"/>
                <w:b/>
                <w:color w:val="000000"/>
                <w:kern w:val="0"/>
                <w:sz w:val="24"/>
                <w:szCs w:val="24"/>
              </w:rPr>
            </w:pPr>
            <w:r>
              <w:rPr>
                <w:rFonts w:hint="eastAsia" w:ascii="仿宋_GB2312" w:hAnsi="仿宋" w:eastAsia="仿宋_GB2312"/>
                <w:b/>
                <w:color w:val="000000"/>
                <w:sz w:val="24"/>
                <w:szCs w:val="24"/>
              </w:rPr>
              <w:t>任务要求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存储一</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笔记本硬盘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该硬盘中存有20个文件，用户由于计算机感染病毒，数据遭到破坏，导致系统无法启动。</w:t>
            </w:r>
          </w:p>
        </w:tc>
        <w:tc>
          <w:tcPr>
            <w:tcW w:w="346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维修并恢复指定文件，并将指定文件的前10个字符记录到《计算机检测维修与数据恢复项目竞赛报告单》中。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存储二</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U盘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该U盘中存放了20个文件、1个</w:t>
            </w:r>
            <w:r>
              <w:rPr>
                <w:rFonts w:ascii="仿宋_GB2312" w:hAnsi="仿宋" w:eastAsia="仿宋_GB2312"/>
                <w:color w:val="000000"/>
                <w:kern w:val="0"/>
                <w:sz w:val="24"/>
                <w:szCs w:val="24"/>
              </w:rPr>
              <w:t>GHOST</w:t>
            </w:r>
            <w:r>
              <w:rPr>
                <w:rFonts w:hint="eastAsia" w:ascii="仿宋_GB2312" w:hAnsi="仿宋" w:eastAsia="仿宋_GB2312"/>
                <w:color w:val="000000"/>
                <w:kern w:val="0"/>
                <w:sz w:val="24"/>
                <w:szCs w:val="24"/>
              </w:rPr>
              <w:t>文件和1个notepad程序，由于用户在使用U盘时进行了误插拔操作，再次插入U盘时系统提示格式化。</w:t>
            </w:r>
          </w:p>
        </w:tc>
        <w:tc>
          <w:tcPr>
            <w:tcW w:w="346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维修并恢复指定文件，并将指定文件的前10个字符记录到《计算机检测维修与数据恢复项目竞赛报告单》中。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存储三</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台式机硬盘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该硬盘中存放了20个文件，由于误操作导致文件都无法正常打开。</w:t>
            </w:r>
          </w:p>
        </w:tc>
        <w:tc>
          <w:tcPr>
            <w:tcW w:w="346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维修并恢复指定文件，并将指定文件的前10个字符记录到《计算机检测维修与数据恢复项目竞赛报告单》中。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台式机硬盘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该硬盘中存放了100个文件，由于用户使用过程中计算机意外断电，导致系统无法启动。</w:t>
            </w:r>
          </w:p>
        </w:tc>
        <w:tc>
          <w:tcPr>
            <w:tcW w:w="346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维修并恢复指定文件，并将指定文件的前10个字符记录到《计算机检测维修与数据恢复项目竞赛报告单》中。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存储五</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台式机硬盘</w:t>
            </w:r>
          </w:p>
        </w:tc>
        <w:tc>
          <w:tcPr>
            <w:tcW w:w="3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该硬盘中存放了100个文件，且包含3个分区，由于用户在还原系统时误将该硬盘还原成4个分区，造成数据丢失。</w:t>
            </w:r>
          </w:p>
        </w:tc>
        <w:tc>
          <w:tcPr>
            <w:tcW w:w="346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kern w:val="0"/>
                <w:sz w:val="24"/>
                <w:szCs w:val="24"/>
              </w:rPr>
            </w:pPr>
            <w:r>
              <w:rPr>
                <w:rFonts w:hint="eastAsia" w:ascii="仿宋_GB2312" w:hAnsi="仿宋" w:eastAsia="仿宋_GB2312"/>
                <w:color w:val="000000"/>
                <w:kern w:val="0"/>
                <w:sz w:val="24"/>
                <w:szCs w:val="24"/>
              </w:rPr>
              <w:t>维修并恢复指定文件，并将指定文件的前10个字符记录到《计算机检测维修与数据恢复项目竞赛报告单》中。</w:t>
            </w:r>
          </w:p>
        </w:tc>
      </w:tr>
      <w:bookmarkEnd w:id="12"/>
    </w:tbl>
    <w:p>
      <w:pPr>
        <w:spacing w:line="360" w:lineRule="auto"/>
        <w:ind w:firstLine="472" w:firstLineChars="196"/>
        <w:rPr>
          <w:rFonts w:ascii="仿宋" w:hAnsi="仿宋" w:eastAsia="仿宋"/>
          <w:sz w:val="24"/>
          <w:szCs w:val="24"/>
        </w:rPr>
      </w:pPr>
      <w:r>
        <w:rPr>
          <w:rFonts w:hint="eastAsia" w:ascii="仿宋" w:hAnsi="仿宋" w:eastAsia="仿宋"/>
          <w:b/>
          <w:sz w:val="24"/>
          <w:szCs w:val="24"/>
        </w:rPr>
        <w:t>注：所有比赛用的存储上都有标签纸说明存储编号,禁止损毁，否则不计成绩</w:t>
      </w:r>
      <w:r>
        <w:rPr>
          <w:rFonts w:hint="eastAsia" w:ascii="Times New Roman" w:hAnsi="Times New Roman" w:eastAsia="仿宋"/>
          <w:b/>
          <w:sz w:val="24"/>
          <w:szCs w:val="24"/>
        </w:rPr>
        <w:t>。</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 任务要求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（1）维修“存储一”的笔记本硬盘，然后恢复文件名为“</w:t>
      </w:r>
      <w:r>
        <w:rPr>
          <w:rFonts w:ascii="仿宋" w:hAnsi="仿宋" w:eastAsia="仿宋"/>
          <w:sz w:val="24"/>
          <w:szCs w:val="24"/>
        </w:rPr>
        <w:t>11</w:t>
      </w:r>
      <w:r>
        <w:rPr>
          <w:rFonts w:hint="eastAsia" w:ascii="仿宋" w:hAnsi="仿宋" w:eastAsia="仿宋"/>
          <w:sz w:val="24"/>
          <w:szCs w:val="24"/>
        </w:rPr>
        <w:t>”的指定文件，并将该文件内容的前10个字符记录到《计算机检测维修与数据恢复项目竞赛报告单》中；</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（2）维修“存储二”的U盘，然后恢复文件名为“13”的指定文件，并将该文件内容的前10个字符记录到《计算机检测维修与数据恢复项目竞赛报告单》中；</w:t>
      </w:r>
    </w:p>
    <w:p>
      <w:pPr>
        <w:spacing w:line="360" w:lineRule="auto"/>
        <w:ind w:firstLine="470" w:firstLineChars="196"/>
        <w:rPr>
          <w:rFonts w:ascii="仿宋" w:hAnsi="仿宋" w:eastAsia="仿宋"/>
          <w:sz w:val="24"/>
          <w:szCs w:val="24"/>
        </w:rPr>
      </w:pPr>
      <w:r>
        <w:rPr>
          <w:rFonts w:hint="eastAsia" w:ascii="仿宋" w:hAnsi="仿宋" w:eastAsia="仿宋"/>
          <w:sz w:val="24"/>
          <w:szCs w:val="24"/>
        </w:rPr>
        <w:t>（3）维修“存储三”的台式机硬盘，然后恢复文件名为“4”的指定文件，并将该文件内容的前10个字符记录到《计算机检测维修与数据恢复项目竞赛报告单》中；</w:t>
      </w:r>
    </w:p>
    <w:p>
      <w:pPr>
        <w:spacing w:line="360" w:lineRule="auto"/>
        <w:ind w:firstLine="470" w:firstLineChars="196"/>
        <w:rPr>
          <w:rFonts w:ascii="仿宋" w:hAnsi="仿宋" w:eastAsia="仿宋"/>
          <w:sz w:val="24"/>
          <w:szCs w:val="24"/>
        </w:rPr>
      </w:pPr>
      <w:r>
        <w:rPr>
          <w:rFonts w:hint="eastAsia" w:ascii="仿宋" w:hAnsi="仿宋" w:eastAsia="仿宋"/>
          <w:sz w:val="24"/>
          <w:szCs w:val="24"/>
        </w:rPr>
        <w:t>（4）维修“存储四”的台式机硬盘，然后恢复文件名为“8</w:t>
      </w:r>
      <w:r>
        <w:rPr>
          <w:rFonts w:ascii="仿宋" w:hAnsi="仿宋" w:eastAsia="仿宋"/>
          <w:sz w:val="24"/>
          <w:szCs w:val="24"/>
        </w:rPr>
        <w:t>1</w:t>
      </w:r>
      <w:r>
        <w:rPr>
          <w:rFonts w:hint="eastAsia" w:ascii="仿宋" w:hAnsi="仿宋" w:eastAsia="仿宋"/>
          <w:sz w:val="24"/>
          <w:szCs w:val="24"/>
        </w:rPr>
        <w:t>”的指定文件，并将该文件内容的前10个字符记录到《计算机检测维修与数据恢复项目竞赛报告单》中；</w:t>
      </w:r>
    </w:p>
    <w:p>
      <w:pPr>
        <w:spacing w:line="360" w:lineRule="auto"/>
        <w:ind w:firstLine="470" w:firstLineChars="196"/>
        <w:rPr>
          <w:rFonts w:ascii="仿宋" w:hAnsi="仿宋" w:eastAsia="仿宋"/>
          <w:sz w:val="24"/>
          <w:szCs w:val="24"/>
        </w:rPr>
      </w:pPr>
      <w:r>
        <w:rPr>
          <w:rFonts w:hint="eastAsia" w:ascii="仿宋" w:hAnsi="仿宋" w:eastAsia="仿宋"/>
          <w:sz w:val="24"/>
          <w:szCs w:val="24"/>
        </w:rPr>
        <w:t>（5）维修“存储五”的台式机硬盘，然后恢复文件名为“2</w:t>
      </w:r>
      <w:r>
        <w:rPr>
          <w:rFonts w:ascii="仿宋" w:hAnsi="仿宋" w:eastAsia="仿宋"/>
          <w:sz w:val="24"/>
          <w:szCs w:val="24"/>
        </w:rPr>
        <w:t>9</w:t>
      </w:r>
      <w:r>
        <w:rPr>
          <w:rFonts w:hint="eastAsia" w:ascii="仿宋" w:hAnsi="仿宋" w:eastAsia="仿宋"/>
          <w:sz w:val="24"/>
          <w:szCs w:val="24"/>
        </w:rPr>
        <w:t>”的指定文件，并将该文件内容的前10个字符记录到《计算机检测维修与数据恢复项目竞赛报告单》中。</w:t>
      </w:r>
    </w:p>
    <w:p>
      <w:pPr>
        <w:spacing w:before="312" w:beforeLines="100" w:after="312" w:afterLines="100" w:line="360" w:lineRule="auto"/>
        <w:rPr>
          <w:rFonts w:ascii="仿宋_GB2312" w:eastAsia="仿宋_GB2312"/>
          <w:b/>
          <w:sz w:val="24"/>
          <w:szCs w:val="24"/>
        </w:rPr>
      </w:pPr>
      <w:bookmarkStart w:id="13" w:name="_Toc514958127"/>
      <w:r>
        <w:rPr>
          <w:rFonts w:hint="eastAsia" w:ascii="仿宋_GB2312" w:eastAsia="仿宋_GB2312"/>
          <w:b/>
          <w:sz w:val="24"/>
          <w:szCs w:val="24"/>
        </w:rPr>
        <w:t>（三）任务三：计算机组装与检测</w:t>
      </w:r>
      <w:bookmarkEnd w:id="13"/>
    </w:p>
    <w:p>
      <w:pPr>
        <w:spacing w:line="360" w:lineRule="auto"/>
        <w:ind w:firstLine="470" w:firstLineChars="196"/>
        <w:rPr>
          <w:rFonts w:ascii="仿宋" w:hAnsi="仿宋" w:eastAsia="仿宋"/>
          <w:sz w:val="24"/>
          <w:szCs w:val="24"/>
        </w:rPr>
      </w:pPr>
      <w:r>
        <w:rPr>
          <w:rFonts w:hint="eastAsia" w:ascii="仿宋" w:hAnsi="仿宋" w:eastAsia="仿宋"/>
          <w:sz w:val="24"/>
          <w:szCs w:val="24"/>
        </w:rPr>
        <w:t xml:space="preserve">1 任务描述 </w:t>
      </w:r>
    </w:p>
    <w:p>
      <w:pPr>
        <w:spacing w:line="360" w:lineRule="auto"/>
        <w:ind w:firstLine="470" w:firstLineChars="196"/>
        <w:rPr>
          <w:rFonts w:ascii="仿宋" w:hAnsi="仿宋" w:eastAsia="仿宋"/>
          <w:sz w:val="24"/>
          <w:szCs w:val="24"/>
        </w:rPr>
      </w:pPr>
      <w:r>
        <w:rPr>
          <w:rFonts w:hint="eastAsia" w:ascii="仿宋_GB2312" w:hAnsi="仿宋" w:eastAsia="仿宋_GB2312"/>
          <w:sz w:val="24"/>
          <w:szCs w:val="24"/>
        </w:rPr>
        <w:t>组装一台可以正常工作的计算机，并安装操作系统及应用程序，使其成为一台完好运行的计算机系统。</w:t>
      </w:r>
    </w:p>
    <w:p>
      <w:pPr>
        <w:spacing w:line="360" w:lineRule="auto"/>
        <w:ind w:firstLine="470" w:firstLineChars="196"/>
        <w:rPr>
          <w:rFonts w:ascii="仿宋" w:hAnsi="仿宋" w:eastAsia="仿宋"/>
          <w:sz w:val="24"/>
          <w:szCs w:val="24"/>
        </w:rPr>
      </w:pPr>
      <w:r>
        <w:rPr>
          <w:rFonts w:hint="eastAsia" w:ascii="仿宋" w:hAnsi="仿宋" w:eastAsia="仿宋"/>
          <w:sz w:val="24"/>
          <w:szCs w:val="24"/>
        </w:rPr>
        <w:t>2 任务要求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（1）计算机硬件系统组装</w:t>
      </w:r>
    </w:p>
    <w:p>
      <w:pPr>
        <w:spacing w:line="360" w:lineRule="auto"/>
        <w:ind w:firstLine="470" w:firstLineChars="196"/>
        <w:rPr>
          <w:rFonts w:ascii="仿宋" w:hAnsi="仿宋" w:eastAsia="仿宋"/>
          <w:sz w:val="24"/>
          <w:szCs w:val="24"/>
        </w:rPr>
      </w:pPr>
      <w:r>
        <w:rPr>
          <w:rFonts w:hint="eastAsia" w:ascii="仿宋" w:hAnsi="仿宋" w:eastAsia="仿宋"/>
          <w:color w:val="000000"/>
          <w:sz w:val="24"/>
        </w:rPr>
        <w:t>大赛执委会提供</w:t>
      </w:r>
      <w:r>
        <w:rPr>
          <w:rFonts w:hint="eastAsia" w:ascii="仿宋" w:hAnsi="仿宋" w:eastAsia="仿宋"/>
          <w:sz w:val="24"/>
          <w:szCs w:val="24"/>
        </w:rPr>
        <w:t>一台空机箱（</w:t>
      </w:r>
      <w:r>
        <w:rPr>
          <w:rFonts w:hint="eastAsia" w:ascii="仿宋" w:hAnsi="仿宋" w:eastAsia="仿宋"/>
          <w:color w:val="000000"/>
          <w:sz w:val="24"/>
        </w:rPr>
        <w:t>机箱上贴有“组装机”字样的标签</w:t>
      </w:r>
      <w:r>
        <w:rPr>
          <w:rFonts w:hint="eastAsia" w:ascii="仿宋" w:hAnsi="仿宋" w:eastAsia="仿宋"/>
          <w:sz w:val="24"/>
          <w:szCs w:val="24"/>
        </w:rPr>
        <w:t>），请结合计算机配件，将该空机箱组装成为一台计算机。其中所需的计算机</w:t>
      </w:r>
      <w:r>
        <w:rPr>
          <w:rFonts w:hint="eastAsia" w:ascii="仿宋" w:hAnsi="仿宋" w:eastAsia="仿宋"/>
          <w:color w:val="000000"/>
          <w:sz w:val="24"/>
        </w:rPr>
        <w:t>配件以一台完好的整机形式提供（机箱上贴有“备用机”字样的标签），配件清单的名称、描述及要求如下：</w:t>
      </w:r>
    </w:p>
    <w:tbl>
      <w:tblPr>
        <w:tblStyle w:val="19"/>
        <w:tblW w:w="9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95"/>
        <w:gridCol w:w="3186"/>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序号</w:t>
            </w:r>
          </w:p>
        </w:tc>
        <w:tc>
          <w:tcPr>
            <w:tcW w:w="149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名称</w:t>
            </w:r>
          </w:p>
        </w:tc>
        <w:tc>
          <w:tcPr>
            <w:tcW w:w="318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描述</w:t>
            </w:r>
          </w:p>
        </w:tc>
        <w:tc>
          <w:tcPr>
            <w:tcW w:w="40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CPU</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完好的CPU</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2</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内存</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完好的内存</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3</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CPU风扇</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完好的CPU风扇</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4</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ATX电源</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完好的ATX电源</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5</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鼠标/键盘</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完好的鼠标/键盘</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6</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显示器</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完好的显示器</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7</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sz w:val="24"/>
              </w:rPr>
              <w:t>计算机主板</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完好的计算机主板</w:t>
            </w:r>
          </w:p>
        </w:tc>
        <w:tc>
          <w:tcPr>
            <w:tcW w:w="401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8</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计算机硬盘</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无故障的台式计算机硬盘，可用来组装计算机</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9</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完好的U盘</w:t>
            </w:r>
          </w:p>
        </w:tc>
        <w:tc>
          <w:tcPr>
            <w:tcW w:w="3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sz w:val="24"/>
              </w:rPr>
            </w:pPr>
            <w:r>
              <w:rPr>
                <w:rFonts w:hint="eastAsia" w:ascii="仿宋" w:hAnsi="仿宋" w:eastAsia="仿宋"/>
                <w:color w:val="000000"/>
                <w:kern w:val="0"/>
                <w:sz w:val="24"/>
              </w:rPr>
              <w:t>无故障的U盘，包含可用来安装操作系统的G</w:t>
            </w:r>
            <w:r>
              <w:rPr>
                <w:rFonts w:ascii="仿宋" w:hAnsi="仿宋" w:eastAsia="仿宋"/>
                <w:color w:val="000000"/>
                <w:kern w:val="0"/>
                <w:sz w:val="24"/>
              </w:rPr>
              <w:t>HOST</w:t>
            </w:r>
            <w:r>
              <w:rPr>
                <w:rFonts w:hint="eastAsia" w:ascii="仿宋" w:hAnsi="仿宋" w:eastAsia="仿宋"/>
                <w:color w:val="000000"/>
                <w:kern w:val="0"/>
                <w:sz w:val="24"/>
              </w:rPr>
              <w:t>文件及“</w:t>
            </w:r>
            <w:r>
              <w:rPr>
                <w:rFonts w:ascii="仿宋" w:hAnsi="仿宋" w:eastAsia="仿宋"/>
                <w:color w:val="000000"/>
                <w:kern w:val="0"/>
                <w:sz w:val="24"/>
              </w:rPr>
              <w:t>notepad</w:t>
            </w:r>
            <w:r>
              <w:rPr>
                <w:rFonts w:hint="eastAsia" w:ascii="仿宋" w:hAnsi="仿宋" w:eastAsia="仿宋"/>
                <w:color w:val="000000"/>
                <w:kern w:val="0"/>
                <w:sz w:val="24"/>
              </w:rPr>
              <w:t>”应用程序</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olor w:val="000000"/>
                <w:sz w:val="24"/>
              </w:rPr>
            </w:pPr>
            <w:r>
              <w:rPr>
                <w:rFonts w:hint="eastAsia" w:ascii="仿宋" w:hAnsi="仿宋" w:eastAsia="仿宋"/>
                <w:color w:val="000000"/>
                <w:sz w:val="24"/>
              </w:rPr>
              <w:t>若任务二中“存储二”U盘没有维修成功，可以自行使用该完好的U盘完成任务三</w:t>
            </w:r>
            <w:r>
              <w:rPr>
                <w:rFonts w:hint="eastAsia" w:ascii="仿宋" w:hAnsi="仿宋" w:eastAsia="仿宋"/>
                <w:color w:val="000000"/>
                <w:kern w:val="0"/>
                <w:sz w:val="24"/>
              </w:rPr>
              <w:t>，但会扣除相应分值</w:t>
            </w:r>
          </w:p>
        </w:tc>
      </w:tr>
    </w:tbl>
    <w:p>
      <w:pPr>
        <w:spacing w:line="360" w:lineRule="auto"/>
        <w:ind w:firstLine="472" w:firstLineChars="196"/>
        <w:rPr>
          <w:rFonts w:ascii="仿宋" w:hAnsi="仿宋" w:eastAsia="仿宋"/>
          <w:b/>
          <w:sz w:val="24"/>
          <w:szCs w:val="24"/>
        </w:rPr>
      </w:pPr>
      <w:r>
        <w:rPr>
          <w:rFonts w:hint="eastAsia" w:ascii="仿宋" w:hAnsi="仿宋" w:eastAsia="仿宋"/>
          <w:b/>
          <w:color w:val="000000"/>
          <w:kern w:val="0"/>
          <w:sz w:val="24"/>
        </w:rPr>
        <w:t>注意：上表中所列配件以完好的整机形式提供，并保证系统是稳定运行的，同时“完好的U盘”将插在主机的USB接口上，可正常识别及使用。</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（2）计算机操作系统安装</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利用任务二中维修好的编号为“存储二”的U盘为组装好的计算机主机安装操作系统(自行定义分区过程、安装过程的信息，但是不准设置计算机账户登陆密码)，并确保操作系统能正常运行，使其成为一套正常工作的计算机系统；</w:t>
      </w:r>
    </w:p>
    <w:p>
      <w:pPr>
        <w:spacing w:line="360" w:lineRule="auto"/>
        <w:ind w:firstLine="472" w:firstLineChars="196"/>
        <w:rPr>
          <w:rFonts w:ascii="仿宋_GB2312" w:hAnsi="仿宋" w:eastAsia="仿宋_GB2312"/>
          <w:b/>
          <w:sz w:val="24"/>
          <w:szCs w:val="24"/>
        </w:rPr>
      </w:pPr>
      <w:r>
        <w:rPr>
          <w:rFonts w:hint="eastAsia" w:ascii="仿宋_GB2312" w:hAnsi="仿宋" w:eastAsia="仿宋_GB2312"/>
          <w:b/>
          <w:sz w:val="24"/>
          <w:szCs w:val="24"/>
        </w:rPr>
        <w:t>提示：计算机启动时可以通过点击“Del”或“F11” 键进入BIOS设置系统启动优先级。</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（3）计算机应用软件安装</w:t>
      </w:r>
    </w:p>
    <w:p>
      <w:pPr>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“存储二”的U盘中包含一个</w:t>
      </w:r>
      <w:r>
        <w:rPr>
          <w:rFonts w:hint="eastAsia" w:ascii="仿宋_GB2312" w:hAnsi="仿宋" w:eastAsia="仿宋_GB2312"/>
          <w:kern w:val="0"/>
          <w:sz w:val="24"/>
          <w:szCs w:val="24"/>
        </w:rPr>
        <w:t>notepad</w:t>
      </w:r>
      <w:r>
        <w:rPr>
          <w:rFonts w:hint="eastAsia" w:ascii="仿宋_GB2312" w:hAnsi="仿宋" w:eastAsia="仿宋_GB2312"/>
          <w:sz w:val="24"/>
          <w:szCs w:val="24"/>
        </w:rPr>
        <w:t>应用程序，请在组装好的计算机系统上安装该程序（默认安装即可）。安装完成后打开</w:t>
      </w:r>
      <w:r>
        <w:rPr>
          <w:rFonts w:hint="eastAsia" w:ascii="仿宋_GB2312" w:hAnsi="仿宋" w:eastAsia="仿宋_GB2312"/>
          <w:kern w:val="0"/>
          <w:sz w:val="24"/>
          <w:szCs w:val="24"/>
        </w:rPr>
        <w:t>notepad</w:t>
      </w:r>
      <w:r>
        <w:rPr>
          <w:rFonts w:hint="eastAsia" w:ascii="仿宋_GB2312" w:hAnsi="仿宋" w:eastAsia="仿宋_GB2312"/>
          <w:sz w:val="24"/>
          <w:szCs w:val="24"/>
        </w:rPr>
        <w:t>程序，新建一个文档将本赛位的“赛位号”输出到屏幕上，并始终保持程序打开；</w:t>
      </w:r>
    </w:p>
    <w:p>
      <w:pPr>
        <w:spacing w:line="360" w:lineRule="auto"/>
        <w:ind w:firstLine="472" w:firstLineChars="196"/>
        <w:rPr>
          <w:rFonts w:ascii="仿宋" w:hAnsi="仿宋" w:eastAsia="仿宋"/>
          <w:b/>
          <w:color w:val="000000"/>
          <w:sz w:val="24"/>
        </w:rPr>
      </w:pPr>
      <w:r>
        <w:rPr>
          <w:rFonts w:hint="eastAsia" w:ascii="仿宋_GB2312" w:hAnsi="仿宋" w:eastAsia="仿宋_GB2312"/>
          <w:b/>
          <w:sz w:val="24"/>
          <w:szCs w:val="24"/>
        </w:rPr>
        <w:t>注意：参赛队选手若没有完成任务二中U盘设备的维修任务，则可以使用备用整机中的“完好的U盘”完成任务三中系统安装和软件安装的工作，但是相应分值计为“0”。</w:t>
      </w:r>
    </w:p>
    <w:p>
      <w:pPr>
        <w:spacing w:before="312" w:beforeLines="100" w:after="312" w:afterLines="100" w:line="360" w:lineRule="auto"/>
        <w:rPr>
          <w:rFonts w:ascii="仿宋_GB2312" w:eastAsia="仿宋_GB2312"/>
          <w:b/>
          <w:sz w:val="24"/>
          <w:szCs w:val="24"/>
        </w:rPr>
      </w:pPr>
      <w:bookmarkStart w:id="14" w:name="_Toc514958128"/>
      <w:r>
        <w:rPr>
          <w:rFonts w:hint="eastAsia" w:ascii="仿宋_GB2312" w:eastAsia="仿宋_GB2312"/>
          <w:b/>
          <w:sz w:val="24"/>
          <w:szCs w:val="24"/>
        </w:rPr>
        <w:t>（四）任务四：填写竞赛报告单</w:t>
      </w:r>
      <w:bookmarkEnd w:id="14"/>
    </w:p>
    <w:p>
      <w:pPr>
        <w:spacing w:line="360" w:lineRule="auto"/>
        <w:ind w:firstLine="470"/>
        <w:rPr>
          <w:rFonts w:ascii="仿宋" w:hAnsi="仿宋" w:eastAsia="仿宋"/>
          <w:sz w:val="24"/>
          <w:szCs w:val="24"/>
        </w:rPr>
      </w:pPr>
      <w:r>
        <w:rPr>
          <w:rFonts w:hint="eastAsia" w:ascii="仿宋" w:hAnsi="仿宋" w:eastAsia="仿宋"/>
          <w:sz w:val="24"/>
          <w:szCs w:val="24"/>
        </w:rPr>
        <w:t>1 任务描述</w:t>
      </w:r>
    </w:p>
    <w:p>
      <w:pPr>
        <w:spacing w:line="360" w:lineRule="auto"/>
        <w:ind w:firstLine="470"/>
        <w:rPr>
          <w:rFonts w:ascii="仿宋" w:hAnsi="仿宋" w:eastAsia="仿宋"/>
          <w:sz w:val="24"/>
          <w:szCs w:val="24"/>
        </w:rPr>
      </w:pPr>
      <w:r>
        <w:rPr>
          <w:rFonts w:hint="eastAsia" w:ascii="仿宋" w:hAnsi="仿宋" w:eastAsia="仿宋"/>
          <w:sz w:val="24"/>
          <w:szCs w:val="24"/>
        </w:rPr>
        <w:t>依据任务要求完成《计算机检测维修与数据恢复项目竞赛报告单》（电子版）的填写。</w:t>
      </w:r>
    </w:p>
    <w:p>
      <w:pPr>
        <w:spacing w:line="360" w:lineRule="auto"/>
        <w:ind w:firstLine="470" w:firstLineChars="196"/>
        <w:rPr>
          <w:lang w:val="zh-CN"/>
        </w:rPr>
      </w:pPr>
      <w:r>
        <w:rPr>
          <w:rFonts w:hint="eastAsia" w:ascii="仿宋" w:hAnsi="仿宋" w:eastAsia="仿宋"/>
          <w:sz w:val="24"/>
          <w:szCs w:val="24"/>
        </w:rPr>
        <w:t>2 任务要求</w:t>
      </w:r>
    </w:p>
    <w:p>
      <w:pPr>
        <w:spacing w:line="360" w:lineRule="auto"/>
        <w:ind w:firstLine="470" w:firstLineChars="196"/>
        <w:rPr>
          <w:rFonts w:ascii="仿宋" w:hAnsi="仿宋" w:eastAsia="仿宋"/>
          <w:sz w:val="24"/>
          <w:szCs w:val="24"/>
        </w:rPr>
      </w:pPr>
      <w:r>
        <w:rPr>
          <w:rFonts w:hint="eastAsia" w:ascii="仿宋" w:hAnsi="仿宋" w:eastAsia="仿宋"/>
          <w:sz w:val="24"/>
          <w:szCs w:val="24"/>
        </w:rPr>
        <w:t>《计算机检测维修与数据恢复项目竞赛报告单》由以下部分组成，相关要求如下：</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（1）计算机主板及功能板检测与维修记录表</w:t>
      </w:r>
    </w:p>
    <w:p>
      <w:pPr>
        <w:spacing w:line="360" w:lineRule="auto"/>
        <w:ind w:firstLine="470" w:firstLineChars="196"/>
        <w:rPr>
          <w:rFonts w:ascii="仿宋" w:hAnsi="仿宋" w:eastAsia="仿宋"/>
          <w:sz w:val="24"/>
          <w:szCs w:val="24"/>
        </w:rPr>
      </w:pPr>
      <w:r>
        <w:rPr>
          <w:rFonts w:hint="eastAsia" w:ascii="仿宋" w:hAnsi="仿宋" w:eastAsia="仿宋"/>
          <w:color w:val="000000"/>
          <w:sz w:val="24"/>
        </w:rPr>
        <w:t>将计算机主板及功能板的检测与维修信息分别记录在相应的表格中，</w:t>
      </w:r>
      <w:r>
        <w:rPr>
          <w:rFonts w:hint="eastAsia" w:ascii="仿宋" w:hAnsi="仿宋" w:eastAsia="仿宋"/>
          <w:sz w:val="24"/>
          <w:szCs w:val="24"/>
        </w:rPr>
        <w:t>语言描述应条理清晰，能够反映对于故障的判断及排除过程，且言简意赅，符合典型计算机维修岗位对于故障维修记录的规范要求。</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（2）存储设备维修及数据恢复记录表</w:t>
      </w:r>
    </w:p>
    <w:p>
      <w:pPr>
        <w:pStyle w:val="7"/>
        <w:spacing w:line="360" w:lineRule="auto"/>
        <w:ind w:firstLine="480" w:firstLineChars="200"/>
      </w:pPr>
      <w:r>
        <w:rPr>
          <w:rFonts w:hint="eastAsia" w:ascii="仿宋" w:hAnsi="仿宋" w:eastAsia="仿宋"/>
          <w:kern w:val="0"/>
          <w:sz w:val="24"/>
        </w:rPr>
        <w:t>依次打开“存储一至五”要求恢复的指定文件，并将相应文件内容记录到《</w:t>
      </w:r>
      <w:r>
        <w:rPr>
          <w:rFonts w:hint="eastAsia" w:ascii="仿宋" w:hAnsi="仿宋" w:eastAsia="仿宋"/>
          <w:sz w:val="24"/>
          <w:szCs w:val="24"/>
        </w:rPr>
        <w:t>存储设备维修及数据恢复记录表</w:t>
      </w:r>
      <w:r>
        <w:rPr>
          <w:rFonts w:hint="eastAsia" w:ascii="仿宋" w:hAnsi="仿宋" w:eastAsia="仿宋"/>
          <w:sz w:val="24"/>
        </w:rPr>
        <w:t>》</w:t>
      </w:r>
      <w:r>
        <w:rPr>
          <w:rFonts w:hint="eastAsia" w:ascii="仿宋" w:hAnsi="仿宋" w:eastAsia="仿宋"/>
          <w:kern w:val="0"/>
          <w:sz w:val="24"/>
        </w:rPr>
        <w:t>中指定的位置。</w:t>
      </w:r>
    </w:p>
    <w:p>
      <w:pPr>
        <w:spacing w:line="360" w:lineRule="auto"/>
        <w:ind w:firstLine="472" w:firstLineChars="196"/>
        <w:rPr>
          <w:rFonts w:ascii="仿宋" w:hAnsi="仿宋" w:eastAsia="仿宋"/>
          <w:b/>
          <w:sz w:val="24"/>
          <w:szCs w:val="24"/>
        </w:rPr>
      </w:pPr>
      <w:r>
        <w:rPr>
          <w:rFonts w:hint="eastAsia" w:ascii="仿宋" w:hAnsi="仿宋" w:eastAsia="仿宋"/>
          <w:b/>
          <w:sz w:val="24"/>
          <w:szCs w:val="24"/>
        </w:rPr>
        <w:t>注意：《计算机检测维修与数据恢复项目竞赛报告单》（电子版）模板在参赛机“D:\竞赛报告单”目录</w:t>
      </w:r>
    </w:p>
    <w:p>
      <w:pPr>
        <w:spacing w:before="312" w:beforeLines="100" w:after="312" w:afterLines="100" w:line="360" w:lineRule="auto"/>
        <w:rPr>
          <w:rFonts w:ascii="仿宋_GB2312" w:eastAsia="仿宋_GB2312"/>
          <w:b/>
          <w:sz w:val="28"/>
          <w:szCs w:val="28"/>
        </w:rPr>
      </w:pPr>
      <w:bookmarkStart w:id="15" w:name="_Toc514958129"/>
      <w:r>
        <w:rPr>
          <w:rFonts w:hint="eastAsia" w:ascii="仿宋_GB2312" w:eastAsia="仿宋_GB2312"/>
          <w:b/>
          <w:sz w:val="28"/>
          <w:szCs w:val="28"/>
        </w:rPr>
        <w:t>五、竞赛结果提交要求</w:t>
      </w:r>
      <w:bookmarkEnd w:id="15"/>
      <w:r>
        <w:rPr>
          <w:rFonts w:hint="eastAsia" w:ascii="仿宋_GB2312" w:eastAsia="仿宋_GB2312"/>
          <w:b/>
          <w:sz w:val="28"/>
          <w:szCs w:val="28"/>
        </w:rPr>
        <w:t xml:space="preserve"> </w:t>
      </w:r>
    </w:p>
    <w:p>
      <w:pPr>
        <w:pStyle w:val="31"/>
        <w:spacing w:line="360" w:lineRule="auto"/>
        <w:rPr>
          <w:rFonts w:ascii="仿宋" w:hAnsi="仿宋" w:eastAsia="仿宋"/>
          <w:sz w:val="24"/>
          <w:szCs w:val="24"/>
        </w:rPr>
      </w:pPr>
      <w:r>
        <w:rPr>
          <w:rFonts w:hint="eastAsia" w:ascii="仿宋" w:hAnsi="仿宋" w:eastAsia="仿宋"/>
          <w:sz w:val="24"/>
          <w:szCs w:val="24"/>
        </w:rPr>
        <w:t>1计算机主板及功能板维修结果上传</w:t>
      </w:r>
    </w:p>
    <w:p>
      <w:pPr>
        <w:pStyle w:val="7"/>
        <w:spacing w:line="360" w:lineRule="auto"/>
        <w:ind w:firstLine="480" w:firstLineChars="200"/>
        <w:rPr>
          <w:rFonts w:ascii="仿宋" w:hAnsi="仿宋" w:eastAsia="仿宋"/>
          <w:sz w:val="24"/>
          <w:szCs w:val="24"/>
        </w:rPr>
      </w:pPr>
      <w:r>
        <w:rPr>
          <w:rFonts w:hint="eastAsia" w:ascii="仿宋" w:hAnsi="仿宋" w:eastAsia="仿宋"/>
          <w:sz w:val="24"/>
          <w:szCs w:val="24"/>
        </w:rPr>
        <w:t>当竞赛结束后，在规定时间内，根据现场裁判的指示进行电路板卡维修结果上传。</w:t>
      </w:r>
    </w:p>
    <w:p>
      <w:pPr>
        <w:pStyle w:val="31"/>
        <w:spacing w:line="360" w:lineRule="auto"/>
        <w:rPr>
          <w:rFonts w:ascii="仿宋" w:hAnsi="仿宋" w:eastAsia="仿宋"/>
          <w:sz w:val="24"/>
          <w:szCs w:val="24"/>
        </w:rPr>
      </w:pPr>
      <w:r>
        <w:rPr>
          <w:rFonts w:hint="eastAsia" w:ascii="仿宋" w:hAnsi="仿宋" w:eastAsia="仿宋"/>
          <w:sz w:val="24"/>
          <w:szCs w:val="24"/>
        </w:rPr>
        <w:t>2 《计算机检测维修与数据恢复项目竞赛报告单》上传</w:t>
      </w:r>
    </w:p>
    <w:p>
      <w:pPr>
        <w:pStyle w:val="7"/>
        <w:spacing w:line="360" w:lineRule="auto"/>
        <w:ind w:firstLine="480" w:firstLineChars="200"/>
        <w:rPr>
          <w:rFonts w:ascii="仿宋" w:hAnsi="仿宋" w:eastAsia="仿宋"/>
          <w:sz w:val="24"/>
          <w:szCs w:val="24"/>
        </w:rPr>
      </w:pPr>
      <w:r>
        <w:rPr>
          <w:rFonts w:hint="eastAsia" w:ascii="仿宋" w:hAnsi="仿宋" w:eastAsia="仿宋"/>
          <w:sz w:val="24"/>
          <w:szCs w:val="24"/>
        </w:rPr>
        <w:t>（1）提交的《计算机检测维修与数据恢复项目竞赛报告单》（电子版）应按下述规则进行命名；</w:t>
      </w:r>
    </w:p>
    <w:tbl>
      <w:tblPr>
        <w:tblStyle w:val="19"/>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975"/>
        <w:gridCol w:w="262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6"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报告单</w:t>
            </w:r>
          </w:p>
        </w:tc>
        <w:tc>
          <w:tcPr>
            <w:tcW w:w="1975"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命名规则</w:t>
            </w:r>
          </w:p>
        </w:tc>
        <w:tc>
          <w:tcPr>
            <w:tcW w:w="2624"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示 例</w:t>
            </w:r>
          </w:p>
        </w:tc>
        <w:tc>
          <w:tcPr>
            <w:tcW w:w="2383" w:type="dxa"/>
            <w:shd w:val="clear" w:color="auto" w:fill="D9D9D9"/>
            <w:vAlign w:val="center"/>
          </w:tcPr>
          <w:p>
            <w:pPr>
              <w:jc w:val="center"/>
              <w:rPr>
                <w:rFonts w:ascii="仿宋" w:hAnsi="仿宋" w:eastAsia="仿宋" w:cs="仿宋"/>
                <w:b/>
                <w:bCs/>
                <w:sz w:val="24"/>
                <w:szCs w:val="24"/>
              </w:rPr>
            </w:pPr>
            <w:r>
              <w:rPr>
                <w:rFonts w:hint="eastAsia" w:ascii="仿宋" w:hAnsi="仿宋" w:eastAsia="仿宋" w:cs="仿宋"/>
                <w:b/>
                <w:bCs/>
                <w:sz w:val="24"/>
                <w:szCs w:val="24"/>
              </w:rPr>
              <w:t>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《计算机检测维修与数据恢复项目竞赛报告单》</w:t>
            </w:r>
          </w:p>
        </w:tc>
        <w:tc>
          <w:tcPr>
            <w:tcW w:w="1975" w:type="dxa"/>
            <w:vAlign w:val="center"/>
          </w:tcPr>
          <w:p>
            <w:pPr>
              <w:spacing w:line="360" w:lineRule="auto"/>
              <w:rPr>
                <w:rFonts w:ascii="仿宋" w:hAnsi="仿宋" w:eastAsia="仿宋"/>
                <w:sz w:val="24"/>
                <w:szCs w:val="24"/>
              </w:rPr>
            </w:pPr>
            <w:r>
              <w:rPr>
                <w:rFonts w:hint="eastAsia" w:ascii="仿宋" w:hAnsi="仿宋" w:eastAsia="仿宋"/>
                <w:sz w:val="24"/>
              </w:rPr>
              <w:t>《计算机检测维修与数据恢复项目竞赛报告单》</w:t>
            </w:r>
            <w:r>
              <w:rPr>
                <w:rFonts w:hint="eastAsia" w:ascii="仿宋" w:hAnsi="仿宋" w:eastAsia="仿宋"/>
                <w:kern w:val="0"/>
                <w:sz w:val="24"/>
              </w:rPr>
              <w:t>_赛位号</w:t>
            </w:r>
          </w:p>
        </w:tc>
        <w:tc>
          <w:tcPr>
            <w:tcW w:w="2624"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rPr>
              <w:t>计算机检测维修与数据恢复项目竞赛报告单</w:t>
            </w:r>
            <w:r>
              <w:rPr>
                <w:rFonts w:hint="eastAsia" w:ascii="仿宋" w:hAnsi="仿宋" w:eastAsia="仿宋"/>
                <w:sz w:val="24"/>
                <w:szCs w:val="24"/>
              </w:rPr>
              <w:t>》_1</w:t>
            </w:r>
          </w:p>
        </w:tc>
        <w:tc>
          <w:tcPr>
            <w:tcW w:w="2383" w:type="dxa"/>
            <w:vAlign w:val="center"/>
          </w:tcPr>
          <w:p>
            <w:pPr>
              <w:spacing w:line="360" w:lineRule="auto"/>
              <w:jc w:val="center"/>
              <w:rPr>
                <w:rFonts w:ascii="仿宋" w:hAnsi="仿宋" w:eastAsia="仿宋"/>
                <w:b/>
                <w:sz w:val="24"/>
                <w:szCs w:val="24"/>
              </w:rPr>
            </w:pPr>
            <w:r>
              <w:rPr>
                <w:rFonts w:hint="eastAsia" w:ascii="仿宋" w:hAnsi="仿宋" w:eastAsia="仿宋"/>
                <w:b/>
                <w:kern w:val="0"/>
                <w:sz w:val="24"/>
              </w:rPr>
              <w:t>竞赛结束后通过智能检测软件（SOL-SOFT-X）的“文件上传”功能上</w:t>
            </w:r>
            <w:r>
              <w:rPr>
                <w:rFonts w:hint="eastAsia" w:ascii="仿宋" w:hAnsi="仿宋" w:eastAsia="仿宋"/>
                <w:b/>
                <w:color w:val="000000"/>
                <w:kern w:val="0"/>
                <w:sz w:val="24"/>
              </w:rPr>
              <w:t>传</w:t>
            </w:r>
            <w:r>
              <w:rPr>
                <w:rFonts w:hint="eastAsia" w:ascii="仿宋" w:hAnsi="仿宋" w:eastAsia="仿宋"/>
                <w:b/>
                <w:kern w:val="0"/>
                <w:sz w:val="24"/>
              </w:rPr>
              <w:t>至服务器</w:t>
            </w:r>
          </w:p>
        </w:tc>
      </w:tr>
    </w:tbl>
    <w:p>
      <w:pPr>
        <w:spacing w:line="360" w:lineRule="auto"/>
        <w:ind w:firstLine="470" w:firstLineChars="196"/>
        <w:rPr>
          <w:rFonts w:ascii="仿宋" w:hAnsi="仿宋" w:eastAsia="仿宋"/>
          <w:sz w:val="24"/>
          <w:szCs w:val="24"/>
        </w:rPr>
      </w:pPr>
      <w:r>
        <w:rPr>
          <w:rFonts w:hint="eastAsia" w:ascii="仿宋" w:hAnsi="仿宋" w:eastAsia="仿宋"/>
          <w:sz w:val="24"/>
          <w:szCs w:val="24"/>
        </w:rPr>
        <w:t>（2）提交的《计算机检测维修与数据恢复项目竞赛报告单》（电子版）的</w:t>
      </w:r>
      <w:r>
        <w:rPr>
          <w:rFonts w:hint="eastAsia" w:ascii="仿宋" w:hAnsi="仿宋" w:eastAsia="仿宋"/>
          <w:kern w:val="0"/>
          <w:sz w:val="24"/>
        </w:rPr>
        <w:t>首页与页眉要注明赛位号以后再提交，否则此部分视为未提交，并计“0”分</w:t>
      </w:r>
      <w:r>
        <w:rPr>
          <w:rFonts w:hint="eastAsia" w:ascii="仿宋" w:hAnsi="仿宋" w:eastAsia="仿宋"/>
          <w:sz w:val="24"/>
          <w:szCs w:val="24"/>
        </w:rPr>
        <w:t>；</w:t>
      </w:r>
    </w:p>
    <w:p>
      <w:pPr>
        <w:spacing w:line="360" w:lineRule="auto"/>
        <w:ind w:firstLine="470" w:firstLineChars="196"/>
        <w:rPr>
          <w:rFonts w:ascii="仿宋" w:hAnsi="仿宋" w:eastAsia="仿宋"/>
          <w:sz w:val="24"/>
          <w:szCs w:val="24"/>
        </w:rPr>
      </w:pPr>
      <w:r>
        <w:rPr>
          <w:rFonts w:hint="eastAsia" w:ascii="仿宋" w:hAnsi="仿宋" w:eastAsia="仿宋"/>
          <w:sz w:val="24"/>
          <w:szCs w:val="24"/>
        </w:rPr>
        <w:t>（3）提交的《计算机检测维修与数据恢复项目竞赛报告单》（电子版）中，不得出现除赛位号以外的各种关于参赛队选手的信息，否则视为作弊，整个竞赛成绩计为“0”分；</w:t>
      </w:r>
    </w:p>
    <w:p>
      <w:pPr>
        <w:spacing w:line="360" w:lineRule="auto"/>
        <w:ind w:firstLine="470" w:firstLineChars="196"/>
        <w:rPr>
          <w:rFonts w:ascii="仿宋" w:hAnsi="仿宋" w:eastAsia="仿宋"/>
          <w:kern w:val="0"/>
          <w:sz w:val="24"/>
        </w:rPr>
      </w:pPr>
      <w:r>
        <w:rPr>
          <w:rFonts w:hint="eastAsia" w:ascii="仿宋" w:hAnsi="仿宋" w:eastAsia="仿宋"/>
          <w:sz w:val="24"/>
          <w:szCs w:val="24"/>
        </w:rPr>
        <w:t>（4）当竞赛结束后，根据现场裁判的指令进行《计算机检测维修与数据恢复项目竞赛报告单》上传提交</w:t>
      </w:r>
      <w:r>
        <w:rPr>
          <w:rFonts w:hint="eastAsia" w:ascii="仿宋" w:hAnsi="仿宋" w:eastAsia="仿宋"/>
          <w:kern w:val="0"/>
          <w:sz w:val="24"/>
        </w:rPr>
        <w:t>。</w:t>
      </w:r>
    </w:p>
    <w:p>
      <w:pPr>
        <w:spacing w:before="312" w:beforeLines="100" w:after="312" w:afterLines="100" w:line="360" w:lineRule="auto"/>
        <w:rPr>
          <w:rFonts w:ascii="仿宋_GB2312" w:eastAsia="仿宋_GB2312"/>
          <w:b/>
          <w:sz w:val="28"/>
          <w:szCs w:val="28"/>
        </w:rPr>
      </w:pPr>
      <w:bookmarkStart w:id="16" w:name="_Toc514958130"/>
      <w:r>
        <w:rPr>
          <w:rFonts w:hint="eastAsia" w:ascii="仿宋_GB2312" w:eastAsia="仿宋_GB2312"/>
          <w:b/>
          <w:sz w:val="28"/>
          <w:szCs w:val="28"/>
        </w:rPr>
        <w:t>六、评分标准</w:t>
      </w:r>
      <w:bookmarkEnd w:id="16"/>
    </w:p>
    <w:tbl>
      <w:tblPr>
        <w:tblStyle w:val="19"/>
        <w:tblW w:w="9385" w:type="dxa"/>
        <w:jc w:val="center"/>
        <w:tblInd w:w="0" w:type="dxa"/>
        <w:tblLayout w:type="fixed"/>
        <w:tblCellMar>
          <w:top w:w="0" w:type="dxa"/>
          <w:left w:w="108" w:type="dxa"/>
          <w:bottom w:w="0" w:type="dxa"/>
          <w:right w:w="108" w:type="dxa"/>
        </w:tblCellMar>
      </w:tblPr>
      <w:tblGrid>
        <w:gridCol w:w="2198"/>
        <w:gridCol w:w="829"/>
        <w:gridCol w:w="3996"/>
        <w:gridCol w:w="766"/>
        <w:gridCol w:w="1596"/>
      </w:tblGrid>
      <w:tr>
        <w:tblPrEx>
          <w:tblLayout w:type="fixed"/>
          <w:tblCellMar>
            <w:top w:w="0" w:type="dxa"/>
            <w:left w:w="108" w:type="dxa"/>
            <w:bottom w:w="0" w:type="dxa"/>
            <w:right w:w="108" w:type="dxa"/>
          </w:tblCellMar>
        </w:tblPrEx>
        <w:trPr>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一级指标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比例</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二级指标</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比例</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评分方法</w:t>
            </w:r>
          </w:p>
        </w:tc>
      </w:tr>
      <w:tr>
        <w:tblPrEx>
          <w:tblLayout w:type="fixed"/>
          <w:tblCellMar>
            <w:top w:w="0" w:type="dxa"/>
            <w:left w:w="108" w:type="dxa"/>
            <w:bottom w:w="0" w:type="dxa"/>
            <w:right w:w="108" w:type="dxa"/>
          </w:tblCellMar>
        </w:tblPrEx>
        <w:trPr>
          <w:jc w:val="center"/>
        </w:trPr>
        <w:tc>
          <w:tcPr>
            <w:tcW w:w="2198"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计算机主板及功能板的检测与维修</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35%</w:t>
            </w:r>
          </w:p>
        </w:tc>
        <w:tc>
          <w:tcPr>
            <w:tcW w:w="399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功能板故障检测维修结果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10%</w:t>
            </w:r>
          </w:p>
        </w:tc>
        <w:tc>
          <w:tcPr>
            <w:tcW w:w="1596" w:type="dxa"/>
            <w:vMerge w:val="restart"/>
            <w:tcBorders>
              <w:top w:val="single" w:color="000000"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机评</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计算机主板故障检测维修结果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15%</w:t>
            </w:r>
          </w:p>
        </w:tc>
        <w:tc>
          <w:tcPr>
            <w:tcW w:w="1596" w:type="dxa"/>
            <w:vMerge w:val="continue"/>
            <w:tcBorders>
              <w:left w:val="nil"/>
              <w:right w:val="single" w:color="000000" w:sz="4" w:space="0"/>
            </w:tcBorders>
            <w:vAlign w:val="center"/>
          </w:tcPr>
          <w:p>
            <w:pPr>
              <w:jc w:val="center"/>
              <w:rPr>
                <w:rFonts w:ascii="仿宋_GB2312" w:hAnsi="仿宋" w:eastAsia="仿宋_GB2312" w:cs="仿宋"/>
                <w:bCs/>
                <w:sz w:val="24"/>
                <w:szCs w:val="24"/>
              </w:rPr>
            </w:pPr>
          </w:p>
        </w:tc>
      </w:tr>
      <w:tr>
        <w:tblPrEx>
          <w:tblLayout w:type="fixed"/>
          <w:tblCellMar>
            <w:top w:w="0" w:type="dxa"/>
            <w:left w:w="108" w:type="dxa"/>
            <w:bottom w:w="0" w:type="dxa"/>
            <w:right w:w="108" w:type="dxa"/>
          </w:tblCellMar>
        </w:tblPrEx>
        <w:trPr>
          <w:trHeight w:val="377" w:hRule="atLeast"/>
          <w:jc w:val="center"/>
        </w:trPr>
        <w:tc>
          <w:tcPr>
            <w:tcW w:w="2198" w:type="dxa"/>
            <w:vMerge w:val="continue"/>
            <w:tcBorders>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829" w:type="dxa"/>
            <w:vMerge w:val="continue"/>
            <w:tcBorders>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auto"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计算机主板及功能板维修检测报告</w:t>
            </w:r>
          </w:p>
        </w:tc>
        <w:tc>
          <w:tcPr>
            <w:tcW w:w="766" w:type="dxa"/>
            <w:tcBorders>
              <w:top w:val="single" w:color="auto"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10%</w:t>
            </w:r>
          </w:p>
        </w:tc>
        <w:tc>
          <w:tcPr>
            <w:tcW w:w="1596" w:type="dxa"/>
            <w:tcBorders>
              <w:top w:val="single" w:color="auto"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r>
        <w:tblPrEx>
          <w:tblLayout w:type="fixed"/>
          <w:tblCellMar>
            <w:top w:w="0" w:type="dxa"/>
            <w:left w:w="108" w:type="dxa"/>
            <w:bottom w:w="0" w:type="dxa"/>
            <w:right w:w="108" w:type="dxa"/>
          </w:tblCellMar>
        </w:tblPrEx>
        <w:trPr>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存储设备维修及数据恢复</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40%</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存储一数据恢复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12%</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存储二数据恢复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存储三数据恢复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8%</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存储四数据恢复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6%</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存储五数据恢复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4%</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计算机的组装</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与检测</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20%</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组装的电脑硬件系统完好</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4%</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组装的电脑软件系统完好</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8%</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选用任务2修复的U盘</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8%</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restart"/>
            <w:tcBorders>
              <w:top w:val="single" w:color="auto"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职业素养</w:t>
            </w:r>
          </w:p>
        </w:tc>
        <w:tc>
          <w:tcPr>
            <w:tcW w:w="829" w:type="dxa"/>
            <w:vMerge w:val="restart"/>
            <w:tcBorders>
              <w:top w:val="single" w:color="auto"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5%</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操作规范</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2%</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auto"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auto"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工具箱整理</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r>
        <w:tblPrEx>
          <w:tblLayout w:type="fixed"/>
          <w:tblCellMar>
            <w:top w:w="0" w:type="dxa"/>
            <w:left w:w="108" w:type="dxa"/>
            <w:bottom w:w="0" w:type="dxa"/>
            <w:right w:w="108" w:type="dxa"/>
          </w:tblCellMar>
        </w:tblPrEx>
        <w:trPr>
          <w:jc w:val="center"/>
        </w:trPr>
        <w:tc>
          <w:tcPr>
            <w:tcW w:w="2198"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left w:val="single" w:color="000000" w:sz="4" w:space="0"/>
              <w:bottom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auto" w:sz="4" w:space="0"/>
              <w:right w:val="single" w:color="000000" w:sz="4" w:space="0"/>
            </w:tcBorders>
            <w:shd w:val="clear" w:color="auto" w:fill="auto"/>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工位整洁</w:t>
            </w:r>
          </w:p>
        </w:tc>
        <w:tc>
          <w:tcPr>
            <w:tcW w:w="76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2%</w:t>
            </w:r>
          </w:p>
        </w:tc>
        <w:tc>
          <w:tcPr>
            <w:tcW w:w="159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bl>
    <w:p>
      <w:pPr>
        <w:pStyle w:val="7"/>
        <w:spacing w:line="276" w:lineRule="auto"/>
        <w:ind w:firstLine="482" w:firstLineChars="200"/>
        <w:rPr>
          <w:rFonts w:ascii="Arial Narrow" w:hAnsi="Arial Narrow" w:eastAsia="仿宋_GB2312" w:cs="Arial"/>
          <w:sz w:val="30"/>
          <w:szCs w:val="30"/>
        </w:rPr>
      </w:pPr>
      <w:r>
        <w:rPr>
          <w:rFonts w:hint="eastAsia" w:ascii="仿宋" w:hAnsi="仿宋" w:eastAsia="仿宋"/>
          <w:b/>
          <w:sz w:val="24"/>
          <w:szCs w:val="24"/>
        </w:rPr>
        <w:t>注意：评分结果若出现分值相同情况，则依据任务模块得分进行排名。先比较数据恢复部分得分，再比较板卡维修部分得分，然后比较竞赛工作报告部分得分，最后比较职业素养部分得分。</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（一）评分标准、方法及细则</w:t>
      </w:r>
    </w:p>
    <w:tbl>
      <w:tblPr>
        <w:tblStyle w:val="19"/>
        <w:tblW w:w="9385" w:type="dxa"/>
        <w:jc w:val="center"/>
        <w:tblInd w:w="0" w:type="dxa"/>
        <w:tblLayout w:type="fixed"/>
        <w:tblCellMar>
          <w:top w:w="0" w:type="dxa"/>
          <w:left w:w="108" w:type="dxa"/>
          <w:bottom w:w="0" w:type="dxa"/>
          <w:right w:w="108" w:type="dxa"/>
        </w:tblCellMar>
      </w:tblPr>
      <w:tblGrid>
        <w:gridCol w:w="2198"/>
        <w:gridCol w:w="829"/>
        <w:gridCol w:w="3996"/>
        <w:gridCol w:w="766"/>
        <w:gridCol w:w="1596"/>
      </w:tblGrid>
      <w:tr>
        <w:tblPrEx>
          <w:tblLayout w:type="fixed"/>
          <w:tblCellMar>
            <w:top w:w="0" w:type="dxa"/>
            <w:left w:w="108" w:type="dxa"/>
            <w:bottom w:w="0" w:type="dxa"/>
            <w:right w:w="108" w:type="dxa"/>
          </w:tblCellMar>
        </w:tblPrEx>
        <w:trPr>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一级指标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比例</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二级指标</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比例</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
                <w:bCs/>
                <w:sz w:val="24"/>
                <w:szCs w:val="24"/>
              </w:rPr>
            </w:pPr>
            <w:r>
              <w:rPr>
                <w:rFonts w:hint="eastAsia" w:ascii="仿宋_GB2312" w:hAnsi="仿宋" w:eastAsia="仿宋_GB2312" w:cs="仿宋"/>
                <w:b/>
                <w:bCs/>
                <w:sz w:val="24"/>
                <w:szCs w:val="24"/>
              </w:rPr>
              <w:t>评分方法</w:t>
            </w:r>
          </w:p>
        </w:tc>
      </w:tr>
      <w:tr>
        <w:tblPrEx>
          <w:tblLayout w:type="fixed"/>
          <w:tblCellMar>
            <w:top w:w="0" w:type="dxa"/>
            <w:left w:w="108" w:type="dxa"/>
            <w:bottom w:w="0" w:type="dxa"/>
            <w:right w:w="108" w:type="dxa"/>
          </w:tblCellMar>
        </w:tblPrEx>
        <w:trPr>
          <w:jc w:val="center"/>
        </w:trPr>
        <w:tc>
          <w:tcPr>
            <w:tcW w:w="2198"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计算机主板及功能板的检测与维修</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35%</w:t>
            </w:r>
          </w:p>
        </w:tc>
        <w:tc>
          <w:tcPr>
            <w:tcW w:w="399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功能板故障检测维修结果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10%</w:t>
            </w:r>
          </w:p>
        </w:tc>
        <w:tc>
          <w:tcPr>
            <w:tcW w:w="1596" w:type="dxa"/>
            <w:vMerge w:val="restart"/>
            <w:tcBorders>
              <w:top w:val="single" w:color="000000"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机评</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计算机主板故障检测维修结果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15%</w:t>
            </w:r>
          </w:p>
        </w:tc>
        <w:tc>
          <w:tcPr>
            <w:tcW w:w="1596" w:type="dxa"/>
            <w:vMerge w:val="continue"/>
            <w:tcBorders>
              <w:left w:val="nil"/>
              <w:right w:val="single" w:color="000000" w:sz="4" w:space="0"/>
            </w:tcBorders>
            <w:vAlign w:val="center"/>
          </w:tcPr>
          <w:p>
            <w:pPr>
              <w:jc w:val="center"/>
              <w:rPr>
                <w:rFonts w:ascii="仿宋_GB2312" w:hAnsi="仿宋" w:eastAsia="仿宋_GB2312" w:cs="仿宋"/>
                <w:bCs/>
                <w:sz w:val="24"/>
                <w:szCs w:val="24"/>
              </w:rPr>
            </w:pPr>
          </w:p>
        </w:tc>
      </w:tr>
      <w:tr>
        <w:tblPrEx>
          <w:tblLayout w:type="fixed"/>
          <w:tblCellMar>
            <w:top w:w="0" w:type="dxa"/>
            <w:left w:w="108" w:type="dxa"/>
            <w:bottom w:w="0" w:type="dxa"/>
            <w:right w:w="108" w:type="dxa"/>
          </w:tblCellMar>
        </w:tblPrEx>
        <w:trPr>
          <w:trHeight w:val="377" w:hRule="atLeast"/>
          <w:jc w:val="center"/>
        </w:trPr>
        <w:tc>
          <w:tcPr>
            <w:tcW w:w="2198" w:type="dxa"/>
            <w:vMerge w:val="continue"/>
            <w:tcBorders>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829" w:type="dxa"/>
            <w:vMerge w:val="continue"/>
            <w:tcBorders>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auto"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计算机主板及功能板维修检测报告</w:t>
            </w:r>
          </w:p>
        </w:tc>
        <w:tc>
          <w:tcPr>
            <w:tcW w:w="766" w:type="dxa"/>
            <w:tcBorders>
              <w:top w:val="single" w:color="auto"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10%</w:t>
            </w:r>
          </w:p>
        </w:tc>
        <w:tc>
          <w:tcPr>
            <w:tcW w:w="1596" w:type="dxa"/>
            <w:tcBorders>
              <w:top w:val="single" w:color="auto" w:sz="4" w:space="0"/>
              <w:left w:val="nil"/>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r>
        <w:tblPrEx>
          <w:tblLayout w:type="fixed"/>
          <w:tblCellMar>
            <w:top w:w="0" w:type="dxa"/>
            <w:left w:w="108" w:type="dxa"/>
            <w:bottom w:w="0" w:type="dxa"/>
            <w:right w:w="108" w:type="dxa"/>
          </w:tblCellMar>
        </w:tblPrEx>
        <w:trPr>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存储设备维修及数据恢复</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40%</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存储一数据恢复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12%</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存储二数据恢复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存储三数据恢复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8%</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存储四数据恢复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6%</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存储五数据恢复</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4%</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计算机的组装</w:t>
            </w:r>
          </w:p>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与检测</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20%</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组装的电脑硬件系统完好</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4%</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组装的电脑软件系统完好</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8%</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选用任务2修复的U盘</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8%</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客观性评分</w:t>
            </w:r>
          </w:p>
        </w:tc>
      </w:tr>
      <w:tr>
        <w:tblPrEx>
          <w:tblLayout w:type="fixed"/>
          <w:tblCellMar>
            <w:top w:w="0" w:type="dxa"/>
            <w:left w:w="108" w:type="dxa"/>
            <w:bottom w:w="0" w:type="dxa"/>
            <w:right w:w="108" w:type="dxa"/>
          </w:tblCellMar>
        </w:tblPrEx>
        <w:trPr>
          <w:jc w:val="center"/>
        </w:trPr>
        <w:tc>
          <w:tcPr>
            <w:tcW w:w="2198" w:type="dxa"/>
            <w:vMerge w:val="restart"/>
            <w:tcBorders>
              <w:top w:val="single" w:color="auto"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r>
              <w:rPr>
                <w:rFonts w:hint="eastAsia" w:ascii="仿宋_GB2312" w:hAnsi="仿宋" w:eastAsia="仿宋_GB2312" w:cs="仿宋"/>
                <w:sz w:val="24"/>
                <w:szCs w:val="24"/>
              </w:rPr>
              <w:t>职业素养</w:t>
            </w:r>
          </w:p>
        </w:tc>
        <w:tc>
          <w:tcPr>
            <w:tcW w:w="829" w:type="dxa"/>
            <w:vMerge w:val="restart"/>
            <w:tcBorders>
              <w:top w:val="single" w:color="auto" w:sz="4" w:space="0"/>
              <w:left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5%</w:t>
            </w: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操作规范</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2%</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r>
        <w:tblPrEx>
          <w:tblLayout w:type="fixed"/>
          <w:tblCellMar>
            <w:top w:w="0" w:type="dxa"/>
            <w:left w:w="108" w:type="dxa"/>
            <w:bottom w:w="0" w:type="dxa"/>
            <w:right w:w="108" w:type="dxa"/>
          </w:tblCellMar>
        </w:tblPrEx>
        <w:trPr>
          <w:jc w:val="center"/>
        </w:trPr>
        <w:tc>
          <w:tcPr>
            <w:tcW w:w="2198" w:type="dxa"/>
            <w:vMerge w:val="continue"/>
            <w:tcBorders>
              <w:top w:val="single" w:color="auto" w:sz="4" w:space="0"/>
              <w:left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top w:val="single" w:color="auto" w:sz="4" w:space="0"/>
              <w:left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工具箱整理</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1%</w:t>
            </w:r>
          </w:p>
        </w:tc>
        <w:tc>
          <w:tcPr>
            <w:tcW w:w="1596"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r>
        <w:tblPrEx>
          <w:tblLayout w:type="fixed"/>
          <w:tblCellMar>
            <w:top w:w="0" w:type="dxa"/>
            <w:left w:w="108" w:type="dxa"/>
            <w:bottom w:w="0" w:type="dxa"/>
            <w:right w:w="108" w:type="dxa"/>
          </w:tblCellMar>
        </w:tblPrEx>
        <w:trPr>
          <w:jc w:val="center"/>
        </w:trPr>
        <w:tc>
          <w:tcPr>
            <w:tcW w:w="2198"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仿宋_GB2312" w:hAnsi="仿宋" w:eastAsia="仿宋_GB2312" w:cs="仿宋"/>
                <w:sz w:val="24"/>
                <w:szCs w:val="24"/>
              </w:rPr>
            </w:pPr>
          </w:p>
        </w:tc>
        <w:tc>
          <w:tcPr>
            <w:tcW w:w="829" w:type="dxa"/>
            <w:vMerge w:val="continue"/>
            <w:tcBorders>
              <w:left w:val="single" w:color="000000" w:sz="4" w:space="0"/>
              <w:bottom w:val="single" w:color="000000" w:sz="4" w:space="0"/>
              <w:right w:val="single" w:color="000000" w:sz="4" w:space="0"/>
            </w:tcBorders>
            <w:vAlign w:val="center"/>
          </w:tcPr>
          <w:p>
            <w:pPr>
              <w:jc w:val="center"/>
              <w:rPr>
                <w:rFonts w:ascii="仿宋_GB2312" w:hAnsi="仿宋" w:eastAsia="仿宋_GB2312" w:cs="仿宋"/>
                <w:bCs/>
                <w:sz w:val="24"/>
                <w:szCs w:val="24"/>
              </w:rPr>
            </w:pPr>
          </w:p>
        </w:tc>
        <w:tc>
          <w:tcPr>
            <w:tcW w:w="3996" w:type="dxa"/>
            <w:tcBorders>
              <w:top w:val="single" w:color="000000" w:sz="4" w:space="0"/>
              <w:left w:val="nil"/>
              <w:bottom w:val="single" w:color="auto" w:sz="4" w:space="0"/>
              <w:right w:val="single" w:color="000000" w:sz="4" w:space="0"/>
            </w:tcBorders>
            <w:shd w:val="clear" w:color="auto" w:fill="auto"/>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工位整洁</w:t>
            </w:r>
          </w:p>
        </w:tc>
        <w:tc>
          <w:tcPr>
            <w:tcW w:w="76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2%</w:t>
            </w:r>
          </w:p>
        </w:tc>
        <w:tc>
          <w:tcPr>
            <w:tcW w:w="159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主观性评分</w:t>
            </w:r>
          </w:p>
        </w:tc>
      </w:tr>
    </w:tbl>
    <w:p>
      <w:pPr>
        <w:spacing w:line="360" w:lineRule="auto"/>
        <w:ind w:firstLine="472" w:firstLineChars="196"/>
        <w:rPr>
          <w:rFonts w:ascii="仿宋_GB2312" w:eastAsia="仿宋_GB2312" w:hAnsiTheme="majorEastAsia"/>
          <w:kern w:val="0"/>
          <w:sz w:val="24"/>
          <w:szCs w:val="24"/>
        </w:rPr>
      </w:pPr>
      <w:r>
        <w:rPr>
          <w:rFonts w:hint="eastAsia" w:ascii="仿宋_GB2312" w:eastAsia="仿宋_GB2312" w:hAnsiTheme="majorEastAsia"/>
          <w:b/>
          <w:kern w:val="0"/>
          <w:sz w:val="24"/>
          <w:szCs w:val="24"/>
        </w:rPr>
        <w:t>注意：</w:t>
      </w:r>
      <w:r>
        <w:rPr>
          <w:rFonts w:hint="eastAsia" w:ascii="仿宋_GB2312" w:eastAsia="仿宋_GB2312" w:hAnsiTheme="majorEastAsia"/>
          <w:kern w:val="0"/>
          <w:sz w:val="24"/>
          <w:szCs w:val="24"/>
        </w:rPr>
        <w:t>评分结果若出现分值相同情况，则依据任务模块得分进行排名。先比较数据恢复部分得分，再比较板卡维修部分得分，然后比较竞赛工作报告部分得分，最后比较职业素养部分得分。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（二）评分细则流程说明</w:t>
      </w:r>
    </w:p>
    <w:p>
      <w:pPr>
        <w:snapToGrid w:val="0"/>
        <w:spacing w:line="48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、机评分由系统自动生成，并由裁判长在监督组长的监督下从服务器中提取成绩；</w:t>
      </w:r>
    </w:p>
    <w:p>
      <w:pPr>
        <w:snapToGrid w:val="0"/>
        <w:spacing w:line="48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、客观性评分由两名裁判共同评分，正确得分，错误不得分；</w:t>
      </w:r>
    </w:p>
    <w:p>
      <w:pPr>
        <w:snapToGrid w:val="0"/>
        <w:spacing w:line="480" w:lineRule="exact"/>
        <w:ind w:firstLine="600" w:firstLineChars="200"/>
        <w:rPr>
          <w:rFonts w:ascii="Arial Narrow" w:hAnsi="Arial Narrow" w:eastAsia="仿宋_GB2312" w:cs="Arial"/>
          <w:sz w:val="30"/>
          <w:szCs w:val="30"/>
        </w:rPr>
      </w:pPr>
      <w:r>
        <w:rPr>
          <w:rFonts w:ascii="仿宋" w:hAnsi="仿宋" w:eastAsia="仿宋"/>
          <w:sz w:val="30"/>
          <w:szCs w:val="30"/>
        </w:rPr>
        <w:t>3</w:t>
      </w:r>
      <w:r>
        <w:rPr>
          <w:rFonts w:hint="eastAsia" w:ascii="仿宋" w:hAnsi="仿宋" w:eastAsia="仿宋"/>
          <w:sz w:val="30"/>
          <w:szCs w:val="30"/>
        </w:rPr>
        <w:t>、主观性评分由五名裁判共同打分，表述正确得分，表述不完全正确得一半分，表述不正确不得分。</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sz w:val="30"/>
          <w:szCs w:val="30"/>
        </w:rPr>
        <w:t>本赛项依照实际参赛队数量确定奖项：一等奖占参赛队总数的10%，二等奖占参赛队总数的20%，三等奖占参赛队总数的30%。获得一等奖参赛队的指导教师，由赛项组委会颁发优秀指导教师证书。</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（一）职业素养</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1、敬业爱岗，忠于职守，严于律已，刻苦钻研；</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2、勤于学习，善于思考，勇于探索，敏于创新；</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3、认真负责，吃苦耐劳，团结协作，精益求精；</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4、遵守操作规程，安全、文明生产；</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5、着装规范整洁，爱护设备，保持工作环境清洁有序。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（二）相关知识与技能</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1、电工与电子技术基础</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2、电子产品装接工艺与流程</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3、计算机应用技能</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4、计算机组装与测试</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5、操作系统与应用软件的安装</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6、计算机主板的故障检测与维修</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7、硬盘维修与数据恢复技术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（三）相关职业标准</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1、家用电子产品维修工国家职业标准（职业编码4-07-10-01）</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2、计算机操作员国家职业标准（职业编码3-01-02-05）</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3、计算机（微机）维修工国家职业标准（职业编码6-08-05-01）</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4、计算机硬件技术人员国家职业标准（2-02-13-01）</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5、电子计算机装配调试员国家职业标准（职业编码6-08-04-07）</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6、电子设备装接工国家职业标准（职业编码6-08-04-02）</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（一）比赛器材及具体要求说明</w:t>
      </w:r>
    </w:p>
    <w:tbl>
      <w:tblPr>
        <w:tblStyle w:val="19"/>
        <w:tblW w:w="8615" w:type="dxa"/>
        <w:jc w:val="center"/>
        <w:tblInd w:w="0" w:type="dxa"/>
        <w:tblLayout w:type="fixed"/>
        <w:tblCellMar>
          <w:top w:w="0" w:type="dxa"/>
          <w:left w:w="108" w:type="dxa"/>
          <w:bottom w:w="0" w:type="dxa"/>
          <w:right w:w="108" w:type="dxa"/>
        </w:tblCellMar>
      </w:tblPr>
      <w:tblGrid>
        <w:gridCol w:w="789"/>
        <w:gridCol w:w="2066"/>
        <w:gridCol w:w="5760"/>
      </w:tblGrid>
      <w:tr>
        <w:tblPrEx>
          <w:tblLayout w:type="fixed"/>
          <w:tblCellMar>
            <w:top w:w="0" w:type="dxa"/>
            <w:left w:w="108" w:type="dxa"/>
            <w:bottom w:w="0" w:type="dxa"/>
            <w:right w:w="108" w:type="dxa"/>
          </w:tblCellMar>
        </w:tblPrEx>
        <w:trPr>
          <w:trHeight w:val="456"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序号</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仪器设备</w:t>
            </w:r>
          </w:p>
        </w:tc>
        <w:tc>
          <w:tcPr>
            <w:tcW w:w="5760"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规格说明</w:t>
            </w:r>
          </w:p>
        </w:tc>
      </w:tr>
      <w:tr>
        <w:tblPrEx>
          <w:tblLayout w:type="fixed"/>
          <w:tblCellMar>
            <w:top w:w="0" w:type="dxa"/>
            <w:left w:w="108" w:type="dxa"/>
            <w:bottom w:w="0" w:type="dxa"/>
            <w:right w:w="108" w:type="dxa"/>
          </w:tblCellMar>
        </w:tblPrEx>
        <w:trPr>
          <w:trHeight w:val="617"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维修工作台</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防静电维修工作台，钢木结构，尺寸1800mm（高）*850mm（深）*1500mm（宽）；</w:t>
            </w:r>
          </w:p>
        </w:tc>
      </w:tr>
      <w:tr>
        <w:tblPrEx>
          <w:tblLayout w:type="fixed"/>
          <w:tblCellMar>
            <w:top w:w="0" w:type="dxa"/>
            <w:left w:w="108" w:type="dxa"/>
            <w:bottom w:w="0" w:type="dxa"/>
            <w:right w:w="108" w:type="dxa"/>
          </w:tblCellMar>
        </w:tblPrEx>
        <w:trPr>
          <w:trHeight w:val="617"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数字万用表</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交流电压1000V±(0.8%+3)，直流电流20A±(0.8%+1)，直流电压1000V±(0.5%+1)，交流电流20A±(1%+3)，电阻200MW±(0.8%+1)，电容100mF±(4%+3)</w:t>
            </w:r>
          </w:p>
        </w:tc>
      </w:tr>
      <w:tr>
        <w:tblPrEx>
          <w:tblLayout w:type="fixed"/>
          <w:tblCellMar>
            <w:top w:w="0" w:type="dxa"/>
            <w:left w:w="108" w:type="dxa"/>
            <w:bottom w:w="0" w:type="dxa"/>
            <w:right w:w="108" w:type="dxa"/>
          </w:tblCellMar>
        </w:tblPrEx>
        <w:trPr>
          <w:trHeight w:val="421"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数字示波器</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100MHz以上双通道示波器</w:t>
            </w:r>
          </w:p>
        </w:tc>
      </w:tr>
      <w:tr>
        <w:tblPrEx>
          <w:tblLayout w:type="fixed"/>
          <w:tblCellMar>
            <w:top w:w="0" w:type="dxa"/>
            <w:left w:w="108" w:type="dxa"/>
            <w:bottom w:w="0" w:type="dxa"/>
            <w:right w:w="108" w:type="dxa"/>
          </w:tblCellMar>
        </w:tblPrEx>
        <w:trPr>
          <w:trHeight w:val="412"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2066" w:type="dxa"/>
            <w:tcBorders>
              <w:top w:val="nil"/>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恒温烙铁</w:t>
            </w:r>
          </w:p>
        </w:tc>
        <w:tc>
          <w:tcPr>
            <w:tcW w:w="5760" w:type="dxa"/>
            <w:tcBorders>
              <w:top w:val="nil"/>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温度调节范围 150-450（℃）</w:t>
            </w:r>
          </w:p>
        </w:tc>
      </w:tr>
      <w:tr>
        <w:tblPrEx>
          <w:tblLayout w:type="fixed"/>
          <w:tblCellMar>
            <w:top w:w="0" w:type="dxa"/>
            <w:left w:w="108" w:type="dxa"/>
            <w:bottom w:w="0" w:type="dxa"/>
            <w:right w:w="108" w:type="dxa"/>
          </w:tblCellMar>
        </w:tblPrEx>
        <w:trPr>
          <w:trHeight w:val="419"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热风焊台</w:t>
            </w:r>
          </w:p>
        </w:tc>
        <w:tc>
          <w:tcPr>
            <w:tcW w:w="5760" w:type="dxa"/>
            <w:tcBorders>
              <w:top w:val="single" w:color="auto" w:sz="4" w:space="0"/>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温度调节范围：100～480℃</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直流稳压电源</w:t>
            </w:r>
          </w:p>
        </w:tc>
        <w:tc>
          <w:tcPr>
            <w:tcW w:w="57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I路以上0-30 V可变电压输出</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7</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放大镜台灯</w:t>
            </w:r>
          </w:p>
        </w:tc>
        <w:tc>
          <w:tcPr>
            <w:tcW w:w="5760" w:type="dxa"/>
            <w:tcBorders>
              <w:top w:val="single" w:color="auto" w:sz="4" w:space="0"/>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高强照明、五倍放大功能</w:t>
            </w:r>
          </w:p>
        </w:tc>
      </w:tr>
      <w:tr>
        <w:tblPrEx>
          <w:tblLayout w:type="fixed"/>
          <w:tblCellMar>
            <w:top w:w="0" w:type="dxa"/>
            <w:left w:w="108" w:type="dxa"/>
            <w:bottom w:w="0" w:type="dxa"/>
            <w:right w:w="108" w:type="dxa"/>
          </w:tblCellMar>
        </w:tblPrEx>
        <w:trPr>
          <w:trHeight w:val="861"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工具箱（含工具）</w:t>
            </w:r>
          </w:p>
        </w:tc>
        <w:tc>
          <w:tcPr>
            <w:tcW w:w="5760"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hAnsiTheme="minorEastAsia"/>
                <w:sz w:val="24"/>
                <w:szCs w:val="24"/>
              </w:rPr>
            </w:pPr>
            <w:r>
              <w:rPr>
                <w:rFonts w:hint="eastAsia" w:ascii="仿宋_GB2312" w:hAnsi="仿宋" w:eastAsia="仿宋_GB2312"/>
                <w:sz w:val="24"/>
                <w:szCs w:val="24"/>
              </w:rPr>
              <w:t>内含螺丝刀套件、毛刷、洗板水壶、吸锡枪、尖嘴钳、偏口钳、焊锡丝、防静电镊子</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9</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电脑主机</w:t>
            </w:r>
          </w:p>
        </w:tc>
        <w:tc>
          <w:tcPr>
            <w:tcW w:w="5760"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hAnsiTheme="minorEastAsia"/>
                <w:sz w:val="24"/>
                <w:szCs w:val="24"/>
              </w:rPr>
            </w:pPr>
            <w:r>
              <w:rPr>
                <w:rFonts w:hint="eastAsia" w:ascii="仿宋_GB2312" w:eastAsia="仿宋_GB2312" w:cs="Arial" w:hAnsiTheme="minorEastAsia"/>
                <w:sz w:val="24"/>
                <w:szCs w:val="24"/>
              </w:rPr>
              <w:t>主频1GHz或以上CPU，1GB或以上内存，安装Win7 64位操作系统。</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10</w:t>
            </w:r>
          </w:p>
        </w:tc>
        <w:tc>
          <w:tcPr>
            <w:tcW w:w="2066" w:type="dxa"/>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电脑配件</w:t>
            </w:r>
          </w:p>
        </w:tc>
        <w:tc>
          <w:tcPr>
            <w:tcW w:w="5760" w:type="dxa"/>
            <w:tcBorders>
              <w:top w:val="single" w:color="auto" w:sz="4" w:space="0"/>
              <w:left w:val="nil"/>
              <w:bottom w:val="single" w:color="auto" w:sz="4" w:space="0"/>
              <w:right w:val="single" w:color="auto" w:sz="4" w:space="0"/>
            </w:tcBorders>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CPU、内存、电源等</w:t>
            </w:r>
          </w:p>
        </w:tc>
      </w:tr>
      <w:tr>
        <w:tblPrEx>
          <w:tblLayout w:type="fixed"/>
          <w:tblCellMar>
            <w:top w:w="0" w:type="dxa"/>
            <w:left w:w="108" w:type="dxa"/>
            <w:bottom w:w="0" w:type="dxa"/>
            <w:right w:w="108" w:type="dxa"/>
          </w:tblCellMar>
        </w:tblPrEx>
        <w:trPr>
          <w:trHeight w:val="61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11</w:t>
            </w:r>
          </w:p>
        </w:tc>
        <w:tc>
          <w:tcPr>
            <w:tcW w:w="2066"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Arial" w:hAnsiTheme="minorEastAsia"/>
                <w:sz w:val="24"/>
                <w:szCs w:val="24"/>
              </w:rPr>
            </w:pPr>
            <w:r>
              <w:rPr>
                <w:rFonts w:hint="eastAsia" w:ascii="仿宋_GB2312" w:eastAsia="仿宋_GB2312" w:cs="Arial" w:hAnsiTheme="minorEastAsia"/>
                <w:bCs/>
                <w:sz w:val="24"/>
                <w:szCs w:val="24"/>
              </w:rPr>
              <w:t>数据恢复平台</w:t>
            </w:r>
          </w:p>
        </w:tc>
        <w:tc>
          <w:tcPr>
            <w:tcW w:w="5760"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1、设备须为一体设计结构，集成度高，方便学生使用；</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2、设备含有液晶显示屏、键盘、鼠标；</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3、提供2个SATA接口和2个USB接口；</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4、支持IDE、SATA、USB、ESATA等硬盘接口；</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5、设备支持快速打开分区，对于文件系统参数错误的分区可以直接打开并快速提取数据；</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6、在扫描上分为简单、完全和快速三种扫描方式。并且支持各文件系统的RAW扫描方式。设备能够进行硬盘逻辑故障数据恢复实训，能够进行文件及分区的逻辑性数据销毁的实训；</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7、支持多种文件系统恢复，其中包含FAT\EXFAT\NTFS\EXT2\3\4\UFS\HFS等文件系统；</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8、支持同时扫描多种文件系统并可将得出多种结论按照正常级别分类排列展示给用户，方便用户的查找。支持单分区扫描和整盘扫描。对于对分区表不熟悉的用户可以简单的查找各个分区的数据；</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9、程序对系统盘采用只读模式和分区放行模式，可防止对系统盘进行误操作， 但可以在分区中写入文件。</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（二）技术平台标准</w:t>
      </w:r>
    </w:p>
    <w:tbl>
      <w:tblPr>
        <w:tblStyle w:val="19"/>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650"/>
        <w:gridCol w:w="5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90"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序号</w:t>
            </w:r>
          </w:p>
        </w:tc>
        <w:tc>
          <w:tcPr>
            <w:tcW w:w="1650"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产品名称</w:t>
            </w:r>
          </w:p>
        </w:tc>
        <w:tc>
          <w:tcPr>
            <w:tcW w:w="5772"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9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16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智能检测平台中心管理系统</w:t>
            </w:r>
          </w:p>
        </w:tc>
        <w:tc>
          <w:tcPr>
            <w:tcW w:w="5772" w:type="dxa"/>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1、支持台式机系列、笔记本系列、显示器系列功能板的设置及管理；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2、支持练习、考核两种模式，方便开展日常教学及考核；</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3、支持练习题库管理、考核题库管理；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4、支持方便的进行故障设定，只需勾选上对应的编号就可设定；</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5、支持练习模式、考核模式阶段控制，可以实现远程控制智能检测软件；</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6、支持练习模式、考核模式支持过程监控，可监控学生的操作进度以及成绩，并且学生成绩可实名对应；</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7、支持料件管理，实现对料件申领的操作；</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8、支持维修且提交后，系统自动评分；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9、支持成绩以文件形式导出。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9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16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智能检测软件</w:t>
            </w:r>
          </w:p>
        </w:tc>
        <w:tc>
          <w:tcPr>
            <w:tcW w:w="5772" w:type="dxa"/>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1、支持台式机系列、笔记本系列、显示器系列功能板的故障智能检测功能；</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2、支持功能板维修前故障智能确认、维修中故障智能提示及维修后结果确认；</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3、支持平时练习和考核两种模式功能；</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4、支持在练习模式下，对功能板进行智能准确的检测，定位故障点，提供故障范围提示，引导学生逐步维修，并能提供维修结果；</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5、支持在考核模式下，对功能板故障进行定位并与服务器比对，若一致方可继续考核，考后提交考核报告并实现自动评分；</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6、支持智能提示错误操作，如插入了错误的功能板、功能板未置于开机状态、串口未连接、服务器未连接等；</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7、支持查看维修板卡所对应的电路图；</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8、支持电子流程的料件申领。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9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1650" w:type="dxa"/>
            <w:vAlign w:val="center"/>
          </w:tcPr>
          <w:p>
            <w:pPr>
              <w:snapToGrid w:val="0"/>
              <w:jc w:val="center"/>
              <w:rPr>
                <w:rFonts w:ascii="仿宋_GB2312" w:eastAsia="仿宋_GB2312" w:cs="Arial" w:hAnsiTheme="minorEastAsia"/>
                <w:sz w:val="24"/>
                <w:szCs w:val="24"/>
              </w:rPr>
            </w:pPr>
            <w:r>
              <w:rPr>
                <w:rFonts w:hint="eastAsia" w:ascii="仿宋_GB2312" w:eastAsia="仿宋_GB2312" w:cs="Arial" w:hAnsiTheme="minorEastAsia"/>
                <w:bCs/>
                <w:sz w:val="24"/>
                <w:szCs w:val="24"/>
              </w:rPr>
              <w:t>智能检测平台</w:t>
            </w:r>
          </w:p>
        </w:tc>
        <w:tc>
          <w:tcPr>
            <w:tcW w:w="5772" w:type="dxa"/>
            <w:vAlign w:val="center"/>
          </w:tcPr>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1、采用专用硬件1U平台；</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2、具备无风扇静音设计；</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3、具备功能板检测接口，支持80个检测点；</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4、具备电平、电压、频率三种信号检测的功能；</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5、具备通讯COM口，可与计算机通信；</w:t>
            </w:r>
          </w:p>
          <w:p>
            <w:pPr>
              <w:snapToGrid w:val="0"/>
              <w:jc w:val="left"/>
              <w:rPr>
                <w:rFonts w:ascii="仿宋_GB2312" w:eastAsia="仿宋_GB2312" w:cs="Arial" w:hAnsiTheme="minorEastAsia"/>
                <w:sz w:val="24"/>
                <w:szCs w:val="24"/>
              </w:rPr>
            </w:pPr>
            <w:r>
              <w:rPr>
                <w:rFonts w:hint="eastAsia" w:ascii="仿宋_GB2312" w:eastAsia="仿宋_GB2312" w:cs="Arial" w:hAnsiTheme="minorEastAsia"/>
                <w:sz w:val="24"/>
                <w:szCs w:val="24"/>
              </w:rPr>
              <w:t>6、具备对台式机系列、笔记本系列、显示器系列功能板的故障智能检测功能。</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（三）场地要求</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赛场总面积不小于1500㎡，依参赛名额确定比赛工作区，每个工作区面积在6㎡左右，每个工作区标明编号，工作区之间的通道间隔不小于1.5米，工位间加装隔离挡板和隔离线。另外，设置医务室一间、监考/裁判会议室兼休息室1间，设备、材料、工具、耗材等储藏室1间。颁奖场地和参赛选手休息场地另计。</w:t>
      </w:r>
    </w:p>
    <w:p>
      <w:pPr>
        <w:snapToGrid w:val="0"/>
        <w:spacing w:line="560" w:lineRule="exact"/>
        <w:ind w:firstLine="600" w:firstLineChars="200"/>
        <w:rPr>
          <w:rFonts w:ascii="仿宋" w:hAnsi="仿宋" w:eastAsia="仿宋" w:cs="Arial"/>
          <w:sz w:val="30"/>
          <w:szCs w:val="30"/>
        </w:rPr>
      </w:pPr>
      <w:r>
        <w:rPr>
          <w:rFonts w:hint="eastAsia" w:ascii="仿宋" w:hAnsi="仿宋" w:eastAsia="仿宋" w:cs="仿宋"/>
          <w:sz w:val="30"/>
          <w:szCs w:val="30"/>
        </w:rPr>
        <w:t>环境标准要求保证赛场采光(大于500lux)、照明和通风良好；提供稳定的水、电，并提供应急的备用电源。在竞赛不被干扰的前提下赛场全面开放，欢迎各界人员沿指定路线、在指定区域内到现场观赛。具备两个以上安全疏散通道，并设有应急疏散图，配备必要的灭火器材。</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仿宋"/>
          <w:sz w:val="30"/>
          <w:szCs w:val="30"/>
        </w:rPr>
        <w:t>颁奖场地、参赛选手及指导教师休息场地另计。</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（一）成立安全保卫组织机构</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执委会成立技能大赛赛事安全保卫组，设立组长为赛项安全责任人，以承办校相关安保人员为主要成员。</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（二）大赛现场保卫</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赛事期间，为保证赛场秩序和安全，将采取如下措施:</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1.大赛现场安排专业的安保人员全程执勤，所有进入大赛现场的参观人员，都要服从现场安保人员的引导和指挥，在指定区域内参观。</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2.参赛车辆，安排指定地点停放。</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3.现场通道拉上警戒线，防止人员无序流动，影响赛事。</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4.对现场进行安全检查，保证现场无安全隐患。</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5.保障疏散通道畅通，以便赛场出现意外时参赛人员迅速撤离。</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6.做好安全防火工作。灭火设施及器材要保证安全有效。</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7.统一安排一个酒店住宿，保障住宿安全。</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8.统一安排通勤大巴，保障交通安全。</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9.统一安排餐饮，保障饮食安全。</w:t>
      </w:r>
    </w:p>
    <w:p>
      <w:pPr>
        <w:spacing w:line="560" w:lineRule="exact"/>
        <w:ind w:firstLine="570"/>
        <w:rPr>
          <w:rFonts w:ascii="Arial Narrow" w:hAnsi="Arial Narrow" w:eastAsia="仿宋_GB2312" w:cs="Arial"/>
          <w:sz w:val="30"/>
          <w:szCs w:val="30"/>
        </w:rPr>
      </w:pPr>
      <w:r>
        <w:rPr>
          <w:rFonts w:hint="eastAsia" w:ascii="仿宋" w:hAnsi="仿宋" w:eastAsia="仿宋" w:cs="仿宋"/>
          <w:sz w:val="30"/>
          <w:szCs w:val="30"/>
        </w:rPr>
        <w:t>10.承办校医务室人员及周边医院医护人员现场值守，提供医疗保障服务，如遇紧急情况将为参赛选手联系120，并协助救治。</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十五、经费概算</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计算机检测维修与数据恢复竞赛预算主要包括组织预算、场地预算、设备预算三大块。对于上述三项发生的费用，主办方将会协调承办学校、协办企业单位，提供比赛场地、比赛设备（设备使用权）和所需资金。具体方式如下。</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1、组织预算：由承办学校提供；</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2、场地预算：比赛场地由承办学校提供，场地布置费用由承办校和企业共同提供。</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3、设备预算：所用比赛设备由合作企业提供使用权的方式解决。</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4、经费统筹</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（1）使用原则：按照“收支平衡、统筹安排、保证重点、专款专用”的使用原则。</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（2）使用方向：做好赛事筹备、赛中运营、赛后维护三方面的合理分配与使用。</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（3）统筹经费的监督管理：统一监管、具体实施。</w:t>
      </w:r>
    </w:p>
    <w:p>
      <w:pPr>
        <w:spacing w:line="560" w:lineRule="exact"/>
        <w:ind w:firstLine="570"/>
        <w:rPr>
          <w:rFonts w:ascii="仿宋" w:hAnsi="仿宋" w:eastAsia="仿宋" w:cs="仿宋"/>
          <w:sz w:val="30"/>
          <w:szCs w:val="30"/>
        </w:rPr>
      </w:pPr>
      <w:r>
        <w:rPr>
          <w:rFonts w:hint="eastAsia" w:ascii="仿宋" w:hAnsi="仿宋" w:eastAsia="仿宋" w:cs="仿宋"/>
          <w:sz w:val="30"/>
          <w:szCs w:val="30"/>
        </w:rPr>
        <w:t>5、经费预算项目清单</w:t>
      </w:r>
    </w:p>
    <w:tbl>
      <w:tblPr>
        <w:tblStyle w:val="19"/>
        <w:tblpPr w:leftFromText="180" w:rightFromText="180" w:vertAnchor="text" w:tblpX="491" w:tblpY="1"/>
        <w:tblOverlap w:val="never"/>
        <w:tblW w:w="882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06"/>
        <w:gridCol w:w="2693"/>
        <w:gridCol w:w="1059"/>
        <w:gridCol w:w="6"/>
        <w:gridCol w:w="39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费用类别</w:t>
            </w:r>
          </w:p>
        </w:tc>
        <w:tc>
          <w:tcPr>
            <w:tcW w:w="2693" w:type="dxa"/>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项目</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金额</w:t>
            </w:r>
          </w:p>
          <w:p>
            <w:pPr>
              <w:jc w:val="center"/>
              <w:rPr>
                <w:rFonts w:ascii="仿宋_GB2312" w:eastAsia="仿宋_GB2312" w:hAnsiTheme="minorEastAsia"/>
                <w:b/>
                <w:sz w:val="24"/>
                <w:szCs w:val="24"/>
              </w:rPr>
            </w:pPr>
            <w:r>
              <w:rPr>
                <w:rFonts w:hint="eastAsia" w:ascii="仿宋_GB2312" w:eastAsia="仿宋_GB2312" w:hAnsiTheme="minorEastAsia"/>
                <w:b/>
                <w:sz w:val="24"/>
                <w:szCs w:val="24"/>
              </w:rPr>
              <w:t>（万元）</w:t>
            </w:r>
          </w:p>
        </w:tc>
        <w:tc>
          <w:tcPr>
            <w:tcW w:w="3969" w:type="dxa"/>
            <w:gridSpan w:val="2"/>
            <w:shd w:val="clear" w:color="auto" w:fill="auto"/>
            <w:tcMar>
              <w:top w:w="15" w:type="dxa"/>
              <w:left w:w="69" w:type="dxa"/>
              <w:bottom w:w="0" w:type="dxa"/>
              <w:right w:w="69" w:type="dxa"/>
            </w:tcMar>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restart"/>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赛项研讨论证、赛题开发及培训预算</w:t>
            </w: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竞赛方案研讨论证会议组织</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研讨会专家的用餐、论证费等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竞赛试题开发</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专家封闭开发住宿、用餐等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资源转化</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赛后资源转化工作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印刷费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大赛通知、赛程、竞赛文档、赛题等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培训费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裁判员培训费用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专家</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包括命题、评审、裁判等环节的专家费用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restart"/>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赛项组织预算</w:t>
            </w: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场地布置</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根据比赛要求布置场地、布线、主席台搭建等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设备运输、安装、调试</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比赛设备运输及安装等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现场技术支持</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竞赛现场支持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赛项宣传费用</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赛场环境设计与制作、宣传材料制作，平面媒体、网站宣传维护等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服装费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选手、指导老师、裁判、监考、工作人员、志愿服装费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获奖奖励</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获奖人员奖励、奖品和纪念品等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餐费、交通费</w:t>
            </w:r>
          </w:p>
        </w:tc>
        <w:tc>
          <w:tcPr>
            <w:tcW w:w="1059" w:type="dxa"/>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396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领导、专家、选手在津食、交通费用、工作人员餐费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1106" w:type="dxa"/>
            <w:vMerge w:val="continue"/>
            <w:vAlign w:val="center"/>
          </w:tcPr>
          <w:p>
            <w:pPr>
              <w:rPr>
                <w:rFonts w:ascii="仿宋_GB2312" w:eastAsia="仿宋_GB2312" w:hAnsiTheme="minorEastAsia"/>
                <w:sz w:val="24"/>
                <w:szCs w:val="24"/>
              </w:rPr>
            </w:pPr>
          </w:p>
        </w:tc>
        <w:tc>
          <w:tcPr>
            <w:tcW w:w="2693" w:type="dxa"/>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预留资金</w:t>
            </w:r>
          </w:p>
        </w:tc>
        <w:tc>
          <w:tcPr>
            <w:tcW w:w="1059" w:type="dxa"/>
            <w:tcBorders>
              <w:right w:val="single" w:color="auto" w:sz="4" w:space="0"/>
            </w:tcBorders>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3969" w:type="dxa"/>
            <w:gridSpan w:val="2"/>
            <w:tcBorders>
              <w:left w:val="single" w:color="auto" w:sz="4" w:space="0"/>
            </w:tcBorders>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处理赛事突发事件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trPr>
        <w:tc>
          <w:tcPr>
            <w:tcW w:w="3799" w:type="dxa"/>
            <w:gridSpan w:val="2"/>
            <w:shd w:val="clear" w:color="auto" w:fill="auto"/>
            <w:tcMar>
              <w:top w:w="15" w:type="dxa"/>
              <w:left w:w="69" w:type="dxa"/>
              <w:bottom w:w="0" w:type="dxa"/>
              <w:right w:w="69" w:type="dxa"/>
            </w:tcMar>
            <w:vAlign w:val="center"/>
          </w:tcPr>
          <w:p>
            <w:pPr>
              <w:rPr>
                <w:rFonts w:ascii="仿宋_GB2312" w:eastAsia="仿宋_GB2312" w:hAnsiTheme="minorEastAsia"/>
                <w:sz w:val="24"/>
                <w:szCs w:val="24"/>
              </w:rPr>
            </w:pPr>
            <w:r>
              <w:rPr>
                <w:rFonts w:hint="eastAsia" w:ascii="仿宋_GB2312" w:eastAsia="仿宋_GB2312" w:hAnsiTheme="minorEastAsia"/>
                <w:sz w:val="24"/>
                <w:szCs w:val="24"/>
              </w:rPr>
              <w:t>总计</w:t>
            </w:r>
          </w:p>
        </w:tc>
        <w:tc>
          <w:tcPr>
            <w:tcW w:w="1065" w:type="dxa"/>
            <w:gridSpan w:val="2"/>
            <w:tcBorders>
              <w:right w:val="single" w:color="auto" w:sz="4" w:space="0"/>
            </w:tcBorders>
            <w:shd w:val="clear" w:color="auto" w:fill="auto"/>
            <w:tcMar>
              <w:top w:w="15" w:type="dxa"/>
              <w:left w:w="69" w:type="dxa"/>
              <w:bottom w:w="0" w:type="dxa"/>
              <w:right w:w="69" w:type="dxa"/>
            </w:tcMar>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60</w:t>
            </w:r>
          </w:p>
        </w:tc>
        <w:tc>
          <w:tcPr>
            <w:tcW w:w="3963" w:type="dxa"/>
            <w:tcBorders>
              <w:left w:val="single" w:color="auto" w:sz="4" w:space="0"/>
            </w:tcBorders>
            <w:shd w:val="clear" w:color="auto" w:fill="auto"/>
            <w:vAlign w:val="center"/>
          </w:tcPr>
          <w:p>
            <w:pPr>
              <w:rPr>
                <w:rFonts w:ascii="仿宋_GB2312" w:eastAsia="仿宋_GB2312" w:hAnsiTheme="minorEastAsia"/>
                <w:sz w:val="24"/>
                <w:szCs w:val="24"/>
              </w:rPr>
            </w:pPr>
          </w:p>
        </w:tc>
      </w:tr>
    </w:tbl>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十六、比赛组织与管理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设立赛项执行委员会，负责整个比赛的组织与管理。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1、设执行委员会主任一名、副主任若干，负责赛项的总体协调。</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2、设执委会秘书长一名，副秘书长若干，负责赛项执行委员会主任、副主任决策的落实与监督。</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3、设立仲裁组：组长一名、组员若干，负责赛项的仲裁工作。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4、设立裁判组：裁判长一名、裁判若干，负责赛项的裁判工作。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5、设现场赛务组：组长一名，组员若干，负责赛场场地内设备及人员管理。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6、安保组：组长一名，组员若干，负责赛场及周边的安保工作。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7、秘书组：组长一名，组员若干，负责撰文等文案工作。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8、宣传组：组长一名，组员若干，负责赛项宣传等联系工作。</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9、设计组：组长一名，组员若干，负责赛项场地、布展等工作。</w:t>
      </w:r>
    </w:p>
    <w:p>
      <w:pPr>
        <w:snapToGrid w:val="0"/>
        <w:spacing w:line="560" w:lineRule="exact"/>
        <w:ind w:firstLine="600" w:firstLineChars="200"/>
        <w:rPr>
          <w:rFonts w:ascii="Arial Narrow" w:hAnsi="Arial Narrow" w:eastAsia="仿宋_GB2312" w:cs="Arial"/>
          <w:sz w:val="30"/>
          <w:szCs w:val="30"/>
        </w:rPr>
      </w:pPr>
      <w:r>
        <w:rPr>
          <w:rFonts w:hint="eastAsia" w:ascii="仿宋" w:hAnsi="仿宋" w:eastAsia="仿宋" w:cs="Arial"/>
          <w:sz w:val="30"/>
          <w:szCs w:val="30"/>
        </w:rPr>
        <w:t>10、后勤保障组：组长一名，组员若干，负责住宿、饮食、交通等保障工作。</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十七、教学资源转化建设方案</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在大赛执委会的领导与监督下，赛后60日内向大赛执委会办公室提交资源转化方案，半年内完成资源转化工作。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（一）竞赛过程中获得的主要资源</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1、竞赛样题、试题库；</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2、竞赛技能考核评分案例；</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3、考核环境描述；</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4、竞赛过程音视频记录；</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5、评委、裁判、专家点评；</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6、优秀选手、指导教师访谈。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（二）资源转化基本方案与呈现形式</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1、基本资源：</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基本资源按照技能概要、训练单元、训练资源三大模块设置：</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（1）技能概要包括技能介绍、训练大纲、技能要点、评价指标等。</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（2）训练单元按任务模块或技能模块组织设置，可包括演示文稿、操作流程演示视频/动画等。</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（3）训练资源可包括教学方案、训练指导、作业/任务、实验/实训/实习资源等。训练资源模块可单独列出，也可融入各训练单元。</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2、拓展资源：</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拓展资源以反映技能特色为主，应用于各教学与训练环节，支持技能教学和学习过程，较为成熟的多样性辅助资源。例如：点评视频、访谈视频、试题库、案例库、素材资源库等。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（三）资源的技术标准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资源转化成果以文本文档、演示文稿、视频文件、Flash文件、图形/图像素材和网页型资源等：</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1、文本文档：采用DOC或DOCX格式。文件制作所使用的软件版本不低于Microsoft Office 2003。</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 xml:space="preserve">2、演示文稿：采用PPT或PPTX格式。文件制作所使用的软件版本不低于Microsoft Office 2003。尽可能少用宏，播放时不要出现宏脚本提示。 </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3、视频文件：采用MP4格式。录像环境光线充足、安静，衣着得体，语音清晰。</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（1）视频压缩采用H.264(MPEG-4 Part10：profile=main, level=3.0)编码方式，码流率256 Kbps以上，帧率不低于25 fps，分辨率不低于720×576（4:3）或1024×576（16:9）。</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2）声音和画面要求同步，无交流声或其他杂音等缺陷，无明显失真、放音过冲、过弱。伴音清晰、饱满、圆润，无失真、噪声杂音干扰、音量忽大忽小现象。解说声与现场声、背景音乐无明显比例失调。音频信噪比不低于48 dB。</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3）字幕要使用符合国家标准的规范字，不出现繁体字、异体字(国家规定的除外)、错别字；字幕的字体、大小、色彩搭配、摆放位置、停留时间、出入屏方式力求与其他要素（画面、解说词、音乐）配合适当，不能破坏原有画面。</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（4）Flash文件：文件制作所使用的软件版本不低于Flash 6.0。</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（5）图形/图像素材：采用常见存储格式，如GIF、PNG、JPG等。彩色图像颜色数不低于真彩（24位色），灰度图像的灰度级不低于256级，屏幕分辨率不低于1024×768时，扫描图像的扫描分辨率不低于72 dpi。</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（6）网页型资源：采用HTML5编码。兼容Microsoft IE、Google Chrome、Mozilla Firefox浏览器。避免出现大量的垃圾代码，使用网页编辑工具编辑网页，不可直接将Microsoft Word、WPS等文件内容粘贴到网页文件中。</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（四）资源的提交方式与版权</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赛项资源转化成果的版权由技能大赛执委会和赛项执委会共享。</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（五）资源的使用与管理</w:t>
      </w:r>
    </w:p>
    <w:p>
      <w:pPr>
        <w:snapToGrid w:val="0"/>
        <w:spacing w:line="560" w:lineRule="exact"/>
        <w:ind w:firstLine="600" w:firstLineChars="200"/>
        <w:rPr>
          <w:rFonts w:ascii="仿宋" w:hAnsi="仿宋" w:eastAsia="仿宋" w:cs="Arial"/>
          <w:sz w:val="30"/>
          <w:szCs w:val="30"/>
        </w:rPr>
      </w:pPr>
      <w:r>
        <w:rPr>
          <w:rFonts w:hint="eastAsia" w:ascii="仿宋" w:hAnsi="仿宋" w:eastAsia="仿宋" w:cs="Arial"/>
          <w:sz w:val="30"/>
          <w:szCs w:val="30"/>
        </w:rPr>
        <w:t>资源转化成果的使用与管理由大赛执委会统一使用与管理，会同赛项承办单位、赛项有关专家，联系出版社编辑出版有关赛项试题库、岗位典型操作流程等精品资源。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（六）资源转化项的工作进程表</w:t>
      </w:r>
    </w:p>
    <w:tbl>
      <w:tblPr>
        <w:tblStyle w:val="19"/>
        <w:tblW w:w="8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470"/>
        <w:gridCol w:w="147"/>
        <w:gridCol w:w="2553"/>
        <w:gridCol w:w="271"/>
        <w:gridCol w:w="1487"/>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6" w:type="dxa"/>
            <w:gridSpan w:val="7"/>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基本资源项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一级资源项</w:t>
            </w:r>
          </w:p>
        </w:tc>
        <w:tc>
          <w:tcPr>
            <w:tcW w:w="1617" w:type="dxa"/>
            <w:gridSpan w:val="2"/>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二级资源项</w:t>
            </w:r>
          </w:p>
        </w:tc>
        <w:tc>
          <w:tcPr>
            <w:tcW w:w="2824" w:type="dxa"/>
            <w:gridSpan w:val="2"/>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内容简述</w:t>
            </w:r>
          </w:p>
        </w:tc>
        <w:tc>
          <w:tcPr>
            <w:tcW w:w="1487" w:type="dxa"/>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转化方式</w:t>
            </w:r>
          </w:p>
        </w:tc>
        <w:tc>
          <w:tcPr>
            <w:tcW w:w="1206" w:type="dxa"/>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restart"/>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技能概要项</w:t>
            </w:r>
          </w:p>
        </w:tc>
        <w:tc>
          <w:tcPr>
            <w:tcW w:w="1617" w:type="dxa"/>
            <w:gridSpan w:val="2"/>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电工电子技术</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电子元器件的识别与检测、电元器件焊接技术的技能要点、评价指标及训练大纲</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赛后4个月内完成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vAlign w:val="center"/>
          </w:tcPr>
          <w:p>
            <w:pPr>
              <w:jc w:val="center"/>
              <w:rPr>
                <w:rFonts w:ascii="仿宋_GB2312" w:eastAsia="仿宋_GB2312" w:hAnsiTheme="minorEastAsia"/>
                <w:sz w:val="24"/>
                <w:szCs w:val="24"/>
              </w:rPr>
            </w:pPr>
          </w:p>
        </w:tc>
        <w:tc>
          <w:tcPr>
            <w:tcW w:w="1617" w:type="dxa"/>
            <w:gridSpan w:val="2"/>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计算机配置与组装技术</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计算机硬件参数识别、计算机组装与检测技术训练大纲</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vAlign w:val="center"/>
          </w:tcPr>
          <w:p>
            <w:pPr>
              <w:jc w:val="center"/>
              <w:rPr>
                <w:rFonts w:ascii="仿宋_GB2312" w:eastAsia="仿宋_GB2312" w:hAnsiTheme="minorEastAsia"/>
                <w:sz w:val="24"/>
                <w:szCs w:val="24"/>
              </w:rPr>
            </w:pPr>
          </w:p>
        </w:tc>
        <w:tc>
          <w:tcPr>
            <w:tcW w:w="1617" w:type="dxa"/>
            <w:gridSpan w:val="2"/>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软件安装与优化</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BIOS参数设置 操作系统与设备驱动安装 应用软件安装技术要点及训练大纲</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jc w:val="cente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电脑主板故障检测与维修专项技能概要</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主板静态检测、加电检测技能要点训练大纲。</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jc w:val="cente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硬盘维修与数据恢复专业技能概要</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硬盘硬件故障与逻辑故障的检测技能要点、评价指标与训练大纲。</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restart"/>
            <w:tcBorders>
              <w:top w:val="single" w:color="000000" w:sz="4" w:space="0"/>
            </w:tcBorders>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训练单元项</w:t>
            </w: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计算机组装与检测实训模块</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包括计算机的硬件组成及参数识别、部件选购、部件组装、上电检测等模块</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编写相关文本资料与电子课件</w:t>
            </w:r>
          </w:p>
        </w:tc>
        <w:tc>
          <w:tcPr>
            <w:tcW w:w="1206"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赛后6个月内完成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tcBorders>
              <w:top w:val="single" w:color="000000" w:sz="4" w:space="0"/>
            </w:tcBorders>
            <w:shd w:val="clear" w:color="auto" w:fill="auto"/>
            <w:vAlign w:val="center"/>
          </w:tcPr>
          <w:p>
            <w:pP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计算机主板故障检测与维修实训模块</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包括开机电路、供电电路、时钟电路、复位电路、接口电路等单元电路的检测与维修模块</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编写相关文本资料与电子课件</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硬盘电路板故障检测与维修实训模块</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内容包括硬盘电路板型号识别、故障识别、故障维修与电路板更换等相关模块。</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编写相关文本资料与电子课件</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MHDD工具软件在硬盘维修中的应用</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包括硬盘加密、解密、容量减少恢复、0磁道修复等模块</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编写相关文本资料与电子课件</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数据恢复技术实训模块</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内容包括硬盘分区修复、文件系统修复及R-Studio工具软件的使用等模块</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编写相关文本资料与电子课件</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restart"/>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训练资源项</w:t>
            </w: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计算机组装与维修实训资源</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计算机组装与维修实训案例、配套实训设备的安装调试与应用</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编写相关文本资料、设备目录及使用说明</w:t>
            </w:r>
          </w:p>
        </w:tc>
        <w:tc>
          <w:tcPr>
            <w:tcW w:w="1206"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赛后4个月内完成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rPr>
                <w:rFonts w:ascii="仿宋_GB2312" w:eastAsia="仿宋_GB2312" w:hAnsiTheme="minorEastAsia"/>
                <w:sz w:val="24"/>
                <w:szCs w:val="24"/>
              </w:rPr>
            </w:pPr>
          </w:p>
        </w:tc>
        <w:tc>
          <w:tcPr>
            <w:tcW w:w="1617"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硬盘维修与数据恢复实训资源</w:t>
            </w:r>
          </w:p>
        </w:tc>
        <w:tc>
          <w:tcPr>
            <w:tcW w:w="2824"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硬盘维修与数据恢复实训案例</w:t>
            </w:r>
          </w:p>
          <w:p>
            <w:pPr>
              <w:rPr>
                <w:rFonts w:ascii="仿宋_GB2312" w:eastAsia="仿宋_GB2312" w:hAnsiTheme="minorEastAsia"/>
                <w:sz w:val="24"/>
                <w:szCs w:val="24"/>
              </w:rPr>
            </w:pPr>
            <w:r>
              <w:rPr>
                <w:rFonts w:hint="eastAsia" w:ascii="仿宋_GB2312" w:eastAsia="仿宋_GB2312" w:hAnsiTheme="minorEastAsia"/>
                <w:sz w:val="24"/>
                <w:szCs w:val="24"/>
              </w:rPr>
              <w:t>数据恢复机及其配套软件的使用</w:t>
            </w:r>
          </w:p>
        </w:tc>
        <w:tc>
          <w:tcPr>
            <w:tcW w:w="1487"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编写相关文本资料、设备目录及使用说明</w:t>
            </w:r>
          </w:p>
        </w:tc>
        <w:tc>
          <w:tcPr>
            <w:tcW w:w="1206" w:type="dxa"/>
            <w:vMerge w:val="continue"/>
            <w:shd w:val="clear" w:color="auto" w:fill="auto"/>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6" w:type="dxa"/>
            <w:gridSpan w:val="7"/>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拓展资源项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一级资源项</w:t>
            </w:r>
          </w:p>
        </w:tc>
        <w:tc>
          <w:tcPr>
            <w:tcW w:w="1470" w:type="dxa"/>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二级资源项</w:t>
            </w:r>
          </w:p>
        </w:tc>
        <w:tc>
          <w:tcPr>
            <w:tcW w:w="2700" w:type="dxa"/>
            <w:gridSpan w:val="2"/>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内容简述</w:t>
            </w:r>
          </w:p>
        </w:tc>
        <w:tc>
          <w:tcPr>
            <w:tcW w:w="1758" w:type="dxa"/>
            <w:gridSpan w:val="2"/>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转化方式</w:t>
            </w:r>
          </w:p>
        </w:tc>
        <w:tc>
          <w:tcPr>
            <w:tcW w:w="1206" w:type="dxa"/>
            <w:shd w:val="clear" w:color="auto" w:fill="auto"/>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restart"/>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赛项试题库</w:t>
            </w:r>
          </w:p>
        </w:tc>
        <w:tc>
          <w:tcPr>
            <w:tcW w:w="1470"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计算机组装与维修赛题库</w:t>
            </w:r>
          </w:p>
        </w:tc>
        <w:tc>
          <w:tcPr>
            <w:tcW w:w="2700"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计算机常见板卡级故障设置及表现；主板、硬盘常见故障设置及表现。</w:t>
            </w:r>
          </w:p>
        </w:tc>
        <w:tc>
          <w:tcPr>
            <w:tcW w:w="1758" w:type="dxa"/>
            <w:gridSpan w:val="2"/>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赛后6个月内完成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jc w:val="center"/>
              <w:rPr>
                <w:rFonts w:ascii="仿宋_GB2312" w:eastAsia="仿宋_GB2312" w:hAnsiTheme="minorEastAsia"/>
                <w:sz w:val="24"/>
                <w:szCs w:val="24"/>
              </w:rPr>
            </w:pPr>
          </w:p>
        </w:tc>
        <w:tc>
          <w:tcPr>
            <w:tcW w:w="1470"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硬盘维修与数据恢复赛题库</w:t>
            </w:r>
          </w:p>
        </w:tc>
        <w:tc>
          <w:tcPr>
            <w:tcW w:w="2700"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西数、希捷、日立、东芝等品牌硬盘的常见的硬件故障与逻辑故障的设置及表现。</w:t>
            </w:r>
          </w:p>
        </w:tc>
        <w:tc>
          <w:tcPr>
            <w:tcW w:w="1758" w:type="dxa"/>
            <w:gridSpan w:val="2"/>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编写相关文本资料</w:t>
            </w:r>
          </w:p>
        </w:tc>
        <w:tc>
          <w:tcPr>
            <w:tcW w:w="1206" w:type="dxa"/>
            <w:vMerge w:val="continue"/>
            <w:shd w:val="clear" w:color="auto" w:fill="auto"/>
            <w:vAlign w:val="center"/>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restart"/>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访谈视频</w:t>
            </w:r>
          </w:p>
        </w:tc>
        <w:tc>
          <w:tcPr>
            <w:tcW w:w="1470"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专家点评</w:t>
            </w:r>
          </w:p>
        </w:tc>
        <w:tc>
          <w:tcPr>
            <w:tcW w:w="2700"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专家访谈视频</w:t>
            </w:r>
          </w:p>
        </w:tc>
        <w:tc>
          <w:tcPr>
            <w:tcW w:w="1758" w:type="dxa"/>
            <w:gridSpan w:val="2"/>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相关视频资源的拍摄与制作</w:t>
            </w:r>
          </w:p>
        </w:tc>
        <w:tc>
          <w:tcPr>
            <w:tcW w:w="1206"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赛后3个月内完成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rPr>
                <w:rFonts w:ascii="仿宋_GB2312" w:eastAsia="仿宋_GB2312" w:hAnsiTheme="minorEastAsia"/>
                <w:sz w:val="24"/>
                <w:szCs w:val="24"/>
              </w:rPr>
            </w:pPr>
          </w:p>
        </w:tc>
        <w:tc>
          <w:tcPr>
            <w:tcW w:w="1470"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选手访谈</w:t>
            </w:r>
          </w:p>
        </w:tc>
        <w:tc>
          <w:tcPr>
            <w:tcW w:w="2700"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优秀参赛选手访谈视频</w:t>
            </w:r>
          </w:p>
        </w:tc>
        <w:tc>
          <w:tcPr>
            <w:tcW w:w="1758" w:type="dxa"/>
            <w:gridSpan w:val="2"/>
            <w:vMerge w:val="continue"/>
            <w:shd w:val="clear" w:color="auto" w:fill="auto"/>
          </w:tcPr>
          <w:p>
            <w:pPr>
              <w:rPr>
                <w:rFonts w:ascii="仿宋_GB2312" w:eastAsia="仿宋_GB2312" w:hAnsiTheme="minorEastAsia"/>
                <w:sz w:val="24"/>
                <w:szCs w:val="24"/>
              </w:rPr>
            </w:pPr>
          </w:p>
        </w:tc>
        <w:tc>
          <w:tcPr>
            <w:tcW w:w="1206" w:type="dxa"/>
            <w:vMerge w:val="continue"/>
            <w:shd w:val="clear" w:color="auto" w:fill="auto"/>
          </w:tcPr>
          <w:p>
            <w:pP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2" w:type="dxa"/>
            <w:vMerge w:val="continue"/>
            <w:shd w:val="clear" w:color="auto" w:fill="auto"/>
          </w:tcPr>
          <w:p>
            <w:pPr>
              <w:rPr>
                <w:rFonts w:ascii="仿宋_GB2312" w:eastAsia="仿宋_GB2312" w:hAnsiTheme="minorEastAsia"/>
                <w:sz w:val="24"/>
                <w:szCs w:val="24"/>
              </w:rPr>
            </w:pPr>
          </w:p>
        </w:tc>
        <w:tc>
          <w:tcPr>
            <w:tcW w:w="1470" w:type="dxa"/>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参赛校访谈</w:t>
            </w:r>
          </w:p>
        </w:tc>
        <w:tc>
          <w:tcPr>
            <w:tcW w:w="2700" w:type="dxa"/>
            <w:gridSpan w:val="2"/>
            <w:shd w:val="clear" w:color="auto" w:fill="auto"/>
          </w:tcPr>
          <w:p>
            <w:pPr>
              <w:rPr>
                <w:rFonts w:ascii="仿宋_GB2312" w:eastAsia="仿宋_GB2312" w:hAnsiTheme="minorEastAsia"/>
                <w:sz w:val="24"/>
                <w:szCs w:val="24"/>
              </w:rPr>
            </w:pPr>
            <w:r>
              <w:rPr>
                <w:rFonts w:hint="eastAsia" w:ascii="仿宋_GB2312" w:eastAsia="仿宋_GB2312" w:hAnsiTheme="minorEastAsia"/>
                <w:sz w:val="24"/>
                <w:szCs w:val="24"/>
              </w:rPr>
              <w:t>优秀选手所在学校参访视频</w:t>
            </w:r>
          </w:p>
        </w:tc>
        <w:tc>
          <w:tcPr>
            <w:tcW w:w="1758" w:type="dxa"/>
            <w:gridSpan w:val="2"/>
            <w:vMerge w:val="continue"/>
            <w:shd w:val="clear" w:color="auto" w:fill="auto"/>
          </w:tcPr>
          <w:p>
            <w:pPr>
              <w:rPr>
                <w:rFonts w:ascii="仿宋_GB2312" w:eastAsia="仿宋_GB2312" w:hAnsiTheme="minorEastAsia"/>
                <w:sz w:val="24"/>
                <w:szCs w:val="24"/>
              </w:rPr>
            </w:pPr>
          </w:p>
        </w:tc>
        <w:tc>
          <w:tcPr>
            <w:tcW w:w="1206" w:type="dxa"/>
            <w:vMerge w:val="continue"/>
            <w:shd w:val="clear" w:color="auto" w:fill="auto"/>
          </w:tcPr>
          <w:p>
            <w:pPr>
              <w:rPr>
                <w:rFonts w:ascii="仿宋_GB2312" w:eastAsia="仿宋_GB2312" w:hAnsiTheme="minorEastAsia"/>
                <w:sz w:val="24"/>
                <w:szCs w:val="24"/>
              </w:rPr>
            </w:pPr>
          </w:p>
        </w:tc>
      </w:tr>
    </w:tbl>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十八、筹备工作进度时间表</w:t>
      </w:r>
    </w:p>
    <w:tbl>
      <w:tblPr>
        <w:tblStyle w:val="19"/>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50"/>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序号</w:t>
            </w:r>
          </w:p>
        </w:tc>
        <w:tc>
          <w:tcPr>
            <w:tcW w:w="2050"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时间</w:t>
            </w:r>
          </w:p>
        </w:tc>
        <w:tc>
          <w:tcPr>
            <w:tcW w:w="5916" w:type="dxa"/>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2018年9月初</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组建专家组，方案细节调整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2019年1月初</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赛事文件网上预发布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3</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2019年1月中</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确定比赛场地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4</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2019年1月底</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召开专家组会议，并提交正式公布的竞赛规程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5</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2019年2月初</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成立技术组，研究与竞赛有关的细节问题并分工准备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6</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2019年2月中</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大赛试题设计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7</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2019年3月初</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公布竞赛试题和评分标准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8</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2019年3月中</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裁判申报，参赛队报名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9</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2019年3月底</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参赛队报名截止及确定裁判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10</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2019年4月初</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所有赛项文件汇总报秘书处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11</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2019年4月中</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设备、器材、用品全部到位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12</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2019年4月底</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比赛设备安装与调试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13</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2019年5月初</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启动正式比赛流程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49"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14</w:t>
            </w:r>
          </w:p>
        </w:tc>
        <w:tc>
          <w:tcPr>
            <w:tcW w:w="2050"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2019年8月底</w:t>
            </w:r>
          </w:p>
        </w:tc>
        <w:tc>
          <w:tcPr>
            <w:tcW w:w="5916" w:type="dxa"/>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赛项成果汇总材料报相关单位</w:t>
            </w:r>
          </w:p>
        </w:tc>
      </w:tr>
    </w:tbl>
    <w:p>
      <w:pPr>
        <w:pStyle w:val="14"/>
        <w:spacing w:before="0" w:after="0" w:line="560" w:lineRule="exact"/>
        <w:ind w:firstLine="602" w:firstLineChars="200"/>
        <w:jc w:val="left"/>
        <w:rPr>
          <w:rFonts w:ascii="Arial Narrow" w:hAnsi="Arial Narrow" w:eastAsia="仿宋_GB2312" w:cs="Arial"/>
          <w:sz w:val="30"/>
          <w:szCs w:val="30"/>
        </w:rPr>
      </w:pPr>
      <w:r>
        <w:rPr>
          <w:rFonts w:hint="eastAsia" w:ascii="黑体" w:hAnsi="黑体" w:eastAsia="黑体"/>
          <w:sz w:val="30"/>
          <w:szCs w:val="30"/>
        </w:rPr>
        <w:t>十九、裁判人员建议</w:t>
      </w:r>
    </w:p>
    <w:tbl>
      <w:tblPr>
        <w:tblStyle w:val="19"/>
        <w:tblpPr w:leftFromText="180" w:rightFromText="180" w:vertAnchor="text" w:horzAnchor="margin" w:tblpXSpec="center" w:tblpY="8"/>
        <w:tblW w:w="87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知识能力要求</w:t>
            </w:r>
          </w:p>
        </w:tc>
        <w:tc>
          <w:tcPr>
            <w:tcW w:w="14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执裁、教学、工作经历</w:t>
            </w:r>
          </w:p>
        </w:tc>
        <w:tc>
          <w:tcPr>
            <w:tcW w:w="204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专业技术职称</w:t>
            </w:r>
          </w:p>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电子</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掌握电子产品电路</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有行业或省赛、国赛相关执裁经历</w:t>
            </w:r>
          </w:p>
        </w:tc>
        <w:tc>
          <w:tcPr>
            <w:tcW w:w="20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高级以上</w:t>
            </w:r>
          </w:p>
        </w:tc>
        <w:tc>
          <w:tcPr>
            <w:tcW w:w="779" w:type="dxa"/>
            <w:tcBorders>
              <w:top w:val="single" w:color="auto" w:sz="4" w:space="0"/>
              <w:left w:val="single" w:color="auto" w:sz="4" w:space="0"/>
              <w:bottom w:val="single" w:color="auto" w:sz="4" w:space="0"/>
              <w:right w:val="single" w:color="auto" w:sz="8"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2</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计算机</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掌握数据恢复</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有行业或省赛、国赛相关执裁经历</w:t>
            </w:r>
          </w:p>
        </w:tc>
        <w:tc>
          <w:tcPr>
            <w:tcW w:w="20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高级以上</w:t>
            </w:r>
          </w:p>
        </w:tc>
        <w:tc>
          <w:tcPr>
            <w:tcW w:w="779" w:type="dxa"/>
            <w:tcBorders>
              <w:top w:val="single" w:color="auto" w:sz="4" w:space="0"/>
              <w:left w:val="single" w:color="auto" w:sz="4" w:space="0"/>
              <w:bottom w:val="single" w:color="auto" w:sz="4" w:space="0"/>
              <w:right w:val="single" w:color="auto" w:sz="8"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38"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仿宋_GB2312" w:hAnsi="Arial Narrow" w:eastAsia="仿宋_GB2312"/>
                <w:sz w:val="24"/>
              </w:rPr>
            </w:pPr>
            <w:r>
              <w:rPr>
                <w:rFonts w:hint="eastAsia" w:ascii="仿宋_GB2312" w:hAnsi="仿宋" w:eastAsia="仿宋_GB2312" w:cs="Arial"/>
                <w:b/>
                <w:color w:val="000000"/>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仿宋_GB2312" w:hAnsi="Arial Narrow" w:eastAsia="仿宋_GB2312"/>
                <w:sz w:val="24"/>
              </w:rPr>
            </w:pPr>
            <w:r>
              <w:rPr>
                <w:rFonts w:hint="eastAsia" w:ascii="仿宋_GB2312" w:hAnsi="Arial Narrow" w:eastAsia="仿宋_GB2312"/>
                <w:sz w:val="24"/>
              </w:rPr>
              <w:t>39</w:t>
            </w:r>
          </w:p>
        </w:tc>
      </w:tr>
    </w:tbl>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二十、赛题公开承诺</w:t>
      </w:r>
    </w:p>
    <w:p>
      <w:pPr>
        <w:snapToGrid w:val="0"/>
        <w:spacing w:line="560" w:lineRule="exact"/>
        <w:ind w:firstLine="600" w:firstLineChars="200"/>
        <w:rPr>
          <w:rFonts w:ascii="黑体" w:hAnsi="黑体" w:eastAsia="黑体" w:cs="黑体"/>
          <w:bCs/>
          <w:sz w:val="30"/>
          <w:szCs w:val="30"/>
        </w:rPr>
      </w:pPr>
      <w:r>
        <w:rPr>
          <w:rFonts w:hint="eastAsia" w:ascii="仿宋_GB2312" w:eastAsia="仿宋_GB2312"/>
          <w:sz w:val="30"/>
          <w:szCs w:val="30"/>
        </w:rPr>
        <w:t>本赛项承诺保证于开赛1个月前在大赛网络信息发布平台上（www.chinaskills-jsw.org)公开全部赛题。</w:t>
      </w:r>
    </w:p>
    <w:p>
      <w:pPr>
        <w:pStyle w:val="14"/>
        <w:spacing w:before="0" w:after="0" w:line="560" w:lineRule="exact"/>
        <w:ind w:firstLine="602" w:firstLineChars="200"/>
        <w:jc w:val="left"/>
        <w:rPr>
          <w:rFonts w:ascii="黑体" w:hAnsi="黑体" w:eastAsia="黑体"/>
          <w:sz w:val="30"/>
          <w:szCs w:val="30"/>
        </w:rPr>
      </w:pPr>
      <w:r>
        <w:rPr>
          <w:rFonts w:hint="eastAsia" w:ascii="黑体" w:hAnsi="黑体" w:eastAsia="黑体"/>
          <w:sz w:val="30"/>
          <w:szCs w:val="30"/>
        </w:rPr>
        <w:t>二十一、其他</w:t>
      </w:r>
    </w:p>
    <w:p>
      <w:pPr>
        <w:snapToGrid w:val="0"/>
        <w:spacing w:line="560" w:lineRule="exact"/>
        <w:ind w:firstLine="600" w:firstLineChars="200"/>
        <w:jc w:val="left"/>
        <w:rPr>
          <w:rFonts w:ascii="仿宋" w:hAnsi="仿宋" w:eastAsia="仿宋" w:cs="Arial"/>
          <w:sz w:val="30"/>
          <w:szCs w:val="30"/>
        </w:rPr>
      </w:pPr>
      <w:r>
        <w:rPr>
          <w:rFonts w:hint="eastAsia" w:ascii="仿宋" w:hAnsi="仿宋" w:eastAsia="仿宋" w:cs="Arial"/>
          <w:sz w:val="30"/>
          <w:szCs w:val="30"/>
        </w:rPr>
        <w:t>该赛项为2015年、2016年、2017年、2018年国赛项目,在圆满举办的同时得到了相关领导和参赛队的好评。</w:t>
      </w:r>
    </w:p>
    <w:p>
      <w:pPr>
        <w:numPr>
          <w:ilvl w:val="0"/>
          <w:numId w:val="3"/>
        </w:numPr>
        <w:snapToGrid w:val="0"/>
        <w:spacing w:line="560" w:lineRule="exact"/>
        <w:rPr>
          <w:rFonts w:ascii="仿宋" w:hAnsi="仿宋" w:eastAsia="仿宋" w:cs="Arial"/>
          <w:sz w:val="30"/>
          <w:szCs w:val="30"/>
        </w:rPr>
      </w:pPr>
      <w:r>
        <w:rPr>
          <w:rFonts w:hint="eastAsia" w:ascii="仿宋" w:hAnsi="仿宋" w:eastAsia="仿宋" w:cs="Arial"/>
          <w:sz w:val="30"/>
          <w:szCs w:val="30"/>
        </w:rPr>
        <w:t>2015年全国职业院校技能大赛（中职组）-计算机检测维修与数据恢复赛项</w:t>
      </w:r>
    </w:p>
    <w:p>
      <w:pPr>
        <w:numPr>
          <w:ilvl w:val="0"/>
          <w:numId w:val="3"/>
        </w:numPr>
        <w:snapToGrid w:val="0"/>
        <w:spacing w:line="560" w:lineRule="exact"/>
        <w:rPr>
          <w:rFonts w:ascii="仿宋" w:hAnsi="仿宋" w:eastAsia="仿宋" w:cs="Arial"/>
          <w:sz w:val="30"/>
          <w:szCs w:val="30"/>
        </w:rPr>
      </w:pPr>
      <w:r>
        <w:rPr>
          <w:rFonts w:hint="eastAsia" w:ascii="仿宋" w:hAnsi="仿宋" w:eastAsia="仿宋" w:cs="Arial"/>
          <w:sz w:val="30"/>
          <w:szCs w:val="30"/>
        </w:rPr>
        <w:t>2016年全国职业院校技能大赛（中职组）-计算机检测维修与数据恢复赛项</w:t>
      </w:r>
    </w:p>
    <w:p>
      <w:pPr>
        <w:numPr>
          <w:ilvl w:val="0"/>
          <w:numId w:val="3"/>
        </w:numPr>
        <w:snapToGrid w:val="0"/>
        <w:spacing w:line="560" w:lineRule="exact"/>
        <w:rPr>
          <w:rFonts w:ascii="仿宋" w:hAnsi="仿宋" w:eastAsia="仿宋" w:cs="Arial"/>
          <w:sz w:val="30"/>
          <w:szCs w:val="30"/>
        </w:rPr>
      </w:pPr>
      <w:r>
        <w:rPr>
          <w:rFonts w:hint="eastAsia" w:ascii="仿宋" w:hAnsi="仿宋" w:eastAsia="仿宋" w:cs="Arial"/>
          <w:sz w:val="30"/>
          <w:szCs w:val="30"/>
        </w:rPr>
        <w:t>2017年全国职业院校技能大赛（中职组）-计算机检测维修与数据恢复赛项</w:t>
      </w:r>
    </w:p>
    <w:p>
      <w:pPr>
        <w:numPr>
          <w:ilvl w:val="0"/>
          <w:numId w:val="3"/>
        </w:numPr>
        <w:snapToGrid w:val="0"/>
        <w:spacing w:line="560" w:lineRule="exact"/>
        <w:rPr>
          <w:rFonts w:ascii="仿宋" w:hAnsi="仿宋" w:eastAsia="仿宋" w:cs="Arial"/>
          <w:sz w:val="30"/>
          <w:szCs w:val="30"/>
        </w:rPr>
      </w:pPr>
      <w:r>
        <w:rPr>
          <w:rFonts w:hint="eastAsia" w:ascii="仿宋" w:hAnsi="仿宋" w:eastAsia="仿宋" w:cs="Arial"/>
          <w:sz w:val="30"/>
          <w:szCs w:val="30"/>
        </w:rPr>
        <w:t>2018年全国职业院校技能大赛（中职组）-计算机检测维修与数据恢复赛项</w:t>
      </w:r>
    </w:p>
    <w:p>
      <w:pPr>
        <w:spacing w:line="560" w:lineRule="exact"/>
        <w:ind w:firstLine="420" w:firstLineChars="200"/>
      </w:pPr>
    </w:p>
    <w:p>
      <w:pPr>
        <w:spacing w:line="560" w:lineRule="exact"/>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527332"/>
    <w:multiLevelType w:val="singleLevel"/>
    <w:tmpl w:val="E9527332"/>
    <w:lvl w:ilvl="0" w:tentative="0">
      <w:start w:val="2"/>
      <w:numFmt w:val="chineseCounting"/>
      <w:suff w:val="nothing"/>
      <w:lvlText w:val="%1、"/>
      <w:lvlJc w:val="left"/>
      <w:rPr>
        <w:rFonts w:hint="eastAsia"/>
      </w:rPr>
    </w:lvl>
  </w:abstractNum>
  <w:abstractNum w:abstractNumId="1">
    <w:nsid w:val="50BE608A"/>
    <w:multiLevelType w:val="multilevel"/>
    <w:tmpl w:val="50BE608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2F51EA9"/>
    <w:multiLevelType w:val="multilevel"/>
    <w:tmpl w:val="62F51EA9"/>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45CA6"/>
    <w:rsid w:val="00084238"/>
    <w:rsid w:val="000D5B08"/>
    <w:rsid w:val="000F2831"/>
    <w:rsid w:val="0016310A"/>
    <w:rsid w:val="00163BE4"/>
    <w:rsid w:val="001E133A"/>
    <w:rsid w:val="002008B0"/>
    <w:rsid w:val="00200B46"/>
    <w:rsid w:val="00240A37"/>
    <w:rsid w:val="00246E10"/>
    <w:rsid w:val="00247D03"/>
    <w:rsid w:val="00276ADF"/>
    <w:rsid w:val="002906B5"/>
    <w:rsid w:val="00304D60"/>
    <w:rsid w:val="003104F1"/>
    <w:rsid w:val="0032339F"/>
    <w:rsid w:val="00351889"/>
    <w:rsid w:val="003A7D62"/>
    <w:rsid w:val="003C5365"/>
    <w:rsid w:val="00407128"/>
    <w:rsid w:val="00410477"/>
    <w:rsid w:val="00442BF2"/>
    <w:rsid w:val="004518DC"/>
    <w:rsid w:val="00474B30"/>
    <w:rsid w:val="004B4E12"/>
    <w:rsid w:val="004E0F22"/>
    <w:rsid w:val="004F50D0"/>
    <w:rsid w:val="00537FB5"/>
    <w:rsid w:val="005A2A31"/>
    <w:rsid w:val="005E11BB"/>
    <w:rsid w:val="006B6AE7"/>
    <w:rsid w:val="006D402B"/>
    <w:rsid w:val="006D7CB7"/>
    <w:rsid w:val="00706FD2"/>
    <w:rsid w:val="00713279"/>
    <w:rsid w:val="00732202"/>
    <w:rsid w:val="00741E37"/>
    <w:rsid w:val="007677AA"/>
    <w:rsid w:val="00780F54"/>
    <w:rsid w:val="007956A8"/>
    <w:rsid w:val="00882E6F"/>
    <w:rsid w:val="008D0775"/>
    <w:rsid w:val="00941B48"/>
    <w:rsid w:val="00944061"/>
    <w:rsid w:val="009844DB"/>
    <w:rsid w:val="009A44F7"/>
    <w:rsid w:val="009A6028"/>
    <w:rsid w:val="009C3DA3"/>
    <w:rsid w:val="009E54B4"/>
    <w:rsid w:val="009E6AB8"/>
    <w:rsid w:val="009E6E1E"/>
    <w:rsid w:val="00B650C3"/>
    <w:rsid w:val="00B924CD"/>
    <w:rsid w:val="00B96F72"/>
    <w:rsid w:val="00BD04A1"/>
    <w:rsid w:val="00C139A6"/>
    <w:rsid w:val="00C23559"/>
    <w:rsid w:val="00C2689E"/>
    <w:rsid w:val="00C56034"/>
    <w:rsid w:val="00C56554"/>
    <w:rsid w:val="00C83A53"/>
    <w:rsid w:val="00C843AE"/>
    <w:rsid w:val="00CC0A26"/>
    <w:rsid w:val="00CE1972"/>
    <w:rsid w:val="00D15237"/>
    <w:rsid w:val="00D2121F"/>
    <w:rsid w:val="00D31CEC"/>
    <w:rsid w:val="00D544CE"/>
    <w:rsid w:val="00DE01C6"/>
    <w:rsid w:val="00DF1E4C"/>
    <w:rsid w:val="00EA1E50"/>
    <w:rsid w:val="00EC7301"/>
    <w:rsid w:val="00EE4952"/>
    <w:rsid w:val="00F3430E"/>
    <w:rsid w:val="00F37633"/>
    <w:rsid w:val="00F775E8"/>
    <w:rsid w:val="00FB13F2"/>
    <w:rsid w:val="00FD4196"/>
    <w:rsid w:val="10907F32"/>
    <w:rsid w:val="15405F2B"/>
    <w:rsid w:val="28627691"/>
    <w:rsid w:val="308223A4"/>
    <w:rsid w:val="4E011963"/>
    <w:rsid w:val="51DB12F6"/>
    <w:rsid w:val="53945093"/>
    <w:rsid w:val="5E4A6A02"/>
    <w:rsid w:val="5F9C1C10"/>
    <w:rsid w:val="62411A37"/>
    <w:rsid w:val="62860A3B"/>
    <w:rsid w:val="7259159D"/>
    <w:rsid w:val="7DB5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9"/>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39"/>
    <w:qFormat/>
    <w:uiPriority w:val="9"/>
    <w:pPr>
      <w:keepNext/>
      <w:keepLines/>
      <w:spacing w:before="260" w:after="260" w:line="416" w:lineRule="auto"/>
      <w:outlineLvl w:val="1"/>
    </w:pPr>
    <w:rPr>
      <w:rFonts w:ascii="Cambria" w:hAnsi="Cambria"/>
      <w:b/>
      <w:bCs/>
      <w:kern w:val="0"/>
      <w:sz w:val="32"/>
      <w:szCs w:val="32"/>
      <w:lang w:val="zh-CN" w:eastAsia="zh-CN"/>
    </w:rPr>
  </w:style>
  <w:style w:type="paragraph" w:styleId="4">
    <w:name w:val="heading 3"/>
    <w:basedOn w:val="1"/>
    <w:next w:val="1"/>
    <w:link w:val="42"/>
    <w:qFormat/>
    <w:uiPriority w:val="9"/>
    <w:pPr>
      <w:keepNext/>
      <w:keepLines/>
      <w:spacing w:before="260" w:after="260" w:line="416" w:lineRule="auto"/>
      <w:outlineLvl w:val="2"/>
    </w:pPr>
    <w:rPr>
      <w:b/>
      <w:bCs/>
      <w:kern w:val="0"/>
      <w:sz w:val="32"/>
      <w:szCs w:val="32"/>
      <w:lang w:val="zh-CN" w:eastAsia="zh-CN"/>
    </w:rPr>
  </w:style>
  <w:style w:type="paragraph" w:styleId="5">
    <w:name w:val="heading 4"/>
    <w:basedOn w:val="1"/>
    <w:next w:val="1"/>
    <w:link w:val="46"/>
    <w:qFormat/>
    <w:uiPriority w:val="9"/>
    <w:pPr>
      <w:keepNext/>
      <w:keepLines/>
      <w:spacing w:before="280" w:after="290" w:line="376" w:lineRule="auto"/>
      <w:outlineLvl w:val="3"/>
    </w:pPr>
    <w:rPr>
      <w:rFonts w:ascii="Cambria" w:hAnsi="Cambria"/>
      <w:b/>
      <w:bCs/>
      <w:kern w:val="0"/>
      <w:sz w:val="28"/>
      <w:szCs w:val="28"/>
      <w:lang w:val="zh-CN" w:eastAsia="zh-CN"/>
    </w:rPr>
  </w:style>
  <w:style w:type="character" w:default="1" w:styleId="15">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22"/>
    <w:qFormat/>
    <w:uiPriority w:val="99"/>
    <w:rPr>
      <w:b/>
      <w:bCs/>
    </w:rPr>
  </w:style>
  <w:style w:type="paragraph" w:styleId="7">
    <w:name w:val="annotation text"/>
    <w:basedOn w:val="1"/>
    <w:link w:val="21"/>
    <w:qFormat/>
    <w:uiPriority w:val="99"/>
    <w:pPr>
      <w:jc w:val="left"/>
    </w:pPr>
  </w:style>
  <w:style w:type="paragraph" w:styleId="8">
    <w:name w:val="Document Map"/>
    <w:basedOn w:val="1"/>
    <w:link w:val="36"/>
    <w:unhideWhenUsed/>
    <w:uiPriority w:val="99"/>
    <w:rPr>
      <w:rFonts w:ascii="宋体"/>
      <w:kern w:val="0"/>
      <w:sz w:val="18"/>
      <w:szCs w:val="18"/>
      <w:lang w:val="zh-CN" w:eastAsia="zh-CN"/>
    </w:rPr>
  </w:style>
  <w:style w:type="paragraph" w:styleId="9">
    <w:name w:val="Date"/>
    <w:basedOn w:val="1"/>
    <w:next w:val="1"/>
    <w:link w:val="49"/>
    <w:unhideWhenUsed/>
    <w:uiPriority w:val="99"/>
    <w:pPr>
      <w:ind w:left="100" w:leftChars="2500"/>
    </w:pPr>
  </w:style>
  <w:style w:type="paragraph" w:styleId="10">
    <w:name w:val="Balloon Text"/>
    <w:basedOn w:val="1"/>
    <w:link w:val="23"/>
    <w:qFormat/>
    <w:uiPriority w:val="99"/>
    <w:rPr>
      <w:sz w:val="18"/>
      <w:szCs w:val="18"/>
    </w:rPr>
  </w:style>
  <w:style w:type="paragraph" w:styleId="11">
    <w:name w:val="footer"/>
    <w:basedOn w:val="1"/>
    <w:link w:val="33"/>
    <w:qFormat/>
    <w:uiPriority w:val="99"/>
    <w:pPr>
      <w:tabs>
        <w:tab w:val="center" w:pos="4153"/>
        <w:tab w:val="right" w:pos="8306"/>
      </w:tabs>
      <w:snapToGrid w:val="0"/>
      <w:jc w:val="left"/>
    </w:pPr>
    <w:rPr>
      <w:sz w:val="18"/>
    </w:rPr>
  </w:style>
  <w:style w:type="paragraph" w:styleId="12">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24"/>
    <w:qFormat/>
    <w:uiPriority w:val="0"/>
    <w:pPr>
      <w:snapToGrid w:val="0"/>
      <w:jc w:val="left"/>
    </w:pPr>
    <w:rPr>
      <w:kern w:val="0"/>
      <w:sz w:val="18"/>
      <w:szCs w:val="18"/>
    </w:rPr>
  </w:style>
  <w:style w:type="paragraph" w:styleId="14">
    <w:name w:val="Title"/>
    <w:basedOn w:val="1"/>
    <w:next w:val="1"/>
    <w:link w:val="26"/>
    <w:qFormat/>
    <w:uiPriority w:val="0"/>
    <w:pPr>
      <w:spacing w:before="240" w:after="60"/>
      <w:jc w:val="center"/>
      <w:outlineLvl w:val="0"/>
    </w:pPr>
    <w:rPr>
      <w:rFonts w:asciiTheme="majorHAnsi" w:hAnsiTheme="majorHAnsi" w:eastAsiaTheme="majorEastAsia" w:cstheme="majorBidi"/>
      <w:b/>
      <w:bCs/>
      <w:sz w:val="32"/>
      <w:szCs w:val="32"/>
    </w:rPr>
  </w:style>
  <w:style w:type="character" w:styleId="16">
    <w:name w:val="Hyperlink"/>
    <w:basedOn w:val="15"/>
    <w:uiPriority w:val="99"/>
    <w:rPr>
      <w:color w:val="0563C1" w:themeColor="hyperlink"/>
      <w:u w:val="single"/>
      <w14:textFill>
        <w14:solidFill>
          <w14:schemeClr w14:val="hlink"/>
        </w14:solidFill>
      </w14:textFill>
    </w:rPr>
  </w:style>
  <w:style w:type="character" w:styleId="17">
    <w:name w:val="annotation reference"/>
    <w:basedOn w:val="15"/>
    <w:qFormat/>
    <w:uiPriority w:val="99"/>
    <w:rPr>
      <w:sz w:val="21"/>
      <w:szCs w:val="21"/>
    </w:rPr>
  </w:style>
  <w:style w:type="character" w:styleId="18">
    <w:name w:val="footnote reference"/>
    <w:qFormat/>
    <w:uiPriority w:val="0"/>
    <w:rPr>
      <w:rFonts w:cs="Times New Roman"/>
      <w:vertAlign w:val="superscript"/>
    </w:rPr>
  </w:style>
  <w:style w:type="table" w:styleId="20">
    <w:name w:val="Table Grid"/>
    <w:basedOn w:val="19"/>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1">
    <w:name w:val="批注文字 字符"/>
    <w:basedOn w:val="15"/>
    <w:link w:val="7"/>
    <w:qFormat/>
    <w:uiPriority w:val="99"/>
    <w:rPr>
      <w:kern w:val="2"/>
      <w:sz w:val="21"/>
      <w:szCs w:val="22"/>
    </w:rPr>
  </w:style>
  <w:style w:type="character" w:customStyle="1" w:styleId="22">
    <w:name w:val="批注主题 字符"/>
    <w:basedOn w:val="21"/>
    <w:link w:val="6"/>
    <w:qFormat/>
    <w:uiPriority w:val="0"/>
    <w:rPr>
      <w:b/>
      <w:bCs/>
      <w:kern w:val="2"/>
      <w:sz w:val="21"/>
      <w:szCs w:val="22"/>
    </w:rPr>
  </w:style>
  <w:style w:type="character" w:customStyle="1" w:styleId="23">
    <w:name w:val="批注框文本 字符"/>
    <w:basedOn w:val="15"/>
    <w:link w:val="10"/>
    <w:qFormat/>
    <w:uiPriority w:val="0"/>
    <w:rPr>
      <w:kern w:val="2"/>
      <w:sz w:val="18"/>
      <w:szCs w:val="18"/>
    </w:rPr>
  </w:style>
  <w:style w:type="character" w:customStyle="1" w:styleId="24">
    <w:name w:val="脚注文本 字符"/>
    <w:basedOn w:val="15"/>
    <w:link w:val="13"/>
    <w:qFormat/>
    <w:uiPriority w:val="0"/>
    <w:rPr>
      <w:sz w:val="18"/>
      <w:szCs w:val="18"/>
    </w:rPr>
  </w:style>
  <w:style w:type="character" w:customStyle="1" w:styleId="25">
    <w:name w:val="Unresolved Mention"/>
    <w:basedOn w:val="15"/>
    <w:semiHidden/>
    <w:unhideWhenUsed/>
    <w:uiPriority w:val="99"/>
    <w:rPr>
      <w:color w:val="605E5C"/>
      <w:shd w:val="clear" w:color="auto" w:fill="E1DFDD"/>
    </w:rPr>
  </w:style>
  <w:style w:type="character" w:customStyle="1" w:styleId="26">
    <w:name w:val="标题 字符"/>
    <w:basedOn w:val="15"/>
    <w:link w:val="14"/>
    <w:uiPriority w:val="0"/>
    <w:rPr>
      <w:rFonts w:asciiTheme="majorHAnsi" w:hAnsiTheme="majorHAnsi" w:eastAsiaTheme="majorEastAsia" w:cstheme="majorBidi"/>
      <w:b/>
      <w:bCs/>
      <w:kern w:val="2"/>
      <w:sz w:val="32"/>
      <w:szCs w:val="32"/>
    </w:rPr>
  </w:style>
  <w:style w:type="character" w:customStyle="1" w:styleId="27">
    <w:name w:val="标题 1 字符"/>
    <w:basedOn w:val="15"/>
    <w:uiPriority w:val="0"/>
    <w:rPr>
      <w:rFonts w:ascii="Calibri" w:hAnsi="Calibri" w:eastAsia="宋体" w:cs="Times New Roman"/>
      <w:b/>
      <w:bCs/>
      <w:kern w:val="44"/>
      <w:sz w:val="44"/>
      <w:szCs w:val="44"/>
    </w:rPr>
  </w:style>
  <w:style w:type="character" w:customStyle="1" w:styleId="28">
    <w:name w:val="标题 2 字符"/>
    <w:basedOn w:val="15"/>
    <w:semiHidden/>
    <w:uiPriority w:val="0"/>
    <w:rPr>
      <w:rFonts w:asciiTheme="majorHAnsi" w:hAnsiTheme="majorHAnsi" w:eastAsiaTheme="majorEastAsia" w:cstheme="majorBidi"/>
      <w:b/>
      <w:bCs/>
      <w:kern w:val="2"/>
      <w:sz w:val="32"/>
      <w:szCs w:val="32"/>
    </w:rPr>
  </w:style>
  <w:style w:type="character" w:customStyle="1" w:styleId="29">
    <w:name w:val="标题 3 字符"/>
    <w:basedOn w:val="15"/>
    <w:semiHidden/>
    <w:uiPriority w:val="9"/>
    <w:rPr>
      <w:rFonts w:ascii="Calibri" w:hAnsi="Calibri" w:eastAsia="宋体" w:cs="Times New Roman"/>
      <w:b/>
      <w:bCs/>
      <w:kern w:val="2"/>
      <w:sz w:val="32"/>
      <w:szCs w:val="32"/>
    </w:rPr>
  </w:style>
  <w:style w:type="character" w:customStyle="1" w:styleId="30">
    <w:name w:val="标题 4 字符"/>
    <w:basedOn w:val="15"/>
    <w:semiHidden/>
    <w:qFormat/>
    <w:uiPriority w:val="0"/>
    <w:rPr>
      <w:rFonts w:asciiTheme="majorHAnsi" w:hAnsiTheme="majorHAnsi" w:eastAsiaTheme="majorEastAsia" w:cstheme="majorBidi"/>
      <w:b/>
      <w:bCs/>
      <w:kern w:val="2"/>
      <w:sz w:val="28"/>
      <w:szCs w:val="28"/>
    </w:rPr>
  </w:style>
  <w:style w:type="paragraph" w:customStyle="1" w:styleId="31">
    <w:name w:val="_Style 27"/>
    <w:basedOn w:val="1"/>
    <w:next w:val="1"/>
    <w:uiPriority w:val="39"/>
    <w:pPr>
      <w:ind w:left="840" w:leftChars="400"/>
    </w:pPr>
  </w:style>
  <w:style w:type="character" w:customStyle="1" w:styleId="32">
    <w:name w:val="页眉 字符"/>
    <w:link w:val="12"/>
    <w:qFormat/>
    <w:uiPriority w:val="99"/>
    <w:rPr>
      <w:rFonts w:ascii="Calibri" w:hAnsi="Calibri" w:eastAsia="宋体" w:cs="Times New Roman"/>
      <w:kern w:val="2"/>
      <w:sz w:val="18"/>
      <w:szCs w:val="22"/>
    </w:rPr>
  </w:style>
  <w:style w:type="character" w:customStyle="1" w:styleId="33">
    <w:name w:val="页脚 字符"/>
    <w:link w:val="11"/>
    <w:qFormat/>
    <w:uiPriority w:val="99"/>
    <w:rPr>
      <w:rFonts w:ascii="Calibri" w:hAnsi="Calibri" w:eastAsia="宋体" w:cs="Times New Roman"/>
      <w:kern w:val="2"/>
      <w:sz w:val="18"/>
      <w:szCs w:val="22"/>
    </w:rPr>
  </w:style>
  <w:style w:type="character" w:customStyle="1" w:styleId="34">
    <w:name w:val="批注框文本 Char"/>
    <w:semiHidden/>
    <w:qFormat/>
    <w:uiPriority w:val="99"/>
    <w:rPr>
      <w:sz w:val="18"/>
      <w:szCs w:val="18"/>
    </w:rPr>
  </w:style>
  <w:style w:type="character" w:customStyle="1" w:styleId="35">
    <w:name w:val="文档结构图 字符"/>
    <w:basedOn w:val="15"/>
    <w:qFormat/>
    <w:uiPriority w:val="0"/>
    <w:rPr>
      <w:rFonts w:ascii="Microsoft YaHei UI" w:hAnsi="Calibri" w:eastAsia="Microsoft YaHei UI" w:cs="Times New Roman"/>
      <w:kern w:val="2"/>
      <w:sz w:val="18"/>
      <w:szCs w:val="18"/>
    </w:rPr>
  </w:style>
  <w:style w:type="character" w:customStyle="1" w:styleId="36">
    <w:name w:val="文档结构图 字符1"/>
    <w:link w:val="8"/>
    <w:qFormat/>
    <w:uiPriority w:val="99"/>
    <w:rPr>
      <w:rFonts w:ascii="宋体" w:hAnsi="Calibri" w:eastAsia="宋体" w:cs="Times New Roman"/>
      <w:sz w:val="18"/>
      <w:szCs w:val="18"/>
      <w:lang w:val="zh-CN" w:eastAsia="zh-CN"/>
    </w:rPr>
  </w:style>
  <w:style w:type="character" w:customStyle="1" w:styleId="37">
    <w:name w:val="批注文字 Char"/>
    <w:basedOn w:val="15"/>
    <w:uiPriority w:val="99"/>
  </w:style>
  <w:style w:type="character" w:customStyle="1" w:styleId="38">
    <w:name w:val="批注主题 Char"/>
    <w:semiHidden/>
    <w:uiPriority w:val="99"/>
    <w:rPr>
      <w:b/>
      <w:bCs/>
    </w:rPr>
  </w:style>
  <w:style w:type="character" w:customStyle="1" w:styleId="39">
    <w:name w:val="标题 2 字符1"/>
    <w:link w:val="3"/>
    <w:uiPriority w:val="9"/>
    <w:rPr>
      <w:rFonts w:ascii="Cambria" w:hAnsi="Cambria" w:eastAsia="宋体" w:cs="Times New Roman"/>
      <w:b/>
      <w:bCs/>
      <w:sz w:val="32"/>
      <w:szCs w:val="32"/>
      <w:lang w:val="zh-CN" w:eastAsia="zh-CN"/>
    </w:rPr>
  </w:style>
  <w:style w:type="table" w:customStyle="1" w:styleId="40">
    <w:name w:val="浅色网格1"/>
    <w:basedOn w:val="19"/>
    <w:qFormat/>
    <w:uiPriority w:val="62"/>
    <w:rPr>
      <w:rFonts w:ascii="Calibri" w:hAnsi="Calibri" w:eastAsia="宋体" w:cs="Times New Roma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ascii="等线" w:hAnsi="等线" w:eastAsia="宋体" w:cs="Times New Roman"/>
        <w:b/>
        <w:bCs/>
      </w:r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000000" w:sz="8" w:space="0"/>
          <w:left w:val="single" w:color="000000" w:sz="8" w:space="0"/>
          <w:bottom w:val="single" w:color="000000" w:sz="8" w:space="0"/>
          <w:right w:val="single" w:color="000000" w:sz="8" w:space="0"/>
        </w:tcBorders>
      </w:tcPr>
    </w:tblStylePr>
    <w:tblStylePr w:type="band1Vert">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customStyle="1" w:styleId="41">
    <w:name w:val="浅色网格 - 强调文字颜色 11"/>
    <w:basedOn w:val="19"/>
    <w:uiPriority w:val="62"/>
    <w:rPr>
      <w:rFonts w:ascii="Calibri" w:hAnsi="Calibri" w:eastAsia="宋体" w:cs="Times New Roman"/>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Pr>
    <w:tblStylePr w:type="firstRow">
      <w:pPr>
        <w:spacing w:before="0" w:after="0" w:line="240" w:lineRule="auto"/>
      </w:pPr>
      <w:rPr>
        <w:rFonts w:ascii="等线" w:hAnsi="等线" w:eastAsia="宋体"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character" w:customStyle="1" w:styleId="42">
    <w:name w:val="标题 3 字符1"/>
    <w:link w:val="4"/>
    <w:uiPriority w:val="9"/>
    <w:rPr>
      <w:rFonts w:ascii="Calibri" w:hAnsi="Calibri" w:eastAsia="宋体" w:cs="Times New Roman"/>
      <w:b/>
      <w:bCs/>
      <w:sz w:val="32"/>
      <w:szCs w:val="32"/>
      <w:lang w:val="zh-CN" w:eastAsia="zh-CN"/>
    </w:rPr>
  </w:style>
  <w:style w:type="paragraph" w:customStyle="1" w:styleId="43">
    <w:name w:val="正文(首行缩进)"/>
    <w:basedOn w:val="1"/>
    <w:link w:val="44"/>
    <w:qFormat/>
    <w:uiPriority w:val="0"/>
    <w:pPr>
      <w:widowControl/>
      <w:spacing w:line="300" w:lineRule="auto"/>
      <w:ind w:firstLine="420" w:firstLineChars="200"/>
    </w:pPr>
    <w:rPr>
      <w:rFonts w:ascii="Arial" w:hAnsi="Arial"/>
      <w:kern w:val="0"/>
      <w:sz w:val="20"/>
      <w:szCs w:val="21"/>
      <w:lang w:val="zh-CN" w:eastAsia="zh-CN"/>
    </w:rPr>
  </w:style>
  <w:style w:type="character" w:customStyle="1" w:styleId="44">
    <w:name w:val="正文(首行缩进) Char"/>
    <w:link w:val="43"/>
    <w:qFormat/>
    <w:locked/>
    <w:uiPriority w:val="0"/>
    <w:rPr>
      <w:rFonts w:ascii="Arial" w:hAnsi="Arial" w:eastAsia="宋体" w:cs="Times New Roman"/>
      <w:szCs w:val="21"/>
      <w:lang w:val="zh-CN" w:eastAsia="zh-CN"/>
    </w:rPr>
  </w:style>
  <w:style w:type="paragraph" w:customStyle="1" w:styleId="45">
    <w:name w:val="列出段落1"/>
    <w:basedOn w:val="1"/>
    <w:qFormat/>
    <w:uiPriority w:val="34"/>
    <w:pPr>
      <w:spacing w:line="360" w:lineRule="auto"/>
      <w:ind w:left="720"/>
      <w:contextualSpacing/>
    </w:pPr>
    <w:rPr>
      <w:rFonts w:ascii="Arial" w:hAnsi="Arial"/>
      <w:sz w:val="24"/>
      <w:szCs w:val="24"/>
    </w:rPr>
  </w:style>
  <w:style w:type="character" w:customStyle="1" w:styleId="46">
    <w:name w:val="标题 4 字符1"/>
    <w:link w:val="5"/>
    <w:uiPriority w:val="9"/>
    <w:rPr>
      <w:rFonts w:ascii="Cambria" w:hAnsi="Cambria" w:eastAsia="宋体" w:cs="Times New Roman"/>
      <w:b/>
      <w:bCs/>
      <w:sz w:val="28"/>
      <w:szCs w:val="28"/>
      <w:lang w:val="zh-CN" w:eastAsia="zh-CN"/>
    </w:rPr>
  </w:style>
  <w:style w:type="character" w:customStyle="1" w:styleId="47">
    <w:name w:val="标题 1 字符1"/>
    <w:link w:val="2"/>
    <w:uiPriority w:val="9"/>
    <w:rPr>
      <w:rFonts w:ascii="Calibri" w:hAnsi="Calibri" w:eastAsia="宋体" w:cs="Times New Roman"/>
      <w:b/>
      <w:bCs/>
      <w:kern w:val="44"/>
      <w:sz w:val="44"/>
      <w:szCs w:val="44"/>
      <w:lang w:val="zh-CN" w:eastAsia="zh-CN"/>
    </w:rPr>
  </w:style>
  <w:style w:type="character" w:customStyle="1" w:styleId="48">
    <w:name w:val="日期 字符"/>
    <w:basedOn w:val="15"/>
    <w:uiPriority w:val="0"/>
    <w:rPr>
      <w:rFonts w:ascii="Calibri" w:hAnsi="Calibri" w:eastAsia="宋体" w:cs="Times New Roman"/>
      <w:kern w:val="2"/>
      <w:sz w:val="21"/>
      <w:szCs w:val="22"/>
    </w:rPr>
  </w:style>
  <w:style w:type="character" w:customStyle="1" w:styleId="49">
    <w:name w:val="日期 字符1"/>
    <w:link w:val="9"/>
    <w:qFormat/>
    <w:uiPriority w:val="99"/>
    <w:rPr>
      <w:rFonts w:ascii="Calibri" w:hAnsi="Calibri" w:eastAsia="宋体" w:cs="Times New Roman"/>
      <w:kern w:val="2"/>
      <w:sz w:val="21"/>
      <w:szCs w:val="22"/>
    </w:rPr>
  </w:style>
  <w:style w:type="paragraph" w:styleId="5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2012</a:t>
            </a:r>
            <a:r>
              <a:rPr lang="zh-CN" altLang="en-US"/>
              <a:t>年</a:t>
            </a:r>
            <a:r>
              <a:rPr lang="en-US" altLang="zh-CN"/>
              <a:t>—2016</a:t>
            </a:r>
            <a:r>
              <a:rPr lang="zh-CN" altLang="en-US"/>
              <a:t>年我国电子信息产业增长情况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销售额</c:v>
                </c:pt>
              </c:strCache>
            </c:strRef>
          </c:tx>
          <c:spPr>
            <a:solidFill>
              <a:schemeClr val="accent1"/>
            </a:solidFill>
            <a:ln>
              <a:noFill/>
            </a:ln>
            <a:effectLst/>
          </c:spPr>
          <c:invertIfNegative val="0"/>
          <c:dLbls>
            <c:delete val="1"/>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11</c:v>
                </c:pt>
                <c:pt idx="1">
                  <c:v>12.4</c:v>
                </c:pt>
                <c:pt idx="2">
                  <c:v>14</c:v>
                </c:pt>
                <c:pt idx="3">
                  <c:v>15.4</c:v>
                </c:pt>
                <c:pt idx="4">
                  <c:v>17</c:v>
                </c:pt>
              </c:numCache>
            </c:numRef>
          </c:val>
        </c:ser>
        <c:dLbls>
          <c:showLegendKey val="0"/>
          <c:showVal val="0"/>
          <c:showCatName val="0"/>
          <c:showSerName val="0"/>
          <c:showPercent val="0"/>
          <c:showBubbleSize val="0"/>
        </c:dLbls>
        <c:gapWidth val="150"/>
        <c:axId val="458367864"/>
        <c:axId val="455882104"/>
      </c:barChart>
      <c:lineChart>
        <c:grouping val="standard"/>
        <c:varyColors val="0"/>
        <c:ser>
          <c:idx val="1"/>
          <c:order val="1"/>
          <c:tx>
            <c:strRef>
              <c:f>Sheet1!$A$3</c:f>
              <c:strCache>
                <c:ptCount val="1"/>
                <c:pt idx="0">
                  <c:v>增速</c:v>
                </c:pt>
              </c:strCache>
            </c:strRef>
          </c:tx>
          <c:spPr>
            <a:ln w="28575" cap="rnd">
              <a:solidFill>
                <a:schemeClr val="accent2"/>
              </a:solidFill>
              <a:round/>
            </a:ln>
            <a:effectLst/>
          </c:spPr>
          <c:marker>
            <c:symbol val="none"/>
          </c:marker>
          <c:dLbls>
            <c:delete val="1"/>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16.7</c:v>
                </c:pt>
                <c:pt idx="1">
                  <c:v>13.1</c:v>
                </c:pt>
                <c:pt idx="2">
                  <c:v>13</c:v>
                </c:pt>
                <c:pt idx="3">
                  <c:v>10.4</c:v>
                </c:pt>
                <c:pt idx="4">
                  <c:v>10.3</c:v>
                </c:pt>
              </c:numCache>
            </c:numRef>
          </c:val>
          <c:smooth val="0"/>
        </c:ser>
        <c:dLbls>
          <c:showLegendKey val="0"/>
          <c:showVal val="0"/>
          <c:showCatName val="0"/>
          <c:showSerName val="0"/>
          <c:showPercent val="0"/>
          <c:showBubbleSize val="0"/>
        </c:dLbls>
        <c:marker val="0"/>
        <c:smooth val="0"/>
        <c:axId val="458368520"/>
        <c:axId val="458367536"/>
      </c:lineChart>
      <c:catAx>
        <c:axId val="4583678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882104"/>
        <c:crosses val="autoZero"/>
        <c:auto val="1"/>
        <c:lblAlgn val="ctr"/>
        <c:lblOffset val="100"/>
        <c:noMultiLvlLbl val="0"/>
      </c:catAx>
      <c:valAx>
        <c:axId val="455882104"/>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销售额（万亿）</a:t>
                </a:r>
                <a:endParaRPr lang="zh-CN" alt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367864"/>
        <c:crosses val="autoZero"/>
        <c:crossBetween val="between"/>
      </c:valAx>
      <c:catAx>
        <c:axId val="458368520"/>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367536"/>
        <c:crosses val="max"/>
        <c:auto val="1"/>
        <c:lblAlgn val="ctr"/>
        <c:lblOffset val="100"/>
        <c:noMultiLvlLbl val="0"/>
      </c:catAx>
      <c:valAx>
        <c:axId val="458367536"/>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同比增速</a:t>
                </a:r>
                <a:endParaRPr lang="zh-CN" alt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368520"/>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3052</Words>
  <Characters>17403</Characters>
  <Lines>145</Lines>
  <Paragraphs>40</Paragraphs>
  <TotalTime>221</TotalTime>
  <ScaleCrop>false</ScaleCrop>
  <LinksUpToDate>false</LinksUpToDate>
  <CharactersWithSpaces>20415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许超</dc:creator>
  <cp:lastModifiedBy>徐园园</cp:lastModifiedBy>
  <dcterms:modified xsi:type="dcterms:W3CDTF">2018-10-24T01:32:20Z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