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1DB" w:rsidRDefault="005A71DB">
      <w:pPr>
        <w:jc w:val="center"/>
        <w:rPr>
          <w:rFonts w:ascii="仿宋_GB2312" w:eastAsia="仿宋_GB2312" w:hAnsi="Times New Roman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紫外</w:t>
      </w:r>
      <w:r>
        <w:rPr>
          <w:rFonts w:ascii="宋体"/>
          <w:b/>
          <w:bCs/>
          <w:sz w:val="28"/>
          <w:szCs w:val="28"/>
        </w:rPr>
        <w:t>-</w:t>
      </w:r>
      <w:r>
        <w:rPr>
          <w:rFonts w:ascii="宋体" w:hAnsi="宋体" w:hint="eastAsia"/>
          <w:b/>
          <w:bCs/>
          <w:sz w:val="28"/>
          <w:szCs w:val="28"/>
        </w:rPr>
        <w:t>可见分光光度法测定未知物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（一）仪器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1.</w:t>
      </w:r>
      <w:r>
        <w:rPr>
          <w:rFonts w:ascii="Times New Roman" w:hAnsi="Times New Roman" w:hint="eastAsia"/>
          <w:bCs/>
          <w:szCs w:val="21"/>
        </w:rPr>
        <w:t>紫外可见分光光度计（</w:t>
      </w:r>
      <w:r>
        <w:rPr>
          <w:rFonts w:ascii="Times New Roman" w:hAnsi="Times New Roman"/>
          <w:bCs/>
          <w:szCs w:val="21"/>
        </w:rPr>
        <w:t>UV-1800PC-DS2</w:t>
      </w:r>
      <w:r>
        <w:rPr>
          <w:rFonts w:ascii="Times New Roman" w:hAnsi="Times New Roman" w:hint="eastAsia"/>
          <w:bCs/>
          <w:szCs w:val="21"/>
        </w:rPr>
        <w:t>）；配</w:t>
      </w:r>
      <w:r>
        <w:rPr>
          <w:rFonts w:ascii="Times New Roman" w:hAnsi="Times New Roman"/>
          <w:bCs/>
          <w:szCs w:val="21"/>
        </w:rPr>
        <w:t>1cm</w:t>
      </w:r>
      <w:r>
        <w:rPr>
          <w:rFonts w:ascii="Times New Roman" w:hAnsi="Times New Roman" w:hint="eastAsia"/>
          <w:bCs/>
          <w:szCs w:val="21"/>
        </w:rPr>
        <w:t>石英比色皿</w:t>
      </w:r>
      <w:r>
        <w:rPr>
          <w:rFonts w:ascii="Times New Roman" w:hAnsi="Times New Roman"/>
          <w:bCs/>
          <w:szCs w:val="21"/>
        </w:rPr>
        <w:t>2</w:t>
      </w:r>
      <w:r>
        <w:rPr>
          <w:rFonts w:ascii="Times New Roman" w:hAnsi="Times New Roman" w:hint="eastAsia"/>
          <w:bCs/>
          <w:szCs w:val="21"/>
        </w:rPr>
        <w:t>个（比色皿可以自带）；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2.</w:t>
      </w:r>
      <w:r>
        <w:rPr>
          <w:rFonts w:ascii="Times New Roman" w:hAnsi="Times New Roman" w:hint="eastAsia"/>
          <w:bCs/>
          <w:szCs w:val="21"/>
        </w:rPr>
        <w:t>容量瓶：</w:t>
      </w:r>
      <w:r>
        <w:rPr>
          <w:rFonts w:ascii="Times New Roman" w:hAnsi="Times New Roman"/>
          <w:bCs/>
          <w:szCs w:val="21"/>
        </w:rPr>
        <w:t>100mL  15</w:t>
      </w:r>
      <w:r>
        <w:rPr>
          <w:rFonts w:ascii="Times New Roman" w:hAnsi="Times New Roman" w:hint="eastAsia"/>
          <w:bCs/>
          <w:szCs w:val="21"/>
        </w:rPr>
        <w:t>个；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3.</w:t>
      </w:r>
      <w:r>
        <w:rPr>
          <w:rFonts w:ascii="Times New Roman" w:hAnsi="Times New Roman" w:hint="eastAsia"/>
          <w:bCs/>
          <w:szCs w:val="21"/>
        </w:rPr>
        <w:t>吸量管：</w:t>
      </w:r>
      <w:r>
        <w:rPr>
          <w:rFonts w:ascii="Times New Roman" w:hAnsi="Times New Roman"/>
          <w:bCs/>
          <w:szCs w:val="21"/>
        </w:rPr>
        <w:t>10mL    5</w:t>
      </w:r>
      <w:r>
        <w:rPr>
          <w:rFonts w:ascii="Times New Roman" w:hAnsi="Times New Roman" w:hint="eastAsia"/>
          <w:bCs/>
          <w:szCs w:val="21"/>
        </w:rPr>
        <w:t>支；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4.</w:t>
      </w:r>
      <w:r>
        <w:rPr>
          <w:rFonts w:ascii="Times New Roman" w:hAnsi="Times New Roman" w:hint="eastAsia"/>
          <w:bCs/>
          <w:szCs w:val="21"/>
        </w:rPr>
        <w:t>烧杯：</w:t>
      </w:r>
      <w:r>
        <w:rPr>
          <w:rFonts w:ascii="Times New Roman" w:hAnsi="Times New Roman"/>
          <w:bCs/>
          <w:szCs w:val="21"/>
        </w:rPr>
        <w:t xml:space="preserve"> 100mL    5</w:t>
      </w:r>
      <w:r>
        <w:rPr>
          <w:rFonts w:ascii="Times New Roman" w:hAnsi="Times New Roman" w:hint="eastAsia"/>
          <w:bCs/>
          <w:szCs w:val="21"/>
        </w:rPr>
        <w:t>个；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（二）试剂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1.</w:t>
      </w:r>
      <w:r>
        <w:rPr>
          <w:rFonts w:ascii="Times New Roman" w:hAnsi="Times New Roman" w:hint="eastAsia"/>
          <w:bCs/>
          <w:color w:val="000000"/>
          <w:szCs w:val="21"/>
        </w:rPr>
        <w:t>标准物质贮备溶液：山梨酸（</w:t>
      </w:r>
      <w:r>
        <w:rPr>
          <w:rFonts w:ascii="Times New Roman" w:hAnsi="Times New Roman"/>
          <w:bCs/>
          <w:color w:val="000000"/>
          <w:szCs w:val="21"/>
        </w:rPr>
        <w:t>2.0000mg/mL</w:t>
      </w:r>
      <w:r>
        <w:rPr>
          <w:rFonts w:ascii="Times New Roman" w:hAnsi="Times New Roman" w:hint="eastAsia"/>
          <w:bCs/>
          <w:color w:val="000000"/>
          <w:szCs w:val="21"/>
        </w:rPr>
        <w:t>），磺基水杨酸（</w:t>
      </w:r>
      <w:r>
        <w:rPr>
          <w:rFonts w:ascii="Times New Roman" w:hAnsi="Times New Roman"/>
          <w:bCs/>
          <w:color w:val="000000"/>
          <w:szCs w:val="21"/>
        </w:rPr>
        <w:t>2.5000mg/mL</w:t>
      </w:r>
      <w:r>
        <w:rPr>
          <w:rFonts w:ascii="Times New Roman" w:hAnsi="Times New Roman" w:hint="eastAsia"/>
          <w:bCs/>
          <w:color w:val="000000"/>
          <w:szCs w:val="21"/>
        </w:rPr>
        <w:t>）、苯甲酸（</w:t>
      </w:r>
      <w:r>
        <w:rPr>
          <w:rFonts w:ascii="Times New Roman" w:hAnsi="Times New Roman"/>
          <w:bCs/>
          <w:color w:val="000000"/>
          <w:szCs w:val="21"/>
        </w:rPr>
        <w:t>1.5000mg/mL</w:t>
      </w:r>
      <w:r>
        <w:rPr>
          <w:rFonts w:ascii="Times New Roman" w:hAnsi="Times New Roman" w:hint="eastAsia"/>
          <w:bCs/>
          <w:color w:val="000000"/>
          <w:szCs w:val="21"/>
        </w:rPr>
        <w:t>）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2.</w:t>
      </w:r>
      <w:r>
        <w:rPr>
          <w:rFonts w:ascii="Times New Roman" w:hAnsi="Times New Roman" w:hint="eastAsia"/>
          <w:bCs/>
          <w:color w:val="000000"/>
          <w:szCs w:val="21"/>
        </w:rPr>
        <w:t>未知液：三种标准物质溶液中的任何一种，浓度范围（</w:t>
      </w:r>
      <w:r>
        <w:rPr>
          <w:rFonts w:ascii="Times New Roman" w:hAnsi="Times New Roman"/>
          <w:bCs/>
          <w:color w:val="000000"/>
          <w:szCs w:val="21"/>
        </w:rPr>
        <w:t>0.7~1.5mg/mL</w:t>
      </w:r>
      <w:r>
        <w:rPr>
          <w:rFonts w:ascii="Times New Roman" w:hAnsi="Times New Roman" w:hint="eastAsia"/>
          <w:bCs/>
          <w:color w:val="000000"/>
          <w:szCs w:val="21"/>
        </w:rPr>
        <w:t>）</w:t>
      </w:r>
      <w:bookmarkStart w:id="0" w:name="_GoBack"/>
      <w:bookmarkEnd w:id="0"/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（三）操作步骤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1.</w:t>
      </w:r>
      <w:r>
        <w:rPr>
          <w:rFonts w:ascii="Times New Roman" w:hAnsi="Times New Roman" w:hint="eastAsia"/>
          <w:bCs/>
          <w:szCs w:val="21"/>
        </w:rPr>
        <w:t>吸收池配套性检查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石英吸收池在</w:t>
      </w:r>
      <w:r>
        <w:rPr>
          <w:rFonts w:ascii="Times New Roman" w:hAnsi="Times New Roman"/>
          <w:bCs/>
          <w:szCs w:val="21"/>
        </w:rPr>
        <w:t>220nm</w:t>
      </w:r>
      <w:r>
        <w:rPr>
          <w:rFonts w:ascii="Times New Roman" w:hAnsi="Times New Roman" w:hint="eastAsia"/>
          <w:bCs/>
          <w:szCs w:val="21"/>
        </w:rPr>
        <w:t>装蒸馏水，以一个吸收池为参比，调节</w:t>
      </w:r>
      <w:r>
        <w:rPr>
          <w:rFonts w:ascii="Times New Roman" w:hAnsi="Times New Roman"/>
          <w:bCs/>
          <w:szCs w:val="21"/>
        </w:rPr>
        <w:t>τ</w:t>
      </w:r>
      <w:r>
        <w:rPr>
          <w:rFonts w:ascii="Times New Roman" w:hAnsi="Times New Roman" w:hint="eastAsia"/>
          <w:bCs/>
          <w:szCs w:val="21"/>
        </w:rPr>
        <w:t>为</w:t>
      </w:r>
      <w:r>
        <w:rPr>
          <w:rFonts w:ascii="Times New Roman" w:hAnsi="Times New Roman"/>
          <w:bCs/>
          <w:szCs w:val="21"/>
        </w:rPr>
        <w:t>100%</w:t>
      </w:r>
      <w:r>
        <w:rPr>
          <w:rFonts w:ascii="Times New Roman" w:hAnsi="Times New Roman" w:hint="eastAsia"/>
          <w:bCs/>
          <w:szCs w:val="21"/>
        </w:rPr>
        <w:t>，测定其余吸收池的透射比，其偏差应小于</w:t>
      </w:r>
      <w:r>
        <w:rPr>
          <w:rFonts w:ascii="Times New Roman" w:hAnsi="Times New Roman"/>
          <w:bCs/>
          <w:szCs w:val="21"/>
        </w:rPr>
        <w:t>0.5%</w:t>
      </w:r>
      <w:r>
        <w:rPr>
          <w:rFonts w:ascii="Times New Roman" w:hAnsi="Times New Roman" w:hint="eastAsia"/>
          <w:bCs/>
          <w:szCs w:val="21"/>
        </w:rPr>
        <w:t>，可配成一套使用，记录其余比色皿的吸光度值。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2.</w:t>
      </w:r>
      <w:r>
        <w:rPr>
          <w:rFonts w:ascii="Times New Roman" w:hAnsi="Times New Roman" w:hint="eastAsia"/>
          <w:bCs/>
          <w:szCs w:val="21"/>
        </w:rPr>
        <w:t>未知物的定性分析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将三种标准试剂溶液和未知液配制成约为一定浓度的溶液。以蒸馏水为参比，于波长</w:t>
      </w:r>
      <w:r>
        <w:rPr>
          <w:rFonts w:ascii="Times New Roman" w:hAnsi="Times New Roman"/>
          <w:bCs/>
          <w:szCs w:val="21"/>
        </w:rPr>
        <w:t>200</w:t>
      </w:r>
      <w:r>
        <w:rPr>
          <w:rFonts w:ascii="Times New Roman" w:hAnsi="Times New Roman" w:hint="eastAsia"/>
          <w:bCs/>
          <w:szCs w:val="21"/>
        </w:rPr>
        <w:t>～</w:t>
      </w:r>
      <w:r>
        <w:rPr>
          <w:rFonts w:ascii="Times New Roman" w:hAnsi="Times New Roman"/>
          <w:bCs/>
          <w:szCs w:val="21"/>
        </w:rPr>
        <w:t>350nm</w:t>
      </w:r>
      <w:r>
        <w:rPr>
          <w:rFonts w:ascii="Times New Roman" w:hAnsi="Times New Roman" w:hint="eastAsia"/>
          <w:bCs/>
          <w:szCs w:val="21"/>
        </w:rPr>
        <w:t>范围内测定溶液吸光度，并作吸收曲线。根据吸收曲线的形状确定未知物，并从曲线上确定最大吸收波长作为定量测定时的测量波长，</w:t>
      </w:r>
      <w:r>
        <w:rPr>
          <w:rFonts w:ascii="Times New Roman" w:hAnsi="Times New Roman"/>
          <w:bCs/>
          <w:szCs w:val="21"/>
        </w:rPr>
        <w:t>190</w:t>
      </w:r>
      <w:r>
        <w:rPr>
          <w:rFonts w:ascii="Times New Roman" w:hAnsi="Times New Roman" w:hint="eastAsia"/>
          <w:bCs/>
          <w:szCs w:val="21"/>
        </w:rPr>
        <w:t>～</w:t>
      </w:r>
      <w:r>
        <w:rPr>
          <w:rFonts w:ascii="Times New Roman" w:hAnsi="Times New Roman"/>
          <w:bCs/>
          <w:szCs w:val="21"/>
        </w:rPr>
        <w:t>210nm</w:t>
      </w:r>
      <w:r>
        <w:rPr>
          <w:rFonts w:ascii="Times New Roman" w:hAnsi="Times New Roman" w:hint="eastAsia"/>
          <w:bCs/>
          <w:szCs w:val="21"/>
        </w:rPr>
        <w:t>处的波长不能选择为最大吸收波长。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3.</w:t>
      </w:r>
      <w:r>
        <w:rPr>
          <w:rFonts w:ascii="Times New Roman" w:hAnsi="Times New Roman" w:hint="eastAsia"/>
          <w:bCs/>
          <w:szCs w:val="21"/>
        </w:rPr>
        <w:t>标准工作曲线绘制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分别准确移取一定体积的标准溶液于所选用的</w:t>
      </w:r>
      <w:r>
        <w:rPr>
          <w:rFonts w:ascii="Times New Roman" w:hAnsi="Times New Roman"/>
          <w:bCs/>
          <w:szCs w:val="21"/>
        </w:rPr>
        <w:t>100mL</w:t>
      </w:r>
      <w:r>
        <w:rPr>
          <w:rFonts w:ascii="Times New Roman" w:hAnsi="Times New Roman" w:hint="eastAsia"/>
          <w:bCs/>
          <w:szCs w:val="21"/>
        </w:rPr>
        <w:t>容量瓶中，以蒸馏水稀释至刻线，摇匀（绘制标准曲线必须是七个点，七个点分布要合理）。根据未知液吸收曲线上最大吸收波长，以蒸馏水为参比，测定吸光度。然后以浓度为横坐标，以相应的吸光度为</w:t>
      </w:r>
      <w:r>
        <w:rPr>
          <w:rFonts w:ascii="Times New Roman" w:hAnsi="Times New Roman" w:hint="eastAsia"/>
          <w:kern w:val="0"/>
          <w:szCs w:val="21"/>
        </w:rPr>
        <w:t>纵</w:t>
      </w:r>
      <w:r>
        <w:rPr>
          <w:rFonts w:ascii="Times New Roman" w:hAnsi="Times New Roman" w:hint="eastAsia"/>
          <w:bCs/>
          <w:szCs w:val="21"/>
        </w:rPr>
        <w:t>坐标绘制标准工作曲线。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4.</w:t>
      </w:r>
      <w:r>
        <w:rPr>
          <w:rFonts w:ascii="Times New Roman" w:hAnsi="Times New Roman" w:hint="eastAsia"/>
          <w:bCs/>
          <w:szCs w:val="21"/>
        </w:rPr>
        <w:t>未知物的定量分析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确定未知液的稀释倍数，并配制待测溶液于所选用的</w:t>
      </w:r>
      <w:r>
        <w:rPr>
          <w:rFonts w:ascii="Times New Roman" w:hAnsi="Times New Roman"/>
          <w:bCs/>
          <w:szCs w:val="21"/>
        </w:rPr>
        <w:t>100mL</w:t>
      </w:r>
      <w:r>
        <w:rPr>
          <w:rFonts w:ascii="Times New Roman" w:hAnsi="Times New Roman" w:hint="eastAsia"/>
          <w:bCs/>
          <w:szCs w:val="21"/>
        </w:rPr>
        <w:t>容量瓶中，以蒸馏水稀释至刻线，摇匀。根据未知液吸收曲线上最大吸收波长，以蒸馏水为参比，测定吸光度。根据待测溶液的吸光度，确定未知样品的浓度。未知样品平行测定</w:t>
      </w:r>
      <w:r>
        <w:rPr>
          <w:rFonts w:ascii="Times New Roman" w:hAnsi="Times New Roman"/>
          <w:bCs/>
          <w:szCs w:val="21"/>
        </w:rPr>
        <w:t>3</w:t>
      </w:r>
      <w:r>
        <w:rPr>
          <w:rFonts w:ascii="Times New Roman" w:hAnsi="Times New Roman" w:hint="eastAsia"/>
          <w:bCs/>
          <w:szCs w:val="21"/>
        </w:rPr>
        <w:t>次。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（四）结果处理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根据未知样品溶液的稀释倍数，求出未知物的含量。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计算公式：</w:t>
      </w:r>
      <w:r w:rsidRPr="00DB5055">
        <w:rPr>
          <w:rFonts w:ascii="Times New Roman" w:hAnsi="Times New Roman"/>
          <w:bCs/>
          <w:szCs w:val="21"/>
        </w:rPr>
        <w:object w:dxaOrig="1182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18pt" o:ole="">
            <v:imagedata r:id="rId6" o:title=""/>
          </v:shape>
          <o:OLEObject Type="Embed" ProgID="Equation.DSMT4" ShapeID="_x0000_i1025" DrawAspect="Content" ObjectID="_1586760163" r:id="rId7"/>
        </w:objec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 w:rsidRPr="00DB5055">
        <w:rPr>
          <w:rFonts w:ascii="Times New Roman" w:hAnsi="Times New Roman"/>
          <w:bCs/>
          <w:szCs w:val="21"/>
        </w:rPr>
        <w:object w:dxaOrig="301" w:dyaOrig="361">
          <v:shape id="_x0000_i1026" type="#_x0000_t75" style="width:15pt;height:18pt" o:ole="">
            <v:imagedata r:id="rId8" o:title=""/>
          </v:shape>
          <o:OLEObject Type="Embed" ProgID="Equation.DSMT4" ShapeID="_x0000_i1026" DrawAspect="Content" ObjectID="_1586760164" r:id="rId9"/>
        </w:object>
      </w:r>
      <w:r>
        <w:rPr>
          <w:rFonts w:ascii="Times New Roman" w:hAnsi="Times New Roman"/>
          <w:bCs/>
          <w:szCs w:val="21"/>
        </w:rPr>
        <w:t>——</w:t>
      </w:r>
      <w:r>
        <w:rPr>
          <w:rFonts w:ascii="Times New Roman" w:hAnsi="Times New Roman" w:hint="eastAsia"/>
          <w:bCs/>
          <w:szCs w:val="21"/>
        </w:rPr>
        <w:t>原始未知溶液浓度，</w:t>
      </w:r>
      <w:r>
        <w:rPr>
          <w:rFonts w:ascii="Times New Roman" w:hAnsi="Times New Roman"/>
          <w:bCs/>
          <w:szCs w:val="21"/>
        </w:rPr>
        <w:t>μg/mL</w:t>
      </w:r>
      <w:r>
        <w:rPr>
          <w:rFonts w:ascii="Times New Roman" w:hAnsi="Times New Roman" w:hint="eastAsia"/>
          <w:bCs/>
          <w:szCs w:val="21"/>
        </w:rPr>
        <w:t>；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 w:rsidRPr="00DB5055">
        <w:rPr>
          <w:rFonts w:ascii="Times New Roman" w:hAnsi="Times New Roman"/>
          <w:bCs/>
          <w:szCs w:val="21"/>
        </w:rPr>
        <w:object w:dxaOrig="361" w:dyaOrig="361">
          <v:shape id="_x0000_i1027" type="#_x0000_t75" style="width:18pt;height:18pt" o:ole="">
            <v:imagedata r:id="rId10" o:title=""/>
          </v:shape>
          <o:OLEObject Type="Embed" ProgID="Equation.DSMT4" ShapeID="_x0000_i1027" DrawAspect="Content" ObjectID="_1586760165" r:id="rId11"/>
        </w:object>
      </w:r>
      <w:r>
        <w:rPr>
          <w:rFonts w:ascii="Times New Roman" w:hAnsi="Times New Roman"/>
          <w:bCs/>
          <w:szCs w:val="21"/>
        </w:rPr>
        <w:t>——</w:t>
      </w:r>
      <w:r>
        <w:rPr>
          <w:rFonts w:ascii="Times New Roman" w:hAnsi="Times New Roman" w:hint="eastAsia"/>
          <w:bCs/>
          <w:szCs w:val="21"/>
        </w:rPr>
        <w:t>查出的未知溶液浓度，</w:t>
      </w:r>
      <w:r>
        <w:rPr>
          <w:rFonts w:ascii="Times New Roman" w:hAnsi="Times New Roman"/>
          <w:bCs/>
          <w:szCs w:val="21"/>
        </w:rPr>
        <w:t>μg/mL</w:t>
      </w:r>
      <w:r>
        <w:rPr>
          <w:rFonts w:ascii="Times New Roman" w:hAnsi="Times New Roman" w:hint="eastAsia"/>
          <w:bCs/>
          <w:szCs w:val="21"/>
        </w:rPr>
        <w:t>；</w:t>
      </w:r>
    </w:p>
    <w:p w:rsidR="005A71DB" w:rsidRDefault="005A71DB" w:rsidP="00506536">
      <w:pPr>
        <w:spacing w:line="360" w:lineRule="exact"/>
        <w:ind w:firstLineChars="200" w:firstLine="31680"/>
        <w:rPr>
          <w:rFonts w:ascii="Times New Roman" w:hAnsi="Times New Roman"/>
          <w:bCs/>
          <w:szCs w:val="21"/>
        </w:rPr>
      </w:pPr>
      <w:r w:rsidRPr="00DB5055">
        <w:rPr>
          <w:rFonts w:ascii="Times New Roman" w:hAnsi="Times New Roman"/>
          <w:bCs/>
          <w:szCs w:val="21"/>
        </w:rPr>
        <w:object w:dxaOrig="201" w:dyaOrig="221">
          <v:shape id="_x0000_i1028" type="#_x0000_t75" style="width:9.75pt;height:11.25pt" o:ole="">
            <v:imagedata r:id="rId12" o:title=""/>
          </v:shape>
          <o:OLEObject Type="Embed" ProgID="Equation.DSMT4" ShapeID="_x0000_i1028" DrawAspect="Content" ObjectID="_1586760166" r:id="rId13"/>
        </w:object>
      </w:r>
      <w:r>
        <w:rPr>
          <w:rFonts w:ascii="Times New Roman" w:hAnsi="Times New Roman"/>
          <w:bCs/>
          <w:szCs w:val="21"/>
        </w:rPr>
        <w:t>——</w:t>
      </w:r>
      <w:r>
        <w:rPr>
          <w:rFonts w:ascii="Times New Roman" w:hAnsi="Times New Roman" w:hint="eastAsia"/>
          <w:bCs/>
          <w:szCs w:val="21"/>
        </w:rPr>
        <w:t>未知溶液的稀释倍数。</w:t>
      </w:r>
    </w:p>
    <w:p w:rsidR="005A71DB" w:rsidRDefault="005A71DB">
      <w:pPr>
        <w:spacing w:line="360" w:lineRule="exact"/>
        <w:rPr>
          <w:rFonts w:ascii="Times New Roman" w:hAnsi="Times New Roman"/>
          <w:szCs w:val="21"/>
        </w:rPr>
      </w:pPr>
    </w:p>
    <w:p w:rsidR="005A71DB" w:rsidRDefault="005A71DB">
      <w:pPr>
        <w:spacing w:line="360" w:lineRule="exact"/>
        <w:rPr>
          <w:rFonts w:ascii="Times New Roman" w:hAnsi="Times New Roman"/>
          <w:szCs w:val="21"/>
        </w:rPr>
      </w:pPr>
    </w:p>
    <w:sectPr w:rsidR="005A71DB" w:rsidSect="00DB5055">
      <w:headerReference w:type="default" r:id="rId14"/>
      <w:foot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1DB" w:rsidRDefault="005A71DB" w:rsidP="00DB5055">
      <w:r>
        <w:separator/>
      </w:r>
    </w:p>
  </w:endnote>
  <w:endnote w:type="continuationSeparator" w:id="0">
    <w:p w:rsidR="005A71DB" w:rsidRDefault="005A71DB" w:rsidP="00DB5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1DB" w:rsidRDefault="005A71DB">
    <w:pPr>
      <w:pStyle w:val="Footer"/>
      <w:jc w:val="center"/>
    </w:pPr>
    <w:fldSimple w:instr="PAGE   \* MERGEFORMAT">
      <w:r w:rsidRPr="00506536">
        <w:rPr>
          <w:noProof/>
          <w:lang w:val="zh-CN"/>
        </w:rPr>
        <w:t>1</w:t>
      </w:r>
    </w:fldSimple>
  </w:p>
  <w:p w:rsidR="005A71DB" w:rsidRDefault="005A71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1DB" w:rsidRDefault="005A71DB" w:rsidP="00DB5055">
      <w:r>
        <w:separator/>
      </w:r>
    </w:p>
  </w:footnote>
  <w:footnote w:type="continuationSeparator" w:id="0">
    <w:p w:rsidR="005A71DB" w:rsidRDefault="005A71DB" w:rsidP="00DB50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1DB" w:rsidRDefault="005A71DB">
    <w:pPr>
      <w:jc w:val="center"/>
      <w:rPr>
        <w:rFonts w:ascii="Times New Roman" w:hAnsi="Times New Roman"/>
        <w:b/>
        <w:bCs/>
        <w:sz w:val="30"/>
        <w:szCs w:val="30"/>
      </w:rPr>
    </w:pPr>
    <w:bookmarkStart w:id="1" w:name="_Toc414794755"/>
    <w:r>
      <w:rPr>
        <w:rFonts w:ascii="Times New Roman" w:hAnsi="Times New Roman"/>
        <w:b/>
        <w:bCs/>
        <w:sz w:val="30"/>
        <w:szCs w:val="30"/>
      </w:rPr>
      <w:t>2018</w:t>
    </w:r>
    <w:r>
      <w:rPr>
        <w:rFonts w:ascii="Times New Roman" w:hAnsi="Times New Roman" w:hint="eastAsia"/>
        <w:b/>
        <w:bCs/>
        <w:sz w:val="30"/>
        <w:szCs w:val="30"/>
      </w:rPr>
      <w:t>年全国职业院校技能大赛工业分析与检验赛项（中职）</w:t>
    </w:r>
  </w:p>
  <w:p w:rsidR="005A71DB" w:rsidRDefault="005A71DB">
    <w:pPr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 w:hint="eastAsia"/>
        <w:b/>
        <w:bCs/>
        <w:sz w:val="28"/>
        <w:szCs w:val="28"/>
      </w:rPr>
      <w:t>仪器</w:t>
    </w:r>
    <w:r>
      <w:rPr>
        <w:rFonts w:ascii="Times New Roman" w:hAnsi="Times New Roman" w:hint="eastAsia"/>
        <w:b/>
        <w:sz w:val="28"/>
        <w:szCs w:val="28"/>
      </w:rPr>
      <w:t>分析</w:t>
    </w:r>
    <w:bookmarkEnd w:id="1"/>
    <w:r>
      <w:rPr>
        <w:rFonts w:ascii="Times New Roman" w:hAnsi="Times New Roman" w:hint="eastAsia"/>
        <w:b/>
        <w:sz w:val="28"/>
        <w:szCs w:val="28"/>
      </w:rPr>
      <w:t>操作方案</w:t>
    </w:r>
  </w:p>
  <w:p w:rsidR="005A71DB" w:rsidRDefault="005A71DB">
    <w:pPr>
      <w:pStyle w:val="Header"/>
      <w:pBdr>
        <w:bottom w:val="none" w:sz="0" w:space="0" w:color="auto"/>
      </w:pBdr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B3F"/>
    <w:rsid w:val="000351A4"/>
    <w:rsid w:val="00054FE4"/>
    <w:rsid w:val="00077192"/>
    <w:rsid w:val="00103E41"/>
    <w:rsid w:val="00150FC7"/>
    <w:rsid w:val="0017083C"/>
    <w:rsid w:val="001F2E6F"/>
    <w:rsid w:val="00416ED2"/>
    <w:rsid w:val="0048316E"/>
    <w:rsid w:val="00506536"/>
    <w:rsid w:val="005A69AD"/>
    <w:rsid w:val="005A71DB"/>
    <w:rsid w:val="005E5A87"/>
    <w:rsid w:val="005F07EF"/>
    <w:rsid w:val="00643B3F"/>
    <w:rsid w:val="007158DF"/>
    <w:rsid w:val="00774F09"/>
    <w:rsid w:val="0093510F"/>
    <w:rsid w:val="00967631"/>
    <w:rsid w:val="009719C6"/>
    <w:rsid w:val="00974083"/>
    <w:rsid w:val="00A24615"/>
    <w:rsid w:val="00A83640"/>
    <w:rsid w:val="00B67DFE"/>
    <w:rsid w:val="00B72EB3"/>
    <w:rsid w:val="00BE0C69"/>
    <w:rsid w:val="00C20AC7"/>
    <w:rsid w:val="00C2750E"/>
    <w:rsid w:val="00C76FC8"/>
    <w:rsid w:val="00D42C7B"/>
    <w:rsid w:val="00DA18F5"/>
    <w:rsid w:val="00DA584D"/>
    <w:rsid w:val="00DB5055"/>
    <w:rsid w:val="00E523BB"/>
    <w:rsid w:val="00E6355B"/>
    <w:rsid w:val="00EC1ADF"/>
    <w:rsid w:val="00F062B0"/>
    <w:rsid w:val="1EC74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05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B505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5055"/>
    <w:rPr>
      <w:sz w:val="18"/>
    </w:rPr>
  </w:style>
  <w:style w:type="paragraph" w:styleId="Header">
    <w:name w:val="header"/>
    <w:basedOn w:val="Normal"/>
    <w:link w:val="HeaderChar"/>
    <w:uiPriority w:val="99"/>
    <w:rsid w:val="00DB5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B5055"/>
    <w:rPr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DB5055"/>
    <w:rPr>
      <w:rFonts w:ascii="Times New Roman" w:hAnsi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137</Words>
  <Characters>786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</dc:creator>
  <cp:keywords/>
  <dc:description/>
  <cp:lastModifiedBy>微软用户</cp:lastModifiedBy>
  <cp:revision>16</cp:revision>
  <dcterms:created xsi:type="dcterms:W3CDTF">2017-04-28T12:04:00Z</dcterms:created>
  <dcterms:modified xsi:type="dcterms:W3CDTF">2018-05-02T01:56:00Z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